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240" w14:textId="4CBE9445" w:rsidR="00020441" w:rsidRDefault="00020441" w:rsidP="003C55ED">
      <w:pPr>
        <w:pStyle w:val="TDC1"/>
      </w:pPr>
    </w:p>
    <w:p w14:paraId="5DDAA11F" w14:textId="1118A1DD" w:rsidR="00020441" w:rsidRDefault="00020441">
      <w:r>
        <w:tab/>
      </w:r>
      <w:r>
        <w:tab/>
      </w:r>
      <w:r>
        <w:tab/>
      </w:r>
      <w:r>
        <w:tab/>
      </w:r>
      <w:r>
        <w:tab/>
      </w:r>
      <w:r>
        <w:tab/>
      </w:r>
    </w:p>
    <w:p w14:paraId="2764143B" w14:textId="77777777" w:rsidR="00020441" w:rsidRDefault="00000520">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F805966" w14:textId="412705DC"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00854BAE" w14:textId="721EA76A" w:rsidR="00020441" w:rsidRDefault="00AD6C24">
      <w:pPr>
        <w:pStyle w:val="Textoindependiente"/>
        <w:jc w:val="both"/>
        <w:rPr>
          <w:bCs/>
          <w:sz w:val="32"/>
        </w:rPr>
      </w:pPr>
      <w:r w:rsidRPr="00AD6C24">
        <w:rPr>
          <w:sz w:val="40"/>
        </w:rPr>
        <w:t>ACTUALIZACIÓN DE DISPOSICIONES RESPECTO DEL NPV Y NEP DE QUE TRATA LA RESOLUCIÓN CREG 036 DE 2010</w:t>
      </w: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DD1BBEA" w14:textId="119CDBBB" w:rsidR="00020441" w:rsidRDefault="00020441"/>
    <w:p w14:paraId="1222BB47" w14:textId="77777777" w:rsidR="00020441" w:rsidRDefault="00020441"/>
    <w:p w14:paraId="59776045" w14:textId="77777777" w:rsidR="00020441" w:rsidRDefault="00020441"/>
    <w:p w14:paraId="53B509DC" w14:textId="44A9B0F7" w:rsidR="00020441" w:rsidRPr="007367B5" w:rsidRDefault="00020441">
      <w:pPr>
        <w:rPr>
          <w:b/>
          <w:caps/>
          <w:sz w:val="48"/>
          <w:szCs w:val="48"/>
          <w:lang w:val="es-ES"/>
        </w:rPr>
      </w:pPr>
      <w:r>
        <w:rPr>
          <w:b/>
          <w:caps/>
          <w:sz w:val="28"/>
          <w:lang w:val="es-ES"/>
        </w:rPr>
        <w:t xml:space="preserve">DOCUMENTO </w:t>
      </w:r>
      <w:r>
        <w:rPr>
          <w:b/>
          <w:caps/>
          <w:sz w:val="40"/>
          <w:lang w:val="es-ES"/>
        </w:rPr>
        <w:t>CREG-</w:t>
      </w:r>
      <w:r w:rsidR="007367B5">
        <w:rPr>
          <w:rFonts w:cs="Arial"/>
          <w:b/>
          <w:bCs/>
          <w:sz w:val="40"/>
          <w:szCs w:val="40"/>
          <w:lang w:val="es-MX"/>
        </w:rPr>
        <w:t xml:space="preserve"> </w:t>
      </w:r>
      <w:r w:rsidR="007367B5" w:rsidRPr="007367B5">
        <w:rPr>
          <w:rFonts w:cs="Arial"/>
          <w:b/>
          <w:bCs/>
          <w:sz w:val="48"/>
          <w:szCs w:val="48"/>
          <w:lang w:val="es-MX"/>
        </w:rPr>
        <w:t>901 043</w:t>
      </w:r>
      <w:r w:rsidR="00F40D91" w:rsidRPr="007367B5">
        <w:rPr>
          <w:rFonts w:cs="Arial"/>
          <w:b/>
          <w:bCs/>
          <w:sz w:val="48"/>
          <w:szCs w:val="48"/>
          <w:lang w:val="es-MX"/>
        </w:rPr>
        <w:t xml:space="preserve"> </w:t>
      </w:r>
    </w:p>
    <w:p w14:paraId="44F07507" w14:textId="44401E79" w:rsidR="000B5AD2" w:rsidRPr="007367B5" w:rsidRDefault="007367B5" w:rsidP="00F40D91">
      <w:pPr>
        <w:tabs>
          <w:tab w:val="left" w:pos="9142"/>
        </w:tabs>
        <w:ind w:left="9142" w:hanging="9142"/>
        <w:jc w:val="left"/>
        <w:rPr>
          <w:rFonts w:cs="Arial"/>
          <w:b/>
          <w:bCs/>
          <w:sz w:val="28"/>
          <w:szCs w:val="28"/>
          <w:lang w:val="es-MX"/>
        </w:rPr>
      </w:pPr>
      <w:r w:rsidRPr="007367B5">
        <w:rPr>
          <w:rFonts w:cs="Arial"/>
          <w:b/>
          <w:bCs/>
          <w:sz w:val="28"/>
          <w:szCs w:val="28"/>
          <w:lang w:val="es-MX"/>
        </w:rPr>
        <w:t>13 DE DICIEMBRE DE 2023</w:t>
      </w:r>
      <w:r w:rsidR="009C08C1" w:rsidRPr="007367B5">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63B7394E" w14:textId="78B03D25" w:rsidR="00020441" w:rsidRDefault="00020441" w:rsidP="003C55ED">
      <w:pPr>
        <w:pStyle w:val="TDC1"/>
      </w:pPr>
    </w:p>
    <w:p w14:paraId="071E5D13" w14:textId="1C26A057" w:rsidR="00020441" w:rsidRDefault="00020441">
      <w:pPr>
        <w:ind w:left="4956"/>
        <w:jc w:val="left"/>
        <w:rPr>
          <w:bCs/>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10BF0A8C" w:rsidR="00020441" w:rsidRDefault="00020441">
            <w:pPr>
              <w:tabs>
                <w:tab w:val="left" w:pos="4606"/>
                <w:tab w:val="left" w:pos="9142"/>
              </w:tabs>
              <w:jc w:val="left"/>
              <w:rPr>
                <w:b/>
                <w:bCs/>
              </w:rPr>
            </w:pPr>
            <w:r>
              <w:rPr>
                <w:b/>
                <w:bCs/>
              </w:rPr>
              <w:t>REGULACIÓN DE ENERGÍA Y GAS</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bookmarkEnd w:id="0"/>
    <w:bookmarkEnd w:id="1"/>
    <w:p w14:paraId="324B8DD2" w14:textId="5B18C04D" w:rsidR="00346BC3" w:rsidRDefault="00EF1618" w:rsidP="00EF1618">
      <w:pPr>
        <w:jc w:val="center"/>
        <w:rPr>
          <w:sz w:val="22"/>
        </w:rPr>
      </w:pPr>
      <w:r>
        <w:rPr>
          <w:sz w:val="22"/>
        </w:rPr>
        <w:lastRenderedPageBreak/>
        <w:t>TABLA DE CONTENIDO</w:t>
      </w:r>
    </w:p>
    <w:p w14:paraId="178C6DD5" w14:textId="77777777" w:rsidR="00346BC3" w:rsidRDefault="00346BC3" w:rsidP="0038050C">
      <w:pPr>
        <w:rPr>
          <w:sz w:val="22"/>
        </w:rPr>
      </w:pPr>
    </w:p>
    <w:p w14:paraId="015E553B" w14:textId="77777777" w:rsidR="00346BC3" w:rsidRDefault="00346BC3" w:rsidP="0038050C">
      <w:pPr>
        <w:rPr>
          <w:sz w:val="22"/>
        </w:rPr>
      </w:pPr>
    </w:p>
    <w:p w14:paraId="44D73800" w14:textId="215964D1" w:rsidR="009E0702" w:rsidRDefault="00EF1618">
      <w:pPr>
        <w:pStyle w:val="TDC1"/>
        <w:rPr>
          <w:rFonts w:asciiTheme="minorHAnsi" w:eastAsiaTheme="minorEastAsia" w:hAnsiTheme="minorHAnsi" w:cstheme="minorBidi"/>
          <w:smallCaps w:val="0"/>
          <w:kern w:val="2"/>
          <w:sz w:val="22"/>
          <w:szCs w:val="22"/>
          <w:lang w:val="es-CO" w:eastAsia="es-CO"/>
          <w14:ligatures w14:val="standardContextual"/>
        </w:rPr>
      </w:pPr>
      <w:r>
        <w:rPr>
          <w:sz w:val="22"/>
        </w:rPr>
        <w:fldChar w:fldCharType="begin"/>
      </w:r>
      <w:r>
        <w:rPr>
          <w:sz w:val="22"/>
        </w:rPr>
        <w:instrText xml:space="preserve"> TOC \o "1-3" \h \z \u </w:instrText>
      </w:r>
      <w:r>
        <w:rPr>
          <w:sz w:val="22"/>
        </w:rPr>
        <w:fldChar w:fldCharType="separate"/>
      </w:r>
      <w:hyperlink w:anchor="_Toc153295508" w:history="1">
        <w:r w:rsidR="009E0702" w:rsidRPr="009D240A">
          <w:rPr>
            <w:rStyle w:val="Hipervnculo"/>
            <w:bCs/>
          </w:rPr>
          <w:t>1.</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ANTECEDENTES E INFORMACIÓN GENERAL</w:t>
        </w:r>
        <w:r w:rsidR="009E0702">
          <w:rPr>
            <w:webHidden/>
          </w:rPr>
          <w:tab/>
        </w:r>
        <w:r w:rsidR="009E0702">
          <w:rPr>
            <w:webHidden/>
          </w:rPr>
          <w:fldChar w:fldCharType="begin"/>
        </w:r>
        <w:r w:rsidR="009E0702">
          <w:rPr>
            <w:webHidden/>
          </w:rPr>
          <w:instrText xml:space="preserve"> PAGEREF _Toc153295508 \h </w:instrText>
        </w:r>
        <w:r w:rsidR="009E0702">
          <w:rPr>
            <w:webHidden/>
          </w:rPr>
        </w:r>
        <w:r w:rsidR="009E0702">
          <w:rPr>
            <w:webHidden/>
          </w:rPr>
          <w:fldChar w:fldCharType="separate"/>
        </w:r>
        <w:r w:rsidR="00097410">
          <w:rPr>
            <w:webHidden/>
          </w:rPr>
          <w:t>3</w:t>
        </w:r>
        <w:r w:rsidR="009E0702">
          <w:rPr>
            <w:webHidden/>
          </w:rPr>
          <w:fldChar w:fldCharType="end"/>
        </w:r>
      </w:hyperlink>
    </w:p>
    <w:p w14:paraId="0F8C4240" w14:textId="45454317"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09" w:history="1">
        <w:r w:rsidR="009E0702" w:rsidRPr="009D240A">
          <w:rPr>
            <w:rStyle w:val="Hipervnculo"/>
            <w:bCs/>
          </w:rPr>
          <w:t>2.</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DIAGNOSTICO</w:t>
        </w:r>
        <w:r w:rsidR="009E0702">
          <w:rPr>
            <w:webHidden/>
          </w:rPr>
          <w:tab/>
        </w:r>
        <w:r w:rsidR="009E0702">
          <w:rPr>
            <w:webHidden/>
          </w:rPr>
          <w:fldChar w:fldCharType="begin"/>
        </w:r>
        <w:r w:rsidR="009E0702">
          <w:rPr>
            <w:webHidden/>
          </w:rPr>
          <w:instrText xml:space="preserve"> PAGEREF _Toc153295509 \h </w:instrText>
        </w:r>
        <w:r w:rsidR="009E0702">
          <w:rPr>
            <w:webHidden/>
          </w:rPr>
        </w:r>
        <w:r w:rsidR="009E0702">
          <w:rPr>
            <w:webHidden/>
          </w:rPr>
          <w:fldChar w:fldCharType="separate"/>
        </w:r>
        <w:r w:rsidR="00097410">
          <w:rPr>
            <w:webHidden/>
          </w:rPr>
          <w:t>5</w:t>
        </w:r>
        <w:r w:rsidR="009E0702">
          <w:rPr>
            <w:webHidden/>
          </w:rPr>
          <w:fldChar w:fldCharType="end"/>
        </w:r>
      </w:hyperlink>
    </w:p>
    <w:p w14:paraId="12D65A75" w14:textId="2FE49588"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0" w:history="1">
        <w:r w:rsidR="009E0702" w:rsidRPr="009D240A">
          <w:rPr>
            <w:rStyle w:val="Hipervnculo"/>
            <w:bCs/>
          </w:rPr>
          <w:t>3.</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PROBLEMAS, CAUSA Y CONSECUENCIA</w:t>
        </w:r>
        <w:r w:rsidR="009E0702">
          <w:rPr>
            <w:webHidden/>
          </w:rPr>
          <w:tab/>
        </w:r>
        <w:r w:rsidR="009E0702">
          <w:rPr>
            <w:webHidden/>
          </w:rPr>
          <w:fldChar w:fldCharType="begin"/>
        </w:r>
        <w:r w:rsidR="009E0702">
          <w:rPr>
            <w:webHidden/>
          </w:rPr>
          <w:instrText xml:space="preserve"> PAGEREF _Toc153295510 \h </w:instrText>
        </w:r>
        <w:r w:rsidR="009E0702">
          <w:rPr>
            <w:webHidden/>
          </w:rPr>
        </w:r>
        <w:r w:rsidR="009E0702">
          <w:rPr>
            <w:webHidden/>
          </w:rPr>
          <w:fldChar w:fldCharType="separate"/>
        </w:r>
        <w:r w:rsidR="00097410">
          <w:rPr>
            <w:webHidden/>
          </w:rPr>
          <w:t>8</w:t>
        </w:r>
        <w:r w:rsidR="009E0702">
          <w:rPr>
            <w:webHidden/>
          </w:rPr>
          <w:fldChar w:fldCharType="end"/>
        </w:r>
      </w:hyperlink>
    </w:p>
    <w:p w14:paraId="4458FFBD" w14:textId="08BD347C"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1" w:history="1">
        <w:r w:rsidR="009E0702" w:rsidRPr="009D240A">
          <w:rPr>
            <w:rStyle w:val="Hipervnculo"/>
            <w:bCs/>
          </w:rPr>
          <w:t>4.</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OBJETIVOS</w:t>
        </w:r>
        <w:r w:rsidR="009E0702">
          <w:rPr>
            <w:webHidden/>
          </w:rPr>
          <w:tab/>
        </w:r>
        <w:r w:rsidR="009E0702">
          <w:rPr>
            <w:webHidden/>
          </w:rPr>
          <w:fldChar w:fldCharType="begin"/>
        </w:r>
        <w:r w:rsidR="009E0702">
          <w:rPr>
            <w:webHidden/>
          </w:rPr>
          <w:instrText xml:space="preserve"> PAGEREF _Toc153295511 \h </w:instrText>
        </w:r>
        <w:r w:rsidR="009E0702">
          <w:rPr>
            <w:webHidden/>
          </w:rPr>
        </w:r>
        <w:r w:rsidR="009E0702">
          <w:rPr>
            <w:webHidden/>
          </w:rPr>
          <w:fldChar w:fldCharType="separate"/>
        </w:r>
        <w:r w:rsidR="00097410">
          <w:rPr>
            <w:webHidden/>
          </w:rPr>
          <w:t>9</w:t>
        </w:r>
        <w:r w:rsidR="009E0702">
          <w:rPr>
            <w:webHidden/>
          </w:rPr>
          <w:fldChar w:fldCharType="end"/>
        </w:r>
      </w:hyperlink>
    </w:p>
    <w:p w14:paraId="2557C935" w14:textId="54AD055E"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2" w:history="1">
        <w:r w:rsidR="009E0702" w:rsidRPr="009D240A">
          <w:rPr>
            <w:rStyle w:val="Hipervnculo"/>
            <w:rFonts w:cs="Arial"/>
            <w:bCs/>
          </w:rPr>
          <w:t>5.</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ALTERNATIVAS</w:t>
        </w:r>
        <w:r w:rsidR="009E0702">
          <w:rPr>
            <w:webHidden/>
          </w:rPr>
          <w:tab/>
        </w:r>
        <w:r w:rsidR="009E0702">
          <w:rPr>
            <w:webHidden/>
          </w:rPr>
          <w:fldChar w:fldCharType="begin"/>
        </w:r>
        <w:r w:rsidR="009E0702">
          <w:rPr>
            <w:webHidden/>
          </w:rPr>
          <w:instrText xml:space="preserve"> PAGEREF _Toc153295512 \h </w:instrText>
        </w:r>
        <w:r w:rsidR="009E0702">
          <w:rPr>
            <w:webHidden/>
          </w:rPr>
        </w:r>
        <w:r w:rsidR="009E0702">
          <w:rPr>
            <w:webHidden/>
          </w:rPr>
          <w:fldChar w:fldCharType="separate"/>
        </w:r>
        <w:r w:rsidR="00097410">
          <w:rPr>
            <w:webHidden/>
          </w:rPr>
          <w:t>9</w:t>
        </w:r>
        <w:r w:rsidR="009E0702">
          <w:rPr>
            <w:webHidden/>
          </w:rPr>
          <w:fldChar w:fldCharType="end"/>
        </w:r>
      </w:hyperlink>
    </w:p>
    <w:p w14:paraId="33CEBE09" w14:textId="4E6AA55F" w:rsidR="009E0702" w:rsidRDefault="007367B5">
      <w:pPr>
        <w:pStyle w:val="TDC2"/>
        <w:rPr>
          <w:rFonts w:asciiTheme="minorHAnsi" w:eastAsiaTheme="minorEastAsia" w:hAnsiTheme="minorHAnsi" w:cstheme="minorBidi"/>
          <w:kern w:val="2"/>
          <w:sz w:val="22"/>
          <w:szCs w:val="22"/>
          <w:lang w:val="es-CO" w:eastAsia="es-CO"/>
          <w14:ligatures w14:val="standardContextual"/>
        </w:rPr>
      </w:pPr>
      <w:hyperlink w:anchor="_Toc153295513" w:history="1">
        <w:r w:rsidR="009E0702" w:rsidRPr="009D240A">
          <w:rPr>
            <w:rStyle w:val="Hipervnculo"/>
          </w:rPr>
          <w:t>5.1</w:t>
        </w:r>
        <w:r w:rsidR="009E0702">
          <w:rPr>
            <w:rFonts w:asciiTheme="minorHAnsi" w:eastAsiaTheme="minorEastAsia" w:hAnsiTheme="minorHAnsi" w:cstheme="minorBidi"/>
            <w:kern w:val="2"/>
            <w:sz w:val="22"/>
            <w:szCs w:val="22"/>
            <w:lang w:val="es-CO" w:eastAsia="es-CO"/>
            <w14:ligatures w14:val="standardContextual"/>
          </w:rPr>
          <w:tab/>
        </w:r>
        <w:r w:rsidR="009E0702" w:rsidRPr="009D240A">
          <w:rPr>
            <w:rStyle w:val="Hipervnculo"/>
          </w:rPr>
          <w:t>Alternativa 1: No realizar cambios regulatorios.</w:t>
        </w:r>
        <w:r w:rsidR="009E0702">
          <w:rPr>
            <w:webHidden/>
          </w:rPr>
          <w:tab/>
        </w:r>
        <w:r w:rsidR="009E0702">
          <w:rPr>
            <w:webHidden/>
          </w:rPr>
          <w:fldChar w:fldCharType="begin"/>
        </w:r>
        <w:r w:rsidR="009E0702">
          <w:rPr>
            <w:webHidden/>
          </w:rPr>
          <w:instrText xml:space="preserve"> PAGEREF _Toc153295513 \h </w:instrText>
        </w:r>
        <w:r w:rsidR="009E0702">
          <w:rPr>
            <w:webHidden/>
          </w:rPr>
        </w:r>
        <w:r w:rsidR="009E0702">
          <w:rPr>
            <w:webHidden/>
          </w:rPr>
          <w:fldChar w:fldCharType="separate"/>
        </w:r>
        <w:r w:rsidR="00097410">
          <w:rPr>
            <w:webHidden/>
          </w:rPr>
          <w:t>9</w:t>
        </w:r>
        <w:r w:rsidR="009E0702">
          <w:rPr>
            <w:webHidden/>
          </w:rPr>
          <w:fldChar w:fldCharType="end"/>
        </w:r>
      </w:hyperlink>
    </w:p>
    <w:p w14:paraId="1D5D3990" w14:textId="572179D5" w:rsidR="009E0702" w:rsidRDefault="007367B5">
      <w:pPr>
        <w:pStyle w:val="TDC2"/>
        <w:rPr>
          <w:rFonts w:asciiTheme="minorHAnsi" w:eastAsiaTheme="minorEastAsia" w:hAnsiTheme="minorHAnsi" w:cstheme="minorBidi"/>
          <w:kern w:val="2"/>
          <w:sz w:val="22"/>
          <w:szCs w:val="22"/>
          <w:lang w:val="es-CO" w:eastAsia="es-CO"/>
          <w14:ligatures w14:val="standardContextual"/>
        </w:rPr>
      </w:pPr>
      <w:hyperlink w:anchor="_Toc153295514" w:history="1">
        <w:r w:rsidR="009E0702" w:rsidRPr="009D240A">
          <w:rPr>
            <w:rStyle w:val="Hipervnculo"/>
          </w:rPr>
          <w:t>5.2</w:t>
        </w:r>
        <w:r w:rsidR="009E0702">
          <w:rPr>
            <w:rFonts w:asciiTheme="minorHAnsi" w:eastAsiaTheme="minorEastAsia" w:hAnsiTheme="minorHAnsi" w:cstheme="minorBidi"/>
            <w:kern w:val="2"/>
            <w:sz w:val="22"/>
            <w:szCs w:val="22"/>
            <w:lang w:val="es-CO" w:eastAsia="es-CO"/>
            <w14:ligatures w14:val="standardContextual"/>
          </w:rPr>
          <w:tab/>
        </w:r>
        <w:r w:rsidR="009E0702" w:rsidRPr="009D240A">
          <w:rPr>
            <w:rStyle w:val="Hipervnculo"/>
          </w:rPr>
          <w:t>Alternativa 2: actualización de lineamientos para declaración del NPV y NEP</w:t>
        </w:r>
        <w:r w:rsidR="009E0702">
          <w:rPr>
            <w:webHidden/>
          </w:rPr>
          <w:tab/>
        </w:r>
        <w:r w:rsidR="009E0702">
          <w:rPr>
            <w:webHidden/>
          </w:rPr>
          <w:fldChar w:fldCharType="begin"/>
        </w:r>
        <w:r w:rsidR="009E0702">
          <w:rPr>
            <w:webHidden/>
          </w:rPr>
          <w:instrText xml:space="preserve"> PAGEREF _Toc153295514 \h </w:instrText>
        </w:r>
        <w:r w:rsidR="009E0702">
          <w:rPr>
            <w:webHidden/>
          </w:rPr>
        </w:r>
        <w:r w:rsidR="009E0702">
          <w:rPr>
            <w:webHidden/>
          </w:rPr>
          <w:fldChar w:fldCharType="separate"/>
        </w:r>
        <w:r w:rsidR="00097410">
          <w:rPr>
            <w:webHidden/>
          </w:rPr>
          <w:t>9</w:t>
        </w:r>
        <w:r w:rsidR="009E0702">
          <w:rPr>
            <w:webHidden/>
          </w:rPr>
          <w:fldChar w:fldCharType="end"/>
        </w:r>
      </w:hyperlink>
    </w:p>
    <w:p w14:paraId="1C75F812" w14:textId="53157FE9"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5" w:history="1">
        <w:r w:rsidR="009E0702" w:rsidRPr="009D240A">
          <w:rPr>
            <w:rStyle w:val="Hipervnculo"/>
            <w:rFonts w:cs="Arial"/>
            <w:bCs/>
          </w:rPr>
          <w:t>6.</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ANÁLISIS DE IMPACTO</w:t>
        </w:r>
        <w:r w:rsidR="009E0702">
          <w:rPr>
            <w:webHidden/>
          </w:rPr>
          <w:tab/>
        </w:r>
        <w:r w:rsidR="009E0702">
          <w:rPr>
            <w:webHidden/>
          </w:rPr>
          <w:fldChar w:fldCharType="begin"/>
        </w:r>
        <w:r w:rsidR="009E0702">
          <w:rPr>
            <w:webHidden/>
          </w:rPr>
          <w:instrText xml:space="preserve"> PAGEREF _Toc153295515 \h </w:instrText>
        </w:r>
        <w:r w:rsidR="009E0702">
          <w:rPr>
            <w:webHidden/>
          </w:rPr>
        </w:r>
        <w:r w:rsidR="009E0702">
          <w:rPr>
            <w:webHidden/>
          </w:rPr>
          <w:fldChar w:fldCharType="separate"/>
        </w:r>
        <w:r w:rsidR="00097410">
          <w:rPr>
            <w:webHidden/>
          </w:rPr>
          <w:t>11</w:t>
        </w:r>
        <w:r w:rsidR="009E0702">
          <w:rPr>
            <w:webHidden/>
          </w:rPr>
          <w:fldChar w:fldCharType="end"/>
        </w:r>
      </w:hyperlink>
    </w:p>
    <w:p w14:paraId="74BA8B33" w14:textId="56FBC99D"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6" w:history="1">
        <w:r w:rsidR="009E0702" w:rsidRPr="009D240A">
          <w:rPr>
            <w:rStyle w:val="Hipervnculo"/>
            <w:rFonts w:cs="Arial"/>
            <w:bCs/>
          </w:rPr>
          <w:t>7.</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ANÁLISIS DE IMPACTO</w:t>
        </w:r>
        <w:r w:rsidR="009E0702">
          <w:rPr>
            <w:webHidden/>
          </w:rPr>
          <w:tab/>
        </w:r>
        <w:r w:rsidR="009E0702">
          <w:rPr>
            <w:webHidden/>
          </w:rPr>
          <w:fldChar w:fldCharType="begin"/>
        </w:r>
        <w:r w:rsidR="009E0702">
          <w:rPr>
            <w:webHidden/>
          </w:rPr>
          <w:instrText xml:space="preserve"> PAGEREF _Toc153295516 \h </w:instrText>
        </w:r>
        <w:r w:rsidR="009E0702">
          <w:rPr>
            <w:webHidden/>
          </w:rPr>
        </w:r>
        <w:r w:rsidR="009E0702">
          <w:rPr>
            <w:webHidden/>
          </w:rPr>
          <w:fldChar w:fldCharType="separate"/>
        </w:r>
        <w:r w:rsidR="00097410">
          <w:rPr>
            <w:webHidden/>
          </w:rPr>
          <w:t>12</w:t>
        </w:r>
        <w:r w:rsidR="009E0702">
          <w:rPr>
            <w:webHidden/>
          </w:rPr>
          <w:fldChar w:fldCharType="end"/>
        </w:r>
      </w:hyperlink>
    </w:p>
    <w:p w14:paraId="337B1A5D" w14:textId="4E5DA4B7" w:rsidR="009E0702" w:rsidRDefault="007367B5">
      <w:pPr>
        <w:pStyle w:val="TDC1"/>
        <w:rPr>
          <w:rFonts w:asciiTheme="minorHAnsi" w:eastAsiaTheme="minorEastAsia" w:hAnsiTheme="minorHAnsi" w:cstheme="minorBidi"/>
          <w:smallCaps w:val="0"/>
          <w:kern w:val="2"/>
          <w:sz w:val="22"/>
          <w:szCs w:val="22"/>
          <w:lang w:val="es-CO" w:eastAsia="es-CO"/>
          <w14:ligatures w14:val="standardContextual"/>
        </w:rPr>
      </w:pPr>
      <w:hyperlink w:anchor="_Toc153295517" w:history="1">
        <w:r w:rsidR="009E0702" w:rsidRPr="009D240A">
          <w:rPr>
            <w:rStyle w:val="Hipervnculo"/>
            <w:rFonts w:cs="Arial"/>
            <w:bCs/>
          </w:rPr>
          <w:t>8.</w:t>
        </w:r>
        <w:r w:rsidR="009E0702">
          <w:rPr>
            <w:rFonts w:asciiTheme="minorHAnsi" w:eastAsiaTheme="minorEastAsia" w:hAnsiTheme="minorHAnsi" w:cstheme="minorBidi"/>
            <w:smallCaps w:val="0"/>
            <w:kern w:val="2"/>
            <w:sz w:val="22"/>
            <w:szCs w:val="22"/>
            <w:lang w:val="es-CO" w:eastAsia="es-CO"/>
            <w14:ligatures w14:val="standardContextual"/>
          </w:rPr>
          <w:tab/>
        </w:r>
        <w:r w:rsidR="009E0702" w:rsidRPr="009D240A">
          <w:rPr>
            <w:rStyle w:val="Hipervnculo"/>
          </w:rPr>
          <w:t>ÍNDICE DE SEGUIMIENTO</w:t>
        </w:r>
        <w:r w:rsidR="009E0702">
          <w:rPr>
            <w:webHidden/>
          </w:rPr>
          <w:tab/>
        </w:r>
        <w:r w:rsidR="009E0702">
          <w:rPr>
            <w:webHidden/>
          </w:rPr>
          <w:fldChar w:fldCharType="begin"/>
        </w:r>
        <w:r w:rsidR="009E0702">
          <w:rPr>
            <w:webHidden/>
          </w:rPr>
          <w:instrText xml:space="preserve"> PAGEREF _Toc153295517 \h </w:instrText>
        </w:r>
        <w:r w:rsidR="009E0702">
          <w:rPr>
            <w:webHidden/>
          </w:rPr>
        </w:r>
        <w:r w:rsidR="009E0702">
          <w:rPr>
            <w:webHidden/>
          </w:rPr>
          <w:fldChar w:fldCharType="separate"/>
        </w:r>
        <w:r w:rsidR="00097410">
          <w:rPr>
            <w:webHidden/>
          </w:rPr>
          <w:t>12</w:t>
        </w:r>
        <w:r w:rsidR="009E0702">
          <w:rPr>
            <w:webHidden/>
          </w:rPr>
          <w:fldChar w:fldCharType="end"/>
        </w:r>
      </w:hyperlink>
    </w:p>
    <w:p w14:paraId="1AF86B8A" w14:textId="14AF3EED" w:rsidR="00346BC3" w:rsidRDefault="00EF1618" w:rsidP="0038050C">
      <w:pPr>
        <w:rPr>
          <w:sz w:val="22"/>
        </w:rPr>
      </w:pPr>
      <w:r>
        <w:rPr>
          <w:sz w:val="22"/>
        </w:rPr>
        <w:fldChar w:fldCharType="end"/>
      </w:r>
    </w:p>
    <w:p w14:paraId="169B1B87" w14:textId="5D3A45E0" w:rsidR="00EF1618" w:rsidRDefault="00EF1618" w:rsidP="0038050C">
      <w:pPr>
        <w:rPr>
          <w:sz w:val="22"/>
        </w:rPr>
      </w:pPr>
      <w:r>
        <w:rPr>
          <w:sz w:val="22"/>
        </w:rPr>
        <w:br w:type="page"/>
      </w:r>
    </w:p>
    <w:p w14:paraId="7F3CBB2F" w14:textId="4364C2DC" w:rsidR="00E7209B" w:rsidRDefault="00AD6C24" w:rsidP="00E7209B">
      <w:pPr>
        <w:pStyle w:val="Ttulo"/>
      </w:pPr>
      <w:r w:rsidRPr="00AD6C24">
        <w:lastRenderedPageBreak/>
        <w:t>ACTUALIZACIÓN DE DISPOSICIONES RESPECTO DEL NPV Y NEP DE QUE TRATA LA RESOLUCIÓN CREG 036 DE 2010</w:t>
      </w:r>
    </w:p>
    <w:p w14:paraId="57E6054A" w14:textId="78F7C585" w:rsidR="00E7209B" w:rsidRDefault="00E7209B" w:rsidP="00E7209B">
      <w:pPr>
        <w:pStyle w:val="Ttulo"/>
      </w:pPr>
      <w:r>
        <w:t xml:space="preserve"> </w:t>
      </w:r>
    </w:p>
    <w:p w14:paraId="2E65D49B" w14:textId="77777777" w:rsidR="00E7209B" w:rsidRDefault="00E7209B" w:rsidP="00E7209B"/>
    <w:p w14:paraId="139A074B" w14:textId="2FF0CE7E" w:rsidR="00E7209B" w:rsidRDefault="00E7209B" w:rsidP="00E7209B">
      <w:pPr>
        <w:pStyle w:val="Ttulo1"/>
        <w:numPr>
          <w:ilvl w:val="0"/>
          <w:numId w:val="14"/>
        </w:numPr>
        <w:spacing w:after="0"/>
        <w:ind w:left="431" w:hanging="431"/>
        <w:rPr>
          <w:sz w:val="22"/>
        </w:rPr>
      </w:pPr>
      <w:bookmarkStart w:id="2" w:name="_Toc41901972"/>
      <w:bookmarkStart w:id="3" w:name="_Toc506979468"/>
      <w:bookmarkStart w:id="4" w:name="_Toc494863466"/>
      <w:bookmarkStart w:id="5" w:name="_Toc153295200"/>
      <w:bookmarkStart w:id="6" w:name="_Toc153295268"/>
      <w:bookmarkStart w:id="7" w:name="_Toc153295508"/>
      <w:r>
        <w:rPr>
          <w:sz w:val="22"/>
        </w:rPr>
        <w:t>ANTECEDENTES</w:t>
      </w:r>
      <w:bookmarkEnd w:id="2"/>
      <w:bookmarkEnd w:id="3"/>
      <w:bookmarkEnd w:id="4"/>
      <w:r>
        <w:rPr>
          <w:sz w:val="22"/>
        </w:rPr>
        <w:t xml:space="preserve"> </w:t>
      </w:r>
      <w:r w:rsidR="00AD6C24">
        <w:rPr>
          <w:sz w:val="22"/>
        </w:rPr>
        <w:t>E INFORMACIÓN GENERAL</w:t>
      </w:r>
      <w:bookmarkEnd w:id="5"/>
      <w:bookmarkEnd w:id="6"/>
      <w:bookmarkEnd w:id="7"/>
      <w:r w:rsidR="00AD6C24">
        <w:rPr>
          <w:sz w:val="22"/>
        </w:rPr>
        <w:t xml:space="preserve"> </w:t>
      </w:r>
    </w:p>
    <w:p w14:paraId="17167894" w14:textId="77777777" w:rsidR="00E7209B" w:rsidRDefault="00E7209B" w:rsidP="00E7209B">
      <w:pPr>
        <w:rPr>
          <w:sz w:val="22"/>
        </w:rPr>
      </w:pPr>
    </w:p>
    <w:p w14:paraId="12B6C9A0" w14:textId="0918183E" w:rsidR="00AD6C24" w:rsidRPr="008E23EC" w:rsidRDefault="00AD6C24" w:rsidP="00AD6C24">
      <w:pPr>
        <w:rPr>
          <w:sz w:val="22"/>
          <w:szCs w:val="22"/>
        </w:rPr>
      </w:pPr>
      <w:r w:rsidRPr="008E23EC">
        <w:rPr>
          <w:sz w:val="22"/>
          <w:szCs w:val="22"/>
        </w:rPr>
        <w:t xml:space="preserve">La Resolución CREG 024 de 1995 reglamenta los aspectos comerciales del mercado mayorista de energía en el </w:t>
      </w:r>
      <w:r w:rsidR="00790565">
        <w:rPr>
          <w:sz w:val="22"/>
          <w:szCs w:val="22"/>
        </w:rPr>
        <w:t>S</w:t>
      </w:r>
      <w:r w:rsidRPr="008E23EC">
        <w:rPr>
          <w:sz w:val="22"/>
          <w:szCs w:val="22"/>
        </w:rPr>
        <w:t xml:space="preserve">istema </w:t>
      </w:r>
      <w:r w:rsidR="00790565">
        <w:rPr>
          <w:sz w:val="22"/>
          <w:szCs w:val="22"/>
        </w:rPr>
        <w:t>I</w:t>
      </w:r>
      <w:r w:rsidRPr="008E23EC">
        <w:rPr>
          <w:sz w:val="22"/>
          <w:szCs w:val="22"/>
        </w:rPr>
        <w:t xml:space="preserve">nterconectado </w:t>
      </w:r>
      <w:r w:rsidR="00790565">
        <w:rPr>
          <w:sz w:val="22"/>
          <w:szCs w:val="22"/>
        </w:rPr>
        <w:t>N</w:t>
      </w:r>
      <w:r w:rsidRPr="008E23EC">
        <w:rPr>
          <w:sz w:val="22"/>
          <w:szCs w:val="22"/>
        </w:rPr>
        <w:t>acional</w:t>
      </w:r>
      <w:r w:rsidR="00790565">
        <w:rPr>
          <w:sz w:val="22"/>
          <w:szCs w:val="22"/>
        </w:rPr>
        <w:t xml:space="preserve"> (SIN)</w:t>
      </w:r>
      <w:r w:rsidRPr="008E23EC">
        <w:rPr>
          <w:sz w:val="22"/>
          <w:szCs w:val="22"/>
        </w:rPr>
        <w:t>, que hacen parte del Reglamento de Operación.</w:t>
      </w:r>
    </w:p>
    <w:p w14:paraId="0961C064" w14:textId="77777777" w:rsidR="00AD6C24" w:rsidRDefault="00AD6C24" w:rsidP="00AD6C24">
      <w:pPr>
        <w:rPr>
          <w:sz w:val="22"/>
          <w:szCs w:val="22"/>
        </w:rPr>
      </w:pPr>
    </w:p>
    <w:p w14:paraId="061E77D3" w14:textId="064D5305" w:rsidR="00AD6C24" w:rsidRDefault="00AD6C24" w:rsidP="00AD6C24">
      <w:pPr>
        <w:rPr>
          <w:sz w:val="22"/>
          <w:szCs w:val="22"/>
        </w:rPr>
      </w:pPr>
      <w:r w:rsidRPr="008E23EC">
        <w:rPr>
          <w:sz w:val="22"/>
          <w:szCs w:val="22"/>
        </w:rPr>
        <w:t>La Resolución CREG 025 de 1995 estableció el Código de Redes, como parte del Reglamento de Operación del</w:t>
      </w:r>
      <w:r w:rsidR="00B363CA">
        <w:rPr>
          <w:sz w:val="22"/>
          <w:szCs w:val="22"/>
        </w:rPr>
        <w:t xml:space="preserve"> SIN</w:t>
      </w:r>
      <w:r w:rsidRPr="008E23EC">
        <w:rPr>
          <w:sz w:val="22"/>
          <w:szCs w:val="22"/>
        </w:rPr>
        <w:t>, que contiene los reglamentos de Código de Planeamiento, Código de Conexión, Código de Medida y Código de Operación.</w:t>
      </w:r>
    </w:p>
    <w:p w14:paraId="59E795AB" w14:textId="77777777" w:rsidR="00AD6C24" w:rsidRPr="008E23EC" w:rsidRDefault="00AD6C24" w:rsidP="00AD6C24">
      <w:pPr>
        <w:rPr>
          <w:sz w:val="22"/>
          <w:szCs w:val="22"/>
        </w:rPr>
      </w:pPr>
    </w:p>
    <w:p w14:paraId="2465ADEB" w14:textId="77777777" w:rsidR="00AD6C24" w:rsidRDefault="00AD6C24" w:rsidP="00AD6C24">
      <w:pPr>
        <w:rPr>
          <w:sz w:val="22"/>
          <w:szCs w:val="22"/>
        </w:rPr>
      </w:pPr>
      <w:r w:rsidRPr="008E23EC">
        <w:rPr>
          <w:sz w:val="22"/>
          <w:szCs w:val="22"/>
        </w:rPr>
        <w:t>El numeral 6.2 del Anexo Código de Operación de la Resolución CREG 025 de 1995 estableció las condiciones, oportunidad y tipo de datos hidrológicos que deben declarar las empresas de generación propietarias de plantas hidráulicas para la operación del SIN, entre ellos el nivel de embalse.</w:t>
      </w:r>
    </w:p>
    <w:p w14:paraId="6BCDE051" w14:textId="77777777" w:rsidR="00AD6C24" w:rsidRPr="008E23EC" w:rsidRDefault="00AD6C24" w:rsidP="00AD6C24">
      <w:pPr>
        <w:rPr>
          <w:sz w:val="22"/>
          <w:szCs w:val="22"/>
        </w:rPr>
      </w:pPr>
    </w:p>
    <w:p w14:paraId="54237C5C" w14:textId="6B1FC70D" w:rsidR="00AD6C24" w:rsidRDefault="00AD6C24" w:rsidP="00AD6C24">
      <w:pPr>
        <w:rPr>
          <w:sz w:val="22"/>
          <w:szCs w:val="22"/>
        </w:rPr>
      </w:pPr>
      <w:r>
        <w:rPr>
          <w:sz w:val="22"/>
          <w:szCs w:val="22"/>
        </w:rPr>
        <w:t>E</w:t>
      </w:r>
      <w:r w:rsidRPr="008E23EC">
        <w:rPr>
          <w:sz w:val="22"/>
          <w:szCs w:val="22"/>
        </w:rPr>
        <w:t>l numeral 3.1 del Anexo Código de Operación de la Resolución CREG 025 de 1995, modificado por el artículo 1 de la Resolución 101-28 de 2022, estableció las condiciones en que se declara la oferta de precios para el Despacho Económico Horario.</w:t>
      </w:r>
    </w:p>
    <w:p w14:paraId="7066B5DA" w14:textId="77777777" w:rsidR="00AD6C24" w:rsidRPr="008E23EC" w:rsidRDefault="00AD6C24" w:rsidP="00AD6C24">
      <w:pPr>
        <w:rPr>
          <w:sz w:val="22"/>
          <w:szCs w:val="22"/>
        </w:rPr>
      </w:pPr>
    </w:p>
    <w:p w14:paraId="2F5B63A2" w14:textId="77777777" w:rsidR="00AD6C24" w:rsidRDefault="00AD6C24" w:rsidP="00AD6C24">
      <w:pPr>
        <w:rPr>
          <w:sz w:val="22"/>
          <w:szCs w:val="22"/>
        </w:rPr>
      </w:pPr>
      <w:r w:rsidRPr="008E23EC">
        <w:rPr>
          <w:sz w:val="22"/>
          <w:szCs w:val="22"/>
        </w:rPr>
        <w:t>La Resolución CREG 036 de 2010 incluye entre sus reglas, la definición de la variable Nivel de Probabilidad de Vertimiento - NPV, entendido este como el nivel a partir del cual el embalse entra en riesgo de verter, según los análisis del agente generador con plantas hidráulicas despachadas centralmente.</w:t>
      </w:r>
    </w:p>
    <w:p w14:paraId="600A0602" w14:textId="77777777" w:rsidR="00AD6C24" w:rsidRPr="008E23EC" w:rsidRDefault="00AD6C24" w:rsidP="00AD6C24">
      <w:pPr>
        <w:rPr>
          <w:sz w:val="22"/>
          <w:szCs w:val="22"/>
        </w:rPr>
      </w:pPr>
    </w:p>
    <w:p w14:paraId="7B95517D" w14:textId="32CFFA31" w:rsidR="00AD6C24" w:rsidRDefault="00AD6C24" w:rsidP="00AD6C24">
      <w:pPr>
        <w:rPr>
          <w:sz w:val="22"/>
          <w:szCs w:val="22"/>
        </w:rPr>
      </w:pPr>
      <w:r>
        <w:rPr>
          <w:sz w:val="22"/>
          <w:szCs w:val="22"/>
        </w:rPr>
        <w:t>L</w:t>
      </w:r>
      <w:r w:rsidRPr="008E23EC">
        <w:rPr>
          <w:sz w:val="22"/>
          <w:szCs w:val="22"/>
        </w:rPr>
        <w:t>a Resolución CREG 036 de 2010 incluye entre sus reglas, la definición de la metodología de cálculo y reglas de declaración del Nivel de ENFICC probabilístico – NEP, entendido este como el valor del embalse que es suficiente para generar la ENFICC Base de la planta aún en la condición más crítica de aportes históricos.</w:t>
      </w:r>
    </w:p>
    <w:p w14:paraId="2A6435A7" w14:textId="77777777" w:rsidR="00AD6C24" w:rsidRDefault="00AD6C24" w:rsidP="00AD6C24">
      <w:pPr>
        <w:rPr>
          <w:sz w:val="22"/>
          <w:szCs w:val="22"/>
        </w:rPr>
      </w:pPr>
    </w:p>
    <w:p w14:paraId="616B0A47" w14:textId="77777777" w:rsidR="00AD6C24" w:rsidRDefault="00AD6C24" w:rsidP="00AD6C24">
      <w:pPr>
        <w:rPr>
          <w:sz w:val="22"/>
          <w:szCs w:val="22"/>
        </w:rPr>
      </w:pPr>
      <w:r>
        <w:rPr>
          <w:sz w:val="22"/>
          <w:szCs w:val="22"/>
        </w:rPr>
        <w:t>La metodología de cálculo del NEP se encuentra contenida en la Circulares CREG 18, 20 y 21 de 2010:</w:t>
      </w:r>
    </w:p>
    <w:p w14:paraId="627631FD" w14:textId="77777777" w:rsidR="00AD6C24" w:rsidRDefault="00AD6C24" w:rsidP="00AD6C24">
      <w:pPr>
        <w:rPr>
          <w:sz w:val="22"/>
          <w:szCs w:val="22"/>
        </w:rPr>
      </w:pPr>
    </w:p>
    <w:p w14:paraId="6B689BD6" w14:textId="12CDB4DF" w:rsidR="00AD6C24" w:rsidRDefault="007367B5" w:rsidP="00AD6C24">
      <w:pPr>
        <w:rPr>
          <w:sz w:val="22"/>
          <w:szCs w:val="22"/>
        </w:rPr>
      </w:pPr>
      <w:hyperlink r:id="rId9" w:history="1">
        <w:r w:rsidR="00AD6C24" w:rsidRPr="00ED1CE9">
          <w:rPr>
            <w:rStyle w:val="Hipervnculo"/>
            <w:sz w:val="22"/>
            <w:szCs w:val="22"/>
          </w:rPr>
          <w:t>https://gestornormativo.creg.gov.co/gestor/entorno/docs/circular_creg_0018_2010.htm</w:t>
        </w:r>
      </w:hyperlink>
      <w:r w:rsidR="00AD6C24">
        <w:rPr>
          <w:sz w:val="22"/>
          <w:szCs w:val="22"/>
        </w:rPr>
        <w:t xml:space="preserve"> </w:t>
      </w:r>
    </w:p>
    <w:p w14:paraId="272F5449" w14:textId="77777777" w:rsidR="00AD6C24" w:rsidRDefault="00AD6C24" w:rsidP="00AD6C24">
      <w:pPr>
        <w:rPr>
          <w:sz w:val="22"/>
          <w:szCs w:val="22"/>
        </w:rPr>
      </w:pPr>
    </w:p>
    <w:p w14:paraId="5DC12B97" w14:textId="4355A914" w:rsidR="00AD6C24" w:rsidRDefault="007367B5" w:rsidP="00AD6C24">
      <w:pPr>
        <w:rPr>
          <w:sz w:val="22"/>
          <w:szCs w:val="22"/>
        </w:rPr>
      </w:pPr>
      <w:hyperlink r:id="rId10" w:history="1">
        <w:r w:rsidR="00AD6C24" w:rsidRPr="00ED1CE9">
          <w:rPr>
            <w:rStyle w:val="Hipervnculo"/>
            <w:sz w:val="22"/>
            <w:szCs w:val="22"/>
          </w:rPr>
          <w:t>https://gestornormativo.creg.gov.co/gestor/entorno/docs/circular_creg_0020_2010.htm</w:t>
        </w:r>
      </w:hyperlink>
    </w:p>
    <w:p w14:paraId="56B22D1A" w14:textId="77777777" w:rsidR="00AD6C24" w:rsidRDefault="00AD6C24" w:rsidP="00AD6C24">
      <w:pPr>
        <w:rPr>
          <w:sz w:val="22"/>
          <w:szCs w:val="22"/>
        </w:rPr>
      </w:pPr>
    </w:p>
    <w:p w14:paraId="0C7911D8" w14:textId="7D76DED2" w:rsidR="00AD6C24" w:rsidRDefault="007367B5" w:rsidP="00AD6C24">
      <w:pPr>
        <w:rPr>
          <w:sz w:val="22"/>
          <w:szCs w:val="22"/>
        </w:rPr>
      </w:pPr>
      <w:hyperlink r:id="rId11" w:history="1">
        <w:r w:rsidR="00AD6C24" w:rsidRPr="00ED1CE9">
          <w:rPr>
            <w:rStyle w:val="Hipervnculo"/>
            <w:sz w:val="22"/>
            <w:szCs w:val="22"/>
          </w:rPr>
          <w:t>https://gestornormativo.creg.gov.co/gestor/entorno/docs/circular_creg_0021_2010.htm</w:t>
        </w:r>
      </w:hyperlink>
      <w:r w:rsidR="00AD6C24">
        <w:rPr>
          <w:sz w:val="22"/>
          <w:szCs w:val="22"/>
        </w:rPr>
        <w:t xml:space="preserve"> </w:t>
      </w:r>
    </w:p>
    <w:p w14:paraId="1BAE4551" w14:textId="77777777" w:rsidR="00AD6C24" w:rsidRDefault="00AD6C24" w:rsidP="00AD6C24">
      <w:pPr>
        <w:rPr>
          <w:sz w:val="22"/>
          <w:szCs w:val="22"/>
        </w:rPr>
      </w:pPr>
    </w:p>
    <w:p w14:paraId="07A5F099" w14:textId="77777777" w:rsidR="00AD6C24" w:rsidRDefault="00AD6C24" w:rsidP="00AD6C24">
      <w:pPr>
        <w:rPr>
          <w:sz w:val="22"/>
          <w:szCs w:val="22"/>
        </w:rPr>
      </w:pPr>
      <w:r>
        <w:rPr>
          <w:sz w:val="22"/>
          <w:szCs w:val="22"/>
        </w:rPr>
        <w:t>En resumen, la relación entre el NEP y NPV se puede representar en la siguiente figura:</w:t>
      </w:r>
    </w:p>
    <w:p w14:paraId="040BCB98" w14:textId="77777777" w:rsidR="00AD6C24" w:rsidRDefault="00AD6C24" w:rsidP="00AD6C24">
      <w:pPr>
        <w:rPr>
          <w:sz w:val="22"/>
          <w:szCs w:val="22"/>
        </w:rPr>
      </w:pPr>
    </w:p>
    <w:p w14:paraId="538E2790" w14:textId="77777777" w:rsidR="00AD6C24" w:rsidRDefault="00AD6C24" w:rsidP="00AD6C24">
      <w:pPr>
        <w:jc w:val="center"/>
        <w:rPr>
          <w:sz w:val="22"/>
          <w:szCs w:val="22"/>
        </w:rPr>
      </w:pPr>
      <w:r>
        <w:rPr>
          <w:noProof/>
          <w:sz w:val="22"/>
          <w:szCs w:val="22"/>
        </w:rPr>
        <w:lastRenderedPageBreak/>
        <w:drawing>
          <wp:inline distT="0" distB="0" distL="0" distR="0" wp14:anchorId="3C37867F" wp14:editId="663DB38D">
            <wp:extent cx="5415915" cy="2636027"/>
            <wp:effectExtent l="0" t="0" r="0" b="0"/>
            <wp:docPr id="616548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6645" cy="2641249"/>
                    </a:xfrm>
                    <a:prstGeom prst="rect">
                      <a:avLst/>
                    </a:prstGeom>
                    <a:noFill/>
                  </pic:spPr>
                </pic:pic>
              </a:graphicData>
            </a:graphic>
          </wp:inline>
        </w:drawing>
      </w:r>
    </w:p>
    <w:p w14:paraId="0F9092A3" w14:textId="77777777" w:rsidR="00AD6C24" w:rsidRDefault="00AD6C24" w:rsidP="00AD6C24">
      <w:pPr>
        <w:jc w:val="center"/>
        <w:rPr>
          <w:sz w:val="22"/>
          <w:szCs w:val="22"/>
        </w:rPr>
      </w:pPr>
    </w:p>
    <w:p w14:paraId="38562A18" w14:textId="79A36C6C" w:rsidR="00AD6C24" w:rsidRDefault="00AD6C24" w:rsidP="00AD6C24">
      <w:pPr>
        <w:pStyle w:val="Descripcin"/>
        <w:jc w:val="center"/>
        <w:rPr>
          <w:sz w:val="22"/>
          <w:szCs w:val="22"/>
        </w:rPr>
      </w:pPr>
      <w:bookmarkStart w:id="8" w:name="_Toc153295279"/>
      <w:r>
        <w:t xml:space="preserve">Ilustración </w:t>
      </w:r>
      <w:r>
        <w:fldChar w:fldCharType="begin"/>
      </w:r>
      <w:r>
        <w:instrText xml:space="preserve"> SEQ Ilustración \* ARABIC </w:instrText>
      </w:r>
      <w:r>
        <w:fldChar w:fldCharType="separate"/>
      </w:r>
      <w:r w:rsidR="009E0702">
        <w:rPr>
          <w:noProof/>
        </w:rPr>
        <w:t>1</w:t>
      </w:r>
      <w:r>
        <w:fldChar w:fldCharType="end"/>
      </w:r>
      <w:r>
        <w:t xml:space="preserve"> Relación entre NEP y NPV – Resolución CREG 036 de 2010</w:t>
      </w:r>
      <w:bookmarkEnd w:id="8"/>
    </w:p>
    <w:p w14:paraId="5C999B01" w14:textId="77777777" w:rsidR="00AD6C24" w:rsidRPr="008E23EC" w:rsidRDefault="00AD6C24" w:rsidP="00AD6C24">
      <w:pPr>
        <w:rPr>
          <w:sz w:val="22"/>
          <w:szCs w:val="22"/>
        </w:rPr>
      </w:pPr>
    </w:p>
    <w:p w14:paraId="0BDC6FBA" w14:textId="77777777" w:rsidR="00AD6C24" w:rsidRDefault="00AD6C24" w:rsidP="00AD6C24">
      <w:pPr>
        <w:rPr>
          <w:sz w:val="22"/>
          <w:szCs w:val="22"/>
        </w:rPr>
      </w:pPr>
      <w:r w:rsidRPr="008E23EC">
        <w:rPr>
          <w:sz w:val="22"/>
          <w:szCs w:val="22"/>
        </w:rPr>
        <w:t>Por su parte, en el Proyecto de Resolución CREG 701 016 de 2023 se publicó una propuesta para actualizar el valor del NPV</w:t>
      </w:r>
      <w:r>
        <w:rPr>
          <w:sz w:val="22"/>
          <w:szCs w:val="22"/>
        </w:rPr>
        <w:t>, con las siguientes disposiciones:</w:t>
      </w:r>
    </w:p>
    <w:p w14:paraId="22B6D770" w14:textId="77777777" w:rsidR="00AD6C24" w:rsidRDefault="00AD6C24" w:rsidP="00AD6C24">
      <w:pPr>
        <w:rPr>
          <w:sz w:val="22"/>
          <w:szCs w:val="22"/>
        </w:rPr>
      </w:pPr>
    </w:p>
    <w:p w14:paraId="5B73A540" w14:textId="77777777" w:rsidR="00AD6C24" w:rsidRPr="00BE5DF0" w:rsidRDefault="00AD6C24" w:rsidP="00AD6C24">
      <w:pPr>
        <w:ind w:left="708"/>
        <w:rPr>
          <w:i/>
          <w:iCs/>
          <w:sz w:val="20"/>
        </w:rPr>
      </w:pPr>
      <w:r w:rsidRPr="00BE5DF0">
        <w:rPr>
          <w:i/>
          <w:iCs/>
          <w:sz w:val="20"/>
        </w:rPr>
        <w:t xml:space="preserve">(…) Artículo 9. Plazo de declaración del Nivel de Probabilidad de Vertimiento – NPV. Los agentes generadores con plantas hidráulicas despachadas centralmente deberán actualizar al CND el Nivel de Probabilidad de Vertimiento – NPV de que trata el artículo 2 de la Resolución CREG 036 de 2010 con base en los mismos lineamientos de que tratan los literales b), c) y d) del citado artículo. El reporte deberá hacerse al CND a más tardar dentro de los cinco (5) días hábiles siguientes a la </w:t>
      </w:r>
      <w:proofErr w:type="gramStart"/>
      <w:r w:rsidRPr="00BE5DF0">
        <w:rPr>
          <w:i/>
          <w:iCs/>
          <w:sz w:val="20"/>
        </w:rPr>
        <w:t>entrada en vigencia</w:t>
      </w:r>
      <w:proofErr w:type="gramEnd"/>
      <w:r w:rsidRPr="00BE5DF0">
        <w:rPr>
          <w:i/>
          <w:iCs/>
          <w:sz w:val="20"/>
        </w:rPr>
        <w:t xml:space="preserve"> de la presente resolución.</w:t>
      </w:r>
    </w:p>
    <w:p w14:paraId="7E975F9D" w14:textId="77777777" w:rsidR="00AD6C24" w:rsidRPr="00BE5DF0" w:rsidRDefault="00AD6C24" w:rsidP="00AD6C24">
      <w:pPr>
        <w:ind w:left="708"/>
        <w:rPr>
          <w:i/>
          <w:iCs/>
          <w:sz w:val="20"/>
        </w:rPr>
      </w:pPr>
    </w:p>
    <w:p w14:paraId="103C024C" w14:textId="77777777" w:rsidR="00AD6C24" w:rsidRPr="00BE5DF0" w:rsidRDefault="00AD6C24" w:rsidP="00AD6C24">
      <w:pPr>
        <w:ind w:left="708"/>
        <w:rPr>
          <w:i/>
          <w:iCs/>
          <w:sz w:val="20"/>
        </w:rPr>
      </w:pPr>
      <w:r w:rsidRPr="00BE5DF0">
        <w:rPr>
          <w:i/>
          <w:iCs/>
          <w:sz w:val="20"/>
        </w:rPr>
        <w:t xml:space="preserve">Parágrafo. El </w:t>
      </w:r>
      <w:proofErr w:type="gramStart"/>
      <w:r w:rsidRPr="00BE5DF0">
        <w:rPr>
          <w:i/>
          <w:iCs/>
          <w:sz w:val="20"/>
        </w:rPr>
        <w:t>Director Ejecutivo</w:t>
      </w:r>
      <w:proofErr w:type="gramEnd"/>
      <w:r w:rsidRPr="00BE5DF0">
        <w:rPr>
          <w:i/>
          <w:iCs/>
          <w:sz w:val="20"/>
        </w:rPr>
        <w:t xml:space="preserve"> previa autorización del Comité de Expertos, publicará mediante Circular CREG los criterios generales que debe cumplir la metodología de cálculo del NPV.</w:t>
      </w:r>
    </w:p>
    <w:p w14:paraId="6930E59D" w14:textId="77777777" w:rsidR="00AD6C24" w:rsidRPr="00BE5DF0" w:rsidRDefault="00AD6C24" w:rsidP="00AD6C24">
      <w:pPr>
        <w:ind w:left="708"/>
        <w:rPr>
          <w:i/>
          <w:iCs/>
          <w:sz w:val="20"/>
        </w:rPr>
      </w:pPr>
    </w:p>
    <w:p w14:paraId="13E5A73B" w14:textId="77777777" w:rsidR="00AD6C24" w:rsidRPr="00BE5DF0" w:rsidRDefault="00AD6C24" w:rsidP="00AD6C24">
      <w:pPr>
        <w:ind w:left="708"/>
        <w:rPr>
          <w:i/>
          <w:iCs/>
          <w:sz w:val="20"/>
        </w:rPr>
      </w:pPr>
      <w:r w:rsidRPr="00BE5DF0">
        <w:rPr>
          <w:i/>
          <w:iCs/>
          <w:sz w:val="20"/>
        </w:rPr>
        <w:t>En todo caso, la metodología es responsabilidad del agente y deberá ser enviada a la SSPD cuando esta lo requiera para lo de su competencia (…)</w:t>
      </w:r>
    </w:p>
    <w:p w14:paraId="6C4D4B30" w14:textId="77777777" w:rsidR="00AD6C24" w:rsidRDefault="00AD6C24" w:rsidP="00AD6C24">
      <w:pPr>
        <w:rPr>
          <w:i/>
          <w:iCs/>
          <w:sz w:val="22"/>
          <w:szCs w:val="22"/>
        </w:rPr>
      </w:pPr>
    </w:p>
    <w:p w14:paraId="6C4A5896" w14:textId="720D8D9A" w:rsidR="00AD6C24" w:rsidRDefault="00AD6C24" w:rsidP="00AD6C24">
      <w:pPr>
        <w:rPr>
          <w:sz w:val="22"/>
          <w:szCs w:val="22"/>
        </w:rPr>
      </w:pPr>
      <w:r>
        <w:rPr>
          <w:sz w:val="22"/>
          <w:szCs w:val="22"/>
        </w:rPr>
        <w:t>En</w:t>
      </w:r>
      <w:r w:rsidR="005C023F">
        <w:rPr>
          <w:sz w:val="22"/>
          <w:szCs w:val="22"/>
        </w:rPr>
        <w:t xml:space="preserve"> complemento,</w:t>
      </w:r>
      <w:r>
        <w:rPr>
          <w:sz w:val="22"/>
          <w:szCs w:val="22"/>
        </w:rPr>
        <w:t xml:space="preserve"> </w:t>
      </w:r>
      <w:r w:rsidR="005C023F">
        <w:rPr>
          <w:sz w:val="22"/>
          <w:szCs w:val="22"/>
        </w:rPr>
        <w:t xml:space="preserve">en </w:t>
      </w:r>
      <w:r>
        <w:rPr>
          <w:sz w:val="22"/>
          <w:szCs w:val="22"/>
        </w:rPr>
        <w:t xml:space="preserve">el Documento soporte </w:t>
      </w:r>
      <w:r w:rsidRPr="0063322A">
        <w:rPr>
          <w:sz w:val="22"/>
          <w:szCs w:val="22"/>
        </w:rPr>
        <w:t>CREG 901 015</w:t>
      </w:r>
      <w:r>
        <w:rPr>
          <w:sz w:val="22"/>
          <w:szCs w:val="22"/>
        </w:rPr>
        <w:t xml:space="preserve"> del Proyecto de Resolución CREG 701 016 de 2023 se explicaron los lineamientos que podrían tenerse adicionales</w:t>
      </w:r>
      <w:r w:rsidR="005C023F">
        <w:rPr>
          <w:sz w:val="22"/>
          <w:szCs w:val="22"/>
        </w:rPr>
        <w:t xml:space="preserve"> para el diseño de la metodología del cálculo del NPV</w:t>
      </w:r>
      <w:r>
        <w:rPr>
          <w:sz w:val="22"/>
          <w:szCs w:val="22"/>
        </w:rPr>
        <w:t>:</w:t>
      </w:r>
    </w:p>
    <w:p w14:paraId="7B355EE9" w14:textId="77777777" w:rsidR="00AD6C24" w:rsidRDefault="00AD6C24" w:rsidP="00AD6C24">
      <w:pPr>
        <w:rPr>
          <w:sz w:val="22"/>
          <w:szCs w:val="22"/>
        </w:rPr>
      </w:pPr>
    </w:p>
    <w:p w14:paraId="49870A8D" w14:textId="77777777" w:rsidR="00AD6C24" w:rsidRPr="00BE5DF0" w:rsidRDefault="00AD6C24" w:rsidP="00AD6C24">
      <w:pPr>
        <w:ind w:left="708"/>
        <w:rPr>
          <w:i/>
          <w:iCs/>
          <w:sz w:val="20"/>
        </w:rPr>
      </w:pPr>
      <w:r w:rsidRPr="00BE5DF0">
        <w:rPr>
          <w:i/>
          <w:iCs/>
          <w:sz w:val="20"/>
        </w:rPr>
        <w:t>(…) c.</w:t>
      </w:r>
      <w:r w:rsidRPr="00BE5DF0">
        <w:rPr>
          <w:i/>
          <w:iCs/>
          <w:sz w:val="20"/>
        </w:rPr>
        <w:tab/>
        <w:t>El NPV debe ser por cada recurso de generación y obedecer a aspectos hidrológicos, ambientales y/o conforme a requisitos técnicos o de características constructivas de la planta o del embalse. También podrá considerar aspectos de mantenimientos y operativos del embalse o la planta.</w:t>
      </w:r>
    </w:p>
    <w:p w14:paraId="5CACB171" w14:textId="77777777" w:rsidR="00AD6C24" w:rsidRPr="00BE5DF0" w:rsidRDefault="00AD6C24" w:rsidP="00AD6C24">
      <w:pPr>
        <w:ind w:left="708"/>
        <w:rPr>
          <w:i/>
          <w:iCs/>
          <w:sz w:val="20"/>
        </w:rPr>
      </w:pPr>
      <w:r w:rsidRPr="00BE5DF0">
        <w:rPr>
          <w:i/>
          <w:iCs/>
          <w:sz w:val="20"/>
        </w:rPr>
        <w:t>d. El NPV debe estar asociado a la regulación del embalse.</w:t>
      </w:r>
    </w:p>
    <w:p w14:paraId="68201D4E" w14:textId="77777777" w:rsidR="00AD6C24" w:rsidRPr="00BE5DF0" w:rsidRDefault="00AD6C24" w:rsidP="00AD6C24">
      <w:pPr>
        <w:ind w:left="708"/>
        <w:rPr>
          <w:i/>
          <w:iCs/>
          <w:sz w:val="20"/>
        </w:rPr>
      </w:pPr>
      <w:r w:rsidRPr="00BE5DF0">
        <w:rPr>
          <w:i/>
          <w:iCs/>
          <w:sz w:val="20"/>
        </w:rPr>
        <w:t>e. El NPV debe tener en cuenta la historia de vertimientos y niveles de embalse declarados al CND para toda la historia de la planta.</w:t>
      </w:r>
    </w:p>
    <w:p w14:paraId="331130B3" w14:textId="77777777" w:rsidR="00AD6C24" w:rsidRPr="00BE5DF0" w:rsidRDefault="00AD6C24" w:rsidP="00AD6C24">
      <w:pPr>
        <w:ind w:left="708"/>
        <w:rPr>
          <w:sz w:val="20"/>
        </w:rPr>
      </w:pPr>
      <w:r w:rsidRPr="00BE5DF0">
        <w:rPr>
          <w:i/>
          <w:iCs/>
          <w:sz w:val="20"/>
        </w:rPr>
        <w:t>f. El NPV debe ser definido como resultado de una metodología matemática que pueda ser replicable. (…)</w:t>
      </w:r>
    </w:p>
    <w:p w14:paraId="35860411" w14:textId="77777777" w:rsidR="00AD6C24" w:rsidRPr="008E23EC" w:rsidRDefault="00AD6C24" w:rsidP="00AD6C24">
      <w:pPr>
        <w:rPr>
          <w:sz w:val="22"/>
          <w:szCs w:val="22"/>
        </w:rPr>
      </w:pPr>
    </w:p>
    <w:p w14:paraId="7156CD20" w14:textId="77777777" w:rsidR="00AD6C24" w:rsidRDefault="00AD6C24" w:rsidP="00AD6C24">
      <w:pPr>
        <w:rPr>
          <w:sz w:val="22"/>
          <w:szCs w:val="22"/>
        </w:rPr>
      </w:pPr>
      <w:r>
        <w:rPr>
          <w:sz w:val="22"/>
          <w:szCs w:val="22"/>
        </w:rPr>
        <w:lastRenderedPageBreak/>
        <w:t>L</w:t>
      </w:r>
      <w:r w:rsidRPr="00824BBF">
        <w:rPr>
          <w:sz w:val="22"/>
          <w:szCs w:val="22"/>
        </w:rPr>
        <w:t>a Comisión también recibió de XM S.A. E.S.P. comentarios y sugerencias de la actualización del NEP, mediante radicado CREG E2023011955, en donde se advierte que pueden presentarse cambios significativos en el NEP de las plantas, esto cuando se comparan los valores declarados y los que sean calculados actualmente; lo anterior debido a la nueva historia hidrológica, cambios en factores de conversión, entre otros cambios que se hayan presentado.</w:t>
      </w:r>
    </w:p>
    <w:p w14:paraId="2A08335F" w14:textId="77777777" w:rsidR="00AD6C24" w:rsidRDefault="00AD6C24" w:rsidP="00AD6C24">
      <w:pPr>
        <w:rPr>
          <w:sz w:val="22"/>
          <w:szCs w:val="22"/>
        </w:rPr>
      </w:pPr>
    </w:p>
    <w:p w14:paraId="17A788F9" w14:textId="77777777" w:rsidR="00AD6C24" w:rsidRDefault="00AD6C24" w:rsidP="00AD6C24">
      <w:pPr>
        <w:rPr>
          <w:sz w:val="22"/>
          <w:szCs w:val="22"/>
        </w:rPr>
      </w:pPr>
      <w:r>
        <w:rPr>
          <w:sz w:val="22"/>
          <w:szCs w:val="22"/>
        </w:rPr>
        <w:t xml:space="preserve">También EPM ESP, mediante comunicado con </w:t>
      </w:r>
      <w:r w:rsidRPr="0092002E">
        <w:rPr>
          <w:sz w:val="22"/>
          <w:szCs w:val="22"/>
        </w:rPr>
        <w:t>radicado CREG E2022008681</w:t>
      </w:r>
      <w:r>
        <w:rPr>
          <w:sz w:val="22"/>
          <w:szCs w:val="22"/>
        </w:rPr>
        <w:t xml:space="preserve">, </w:t>
      </w:r>
      <w:r w:rsidRPr="0092002E">
        <w:rPr>
          <w:sz w:val="22"/>
          <w:szCs w:val="22"/>
        </w:rPr>
        <w:t xml:space="preserve">identifica </w:t>
      </w:r>
      <w:proofErr w:type="gramStart"/>
      <w:r w:rsidRPr="0092002E">
        <w:rPr>
          <w:sz w:val="22"/>
          <w:szCs w:val="22"/>
        </w:rPr>
        <w:t>que</w:t>
      </w:r>
      <w:proofErr w:type="gramEnd"/>
      <w:r w:rsidRPr="0092002E">
        <w:rPr>
          <w:sz w:val="22"/>
          <w:szCs w:val="22"/>
        </w:rPr>
        <w:t xml:space="preserve"> si un embalse incrementa su volumen útil, puede no tener cambios en ENFICC de más del 10%, sin embargo su NEP y NPV pueden verse incrementados en un valor porcentual que no obedece a la realidad operativa del embalse.</w:t>
      </w:r>
    </w:p>
    <w:p w14:paraId="113E7A8C" w14:textId="77777777" w:rsidR="00AD6C24" w:rsidRDefault="00AD6C24" w:rsidP="00AD6C24">
      <w:pPr>
        <w:rPr>
          <w:sz w:val="22"/>
          <w:szCs w:val="22"/>
        </w:rPr>
      </w:pPr>
    </w:p>
    <w:p w14:paraId="24F00848" w14:textId="77777777" w:rsidR="00AD6C24" w:rsidRDefault="00AD6C24" w:rsidP="00AD6C24">
      <w:pPr>
        <w:rPr>
          <w:sz w:val="22"/>
          <w:szCs w:val="22"/>
        </w:rPr>
      </w:pPr>
      <w:r>
        <w:rPr>
          <w:sz w:val="22"/>
          <w:szCs w:val="22"/>
        </w:rPr>
        <w:t>Finalmente, el valor del NEP también se usa en la Resolución CREG 061 de 2007:</w:t>
      </w:r>
    </w:p>
    <w:p w14:paraId="277A6735" w14:textId="77777777" w:rsidR="00AD6C24" w:rsidRDefault="00AD6C24" w:rsidP="00AD6C24">
      <w:pPr>
        <w:rPr>
          <w:sz w:val="22"/>
          <w:szCs w:val="22"/>
        </w:rPr>
      </w:pPr>
    </w:p>
    <w:p w14:paraId="1DD626CF" w14:textId="77777777" w:rsidR="00AD6C24" w:rsidRPr="00AD6C24" w:rsidRDefault="00AD6C24" w:rsidP="00AD6C24">
      <w:pPr>
        <w:ind w:left="708"/>
        <w:rPr>
          <w:i/>
          <w:iCs/>
          <w:sz w:val="20"/>
        </w:rPr>
      </w:pPr>
      <w:r w:rsidRPr="00AD6C24">
        <w:rPr>
          <w:i/>
          <w:iCs/>
          <w:sz w:val="20"/>
        </w:rPr>
        <w:t>(…) CAPITULO VI. GARANTÍA PARA AMPARAR LA ENERGÍA FIRME INCREMENTAL REFERENTE A UNA DECLARACIÓN DE ENERGÍA FIRME SUPERIOR A LA ENFICC BASE, PARA EL CASO DE PLANTAS HIDRÁULICAS (…)</w:t>
      </w:r>
    </w:p>
    <w:p w14:paraId="3B9BA2C6" w14:textId="77777777" w:rsidR="00AD6C24" w:rsidRPr="00AD6C24" w:rsidRDefault="00AD6C24" w:rsidP="00AD6C24">
      <w:pPr>
        <w:ind w:left="708"/>
        <w:rPr>
          <w:sz w:val="20"/>
        </w:rPr>
      </w:pPr>
    </w:p>
    <w:p w14:paraId="5CC05C05" w14:textId="77777777" w:rsidR="00AD6C24" w:rsidRPr="00AD6C24" w:rsidRDefault="00AD6C24" w:rsidP="00AD6C24">
      <w:pPr>
        <w:ind w:left="708"/>
        <w:rPr>
          <w:sz w:val="20"/>
        </w:rPr>
      </w:pPr>
      <w:r w:rsidRPr="00AD6C24">
        <w:rPr>
          <w:sz w:val="20"/>
        </w:rPr>
        <w:t>Artículo modificado por el artículo 5 de la Resolución 137 de 2009:</w:t>
      </w:r>
    </w:p>
    <w:p w14:paraId="5A9720B4" w14:textId="77777777" w:rsidR="00AD6C24" w:rsidRPr="00AD6C24" w:rsidRDefault="00AD6C24" w:rsidP="00AD6C24">
      <w:pPr>
        <w:ind w:left="708"/>
        <w:rPr>
          <w:sz w:val="20"/>
        </w:rPr>
      </w:pPr>
    </w:p>
    <w:p w14:paraId="72CE8104" w14:textId="77777777" w:rsidR="00AD6C24" w:rsidRPr="00AD6C24" w:rsidRDefault="00AD6C24" w:rsidP="00AD6C24">
      <w:pPr>
        <w:ind w:left="708"/>
        <w:rPr>
          <w:i/>
          <w:iCs/>
          <w:sz w:val="20"/>
        </w:rPr>
      </w:pPr>
      <w:r w:rsidRPr="00AD6C24">
        <w:rPr>
          <w:i/>
          <w:iCs/>
          <w:sz w:val="20"/>
        </w:rPr>
        <w:t xml:space="preserve">(…) ARTÍCULO 19. </w:t>
      </w:r>
      <w:proofErr w:type="gramStart"/>
      <w:r w:rsidRPr="00AD6C24">
        <w:rPr>
          <w:i/>
          <w:iCs/>
          <w:sz w:val="20"/>
        </w:rPr>
        <w:t>OBLIGACIONES A GARANTIZAR</w:t>
      </w:r>
      <w:proofErr w:type="gramEnd"/>
      <w:r w:rsidRPr="00AD6C24">
        <w:rPr>
          <w:i/>
          <w:iCs/>
          <w:sz w:val="20"/>
        </w:rPr>
        <w:t>. En los términos del Parágrafo 1 del Artículo 35 de la Resolución CREG 071 de 2006, los Agentes Generadores o las Personas Jurídicas Interesadas que cuenten con plantas hidráulicas, existentes, nuevas o especiales, deberán garantizar la diferencia entre la Obligación de Energía Firme asignada y la ENFICC base anual, obtenida de aplicar el Numeral 3.1 del Anexo 3 de la misma resolución.</w:t>
      </w:r>
    </w:p>
    <w:p w14:paraId="7738584E" w14:textId="77777777" w:rsidR="00AD6C24" w:rsidRPr="00AD6C24" w:rsidRDefault="00AD6C24" w:rsidP="00AD6C24">
      <w:pPr>
        <w:ind w:left="708"/>
        <w:rPr>
          <w:i/>
          <w:iCs/>
          <w:sz w:val="20"/>
        </w:rPr>
      </w:pPr>
    </w:p>
    <w:p w14:paraId="47A0B13B" w14:textId="77777777" w:rsidR="00AD6C24" w:rsidRPr="00AD6C24" w:rsidRDefault="00AD6C24" w:rsidP="00AD6C24">
      <w:pPr>
        <w:ind w:left="708"/>
        <w:rPr>
          <w:i/>
          <w:iCs/>
          <w:sz w:val="20"/>
        </w:rPr>
      </w:pPr>
      <w:r w:rsidRPr="00AD6C24">
        <w:rPr>
          <w:i/>
          <w:iCs/>
          <w:sz w:val="20"/>
        </w:rPr>
        <w:t>Esta obligación se entenderá cumplida cuando durante su vigencia no se haya presentado alguno de los eventos de incumplimiento incluidos en el presente Capítulo y adicionalmente cuando el Agente Generador obtenga del ASIC una certificación en la que conste que el embalse asociado a la planta no fue inferior al Nivel ENFICC Probabilístico, en tres (3) días consecutivos, durante Condiciones Críticas dentro del Período de Vigencia de la Obligación (…)</w:t>
      </w:r>
    </w:p>
    <w:p w14:paraId="7ABBF8E0" w14:textId="77777777" w:rsidR="00AD6C24" w:rsidRDefault="00AD6C24" w:rsidP="00AD6C24">
      <w:pPr>
        <w:ind w:left="708"/>
        <w:rPr>
          <w:sz w:val="22"/>
          <w:szCs w:val="22"/>
        </w:rPr>
      </w:pPr>
    </w:p>
    <w:p w14:paraId="18479E6A" w14:textId="77777777" w:rsidR="00AD6C24" w:rsidRDefault="00AD6C24" w:rsidP="00AD6C24">
      <w:pPr>
        <w:ind w:left="708"/>
        <w:rPr>
          <w:sz w:val="22"/>
          <w:szCs w:val="22"/>
        </w:rPr>
      </w:pPr>
      <w:r w:rsidRPr="00AA2EC3">
        <w:rPr>
          <w:sz w:val="22"/>
          <w:szCs w:val="22"/>
        </w:rPr>
        <w:t>Numeral modificado por el artículo 6 de la Resolución 137 de 2009</w:t>
      </w:r>
      <w:r>
        <w:rPr>
          <w:sz w:val="22"/>
          <w:szCs w:val="22"/>
        </w:rPr>
        <w:t>:</w:t>
      </w:r>
    </w:p>
    <w:p w14:paraId="0E9517DC" w14:textId="77777777" w:rsidR="00AD6C24" w:rsidRDefault="00AD6C24" w:rsidP="00AD6C24">
      <w:pPr>
        <w:ind w:left="708"/>
        <w:rPr>
          <w:sz w:val="22"/>
          <w:szCs w:val="22"/>
        </w:rPr>
      </w:pPr>
    </w:p>
    <w:p w14:paraId="08C1141D" w14:textId="77777777" w:rsidR="00AD6C24" w:rsidRPr="00AD6C24" w:rsidRDefault="00AD6C24" w:rsidP="00AD6C24">
      <w:pPr>
        <w:ind w:left="708"/>
        <w:rPr>
          <w:i/>
          <w:iCs/>
          <w:sz w:val="20"/>
        </w:rPr>
      </w:pPr>
      <w:r w:rsidRPr="00AD6C24">
        <w:rPr>
          <w:i/>
          <w:iCs/>
          <w:sz w:val="20"/>
        </w:rPr>
        <w:t>(…) ARTÍCULO 21. EVENTOS DE INCUMPLIMIENTO. Serán eventos de incumplimiento los siguientes:</w:t>
      </w:r>
    </w:p>
    <w:p w14:paraId="722D510F" w14:textId="77777777" w:rsidR="00AD6C24" w:rsidRPr="00AD6C24" w:rsidRDefault="00AD6C24" w:rsidP="00AD6C24">
      <w:pPr>
        <w:ind w:left="708"/>
        <w:rPr>
          <w:i/>
          <w:iCs/>
          <w:sz w:val="20"/>
        </w:rPr>
      </w:pPr>
    </w:p>
    <w:p w14:paraId="4F8B92F3" w14:textId="77777777" w:rsidR="00AD6C24" w:rsidRPr="00AD6C24" w:rsidRDefault="00AD6C24" w:rsidP="00AD6C24">
      <w:pPr>
        <w:ind w:left="708"/>
        <w:rPr>
          <w:i/>
          <w:iCs/>
          <w:sz w:val="20"/>
        </w:rPr>
      </w:pPr>
      <w:r w:rsidRPr="00AD6C24">
        <w:rPr>
          <w:i/>
          <w:iCs/>
          <w:sz w:val="20"/>
        </w:rPr>
        <w:t>Cuando resulte que el embalse asociado a la planta fue inferior al nivel ENFICC probabilístico, en tres (3) días consecutivos, durante condiciones críticas dentro del período de vigencia de la obligación (…)</w:t>
      </w:r>
    </w:p>
    <w:p w14:paraId="389160B3" w14:textId="77777777" w:rsidR="00AD6C24" w:rsidRPr="00BC07F5" w:rsidRDefault="00AD6C24" w:rsidP="00AD6C24">
      <w:pPr>
        <w:ind w:left="708"/>
        <w:rPr>
          <w:i/>
          <w:iCs/>
          <w:sz w:val="22"/>
          <w:szCs w:val="22"/>
        </w:rPr>
      </w:pPr>
    </w:p>
    <w:p w14:paraId="644CE6B8" w14:textId="77777777" w:rsidR="00E7209B" w:rsidRDefault="00E7209B" w:rsidP="00E7209B">
      <w:pPr>
        <w:rPr>
          <w:sz w:val="22"/>
        </w:rPr>
      </w:pPr>
    </w:p>
    <w:p w14:paraId="753C05B2" w14:textId="03F3C5EC" w:rsidR="00E7209B" w:rsidRDefault="005C023F" w:rsidP="00E7209B">
      <w:pPr>
        <w:pStyle w:val="Ttulo1"/>
        <w:numPr>
          <w:ilvl w:val="0"/>
          <w:numId w:val="14"/>
        </w:numPr>
        <w:spacing w:after="0"/>
        <w:ind w:left="431" w:hanging="431"/>
        <w:rPr>
          <w:sz w:val="22"/>
        </w:rPr>
      </w:pPr>
      <w:bookmarkStart w:id="9" w:name="_Toc153295201"/>
      <w:bookmarkStart w:id="10" w:name="_Toc153295269"/>
      <w:bookmarkStart w:id="11" w:name="_Toc153295509"/>
      <w:r>
        <w:rPr>
          <w:sz w:val="22"/>
        </w:rPr>
        <w:t>DIAGNOSTICO</w:t>
      </w:r>
      <w:bookmarkEnd w:id="9"/>
      <w:bookmarkEnd w:id="10"/>
      <w:bookmarkEnd w:id="11"/>
    </w:p>
    <w:p w14:paraId="1AB36A3D" w14:textId="77777777" w:rsidR="00E7209B" w:rsidRDefault="00E7209B" w:rsidP="00E7209B">
      <w:pPr>
        <w:rPr>
          <w:sz w:val="22"/>
        </w:rPr>
      </w:pPr>
    </w:p>
    <w:p w14:paraId="3343C6B2" w14:textId="4767CB13" w:rsidR="00E7209B" w:rsidRDefault="005C023F" w:rsidP="00E7209B">
      <w:pPr>
        <w:pStyle w:val="Textoindependiente2"/>
        <w:tabs>
          <w:tab w:val="clear" w:pos="0"/>
          <w:tab w:val="left" w:pos="708"/>
        </w:tabs>
        <w:suppressAutoHyphens w:val="0"/>
        <w:rPr>
          <w:bCs/>
          <w:sz w:val="22"/>
        </w:rPr>
      </w:pPr>
      <w:r w:rsidRPr="005C023F">
        <w:rPr>
          <w:bCs/>
          <w:sz w:val="22"/>
        </w:rPr>
        <w:t>A continuación, se presenta el resumen de los comentarios de XM S.A. E.S.P. allegada en los radicados CREG E2023011955 (comentarios de actualización NEP) y E2023016048 (comentarios a Resolución CREG 701 016 de 2023):</w:t>
      </w:r>
    </w:p>
    <w:p w14:paraId="1EF39BF7" w14:textId="77777777" w:rsidR="005C023F" w:rsidRDefault="005C023F" w:rsidP="00E7209B">
      <w:pPr>
        <w:pStyle w:val="Textoindependiente2"/>
        <w:tabs>
          <w:tab w:val="clear" w:pos="0"/>
          <w:tab w:val="left" w:pos="708"/>
        </w:tabs>
        <w:suppressAutoHyphens w:val="0"/>
        <w:rPr>
          <w:bCs/>
          <w:sz w:val="22"/>
        </w:rPr>
      </w:pPr>
    </w:p>
    <w:p w14:paraId="64608EB6" w14:textId="77777777" w:rsidR="005C023F" w:rsidRPr="002706CC" w:rsidRDefault="005C023F" w:rsidP="005C023F">
      <w:pPr>
        <w:rPr>
          <w:sz w:val="22"/>
          <w:szCs w:val="22"/>
          <w:lang w:val="es-CO"/>
        </w:rPr>
      </w:pPr>
      <w:r>
        <w:rPr>
          <w:noProof/>
          <w:sz w:val="22"/>
          <w:szCs w:val="22"/>
          <w:lang w:val="es-CO"/>
        </w:rPr>
        <w:lastRenderedPageBreak/>
        <w:drawing>
          <wp:inline distT="0" distB="0" distL="0" distR="0" wp14:anchorId="04239475" wp14:editId="1C78ED8B">
            <wp:extent cx="5891842" cy="2644900"/>
            <wp:effectExtent l="0" t="0" r="0" b="3175"/>
            <wp:docPr id="12501297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5199" cy="2655385"/>
                    </a:xfrm>
                    <a:prstGeom prst="rect">
                      <a:avLst/>
                    </a:prstGeom>
                    <a:noFill/>
                  </pic:spPr>
                </pic:pic>
              </a:graphicData>
            </a:graphic>
          </wp:inline>
        </w:drawing>
      </w:r>
    </w:p>
    <w:p w14:paraId="674FD1E7" w14:textId="77777777" w:rsidR="005C023F" w:rsidRDefault="005C023F" w:rsidP="005C023F">
      <w:pPr>
        <w:rPr>
          <w:sz w:val="22"/>
          <w:szCs w:val="22"/>
        </w:rPr>
      </w:pPr>
    </w:p>
    <w:p w14:paraId="7C34796F" w14:textId="1CE7301E" w:rsidR="005C023F" w:rsidRDefault="005C023F" w:rsidP="005C023F">
      <w:pPr>
        <w:pStyle w:val="Descripcin"/>
        <w:rPr>
          <w:sz w:val="22"/>
          <w:szCs w:val="22"/>
        </w:rPr>
      </w:pPr>
      <w:bookmarkStart w:id="12" w:name="_Toc153295280"/>
      <w:r>
        <w:t xml:space="preserve">Ilustración </w:t>
      </w:r>
      <w:r>
        <w:fldChar w:fldCharType="begin"/>
      </w:r>
      <w:r>
        <w:instrText xml:space="preserve"> SEQ Ilustración \* ARABIC </w:instrText>
      </w:r>
      <w:r>
        <w:fldChar w:fldCharType="separate"/>
      </w:r>
      <w:r w:rsidR="009E0702">
        <w:rPr>
          <w:noProof/>
        </w:rPr>
        <w:t>2</w:t>
      </w:r>
      <w:r>
        <w:fldChar w:fldCharType="end"/>
      </w:r>
      <w:r>
        <w:t xml:space="preserve"> Resumen solicitud XM SA ESP, r</w:t>
      </w:r>
      <w:r w:rsidRPr="00C17882">
        <w:t>adicados CREG E2023011955 y E2023016048</w:t>
      </w:r>
      <w:bookmarkEnd w:id="12"/>
    </w:p>
    <w:p w14:paraId="0937DEBE" w14:textId="77777777" w:rsidR="005C023F" w:rsidRDefault="005C023F" w:rsidP="00E7209B">
      <w:pPr>
        <w:pStyle w:val="Textoindependiente2"/>
        <w:tabs>
          <w:tab w:val="clear" w:pos="0"/>
          <w:tab w:val="left" w:pos="708"/>
        </w:tabs>
        <w:suppressAutoHyphens w:val="0"/>
        <w:rPr>
          <w:bCs/>
          <w:sz w:val="22"/>
        </w:rPr>
      </w:pPr>
    </w:p>
    <w:p w14:paraId="6A96885E" w14:textId="6B1D338A" w:rsidR="005C023F" w:rsidRDefault="005C023F" w:rsidP="00E7209B">
      <w:pPr>
        <w:pStyle w:val="Textoindependiente2"/>
        <w:tabs>
          <w:tab w:val="clear" w:pos="0"/>
          <w:tab w:val="left" w:pos="708"/>
        </w:tabs>
        <w:suppressAutoHyphens w:val="0"/>
        <w:rPr>
          <w:bCs/>
          <w:sz w:val="22"/>
        </w:rPr>
      </w:pPr>
      <w:r>
        <w:rPr>
          <w:bCs/>
          <w:sz w:val="22"/>
        </w:rPr>
        <w:t xml:space="preserve">Por su parte, el resumen de los </w:t>
      </w:r>
      <w:r w:rsidR="00B363CA">
        <w:rPr>
          <w:bCs/>
          <w:sz w:val="22"/>
        </w:rPr>
        <w:t xml:space="preserve">principales </w:t>
      </w:r>
      <w:r>
        <w:rPr>
          <w:bCs/>
          <w:sz w:val="22"/>
        </w:rPr>
        <w:t>comentarios de los agentes</w:t>
      </w:r>
      <w:r w:rsidR="003F7400">
        <w:rPr>
          <w:bCs/>
          <w:sz w:val="22"/>
        </w:rPr>
        <w:t xml:space="preserve"> y terceros interesados</w:t>
      </w:r>
      <w:r>
        <w:rPr>
          <w:bCs/>
          <w:sz w:val="22"/>
        </w:rPr>
        <w:t xml:space="preserve"> al proyecto de Resolución CREG 701 016 de 2023 en específico sobre la actualización del NPV son:</w:t>
      </w:r>
    </w:p>
    <w:p w14:paraId="754A9BBD" w14:textId="77777777" w:rsidR="005C023F" w:rsidRDefault="005C023F" w:rsidP="00E7209B">
      <w:pPr>
        <w:pStyle w:val="Textoindependiente2"/>
        <w:tabs>
          <w:tab w:val="clear" w:pos="0"/>
          <w:tab w:val="left" w:pos="708"/>
        </w:tabs>
        <w:suppressAutoHyphens w:val="0"/>
        <w:rPr>
          <w:bCs/>
          <w:sz w:val="22"/>
        </w:rPr>
      </w:pPr>
    </w:p>
    <w:p w14:paraId="6BC43403" w14:textId="4DF794D4" w:rsidR="005C023F" w:rsidRDefault="00EB4C4E" w:rsidP="00FA04EB">
      <w:pPr>
        <w:pStyle w:val="Textoindependiente2"/>
        <w:numPr>
          <w:ilvl w:val="0"/>
          <w:numId w:val="16"/>
        </w:numPr>
        <w:tabs>
          <w:tab w:val="clear" w:pos="0"/>
          <w:tab w:val="left" w:pos="708"/>
        </w:tabs>
        <w:suppressAutoHyphens w:val="0"/>
        <w:rPr>
          <w:bCs/>
          <w:sz w:val="22"/>
        </w:rPr>
      </w:pPr>
      <w:r w:rsidRPr="00EB4C4E">
        <w:rPr>
          <w:bCs/>
          <w:sz w:val="22"/>
        </w:rPr>
        <w:t xml:space="preserve">El plazo establecido para la estimación del NVP no resulta suficiente. Desde la perspectiva técnica se requieren por lo menos treinta (30) días calendario siguientes a la </w:t>
      </w:r>
      <w:proofErr w:type="gramStart"/>
      <w:r w:rsidRPr="00EB4C4E">
        <w:rPr>
          <w:bCs/>
          <w:sz w:val="22"/>
        </w:rPr>
        <w:t>entrada en vigencia</w:t>
      </w:r>
      <w:proofErr w:type="gramEnd"/>
      <w:r w:rsidRPr="00EB4C4E">
        <w:rPr>
          <w:bCs/>
          <w:sz w:val="22"/>
        </w:rPr>
        <w:t xml:space="preserve"> de la resolución definitiva.</w:t>
      </w:r>
    </w:p>
    <w:p w14:paraId="0863DBDE" w14:textId="77777777" w:rsidR="00EB4C4E" w:rsidRPr="00EB4C4E" w:rsidRDefault="00EB4C4E" w:rsidP="00EB4C4E">
      <w:pPr>
        <w:pStyle w:val="Textoindependiente2"/>
        <w:tabs>
          <w:tab w:val="clear" w:pos="0"/>
          <w:tab w:val="left" w:pos="708"/>
        </w:tabs>
        <w:suppressAutoHyphens w:val="0"/>
        <w:ind w:left="720"/>
        <w:rPr>
          <w:bCs/>
          <w:sz w:val="22"/>
        </w:rPr>
      </w:pPr>
    </w:p>
    <w:p w14:paraId="55238E8F" w14:textId="6FA365F6" w:rsidR="00EB4C4E" w:rsidRDefault="00EB4C4E" w:rsidP="005C023F">
      <w:pPr>
        <w:pStyle w:val="Textoindependiente2"/>
        <w:numPr>
          <w:ilvl w:val="0"/>
          <w:numId w:val="16"/>
        </w:numPr>
        <w:tabs>
          <w:tab w:val="clear" w:pos="0"/>
          <w:tab w:val="left" w:pos="708"/>
        </w:tabs>
        <w:suppressAutoHyphens w:val="0"/>
        <w:rPr>
          <w:bCs/>
          <w:sz w:val="22"/>
        </w:rPr>
      </w:pPr>
      <w:r>
        <w:rPr>
          <w:bCs/>
          <w:sz w:val="22"/>
        </w:rPr>
        <w:t>S</w:t>
      </w:r>
      <w:r w:rsidRPr="00EB4C4E">
        <w:rPr>
          <w:bCs/>
          <w:sz w:val="22"/>
        </w:rPr>
        <w:t xml:space="preserve">e debe aclarar las reglas a considerar para futuras actualizaciones del NPV </w:t>
      </w:r>
      <w:proofErr w:type="gramStart"/>
      <w:r w:rsidRPr="00EB4C4E">
        <w:rPr>
          <w:bCs/>
          <w:sz w:val="22"/>
        </w:rPr>
        <w:t>en relación a</w:t>
      </w:r>
      <w:proofErr w:type="gramEnd"/>
      <w:r w:rsidRPr="00EB4C4E">
        <w:rPr>
          <w:bCs/>
          <w:sz w:val="22"/>
        </w:rPr>
        <w:t xml:space="preserve"> las establecidas en el parágrafo 2 artículo 2 de la Resolución CREG 036 de 2010</w:t>
      </w:r>
      <w:r>
        <w:rPr>
          <w:bCs/>
          <w:sz w:val="22"/>
        </w:rPr>
        <w:t>.</w:t>
      </w:r>
    </w:p>
    <w:p w14:paraId="45DFB8B3" w14:textId="77777777" w:rsidR="00EB4C4E" w:rsidRDefault="00EB4C4E" w:rsidP="00EB4C4E">
      <w:pPr>
        <w:pStyle w:val="Prrafodelista"/>
        <w:rPr>
          <w:bCs/>
          <w:sz w:val="22"/>
        </w:rPr>
      </w:pPr>
    </w:p>
    <w:p w14:paraId="6EE442B3" w14:textId="1965B0E8" w:rsidR="00EB4C4E" w:rsidRDefault="00EB4C4E" w:rsidP="005C023F">
      <w:pPr>
        <w:pStyle w:val="Textoindependiente2"/>
        <w:numPr>
          <w:ilvl w:val="0"/>
          <w:numId w:val="16"/>
        </w:numPr>
        <w:tabs>
          <w:tab w:val="clear" w:pos="0"/>
          <w:tab w:val="left" w:pos="708"/>
        </w:tabs>
        <w:suppressAutoHyphens w:val="0"/>
        <w:rPr>
          <w:bCs/>
          <w:sz w:val="22"/>
        </w:rPr>
      </w:pPr>
      <w:r>
        <w:rPr>
          <w:bCs/>
          <w:sz w:val="22"/>
        </w:rPr>
        <w:t>S</w:t>
      </w:r>
      <w:r w:rsidRPr="00EB4C4E">
        <w:rPr>
          <w:bCs/>
          <w:sz w:val="22"/>
        </w:rPr>
        <w:t>e sugiere no incluir para nuevas declaraciones de NPV la regla definida en el literal d) del artículo 2 de la Resolución CREG 036 de 2010 para los casos en los cuales se disponga de mejor información del NPV; es decir, que si no declaran se tome el ultimo declarado y no el 70%</w:t>
      </w:r>
      <w:r>
        <w:rPr>
          <w:bCs/>
          <w:sz w:val="22"/>
        </w:rPr>
        <w:t>.</w:t>
      </w:r>
    </w:p>
    <w:p w14:paraId="45B4CA4C" w14:textId="77777777" w:rsidR="00EB4C4E" w:rsidRDefault="00EB4C4E" w:rsidP="00EB4C4E">
      <w:pPr>
        <w:pStyle w:val="Prrafodelista"/>
        <w:rPr>
          <w:bCs/>
          <w:sz w:val="22"/>
        </w:rPr>
      </w:pPr>
    </w:p>
    <w:p w14:paraId="54F13CC2" w14:textId="54F2CD8A" w:rsidR="00EB4C4E" w:rsidRDefault="00EB4C4E" w:rsidP="005C023F">
      <w:pPr>
        <w:pStyle w:val="Textoindependiente2"/>
        <w:numPr>
          <w:ilvl w:val="0"/>
          <w:numId w:val="16"/>
        </w:numPr>
        <w:tabs>
          <w:tab w:val="clear" w:pos="0"/>
          <w:tab w:val="left" w:pos="708"/>
        </w:tabs>
        <w:suppressAutoHyphens w:val="0"/>
        <w:rPr>
          <w:bCs/>
          <w:sz w:val="22"/>
        </w:rPr>
      </w:pPr>
      <w:r w:rsidRPr="00EB4C4E">
        <w:rPr>
          <w:bCs/>
          <w:sz w:val="22"/>
        </w:rPr>
        <w:t>Se sugiere que se pueda actualizar el valor del NEP, dado que el mismo depende del NPV de la planta</w:t>
      </w:r>
      <w:r>
        <w:rPr>
          <w:bCs/>
          <w:sz w:val="22"/>
        </w:rPr>
        <w:t>.</w:t>
      </w:r>
    </w:p>
    <w:p w14:paraId="2CB0C682" w14:textId="77777777" w:rsidR="005C023F" w:rsidRDefault="005C023F" w:rsidP="00E7209B">
      <w:pPr>
        <w:pStyle w:val="Textoindependiente2"/>
        <w:tabs>
          <w:tab w:val="clear" w:pos="0"/>
          <w:tab w:val="left" w:pos="708"/>
        </w:tabs>
        <w:suppressAutoHyphens w:val="0"/>
        <w:rPr>
          <w:bCs/>
          <w:sz w:val="22"/>
        </w:rPr>
      </w:pPr>
    </w:p>
    <w:p w14:paraId="2C2F9AD9" w14:textId="77777777" w:rsidR="003F7400" w:rsidRDefault="003F7400" w:rsidP="003F7400">
      <w:pPr>
        <w:rPr>
          <w:sz w:val="22"/>
          <w:szCs w:val="22"/>
          <w:lang w:val="es-CO"/>
        </w:rPr>
      </w:pPr>
      <w:r>
        <w:rPr>
          <w:sz w:val="22"/>
          <w:szCs w:val="22"/>
          <w:lang w:val="es-CO"/>
        </w:rPr>
        <w:t xml:space="preserve">Así mismo, en el radicado CREG </w:t>
      </w:r>
      <w:r w:rsidRPr="003D0DE1">
        <w:rPr>
          <w:sz w:val="22"/>
          <w:szCs w:val="22"/>
          <w:lang w:val="es-CO"/>
        </w:rPr>
        <w:t>E2023011955</w:t>
      </w:r>
      <w:r>
        <w:rPr>
          <w:sz w:val="22"/>
          <w:szCs w:val="22"/>
          <w:lang w:val="es-CO"/>
        </w:rPr>
        <w:t xml:space="preserve"> presentan el ejemplo de cálculo actual del NEP para una planta, la cual no puede actualizar su valor y donde se puede observar la gran diferencia o impacto:</w:t>
      </w:r>
    </w:p>
    <w:p w14:paraId="3954546B" w14:textId="77777777" w:rsidR="003F7400" w:rsidRDefault="003F7400" w:rsidP="003F7400">
      <w:pPr>
        <w:rPr>
          <w:sz w:val="22"/>
          <w:szCs w:val="22"/>
          <w:lang w:val="es-CO"/>
        </w:rPr>
      </w:pPr>
    </w:p>
    <w:p w14:paraId="733761B0" w14:textId="77777777" w:rsidR="003F7400" w:rsidRPr="003E4CF3" w:rsidRDefault="003F7400" w:rsidP="003F7400">
      <w:pPr>
        <w:ind w:left="708"/>
        <w:rPr>
          <w:sz w:val="20"/>
          <w:lang w:val="es-CO"/>
        </w:rPr>
      </w:pPr>
      <w:r w:rsidRPr="003E4CF3">
        <w:rPr>
          <w:i/>
          <w:iCs/>
          <w:sz w:val="20"/>
          <w:lang w:val="es-MX"/>
        </w:rPr>
        <w:t xml:space="preserve">(…) A manera de ejemplo, se presenta el caso de un recurso de generación en donde se observa la declaración de NEP realizada al momento de su entrada en explotación comercial y el recálculo realizado a la fecha de este comunicado, donde se evidencia de manera clara la afectación del NEP a causa del cambio los insumos del </w:t>
      </w:r>
      <w:proofErr w:type="gramStart"/>
      <w:r w:rsidRPr="003E4CF3">
        <w:rPr>
          <w:i/>
          <w:iCs/>
          <w:sz w:val="20"/>
          <w:lang w:val="es-MX"/>
        </w:rPr>
        <w:t>cálculo  como</w:t>
      </w:r>
      <w:proofErr w:type="gramEnd"/>
      <w:r w:rsidRPr="003E4CF3">
        <w:rPr>
          <w:i/>
          <w:iCs/>
          <w:sz w:val="20"/>
          <w:lang w:val="es-MX"/>
        </w:rPr>
        <w:t xml:space="preserve"> son la ENFICC BASE, la nueva historia hidrológica, los factores de conversión, entre otros (…)</w:t>
      </w:r>
    </w:p>
    <w:p w14:paraId="2EAB8E75" w14:textId="77777777" w:rsidR="003F7400" w:rsidRDefault="003F7400" w:rsidP="003F7400">
      <w:pPr>
        <w:rPr>
          <w:sz w:val="22"/>
          <w:szCs w:val="22"/>
          <w:lang w:val="es-CO"/>
        </w:rPr>
      </w:pPr>
    </w:p>
    <w:p w14:paraId="0684D92D" w14:textId="77777777" w:rsidR="003F7400" w:rsidRDefault="003F7400" w:rsidP="003F7400">
      <w:pPr>
        <w:jc w:val="center"/>
        <w:rPr>
          <w:sz w:val="22"/>
          <w:szCs w:val="22"/>
          <w:lang w:val="es-CO"/>
        </w:rPr>
      </w:pPr>
      <w:r w:rsidRPr="001F5CF6">
        <w:rPr>
          <w:noProof/>
          <w:sz w:val="22"/>
          <w:szCs w:val="22"/>
        </w:rPr>
        <w:lastRenderedPageBreak/>
        <w:drawing>
          <wp:inline distT="0" distB="0" distL="0" distR="0" wp14:anchorId="0A79C566" wp14:editId="7C968895">
            <wp:extent cx="5324475" cy="2447696"/>
            <wp:effectExtent l="0" t="0" r="0" b="0"/>
            <wp:docPr id="6" name="Imagen 5" descr="Gráfico, Gráfico de líneas&#10;&#10;Descripción generada automáticamente">
              <a:extLst xmlns:a="http://schemas.openxmlformats.org/drawingml/2006/main">
                <a:ext uri="{FF2B5EF4-FFF2-40B4-BE49-F238E27FC236}">
                  <a16:creationId xmlns:a16="http://schemas.microsoft.com/office/drawing/2014/main" id="{C29110C5-D1C2-F09A-8A7E-949E3A7A00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ráfico, Gráfico de líneas&#10;&#10;Descripción generada automáticamente">
                      <a:extLst>
                        <a:ext uri="{FF2B5EF4-FFF2-40B4-BE49-F238E27FC236}">
                          <a16:creationId xmlns:a16="http://schemas.microsoft.com/office/drawing/2014/main" id="{C29110C5-D1C2-F09A-8A7E-949E3A7A002F}"/>
                        </a:ext>
                      </a:extLst>
                    </pic:cNvPr>
                    <pic:cNvPicPr>
                      <a:picLocks noChangeAspect="1"/>
                    </pic:cNvPicPr>
                  </pic:nvPicPr>
                  <pic:blipFill>
                    <a:blip r:embed="rId14"/>
                    <a:stretch>
                      <a:fillRect/>
                    </a:stretch>
                  </pic:blipFill>
                  <pic:spPr>
                    <a:xfrm>
                      <a:off x="0" y="0"/>
                      <a:ext cx="5327789" cy="2449219"/>
                    </a:xfrm>
                    <a:prstGeom prst="rect">
                      <a:avLst/>
                    </a:prstGeom>
                  </pic:spPr>
                </pic:pic>
              </a:graphicData>
            </a:graphic>
          </wp:inline>
        </w:drawing>
      </w:r>
    </w:p>
    <w:p w14:paraId="318C4F71" w14:textId="5E3B4501" w:rsidR="003F7400" w:rsidRDefault="003F7400" w:rsidP="003F7400">
      <w:pPr>
        <w:pStyle w:val="Descripcin"/>
        <w:rPr>
          <w:sz w:val="22"/>
          <w:szCs w:val="22"/>
          <w:lang w:val="es-CO"/>
        </w:rPr>
      </w:pPr>
      <w:bookmarkStart w:id="13" w:name="_Toc153295281"/>
      <w:r>
        <w:t xml:space="preserve">Ilustración </w:t>
      </w:r>
      <w:r>
        <w:fldChar w:fldCharType="begin"/>
      </w:r>
      <w:r>
        <w:instrText xml:space="preserve"> SEQ Ilustración \* ARABIC </w:instrText>
      </w:r>
      <w:r>
        <w:fldChar w:fldCharType="separate"/>
      </w:r>
      <w:r w:rsidR="009E0702">
        <w:rPr>
          <w:noProof/>
        </w:rPr>
        <w:t>3</w:t>
      </w:r>
      <w:r>
        <w:fldChar w:fldCharType="end"/>
      </w:r>
      <w:r>
        <w:t xml:space="preserve"> Comparación de XM SA ESP para un recurso de generación entre: </w:t>
      </w:r>
      <w:r w:rsidRPr="001F5CF6">
        <w:t>declaración de NEP realizada al momento de su entrada en explotación comercial y el recálculo realizado</w:t>
      </w:r>
      <w:r>
        <w:t xml:space="preserve"> a la fecha del radicado CREG </w:t>
      </w:r>
      <w:r w:rsidRPr="001F5CF6">
        <w:t>E2023011955</w:t>
      </w:r>
      <w:bookmarkEnd w:id="13"/>
    </w:p>
    <w:p w14:paraId="6ED06F73" w14:textId="77777777" w:rsidR="003F7400" w:rsidRDefault="003F7400" w:rsidP="003F7400">
      <w:pPr>
        <w:rPr>
          <w:sz w:val="22"/>
          <w:szCs w:val="22"/>
          <w:lang w:val="es-CO"/>
        </w:rPr>
      </w:pPr>
      <w:r>
        <w:rPr>
          <w:sz w:val="22"/>
          <w:szCs w:val="22"/>
          <w:lang w:val="es-CO"/>
        </w:rPr>
        <w:t>Conforme a lo anterior, se ve necesario tener la actualización del NEP para todas las plantas del sistema, dado que se desconocen los valores actuales.</w:t>
      </w:r>
    </w:p>
    <w:p w14:paraId="4D5080F8" w14:textId="77777777" w:rsidR="003F7400" w:rsidRDefault="003F7400" w:rsidP="003F7400">
      <w:pPr>
        <w:rPr>
          <w:sz w:val="22"/>
          <w:szCs w:val="22"/>
          <w:lang w:val="es-CO"/>
        </w:rPr>
      </w:pPr>
    </w:p>
    <w:p w14:paraId="24707D0B" w14:textId="77777777" w:rsidR="003F7400" w:rsidRDefault="003F7400" w:rsidP="003F7400">
      <w:pPr>
        <w:rPr>
          <w:sz w:val="22"/>
          <w:szCs w:val="22"/>
          <w:lang w:val="es-CO"/>
        </w:rPr>
      </w:pPr>
      <w:r>
        <w:rPr>
          <w:sz w:val="22"/>
          <w:szCs w:val="22"/>
          <w:lang w:val="es-CO"/>
        </w:rPr>
        <w:t>Así mismo debe actualizarse el NPV, dado que el NEP en su metodología no puede superar el NPV.</w:t>
      </w:r>
    </w:p>
    <w:p w14:paraId="26F27421" w14:textId="77777777" w:rsidR="003F7400" w:rsidRDefault="003F7400" w:rsidP="00E7209B">
      <w:pPr>
        <w:rPr>
          <w:sz w:val="22"/>
        </w:rPr>
      </w:pPr>
    </w:p>
    <w:p w14:paraId="34171194" w14:textId="289CEB42" w:rsidR="003F7400" w:rsidRDefault="003F7400" w:rsidP="00E7209B">
      <w:pPr>
        <w:rPr>
          <w:sz w:val="22"/>
        </w:rPr>
      </w:pPr>
      <w:r>
        <w:rPr>
          <w:sz w:val="22"/>
        </w:rPr>
        <w:t xml:space="preserve">Es </w:t>
      </w:r>
      <w:proofErr w:type="spellStart"/>
      <w:r>
        <w:rPr>
          <w:sz w:val="22"/>
        </w:rPr>
        <w:t>asi</w:t>
      </w:r>
      <w:proofErr w:type="spellEnd"/>
      <w:r>
        <w:rPr>
          <w:sz w:val="22"/>
        </w:rPr>
        <w:t xml:space="preserve"> que lo que se pretende en este proyecto regulatorio es incluir en mayor medida los comentarios descritos en este numeral, </w:t>
      </w:r>
      <w:r w:rsidR="009E0702">
        <w:rPr>
          <w:sz w:val="22"/>
        </w:rPr>
        <w:t>previo</w:t>
      </w:r>
      <w:r>
        <w:rPr>
          <w:sz w:val="22"/>
        </w:rPr>
        <w:t xml:space="preserve"> análisis de la pertinencia de </w:t>
      </w:r>
      <w:proofErr w:type="gramStart"/>
      <w:r>
        <w:rPr>
          <w:sz w:val="22"/>
        </w:rPr>
        <w:t>los mismos</w:t>
      </w:r>
      <w:proofErr w:type="gramEnd"/>
      <w:r>
        <w:rPr>
          <w:sz w:val="22"/>
        </w:rPr>
        <w:t xml:space="preserve">. </w:t>
      </w:r>
    </w:p>
    <w:p w14:paraId="6CF23B50" w14:textId="5874FAFD" w:rsidR="00346BC3" w:rsidRDefault="00346BC3" w:rsidP="00E7209B">
      <w:pPr>
        <w:rPr>
          <w:sz w:val="22"/>
        </w:rPr>
      </w:pPr>
    </w:p>
    <w:p w14:paraId="682F2B1D" w14:textId="064EF969" w:rsidR="00C764F0" w:rsidRDefault="00C764F0" w:rsidP="00E7209B">
      <w:pPr>
        <w:rPr>
          <w:sz w:val="22"/>
        </w:rPr>
      </w:pPr>
      <w:r>
        <w:rPr>
          <w:sz w:val="22"/>
        </w:rPr>
        <w:t>Finalmente, los valores actuales de NPV declarados son los siguientes:</w:t>
      </w:r>
    </w:p>
    <w:p w14:paraId="385327B4" w14:textId="77777777" w:rsidR="00C764F0" w:rsidRDefault="00C764F0" w:rsidP="00E7209B">
      <w:pPr>
        <w:rPr>
          <w:sz w:val="22"/>
        </w:rPr>
      </w:pPr>
    </w:p>
    <w:p w14:paraId="17574632" w14:textId="24E9141B" w:rsidR="00C764F0" w:rsidRDefault="00C764F0" w:rsidP="00E7209B">
      <w:pPr>
        <w:rPr>
          <w:sz w:val="22"/>
        </w:rPr>
      </w:pPr>
      <w:r w:rsidRPr="00C764F0">
        <w:rPr>
          <w:noProof/>
          <w:sz w:val="22"/>
        </w:rPr>
        <w:drawing>
          <wp:inline distT="0" distB="0" distL="0" distR="0" wp14:anchorId="1CB5120C" wp14:editId="74A8C005">
            <wp:extent cx="5972810" cy="2573655"/>
            <wp:effectExtent l="0" t="0" r="8890" b="0"/>
            <wp:docPr id="1527628010" name="Imagen 1527628010">
              <a:extLst xmlns:a="http://schemas.openxmlformats.org/drawingml/2006/main">
                <a:ext uri="{FF2B5EF4-FFF2-40B4-BE49-F238E27FC236}">
                  <a16:creationId xmlns:a16="http://schemas.microsoft.com/office/drawing/2014/main" id="{C5835BEC-70B6-130C-395C-8A7E15CE95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5835BEC-70B6-130C-395C-8A7E15CE9529}"/>
                        </a:ext>
                      </a:extLst>
                    </pic:cNvPr>
                    <pic:cNvPicPr>
                      <a:picLocks noChangeAspect="1"/>
                    </pic:cNvPicPr>
                  </pic:nvPicPr>
                  <pic:blipFill>
                    <a:blip r:embed="rId15"/>
                    <a:stretch>
                      <a:fillRect/>
                    </a:stretch>
                  </pic:blipFill>
                  <pic:spPr>
                    <a:xfrm>
                      <a:off x="0" y="0"/>
                      <a:ext cx="5972810" cy="2573655"/>
                    </a:xfrm>
                    <a:prstGeom prst="rect">
                      <a:avLst/>
                    </a:prstGeom>
                  </pic:spPr>
                </pic:pic>
              </a:graphicData>
            </a:graphic>
          </wp:inline>
        </w:drawing>
      </w:r>
    </w:p>
    <w:p w14:paraId="56A289CF" w14:textId="73A417BC" w:rsidR="00C764F0" w:rsidRDefault="00C764F0" w:rsidP="00C764F0">
      <w:pPr>
        <w:pStyle w:val="Descripcin"/>
        <w:rPr>
          <w:sz w:val="22"/>
          <w:szCs w:val="22"/>
          <w:lang w:val="es-CO"/>
        </w:rPr>
      </w:pPr>
      <w:bookmarkStart w:id="14" w:name="_Toc153295282"/>
      <w:r>
        <w:t xml:space="preserve">Ilustración </w:t>
      </w:r>
      <w:r>
        <w:fldChar w:fldCharType="begin"/>
      </w:r>
      <w:r>
        <w:instrText xml:space="preserve"> SEQ Ilustración \* ARABIC </w:instrText>
      </w:r>
      <w:r>
        <w:fldChar w:fldCharType="separate"/>
      </w:r>
      <w:r w:rsidR="009E0702">
        <w:rPr>
          <w:noProof/>
        </w:rPr>
        <w:t>4</w:t>
      </w:r>
      <w:r>
        <w:fldChar w:fldCharType="end"/>
      </w:r>
      <w:r>
        <w:t xml:space="preserve"> Niveles de NPV declarados. Fuente: pagina XM SA ESP</w:t>
      </w:r>
      <w:bookmarkEnd w:id="14"/>
    </w:p>
    <w:p w14:paraId="4E065798" w14:textId="646D89E9" w:rsidR="00C764F0" w:rsidRDefault="00C764F0" w:rsidP="00E7209B">
      <w:pPr>
        <w:rPr>
          <w:sz w:val="22"/>
        </w:rPr>
      </w:pPr>
      <w:r>
        <w:rPr>
          <w:sz w:val="22"/>
        </w:rPr>
        <w:t xml:space="preserve">De lo anterior se desprende que existen diversos valores y que varían entre un 53 a 100%, pero se desconocen las razones de dichas declaraciones o cómo se </w:t>
      </w:r>
      <w:r w:rsidR="009E0702">
        <w:rPr>
          <w:sz w:val="22"/>
        </w:rPr>
        <w:t>realizó</w:t>
      </w:r>
      <w:r>
        <w:rPr>
          <w:sz w:val="22"/>
        </w:rPr>
        <w:t xml:space="preserve"> el </w:t>
      </w:r>
      <w:r w:rsidR="009E0702">
        <w:rPr>
          <w:sz w:val="22"/>
        </w:rPr>
        <w:t>cálculo</w:t>
      </w:r>
      <w:r>
        <w:rPr>
          <w:sz w:val="22"/>
        </w:rPr>
        <w:t>.</w:t>
      </w:r>
    </w:p>
    <w:p w14:paraId="3FBB9A93" w14:textId="77777777" w:rsidR="00C764F0" w:rsidRDefault="00C764F0" w:rsidP="00E7209B">
      <w:pPr>
        <w:rPr>
          <w:sz w:val="22"/>
        </w:rPr>
      </w:pPr>
    </w:p>
    <w:p w14:paraId="1692D2C6" w14:textId="50292121" w:rsidR="00C764F0" w:rsidRDefault="00C764F0" w:rsidP="00E7209B">
      <w:pPr>
        <w:rPr>
          <w:sz w:val="22"/>
        </w:rPr>
      </w:pPr>
      <w:r>
        <w:rPr>
          <w:sz w:val="22"/>
        </w:rPr>
        <w:lastRenderedPageBreak/>
        <w:t>Respecto del NEP, se tienen los siguientes valores declarados:</w:t>
      </w:r>
    </w:p>
    <w:p w14:paraId="61CFB57B" w14:textId="77777777" w:rsidR="00C764F0" w:rsidRDefault="00C764F0" w:rsidP="00E7209B">
      <w:pPr>
        <w:rPr>
          <w:sz w:val="22"/>
        </w:rPr>
      </w:pPr>
    </w:p>
    <w:p w14:paraId="13E71FC1" w14:textId="3E94B1DC" w:rsidR="00C764F0" w:rsidRDefault="00C764F0" w:rsidP="00E7209B">
      <w:pPr>
        <w:rPr>
          <w:sz w:val="22"/>
        </w:rPr>
      </w:pPr>
      <w:r w:rsidRPr="00C764F0">
        <w:rPr>
          <w:noProof/>
          <w:sz w:val="22"/>
        </w:rPr>
        <w:drawing>
          <wp:inline distT="0" distB="0" distL="0" distR="0" wp14:anchorId="69781D69" wp14:editId="1E7F4FB8">
            <wp:extent cx="5972810" cy="2673985"/>
            <wp:effectExtent l="0" t="0" r="8890" b="0"/>
            <wp:docPr id="9" name="Imagen 8">
              <a:extLst xmlns:a="http://schemas.openxmlformats.org/drawingml/2006/main">
                <a:ext uri="{FF2B5EF4-FFF2-40B4-BE49-F238E27FC236}">
                  <a16:creationId xmlns:a16="http://schemas.microsoft.com/office/drawing/2014/main" id="{3E4B45E3-5D43-A000-35A6-C24C56B82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3E4B45E3-5D43-A000-35A6-C24C56B8219B}"/>
                        </a:ext>
                      </a:extLst>
                    </pic:cNvPr>
                    <pic:cNvPicPr>
                      <a:picLocks noChangeAspect="1"/>
                    </pic:cNvPicPr>
                  </pic:nvPicPr>
                  <pic:blipFill>
                    <a:blip r:embed="rId16"/>
                    <a:stretch>
                      <a:fillRect/>
                    </a:stretch>
                  </pic:blipFill>
                  <pic:spPr>
                    <a:xfrm>
                      <a:off x="0" y="0"/>
                      <a:ext cx="5972810" cy="2673985"/>
                    </a:xfrm>
                    <a:prstGeom prst="rect">
                      <a:avLst/>
                    </a:prstGeom>
                  </pic:spPr>
                </pic:pic>
              </a:graphicData>
            </a:graphic>
          </wp:inline>
        </w:drawing>
      </w:r>
    </w:p>
    <w:p w14:paraId="62E7C2B9" w14:textId="535BE9FA" w:rsidR="00C764F0" w:rsidRDefault="00C764F0" w:rsidP="00C764F0">
      <w:pPr>
        <w:pStyle w:val="Descripcin"/>
        <w:rPr>
          <w:sz w:val="22"/>
          <w:szCs w:val="22"/>
          <w:lang w:val="es-CO"/>
        </w:rPr>
      </w:pPr>
      <w:bookmarkStart w:id="15" w:name="_Toc153295283"/>
      <w:r>
        <w:t xml:space="preserve">Ilustración </w:t>
      </w:r>
      <w:r>
        <w:fldChar w:fldCharType="begin"/>
      </w:r>
      <w:r>
        <w:instrText xml:space="preserve"> SEQ Ilustración \* ARABIC </w:instrText>
      </w:r>
      <w:r>
        <w:fldChar w:fldCharType="separate"/>
      </w:r>
      <w:r w:rsidR="009E0702">
        <w:rPr>
          <w:noProof/>
        </w:rPr>
        <w:t>5</w:t>
      </w:r>
      <w:r>
        <w:fldChar w:fldCharType="end"/>
      </w:r>
      <w:r>
        <w:t xml:space="preserve"> Niveles de NEP declarados. Fuente: pagina XM SA ESP</w:t>
      </w:r>
      <w:bookmarkEnd w:id="15"/>
    </w:p>
    <w:p w14:paraId="5B68EA0C" w14:textId="07A26E6F" w:rsidR="00C764F0" w:rsidRDefault="00C764F0" w:rsidP="00E7209B">
      <w:pPr>
        <w:rPr>
          <w:sz w:val="22"/>
        </w:rPr>
      </w:pPr>
      <w:r>
        <w:rPr>
          <w:sz w:val="22"/>
        </w:rPr>
        <w:t xml:space="preserve">Al respecto, estos si dependen de la metodología de </w:t>
      </w:r>
      <w:r w:rsidR="00B363CA">
        <w:rPr>
          <w:sz w:val="22"/>
        </w:rPr>
        <w:t>cálculo</w:t>
      </w:r>
      <w:r>
        <w:rPr>
          <w:sz w:val="22"/>
        </w:rPr>
        <w:t xml:space="preserve"> dispuesta por la Comisión, la cual no es objeto de revisión en esta propuesta regulatoria. Pues la revisión de la metodología de </w:t>
      </w:r>
      <w:r w:rsidR="009E0702">
        <w:rPr>
          <w:sz w:val="22"/>
        </w:rPr>
        <w:t>cálculo</w:t>
      </w:r>
      <w:r>
        <w:rPr>
          <w:sz w:val="22"/>
        </w:rPr>
        <w:t xml:space="preserve"> del NEP debería acompañarse de la revisión de la metodología de </w:t>
      </w:r>
      <w:r w:rsidR="00B363CA">
        <w:rPr>
          <w:sz w:val="22"/>
        </w:rPr>
        <w:t>cálculo</w:t>
      </w:r>
      <w:r>
        <w:rPr>
          <w:sz w:val="22"/>
        </w:rPr>
        <w:t xml:space="preserve"> de ENFICC de plantas hidráulicas en caso de tenerse que modificar, pues el modelo aplicado es similar.</w:t>
      </w:r>
    </w:p>
    <w:p w14:paraId="0AB23E52" w14:textId="77777777" w:rsidR="00E7209B" w:rsidRDefault="00E7209B" w:rsidP="0038050C">
      <w:pPr>
        <w:rPr>
          <w:sz w:val="22"/>
        </w:rPr>
      </w:pPr>
    </w:p>
    <w:p w14:paraId="40A96126" w14:textId="003A72D2" w:rsidR="00C764F0" w:rsidRDefault="00C764F0" w:rsidP="0038050C">
      <w:pPr>
        <w:rPr>
          <w:sz w:val="22"/>
        </w:rPr>
      </w:pPr>
      <w:r>
        <w:rPr>
          <w:sz w:val="22"/>
        </w:rPr>
        <w:t xml:space="preserve">En todo caso, los valores anteriores tienen el problema que no se pueden actualizar de forma directa, como se </w:t>
      </w:r>
      <w:r w:rsidR="00B363CA">
        <w:rPr>
          <w:sz w:val="22"/>
        </w:rPr>
        <w:t>citó</w:t>
      </w:r>
      <w:r>
        <w:rPr>
          <w:sz w:val="22"/>
        </w:rPr>
        <w:t xml:space="preserve"> anteriormente</w:t>
      </w:r>
      <w:r w:rsidR="00B363CA">
        <w:rPr>
          <w:sz w:val="22"/>
        </w:rPr>
        <w:t xml:space="preserve"> en este numeral</w:t>
      </w:r>
      <w:r>
        <w:rPr>
          <w:sz w:val="22"/>
        </w:rPr>
        <w:t xml:space="preserve">. </w:t>
      </w:r>
    </w:p>
    <w:p w14:paraId="0213F731" w14:textId="77777777" w:rsidR="00C764F0" w:rsidRDefault="00C764F0" w:rsidP="0038050C">
      <w:pPr>
        <w:rPr>
          <w:sz w:val="22"/>
        </w:rPr>
      </w:pPr>
    </w:p>
    <w:p w14:paraId="0E632E45" w14:textId="609EBDAA" w:rsidR="003F7400" w:rsidRDefault="003F7400" w:rsidP="003F7400">
      <w:pPr>
        <w:pStyle w:val="Ttulo1"/>
        <w:numPr>
          <w:ilvl w:val="0"/>
          <w:numId w:val="14"/>
        </w:numPr>
        <w:spacing w:after="0"/>
        <w:ind w:left="431" w:hanging="431"/>
        <w:rPr>
          <w:sz w:val="22"/>
        </w:rPr>
      </w:pPr>
      <w:bookmarkStart w:id="16" w:name="_Toc153295202"/>
      <w:bookmarkStart w:id="17" w:name="_Toc153295270"/>
      <w:bookmarkStart w:id="18" w:name="_Toc153295510"/>
      <w:r>
        <w:rPr>
          <w:sz w:val="22"/>
        </w:rPr>
        <w:t>PROBLEMAS, CAUSA Y CONSECUENCIA</w:t>
      </w:r>
      <w:bookmarkEnd w:id="16"/>
      <w:bookmarkEnd w:id="17"/>
      <w:bookmarkEnd w:id="18"/>
    </w:p>
    <w:p w14:paraId="730D9745" w14:textId="77777777" w:rsidR="00E7209B" w:rsidRDefault="00E7209B" w:rsidP="0038050C">
      <w:pPr>
        <w:rPr>
          <w:sz w:val="22"/>
        </w:rPr>
      </w:pPr>
    </w:p>
    <w:p w14:paraId="55FFC137" w14:textId="77777777" w:rsidR="003F7400" w:rsidRDefault="003F7400" w:rsidP="003F7400">
      <w:pPr>
        <w:rPr>
          <w:sz w:val="22"/>
          <w:szCs w:val="22"/>
          <w:lang w:val="es-CO"/>
        </w:rPr>
      </w:pPr>
      <w:r>
        <w:rPr>
          <w:sz w:val="22"/>
          <w:szCs w:val="22"/>
          <w:lang w:val="es-CO"/>
        </w:rPr>
        <w:t>Los problemas causas y consecuencias identificados son:</w:t>
      </w:r>
    </w:p>
    <w:p w14:paraId="4FA4424E" w14:textId="77777777" w:rsidR="003F7400" w:rsidRDefault="003F7400" w:rsidP="003F7400">
      <w:pPr>
        <w:rPr>
          <w:sz w:val="22"/>
          <w:szCs w:val="22"/>
          <w:lang w:val="es-CO"/>
        </w:rPr>
      </w:pPr>
    </w:p>
    <w:p w14:paraId="6B9096AE" w14:textId="77777777" w:rsidR="003F7400" w:rsidRDefault="003F7400" w:rsidP="003F7400">
      <w:pPr>
        <w:pStyle w:val="Prrafodelista"/>
        <w:numPr>
          <w:ilvl w:val="0"/>
          <w:numId w:val="17"/>
        </w:numPr>
        <w:ind w:left="426"/>
        <w:rPr>
          <w:sz w:val="22"/>
          <w:szCs w:val="22"/>
          <w:lang w:val="es-CO"/>
        </w:rPr>
      </w:pPr>
      <w:r w:rsidRPr="00BB0A21">
        <w:rPr>
          <w:b/>
          <w:bCs/>
          <w:sz w:val="22"/>
          <w:szCs w:val="22"/>
          <w:lang w:val="es-CO"/>
        </w:rPr>
        <w:t>Problema</w:t>
      </w:r>
      <w:r>
        <w:rPr>
          <w:sz w:val="22"/>
          <w:szCs w:val="22"/>
          <w:lang w:val="es-CO"/>
        </w:rPr>
        <w:t xml:space="preserve"> </w:t>
      </w:r>
    </w:p>
    <w:p w14:paraId="24F18414" w14:textId="77777777" w:rsidR="003F7400" w:rsidRDefault="003F7400" w:rsidP="003F7400">
      <w:pPr>
        <w:pStyle w:val="Prrafodelista"/>
        <w:ind w:left="426"/>
        <w:rPr>
          <w:sz w:val="22"/>
          <w:szCs w:val="22"/>
          <w:lang w:val="es-CO"/>
        </w:rPr>
      </w:pPr>
    </w:p>
    <w:p w14:paraId="6064B846" w14:textId="77777777" w:rsidR="003F7400" w:rsidRDefault="003F7400" w:rsidP="003F7400">
      <w:pPr>
        <w:pStyle w:val="Prrafodelista"/>
        <w:ind w:left="426"/>
        <w:rPr>
          <w:sz w:val="22"/>
          <w:szCs w:val="22"/>
          <w:lang w:val="es-CO"/>
        </w:rPr>
      </w:pPr>
      <w:r>
        <w:rPr>
          <w:sz w:val="22"/>
          <w:szCs w:val="22"/>
          <w:lang w:val="es-CO"/>
        </w:rPr>
        <w:t>No se tienen los valores del NEP actualizados, el cual es un indicador para conocer si el nivel del embalse es suficiente para garantizar la ENFICC de una planta en condición crítica.</w:t>
      </w:r>
    </w:p>
    <w:p w14:paraId="12FE3A70" w14:textId="77777777" w:rsidR="003F7400" w:rsidRDefault="003F7400" w:rsidP="003F7400">
      <w:pPr>
        <w:pStyle w:val="Prrafodelista"/>
        <w:ind w:left="426"/>
        <w:rPr>
          <w:sz w:val="22"/>
          <w:szCs w:val="22"/>
          <w:lang w:val="es-CO"/>
        </w:rPr>
      </w:pPr>
    </w:p>
    <w:p w14:paraId="3E148878" w14:textId="77777777" w:rsidR="003F7400" w:rsidRDefault="003F7400" w:rsidP="003F7400">
      <w:pPr>
        <w:pStyle w:val="Prrafodelista"/>
        <w:ind w:left="426"/>
        <w:rPr>
          <w:sz w:val="22"/>
          <w:szCs w:val="22"/>
          <w:lang w:val="es-CO"/>
        </w:rPr>
      </w:pPr>
      <w:r>
        <w:rPr>
          <w:sz w:val="22"/>
          <w:szCs w:val="22"/>
          <w:lang w:val="es-CO"/>
        </w:rPr>
        <w:t>No se tiene el NPV actualizado, el cual se usa en la remuneración del despacho por seguridad e influye en las reglas asociadas al artículo 8 del Decreto 929 de 2023, donde la primera consulta fue la Resolución CREG 701 016 de 2023.</w:t>
      </w:r>
    </w:p>
    <w:p w14:paraId="7834EC40" w14:textId="77777777" w:rsidR="003F7400" w:rsidRDefault="003F7400" w:rsidP="003F7400">
      <w:pPr>
        <w:pStyle w:val="Prrafodelista"/>
        <w:ind w:left="426"/>
        <w:rPr>
          <w:sz w:val="22"/>
          <w:szCs w:val="22"/>
          <w:lang w:val="es-CO"/>
        </w:rPr>
      </w:pPr>
    </w:p>
    <w:p w14:paraId="54DC9702" w14:textId="4C1439F8" w:rsidR="003F7400" w:rsidRDefault="003F7400" w:rsidP="003F7400">
      <w:pPr>
        <w:pStyle w:val="Prrafodelista"/>
        <w:ind w:left="426"/>
        <w:rPr>
          <w:sz w:val="22"/>
          <w:szCs w:val="22"/>
          <w:lang w:val="es-CO"/>
        </w:rPr>
      </w:pPr>
      <w:r>
        <w:rPr>
          <w:sz w:val="22"/>
          <w:szCs w:val="22"/>
          <w:lang w:val="es-CO"/>
        </w:rPr>
        <w:t xml:space="preserve">Principalmente se pierde la referencia real de los embalses cuando se tienen cambios en los mismos. </w:t>
      </w:r>
    </w:p>
    <w:p w14:paraId="34C43CC2" w14:textId="77777777" w:rsidR="003F7400" w:rsidRDefault="003F7400" w:rsidP="003F7400">
      <w:pPr>
        <w:pStyle w:val="Prrafodelista"/>
        <w:ind w:left="426"/>
        <w:rPr>
          <w:sz w:val="22"/>
          <w:szCs w:val="22"/>
          <w:lang w:val="es-CO"/>
        </w:rPr>
      </w:pPr>
    </w:p>
    <w:p w14:paraId="675BBE28" w14:textId="77777777" w:rsidR="003F7400" w:rsidRDefault="003F7400" w:rsidP="003F7400">
      <w:pPr>
        <w:pStyle w:val="Prrafodelista"/>
        <w:numPr>
          <w:ilvl w:val="0"/>
          <w:numId w:val="17"/>
        </w:numPr>
        <w:ind w:left="426"/>
        <w:rPr>
          <w:sz w:val="22"/>
          <w:szCs w:val="22"/>
          <w:lang w:val="es-CO"/>
        </w:rPr>
      </w:pPr>
      <w:r w:rsidRPr="00BB0A21">
        <w:rPr>
          <w:b/>
          <w:bCs/>
          <w:sz w:val="22"/>
          <w:szCs w:val="22"/>
          <w:lang w:val="es-CO"/>
        </w:rPr>
        <w:t>Causa</w:t>
      </w:r>
      <w:r w:rsidRPr="007845DD">
        <w:rPr>
          <w:sz w:val="22"/>
          <w:szCs w:val="22"/>
          <w:lang w:val="es-CO"/>
        </w:rPr>
        <w:t xml:space="preserve"> </w:t>
      </w:r>
    </w:p>
    <w:p w14:paraId="459B0303" w14:textId="77777777" w:rsidR="003F7400" w:rsidRDefault="003F7400" w:rsidP="003F7400">
      <w:pPr>
        <w:pStyle w:val="Prrafodelista"/>
        <w:ind w:left="426"/>
        <w:rPr>
          <w:sz w:val="22"/>
          <w:szCs w:val="22"/>
          <w:lang w:val="es-CO"/>
        </w:rPr>
      </w:pPr>
    </w:p>
    <w:p w14:paraId="560F6608" w14:textId="61C41F21" w:rsidR="00E6089E" w:rsidRPr="00E6089E" w:rsidRDefault="00E6089E" w:rsidP="00E6089E">
      <w:pPr>
        <w:pStyle w:val="Prrafodelista"/>
        <w:ind w:left="426"/>
        <w:rPr>
          <w:sz w:val="22"/>
          <w:szCs w:val="22"/>
          <w:lang w:val="es-CO"/>
        </w:rPr>
      </w:pPr>
      <w:r w:rsidRPr="00E6089E">
        <w:rPr>
          <w:sz w:val="22"/>
          <w:szCs w:val="22"/>
          <w:lang w:val="es-CO"/>
        </w:rPr>
        <w:t>La regulación no prevé una metodología obligatoria de actualización del NEP y NPV para cambios menores al |10%| de ENFICC ni para plantas sin ENFICC</w:t>
      </w:r>
      <w:r>
        <w:rPr>
          <w:sz w:val="22"/>
          <w:szCs w:val="22"/>
          <w:lang w:val="es-CO"/>
        </w:rPr>
        <w:t>.</w:t>
      </w:r>
    </w:p>
    <w:p w14:paraId="66CF54F1" w14:textId="7CEE6AE6" w:rsidR="003F7400" w:rsidRDefault="003F7400" w:rsidP="003F7400">
      <w:pPr>
        <w:pStyle w:val="Prrafodelista"/>
        <w:ind w:left="426"/>
        <w:rPr>
          <w:sz w:val="22"/>
          <w:szCs w:val="22"/>
          <w:lang w:val="es-CO"/>
        </w:rPr>
      </w:pPr>
      <w:r>
        <w:rPr>
          <w:sz w:val="22"/>
          <w:szCs w:val="22"/>
          <w:lang w:val="es-CO"/>
        </w:rPr>
        <w:t xml:space="preserve"> </w:t>
      </w:r>
    </w:p>
    <w:p w14:paraId="3AFA8D00" w14:textId="77777777" w:rsidR="003F7400" w:rsidRDefault="003F7400" w:rsidP="003F7400">
      <w:pPr>
        <w:pStyle w:val="Prrafodelista"/>
        <w:ind w:left="426"/>
        <w:rPr>
          <w:sz w:val="22"/>
          <w:szCs w:val="22"/>
          <w:lang w:val="es-CO"/>
        </w:rPr>
      </w:pPr>
    </w:p>
    <w:p w14:paraId="38FFFE9C" w14:textId="77777777" w:rsidR="003F7400" w:rsidRDefault="003F7400" w:rsidP="003F7400">
      <w:pPr>
        <w:pStyle w:val="Prrafodelista"/>
        <w:ind w:left="426"/>
        <w:rPr>
          <w:sz w:val="22"/>
          <w:szCs w:val="22"/>
          <w:lang w:val="es-CO"/>
        </w:rPr>
      </w:pPr>
      <w:r>
        <w:rPr>
          <w:sz w:val="22"/>
          <w:szCs w:val="22"/>
          <w:lang w:val="es-CO"/>
        </w:rPr>
        <w:t xml:space="preserve">La única alternativa u oportunidad de modificación del NEP, es cuando se cambie el valor del NPV, el cual también está condicionado a cambios en ENFICC que superen un </w:t>
      </w:r>
      <w:r>
        <w:rPr>
          <w:rFonts w:cs="Arial"/>
          <w:sz w:val="22"/>
          <w:szCs w:val="22"/>
          <w:lang w:val="es-CO"/>
        </w:rPr>
        <w:t>±</w:t>
      </w:r>
      <w:r>
        <w:rPr>
          <w:sz w:val="22"/>
          <w:szCs w:val="22"/>
          <w:lang w:val="es-CO"/>
        </w:rPr>
        <w:t xml:space="preserve">10%. Así mismo no es posible para plantas que no tengan ENFICC la actualización. </w:t>
      </w:r>
    </w:p>
    <w:p w14:paraId="4FD776B2" w14:textId="77777777" w:rsidR="003F7400" w:rsidRDefault="003F7400" w:rsidP="003F7400">
      <w:pPr>
        <w:pStyle w:val="Prrafodelista"/>
        <w:ind w:left="426"/>
        <w:rPr>
          <w:sz w:val="22"/>
          <w:szCs w:val="22"/>
          <w:lang w:val="es-CO"/>
        </w:rPr>
      </w:pPr>
    </w:p>
    <w:p w14:paraId="17F16435" w14:textId="77777777" w:rsidR="003F7400" w:rsidRDefault="003F7400" w:rsidP="003F7400">
      <w:pPr>
        <w:pStyle w:val="Prrafodelista"/>
        <w:numPr>
          <w:ilvl w:val="0"/>
          <w:numId w:val="17"/>
        </w:numPr>
        <w:ind w:left="426"/>
        <w:rPr>
          <w:sz w:val="22"/>
          <w:szCs w:val="22"/>
          <w:lang w:val="es-CO"/>
        </w:rPr>
      </w:pPr>
      <w:r w:rsidRPr="00BB0A21">
        <w:rPr>
          <w:b/>
          <w:bCs/>
          <w:sz w:val="22"/>
          <w:szCs w:val="22"/>
          <w:lang w:val="es-CO"/>
        </w:rPr>
        <w:t>Consecuencia</w:t>
      </w:r>
      <w:r>
        <w:rPr>
          <w:b/>
          <w:bCs/>
          <w:sz w:val="22"/>
          <w:szCs w:val="22"/>
          <w:lang w:val="es-CO"/>
        </w:rPr>
        <w:t>s</w:t>
      </w:r>
    </w:p>
    <w:p w14:paraId="229DFB0E" w14:textId="77777777" w:rsidR="003F7400" w:rsidRDefault="003F7400" w:rsidP="003F7400">
      <w:pPr>
        <w:pStyle w:val="Prrafodelista"/>
        <w:ind w:left="426"/>
        <w:rPr>
          <w:sz w:val="22"/>
          <w:szCs w:val="22"/>
          <w:lang w:val="es-CO"/>
        </w:rPr>
      </w:pPr>
    </w:p>
    <w:p w14:paraId="21B50B99" w14:textId="77777777" w:rsidR="003F7400" w:rsidRDefault="003F7400" w:rsidP="003F7400">
      <w:pPr>
        <w:pStyle w:val="Prrafodelista"/>
        <w:ind w:left="426"/>
        <w:rPr>
          <w:sz w:val="22"/>
          <w:szCs w:val="22"/>
          <w:lang w:val="es-CO"/>
        </w:rPr>
      </w:pPr>
      <w:r>
        <w:rPr>
          <w:sz w:val="22"/>
          <w:szCs w:val="22"/>
          <w:lang w:val="es-CO"/>
        </w:rPr>
        <w:t xml:space="preserve">El no tener los valores de NEP actualizados impacta en el desconocimiento de si se cuenta con el nivel de embalse suficiente para cumplir con la ENFICC en condición crítica. </w:t>
      </w:r>
    </w:p>
    <w:p w14:paraId="398AB94F" w14:textId="77777777" w:rsidR="003F7400" w:rsidRPr="00D22477" w:rsidRDefault="003F7400" w:rsidP="003F7400">
      <w:pPr>
        <w:pStyle w:val="Prrafodelista"/>
        <w:rPr>
          <w:sz w:val="22"/>
          <w:szCs w:val="22"/>
          <w:lang w:val="es-CO"/>
        </w:rPr>
      </w:pPr>
    </w:p>
    <w:p w14:paraId="19F3E58A" w14:textId="36D33968" w:rsidR="003F7400" w:rsidRDefault="00E6089E" w:rsidP="003F7400">
      <w:pPr>
        <w:pStyle w:val="Prrafodelista"/>
        <w:ind w:left="426"/>
        <w:rPr>
          <w:sz w:val="22"/>
          <w:szCs w:val="22"/>
          <w:lang w:val="es-CO"/>
        </w:rPr>
      </w:pPr>
      <w:r>
        <w:rPr>
          <w:sz w:val="22"/>
          <w:szCs w:val="22"/>
          <w:lang w:val="es-CO"/>
        </w:rPr>
        <w:t>El valor del NEP t</w:t>
      </w:r>
      <w:r w:rsidR="003F7400">
        <w:rPr>
          <w:sz w:val="22"/>
          <w:szCs w:val="22"/>
          <w:lang w:val="es-CO"/>
        </w:rPr>
        <w:t xml:space="preserve">ambién es usado para aplicación de la garantía de que trata la Resolución CREG 061 de 2007, en el cual, si se presenta que durante 3 días seguidos y durante condición </w:t>
      </w:r>
      <w:r w:rsidR="00B363CA">
        <w:rPr>
          <w:sz w:val="22"/>
          <w:szCs w:val="22"/>
          <w:lang w:val="es-CO"/>
        </w:rPr>
        <w:t>crítica</w:t>
      </w:r>
      <w:r w:rsidR="003F7400">
        <w:rPr>
          <w:sz w:val="22"/>
          <w:szCs w:val="22"/>
          <w:lang w:val="es-CO"/>
        </w:rPr>
        <w:t xml:space="preserve"> el embalse </w:t>
      </w:r>
      <w:r w:rsidR="00B363CA">
        <w:rPr>
          <w:sz w:val="22"/>
          <w:szCs w:val="22"/>
          <w:lang w:val="es-CO"/>
        </w:rPr>
        <w:t>está</w:t>
      </w:r>
      <w:r w:rsidR="003F7400">
        <w:rPr>
          <w:sz w:val="22"/>
          <w:szCs w:val="22"/>
          <w:lang w:val="es-CO"/>
        </w:rPr>
        <w:t xml:space="preserve"> por debajo del NEP, entonces se ejecuta la garantía. Esto para los casos de plantas que declaran por encima de la ENFICC base. </w:t>
      </w:r>
    </w:p>
    <w:p w14:paraId="45A31112" w14:textId="77777777" w:rsidR="00E6089E" w:rsidRDefault="00E6089E" w:rsidP="003F7400">
      <w:pPr>
        <w:pStyle w:val="Prrafodelista"/>
        <w:ind w:left="426"/>
        <w:rPr>
          <w:sz w:val="22"/>
          <w:szCs w:val="22"/>
          <w:lang w:val="es-CO"/>
        </w:rPr>
      </w:pPr>
    </w:p>
    <w:p w14:paraId="7CA0411B" w14:textId="320E10A1" w:rsidR="00E6089E" w:rsidRDefault="00E6089E" w:rsidP="003F7400">
      <w:pPr>
        <w:pStyle w:val="Prrafodelista"/>
        <w:ind w:left="426"/>
        <w:rPr>
          <w:sz w:val="22"/>
          <w:szCs w:val="22"/>
          <w:lang w:val="es-CO"/>
        </w:rPr>
      </w:pPr>
      <w:r>
        <w:rPr>
          <w:sz w:val="22"/>
          <w:szCs w:val="22"/>
          <w:lang w:val="es-CO"/>
        </w:rPr>
        <w:t>Respecto del NPV, influye en los temas comerciales de despacho por seguridad o en la propuesta de la Resolución CREG 701 016 de 2023 de valoración económica de vertimientos, de ahí se resalta la importancia de tener valores acordes a la realidad.</w:t>
      </w:r>
    </w:p>
    <w:p w14:paraId="3CB9B0CE" w14:textId="77777777" w:rsidR="003F7400" w:rsidRDefault="003F7400" w:rsidP="003F7400">
      <w:pPr>
        <w:pStyle w:val="Prrafodelista"/>
        <w:ind w:left="426"/>
        <w:rPr>
          <w:sz w:val="22"/>
          <w:szCs w:val="22"/>
          <w:lang w:val="es-CO"/>
        </w:rPr>
      </w:pPr>
    </w:p>
    <w:p w14:paraId="3AC0A83A" w14:textId="3BEB253B" w:rsidR="003F7400" w:rsidRDefault="003F7400" w:rsidP="003F7400">
      <w:pPr>
        <w:pStyle w:val="Prrafodelista"/>
        <w:ind w:left="426"/>
        <w:rPr>
          <w:sz w:val="22"/>
          <w:szCs w:val="22"/>
          <w:lang w:val="es-CO"/>
        </w:rPr>
      </w:pPr>
      <w:r>
        <w:rPr>
          <w:sz w:val="22"/>
          <w:szCs w:val="22"/>
          <w:lang w:val="es-CO"/>
        </w:rPr>
        <w:t>Finalmente, el no tener los valores actualizados, representa condiciones operativa</w:t>
      </w:r>
      <w:r w:rsidR="00E6089E">
        <w:rPr>
          <w:sz w:val="22"/>
          <w:szCs w:val="22"/>
          <w:lang w:val="es-CO"/>
        </w:rPr>
        <w:t>s</w:t>
      </w:r>
      <w:r>
        <w:rPr>
          <w:sz w:val="22"/>
          <w:szCs w:val="22"/>
          <w:lang w:val="es-CO"/>
        </w:rPr>
        <w:t xml:space="preserve"> de las plantas que no corresponden. </w:t>
      </w:r>
    </w:p>
    <w:p w14:paraId="39BB492F" w14:textId="77777777" w:rsidR="003F7400" w:rsidRDefault="003F7400" w:rsidP="0038050C">
      <w:pPr>
        <w:rPr>
          <w:sz w:val="22"/>
        </w:rPr>
      </w:pPr>
    </w:p>
    <w:p w14:paraId="78A2286C" w14:textId="77777777" w:rsidR="003F7400" w:rsidRDefault="003F7400" w:rsidP="0038050C">
      <w:pPr>
        <w:rPr>
          <w:sz w:val="22"/>
        </w:rPr>
      </w:pPr>
    </w:p>
    <w:p w14:paraId="48A928F8" w14:textId="0E82A780" w:rsidR="00E6089E" w:rsidRDefault="00E6089E" w:rsidP="00E6089E">
      <w:pPr>
        <w:pStyle w:val="Ttulo1"/>
        <w:numPr>
          <w:ilvl w:val="0"/>
          <w:numId w:val="14"/>
        </w:numPr>
        <w:spacing w:after="0"/>
        <w:ind w:left="431" w:hanging="431"/>
        <w:rPr>
          <w:sz w:val="22"/>
        </w:rPr>
      </w:pPr>
      <w:bookmarkStart w:id="19" w:name="_Toc153295203"/>
      <w:bookmarkStart w:id="20" w:name="_Toc153295271"/>
      <w:bookmarkStart w:id="21" w:name="_Toc153295511"/>
      <w:r>
        <w:rPr>
          <w:sz w:val="22"/>
        </w:rPr>
        <w:t>OBJETIVOS</w:t>
      </w:r>
      <w:bookmarkEnd w:id="19"/>
      <w:bookmarkEnd w:id="20"/>
      <w:bookmarkEnd w:id="21"/>
    </w:p>
    <w:p w14:paraId="372D120D" w14:textId="77777777" w:rsidR="00E6089E" w:rsidRDefault="00E6089E" w:rsidP="0038050C">
      <w:pPr>
        <w:rPr>
          <w:sz w:val="22"/>
        </w:rPr>
      </w:pPr>
    </w:p>
    <w:p w14:paraId="43B84531" w14:textId="77777777" w:rsidR="00E6089E" w:rsidRDefault="00E6089E" w:rsidP="00E6089E">
      <w:pPr>
        <w:rPr>
          <w:sz w:val="22"/>
          <w:szCs w:val="22"/>
        </w:rPr>
      </w:pPr>
      <w:r>
        <w:rPr>
          <w:sz w:val="22"/>
          <w:szCs w:val="22"/>
        </w:rPr>
        <w:t>Los objetivos del ajuste regulatorio son:</w:t>
      </w:r>
    </w:p>
    <w:p w14:paraId="0F4332FC" w14:textId="77777777" w:rsidR="00E6089E" w:rsidRPr="00F92200" w:rsidRDefault="00E6089E" w:rsidP="00E6089E">
      <w:pPr>
        <w:rPr>
          <w:sz w:val="22"/>
          <w:szCs w:val="22"/>
        </w:rPr>
      </w:pPr>
    </w:p>
    <w:p w14:paraId="20079A48" w14:textId="77777777" w:rsidR="00E6089E" w:rsidRDefault="00E6089E" w:rsidP="00E6089E">
      <w:pPr>
        <w:pStyle w:val="Prrafodelista"/>
        <w:numPr>
          <w:ilvl w:val="0"/>
          <w:numId w:val="18"/>
        </w:numPr>
        <w:ind w:left="426"/>
        <w:rPr>
          <w:sz w:val="22"/>
          <w:szCs w:val="22"/>
        </w:rPr>
      </w:pPr>
      <w:r>
        <w:rPr>
          <w:sz w:val="22"/>
          <w:szCs w:val="22"/>
        </w:rPr>
        <w:t>Desvincular el cálculo del NPV y NEP</w:t>
      </w:r>
    </w:p>
    <w:p w14:paraId="5EB6807D" w14:textId="77777777" w:rsidR="00E6089E" w:rsidRDefault="00E6089E" w:rsidP="00E6089E">
      <w:pPr>
        <w:pStyle w:val="Prrafodelista"/>
        <w:numPr>
          <w:ilvl w:val="0"/>
          <w:numId w:val="18"/>
        </w:numPr>
        <w:ind w:left="426"/>
        <w:rPr>
          <w:sz w:val="22"/>
          <w:szCs w:val="22"/>
        </w:rPr>
      </w:pPr>
      <w:r>
        <w:rPr>
          <w:sz w:val="22"/>
          <w:szCs w:val="22"/>
        </w:rPr>
        <w:t>Establecer un método de actualización del NEP y NPV</w:t>
      </w:r>
    </w:p>
    <w:p w14:paraId="1A6C2E6D" w14:textId="77777777" w:rsidR="00E6089E" w:rsidRDefault="00E6089E" w:rsidP="00E6089E">
      <w:pPr>
        <w:pStyle w:val="Prrafodelista"/>
        <w:numPr>
          <w:ilvl w:val="0"/>
          <w:numId w:val="18"/>
        </w:numPr>
        <w:ind w:left="426"/>
        <w:rPr>
          <w:sz w:val="22"/>
          <w:szCs w:val="22"/>
        </w:rPr>
      </w:pPr>
      <w:r>
        <w:rPr>
          <w:sz w:val="22"/>
          <w:szCs w:val="22"/>
        </w:rPr>
        <w:t>Establecer una actualización inmediata del NEP y NPV.</w:t>
      </w:r>
    </w:p>
    <w:p w14:paraId="246EE019" w14:textId="77777777" w:rsidR="00E6089E" w:rsidRDefault="00E6089E" w:rsidP="0038050C">
      <w:pPr>
        <w:rPr>
          <w:sz w:val="22"/>
        </w:rPr>
      </w:pPr>
    </w:p>
    <w:p w14:paraId="24757228" w14:textId="77777777" w:rsidR="00E6089E" w:rsidRDefault="00E6089E" w:rsidP="0038050C">
      <w:pPr>
        <w:rPr>
          <w:sz w:val="22"/>
        </w:rPr>
      </w:pPr>
    </w:p>
    <w:p w14:paraId="44311F5C" w14:textId="77777777" w:rsidR="00E6089E" w:rsidRPr="00CC3C2E" w:rsidRDefault="00E6089E" w:rsidP="00E6089E">
      <w:pPr>
        <w:pStyle w:val="Ttulo1"/>
        <w:rPr>
          <w:rFonts w:cs="Arial"/>
          <w:b w:val="0"/>
        </w:rPr>
      </w:pPr>
      <w:bookmarkStart w:id="22" w:name="_Toc136430316"/>
      <w:bookmarkStart w:id="23" w:name="_Toc149224422"/>
      <w:bookmarkStart w:id="24" w:name="_Toc153295204"/>
      <w:bookmarkStart w:id="25" w:name="_Toc153295272"/>
      <w:bookmarkStart w:id="26" w:name="_Toc153295512"/>
      <w:r w:rsidRPr="00CC3C2E">
        <w:t>ALTERNATIVAS</w:t>
      </w:r>
      <w:bookmarkEnd w:id="22"/>
      <w:bookmarkEnd w:id="23"/>
      <w:bookmarkEnd w:id="24"/>
      <w:bookmarkEnd w:id="25"/>
      <w:bookmarkEnd w:id="26"/>
    </w:p>
    <w:p w14:paraId="5B17721A" w14:textId="77777777" w:rsidR="00E6089E" w:rsidRDefault="00E6089E" w:rsidP="00E6089E">
      <w:pPr>
        <w:rPr>
          <w:sz w:val="22"/>
        </w:rPr>
      </w:pPr>
      <w:r w:rsidRPr="00706FF1">
        <w:rPr>
          <w:sz w:val="22"/>
        </w:rPr>
        <w:t>A este respecto</w:t>
      </w:r>
      <w:r>
        <w:rPr>
          <w:sz w:val="22"/>
        </w:rPr>
        <w:t>, se evalúan las siguientes alternativas:</w:t>
      </w:r>
    </w:p>
    <w:p w14:paraId="2D813A98" w14:textId="77777777" w:rsidR="00E6089E" w:rsidRPr="00722E94" w:rsidRDefault="00E6089E" w:rsidP="00E6089E">
      <w:pPr>
        <w:rPr>
          <w:sz w:val="22"/>
        </w:rPr>
      </w:pPr>
    </w:p>
    <w:p w14:paraId="51B1A951" w14:textId="77777777" w:rsidR="00E6089E" w:rsidRPr="003F1D2E" w:rsidRDefault="00E6089E" w:rsidP="00E6089E">
      <w:pPr>
        <w:pStyle w:val="Ttulo2"/>
        <w:rPr>
          <w:sz w:val="22"/>
        </w:rPr>
      </w:pPr>
      <w:bookmarkStart w:id="27" w:name="_Toc153295205"/>
      <w:bookmarkStart w:id="28" w:name="_Toc153295273"/>
      <w:bookmarkStart w:id="29" w:name="_Toc153295513"/>
      <w:r w:rsidRPr="003F1D2E">
        <w:t>Alternativa 1: No realizar cambios regulatorios.</w:t>
      </w:r>
      <w:bookmarkEnd w:id="27"/>
      <w:bookmarkEnd w:id="28"/>
      <w:bookmarkEnd w:id="29"/>
      <w:r w:rsidRPr="003F1D2E">
        <w:t xml:space="preserve"> </w:t>
      </w:r>
    </w:p>
    <w:p w14:paraId="27B968EF" w14:textId="4806496C" w:rsidR="00E6089E" w:rsidRPr="00722E94" w:rsidRDefault="00E6089E" w:rsidP="00E6089E">
      <w:pPr>
        <w:rPr>
          <w:sz w:val="22"/>
          <w:szCs w:val="22"/>
        </w:rPr>
      </w:pPr>
      <w:r w:rsidRPr="5D47B6DF">
        <w:rPr>
          <w:sz w:val="22"/>
          <w:szCs w:val="22"/>
        </w:rPr>
        <w:t xml:space="preserve">No hacer cambios regulatorios hace parte de todos los análisis de impacto normativo, AIN; sin embargo, en este caso no es una opción viable, dado que no se estaría </w:t>
      </w:r>
      <w:r>
        <w:rPr>
          <w:sz w:val="22"/>
          <w:szCs w:val="22"/>
        </w:rPr>
        <w:t>actualizando el NEP y NPV con las consecuencias ya identificadas</w:t>
      </w:r>
      <w:r w:rsidRPr="5D47B6DF">
        <w:rPr>
          <w:sz w:val="22"/>
          <w:szCs w:val="22"/>
        </w:rPr>
        <w:t xml:space="preserve">. </w:t>
      </w:r>
    </w:p>
    <w:p w14:paraId="0EFB70DE" w14:textId="77777777" w:rsidR="00E6089E" w:rsidRDefault="00E6089E" w:rsidP="00E6089E">
      <w:pPr>
        <w:rPr>
          <w:sz w:val="22"/>
        </w:rPr>
      </w:pPr>
    </w:p>
    <w:p w14:paraId="5F25B888" w14:textId="77777777" w:rsidR="00E6089E" w:rsidRPr="003F1D2E" w:rsidRDefault="00E6089E" w:rsidP="00E6089E">
      <w:pPr>
        <w:pStyle w:val="Ttulo2"/>
        <w:rPr>
          <w:sz w:val="22"/>
        </w:rPr>
      </w:pPr>
      <w:bookmarkStart w:id="30" w:name="_Ref141953722"/>
      <w:bookmarkStart w:id="31" w:name="_Toc153295206"/>
      <w:bookmarkStart w:id="32" w:name="_Toc153295274"/>
      <w:bookmarkStart w:id="33" w:name="_Toc153295514"/>
      <w:r w:rsidRPr="003F1D2E">
        <w:t>Alternativa 2</w:t>
      </w:r>
      <w:bookmarkEnd w:id="30"/>
      <w:r>
        <w:t>: actualización de lineamientos para declaración del NPV y NEP</w:t>
      </w:r>
      <w:bookmarkEnd w:id="31"/>
      <w:bookmarkEnd w:id="32"/>
      <w:bookmarkEnd w:id="33"/>
      <w:r>
        <w:t xml:space="preserve"> </w:t>
      </w:r>
      <w:r w:rsidRPr="003F1D2E">
        <w:t xml:space="preserve"> </w:t>
      </w:r>
    </w:p>
    <w:p w14:paraId="452528F9" w14:textId="77777777" w:rsidR="00E6089E" w:rsidRDefault="00E6089E" w:rsidP="00E6089E">
      <w:pPr>
        <w:rPr>
          <w:sz w:val="22"/>
          <w:szCs w:val="22"/>
        </w:rPr>
      </w:pPr>
      <w:r w:rsidRPr="00090AD2">
        <w:rPr>
          <w:sz w:val="22"/>
          <w:szCs w:val="22"/>
        </w:rPr>
        <w:t>L</w:t>
      </w:r>
      <w:r>
        <w:rPr>
          <w:sz w:val="22"/>
          <w:szCs w:val="22"/>
        </w:rPr>
        <w:t>a</w:t>
      </w:r>
      <w:r w:rsidRPr="00090AD2">
        <w:rPr>
          <w:sz w:val="22"/>
          <w:szCs w:val="22"/>
        </w:rPr>
        <w:t xml:space="preserve"> propuesta de ajuste</w:t>
      </w:r>
      <w:r>
        <w:rPr>
          <w:sz w:val="22"/>
          <w:szCs w:val="22"/>
        </w:rPr>
        <w:t xml:space="preserve"> se presenta en resumen en la siguiente figura:</w:t>
      </w:r>
    </w:p>
    <w:p w14:paraId="3414B7F5" w14:textId="77777777" w:rsidR="00E6089E" w:rsidRDefault="00E6089E" w:rsidP="00E6089E">
      <w:pPr>
        <w:rPr>
          <w:sz w:val="22"/>
          <w:szCs w:val="22"/>
        </w:rPr>
      </w:pPr>
    </w:p>
    <w:p w14:paraId="0BAEA007" w14:textId="7A54DEC8" w:rsidR="00E6089E" w:rsidRDefault="00E6089E" w:rsidP="00E6089E">
      <w:pPr>
        <w:rPr>
          <w:sz w:val="22"/>
          <w:szCs w:val="22"/>
        </w:rPr>
      </w:pPr>
      <w:r>
        <w:rPr>
          <w:noProof/>
          <w:sz w:val="22"/>
          <w:szCs w:val="22"/>
        </w:rPr>
        <w:lastRenderedPageBreak/>
        <w:drawing>
          <wp:inline distT="0" distB="0" distL="0" distR="0" wp14:anchorId="3F6B77E4" wp14:editId="0C405E93">
            <wp:extent cx="6310091" cy="2934586"/>
            <wp:effectExtent l="0" t="0" r="0" b="0"/>
            <wp:docPr id="514292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2394" cy="2940307"/>
                    </a:xfrm>
                    <a:prstGeom prst="rect">
                      <a:avLst/>
                    </a:prstGeom>
                    <a:noFill/>
                  </pic:spPr>
                </pic:pic>
              </a:graphicData>
            </a:graphic>
          </wp:inline>
        </w:drawing>
      </w:r>
    </w:p>
    <w:p w14:paraId="69C3B7B9" w14:textId="77777777" w:rsidR="00E6089E" w:rsidRDefault="00E6089E" w:rsidP="00E6089E">
      <w:pPr>
        <w:rPr>
          <w:sz w:val="22"/>
          <w:szCs w:val="22"/>
        </w:rPr>
      </w:pPr>
    </w:p>
    <w:p w14:paraId="393DA858" w14:textId="2589A693" w:rsidR="00E6089E" w:rsidRDefault="00E6089E" w:rsidP="00E6089E">
      <w:pPr>
        <w:pStyle w:val="Descripcin"/>
      </w:pPr>
      <w:bookmarkStart w:id="34" w:name="_Toc153295284"/>
      <w:r>
        <w:t xml:space="preserve">Ilustración </w:t>
      </w:r>
      <w:r>
        <w:fldChar w:fldCharType="begin"/>
      </w:r>
      <w:r>
        <w:instrText xml:space="preserve"> SEQ Ilustración \* ARABIC </w:instrText>
      </w:r>
      <w:r>
        <w:fldChar w:fldCharType="separate"/>
      </w:r>
      <w:r w:rsidR="009E0702">
        <w:rPr>
          <w:noProof/>
        </w:rPr>
        <w:t>6</w:t>
      </w:r>
      <w:r>
        <w:fldChar w:fldCharType="end"/>
      </w:r>
      <w:r>
        <w:t xml:space="preserve"> Propuesta de actualización de lineamientos de declaración del NPV y NEP</w:t>
      </w:r>
      <w:bookmarkEnd w:id="34"/>
    </w:p>
    <w:p w14:paraId="11A2C5AE" w14:textId="77777777" w:rsidR="00E6089E" w:rsidRDefault="00E6089E" w:rsidP="00E6089E">
      <w:pPr>
        <w:rPr>
          <w:sz w:val="22"/>
          <w:szCs w:val="22"/>
        </w:rPr>
      </w:pPr>
    </w:p>
    <w:p w14:paraId="4C92D908" w14:textId="77777777" w:rsidR="00E6089E" w:rsidRDefault="00E6089E" w:rsidP="00E6089E">
      <w:pPr>
        <w:rPr>
          <w:sz w:val="22"/>
          <w:szCs w:val="22"/>
        </w:rPr>
      </w:pPr>
      <w:r w:rsidRPr="00C35490">
        <w:rPr>
          <w:sz w:val="22"/>
          <w:szCs w:val="22"/>
        </w:rPr>
        <w:t>La propuesta básicamente es:</w:t>
      </w:r>
    </w:p>
    <w:p w14:paraId="389CEA70" w14:textId="77777777" w:rsidR="00E6089E" w:rsidRDefault="00E6089E" w:rsidP="00E6089E">
      <w:pPr>
        <w:rPr>
          <w:sz w:val="22"/>
          <w:szCs w:val="22"/>
        </w:rPr>
      </w:pPr>
    </w:p>
    <w:p w14:paraId="76DA9F0E" w14:textId="3D45CF2A" w:rsidR="00E6089E" w:rsidRDefault="00E6089E" w:rsidP="00E6089E">
      <w:pPr>
        <w:pStyle w:val="Prrafodelista"/>
        <w:numPr>
          <w:ilvl w:val="0"/>
          <w:numId w:val="19"/>
        </w:numPr>
        <w:ind w:left="426"/>
        <w:rPr>
          <w:sz w:val="22"/>
          <w:szCs w:val="22"/>
        </w:rPr>
      </w:pPr>
      <w:r>
        <w:rPr>
          <w:sz w:val="22"/>
          <w:szCs w:val="22"/>
        </w:rPr>
        <w:t>El NPV conservará las mismas causales de modificación de que trata el parágrafo 2 del artículo 2 de la Resolución CREG 036 de 2010, sin incluir el criterio de cambios de +- 10% de valores en ENFICC</w:t>
      </w:r>
      <w:r w:rsidR="00B363CA">
        <w:rPr>
          <w:sz w:val="22"/>
          <w:szCs w:val="22"/>
        </w:rPr>
        <w:t>. Es decir, las causales de modificación son</w:t>
      </w:r>
      <w:r>
        <w:rPr>
          <w:sz w:val="22"/>
          <w:szCs w:val="22"/>
        </w:rPr>
        <w:t xml:space="preserve">: </w:t>
      </w:r>
    </w:p>
    <w:p w14:paraId="3C14CA28" w14:textId="77777777" w:rsidR="00E6089E" w:rsidRDefault="00E6089E" w:rsidP="00E6089E">
      <w:pPr>
        <w:pStyle w:val="Prrafodelista"/>
        <w:ind w:left="426"/>
        <w:rPr>
          <w:sz w:val="22"/>
          <w:szCs w:val="22"/>
        </w:rPr>
      </w:pPr>
    </w:p>
    <w:p w14:paraId="049C33EE" w14:textId="77777777" w:rsidR="00E6089E" w:rsidRPr="0024338A" w:rsidRDefault="00E6089E" w:rsidP="00E6089E">
      <w:pPr>
        <w:pStyle w:val="Prrafodelista"/>
        <w:rPr>
          <w:i/>
          <w:iCs/>
          <w:sz w:val="22"/>
          <w:szCs w:val="22"/>
        </w:rPr>
      </w:pPr>
      <w:r w:rsidRPr="0024338A">
        <w:rPr>
          <w:i/>
          <w:iCs/>
          <w:sz w:val="22"/>
          <w:szCs w:val="22"/>
        </w:rPr>
        <w:t xml:space="preserve">(…) por: i) obras en el embalse, </w:t>
      </w:r>
      <w:proofErr w:type="spellStart"/>
      <w:r w:rsidRPr="0024338A">
        <w:rPr>
          <w:i/>
          <w:iCs/>
          <w:sz w:val="22"/>
          <w:szCs w:val="22"/>
        </w:rPr>
        <w:t>ii</w:t>
      </w:r>
      <w:proofErr w:type="spellEnd"/>
      <w:r w:rsidRPr="0024338A">
        <w:rPr>
          <w:i/>
          <w:iCs/>
          <w:sz w:val="22"/>
          <w:szCs w:val="22"/>
        </w:rPr>
        <w:t xml:space="preserve">) una restricción ambiental sustentada en un acto administrativo de una autoridad ambiental, </w:t>
      </w:r>
      <w:proofErr w:type="spellStart"/>
      <w:r w:rsidRPr="0024338A">
        <w:rPr>
          <w:i/>
          <w:iCs/>
          <w:sz w:val="22"/>
          <w:szCs w:val="22"/>
        </w:rPr>
        <w:t>iii</w:t>
      </w:r>
      <w:proofErr w:type="spellEnd"/>
      <w:r w:rsidRPr="0024338A">
        <w:rPr>
          <w:i/>
          <w:iCs/>
          <w:sz w:val="22"/>
          <w:szCs w:val="22"/>
        </w:rPr>
        <w:t xml:space="preserve">) condición física en el embalse sustentada en estudios con mediciones que demuestren el cambio o </w:t>
      </w:r>
      <w:proofErr w:type="spellStart"/>
      <w:r w:rsidRPr="0024338A">
        <w:rPr>
          <w:i/>
          <w:iCs/>
          <w:sz w:val="22"/>
          <w:szCs w:val="22"/>
        </w:rPr>
        <w:t>iv</w:t>
      </w:r>
      <w:proofErr w:type="spellEnd"/>
      <w:r w:rsidRPr="0024338A">
        <w:rPr>
          <w:i/>
          <w:iCs/>
          <w:sz w:val="22"/>
          <w:szCs w:val="22"/>
        </w:rPr>
        <w:t>) trasvases (…)</w:t>
      </w:r>
    </w:p>
    <w:p w14:paraId="7780EB4D" w14:textId="77777777" w:rsidR="00E6089E" w:rsidRDefault="00E6089E" w:rsidP="00E6089E">
      <w:pPr>
        <w:pStyle w:val="Prrafodelista"/>
        <w:ind w:left="426"/>
        <w:rPr>
          <w:sz w:val="22"/>
          <w:szCs w:val="22"/>
        </w:rPr>
      </w:pPr>
    </w:p>
    <w:p w14:paraId="27CFF1DE" w14:textId="77777777" w:rsidR="00E6089E" w:rsidRDefault="00E6089E" w:rsidP="00E6089E">
      <w:pPr>
        <w:pStyle w:val="Prrafodelista"/>
        <w:ind w:left="426"/>
        <w:rPr>
          <w:sz w:val="22"/>
          <w:szCs w:val="22"/>
        </w:rPr>
      </w:pPr>
      <w:r>
        <w:rPr>
          <w:sz w:val="22"/>
          <w:szCs w:val="22"/>
        </w:rPr>
        <w:t>No obstante, por criterios de igualdad, plantas que no tengan ENFICC calculada, también podran acceder a la actualización del NPV por las mismas causales.</w:t>
      </w:r>
    </w:p>
    <w:p w14:paraId="6F7EA617" w14:textId="77777777" w:rsidR="00E6089E" w:rsidRDefault="00E6089E" w:rsidP="00E6089E">
      <w:pPr>
        <w:pStyle w:val="Prrafodelista"/>
        <w:ind w:left="426"/>
        <w:rPr>
          <w:sz w:val="22"/>
          <w:szCs w:val="22"/>
        </w:rPr>
      </w:pPr>
    </w:p>
    <w:p w14:paraId="68B6B564" w14:textId="77777777" w:rsidR="00E6089E" w:rsidRDefault="00E6089E" w:rsidP="00E6089E">
      <w:pPr>
        <w:pStyle w:val="Prrafodelista"/>
        <w:numPr>
          <w:ilvl w:val="0"/>
          <w:numId w:val="19"/>
        </w:numPr>
        <w:ind w:left="426"/>
        <w:rPr>
          <w:sz w:val="22"/>
          <w:szCs w:val="22"/>
        </w:rPr>
      </w:pPr>
      <w:r>
        <w:rPr>
          <w:sz w:val="22"/>
          <w:szCs w:val="22"/>
        </w:rPr>
        <w:t xml:space="preserve">Se adicionará que la Comisión podrá solicitar vía circular la actualización del NPV en cualquier momento del tiempo. </w:t>
      </w:r>
    </w:p>
    <w:p w14:paraId="4459B30A" w14:textId="77777777" w:rsidR="00E6089E" w:rsidRDefault="00E6089E" w:rsidP="00E6089E">
      <w:pPr>
        <w:pStyle w:val="Prrafodelista"/>
        <w:ind w:left="426"/>
        <w:rPr>
          <w:sz w:val="22"/>
          <w:szCs w:val="22"/>
        </w:rPr>
      </w:pPr>
    </w:p>
    <w:p w14:paraId="40366E2F" w14:textId="231FA41A" w:rsidR="00E6089E" w:rsidRDefault="00E6089E" w:rsidP="00E6089E">
      <w:pPr>
        <w:pStyle w:val="Prrafodelista"/>
        <w:ind w:left="426"/>
        <w:rPr>
          <w:sz w:val="22"/>
          <w:szCs w:val="22"/>
        </w:rPr>
      </w:pPr>
      <w:r>
        <w:rPr>
          <w:sz w:val="22"/>
          <w:szCs w:val="22"/>
        </w:rPr>
        <w:t xml:space="preserve">Esto dado que CND puede identificar situaciones en la operación </w:t>
      </w:r>
      <w:r w:rsidR="00B363CA">
        <w:rPr>
          <w:sz w:val="22"/>
          <w:szCs w:val="22"/>
        </w:rPr>
        <w:t>que ameriten una actualización</w:t>
      </w:r>
      <w:r>
        <w:rPr>
          <w:sz w:val="22"/>
          <w:szCs w:val="22"/>
        </w:rPr>
        <w:t>. El CND podrá solicitar esto a la Comisión por su propia iniciativa.</w:t>
      </w:r>
    </w:p>
    <w:p w14:paraId="032DDBF7" w14:textId="77777777" w:rsidR="00E6089E" w:rsidRDefault="00E6089E" w:rsidP="00E6089E">
      <w:pPr>
        <w:pStyle w:val="Prrafodelista"/>
        <w:ind w:left="426"/>
        <w:rPr>
          <w:sz w:val="22"/>
          <w:szCs w:val="22"/>
        </w:rPr>
      </w:pPr>
    </w:p>
    <w:p w14:paraId="115C52DF" w14:textId="137BBC77" w:rsidR="00E6089E" w:rsidRDefault="00E6089E" w:rsidP="00E6089E">
      <w:pPr>
        <w:pStyle w:val="Prrafodelista"/>
        <w:numPr>
          <w:ilvl w:val="0"/>
          <w:numId w:val="19"/>
        </w:numPr>
        <w:ind w:left="426"/>
        <w:rPr>
          <w:sz w:val="22"/>
          <w:szCs w:val="22"/>
        </w:rPr>
      </w:pPr>
      <w:r>
        <w:rPr>
          <w:sz w:val="22"/>
          <w:szCs w:val="22"/>
        </w:rPr>
        <w:t xml:space="preserve">Con el fin de tener un mecanismo de verificación del valor del NPV y que sea revisado por la Superintendencia de Servicios Públicos Domiciliarios (SSPD), el agente deberá diseñar una metodología de cálculo replicable. </w:t>
      </w:r>
    </w:p>
    <w:p w14:paraId="69955C13" w14:textId="77777777" w:rsidR="00E6089E" w:rsidRDefault="00E6089E" w:rsidP="00E6089E">
      <w:pPr>
        <w:pStyle w:val="Prrafodelista"/>
        <w:ind w:left="426"/>
        <w:rPr>
          <w:sz w:val="22"/>
          <w:szCs w:val="22"/>
        </w:rPr>
      </w:pPr>
    </w:p>
    <w:p w14:paraId="18D832E1" w14:textId="1BC0B31F" w:rsidR="00E6089E" w:rsidRDefault="00E6089E" w:rsidP="00E6089E">
      <w:pPr>
        <w:pStyle w:val="Prrafodelista"/>
        <w:ind w:left="426"/>
        <w:rPr>
          <w:sz w:val="22"/>
          <w:szCs w:val="22"/>
        </w:rPr>
      </w:pPr>
      <w:r>
        <w:rPr>
          <w:sz w:val="22"/>
          <w:szCs w:val="22"/>
        </w:rPr>
        <w:t xml:space="preserve">Se elimina lo del proyecto de Resolución CREG 701 016 de 2023 de que la Comisión establece requerimientos </w:t>
      </w:r>
      <w:proofErr w:type="gramStart"/>
      <w:r>
        <w:rPr>
          <w:sz w:val="22"/>
          <w:szCs w:val="22"/>
        </w:rPr>
        <w:t>a</w:t>
      </w:r>
      <w:proofErr w:type="gramEnd"/>
      <w:r>
        <w:rPr>
          <w:sz w:val="22"/>
          <w:szCs w:val="22"/>
        </w:rPr>
        <w:t xml:space="preserve"> tener en cuenta mediante circular. </w:t>
      </w:r>
    </w:p>
    <w:p w14:paraId="1DE3FB13" w14:textId="77777777" w:rsidR="00E6089E" w:rsidRDefault="00E6089E" w:rsidP="00E6089E">
      <w:pPr>
        <w:pStyle w:val="Prrafodelista"/>
        <w:ind w:left="426"/>
        <w:rPr>
          <w:sz w:val="22"/>
          <w:szCs w:val="22"/>
        </w:rPr>
      </w:pPr>
    </w:p>
    <w:p w14:paraId="4E23CC03" w14:textId="1ABE21ED" w:rsidR="00E6089E" w:rsidRDefault="00E6089E" w:rsidP="00E6089E">
      <w:pPr>
        <w:pStyle w:val="Prrafodelista"/>
        <w:ind w:left="426"/>
        <w:rPr>
          <w:sz w:val="22"/>
          <w:szCs w:val="22"/>
        </w:rPr>
      </w:pPr>
      <w:r>
        <w:rPr>
          <w:sz w:val="22"/>
          <w:szCs w:val="22"/>
        </w:rPr>
        <w:lastRenderedPageBreak/>
        <w:t xml:space="preserve">En todo caso, en </w:t>
      </w:r>
      <w:r w:rsidR="00BB4E37">
        <w:rPr>
          <w:sz w:val="22"/>
          <w:szCs w:val="22"/>
        </w:rPr>
        <w:t>la</w:t>
      </w:r>
      <w:r>
        <w:rPr>
          <w:sz w:val="22"/>
          <w:szCs w:val="22"/>
        </w:rPr>
        <w:t xml:space="preserve"> metodología debe tener</w:t>
      </w:r>
      <w:r w:rsidR="00BB4E37">
        <w:rPr>
          <w:sz w:val="22"/>
          <w:szCs w:val="22"/>
        </w:rPr>
        <w:t>se</w:t>
      </w:r>
      <w:r>
        <w:rPr>
          <w:sz w:val="22"/>
          <w:szCs w:val="22"/>
        </w:rPr>
        <w:t xml:space="preserve"> en cuenta que el NPV solo podrá modificarse por las causales antes citadas.</w:t>
      </w:r>
    </w:p>
    <w:p w14:paraId="4E566D33" w14:textId="77777777" w:rsidR="00E6089E" w:rsidRDefault="00E6089E" w:rsidP="00E6089E">
      <w:pPr>
        <w:pStyle w:val="Prrafodelista"/>
        <w:ind w:left="426"/>
        <w:rPr>
          <w:sz w:val="22"/>
          <w:szCs w:val="22"/>
        </w:rPr>
      </w:pPr>
    </w:p>
    <w:p w14:paraId="64A81CC2" w14:textId="77777777" w:rsidR="00E6089E" w:rsidRDefault="00E6089E" w:rsidP="00E6089E">
      <w:pPr>
        <w:pStyle w:val="Prrafodelista"/>
        <w:numPr>
          <w:ilvl w:val="0"/>
          <w:numId w:val="19"/>
        </w:numPr>
        <w:ind w:left="426"/>
        <w:rPr>
          <w:sz w:val="22"/>
          <w:szCs w:val="22"/>
        </w:rPr>
      </w:pPr>
      <w:r>
        <w:rPr>
          <w:sz w:val="22"/>
          <w:szCs w:val="22"/>
        </w:rPr>
        <w:t xml:space="preserve">El tiempo de actualización del NPV es el mismo de la Resolución CREG 036 de 2010, que es de cinco días hábiles.  </w:t>
      </w:r>
    </w:p>
    <w:p w14:paraId="20643983" w14:textId="77777777" w:rsidR="00E6089E" w:rsidRDefault="00E6089E" w:rsidP="00E6089E">
      <w:pPr>
        <w:pStyle w:val="Prrafodelista"/>
        <w:ind w:left="426"/>
        <w:rPr>
          <w:sz w:val="22"/>
          <w:szCs w:val="22"/>
        </w:rPr>
      </w:pPr>
    </w:p>
    <w:p w14:paraId="3FFF13CE" w14:textId="77777777" w:rsidR="00E6089E" w:rsidRDefault="00E6089E" w:rsidP="00E6089E">
      <w:pPr>
        <w:pStyle w:val="Prrafodelista"/>
        <w:ind w:left="426"/>
        <w:rPr>
          <w:sz w:val="22"/>
          <w:szCs w:val="22"/>
        </w:rPr>
      </w:pPr>
      <w:r>
        <w:rPr>
          <w:sz w:val="22"/>
          <w:szCs w:val="22"/>
        </w:rPr>
        <w:t xml:space="preserve">Sin embargo, aquí se incluye una actualización inmediata del NPV en el cual el objetivo es tener una metodología diseñada y que pueda ser usada. </w:t>
      </w:r>
    </w:p>
    <w:p w14:paraId="37A7AF09" w14:textId="77777777" w:rsidR="00E6089E" w:rsidRDefault="00E6089E" w:rsidP="00E6089E">
      <w:pPr>
        <w:pStyle w:val="Prrafodelista"/>
        <w:ind w:left="426"/>
        <w:rPr>
          <w:sz w:val="22"/>
          <w:szCs w:val="22"/>
        </w:rPr>
      </w:pPr>
    </w:p>
    <w:p w14:paraId="36F2C702" w14:textId="5E2E7CF5" w:rsidR="00E6089E" w:rsidRDefault="00E6089E" w:rsidP="00E6089E">
      <w:pPr>
        <w:pStyle w:val="Prrafodelista"/>
        <w:ind w:left="426"/>
        <w:rPr>
          <w:sz w:val="22"/>
          <w:szCs w:val="22"/>
        </w:rPr>
      </w:pPr>
      <w:r>
        <w:rPr>
          <w:sz w:val="22"/>
          <w:szCs w:val="22"/>
        </w:rPr>
        <w:t xml:space="preserve">En los comentarios al proyecto de Resolución CREG 701 016 de 2023 los agentes solicitaron un plazo de 30 días para tener el diseño metodológico y la nueva declaración del NPV. Se acepta el comentario y se incluye dicho plazo. </w:t>
      </w:r>
    </w:p>
    <w:p w14:paraId="1AC9704B" w14:textId="77777777" w:rsidR="00E6089E" w:rsidRDefault="00E6089E" w:rsidP="00E6089E">
      <w:pPr>
        <w:pStyle w:val="Prrafodelista"/>
        <w:ind w:left="426"/>
        <w:rPr>
          <w:sz w:val="22"/>
          <w:szCs w:val="22"/>
        </w:rPr>
      </w:pPr>
    </w:p>
    <w:p w14:paraId="3CE5BB8C" w14:textId="387CB4F8" w:rsidR="00E6089E" w:rsidRDefault="00E6089E" w:rsidP="00E6089E">
      <w:pPr>
        <w:pStyle w:val="Prrafodelista"/>
        <w:ind w:left="426"/>
        <w:rPr>
          <w:sz w:val="22"/>
          <w:szCs w:val="22"/>
        </w:rPr>
      </w:pPr>
      <w:r>
        <w:rPr>
          <w:sz w:val="22"/>
          <w:szCs w:val="22"/>
        </w:rPr>
        <w:t xml:space="preserve">Por lo tanto, para esta primera vez, el tiempo será de 30 días hábiles para construir la metodología y declarar el NPV. Luego, entendiendo que ya tienen un diseño metodológico, pueden seguir declarando cambios en 5 días hábiles. </w:t>
      </w:r>
    </w:p>
    <w:p w14:paraId="242A5266" w14:textId="77777777" w:rsidR="00BB4E37" w:rsidRDefault="00BB4E37" w:rsidP="00E6089E">
      <w:pPr>
        <w:pStyle w:val="Prrafodelista"/>
        <w:ind w:left="426"/>
        <w:rPr>
          <w:sz w:val="22"/>
          <w:szCs w:val="22"/>
        </w:rPr>
      </w:pPr>
    </w:p>
    <w:p w14:paraId="1AECD44C" w14:textId="07152230" w:rsidR="00BB4E37" w:rsidRDefault="00BB4E37" w:rsidP="00E6089E">
      <w:pPr>
        <w:pStyle w:val="Prrafodelista"/>
        <w:numPr>
          <w:ilvl w:val="0"/>
          <w:numId w:val="19"/>
        </w:numPr>
        <w:ind w:left="426"/>
        <w:rPr>
          <w:sz w:val="22"/>
          <w:szCs w:val="22"/>
        </w:rPr>
      </w:pPr>
      <w:r>
        <w:rPr>
          <w:sz w:val="22"/>
          <w:szCs w:val="22"/>
        </w:rPr>
        <w:t xml:space="preserve">El valor por defecto del 70% del NPV se mantiene, esto es </w:t>
      </w:r>
      <w:proofErr w:type="gramStart"/>
      <w:r>
        <w:rPr>
          <w:sz w:val="22"/>
          <w:szCs w:val="22"/>
        </w:rPr>
        <w:t>un incentivo a realizar</w:t>
      </w:r>
      <w:proofErr w:type="gramEnd"/>
      <w:r>
        <w:rPr>
          <w:sz w:val="22"/>
          <w:szCs w:val="22"/>
        </w:rPr>
        <w:t xml:space="preserve"> la declaración. </w:t>
      </w:r>
    </w:p>
    <w:p w14:paraId="31712CFB" w14:textId="77777777" w:rsidR="00BB4E37" w:rsidRDefault="00BB4E37" w:rsidP="00BB4E37">
      <w:pPr>
        <w:pStyle w:val="Prrafodelista"/>
        <w:ind w:left="426"/>
        <w:rPr>
          <w:sz w:val="22"/>
          <w:szCs w:val="22"/>
        </w:rPr>
      </w:pPr>
    </w:p>
    <w:p w14:paraId="6B4767FC" w14:textId="0A992D72" w:rsidR="00E6089E" w:rsidRDefault="00E6089E" w:rsidP="00E6089E">
      <w:pPr>
        <w:pStyle w:val="Prrafodelista"/>
        <w:numPr>
          <w:ilvl w:val="0"/>
          <w:numId w:val="19"/>
        </w:numPr>
        <w:ind w:left="426"/>
        <w:rPr>
          <w:sz w:val="22"/>
          <w:szCs w:val="22"/>
        </w:rPr>
      </w:pPr>
      <w:r w:rsidRPr="00653B13">
        <w:rPr>
          <w:sz w:val="22"/>
          <w:szCs w:val="22"/>
        </w:rPr>
        <w:t>Se incluye un</w:t>
      </w:r>
      <w:r>
        <w:rPr>
          <w:sz w:val="22"/>
          <w:szCs w:val="22"/>
        </w:rPr>
        <w:t xml:space="preserve"> procedimiento de actualización obligatorio del NEP.</w:t>
      </w:r>
    </w:p>
    <w:p w14:paraId="2D6D0FCE" w14:textId="77777777" w:rsidR="00E6089E" w:rsidRDefault="00E6089E" w:rsidP="00E6089E">
      <w:pPr>
        <w:pStyle w:val="Prrafodelista"/>
        <w:ind w:left="426"/>
        <w:rPr>
          <w:sz w:val="22"/>
          <w:szCs w:val="22"/>
        </w:rPr>
      </w:pPr>
    </w:p>
    <w:p w14:paraId="4C0422FC" w14:textId="27769B69" w:rsidR="00E6089E" w:rsidRDefault="00E6089E" w:rsidP="00E6089E">
      <w:pPr>
        <w:pStyle w:val="Prrafodelista"/>
        <w:ind w:left="426"/>
        <w:rPr>
          <w:sz w:val="22"/>
          <w:szCs w:val="22"/>
        </w:rPr>
      </w:pPr>
      <w:r>
        <w:rPr>
          <w:sz w:val="22"/>
          <w:szCs w:val="22"/>
        </w:rPr>
        <w:t xml:space="preserve">Este consiste en que </w:t>
      </w:r>
      <w:r w:rsidRPr="006409BE">
        <w:rPr>
          <w:sz w:val="22"/>
          <w:szCs w:val="22"/>
        </w:rPr>
        <w:t>se deberá declarar un nuevo NEP aplicando lo definido en el artículo 3 de la Resolución CREG 036 de 2010, cuando la ENFICC Base de una planta hidráulica cambie</w:t>
      </w:r>
      <w:r>
        <w:rPr>
          <w:sz w:val="22"/>
          <w:szCs w:val="22"/>
        </w:rPr>
        <w:t xml:space="preserve">. </w:t>
      </w:r>
    </w:p>
    <w:p w14:paraId="55BEEC85" w14:textId="77777777" w:rsidR="00E6089E" w:rsidRDefault="00E6089E" w:rsidP="00E6089E">
      <w:pPr>
        <w:pStyle w:val="Prrafodelista"/>
        <w:ind w:left="426"/>
        <w:rPr>
          <w:sz w:val="22"/>
          <w:szCs w:val="22"/>
        </w:rPr>
      </w:pPr>
    </w:p>
    <w:p w14:paraId="18849564" w14:textId="4B9F2F3A" w:rsidR="00E6089E" w:rsidRDefault="00E6089E" w:rsidP="00E6089E">
      <w:pPr>
        <w:pStyle w:val="Prrafodelista"/>
        <w:ind w:left="426"/>
        <w:rPr>
          <w:sz w:val="22"/>
          <w:szCs w:val="22"/>
        </w:rPr>
      </w:pPr>
      <w:r>
        <w:rPr>
          <w:sz w:val="22"/>
          <w:szCs w:val="22"/>
        </w:rPr>
        <w:t>También se deberá declarar un nuevo NEP cuando</w:t>
      </w:r>
      <w:r w:rsidRPr="006409BE">
        <w:rPr>
          <w:sz w:val="22"/>
          <w:szCs w:val="22"/>
        </w:rPr>
        <w:t xml:space="preserve"> los agentes tengan restricciones temporales de tipo operativo en sus embalses. </w:t>
      </w:r>
      <w:r>
        <w:rPr>
          <w:sz w:val="22"/>
          <w:szCs w:val="22"/>
        </w:rPr>
        <w:t>L</w:t>
      </w:r>
      <w:r w:rsidRPr="006409BE">
        <w:rPr>
          <w:sz w:val="22"/>
          <w:szCs w:val="22"/>
        </w:rPr>
        <w:t>a restricción deberá ser declarada junto con una curva guía máxima y mínima del embalse, que será considerada para el cálculo del NEP</w:t>
      </w:r>
      <w:r>
        <w:rPr>
          <w:sz w:val="22"/>
          <w:szCs w:val="22"/>
        </w:rPr>
        <w:t>.</w:t>
      </w:r>
      <w:r w:rsidRPr="006409BE">
        <w:rPr>
          <w:sz w:val="22"/>
          <w:szCs w:val="22"/>
        </w:rPr>
        <w:t xml:space="preserve"> </w:t>
      </w:r>
    </w:p>
    <w:p w14:paraId="3163E676" w14:textId="77777777" w:rsidR="00E6089E" w:rsidRDefault="00E6089E" w:rsidP="00E6089E">
      <w:pPr>
        <w:pStyle w:val="Prrafodelista"/>
        <w:ind w:left="426"/>
        <w:rPr>
          <w:sz w:val="22"/>
          <w:szCs w:val="22"/>
        </w:rPr>
      </w:pPr>
    </w:p>
    <w:p w14:paraId="608CFB22" w14:textId="77777777" w:rsidR="00E6089E" w:rsidRDefault="00E6089E" w:rsidP="00E6089E">
      <w:pPr>
        <w:pStyle w:val="Prrafodelista"/>
        <w:ind w:left="426"/>
        <w:rPr>
          <w:sz w:val="22"/>
          <w:szCs w:val="22"/>
        </w:rPr>
      </w:pPr>
      <w:r w:rsidRPr="006409BE">
        <w:rPr>
          <w:sz w:val="22"/>
          <w:szCs w:val="22"/>
        </w:rPr>
        <w:t xml:space="preserve">En este último caso </w:t>
      </w:r>
      <w:r>
        <w:rPr>
          <w:sz w:val="22"/>
          <w:szCs w:val="22"/>
        </w:rPr>
        <w:t xml:space="preserve">lo que se quiere cubrir es que se conozca el cambio en el NEP temporal, como por ejemplo en casos en que las plantas gestionen cambios en volumen útil, o tengan restricciones que operen de forma temporal (periodos que pueden alcanzar duración de corto, por ejemplo: 2 años), mantenimientos entre otros. </w:t>
      </w:r>
    </w:p>
    <w:p w14:paraId="1B8B1F05" w14:textId="77777777" w:rsidR="00E6089E" w:rsidRDefault="00E6089E" w:rsidP="00E6089E">
      <w:pPr>
        <w:pStyle w:val="Prrafodelista"/>
        <w:ind w:left="426"/>
        <w:rPr>
          <w:sz w:val="22"/>
          <w:szCs w:val="22"/>
        </w:rPr>
      </w:pPr>
    </w:p>
    <w:p w14:paraId="4331CA39" w14:textId="77777777" w:rsidR="00E6089E" w:rsidRPr="00090AD2" w:rsidRDefault="00E6089E" w:rsidP="00E6089E"/>
    <w:p w14:paraId="37FAB458" w14:textId="2633E099" w:rsidR="00C764F0" w:rsidRPr="00CC3C2E" w:rsidRDefault="00C764F0" w:rsidP="00C764F0">
      <w:pPr>
        <w:pStyle w:val="Ttulo1"/>
        <w:rPr>
          <w:rFonts w:cs="Arial"/>
          <w:b w:val="0"/>
        </w:rPr>
      </w:pPr>
      <w:bookmarkStart w:id="35" w:name="_Toc153295207"/>
      <w:bookmarkStart w:id="36" w:name="_Toc153295275"/>
      <w:bookmarkStart w:id="37" w:name="_Toc153295515"/>
      <w:r>
        <w:t>ANÁLISIS DE IMPACTO</w:t>
      </w:r>
      <w:bookmarkEnd w:id="35"/>
      <w:bookmarkEnd w:id="36"/>
      <w:bookmarkEnd w:id="37"/>
    </w:p>
    <w:p w14:paraId="7A341C3A" w14:textId="77777777" w:rsidR="00C764F0" w:rsidRDefault="00C764F0" w:rsidP="00C764F0">
      <w:pPr>
        <w:rPr>
          <w:rFonts w:cs="Arial"/>
          <w:sz w:val="22"/>
          <w:szCs w:val="22"/>
        </w:rPr>
      </w:pPr>
      <w:r w:rsidRPr="00E954FA">
        <w:rPr>
          <w:rFonts w:cs="Arial"/>
          <w:sz w:val="22"/>
          <w:szCs w:val="22"/>
        </w:rPr>
        <w:t>Dado que se desconoce</w:t>
      </w:r>
      <w:r>
        <w:rPr>
          <w:rFonts w:cs="Arial"/>
          <w:sz w:val="22"/>
          <w:szCs w:val="22"/>
        </w:rPr>
        <w:t>n los valores de NEP y NVP actuales, el impacto es positivo en cuanto a su actualización para favorecer la operación del sistema y conocer en todo momento las condiciones de los embalses.</w:t>
      </w:r>
    </w:p>
    <w:p w14:paraId="3C2BE943" w14:textId="77777777" w:rsidR="00C764F0" w:rsidRDefault="00C764F0" w:rsidP="00C764F0">
      <w:pPr>
        <w:rPr>
          <w:rFonts w:cs="Arial"/>
          <w:sz w:val="22"/>
          <w:szCs w:val="22"/>
        </w:rPr>
      </w:pPr>
    </w:p>
    <w:p w14:paraId="7BA0837B" w14:textId="66B8FCB2" w:rsidR="00C764F0" w:rsidRDefault="00C764F0" w:rsidP="00C764F0">
      <w:pPr>
        <w:rPr>
          <w:rFonts w:cs="Arial"/>
          <w:sz w:val="22"/>
          <w:szCs w:val="22"/>
        </w:rPr>
      </w:pPr>
      <w:r>
        <w:rPr>
          <w:rFonts w:cs="Arial"/>
          <w:sz w:val="22"/>
          <w:szCs w:val="22"/>
        </w:rPr>
        <w:t xml:space="preserve">La Comisión no encuentra que el cambio pueda catalogarse como negativo para las plantas, dado que simplemente se está permitiendo actualizar variables que permanecen fijas en el tiempo y su condición real es que su comportamiento puede variar en el tiempo. </w:t>
      </w:r>
    </w:p>
    <w:p w14:paraId="1780C44F" w14:textId="77777777" w:rsidR="00C764F0" w:rsidRDefault="00C764F0" w:rsidP="00C764F0">
      <w:pPr>
        <w:rPr>
          <w:rFonts w:cs="Arial"/>
          <w:sz w:val="22"/>
          <w:szCs w:val="22"/>
        </w:rPr>
      </w:pPr>
    </w:p>
    <w:p w14:paraId="59B78577" w14:textId="6A6CA5C7" w:rsidR="00C764F0" w:rsidRDefault="00C764F0" w:rsidP="00C764F0">
      <w:pPr>
        <w:rPr>
          <w:rFonts w:cs="Arial"/>
          <w:sz w:val="22"/>
          <w:szCs w:val="22"/>
        </w:rPr>
      </w:pPr>
      <w:r>
        <w:rPr>
          <w:rFonts w:cs="Arial"/>
          <w:sz w:val="22"/>
          <w:szCs w:val="22"/>
        </w:rPr>
        <w:t xml:space="preserve">Así mismo, no se </w:t>
      </w:r>
      <w:r w:rsidR="000D1FF1">
        <w:rPr>
          <w:rFonts w:cs="Arial"/>
          <w:sz w:val="22"/>
          <w:szCs w:val="22"/>
        </w:rPr>
        <w:t>está</w:t>
      </w:r>
      <w:r>
        <w:rPr>
          <w:rFonts w:cs="Arial"/>
          <w:sz w:val="22"/>
          <w:szCs w:val="22"/>
        </w:rPr>
        <w:t xml:space="preserve"> limitando la metodología de </w:t>
      </w:r>
      <w:r w:rsidR="000D1FF1">
        <w:rPr>
          <w:rFonts w:cs="Arial"/>
          <w:sz w:val="22"/>
          <w:szCs w:val="22"/>
        </w:rPr>
        <w:t>cálculo</w:t>
      </w:r>
      <w:r>
        <w:rPr>
          <w:rFonts w:cs="Arial"/>
          <w:sz w:val="22"/>
          <w:szCs w:val="22"/>
        </w:rPr>
        <w:t xml:space="preserve"> del NPV, con lo cual tienen mayor libertad en el diseño de la metodología</w:t>
      </w:r>
      <w:r w:rsidR="000D1FF1">
        <w:rPr>
          <w:rFonts w:cs="Arial"/>
          <w:sz w:val="22"/>
          <w:szCs w:val="22"/>
        </w:rPr>
        <w:t xml:space="preserve"> los agentes</w:t>
      </w:r>
      <w:r w:rsidR="00BB4E37">
        <w:rPr>
          <w:rFonts w:cs="Arial"/>
          <w:sz w:val="22"/>
          <w:szCs w:val="22"/>
        </w:rPr>
        <w:t>,</w:t>
      </w:r>
      <w:r w:rsidR="000D1FF1">
        <w:rPr>
          <w:rFonts w:cs="Arial"/>
          <w:sz w:val="22"/>
          <w:szCs w:val="22"/>
        </w:rPr>
        <w:t xml:space="preserve"> quienes finalmente conocen mejor sus </w:t>
      </w:r>
      <w:r w:rsidR="000D1FF1">
        <w:rPr>
          <w:rFonts w:cs="Arial"/>
          <w:sz w:val="22"/>
          <w:szCs w:val="22"/>
        </w:rPr>
        <w:lastRenderedPageBreak/>
        <w:t>condiciones constructivas y operativas</w:t>
      </w:r>
      <w:r>
        <w:rPr>
          <w:rFonts w:cs="Arial"/>
          <w:sz w:val="22"/>
          <w:szCs w:val="22"/>
        </w:rPr>
        <w:t xml:space="preserve">. En todo caso, esto debe ser replicable para que la SSPD pueda revisar e investigar. </w:t>
      </w:r>
    </w:p>
    <w:p w14:paraId="2DA51B3E" w14:textId="77777777" w:rsidR="00C764F0" w:rsidRDefault="00C764F0" w:rsidP="00E6089E">
      <w:pPr>
        <w:rPr>
          <w:sz w:val="22"/>
          <w:szCs w:val="22"/>
        </w:rPr>
      </w:pPr>
    </w:p>
    <w:p w14:paraId="1D5E8B11" w14:textId="77777777" w:rsidR="00E6089E" w:rsidRDefault="00E6089E" w:rsidP="0038050C">
      <w:pPr>
        <w:rPr>
          <w:sz w:val="22"/>
        </w:rPr>
      </w:pPr>
    </w:p>
    <w:p w14:paraId="35CEF0B7" w14:textId="77777777" w:rsidR="00C764F0" w:rsidRPr="00CC3C2E" w:rsidRDefault="00C764F0" w:rsidP="00C764F0">
      <w:pPr>
        <w:pStyle w:val="Ttulo1"/>
        <w:rPr>
          <w:rFonts w:cs="Arial"/>
          <w:b w:val="0"/>
        </w:rPr>
      </w:pPr>
      <w:bookmarkStart w:id="38" w:name="_Toc153295208"/>
      <w:bookmarkStart w:id="39" w:name="_Toc153295276"/>
      <w:bookmarkStart w:id="40" w:name="_Toc153295516"/>
      <w:r>
        <w:t>ANÁLISIS DE IMPACTO</w:t>
      </w:r>
      <w:bookmarkEnd w:id="38"/>
      <w:bookmarkEnd w:id="39"/>
      <w:bookmarkEnd w:id="40"/>
    </w:p>
    <w:p w14:paraId="084D8A89" w14:textId="1094B5D9" w:rsidR="00C764F0" w:rsidRDefault="00C764F0" w:rsidP="00C764F0">
      <w:pPr>
        <w:rPr>
          <w:rFonts w:cs="Arial"/>
          <w:sz w:val="22"/>
          <w:szCs w:val="22"/>
        </w:rPr>
      </w:pPr>
      <w:r w:rsidRPr="00202928">
        <w:rPr>
          <w:rFonts w:cs="Arial"/>
          <w:sz w:val="22"/>
          <w:szCs w:val="22"/>
        </w:rPr>
        <w:t>La Comisión propone publicar para consulta el proyecto de resolución con la alternativa</w:t>
      </w:r>
      <w:r>
        <w:rPr>
          <w:rFonts w:cs="Arial"/>
          <w:sz w:val="22"/>
          <w:szCs w:val="22"/>
        </w:rPr>
        <w:t xml:space="preserve"> 2 por un plazo de 10 días hábiles</w:t>
      </w:r>
      <w:r w:rsidR="009E0702">
        <w:rPr>
          <w:rFonts w:cs="Arial"/>
          <w:sz w:val="22"/>
          <w:szCs w:val="22"/>
        </w:rPr>
        <w:t>.</w:t>
      </w:r>
    </w:p>
    <w:p w14:paraId="5BAEA05C" w14:textId="77777777" w:rsidR="00097410" w:rsidRPr="00417E49" w:rsidRDefault="00097410" w:rsidP="00C764F0">
      <w:pPr>
        <w:rPr>
          <w:rFonts w:cs="Arial"/>
          <w:sz w:val="22"/>
          <w:szCs w:val="22"/>
        </w:rPr>
      </w:pPr>
    </w:p>
    <w:p w14:paraId="0C1CD698" w14:textId="26D827AA" w:rsidR="00C764F0" w:rsidRPr="00CC3C2E" w:rsidRDefault="00C764F0" w:rsidP="00C764F0">
      <w:pPr>
        <w:pStyle w:val="Ttulo1"/>
        <w:rPr>
          <w:rFonts w:cs="Arial"/>
          <w:b w:val="0"/>
        </w:rPr>
      </w:pPr>
      <w:bookmarkStart w:id="41" w:name="_Toc153295209"/>
      <w:bookmarkStart w:id="42" w:name="_Toc153295277"/>
      <w:bookmarkStart w:id="43" w:name="_Toc153295517"/>
      <w:r>
        <w:t>ÍNDICE DE SEGUIMIENTO</w:t>
      </w:r>
      <w:bookmarkEnd w:id="41"/>
      <w:bookmarkEnd w:id="42"/>
      <w:bookmarkEnd w:id="43"/>
    </w:p>
    <w:p w14:paraId="23133470" w14:textId="77777777" w:rsidR="00C764F0" w:rsidRPr="009223C3" w:rsidRDefault="00C764F0" w:rsidP="00C764F0">
      <w:pPr>
        <w:rPr>
          <w:sz w:val="22"/>
          <w:szCs w:val="22"/>
        </w:rPr>
      </w:pPr>
      <w:r w:rsidRPr="009223C3">
        <w:rPr>
          <w:sz w:val="22"/>
          <w:szCs w:val="22"/>
        </w:rPr>
        <w:t xml:space="preserve">Los índices de seguimiento serán obtenidos a través del CND así: </w:t>
      </w:r>
    </w:p>
    <w:p w14:paraId="32CF6CE7" w14:textId="77777777" w:rsidR="00C764F0" w:rsidRPr="009223C3" w:rsidRDefault="00C764F0" w:rsidP="00C764F0">
      <w:pPr>
        <w:rPr>
          <w:sz w:val="22"/>
          <w:szCs w:val="22"/>
        </w:rPr>
      </w:pPr>
    </w:p>
    <w:p w14:paraId="5A91A6F1" w14:textId="77777777" w:rsidR="00C764F0" w:rsidRPr="004551C9" w:rsidRDefault="00C764F0" w:rsidP="00C764F0">
      <w:pPr>
        <w:pStyle w:val="Prrafodelista"/>
        <w:numPr>
          <w:ilvl w:val="0"/>
          <w:numId w:val="20"/>
        </w:numPr>
        <w:rPr>
          <w:sz w:val="22"/>
          <w:szCs w:val="22"/>
        </w:rPr>
      </w:pPr>
      <w:r w:rsidRPr="004551C9">
        <w:rPr>
          <w:sz w:val="22"/>
          <w:szCs w:val="22"/>
        </w:rPr>
        <w:t xml:space="preserve">Número de veces que se presente actualización del </w:t>
      </w:r>
      <w:r>
        <w:rPr>
          <w:sz w:val="22"/>
          <w:szCs w:val="22"/>
        </w:rPr>
        <w:t>NPV</w:t>
      </w:r>
      <w:r w:rsidRPr="004551C9">
        <w:rPr>
          <w:sz w:val="22"/>
          <w:szCs w:val="22"/>
        </w:rPr>
        <w:t xml:space="preserve"> por modificaciones.</w:t>
      </w:r>
    </w:p>
    <w:p w14:paraId="20BE6144" w14:textId="77777777" w:rsidR="00C764F0" w:rsidRPr="009223C3" w:rsidRDefault="00C764F0" w:rsidP="00C764F0">
      <w:pPr>
        <w:pStyle w:val="Prrafodelista"/>
        <w:numPr>
          <w:ilvl w:val="0"/>
          <w:numId w:val="20"/>
        </w:numPr>
        <w:rPr>
          <w:sz w:val="22"/>
          <w:szCs w:val="22"/>
        </w:rPr>
      </w:pPr>
      <w:r>
        <w:rPr>
          <w:sz w:val="22"/>
          <w:szCs w:val="22"/>
        </w:rPr>
        <w:t>Número de veces que se presente actualización del NEP por modificaciones.</w:t>
      </w:r>
    </w:p>
    <w:p w14:paraId="42A62EE4" w14:textId="56021C5D" w:rsidR="00C764F0" w:rsidRPr="009223C3" w:rsidRDefault="00C764F0" w:rsidP="00C764F0">
      <w:pPr>
        <w:pStyle w:val="Prrafodelista"/>
        <w:numPr>
          <w:ilvl w:val="0"/>
          <w:numId w:val="20"/>
        </w:numPr>
        <w:rPr>
          <w:sz w:val="22"/>
          <w:szCs w:val="22"/>
        </w:rPr>
      </w:pPr>
      <w:r>
        <w:rPr>
          <w:sz w:val="22"/>
          <w:szCs w:val="22"/>
        </w:rPr>
        <w:t>Número de veces que se presente activación de la garantía de que trata la Res. CREG 061 de 2007.</w:t>
      </w:r>
    </w:p>
    <w:p w14:paraId="53270FCF" w14:textId="77777777" w:rsidR="00F12D6B" w:rsidRPr="008B734F" w:rsidRDefault="00F12D6B" w:rsidP="00F12D6B">
      <w:pPr>
        <w:rPr>
          <w:b/>
        </w:rPr>
      </w:pPr>
    </w:p>
    <w:p w14:paraId="0E5D121A" w14:textId="77777777" w:rsidR="00E7209B" w:rsidRDefault="00E7209B">
      <w:pPr>
        <w:rPr>
          <w:sz w:val="22"/>
        </w:rPr>
      </w:pPr>
    </w:p>
    <w:sectPr w:rsidR="00E7209B" w:rsidSect="00DD7346">
      <w:headerReference w:type="default" r:id="rId18"/>
      <w:footerReference w:type="default" r:id="rId19"/>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CB17" w14:textId="77777777" w:rsidR="004A5A24" w:rsidRDefault="004A5A24">
      <w:r>
        <w:separator/>
      </w:r>
    </w:p>
  </w:endnote>
  <w:endnote w:type="continuationSeparator" w:id="0">
    <w:p w14:paraId="03965632" w14:textId="77777777" w:rsidR="004A5A24" w:rsidRDefault="004A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0A9" w14:textId="48CA197B" w:rsidR="0077100C" w:rsidRDefault="007367B5" w:rsidP="0077100C">
    <w:pPr>
      <w:pStyle w:val="Piedepgina"/>
      <w:rPr>
        <w:b/>
        <w:sz w:val="16"/>
        <w:lang w:val="es-CO"/>
      </w:rPr>
    </w:pPr>
    <w:r>
      <w:rPr>
        <w:b/>
        <w:sz w:val="16"/>
        <w:lang w:val="es-CO"/>
      </w:rPr>
      <w:t xml:space="preserve">D – 901 043 DE 2023 - </w:t>
    </w:r>
    <w:r w:rsidR="00AD6C24" w:rsidRPr="00AD6C24">
      <w:rPr>
        <w:b/>
        <w:sz w:val="16"/>
        <w:lang w:val="es-CO"/>
      </w:rPr>
      <w:t>ACTUALIZACIÓN DE DISPOSICIONES RESPECTO DEL NPV Y NEP DE QUE TRATA LA RESOLUCIÓN CREG 036 DE 2010</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7AC6" w14:textId="77777777" w:rsidR="004A5A24" w:rsidRDefault="004A5A24">
      <w:r>
        <w:separator/>
      </w:r>
    </w:p>
  </w:footnote>
  <w:footnote w:type="continuationSeparator" w:id="0">
    <w:p w14:paraId="38E63D6B" w14:textId="77777777" w:rsidR="004A5A24" w:rsidRDefault="004A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7B826002" w:rsidR="00020441" w:rsidRDefault="00020441">
    <w:pPr>
      <w:pStyle w:val="Encabezado"/>
    </w:pPr>
    <w:r>
      <w:rPr>
        <w:rFonts w:cs="Arial"/>
        <w:b/>
        <w:i/>
        <w:color w:val="808080"/>
        <w:sz w:val="16"/>
      </w:rPr>
      <w:t>Sesión No.</w:t>
    </w:r>
    <w:r w:rsidR="00790565">
      <w:rPr>
        <w:rFonts w:cs="Arial"/>
        <w:b/>
        <w:i/>
        <w:color w:val="808080"/>
        <w:sz w:val="16"/>
      </w:rPr>
      <w:t xml:space="preserve"> 1298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2B8"/>
    <w:multiLevelType w:val="hybridMultilevel"/>
    <w:tmpl w:val="FB628366"/>
    <w:lvl w:ilvl="0" w:tplc="FFFFFFFF">
      <w:start w:val="1"/>
      <w:numFmt w:val="lowerLetter"/>
      <w:lvlText w:val="%1."/>
      <w:lvlJc w:val="left"/>
      <w:pPr>
        <w:ind w:left="720" w:hanging="360"/>
      </w:p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0B696A"/>
    <w:multiLevelType w:val="hybridMultilevel"/>
    <w:tmpl w:val="688645B2"/>
    <w:lvl w:ilvl="0" w:tplc="E562A43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44159"/>
    <w:multiLevelType w:val="multilevel"/>
    <w:tmpl w:val="603A0B7E"/>
    <w:lvl w:ilvl="0">
      <w:start w:val="1"/>
      <w:numFmt w:val="decimal"/>
      <w:pStyle w:val="Ttulo1"/>
      <w:lvlText w:val="%1."/>
      <w:lvlJc w:val="left"/>
      <w:pPr>
        <w:tabs>
          <w:tab w:val="num" w:pos="432"/>
        </w:tabs>
        <w:ind w:left="432" w:hanging="432"/>
      </w:pPr>
      <w:rPr>
        <w:b/>
        <w:bCs/>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89C5548"/>
    <w:multiLevelType w:val="hybridMultilevel"/>
    <w:tmpl w:val="FB628366"/>
    <w:lvl w:ilvl="0" w:tplc="240A0019">
      <w:start w:val="1"/>
      <w:numFmt w:val="lowerLetter"/>
      <w:lvlText w:val="%1."/>
      <w:lvlJc w:val="left"/>
      <w:pPr>
        <w:ind w:left="720" w:hanging="360"/>
      </w:pPr>
    </w:lvl>
    <w:lvl w:ilvl="1" w:tplc="40EAD5A2">
      <w:start w:val="1"/>
      <w:numFmt w:val="decimal"/>
      <w:lvlText w:val="%2."/>
      <w:lvlJc w:val="left"/>
      <w:pPr>
        <w:ind w:left="1790" w:hanging="7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B375CA"/>
    <w:multiLevelType w:val="hybridMultilevel"/>
    <w:tmpl w:val="FB628366"/>
    <w:lvl w:ilvl="0" w:tplc="FFFFFFFF">
      <w:start w:val="1"/>
      <w:numFmt w:val="lowerLetter"/>
      <w:lvlText w:val="%1."/>
      <w:lvlJc w:val="left"/>
      <w:pPr>
        <w:ind w:left="720" w:hanging="360"/>
      </w:p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D6061C"/>
    <w:multiLevelType w:val="hybridMultilevel"/>
    <w:tmpl w:val="50AA05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2"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3"/>
  </w:num>
  <w:num w:numId="2" w16cid:durableId="801968684">
    <w:abstractNumId w:val="3"/>
  </w:num>
  <w:num w:numId="3" w16cid:durableId="2073001526">
    <w:abstractNumId w:val="3"/>
  </w:num>
  <w:num w:numId="4" w16cid:durableId="780993275">
    <w:abstractNumId w:val="3"/>
  </w:num>
  <w:num w:numId="5" w16cid:durableId="493184022">
    <w:abstractNumId w:val="3"/>
  </w:num>
  <w:num w:numId="6" w16cid:durableId="449592109">
    <w:abstractNumId w:val="3"/>
  </w:num>
  <w:num w:numId="7" w16cid:durableId="1909227231">
    <w:abstractNumId w:val="11"/>
  </w:num>
  <w:num w:numId="8" w16cid:durableId="467629627">
    <w:abstractNumId w:val="9"/>
  </w:num>
  <w:num w:numId="9" w16cid:durableId="959071692">
    <w:abstractNumId w:val="12"/>
  </w:num>
  <w:num w:numId="10" w16cid:durableId="2118718905">
    <w:abstractNumId w:val="13"/>
  </w:num>
  <w:num w:numId="11" w16cid:durableId="811794889">
    <w:abstractNumId w:val="10"/>
  </w:num>
  <w:num w:numId="12" w16cid:durableId="196089711">
    <w:abstractNumId w:val="8"/>
  </w:num>
  <w:num w:numId="13" w16cid:durableId="983437049">
    <w:abstractNumId w:val="1"/>
  </w:num>
  <w:num w:numId="14" w16cid:durableId="1867281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4"/>
  </w:num>
  <w:num w:numId="16" w16cid:durableId="845873367">
    <w:abstractNumId w:val="2"/>
  </w:num>
  <w:num w:numId="17" w16cid:durableId="1820532105">
    <w:abstractNumId w:val="5"/>
  </w:num>
  <w:num w:numId="18" w16cid:durableId="305626119">
    <w:abstractNumId w:val="6"/>
  </w:num>
  <w:num w:numId="19" w16cid:durableId="1553152535">
    <w:abstractNumId w:val="0"/>
  </w:num>
  <w:num w:numId="20" w16cid:durableId="177624327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52C88"/>
    <w:rsid w:val="00056DFC"/>
    <w:rsid w:val="00066421"/>
    <w:rsid w:val="00097410"/>
    <w:rsid w:val="000B5AD2"/>
    <w:rsid w:val="000D1FF1"/>
    <w:rsid w:val="000E6A9D"/>
    <w:rsid w:val="0010544E"/>
    <w:rsid w:val="0015231C"/>
    <w:rsid w:val="001700C2"/>
    <w:rsid w:val="00172DD4"/>
    <w:rsid w:val="00186477"/>
    <w:rsid w:val="00194F02"/>
    <w:rsid w:val="00220D0D"/>
    <w:rsid w:val="00242826"/>
    <w:rsid w:val="00277DD8"/>
    <w:rsid w:val="0028466C"/>
    <w:rsid w:val="002E19C4"/>
    <w:rsid w:val="002E361C"/>
    <w:rsid w:val="003320D3"/>
    <w:rsid w:val="00342D19"/>
    <w:rsid w:val="00346BC3"/>
    <w:rsid w:val="003642B0"/>
    <w:rsid w:val="0038050C"/>
    <w:rsid w:val="003C55ED"/>
    <w:rsid w:val="003F7400"/>
    <w:rsid w:val="0040539F"/>
    <w:rsid w:val="00420F87"/>
    <w:rsid w:val="00446983"/>
    <w:rsid w:val="00456730"/>
    <w:rsid w:val="004914CA"/>
    <w:rsid w:val="004A5A24"/>
    <w:rsid w:val="004A733B"/>
    <w:rsid w:val="004B0F92"/>
    <w:rsid w:val="004E3965"/>
    <w:rsid w:val="004E4022"/>
    <w:rsid w:val="004F0E6A"/>
    <w:rsid w:val="005042D3"/>
    <w:rsid w:val="005074C3"/>
    <w:rsid w:val="00517002"/>
    <w:rsid w:val="0054039F"/>
    <w:rsid w:val="00587047"/>
    <w:rsid w:val="005A4F42"/>
    <w:rsid w:val="005C023F"/>
    <w:rsid w:val="005D26BC"/>
    <w:rsid w:val="005E21FD"/>
    <w:rsid w:val="0060207B"/>
    <w:rsid w:val="00640798"/>
    <w:rsid w:val="00650478"/>
    <w:rsid w:val="0066453F"/>
    <w:rsid w:val="006864FD"/>
    <w:rsid w:val="006E1029"/>
    <w:rsid w:val="006E1AB3"/>
    <w:rsid w:val="006F6017"/>
    <w:rsid w:val="007004B7"/>
    <w:rsid w:val="00717554"/>
    <w:rsid w:val="007319DB"/>
    <w:rsid w:val="007367B5"/>
    <w:rsid w:val="0074297C"/>
    <w:rsid w:val="00765B90"/>
    <w:rsid w:val="0077100C"/>
    <w:rsid w:val="007864F4"/>
    <w:rsid w:val="00790565"/>
    <w:rsid w:val="007E0711"/>
    <w:rsid w:val="00836DB7"/>
    <w:rsid w:val="00841F2F"/>
    <w:rsid w:val="00842447"/>
    <w:rsid w:val="00844067"/>
    <w:rsid w:val="00890F50"/>
    <w:rsid w:val="008A3820"/>
    <w:rsid w:val="008B734F"/>
    <w:rsid w:val="008E4B18"/>
    <w:rsid w:val="008F5A0E"/>
    <w:rsid w:val="008F7D49"/>
    <w:rsid w:val="00933069"/>
    <w:rsid w:val="00935705"/>
    <w:rsid w:val="00954B4E"/>
    <w:rsid w:val="00956F71"/>
    <w:rsid w:val="009640AD"/>
    <w:rsid w:val="0098175C"/>
    <w:rsid w:val="009C08C1"/>
    <w:rsid w:val="009E0702"/>
    <w:rsid w:val="009F44D1"/>
    <w:rsid w:val="00A15852"/>
    <w:rsid w:val="00A2276C"/>
    <w:rsid w:val="00A30D43"/>
    <w:rsid w:val="00A4624E"/>
    <w:rsid w:val="00A75117"/>
    <w:rsid w:val="00AC6BAE"/>
    <w:rsid w:val="00AD41A0"/>
    <w:rsid w:val="00AD6C24"/>
    <w:rsid w:val="00AE4628"/>
    <w:rsid w:val="00B363CA"/>
    <w:rsid w:val="00B425AB"/>
    <w:rsid w:val="00B465B5"/>
    <w:rsid w:val="00B60742"/>
    <w:rsid w:val="00B60C56"/>
    <w:rsid w:val="00B81BF9"/>
    <w:rsid w:val="00B94CF0"/>
    <w:rsid w:val="00BB4E37"/>
    <w:rsid w:val="00BE2C84"/>
    <w:rsid w:val="00C40736"/>
    <w:rsid w:val="00C764F0"/>
    <w:rsid w:val="00CA5CE2"/>
    <w:rsid w:val="00CB67B8"/>
    <w:rsid w:val="00CB7AD8"/>
    <w:rsid w:val="00CD3AA7"/>
    <w:rsid w:val="00CE1F58"/>
    <w:rsid w:val="00D15CD1"/>
    <w:rsid w:val="00D16CD3"/>
    <w:rsid w:val="00D3123C"/>
    <w:rsid w:val="00D45984"/>
    <w:rsid w:val="00D70E20"/>
    <w:rsid w:val="00DB5FB9"/>
    <w:rsid w:val="00DB6372"/>
    <w:rsid w:val="00DC4CA3"/>
    <w:rsid w:val="00DD12AF"/>
    <w:rsid w:val="00DD7346"/>
    <w:rsid w:val="00DF25B4"/>
    <w:rsid w:val="00E166D7"/>
    <w:rsid w:val="00E47A91"/>
    <w:rsid w:val="00E528E4"/>
    <w:rsid w:val="00E5451A"/>
    <w:rsid w:val="00E6089E"/>
    <w:rsid w:val="00E7209B"/>
    <w:rsid w:val="00EA424C"/>
    <w:rsid w:val="00EA6A61"/>
    <w:rsid w:val="00EA6C1E"/>
    <w:rsid w:val="00EB4C4E"/>
    <w:rsid w:val="00EB5413"/>
    <w:rsid w:val="00EF1618"/>
    <w:rsid w:val="00EF7184"/>
    <w:rsid w:val="00F03A5A"/>
    <w:rsid w:val="00F12D6B"/>
    <w:rsid w:val="00F24455"/>
    <w:rsid w:val="00F40D91"/>
    <w:rsid w:val="00F57719"/>
    <w:rsid w:val="00F83DE5"/>
    <w:rsid w:val="00FA61B5"/>
    <w:rsid w:val="00FD4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7004B7"/>
    <w:pPr>
      <w:tabs>
        <w:tab w:val="left" w:pos="480"/>
        <w:tab w:val="right" w:leader="dot" w:pos="8828"/>
      </w:tabs>
      <w:spacing w:before="120"/>
    </w:pPr>
    <w:rPr>
      <w:smallCaps/>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Descripcin">
    <w:name w:val="caption"/>
    <w:basedOn w:val="Normal"/>
    <w:next w:val="Normal"/>
    <w:uiPriority w:val="35"/>
    <w:qFormat/>
    <w:rsid w:val="00AD6C24"/>
    <w:pPr>
      <w:spacing w:after="200"/>
    </w:pPr>
    <w:rPr>
      <w:i/>
      <w:iCs/>
      <w:color w:val="44546A" w:themeColor="text2"/>
      <w:sz w:val="18"/>
      <w:szCs w:val="18"/>
    </w:rPr>
  </w:style>
  <w:style w:type="paragraph" w:styleId="TtuloTDC">
    <w:name w:val="TOC Heading"/>
    <w:basedOn w:val="Ttulo1"/>
    <w:next w:val="Normal"/>
    <w:uiPriority w:val="39"/>
    <w:unhideWhenUsed/>
    <w:qFormat/>
    <w:rsid w:val="007004B7"/>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796211857">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ornormativo.creg.gov.co/gestor/entorno/docs/circular_creg_0021_2010.ht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gestornormativo.creg.gov.co/gestor/entorno/docs/circular_creg_0020_201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stornormativo.creg.gov.co/gestor/entorno/docs/circular_creg_0018_2010.ht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2885</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2023-12-28T14:39:00Z</dcterms:created>
  <dcterms:modified xsi:type="dcterms:W3CDTF">2023-12-28T14:39:00Z</dcterms:modified>
</cp:coreProperties>
</file>