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B8A9" w14:textId="7F32FF52" w:rsidR="00E51907" w:rsidRDefault="00E51907" w:rsidP="000200D5">
      <w:pPr>
        <w:pStyle w:val="Encabezado"/>
        <w:widowControl w:val="0"/>
        <w:tabs>
          <w:tab w:val="clear" w:pos="8504"/>
          <w:tab w:val="left" w:pos="0"/>
          <w:tab w:val="right" w:pos="9356"/>
        </w:tabs>
        <w:ind w:left="0"/>
        <w:jc w:val="both"/>
        <w:rPr>
          <w:rFonts w:ascii="Bookman Old Style" w:hAnsi="Bookman Old Style"/>
          <w:szCs w:val="24"/>
        </w:rPr>
      </w:pPr>
    </w:p>
    <w:p w14:paraId="25EBEA99" w14:textId="015B1B91" w:rsidR="00625DC6" w:rsidRPr="009E2240" w:rsidRDefault="00625DC6" w:rsidP="000200D5">
      <w:pPr>
        <w:pStyle w:val="Encabezado"/>
        <w:widowControl w:val="0"/>
        <w:tabs>
          <w:tab w:val="clear" w:pos="8504"/>
          <w:tab w:val="left" w:pos="0"/>
          <w:tab w:val="right" w:pos="9356"/>
        </w:tabs>
        <w:ind w:left="0"/>
        <w:jc w:val="both"/>
        <w:rPr>
          <w:rFonts w:ascii="Bookman Old Style" w:hAnsi="Bookman Old Style"/>
          <w:szCs w:val="24"/>
        </w:rPr>
      </w:pPr>
    </w:p>
    <w:p w14:paraId="6693B843" w14:textId="77777777" w:rsidR="00625DC6" w:rsidRPr="000200D5" w:rsidRDefault="00625DC6" w:rsidP="000200D5">
      <w:pPr>
        <w:pStyle w:val="Encabezado"/>
        <w:widowControl w:val="0"/>
        <w:tabs>
          <w:tab w:val="clear" w:pos="8504"/>
          <w:tab w:val="left" w:pos="0"/>
          <w:tab w:val="right" w:pos="9356"/>
        </w:tabs>
        <w:ind w:left="0"/>
        <w:jc w:val="both"/>
        <w:rPr>
          <w:rFonts w:ascii="Bookman Old Style" w:hAnsi="Bookman Old Style"/>
          <w:szCs w:val="24"/>
        </w:rPr>
      </w:pPr>
    </w:p>
    <w:p w14:paraId="6055A54E" w14:textId="77777777" w:rsidR="009F56D1" w:rsidRDefault="005E00C2" w:rsidP="009F56D1">
      <w:pPr>
        <w:pStyle w:val="Encabezado"/>
        <w:tabs>
          <w:tab w:val="clear" w:pos="8504"/>
          <w:tab w:val="left" w:pos="0"/>
          <w:tab w:val="right" w:pos="9356"/>
        </w:tabs>
        <w:ind w:left="0"/>
        <w:jc w:val="both"/>
        <w:rPr>
          <w:rFonts w:ascii="Bookman Old Style" w:hAnsi="Bookman Old Style"/>
          <w:szCs w:val="24"/>
        </w:rPr>
      </w:pPr>
      <w:r>
        <w:object w:dxaOrig="1440" w:dyaOrig="1440" w14:anchorId="1F06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1" o:title=""/>
          </v:shape>
          <o:OLEObject Type="Embed" ProgID="PBrush" ShapeID="_x0000_s2050" DrawAspect="Content" ObjectID="_1763183799" r:id="rId12"/>
        </w:object>
      </w:r>
    </w:p>
    <w:p w14:paraId="50B38225" w14:textId="77777777" w:rsidR="009F56D1" w:rsidRDefault="009F56D1" w:rsidP="009F56D1">
      <w:pPr>
        <w:pStyle w:val="Encabezado"/>
        <w:tabs>
          <w:tab w:val="clear" w:pos="8504"/>
          <w:tab w:val="left" w:pos="0"/>
          <w:tab w:val="right" w:pos="9356"/>
        </w:tabs>
        <w:ind w:left="0"/>
        <w:jc w:val="both"/>
        <w:rPr>
          <w:rFonts w:ascii="Bookman Old Style" w:hAnsi="Bookman Old Style"/>
          <w:szCs w:val="24"/>
        </w:rPr>
      </w:pPr>
    </w:p>
    <w:p w14:paraId="119492FF" w14:textId="77777777" w:rsidR="009F56D1" w:rsidRDefault="009F56D1" w:rsidP="009F56D1">
      <w:pPr>
        <w:pStyle w:val="Ttulo4"/>
        <w:tabs>
          <w:tab w:val="left" w:pos="0"/>
          <w:tab w:val="right" w:pos="9356"/>
        </w:tabs>
        <w:ind w:left="0"/>
        <w:rPr>
          <w:rFonts w:ascii="Bookman Old Style" w:hAnsi="Bookman Old Style"/>
          <w:b w:val="0"/>
          <w:bCs/>
          <w:noProof/>
          <w:sz w:val="24"/>
          <w:szCs w:val="24"/>
          <w:lang w:val="es-ES"/>
        </w:rPr>
      </w:pPr>
      <w:r>
        <w:rPr>
          <w:rFonts w:ascii="Bookman Old Style" w:hAnsi="Bookman Old Style"/>
          <w:b w:val="0"/>
          <w:bCs/>
          <w:sz w:val="24"/>
          <w:szCs w:val="24"/>
        </w:rPr>
        <w:t>Ministerio de Minas y Energía</w:t>
      </w:r>
    </w:p>
    <w:p w14:paraId="0BD7F40B" w14:textId="77777777" w:rsidR="009F56D1" w:rsidRDefault="009F56D1" w:rsidP="009F56D1">
      <w:pPr>
        <w:pStyle w:val="Ttulo4"/>
        <w:tabs>
          <w:tab w:val="left" w:pos="0"/>
          <w:tab w:val="right" w:pos="9356"/>
        </w:tabs>
        <w:ind w:left="0"/>
        <w:rPr>
          <w:rFonts w:ascii="Bookman Old Style" w:hAnsi="Bookman Old Style"/>
          <w:b w:val="0"/>
          <w:bCs/>
          <w:sz w:val="24"/>
          <w:szCs w:val="24"/>
        </w:rPr>
      </w:pPr>
    </w:p>
    <w:p w14:paraId="76B9EE55" w14:textId="77777777" w:rsidR="009F56D1" w:rsidRDefault="009F56D1" w:rsidP="009F56D1">
      <w:pPr>
        <w:pStyle w:val="Ttulo3"/>
        <w:tabs>
          <w:tab w:val="left" w:pos="0"/>
          <w:tab w:val="right" w:pos="9356"/>
        </w:tabs>
        <w:ind w:left="0"/>
        <w:rPr>
          <w:rFonts w:ascii="Bookman Old Style" w:hAnsi="Bookman Old Style" w:cs="Arial"/>
          <w:spacing w:val="20"/>
          <w:szCs w:val="24"/>
        </w:rPr>
      </w:pPr>
      <w:r>
        <w:rPr>
          <w:rFonts w:ascii="Bookman Old Style" w:hAnsi="Bookman Old Style" w:cs="Arial"/>
          <w:spacing w:val="20"/>
          <w:szCs w:val="24"/>
        </w:rPr>
        <w:t>COMISIÓN DE REGULACIÓN DE ENERGÍA Y GAS</w:t>
      </w:r>
    </w:p>
    <w:p w14:paraId="55F936C0" w14:textId="77777777" w:rsidR="009F56D1" w:rsidRDefault="009F56D1" w:rsidP="009F56D1">
      <w:pPr>
        <w:pStyle w:val="Ttulo5"/>
        <w:tabs>
          <w:tab w:val="left" w:pos="0"/>
          <w:tab w:val="right" w:pos="9356"/>
        </w:tabs>
        <w:ind w:left="0"/>
        <w:rPr>
          <w:rFonts w:ascii="Bookman Old Style" w:hAnsi="Bookman Old Style"/>
          <w:sz w:val="24"/>
          <w:szCs w:val="24"/>
        </w:rPr>
      </w:pPr>
    </w:p>
    <w:p w14:paraId="54B657F6" w14:textId="77777777" w:rsidR="009F56D1" w:rsidRDefault="009F56D1" w:rsidP="009F56D1">
      <w:pPr>
        <w:pStyle w:val="Ttulo5"/>
        <w:tabs>
          <w:tab w:val="left" w:pos="0"/>
          <w:tab w:val="right" w:pos="9356"/>
        </w:tabs>
        <w:ind w:left="0"/>
        <w:rPr>
          <w:rFonts w:ascii="Bookman Old Style" w:hAnsi="Bookman Old Style"/>
          <w:sz w:val="24"/>
          <w:szCs w:val="24"/>
        </w:rPr>
      </w:pPr>
    </w:p>
    <w:p w14:paraId="72596E00" w14:textId="73F7C607" w:rsidR="009F56D1" w:rsidRDefault="009F56D1" w:rsidP="009F56D1">
      <w:pPr>
        <w:pStyle w:val="Ttulo5"/>
        <w:tabs>
          <w:tab w:val="left" w:pos="0"/>
          <w:tab w:val="right" w:pos="9356"/>
        </w:tabs>
        <w:ind w:left="0"/>
        <w:rPr>
          <w:rFonts w:ascii="Bookman Old Style" w:hAnsi="Bookman Old Style"/>
          <w:sz w:val="24"/>
          <w:szCs w:val="24"/>
        </w:rPr>
      </w:pPr>
      <w:r>
        <w:rPr>
          <w:rFonts w:ascii="Bookman Old Style" w:hAnsi="Bookman Old Style"/>
          <w:sz w:val="24"/>
          <w:szCs w:val="24"/>
        </w:rPr>
        <w:t xml:space="preserve">RESOLUCIÓN No. </w:t>
      </w:r>
      <w:r w:rsidR="005E00C2" w:rsidRPr="005E00C2">
        <w:rPr>
          <w:rFonts w:ascii="Bookman Old Style" w:hAnsi="Bookman Old Style"/>
          <w:szCs w:val="28"/>
        </w:rPr>
        <w:t>101 028 DE 2023</w:t>
      </w:r>
    </w:p>
    <w:p w14:paraId="6BDDFCF2" w14:textId="77777777" w:rsidR="009F56D1" w:rsidRDefault="009F56D1" w:rsidP="009F56D1">
      <w:pPr>
        <w:tabs>
          <w:tab w:val="left" w:pos="0"/>
          <w:tab w:val="right" w:pos="9356"/>
        </w:tabs>
        <w:ind w:left="0"/>
        <w:jc w:val="center"/>
        <w:rPr>
          <w:rFonts w:ascii="Bookman Old Style" w:hAnsi="Bookman Old Style" w:cs="Arial"/>
          <w:b/>
          <w:snapToGrid w:val="0"/>
          <w:color w:val="000000"/>
          <w:lang w:val="es-ES_tradnl"/>
        </w:rPr>
      </w:pPr>
    </w:p>
    <w:p w14:paraId="3E3DAF00" w14:textId="725B43C4" w:rsidR="009F56D1" w:rsidRPr="005E00C2" w:rsidRDefault="005E00C2" w:rsidP="009F56D1">
      <w:pPr>
        <w:pStyle w:val="Ttulo3"/>
        <w:tabs>
          <w:tab w:val="left" w:pos="0"/>
          <w:tab w:val="right" w:pos="9356"/>
        </w:tabs>
        <w:ind w:left="0"/>
        <w:rPr>
          <w:rFonts w:ascii="Bookman Old Style" w:hAnsi="Bookman Old Style"/>
          <w:bCs/>
          <w:snapToGrid/>
          <w:szCs w:val="24"/>
        </w:rPr>
      </w:pPr>
      <w:r w:rsidRPr="005E00C2">
        <w:rPr>
          <w:rFonts w:ascii="Bookman Old Style" w:hAnsi="Bookman Old Style"/>
          <w:bCs/>
          <w:szCs w:val="24"/>
        </w:rPr>
        <w:t>(24 NOV.2023)</w:t>
      </w:r>
    </w:p>
    <w:p w14:paraId="7C181D2C" w14:textId="7772559A" w:rsidR="00842560" w:rsidRDefault="00842560" w:rsidP="00376306">
      <w:pPr>
        <w:widowControl w:val="0"/>
        <w:tabs>
          <w:tab w:val="left" w:pos="8789"/>
        </w:tabs>
        <w:spacing w:before="360" w:after="360"/>
        <w:ind w:left="0" w:right="51"/>
        <w:jc w:val="center"/>
        <w:rPr>
          <w:rFonts w:ascii="Bookman Old Style" w:hAnsi="Bookman Old Style" w:cs="Arial"/>
        </w:rPr>
      </w:pPr>
      <w:r w:rsidRPr="00842560">
        <w:rPr>
          <w:rFonts w:ascii="Bookman Old Style" w:hAnsi="Bookman Old Style" w:cs="Arial"/>
        </w:rPr>
        <w:t>Por la cual se modifica la Resolución CREG 119 de 2007 con fundamento en el artículo 126 de la Ley 142 de 1994</w:t>
      </w:r>
    </w:p>
    <w:p w14:paraId="09DD61D5" w14:textId="40FA1BD8" w:rsidR="00EB1951" w:rsidRDefault="00EB1951" w:rsidP="00376306">
      <w:pPr>
        <w:widowControl w:val="0"/>
        <w:tabs>
          <w:tab w:val="left" w:pos="8789"/>
        </w:tabs>
        <w:spacing w:before="360" w:after="360"/>
        <w:ind w:left="0" w:right="51"/>
        <w:jc w:val="center"/>
        <w:rPr>
          <w:rFonts w:ascii="Bookman Old Style" w:hAnsi="Bookman Old Style" w:cs="Arial"/>
        </w:rPr>
      </w:pPr>
      <w:r w:rsidRPr="000200D5">
        <w:rPr>
          <w:rFonts w:ascii="Bookman Old Style" w:hAnsi="Bookman Old Style" w:cs="Arial"/>
          <w:b/>
          <w:bCs/>
        </w:rPr>
        <w:t>LA COMISIÓN DE REGULACIÓN DE ENERGÍA Y GAS</w:t>
      </w:r>
    </w:p>
    <w:p w14:paraId="505F5C08" w14:textId="6E77918F" w:rsidR="003C3282" w:rsidRPr="000200D5" w:rsidRDefault="003C3282" w:rsidP="00376306">
      <w:pPr>
        <w:widowControl w:val="0"/>
        <w:tabs>
          <w:tab w:val="left" w:pos="8789"/>
        </w:tabs>
        <w:spacing w:before="360" w:after="360"/>
        <w:ind w:left="0" w:right="51"/>
        <w:jc w:val="center"/>
        <w:rPr>
          <w:rFonts w:ascii="Bookman Old Style" w:hAnsi="Bookman Old Style" w:cs="Arial"/>
        </w:rPr>
      </w:pPr>
      <w:r w:rsidRPr="000200D5">
        <w:rPr>
          <w:rFonts w:ascii="Bookman Old Style" w:hAnsi="Bookman Old Style" w:cs="Arial"/>
        </w:rPr>
        <w:t xml:space="preserve">En ejercicio de sus atribuciones legales, en especial las conferidas por </w:t>
      </w:r>
      <w:r w:rsidR="00346675">
        <w:rPr>
          <w:rFonts w:ascii="Bookman Old Style" w:hAnsi="Bookman Old Style" w:cs="Arial"/>
        </w:rPr>
        <w:t xml:space="preserve">el artículo 126 de </w:t>
      </w:r>
      <w:r w:rsidRPr="000200D5">
        <w:rPr>
          <w:rFonts w:ascii="Bookman Old Style" w:hAnsi="Bookman Old Style" w:cs="Arial"/>
        </w:rPr>
        <w:t xml:space="preserve">la </w:t>
      </w:r>
      <w:r w:rsidR="00346675">
        <w:rPr>
          <w:rFonts w:ascii="Bookman Old Style" w:hAnsi="Bookman Old Style" w:cs="Arial"/>
        </w:rPr>
        <w:t>L</w:t>
      </w:r>
      <w:r w:rsidRPr="000200D5">
        <w:rPr>
          <w:rFonts w:ascii="Bookman Old Style" w:hAnsi="Bookman Old Style" w:cs="Arial"/>
        </w:rPr>
        <w:t xml:space="preserve">ey 142 </w:t>
      </w:r>
      <w:r w:rsidR="00346675">
        <w:rPr>
          <w:rFonts w:ascii="Bookman Old Style" w:hAnsi="Bookman Old Style" w:cs="Arial"/>
        </w:rPr>
        <w:t>de 1994</w:t>
      </w:r>
      <w:r w:rsidRPr="000200D5">
        <w:rPr>
          <w:rFonts w:ascii="Bookman Old Style" w:hAnsi="Bookman Old Style" w:cs="Arial"/>
        </w:rPr>
        <w:t xml:space="preserve">, </w:t>
      </w:r>
      <w:r w:rsidR="00127546">
        <w:rPr>
          <w:rFonts w:ascii="Bookman Old Style" w:hAnsi="Bookman Old Style" w:cs="Arial"/>
        </w:rPr>
        <w:t>y</w:t>
      </w:r>
    </w:p>
    <w:p w14:paraId="7E98A72E" w14:textId="77777777" w:rsidR="003C3282" w:rsidRPr="000200D5" w:rsidRDefault="003C3282" w:rsidP="002810A9">
      <w:pPr>
        <w:widowControl w:val="0"/>
        <w:spacing w:before="360" w:after="360"/>
        <w:ind w:left="0"/>
        <w:jc w:val="center"/>
        <w:rPr>
          <w:rFonts w:ascii="Bookman Old Style" w:hAnsi="Bookman Old Style"/>
        </w:rPr>
      </w:pPr>
      <w:r w:rsidRPr="000200D5">
        <w:rPr>
          <w:rFonts w:ascii="Bookman Old Style" w:hAnsi="Bookman Old Style" w:cs="Arial"/>
          <w:b/>
          <w:spacing w:val="80"/>
        </w:rPr>
        <w:t>CONSIDERANDO QUE</w:t>
      </w:r>
      <w:r w:rsidRPr="000200D5">
        <w:rPr>
          <w:rFonts w:ascii="Bookman Old Style" w:hAnsi="Bookman Old Style" w:cs="Arial"/>
          <w:b/>
        </w:rPr>
        <w:t>:</w:t>
      </w:r>
    </w:p>
    <w:p w14:paraId="3DD103D0" w14:textId="458BD41A" w:rsidR="008D081A" w:rsidRPr="008D081A" w:rsidRDefault="008D081A" w:rsidP="008D081A">
      <w:pPr>
        <w:widowControl w:val="0"/>
        <w:spacing w:before="240" w:after="240"/>
        <w:ind w:left="0" w:right="47"/>
        <w:jc w:val="both"/>
        <w:rPr>
          <w:rFonts w:ascii="Bookman Old Style" w:hAnsi="Bookman Old Style"/>
          <w:spacing w:val="-3"/>
        </w:rPr>
      </w:pPr>
      <w:r w:rsidRPr="008D081A">
        <w:rPr>
          <w:rFonts w:ascii="Bookman Old Style" w:hAnsi="Bookman Old Style"/>
          <w:spacing w:val="-3"/>
        </w:rPr>
        <w:t>El artículo 365 de la Constitución Política establece que los servicios públicos son inherentes a la finalidad social del Estado y es deber de este asegurar su prestación eficiente a todos los habitantes del territorio nacional.</w:t>
      </w:r>
    </w:p>
    <w:p w14:paraId="0D0A10E3" w14:textId="77777777" w:rsidR="003101B1" w:rsidRPr="008D081A" w:rsidRDefault="003101B1" w:rsidP="003101B1">
      <w:pPr>
        <w:widowControl w:val="0"/>
        <w:spacing w:before="240" w:after="240"/>
        <w:ind w:left="0" w:right="47"/>
        <w:jc w:val="both"/>
        <w:rPr>
          <w:rFonts w:ascii="Bookman Old Style" w:hAnsi="Bookman Old Style"/>
          <w:spacing w:val="-3"/>
        </w:rPr>
      </w:pPr>
      <w:r>
        <w:rPr>
          <w:rFonts w:ascii="Bookman Old Style" w:hAnsi="Bookman Old Style"/>
          <w:spacing w:val="-3"/>
        </w:rPr>
        <w:t xml:space="preserve">El artículo 367 de la Carta Política de 1991 señala que el legislador </w:t>
      </w:r>
      <w:r w:rsidRPr="00D63EEC">
        <w:rPr>
          <w:rFonts w:ascii="Bookman Old Style" w:hAnsi="Bookman Old Style"/>
          <w:spacing w:val="-3"/>
        </w:rPr>
        <w:t xml:space="preserve">fijará las competencias y responsabilidades relativas a la prestación de los servicios públicos domiciliarios, su cobertura, calidad y financiación, y </w:t>
      </w:r>
      <w:r w:rsidRPr="004D082D">
        <w:rPr>
          <w:rFonts w:ascii="Bookman Old Style" w:hAnsi="Bookman Old Style"/>
          <w:spacing w:val="-3"/>
        </w:rPr>
        <w:t>el régimen tarifario que tendrá en cuenta además de los criterios de costos</w:t>
      </w:r>
      <w:r w:rsidRPr="00D63EEC">
        <w:rPr>
          <w:rFonts w:ascii="Bookman Old Style" w:hAnsi="Bookman Old Style"/>
          <w:spacing w:val="-3"/>
        </w:rPr>
        <w:t>, los de solidaridad y redistribución de ingresos</w:t>
      </w:r>
      <w:r>
        <w:rPr>
          <w:rFonts w:ascii="Bookman Old Style" w:hAnsi="Bookman Old Style"/>
          <w:spacing w:val="-3"/>
        </w:rPr>
        <w:t xml:space="preserve">, así como definirá </w:t>
      </w:r>
      <w:r w:rsidRPr="00D63EEC">
        <w:rPr>
          <w:rFonts w:ascii="Bookman Old Style" w:hAnsi="Bookman Old Style"/>
          <w:spacing w:val="-3"/>
        </w:rPr>
        <w:t>las entidades competentes para fijar las tarifas. </w:t>
      </w:r>
    </w:p>
    <w:p w14:paraId="56368E4F" w14:textId="77777777" w:rsidR="003101B1" w:rsidRDefault="003101B1" w:rsidP="003101B1">
      <w:pPr>
        <w:widowControl w:val="0"/>
        <w:spacing w:before="240" w:after="240"/>
        <w:ind w:left="0" w:right="47"/>
        <w:jc w:val="both"/>
        <w:rPr>
          <w:rFonts w:ascii="Bookman Old Style" w:hAnsi="Bookman Old Style"/>
          <w:spacing w:val="-3"/>
        </w:rPr>
      </w:pPr>
      <w:r>
        <w:rPr>
          <w:rFonts w:ascii="Bookman Old Style" w:hAnsi="Bookman Old Style"/>
          <w:spacing w:val="-3"/>
        </w:rPr>
        <w:t xml:space="preserve">En cumplimiento del mandato constitucional previsto en el artículo 367 superior, se expidió el régimen general de los servicios públicos domiciliarios mediante las Leyes 142 y 143 de 1994. </w:t>
      </w:r>
    </w:p>
    <w:p w14:paraId="1E46B3D8" w14:textId="77777777" w:rsidR="008D081A" w:rsidRPr="008D081A" w:rsidRDefault="008D081A" w:rsidP="008D081A">
      <w:pPr>
        <w:widowControl w:val="0"/>
        <w:spacing w:before="240" w:after="240"/>
        <w:ind w:left="0" w:right="47"/>
        <w:jc w:val="both"/>
        <w:rPr>
          <w:rFonts w:ascii="Bookman Old Style" w:hAnsi="Bookman Old Style"/>
          <w:spacing w:val="-3"/>
        </w:rPr>
      </w:pPr>
      <w:r w:rsidRPr="008D081A">
        <w:rPr>
          <w:rFonts w:ascii="Bookman Old Style" w:hAnsi="Bookman Old Style"/>
          <w:spacing w:val="-3"/>
        </w:rPr>
        <w:t>De conformidad con la Ley 142 de 1994, artículo 3, numeral 3, la regulación de los servicios públicos es una forma de intervención del Estado en la economía.</w:t>
      </w:r>
    </w:p>
    <w:p w14:paraId="3357A434" w14:textId="5751F04A" w:rsidR="008D081A" w:rsidRPr="008D081A" w:rsidRDefault="003101B1" w:rsidP="008D081A">
      <w:pPr>
        <w:widowControl w:val="0"/>
        <w:spacing w:before="240" w:after="240"/>
        <w:ind w:left="0" w:right="47"/>
        <w:jc w:val="both"/>
        <w:rPr>
          <w:rFonts w:ascii="Bookman Old Style" w:hAnsi="Bookman Old Style"/>
          <w:spacing w:val="-3"/>
        </w:rPr>
      </w:pPr>
      <w:r>
        <w:rPr>
          <w:rFonts w:ascii="Bookman Old Style" w:hAnsi="Bookman Old Style"/>
          <w:spacing w:val="-3"/>
        </w:rPr>
        <w:t>Acorde con la Ley 142 de 1994, artículo 73, y Ley 143 de 1994, artículo 20, e</w:t>
      </w:r>
      <w:r w:rsidRPr="008D081A">
        <w:rPr>
          <w:rFonts w:ascii="Bookman Old Style" w:hAnsi="Bookman Old Style"/>
          <w:spacing w:val="-3"/>
        </w:rPr>
        <w:t xml:space="preserve">s </w:t>
      </w:r>
      <w:r w:rsidR="008D081A" w:rsidRPr="008D081A">
        <w:rPr>
          <w:rFonts w:ascii="Bookman Old Style" w:hAnsi="Bookman Old Style"/>
          <w:spacing w:val="-3"/>
        </w:rPr>
        <w:t>un fin de la regulación garantizar la debida prestación de los servicios públicos, y en el caso en concreto del servicio de energía eléctrica, de manera confiable y continua.</w:t>
      </w:r>
    </w:p>
    <w:p w14:paraId="5FAB0936" w14:textId="77777777" w:rsidR="008D081A" w:rsidRPr="008D081A" w:rsidRDefault="008D081A" w:rsidP="008D081A">
      <w:pPr>
        <w:widowControl w:val="0"/>
        <w:spacing w:before="240" w:after="240"/>
        <w:ind w:left="0" w:right="47"/>
        <w:jc w:val="both"/>
        <w:rPr>
          <w:rFonts w:ascii="Bookman Old Style" w:hAnsi="Bookman Old Style"/>
          <w:spacing w:val="-3"/>
        </w:rPr>
      </w:pPr>
      <w:r w:rsidRPr="008D081A">
        <w:rPr>
          <w:rFonts w:ascii="Bookman Old Style" w:hAnsi="Bookman Old Style"/>
          <w:spacing w:val="-3"/>
        </w:rPr>
        <w:t>El artículo 73.11 de la Ley 142 de 1994 atribuyó a las Comisiones de Regulación la facultad de establecer las fórmulas para la fijación de las tarifas de los servicios públicos, cuando ello corresponda según lo previsto en el artículo 88; y señalar cuándo hay suficiente competencia para que la fijación de las tarifas sea libre.</w:t>
      </w:r>
    </w:p>
    <w:p w14:paraId="1AE27537" w14:textId="2C46DEBD" w:rsidR="008D081A" w:rsidRDefault="008D081A" w:rsidP="008D081A">
      <w:pPr>
        <w:widowControl w:val="0"/>
        <w:spacing w:before="240" w:after="240"/>
        <w:ind w:left="0" w:right="47"/>
        <w:jc w:val="both"/>
        <w:rPr>
          <w:rFonts w:ascii="Bookman Old Style" w:hAnsi="Bookman Old Style"/>
          <w:spacing w:val="-3"/>
        </w:rPr>
      </w:pPr>
      <w:r w:rsidRPr="008D081A">
        <w:rPr>
          <w:rFonts w:ascii="Bookman Old Style" w:hAnsi="Bookman Old Style"/>
          <w:spacing w:val="-3"/>
        </w:rPr>
        <w:t xml:space="preserve">Según la Ley 142 de 1994, artículo 74, son funciones y facultades especiales de la </w:t>
      </w:r>
      <w:r w:rsidR="00755D14">
        <w:rPr>
          <w:rFonts w:ascii="Bookman Old Style" w:hAnsi="Bookman Old Style"/>
          <w:spacing w:val="-3"/>
        </w:rPr>
        <w:t xml:space="preserve">Comisión de Regulación de Energía y Gas, </w:t>
      </w:r>
      <w:r w:rsidRPr="008D081A">
        <w:rPr>
          <w:rFonts w:ascii="Bookman Old Style" w:hAnsi="Bookman Old Style"/>
          <w:spacing w:val="-3"/>
        </w:rPr>
        <w:t xml:space="preserve">CREG, entre otras, las de regular el </w:t>
      </w:r>
      <w:r w:rsidRPr="008D081A">
        <w:rPr>
          <w:rFonts w:ascii="Bookman Old Style" w:hAnsi="Bookman Old Style"/>
          <w:spacing w:val="-3"/>
        </w:rPr>
        <w:lastRenderedPageBreak/>
        <w:t>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buscar la liberación gradual de los mercados hacia la libre competencia y establecer criterios para la fijación de compromisos de ventas garantizadas de energía y potencia entre las empresas eléctricas, y entre éstas y los grandes usuarios.</w:t>
      </w:r>
    </w:p>
    <w:p w14:paraId="1C6DE1B1" w14:textId="6CF1FF77" w:rsidR="0055128F" w:rsidRPr="0055128F" w:rsidRDefault="0055128F" w:rsidP="0055128F">
      <w:pPr>
        <w:widowControl w:val="0"/>
        <w:spacing w:before="240" w:after="240"/>
        <w:ind w:left="0" w:right="47"/>
        <w:jc w:val="both"/>
        <w:rPr>
          <w:rFonts w:ascii="Bookman Old Style" w:hAnsi="Bookman Old Style"/>
          <w:spacing w:val="-3"/>
        </w:rPr>
      </w:pPr>
      <w:r w:rsidRPr="0055128F">
        <w:rPr>
          <w:rFonts w:ascii="Bookman Old Style" w:hAnsi="Bookman Old Style"/>
          <w:spacing w:val="-3"/>
        </w:rPr>
        <w:t>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w:t>
      </w:r>
    </w:p>
    <w:p w14:paraId="1D344B98" w14:textId="77777777" w:rsidR="0055128F" w:rsidRPr="0055128F" w:rsidRDefault="0055128F" w:rsidP="0055128F">
      <w:pPr>
        <w:widowControl w:val="0"/>
        <w:spacing w:before="240" w:after="240"/>
        <w:ind w:left="0" w:right="47"/>
        <w:jc w:val="both"/>
        <w:rPr>
          <w:rFonts w:ascii="Bookman Old Style" w:hAnsi="Bookman Old Style"/>
          <w:spacing w:val="-3"/>
        </w:rPr>
      </w:pPr>
      <w:r w:rsidRPr="0055128F">
        <w:rPr>
          <w:rFonts w:ascii="Bookman Old Style" w:hAnsi="Bookman Old Style"/>
          <w:spacing w:val="-3"/>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7174397" w14:textId="7B05A5EB" w:rsidR="00995F0E" w:rsidRDefault="0055128F" w:rsidP="0055128F">
      <w:pPr>
        <w:widowControl w:val="0"/>
        <w:spacing w:before="240" w:after="240"/>
        <w:ind w:left="0" w:right="47"/>
        <w:jc w:val="both"/>
        <w:rPr>
          <w:rFonts w:ascii="Bookman Old Style" w:hAnsi="Bookman Old Style"/>
          <w:spacing w:val="-3"/>
        </w:rPr>
      </w:pPr>
      <w:r w:rsidRPr="0055128F">
        <w:rPr>
          <w:rFonts w:ascii="Bookman Old Style" w:hAnsi="Bookman Old Style"/>
          <w:spacing w:val="-3"/>
        </w:rPr>
        <w:t>El artículo 23 literal e) de la Ley 143 de 1994 asignó a la Comisión la función de aprobar las fórmulas tarifarias y las metodologías para el cálculo de las tarifas aplicables a los usuarios regulados.</w:t>
      </w:r>
    </w:p>
    <w:p w14:paraId="6F567A16" w14:textId="726B5241" w:rsidR="00633F9E" w:rsidRDefault="001E0F36" w:rsidP="00A16F1D">
      <w:pPr>
        <w:widowControl w:val="0"/>
        <w:spacing w:before="240" w:after="240"/>
        <w:ind w:left="0" w:right="47"/>
        <w:jc w:val="both"/>
        <w:rPr>
          <w:rFonts w:ascii="Bookman Old Style" w:hAnsi="Bookman Old Style" w:cs="Arial"/>
        </w:rPr>
      </w:pPr>
      <w:r w:rsidRPr="000200D5">
        <w:rPr>
          <w:rFonts w:ascii="Bookman Old Style" w:hAnsi="Bookman Old Style"/>
          <w:spacing w:val="-3"/>
        </w:rPr>
        <w:t xml:space="preserve">Mediante </w:t>
      </w:r>
      <w:r w:rsidR="009E2240" w:rsidRPr="000200D5">
        <w:rPr>
          <w:rFonts w:ascii="Bookman Old Style" w:hAnsi="Bookman Old Style"/>
          <w:spacing w:val="-3"/>
        </w:rPr>
        <w:t xml:space="preserve">la </w:t>
      </w:r>
      <w:r w:rsidRPr="000200D5">
        <w:rPr>
          <w:rFonts w:ascii="Bookman Old Style" w:hAnsi="Bookman Old Style"/>
          <w:spacing w:val="-3"/>
        </w:rPr>
        <w:t>Resolución CREG 119 de 2007 se aprobó</w:t>
      </w:r>
      <w:r w:rsidRPr="000200D5">
        <w:rPr>
          <w:rFonts w:ascii="Bookman Old Style" w:hAnsi="Bookman Old Style" w:cs="Arial"/>
        </w:rPr>
        <w:t xml:space="preserve"> la fórmula tarifaria general que permite a los </w:t>
      </w:r>
      <w:r w:rsidR="00D92B07" w:rsidRPr="000200D5">
        <w:rPr>
          <w:rFonts w:ascii="Bookman Old Style" w:hAnsi="Bookman Old Style" w:cs="Arial"/>
        </w:rPr>
        <w:t>c</w:t>
      </w:r>
      <w:r w:rsidRPr="000200D5">
        <w:rPr>
          <w:rFonts w:ascii="Bookman Old Style" w:hAnsi="Bookman Old Style" w:cs="Arial"/>
        </w:rPr>
        <w:t xml:space="preserve">omercializadores </w:t>
      </w:r>
      <w:r w:rsidR="00D92B07" w:rsidRPr="000200D5">
        <w:rPr>
          <w:rFonts w:ascii="Bookman Old Style" w:hAnsi="Bookman Old Style" w:cs="Arial"/>
        </w:rPr>
        <w:t>m</w:t>
      </w:r>
      <w:r w:rsidRPr="000200D5">
        <w:rPr>
          <w:rFonts w:ascii="Bookman Old Style" w:hAnsi="Bookman Old Style" w:cs="Arial"/>
        </w:rPr>
        <w:t>inoristas de electricidad establecer los costos de prestación del servicio a usuarios regulados en el Sistema Interconectado Nacional.</w:t>
      </w:r>
    </w:p>
    <w:p w14:paraId="1790AF78" w14:textId="557C6726" w:rsidR="007E0088" w:rsidRDefault="00633F9E" w:rsidP="00A16F1D">
      <w:pPr>
        <w:widowControl w:val="0"/>
        <w:spacing w:before="240" w:after="240"/>
        <w:ind w:left="0" w:right="47"/>
        <w:jc w:val="both"/>
        <w:rPr>
          <w:rFonts w:ascii="Bookman Old Style" w:hAnsi="Bookman Old Style" w:cs="Arial"/>
        </w:rPr>
      </w:pPr>
      <w:r>
        <w:rPr>
          <w:rFonts w:ascii="Bookman Old Style" w:hAnsi="Bookman Old Style" w:cs="Arial"/>
        </w:rPr>
        <w:t>L</w:t>
      </w:r>
      <w:r w:rsidRPr="007F2494">
        <w:rPr>
          <w:rFonts w:ascii="Bookman Old Style" w:hAnsi="Bookman Old Style" w:cs="Arial"/>
        </w:rPr>
        <w:t>a Ley 142 de 1994</w:t>
      </w:r>
      <w:r>
        <w:rPr>
          <w:rFonts w:ascii="Bookman Old Style" w:hAnsi="Bookman Old Style" w:cs="Arial"/>
        </w:rPr>
        <w:t xml:space="preserve"> en su a</w:t>
      </w:r>
      <w:r w:rsidRPr="007F2494">
        <w:rPr>
          <w:rFonts w:ascii="Bookman Old Style" w:hAnsi="Bookman Old Style" w:cs="Arial"/>
        </w:rPr>
        <w:t>rtículo 90</w:t>
      </w:r>
      <w:r>
        <w:rPr>
          <w:rFonts w:ascii="Bookman Old Style" w:hAnsi="Bookman Old Style" w:cs="Arial"/>
        </w:rPr>
        <w:t xml:space="preserve"> establece que</w:t>
      </w:r>
      <w:r w:rsidRPr="007F2494">
        <w:rPr>
          <w:rFonts w:ascii="Bookman Old Style" w:hAnsi="Bookman Old Style" w:cs="Arial"/>
        </w:rPr>
        <w:t xml:space="preserve"> las Comisiones de Regulación al definir sus tarifas pueden establecer varias alternativas y siempre podrán diseñar y hacer públicas diversas opciones tarifarias que tomen en cuenta diseños óptimos de tarifas.</w:t>
      </w:r>
      <w:r>
        <w:rPr>
          <w:rFonts w:ascii="Bookman Old Style" w:hAnsi="Bookman Old Style" w:cs="Arial"/>
        </w:rPr>
        <w:t xml:space="preserve"> </w:t>
      </w:r>
      <w:r w:rsidRPr="007F2494">
        <w:rPr>
          <w:rFonts w:ascii="Bookman Old Style" w:hAnsi="Bookman Old Style" w:cs="Arial"/>
        </w:rPr>
        <w:t>E</w:t>
      </w:r>
      <w:r>
        <w:rPr>
          <w:rFonts w:ascii="Bookman Old Style" w:hAnsi="Bookman Old Style" w:cs="Arial"/>
        </w:rPr>
        <w:t>n concordancia con lo anterior, e</w:t>
      </w:r>
      <w:r w:rsidRPr="007F2494">
        <w:rPr>
          <w:rFonts w:ascii="Bookman Old Style" w:hAnsi="Bookman Old Style" w:cs="Arial"/>
        </w:rPr>
        <w:t xml:space="preserve">l </w:t>
      </w:r>
      <w:r w:rsidR="003101B1">
        <w:rPr>
          <w:rFonts w:ascii="Bookman Old Style" w:hAnsi="Bookman Old Style" w:cs="Arial"/>
        </w:rPr>
        <w:t>parágrafo 2 d</w:t>
      </w:r>
      <w:r>
        <w:rPr>
          <w:rFonts w:ascii="Bookman Old Style" w:hAnsi="Bookman Old Style" w:cs="Arial"/>
        </w:rPr>
        <w:t>e</w:t>
      </w:r>
      <w:r w:rsidRPr="007F2494">
        <w:rPr>
          <w:rFonts w:ascii="Bookman Old Style" w:hAnsi="Bookman Old Style" w:cs="Arial"/>
        </w:rPr>
        <w:t xml:space="preserve">l artículo 46 de la Ley 143 de 1994 establece que la </w:t>
      </w:r>
      <w:r w:rsidR="00755D14">
        <w:rPr>
          <w:rFonts w:ascii="Bookman Old Style" w:hAnsi="Bookman Old Style" w:cs="Arial"/>
        </w:rPr>
        <w:t>CREG</w:t>
      </w:r>
      <w:r w:rsidRPr="007F2494">
        <w:rPr>
          <w:rFonts w:ascii="Bookman Old Style" w:hAnsi="Bookman Old Style" w:cs="Arial"/>
        </w:rPr>
        <w:t xml:space="preserve"> podrá diseñar y hacer públicas diversas opciones tarifarias. </w:t>
      </w:r>
    </w:p>
    <w:p w14:paraId="2F298B3C" w14:textId="208E0E2C" w:rsidR="00F16CBC" w:rsidRPr="00643FFA" w:rsidRDefault="008C28CA" w:rsidP="00F16CBC">
      <w:pPr>
        <w:widowControl w:val="0"/>
        <w:spacing w:before="240" w:after="240"/>
        <w:ind w:left="0" w:right="47"/>
        <w:jc w:val="both"/>
        <w:rPr>
          <w:rFonts w:ascii="Bookman Old Style" w:hAnsi="Bookman Old Style" w:cs="Arial"/>
        </w:rPr>
      </w:pPr>
      <w:r>
        <w:rPr>
          <w:rFonts w:ascii="Bookman Old Style" w:hAnsi="Bookman Old Style" w:cs="Arial"/>
        </w:rPr>
        <w:t>En l</w:t>
      </w:r>
      <w:r w:rsidR="00F16CBC" w:rsidRPr="00F16CBC">
        <w:rPr>
          <w:rFonts w:ascii="Bookman Old Style" w:hAnsi="Bookman Old Style" w:cs="Arial"/>
        </w:rPr>
        <w:t>a Resolución CREG 168 de 2008</w:t>
      </w:r>
      <w:r>
        <w:rPr>
          <w:rFonts w:ascii="Bookman Old Style" w:hAnsi="Bookman Old Style" w:cs="Arial"/>
        </w:rPr>
        <w:t>,</w:t>
      </w:r>
      <w:r w:rsidR="00F16CBC">
        <w:rPr>
          <w:rFonts w:ascii="Bookman Old Style" w:hAnsi="Bookman Old Style" w:cs="Arial"/>
        </w:rPr>
        <w:t xml:space="preserve"> </w:t>
      </w:r>
      <w:r w:rsidR="00A34E3D" w:rsidRPr="00A34E3D">
        <w:rPr>
          <w:rFonts w:ascii="Bookman Old Style" w:hAnsi="Bookman Old Style" w:cs="Arial"/>
          <w:i/>
          <w:iCs/>
        </w:rPr>
        <w:t>Por la cual se establece una opción tarifaria para definir los costos máximos de prestación del servicio que podrán ser trasladados a los usuarios regulados del servicio público de energía eléctrica en el Sistema Interconectado Nacional</w:t>
      </w:r>
      <w:r>
        <w:rPr>
          <w:rFonts w:ascii="Bookman Old Style" w:hAnsi="Bookman Old Style" w:cs="Arial"/>
          <w:i/>
          <w:iCs/>
        </w:rPr>
        <w:t xml:space="preserve">, </w:t>
      </w:r>
      <w:r w:rsidR="00643FFA">
        <w:rPr>
          <w:rFonts w:ascii="Bookman Old Style" w:hAnsi="Bookman Old Style" w:cs="Arial"/>
        </w:rPr>
        <w:t xml:space="preserve">se permitió </w:t>
      </w:r>
      <w:r w:rsidR="002D27D1">
        <w:rPr>
          <w:rFonts w:ascii="Bookman Old Style" w:hAnsi="Bookman Old Style" w:cs="Arial"/>
        </w:rPr>
        <w:t xml:space="preserve">a los comercializadores </w:t>
      </w:r>
      <w:r w:rsidR="00040F69">
        <w:rPr>
          <w:rFonts w:ascii="Bookman Old Style" w:hAnsi="Bookman Old Style" w:cs="Arial"/>
        </w:rPr>
        <w:t xml:space="preserve">la aplicación </w:t>
      </w:r>
      <w:r w:rsidR="002D27D1">
        <w:rPr>
          <w:rFonts w:ascii="Bookman Old Style" w:hAnsi="Bookman Old Style" w:cs="Arial"/>
        </w:rPr>
        <w:t xml:space="preserve">voluntaria </w:t>
      </w:r>
      <w:r w:rsidR="00040F69">
        <w:rPr>
          <w:rFonts w:ascii="Bookman Old Style" w:hAnsi="Bookman Old Style" w:cs="Arial"/>
        </w:rPr>
        <w:t>de un costo unitario de prestación del servicio diferente al calculado con la metodología general</w:t>
      </w:r>
      <w:r w:rsidR="000253B5">
        <w:rPr>
          <w:rFonts w:ascii="Bookman Old Style" w:hAnsi="Bookman Old Style" w:cs="Arial"/>
        </w:rPr>
        <w:t>,</w:t>
      </w:r>
      <w:r w:rsidR="00040F69">
        <w:rPr>
          <w:rFonts w:ascii="Bookman Old Style" w:hAnsi="Bookman Old Style" w:cs="Arial"/>
        </w:rPr>
        <w:t xml:space="preserve"> </w:t>
      </w:r>
      <w:r w:rsidR="002D27D1">
        <w:rPr>
          <w:rFonts w:ascii="Bookman Old Style" w:hAnsi="Bookman Old Style" w:cs="Arial"/>
        </w:rPr>
        <w:t xml:space="preserve">con el objetivo de </w:t>
      </w:r>
      <w:r w:rsidR="00643FFA" w:rsidRPr="00643FFA">
        <w:rPr>
          <w:rFonts w:ascii="Bookman Old Style" w:hAnsi="Bookman Old Style" w:cs="Arial"/>
        </w:rPr>
        <w:t>moderar incrementos abruptos en la tarifa</w:t>
      </w:r>
      <w:r w:rsidR="00755D14">
        <w:rPr>
          <w:rFonts w:ascii="Bookman Old Style" w:hAnsi="Bookman Old Style" w:cs="Arial"/>
        </w:rPr>
        <w:t>. E</w:t>
      </w:r>
      <w:r w:rsidR="000253B5">
        <w:rPr>
          <w:rFonts w:ascii="Bookman Old Style" w:hAnsi="Bookman Old Style" w:cs="Arial"/>
        </w:rPr>
        <w:t xml:space="preserve">sto generaba </w:t>
      </w:r>
      <w:r w:rsidR="00643FFA" w:rsidRPr="00643FFA">
        <w:rPr>
          <w:rFonts w:ascii="Bookman Old Style" w:hAnsi="Bookman Old Style" w:cs="Arial"/>
        </w:rPr>
        <w:t xml:space="preserve">la acumulación de saldos que </w:t>
      </w:r>
      <w:r w:rsidR="002D27D1">
        <w:rPr>
          <w:rFonts w:ascii="Bookman Old Style" w:hAnsi="Bookman Old Style" w:cs="Arial"/>
        </w:rPr>
        <w:t xml:space="preserve">eran </w:t>
      </w:r>
      <w:r w:rsidR="00643FFA" w:rsidRPr="00643FFA">
        <w:rPr>
          <w:rFonts w:ascii="Bookman Old Style" w:hAnsi="Bookman Old Style" w:cs="Arial"/>
        </w:rPr>
        <w:t>pagados por el usuario con posterioridad a lo largo de un mayor período de tiempo.</w:t>
      </w:r>
    </w:p>
    <w:p w14:paraId="4F2C765A" w14:textId="73D74D8F" w:rsidR="00F27149" w:rsidRDefault="00F27149" w:rsidP="00A16F1D">
      <w:pPr>
        <w:widowControl w:val="0"/>
        <w:spacing w:before="240" w:after="240"/>
        <w:ind w:left="0" w:right="47"/>
        <w:jc w:val="both"/>
        <w:rPr>
          <w:rFonts w:ascii="Bookman Old Style" w:hAnsi="Bookman Old Style" w:cs="Arial"/>
        </w:rPr>
      </w:pPr>
      <w:r>
        <w:rPr>
          <w:rFonts w:ascii="Bookman Old Style" w:hAnsi="Bookman Old Style" w:cs="Arial"/>
        </w:rPr>
        <w:t xml:space="preserve">Mediante la Resolución CREG 012 de 2020 </w:t>
      </w:r>
      <w:r w:rsidR="00E4512F">
        <w:rPr>
          <w:rFonts w:ascii="Bookman Old Style" w:hAnsi="Bookman Old Style" w:cs="Arial"/>
        </w:rPr>
        <w:t xml:space="preserve">se </w:t>
      </w:r>
      <w:r w:rsidR="002D27D1">
        <w:rPr>
          <w:rFonts w:ascii="Bookman Old Style" w:hAnsi="Bookman Old Style" w:cs="Arial"/>
        </w:rPr>
        <w:t>actualizó la Resolución CREG 168 de 2008</w:t>
      </w:r>
      <w:r w:rsidR="00FE20AB">
        <w:rPr>
          <w:rFonts w:ascii="Bookman Old Style" w:hAnsi="Bookman Old Style" w:cs="Arial"/>
        </w:rPr>
        <w:t xml:space="preserve">, </w:t>
      </w:r>
      <w:r w:rsidR="00867DFA">
        <w:rPr>
          <w:rFonts w:ascii="Bookman Old Style" w:hAnsi="Bookman Old Style" w:cs="Arial"/>
        </w:rPr>
        <w:t xml:space="preserve">se mantuvo </w:t>
      </w:r>
      <w:r w:rsidR="00065FFE">
        <w:rPr>
          <w:rFonts w:ascii="Bookman Old Style" w:hAnsi="Bookman Old Style" w:cs="Arial"/>
        </w:rPr>
        <w:t xml:space="preserve">la </w:t>
      </w:r>
      <w:r w:rsidR="00CE3691">
        <w:rPr>
          <w:rFonts w:ascii="Bookman Old Style" w:hAnsi="Bookman Old Style" w:cs="Arial"/>
        </w:rPr>
        <w:t xml:space="preserve">metodología </w:t>
      </w:r>
      <w:r w:rsidR="00867DFA">
        <w:rPr>
          <w:rFonts w:ascii="Bookman Old Style" w:hAnsi="Bookman Old Style" w:cs="Arial"/>
        </w:rPr>
        <w:t xml:space="preserve">de acumulación y pago de saldos y se hicieron </w:t>
      </w:r>
      <w:r w:rsidR="00CE3691">
        <w:rPr>
          <w:rFonts w:ascii="Bookman Old Style" w:hAnsi="Bookman Old Style" w:cs="Arial"/>
        </w:rPr>
        <w:t>algunas precisiones y ajustes</w:t>
      </w:r>
      <w:r w:rsidR="007F6FD2">
        <w:rPr>
          <w:rFonts w:ascii="Bookman Old Style" w:hAnsi="Bookman Old Style" w:cs="Arial"/>
        </w:rPr>
        <w:t xml:space="preserve"> para la aplicación de nuevas opciones tarifarias a partir del año 2021</w:t>
      </w:r>
      <w:r w:rsidR="00E4512F" w:rsidRPr="00E4512F">
        <w:rPr>
          <w:rFonts w:ascii="Bookman Old Style" w:hAnsi="Bookman Old Style" w:cs="Arial"/>
        </w:rPr>
        <w:t>.</w:t>
      </w:r>
      <w:r w:rsidR="00525FA7">
        <w:rPr>
          <w:rFonts w:ascii="Bookman Old Style" w:hAnsi="Bookman Old Style" w:cs="Arial"/>
        </w:rPr>
        <w:t xml:space="preserve"> Lo anterior, teniendo en cuenta el proceso de actualización </w:t>
      </w:r>
      <w:r w:rsidR="001A1D88">
        <w:rPr>
          <w:rFonts w:ascii="Bookman Old Style" w:hAnsi="Bookman Old Style" w:cs="Arial"/>
        </w:rPr>
        <w:t xml:space="preserve">de cargos tarifarios </w:t>
      </w:r>
      <w:r w:rsidR="00434E5F">
        <w:rPr>
          <w:rFonts w:ascii="Bookman Old Style" w:hAnsi="Bookman Old Style" w:cs="Arial"/>
        </w:rPr>
        <w:t>en la actividad de distribución, derivados de la aplicación</w:t>
      </w:r>
      <w:r w:rsidR="001A1D88">
        <w:rPr>
          <w:rFonts w:ascii="Bookman Old Style" w:hAnsi="Bookman Old Style" w:cs="Arial"/>
        </w:rPr>
        <w:t xml:space="preserve"> </w:t>
      </w:r>
      <w:r w:rsidR="002210C4">
        <w:rPr>
          <w:rFonts w:ascii="Bookman Old Style" w:hAnsi="Bookman Old Style" w:cs="Arial"/>
        </w:rPr>
        <w:t xml:space="preserve">de la metodología </w:t>
      </w:r>
      <w:r w:rsidR="00ED1705" w:rsidRPr="00ED1705">
        <w:rPr>
          <w:rFonts w:ascii="Bookman Old Style" w:hAnsi="Bookman Old Style" w:cs="Arial"/>
        </w:rPr>
        <w:t xml:space="preserve">para la remuneración de la actividad de </w:t>
      </w:r>
      <w:r w:rsidR="00ED1705" w:rsidRPr="00ED1705">
        <w:rPr>
          <w:rFonts w:ascii="Bookman Old Style" w:hAnsi="Bookman Old Style" w:cs="Arial"/>
        </w:rPr>
        <w:lastRenderedPageBreak/>
        <w:t>distribución de energía eléctrica en el Sistema Interconectado Nacional</w:t>
      </w:r>
      <w:r w:rsidR="00ED1705">
        <w:rPr>
          <w:rFonts w:ascii="Bookman Old Style" w:hAnsi="Bookman Old Style" w:cs="Arial"/>
        </w:rPr>
        <w:t xml:space="preserve"> prevista en la Resolución CREG 015 de 2018.</w:t>
      </w:r>
    </w:p>
    <w:p w14:paraId="7B19F0BB" w14:textId="6DAF057D" w:rsidR="00ED1705" w:rsidRDefault="00417121" w:rsidP="00A16F1D">
      <w:pPr>
        <w:widowControl w:val="0"/>
        <w:spacing w:before="240" w:after="240"/>
        <w:ind w:left="0" w:right="47"/>
        <w:jc w:val="both"/>
        <w:rPr>
          <w:rFonts w:ascii="Bookman Old Style" w:hAnsi="Bookman Old Style" w:cs="Arial"/>
        </w:rPr>
      </w:pPr>
      <w:r>
        <w:rPr>
          <w:rFonts w:ascii="Bookman Old Style" w:hAnsi="Bookman Old Style" w:cs="Arial"/>
        </w:rPr>
        <w:t xml:space="preserve">En este sentido, las medidas regulatorias a través de las cuales se </w:t>
      </w:r>
      <w:r w:rsidR="00F26230" w:rsidRPr="00F26230">
        <w:rPr>
          <w:rFonts w:ascii="Bookman Old Style" w:hAnsi="Bookman Old Style" w:cs="Arial"/>
        </w:rPr>
        <w:t>establece</w:t>
      </w:r>
      <w:r w:rsidR="00F26230">
        <w:rPr>
          <w:rFonts w:ascii="Bookman Old Style" w:hAnsi="Bookman Old Style" w:cs="Arial"/>
        </w:rPr>
        <w:t>n</w:t>
      </w:r>
      <w:r w:rsidR="00F26230" w:rsidRPr="00F26230">
        <w:rPr>
          <w:rFonts w:ascii="Bookman Old Style" w:hAnsi="Bookman Old Style" w:cs="Arial"/>
        </w:rPr>
        <w:t xml:space="preserve"> opci</w:t>
      </w:r>
      <w:r w:rsidR="00F26230">
        <w:rPr>
          <w:rFonts w:ascii="Bookman Old Style" w:hAnsi="Bookman Old Style" w:cs="Arial"/>
        </w:rPr>
        <w:t>ones</w:t>
      </w:r>
      <w:r w:rsidR="00F26230" w:rsidRPr="00F26230">
        <w:rPr>
          <w:rFonts w:ascii="Bookman Old Style" w:hAnsi="Bookman Old Style" w:cs="Arial"/>
        </w:rPr>
        <w:t xml:space="preserve"> tarifaria</w:t>
      </w:r>
      <w:r w:rsidR="00F26230">
        <w:rPr>
          <w:rFonts w:ascii="Bookman Old Style" w:hAnsi="Bookman Old Style" w:cs="Arial"/>
        </w:rPr>
        <w:t>s, en este caso,</w:t>
      </w:r>
      <w:r w:rsidR="00F26230" w:rsidRPr="00F26230">
        <w:rPr>
          <w:rFonts w:ascii="Bookman Old Style" w:hAnsi="Bookman Old Style" w:cs="Arial"/>
        </w:rPr>
        <w:t xml:space="preserve"> para definir los costos máximos de prestación del servicio que podrán ser trasladados a los usuarios regulados del servicio público de energía eléctrica en el Sistema Interconectado Nacional</w:t>
      </w:r>
      <w:r w:rsidR="00F26230">
        <w:rPr>
          <w:rFonts w:ascii="Bookman Old Style" w:hAnsi="Bookman Old Style" w:cs="Arial"/>
        </w:rPr>
        <w:t xml:space="preserve">, han tenido como finalidad </w:t>
      </w:r>
      <w:r w:rsidR="004675D1">
        <w:rPr>
          <w:rFonts w:ascii="Bookman Old Style" w:hAnsi="Bookman Old Style" w:cs="Arial"/>
        </w:rPr>
        <w:t xml:space="preserve">aminorar los impactos </w:t>
      </w:r>
      <w:r w:rsidR="009C7697">
        <w:rPr>
          <w:rFonts w:ascii="Bookman Old Style" w:hAnsi="Bookman Old Style" w:cs="Arial"/>
        </w:rPr>
        <w:t>e</w:t>
      </w:r>
      <w:r w:rsidR="004675D1">
        <w:rPr>
          <w:rFonts w:ascii="Bookman Old Style" w:hAnsi="Bookman Old Style" w:cs="Arial"/>
        </w:rPr>
        <w:t xml:space="preserve"> incrementos </w:t>
      </w:r>
      <w:r w:rsidR="004339A9">
        <w:rPr>
          <w:rFonts w:ascii="Bookman Old Style" w:hAnsi="Bookman Old Style" w:cs="Arial"/>
        </w:rPr>
        <w:t xml:space="preserve">súbitos </w:t>
      </w:r>
      <w:r w:rsidR="004675D1">
        <w:rPr>
          <w:rFonts w:ascii="Bookman Old Style" w:hAnsi="Bookman Old Style" w:cs="Arial"/>
        </w:rPr>
        <w:t xml:space="preserve">en los componentes de la fórmula </w:t>
      </w:r>
      <w:r w:rsidR="009C7697">
        <w:rPr>
          <w:rFonts w:ascii="Bookman Old Style" w:hAnsi="Bookman Old Style" w:cs="Arial"/>
        </w:rPr>
        <w:t>del costo unitario de prestación de servicio</w:t>
      </w:r>
      <w:r w:rsidR="004675D1">
        <w:rPr>
          <w:rFonts w:ascii="Bookman Old Style" w:hAnsi="Bookman Old Style" w:cs="Arial"/>
        </w:rPr>
        <w:t xml:space="preserve">, los cuales se pueden </w:t>
      </w:r>
      <w:r w:rsidR="00D6262A">
        <w:rPr>
          <w:rFonts w:ascii="Bookman Old Style" w:hAnsi="Bookman Old Style" w:cs="Arial"/>
        </w:rPr>
        <w:t>presentar</w:t>
      </w:r>
      <w:r w:rsidR="00F932A9">
        <w:rPr>
          <w:rFonts w:ascii="Bookman Old Style" w:hAnsi="Bookman Old Style" w:cs="Arial"/>
        </w:rPr>
        <w:t>, entre otros, por</w:t>
      </w:r>
      <w:r w:rsidR="004675D1">
        <w:rPr>
          <w:rFonts w:ascii="Bookman Old Style" w:hAnsi="Bookman Old Style" w:cs="Arial"/>
        </w:rPr>
        <w:t xml:space="preserve"> </w:t>
      </w:r>
      <w:r w:rsidR="00591282">
        <w:rPr>
          <w:rFonts w:ascii="Bookman Old Style" w:hAnsi="Bookman Old Style" w:cs="Arial"/>
        </w:rPr>
        <w:t xml:space="preserve">cambios en </w:t>
      </w:r>
      <w:r w:rsidR="00DB4E9D">
        <w:rPr>
          <w:rFonts w:ascii="Bookman Old Style" w:hAnsi="Bookman Old Style" w:cs="Arial"/>
        </w:rPr>
        <w:t xml:space="preserve">las señales de abundancia o escasez de los recursos para la </w:t>
      </w:r>
      <w:r w:rsidR="00961B80">
        <w:rPr>
          <w:rFonts w:ascii="Bookman Old Style" w:hAnsi="Bookman Old Style" w:cs="Arial"/>
        </w:rPr>
        <w:t>producción de energía</w:t>
      </w:r>
      <w:r w:rsidR="00D6262A">
        <w:rPr>
          <w:rStyle w:val="Refdenotaalpie"/>
          <w:rFonts w:ascii="Bookman Old Style" w:hAnsi="Bookman Old Style" w:cs="Arial"/>
        </w:rPr>
        <w:footnoteReference w:id="2"/>
      </w:r>
      <w:r w:rsidR="0013780B">
        <w:rPr>
          <w:rFonts w:ascii="Bookman Old Style" w:hAnsi="Bookman Old Style" w:cs="Arial"/>
        </w:rPr>
        <w:t xml:space="preserve">, </w:t>
      </w:r>
      <w:r w:rsidR="00DE5C10">
        <w:rPr>
          <w:rFonts w:ascii="Bookman Old Style" w:hAnsi="Bookman Old Style" w:cs="Arial"/>
        </w:rPr>
        <w:t>la entrada</w:t>
      </w:r>
      <w:r w:rsidR="0013780B">
        <w:rPr>
          <w:rFonts w:ascii="Bookman Old Style" w:hAnsi="Bookman Old Style" w:cs="Arial"/>
        </w:rPr>
        <w:t xml:space="preserve"> en</w:t>
      </w:r>
      <w:r w:rsidR="00DE5C10">
        <w:rPr>
          <w:rFonts w:ascii="Bookman Old Style" w:hAnsi="Bookman Old Style" w:cs="Arial"/>
        </w:rPr>
        <w:t xml:space="preserve"> vigencia de nuevos compo</w:t>
      </w:r>
      <w:r w:rsidR="008614AC">
        <w:rPr>
          <w:rFonts w:ascii="Bookman Old Style" w:hAnsi="Bookman Old Style" w:cs="Arial"/>
        </w:rPr>
        <w:t>nentes de segmentos regulados</w:t>
      </w:r>
      <w:r w:rsidR="008C75E9">
        <w:rPr>
          <w:rStyle w:val="Refdenotaalpie"/>
          <w:rFonts w:ascii="Bookman Old Style" w:hAnsi="Bookman Old Style" w:cs="Arial"/>
        </w:rPr>
        <w:footnoteReference w:id="3"/>
      </w:r>
      <w:r w:rsidR="008614AC">
        <w:rPr>
          <w:rFonts w:ascii="Bookman Old Style" w:hAnsi="Bookman Old Style" w:cs="Arial"/>
        </w:rPr>
        <w:t xml:space="preserve">, </w:t>
      </w:r>
      <w:r w:rsidR="00FA402B">
        <w:rPr>
          <w:rFonts w:ascii="Bookman Old Style" w:hAnsi="Bookman Old Style" w:cs="Arial"/>
        </w:rPr>
        <w:t xml:space="preserve">por situaciones </w:t>
      </w:r>
      <w:r w:rsidR="005B2871">
        <w:rPr>
          <w:rFonts w:ascii="Bookman Old Style" w:hAnsi="Bookman Old Style" w:cs="Arial"/>
        </w:rPr>
        <w:t>de disponibilidad de la infraestructura</w:t>
      </w:r>
      <w:r w:rsidR="00CD645F">
        <w:rPr>
          <w:rStyle w:val="Refdenotaalpie"/>
          <w:rFonts w:ascii="Bookman Old Style" w:hAnsi="Bookman Old Style" w:cs="Arial"/>
        </w:rPr>
        <w:footnoteReference w:id="4"/>
      </w:r>
      <w:r w:rsidR="005B2871">
        <w:rPr>
          <w:rFonts w:ascii="Bookman Old Style" w:hAnsi="Bookman Old Style" w:cs="Arial"/>
        </w:rPr>
        <w:t>,</w:t>
      </w:r>
      <w:r w:rsidR="00CD645F">
        <w:rPr>
          <w:rFonts w:ascii="Bookman Old Style" w:hAnsi="Bookman Old Style" w:cs="Arial"/>
        </w:rPr>
        <w:t xml:space="preserve"> la incorporación de medidas de política energética</w:t>
      </w:r>
      <w:r w:rsidR="005B2871">
        <w:rPr>
          <w:rFonts w:ascii="Bookman Old Style" w:hAnsi="Bookman Old Style" w:cs="Arial"/>
        </w:rPr>
        <w:t xml:space="preserve">, </w:t>
      </w:r>
      <w:r w:rsidR="00A07A42">
        <w:rPr>
          <w:rFonts w:ascii="Bookman Old Style" w:hAnsi="Bookman Old Style" w:cs="Arial"/>
        </w:rPr>
        <w:t>así como otros eventos de mercado</w:t>
      </w:r>
      <w:r w:rsidR="00755D14">
        <w:rPr>
          <w:rFonts w:ascii="Bookman Old Style" w:hAnsi="Bookman Old Style" w:cs="Arial"/>
        </w:rPr>
        <w:t xml:space="preserve">; </w:t>
      </w:r>
      <w:r w:rsidR="002013B8">
        <w:rPr>
          <w:rFonts w:ascii="Bookman Old Style" w:hAnsi="Bookman Old Style" w:cs="Arial"/>
        </w:rPr>
        <w:t>es decir, por</w:t>
      </w:r>
      <w:r w:rsidR="00A07A42">
        <w:rPr>
          <w:rFonts w:ascii="Bookman Old Style" w:hAnsi="Bookman Old Style" w:cs="Arial"/>
        </w:rPr>
        <w:t xml:space="preserve"> situaciones de hecho o </w:t>
      </w:r>
      <w:r w:rsidR="008D4838">
        <w:rPr>
          <w:rFonts w:ascii="Bookman Old Style" w:hAnsi="Bookman Old Style" w:cs="Arial"/>
        </w:rPr>
        <w:t xml:space="preserve">regulatorias que </w:t>
      </w:r>
      <w:r w:rsidR="00A07A42">
        <w:rPr>
          <w:rFonts w:ascii="Bookman Old Style" w:hAnsi="Bookman Old Style" w:cs="Arial"/>
        </w:rPr>
        <w:t>generan un impacto en las tarifas del servicio  público domiciliario</w:t>
      </w:r>
      <w:r w:rsidR="00F26230" w:rsidRPr="00F26230">
        <w:rPr>
          <w:rFonts w:ascii="Bookman Old Style" w:hAnsi="Bookman Old Style" w:cs="Arial"/>
        </w:rPr>
        <w:t>.</w:t>
      </w:r>
    </w:p>
    <w:p w14:paraId="14978FF6" w14:textId="233978BD" w:rsidR="00200531" w:rsidRDefault="003F757A" w:rsidP="00A16F1D">
      <w:pPr>
        <w:widowControl w:val="0"/>
        <w:spacing w:before="240" w:after="240"/>
        <w:ind w:left="0" w:right="47"/>
        <w:jc w:val="both"/>
        <w:rPr>
          <w:rFonts w:ascii="Bookman Old Style" w:hAnsi="Bookman Old Style" w:cs="Arial"/>
        </w:rPr>
      </w:pPr>
      <w:r>
        <w:rPr>
          <w:rFonts w:ascii="Bookman Old Style" w:hAnsi="Bookman Old Style" w:cs="Arial"/>
        </w:rPr>
        <w:t>Por lo tanto</w:t>
      </w:r>
      <w:r w:rsidR="009D6FE4">
        <w:rPr>
          <w:rFonts w:ascii="Bookman Old Style" w:hAnsi="Bookman Old Style" w:cs="Arial"/>
        </w:rPr>
        <w:t xml:space="preserve">, </w:t>
      </w:r>
      <w:r>
        <w:rPr>
          <w:rFonts w:ascii="Bookman Old Style" w:hAnsi="Bookman Old Style" w:cs="Arial"/>
        </w:rPr>
        <w:t xml:space="preserve">la aplicación de las opciones tarifarias busca </w:t>
      </w:r>
      <w:r w:rsidR="00E8389D">
        <w:rPr>
          <w:rFonts w:ascii="Bookman Old Style" w:hAnsi="Bookman Old Style" w:cs="Arial"/>
        </w:rPr>
        <w:t xml:space="preserve">disminuir </w:t>
      </w:r>
      <w:r w:rsidR="004847B0">
        <w:rPr>
          <w:rFonts w:ascii="Bookman Old Style" w:hAnsi="Bookman Old Style" w:cs="Arial"/>
        </w:rPr>
        <w:t>el nivel de volatilidad</w:t>
      </w:r>
      <w:r>
        <w:rPr>
          <w:rFonts w:ascii="Bookman Old Style" w:hAnsi="Bookman Old Style" w:cs="Arial"/>
        </w:rPr>
        <w:t xml:space="preserve"> </w:t>
      </w:r>
      <w:r w:rsidR="00032B7B">
        <w:rPr>
          <w:rFonts w:ascii="Bookman Old Style" w:hAnsi="Bookman Old Style" w:cs="Arial"/>
        </w:rPr>
        <w:t>en las tarifas por eventos como los mencionados</w:t>
      </w:r>
      <w:r w:rsidR="00530E21">
        <w:rPr>
          <w:rFonts w:ascii="Bookman Old Style" w:hAnsi="Bookman Old Style" w:cs="Arial"/>
        </w:rPr>
        <w:t xml:space="preserve">, </w:t>
      </w:r>
      <w:r w:rsidR="00417DD3">
        <w:rPr>
          <w:rFonts w:ascii="Bookman Old Style" w:hAnsi="Bookman Old Style" w:cs="Arial"/>
        </w:rPr>
        <w:t xml:space="preserve">para lo cual, </w:t>
      </w:r>
      <w:r w:rsidR="006D3F6F">
        <w:rPr>
          <w:rFonts w:ascii="Bookman Old Style" w:hAnsi="Bookman Old Style" w:cs="Arial"/>
        </w:rPr>
        <w:t xml:space="preserve">a través de </w:t>
      </w:r>
      <w:r w:rsidR="00417DD3">
        <w:rPr>
          <w:rFonts w:ascii="Bookman Old Style" w:hAnsi="Bookman Old Style" w:cs="Arial"/>
        </w:rPr>
        <w:t>los mecanismos mencionados</w:t>
      </w:r>
      <w:r w:rsidR="006D3F6F">
        <w:rPr>
          <w:rFonts w:ascii="Bookman Old Style" w:hAnsi="Bookman Old Style" w:cs="Arial"/>
        </w:rPr>
        <w:t>, el comercializado</w:t>
      </w:r>
      <w:r w:rsidR="009F3F5D">
        <w:rPr>
          <w:rFonts w:ascii="Bookman Old Style" w:hAnsi="Bookman Old Style" w:cs="Arial"/>
        </w:rPr>
        <w:t>r</w:t>
      </w:r>
      <w:r w:rsidR="006D3F6F">
        <w:rPr>
          <w:rFonts w:ascii="Bookman Old Style" w:hAnsi="Bookman Old Style" w:cs="Arial"/>
        </w:rPr>
        <w:t xml:space="preserve"> </w:t>
      </w:r>
      <w:r w:rsidR="00010363">
        <w:rPr>
          <w:rFonts w:ascii="Bookman Old Style" w:hAnsi="Bookman Old Style" w:cs="Arial"/>
        </w:rPr>
        <w:t>podía optar</w:t>
      </w:r>
      <w:r w:rsidR="00567BC6">
        <w:rPr>
          <w:rFonts w:ascii="Bookman Old Style" w:hAnsi="Bookman Old Style" w:cs="Arial"/>
        </w:rPr>
        <w:t xml:space="preserve"> por aplicar a los usuarios una tarifa con menores variaciones, </w:t>
      </w:r>
      <w:r w:rsidR="007F3725">
        <w:rPr>
          <w:rFonts w:ascii="Bookman Old Style" w:hAnsi="Bookman Old Style" w:cs="Arial"/>
        </w:rPr>
        <w:t xml:space="preserve">generando un saldo para un mercado de comercialización que </w:t>
      </w:r>
      <w:r w:rsidR="008864AF">
        <w:rPr>
          <w:rFonts w:ascii="Bookman Old Style" w:hAnsi="Bookman Old Style" w:cs="Arial"/>
        </w:rPr>
        <w:t xml:space="preserve">se acumula para que </w:t>
      </w:r>
      <w:r w:rsidR="007F3725">
        <w:rPr>
          <w:rFonts w:ascii="Bookman Old Style" w:hAnsi="Bookman Old Style" w:cs="Arial"/>
        </w:rPr>
        <w:t>pu</w:t>
      </w:r>
      <w:r w:rsidR="008864AF">
        <w:rPr>
          <w:rFonts w:ascii="Bookman Old Style" w:hAnsi="Bookman Old Style" w:cs="Arial"/>
        </w:rPr>
        <w:t>eda</w:t>
      </w:r>
      <w:r w:rsidR="007F3725">
        <w:rPr>
          <w:rFonts w:ascii="Bookman Old Style" w:hAnsi="Bookman Old Style" w:cs="Arial"/>
        </w:rPr>
        <w:t xml:space="preserve"> ser </w:t>
      </w:r>
      <w:r w:rsidR="00010363">
        <w:rPr>
          <w:rFonts w:ascii="Bookman Old Style" w:hAnsi="Bookman Old Style" w:cs="Arial"/>
        </w:rPr>
        <w:t xml:space="preserve">amortizado </w:t>
      </w:r>
      <w:r w:rsidR="003B57CC">
        <w:rPr>
          <w:rFonts w:ascii="Bookman Old Style" w:hAnsi="Bookman Old Style" w:cs="Arial"/>
        </w:rPr>
        <w:t>en un lapso determinado.</w:t>
      </w:r>
      <w:r w:rsidR="00032B7B">
        <w:rPr>
          <w:rFonts w:ascii="Bookman Old Style" w:hAnsi="Bookman Old Style" w:cs="Arial"/>
        </w:rPr>
        <w:t xml:space="preserve"> </w:t>
      </w:r>
    </w:p>
    <w:p w14:paraId="6F050651" w14:textId="597F9C11" w:rsidR="000231B3" w:rsidRDefault="000231B3" w:rsidP="00A16F1D">
      <w:pPr>
        <w:widowControl w:val="0"/>
        <w:spacing w:before="240" w:after="240"/>
        <w:ind w:left="0" w:right="47"/>
        <w:jc w:val="both"/>
        <w:rPr>
          <w:rFonts w:ascii="Bookman Old Style" w:hAnsi="Bookman Old Style" w:cs="Arial"/>
        </w:rPr>
      </w:pPr>
      <w:r>
        <w:rPr>
          <w:rFonts w:ascii="Bookman Old Style" w:hAnsi="Bookman Old Style" w:cs="Arial"/>
        </w:rPr>
        <w:t>L</w:t>
      </w:r>
      <w:r w:rsidRPr="000231B3">
        <w:rPr>
          <w:rFonts w:ascii="Bookman Old Style" w:hAnsi="Bookman Old Style" w:cs="Arial"/>
        </w:rPr>
        <w:t xml:space="preserve">as principales características de este mecanismo son: i) la posibilidad de </w:t>
      </w:r>
      <w:r w:rsidR="00732485">
        <w:rPr>
          <w:rFonts w:ascii="Bookman Old Style" w:hAnsi="Bookman Old Style" w:cs="Arial"/>
        </w:rPr>
        <w:t xml:space="preserve">que el comercializador pueda </w:t>
      </w:r>
      <w:r w:rsidRPr="000231B3">
        <w:rPr>
          <w:rFonts w:ascii="Bookman Old Style" w:hAnsi="Bookman Old Style" w:cs="Arial"/>
        </w:rPr>
        <w:t xml:space="preserve">acogerse a este </w:t>
      </w:r>
      <w:r w:rsidR="002A5816">
        <w:rPr>
          <w:rFonts w:ascii="Bookman Old Style" w:hAnsi="Bookman Old Style" w:cs="Arial"/>
        </w:rPr>
        <w:t>de manera voluntaria</w:t>
      </w:r>
      <w:r w:rsidRPr="000231B3">
        <w:rPr>
          <w:rFonts w:ascii="Bookman Old Style" w:hAnsi="Bookman Old Style" w:cs="Arial"/>
        </w:rPr>
        <w:t xml:space="preserve">; </w:t>
      </w:r>
      <w:proofErr w:type="spellStart"/>
      <w:r w:rsidRPr="000231B3">
        <w:rPr>
          <w:rFonts w:ascii="Bookman Old Style" w:hAnsi="Bookman Old Style" w:cs="Arial"/>
        </w:rPr>
        <w:t>ii</w:t>
      </w:r>
      <w:proofErr w:type="spellEnd"/>
      <w:r w:rsidRPr="000231B3">
        <w:rPr>
          <w:rFonts w:ascii="Bookman Old Style" w:hAnsi="Bookman Old Style" w:cs="Arial"/>
        </w:rPr>
        <w:t xml:space="preserve">) </w:t>
      </w:r>
      <w:r w:rsidR="00347AE5">
        <w:rPr>
          <w:rFonts w:ascii="Bookman Old Style" w:hAnsi="Bookman Old Style" w:cs="Arial"/>
        </w:rPr>
        <w:t xml:space="preserve">dar </w:t>
      </w:r>
      <w:r w:rsidRPr="000231B3">
        <w:rPr>
          <w:rFonts w:ascii="Bookman Old Style" w:hAnsi="Bookman Old Style" w:cs="Arial"/>
        </w:rPr>
        <w:t xml:space="preserve">aplicación de la opción y el saldo acumulado </w:t>
      </w:r>
      <w:r w:rsidR="00B92E34">
        <w:rPr>
          <w:rFonts w:ascii="Bookman Old Style" w:hAnsi="Bookman Old Style" w:cs="Arial"/>
        </w:rPr>
        <w:t xml:space="preserve">durante el plazo que </w:t>
      </w:r>
      <w:r w:rsidR="007151DE">
        <w:rPr>
          <w:rFonts w:ascii="Bookman Old Style" w:hAnsi="Bookman Old Style" w:cs="Arial"/>
        </w:rPr>
        <w:t>el</w:t>
      </w:r>
      <w:r w:rsidRPr="000231B3">
        <w:rPr>
          <w:rFonts w:ascii="Bookman Old Style" w:hAnsi="Bookman Old Style" w:cs="Arial"/>
        </w:rPr>
        <w:t xml:space="preserve"> comercializador establezca, toda vez que dicho agente es el que cuenta con mejor información frente al nivel de incremento que se puede </w:t>
      </w:r>
      <w:r w:rsidR="008714F2">
        <w:rPr>
          <w:rFonts w:ascii="Bookman Old Style" w:hAnsi="Bookman Old Style" w:cs="Arial"/>
        </w:rPr>
        <w:t xml:space="preserve">trasladar </w:t>
      </w:r>
      <w:r w:rsidRPr="000231B3">
        <w:rPr>
          <w:rFonts w:ascii="Bookman Old Style" w:hAnsi="Bookman Old Style" w:cs="Arial"/>
        </w:rPr>
        <w:t xml:space="preserve">al usuario; </w:t>
      </w:r>
      <w:proofErr w:type="spellStart"/>
      <w:r w:rsidRPr="000231B3">
        <w:rPr>
          <w:rFonts w:ascii="Bookman Old Style" w:hAnsi="Bookman Old Style" w:cs="Arial"/>
        </w:rPr>
        <w:t>iii</w:t>
      </w:r>
      <w:proofErr w:type="spellEnd"/>
      <w:r w:rsidRPr="000231B3">
        <w:rPr>
          <w:rFonts w:ascii="Bookman Old Style" w:hAnsi="Bookman Old Style" w:cs="Arial"/>
        </w:rPr>
        <w:t>) la aplicación de la opción implica una f</w:t>
      </w:r>
      <w:r w:rsidR="00474BBD">
        <w:rPr>
          <w:rFonts w:ascii="Bookman Old Style" w:hAnsi="Bookman Old Style" w:cs="Arial"/>
        </w:rPr>
        <w:t>ó</w:t>
      </w:r>
      <w:r w:rsidRPr="000231B3">
        <w:rPr>
          <w:rFonts w:ascii="Bookman Old Style" w:hAnsi="Bookman Old Style" w:cs="Arial"/>
        </w:rPr>
        <w:t xml:space="preserve">rmula donde se destaca la existencia de un saldo acumulado por mercado de comercialización, un porcentaje de variación y el financiamiento de parte de la tarifa a través del reconocimiento de una tasa de interés al comercializador y; </w:t>
      </w:r>
      <w:proofErr w:type="spellStart"/>
      <w:r w:rsidRPr="000231B3">
        <w:rPr>
          <w:rFonts w:ascii="Bookman Old Style" w:hAnsi="Bookman Old Style" w:cs="Arial"/>
        </w:rPr>
        <w:t>iv</w:t>
      </w:r>
      <w:proofErr w:type="spellEnd"/>
      <w:r w:rsidRPr="000231B3">
        <w:rPr>
          <w:rFonts w:ascii="Bookman Old Style" w:hAnsi="Bookman Old Style" w:cs="Arial"/>
        </w:rPr>
        <w:t>) la aplicación de una transición para que</w:t>
      </w:r>
      <w:r w:rsidR="00BB5058">
        <w:rPr>
          <w:rFonts w:ascii="Bookman Old Style" w:hAnsi="Bookman Old Style" w:cs="Arial"/>
        </w:rPr>
        <w:t xml:space="preserve"> en</w:t>
      </w:r>
      <w:r w:rsidRPr="000231B3">
        <w:rPr>
          <w:rFonts w:ascii="Bookman Old Style" w:hAnsi="Bookman Old Style" w:cs="Arial"/>
        </w:rPr>
        <w:t xml:space="preserve"> las opciones </w:t>
      </w:r>
      <w:r w:rsidR="00B64AEB">
        <w:rPr>
          <w:rFonts w:ascii="Bookman Old Style" w:hAnsi="Bookman Old Style" w:cs="Arial"/>
        </w:rPr>
        <w:t xml:space="preserve">tarifarias </w:t>
      </w:r>
      <w:r w:rsidRPr="000231B3">
        <w:rPr>
          <w:rFonts w:ascii="Bookman Old Style" w:hAnsi="Bookman Old Style" w:cs="Arial"/>
        </w:rPr>
        <w:t>que se dieran a partir del año 2022, el usuario de manera individual</w:t>
      </w:r>
      <w:r w:rsidR="0038027D">
        <w:rPr>
          <w:rFonts w:ascii="Bookman Old Style" w:hAnsi="Bookman Old Style" w:cs="Arial"/>
        </w:rPr>
        <w:t>,</w:t>
      </w:r>
      <w:r w:rsidRPr="000231B3">
        <w:rPr>
          <w:rFonts w:ascii="Bookman Old Style" w:hAnsi="Bookman Old Style" w:cs="Arial"/>
        </w:rPr>
        <w:t xml:space="preserve"> contara con la posibilidad de que no le</w:t>
      </w:r>
      <w:r w:rsidR="0038027D">
        <w:rPr>
          <w:rFonts w:ascii="Bookman Old Style" w:hAnsi="Bookman Old Style" w:cs="Arial"/>
        </w:rPr>
        <w:t xml:space="preserve"> fuera</w:t>
      </w:r>
      <w:r w:rsidRPr="000231B3">
        <w:rPr>
          <w:rFonts w:ascii="Bookman Old Style" w:hAnsi="Bookman Old Style" w:cs="Arial"/>
        </w:rPr>
        <w:t xml:space="preserve"> aplica</w:t>
      </w:r>
      <w:r w:rsidR="00084430">
        <w:rPr>
          <w:rFonts w:ascii="Bookman Old Style" w:hAnsi="Bookman Old Style" w:cs="Arial"/>
        </w:rPr>
        <w:t>d</w:t>
      </w:r>
      <w:r w:rsidRPr="000231B3">
        <w:rPr>
          <w:rFonts w:ascii="Bookman Old Style" w:hAnsi="Bookman Old Style" w:cs="Arial"/>
        </w:rPr>
        <w:t>a</w:t>
      </w:r>
      <w:r w:rsidR="00E83227">
        <w:rPr>
          <w:rFonts w:ascii="Bookman Old Style" w:hAnsi="Bookman Old Style" w:cs="Arial"/>
        </w:rPr>
        <w:t xml:space="preserve"> dicha</w:t>
      </w:r>
      <w:r w:rsidRPr="000231B3">
        <w:rPr>
          <w:rFonts w:ascii="Bookman Old Style" w:hAnsi="Bookman Old Style" w:cs="Arial"/>
        </w:rPr>
        <w:t xml:space="preserve"> opción</w:t>
      </w:r>
      <w:r w:rsidR="008F7B99">
        <w:rPr>
          <w:rFonts w:ascii="Bookman Old Style" w:hAnsi="Bookman Old Style" w:cs="Arial"/>
        </w:rPr>
        <w:t xml:space="preserve"> y</w:t>
      </w:r>
      <w:r w:rsidR="007B3944">
        <w:rPr>
          <w:rFonts w:ascii="Bookman Old Style" w:hAnsi="Bookman Old Style" w:cs="Arial"/>
        </w:rPr>
        <w:t xml:space="preserve">, en cambio, </w:t>
      </w:r>
      <w:r w:rsidR="00A1027F">
        <w:rPr>
          <w:rFonts w:ascii="Bookman Old Style" w:hAnsi="Bookman Old Style" w:cs="Arial"/>
        </w:rPr>
        <w:t xml:space="preserve">pagara </w:t>
      </w:r>
      <w:r w:rsidRPr="000231B3">
        <w:rPr>
          <w:rFonts w:ascii="Bookman Old Style" w:hAnsi="Bookman Old Style" w:cs="Arial"/>
        </w:rPr>
        <w:t>la tarifa plena del servicio.</w:t>
      </w:r>
    </w:p>
    <w:p w14:paraId="481459D8" w14:textId="0F9329FF" w:rsidR="001C74E0" w:rsidRDefault="00AD33BF" w:rsidP="001C74E0">
      <w:pPr>
        <w:widowControl w:val="0"/>
        <w:spacing w:before="240" w:after="240"/>
        <w:ind w:left="0" w:right="47"/>
        <w:jc w:val="both"/>
        <w:rPr>
          <w:rFonts w:ascii="Bookman Old Style" w:hAnsi="Bookman Old Style" w:cs="Arial"/>
        </w:rPr>
      </w:pPr>
      <w:r>
        <w:rPr>
          <w:rFonts w:ascii="Bookman Old Style" w:hAnsi="Bookman Old Style" w:cs="Arial"/>
        </w:rPr>
        <w:t>Ahora bien, c</w:t>
      </w:r>
      <w:r w:rsidR="001C74E0" w:rsidRPr="00C403B3">
        <w:rPr>
          <w:rFonts w:ascii="Bookman Old Style" w:hAnsi="Bookman Old Style" w:cs="Arial"/>
        </w:rPr>
        <w:t xml:space="preserve">omo parte de las medidas para mitigar los impactos del COVID </w:t>
      </w:r>
      <w:r w:rsidR="001C74E0">
        <w:rPr>
          <w:rFonts w:ascii="Bookman Old Style" w:hAnsi="Bookman Old Style" w:cs="Arial"/>
        </w:rPr>
        <w:t xml:space="preserve">– </w:t>
      </w:r>
      <w:r w:rsidR="001C74E0" w:rsidRPr="00C403B3">
        <w:rPr>
          <w:rFonts w:ascii="Bookman Old Style" w:hAnsi="Bookman Old Style" w:cs="Arial"/>
        </w:rPr>
        <w:t>19</w:t>
      </w:r>
      <w:r w:rsidR="001C74E0">
        <w:rPr>
          <w:rFonts w:ascii="Bookman Old Style" w:hAnsi="Bookman Old Style" w:cs="Arial"/>
        </w:rPr>
        <w:t>,</w:t>
      </w:r>
      <w:r w:rsidR="001C74E0" w:rsidRPr="00C403B3">
        <w:rPr>
          <w:rFonts w:ascii="Bookman Old Style" w:hAnsi="Bookman Old Style" w:cs="Arial"/>
        </w:rPr>
        <w:t xml:space="preserve"> </w:t>
      </w:r>
      <w:r w:rsidR="00477372">
        <w:rPr>
          <w:rFonts w:ascii="Bookman Old Style" w:hAnsi="Bookman Old Style" w:cs="Arial"/>
        </w:rPr>
        <w:t xml:space="preserve">con fundamento en lo dispuesto en las </w:t>
      </w:r>
      <w:r w:rsidR="00477372" w:rsidRPr="00477372">
        <w:rPr>
          <w:rFonts w:ascii="Bookman Old Style" w:hAnsi="Bookman Old Style" w:cs="Arial"/>
        </w:rPr>
        <w:t>Leyes 142 y 143 de 1994, en desarrollo de los Decretos 1524 y 2253 de 1994, 1260 de 2013, y en particular, por las facultades conferidas en el artículo 3 del Decreto Legislativo 517 de 2020</w:t>
      </w:r>
      <w:r w:rsidR="00477372">
        <w:rPr>
          <w:rFonts w:ascii="Bookman Old Style" w:hAnsi="Bookman Old Style" w:cs="Arial"/>
        </w:rPr>
        <w:t xml:space="preserve">, la Comisión </w:t>
      </w:r>
      <w:r w:rsidR="001C74E0" w:rsidRPr="00C403B3">
        <w:rPr>
          <w:rFonts w:ascii="Bookman Old Style" w:hAnsi="Bookman Old Style" w:cs="Arial"/>
        </w:rPr>
        <w:t>mediante la Resolución CREG 058 de 2020 estableció que todos los comercializadores deberían aplicar la opción tarifaria definida en la Resolución CREG 012 de 2020 a los usuarios de su mercado</w:t>
      </w:r>
      <w:r w:rsidR="001C74E0">
        <w:rPr>
          <w:rFonts w:ascii="Bookman Old Style" w:hAnsi="Bookman Old Style" w:cs="Arial"/>
        </w:rPr>
        <w:t xml:space="preserve"> </w:t>
      </w:r>
      <w:r w:rsidR="00F835DC" w:rsidRPr="00F835DC">
        <w:rPr>
          <w:rFonts w:ascii="Bookman Old Style" w:hAnsi="Bookman Old Style" w:cs="Arial"/>
        </w:rPr>
        <w:t>cuando se present</w:t>
      </w:r>
      <w:r w:rsidR="00F835DC">
        <w:rPr>
          <w:rFonts w:ascii="Bookman Old Style" w:hAnsi="Bookman Old Style" w:cs="Arial"/>
        </w:rPr>
        <w:t xml:space="preserve">ara </w:t>
      </w:r>
      <w:r w:rsidR="00F835DC" w:rsidRPr="00F835DC">
        <w:rPr>
          <w:rFonts w:ascii="Bookman Old Style" w:hAnsi="Bookman Old Style" w:cs="Arial"/>
        </w:rPr>
        <w:t>un incremento superior al 3% en el Costo Unitario de Prestación del Servicio</w:t>
      </w:r>
      <w:r w:rsidR="00345460">
        <w:rPr>
          <w:rFonts w:ascii="Bookman Old Style" w:hAnsi="Bookman Old Style" w:cs="Arial"/>
        </w:rPr>
        <w:t>, CU,</w:t>
      </w:r>
      <w:r w:rsidR="00F835DC" w:rsidRPr="00F835DC">
        <w:rPr>
          <w:rFonts w:ascii="Bookman Old Style" w:hAnsi="Bookman Old Style" w:cs="Arial"/>
        </w:rPr>
        <w:t xml:space="preserve"> o en cualquiera de sus componentes</w:t>
      </w:r>
      <w:r w:rsidR="00F82098">
        <w:rPr>
          <w:rFonts w:ascii="Bookman Old Style" w:hAnsi="Bookman Old Style" w:cs="Arial"/>
        </w:rPr>
        <w:t>.</w:t>
      </w:r>
      <w:r w:rsidR="0004094E">
        <w:rPr>
          <w:rFonts w:ascii="Bookman Old Style" w:hAnsi="Bookman Old Style" w:cs="Arial"/>
        </w:rPr>
        <w:t xml:space="preserve"> </w:t>
      </w:r>
      <w:r w:rsidR="00F82098">
        <w:rPr>
          <w:rFonts w:ascii="Bookman Old Style" w:hAnsi="Bookman Old Style" w:cs="Arial"/>
        </w:rPr>
        <w:t>A</w:t>
      </w:r>
      <w:r w:rsidR="00F835DC">
        <w:rPr>
          <w:rFonts w:ascii="Bookman Old Style" w:hAnsi="Bookman Old Style" w:cs="Arial"/>
        </w:rPr>
        <w:t>sí mismo</w:t>
      </w:r>
      <w:r w:rsidR="00F10338">
        <w:rPr>
          <w:rFonts w:ascii="Bookman Old Style" w:hAnsi="Bookman Old Style" w:cs="Arial"/>
        </w:rPr>
        <w:t>,</w:t>
      </w:r>
      <w:r w:rsidR="00F835DC">
        <w:rPr>
          <w:rFonts w:ascii="Bookman Old Style" w:hAnsi="Bookman Old Style" w:cs="Arial"/>
        </w:rPr>
        <w:t xml:space="preserve"> se </w:t>
      </w:r>
      <w:r w:rsidR="001C74E0">
        <w:rPr>
          <w:rFonts w:ascii="Bookman Old Style" w:hAnsi="Bookman Old Style" w:cs="Arial"/>
        </w:rPr>
        <w:t xml:space="preserve">definieron </w:t>
      </w:r>
      <w:r w:rsidR="00F835DC">
        <w:rPr>
          <w:rFonts w:ascii="Bookman Old Style" w:hAnsi="Bookman Old Style" w:cs="Arial"/>
        </w:rPr>
        <w:t xml:space="preserve">reglas especiales </w:t>
      </w:r>
      <w:r w:rsidR="00F10338">
        <w:rPr>
          <w:rFonts w:ascii="Bookman Old Style" w:hAnsi="Bookman Old Style" w:cs="Arial"/>
        </w:rPr>
        <w:lastRenderedPageBreak/>
        <w:t xml:space="preserve">de aplicación </w:t>
      </w:r>
      <w:r w:rsidR="00CA77CD">
        <w:rPr>
          <w:rFonts w:ascii="Bookman Old Style" w:hAnsi="Bookman Old Style" w:cs="Arial"/>
        </w:rPr>
        <w:t xml:space="preserve">de la opción tarifaria </w:t>
      </w:r>
      <w:r w:rsidR="0004094E">
        <w:rPr>
          <w:rFonts w:ascii="Bookman Old Style" w:hAnsi="Bookman Old Style" w:cs="Arial"/>
        </w:rPr>
        <w:t xml:space="preserve">para </w:t>
      </w:r>
      <w:r w:rsidR="003A07A9">
        <w:rPr>
          <w:rFonts w:ascii="Bookman Old Style" w:hAnsi="Bookman Old Style" w:cs="Arial"/>
        </w:rPr>
        <w:t xml:space="preserve">mantener </w:t>
      </w:r>
      <w:r w:rsidR="00345460">
        <w:rPr>
          <w:rFonts w:ascii="Bookman Old Style" w:hAnsi="Bookman Old Style" w:cs="Arial"/>
        </w:rPr>
        <w:t>el CU</w:t>
      </w:r>
      <w:r w:rsidR="003A07A9">
        <w:rPr>
          <w:rFonts w:ascii="Bookman Old Style" w:hAnsi="Bookman Old Style" w:cs="Arial"/>
        </w:rPr>
        <w:t xml:space="preserve"> sin incrementos</w:t>
      </w:r>
      <w:r w:rsidR="00345460">
        <w:rPr>
          <w:rFonts w:ascii="Bookman Old Style" w:hAnsi="Bookman Old Style" w:cs="Arial"/>
        </w:rPr>
        <w:t xml:space="preserve"> </w:t>
      </w:r>
      <w:r w:rsidR="006F41D7">
        <w:rPr>
          <w:rFonts w:ascii="Bookman Old Style" w:hAnsi="Bookman Old Style" w:cs="Arial"/>
        </w:rPr>
        <w:t xml:space="preserve">desde el inicio de </w:t>
      </w:r>
      <w:r w:rsidR="006B17AF">
        <w:rPr>
          <w:rFonts w:ascii="Bookman Old Style" w:hAnsi="Bookman Old Style" w:cs="Arial"/>
        </w:rPr>
        <w:t xml:space="preserve">la </w:t>
      </w:r>
      <w:r w:rsidR="006F41D7">
        <w:rPr>
          <w:rFonts w:ascii="Bookman Old Style" w:hAnsi="Bookman Old Style" w:cs="Arial"/>
        </w:rPr>
        <w:t xml:space="preserve">aplicación de la opción </w:t>
      </w:r>
      <w:r w:rsidR="006B17AF">
        <w:rPr>
          <w:rFonts w:ascii="Bookman Old Style" w:hAnsi="Bookman Old Style" w:cs="Arial"/>
        </w:rPr>
        <w:t xml:space="preserve">tarifaria </w:t>
      </w:r>
      <w:r w:rsidR="006F41D7">
        <w:rPr>
          <w:rFonts w:ascii="Bookman Old Style" w:hAnsi="Bookman Old Style" w:cs="Arial"/>
        </w:rPr>
        <w:t>hasta noviembre de 202</w:t>
      </w:r>
      <w:r w:rsidR="00E24041">
        <w:rPr>
          <w:rFonts w:ascii="Bookman Old Style" w:hAnsi="Bookman Old Style" w:cs="Arial"/>
        </w:rPr>
        <w:t>0</w:t>
      </w:r>
      <w:r w:rsidR="006B17AF">
        <w:rPr>
          <w:rFonts w:ascii="Bookman Old Style" w:hAnsi="Bookman Old Style" w:cs="Arial"/>
        </w:rPr>
        <w:t>.</w:t>
      </w:r>
      <w:r w:rsidR="006F41D7">
        <w:rPr>
          <w:rFonts w:ascii="Bookman Old Style" w:hAnsi="Bookman Old Style" w:cs="Arial"/>
        </w:rPr>
        <w:t xml:space="preserve"> </w:t>
      </w:r>
    </w:p>
    <w:p w14:paraId="66C89C2D" w14:textId="17907840" w:rsidR="00AA0DBA" w:rsidRDefault="00AA0DBA" w:rsidP="00AA0DBA">
      <w:pPr>
        <w:widowControl w:val="0"/>
        <w:spacing w:before="240" w:after="240"/>
        <w:ind w:left="0" w:right="47"/>
        <w:jc w:val="both"/>
        <w:rPr>
          <w:rFonts w:ascii="Bookman Old Style" w:hAnsi="Bookman Old Style" w:cs="Arial"/>
        </w:rPr>
      </w:pPr>
      <w:r>
        <w:rPr>
          <w:rFonts w:ascii="Bookman Old Style" w:hAnsi="Bookman Old Style" w:cs="Arial"/>
        </w:rPr>
        <w:t xml:space="preserve">Estas medidas fueron objeto de control automático de legalidad por parte del H. Consejo de Estado en sentencia de 26 de marzo de 2021 emitida por la </w:t>
      </w:r>
      <w:r w:rsidRPr="00CD06D7">
        <w:rPr>
          <w:rFonts w:ascii="Bookman Old Style" w:hAnsi="Bookman Old Style" w:cs="Arial"/>
        </w:rPr>
        <w:t xml:space="preserve">Sala </w:t>
      </w:r>
      <w:r>
        <w:rPr>
          <w:rFonts w:ascii="Bookman Old Style" w:hAnsi="Bookman Old Style" w:cs="Arial"/>
        </w:rPr>
        <w:t>d</w:t>
      </w:r>
      <w:r w:rsidRPr="00CD06D7">
        <w:rPr>
          <w:rFonts w:ascii="Bookman Old Style" w:hAnsi="Bookman Old Style" w:cs="Arial"/>
        </w:rPr>
        <w:t xml:space="preserve">e </w:t>
      </w:r>
      <w:r>
        <w:rPr>
          <w:rFonts w:ascii="Bookman Old Style" w:hAnsi="Bookman Old Style" w:cs="Arial"/>
        </w:rPr>
        <w:t>l</w:t>
      </w:r>
      <w:r w:rsidRPr="00CD06D7">
        <w:rPr>
          <w:rFonts w:ascii="Bookman Old Style" w:hAnsi="Bookman Old Style" w:cs="Arial"/>
        </w:rPr>
        <w:t>o Contencioso Administrativo</w:t>
      </w:r>
      <w:r>
        <w:rPr>
          <w:rFonts w:ascii="Bookman Old Style" w:hAnsi="Bookman Old Style" w:cs="Arial"/>
        </w:rPr>
        <w:t xml:space="preserve">, </w:t>
      </w:r>
      <w:r w:rsidRPr="00CD06D7">
        <w:rPr>
          <w:rFonts w:ascii="Bookman Old Style" w:hAnsi="Bookman Old Style" w:cs="Arial"/>
        </w:rPr>
        <w:t xml:space="preserve">Sala Especial </w:t>
      </w:r>
      <w:r>
        <w:rPr>
          <w:rFonts w:ascii="Bookman Old Style" w:hAnsi="Bookman Old Style" w:cs="Arial"/>
        </w:rPr>
        <w:t>d</w:t>
      </w:r>
      <w:r w:rsidRPr="00CD06D7">
        <w:rPr>
          <w:rFonts w:ascii="Bookman Old Style" w:hAnsi="Bookman Old Style" w:cs="Arial"/>
        </w:rPr>
        <w:t xml:space="preserve">e Decisión </w:t>
      </w:r>
      <w:r>
        <w:rPr>
          <w:rFonts w:ascii="Bookman Old Style" w:hAnsi="Bookman Old Style" w:cs="Arial"/>
        </w:rPr>
        <w:t>No</w:t>
      </w:r>
      <w:r w:rsidRPr="00CD06D7">
        <w:rPr>
          <w:rFonts w:ascii="Bookman Old Style" w:hAnsi="Bookman Old Style" w:cs="Arial"/>
        </w:rPr>
        <w:t>. 26</w:t>
      </w:r>
      <w:r>
        <w:rPr>
          <w:rFonts w:ascii="Bookman Old Style" w:hAnsi="Bookman Old Style" w:cs="Arial"/>
        </w:rPr>
        <w:t xml:space="preserve">, radicado </w:t>
      </w:r>
      <w:r w:rsidRPr="00CD06D7">
        <w:rPr>
          <w:rFonts w:ascii="Bookman Old Style" w:hAnsi="Bookman Old Style" w:cs="Arial"/>
        </w:rPr>
        <w:t>11001-03-15-000-2020-01743-00</w:t>
      </w:r>
      <w:r w:rsidR="00E8389D">
        <w:rPr>
          <w:rFonts w:ascii="Bookman Old Style" w:hAnsi="Bookman Old Style" w:cs="Arial"/>
        </w:rPr>
        <w:t xml:space="preserve"> </w:t>
      </w:r>
      <w:r w:rsidRPr="00CD06D7">
        <w:rPr>
          <w:rFonts w:ascii="Bookman Old Style" w:hAnsi="Bookman Old Style" w:cs="Arial"/>
        </w:rPr>
        <w:t>(Acumulados)</w:t>
      </w:r>
      <w:r w:rsidR="00E8389D">
        <w:rPr>
          <w:rFonts w:ascii="Bookman Old Style" w:hAnsi="Bookman Old Style" w:cs="Arial"/>
        </w:rPr>
        <w:t xml:space="preserve"> </w:t>
      </w:r>
      <w:r>
        <w:rPr>
          <w:rFonts w:ascii="Bookman Old Style" w:hAnsi="Bookman Old Style" w:cs="Arial"/>
        </w:rPr>
        <w:t xml:space="preserve">con ponencia del </w:t>
      </w:r>
      <w:r w:rsidRPr="00CD06D7">
        <w:rPr>
          <w:rFonts w:ascii="Bookman Old Style" w:hAnsi="Bookman Old Style" w:cs="Arial"/>
        </w:rPr>
        <w:t>Consejero Guillermo Sánchez Luque</w:t>
      </w:r>
      <w:r>
        <w:rPr>
          <w:rFonts w:ascii="Bookman Old Style" w:hAnsi="Bookman Old Style" w:cs="Arial"/>
        </w:rPr>
        <w:t xml:space="preserve">, en la cual se </w:t>
      </w:r>
      <w:r w:rsidR="00C00229">
        <w:rPr>
          <w:rFonts w:ascii="Bookman Old Style" w:hAnsi="Bookman Old Style" w:cs="Arial"/>
        </w:rPr>
        <w:t>declaró</w:t>
      </w:r>
      <w:r>
        <w:rPr>
          <w:rFonts w:ascii="Bookman Old Style" w:hAnsi="Bookman Old Style" w:cs="Arial"/>
        </w:rPr>
        <w:t xml:space="preserve"> la legalidad de esta</w:t>
      </w:r>
      <w:r w:rsidR="00ED087F">
        <w:rPr>
          <w:rFonts w:ascii="Bookman Old Style" w:hAnsi="Bookman Old Style" w:cs="Arial"/>
        </w:rPr>
        <w:t xml:space="preserve"> y otras </w:t>
      </w:r>
      <w:r>
        <w:rPr>
          <w:rFonts w:ascii="Bookman Old Style" w:hAnsi="Bookman Old Style" w:cs="Arial"/>
        </w:rPr>
        <w:t>medida</w:t>
      </w:r>
      <w:r w:rsidR="00ED087F">
        <w:rPr>
          <w:rFonts w:ascii="Bookman Old Style" w:hAnsi="Bookman Old Style" w:cs="Arial"/>
        </w:rPr>
        <w:t>s</w:t>
      </w:r>
      <w:r>
        <w:rPr>
          <w:rFonts w:ascii="Bookman Old Style" w:hAnsi="Bookman Old Style" w:cs="Arial"/>
        </w:rPr>
        <w:t xml:space="preserve">, luego de hacer un análisis de proporcionalidad en </w:t>
      </w:r>
      <w:r w:rsidR="00F420F3">
        <w:rPr>
          <w:rFonts w:ascii="Bookman Old Style" w:hAnsi="Bookman Old Style" w:cs="Arial"/>
        </w:rPr>
        <w:t>el</w:t>
      </w:r>
      <w:r>
        <w:rPr>
          <w:rFonts w:ascii="Bookman Old Style" w:hAnsi="Bookman Old Style" w:cs="Arial"/>
        </w:rPr>
        <w:t xml:space="preserve"> que </w:t>
      </w:r>
      <w:r w:rsidR="00F420F3">
        <w:rPr>
          <w:rFonts w:ascii="Bookman Old Style" w:hAnsi="Bookman Old Style" w:cs="Arial"/>
        </w:rPr>
        <w:t xml:space="preserve">se </w:t>
      </w:r>
      <w:r>
        <w:rPr>
          <w:rFonts w:ascii="Bookman Old Style" w:hAnsi="Bookman Old Style" w:cs="Arial"/>
        </w:rPr>
        <w:t xml:space="preserve">concluyó que </w:t>
      </w:r>
      <w:r w:rsidR="002408C1">
        <w:rPr>
          <w:rFonts w:ascii="Bookman Old Style" w:hAnsi="Bookman Old Style" w:cs="Arial"/>
        </w:rPr>
        <w:t>l</w:t>
      </w:r>
      <w:r>
        <w:rPr>
          <w:rFonts w:ascii="Bookman Old Style" w:hAnsi="Bookman Old Style" w:cs="Arial"/>
        </w:rPr>
        <w:t xml:space="preserve">as </w:t>
      </w:r>
      <w:r w:rsidR="001954D9">
        <w:rPr>
          <w:rFonts w:ascii="Bookman Old Style" w:hAnsi="Bookman Old Style" w:cs="Arial"/>
        </w:rPr>
        <w:t>mismas</w:t>
      </w:r>
      <w:r>
        <w:rPr>
          <w:rFonts w:ascii="Bookman Old Style" w:hAnsi="Bookman Old Style" w:cs="Arial"/>
        </w:rPr>
        <w:t xml:space="preserve"> </w:t>
      </w:r>
      <w:r w:rsidRPr="00CD43A1">
        <w:rPr>
          <w:rFonts w:ascii="Bookman Old Style" w:hAnsi="Bookman Old Style" w:cs="Arial"/>
        </w:rPr>
        <w:t>tienen como objeto reducir el impacto económico en el sistema ocasionado por la emergencia</w:t>
      </w:r>
      <w:r w:rsidR="00BF7D67">
        <w:rPr>
          <w:rFonts w:ascii="Bookman Old Style" w:hAnsi="Bookman Old Style" w:cs="Arial"/>
        </w:rPr>
        <w:t xml:space="preserve"> sanitaria</w:t>
      </w:r>
      <w:r w:rsidRPr="00CD43A1">
        <w:rPr>
          <w:rFonts w:ascii="Bookman Old Style" w:hAnsi="Bookman Old Style" w:cs="Arial"/>
        </w:rPr>
        <w:t xml:space="preserve"> </w:t>
      </w:r>
      <w:r>
        <w:rPr>
          <w:rFonts w:ascii="Bookman Old Style" w:hAnsi="Bookman Old Style" w:cs="Arial"/>
        </w:rPr>
        <w:t>y son</w:t>
      </w:r>
      <w:r w:rsidRPr="00CD43A1">
        <w:rPr>
          <w:rFonts w:ascii="Bookman Old Style" w:hAnsi="Bookman Old Style" w:cs="Arial"/>
        </w:rPr>
        <w:t xml:space="preserve"> adecuadas al</w:t>
      </w:r>
      <w:r>
        <w:rPr>
          <w:rFonts w:ascii="Bookman Old Style" w:hAnsi="Bookman Old Style" w:cs="Arial"/>
        </w:rPr>
        <w:t xml:space="preserve"> buscar </w:t>
      </w:r>
      <w:r w:rsidRPr="00CD43A1">
        <w:rPr>
          <w:rFonts w:ascii="Bookman Old Style" w:hAnsi="Bookman Old Style" w:cs="Arial"/>
        </w:rPr>
        <w:t>ajustar el esquema financiero alterado por la pandemia.</w:t>
      </w:r>
      <w:r w:rsidR="008E39C6">
        <w:rPr>
          <w:rFonts w:ascii="Bookman Old Style" w:hAnsi="Bookman Old Style" w:cs="Arial"/>
        </w:rPr>
        <w:t xml:space="preserve"> </w:t>
      </w:r>
    </w:p>
    <w:p w14:paraId="658A82AD" w14:textId="5AB614CF" w:rsidR="00F80FC0" w:rsidRDefault="00682A52" w:rsidP="00682A52">
      <w:pPr>
        <w:widowControl w:val="0"/>
        <w:spacing w:before="240" w:after="240"/>
        <w:ind w:left="0" w:right="47"/>
        <w:jc w:val="both"/>
        <w:rPr>
          <w:rFonts w:ascii="Bookman Old Style" w:hAnsi="Bookman Old Style" w:cs="Arial"/>
        </w:rPr>
      </w:pPr>
      <w:r>
        <w:rPr>
          <w:rFonts w:ascii="Bookman Old Style" w:hAnsi="Bookman Old Style" w:cs="Arial"/>
        </w:rPr>
        <w:t xml:space="preserve">En aplicación de lo dispuesto en la Resolución </w:t>
      </w:r>
      <w:r w:rsidRPr="00C403B3">
        <w:rPr>
          <w:rFonts w:ascii="Bookman Old Style" w:hAnsi="Bookman Old Style" w:cs="Arial"/>
        </w:rPr>
        <w:t>CREG 012 de 2020</w:t>
      </w:r>
      <w:r>
        <w:rPr>
          <w:rFonts w:ascii="Bookman Old Style" w:hAnsi="Bookman Old Style" w:cs="Arial"/>
        </w:rPr>
        <w:t>, l</w:t>
      </w:r>
      <w:r w:rsidRPr="00C403B3">
        <w:rPr>
          <w:rFonts w:ascii="Bookman Old Style" w:hAnsi="Bookman Old Style" w:cs="Arial"/>
        </w:rPr>
        <w:t>os comercializadores</w:t>
      </w:r>
      <w:r>
        <w:rPr>
          <w:rFonts w:ascii="Bookman Old Style" w:hAnsi="Bookman Old Style" w:cs="Arial"/>
        </w:rPr>
        <w:t xml:space="preserve"> </w:t>
      </w:r>
      <w:r w:rsidRPr="00C403B3">
        <w:rPr>
          <w:rFonts w:ascii="Bookman Old Style" w:hAnsi="Bookman Old Style" w:cs="Arial"/>
        </w:rPr>
        <w:t>pueden incrementar gradualmente el CU aplicado hasta alcanzar el valor calculado con la Resolución CREG 119 de 2007. Para los mercados en los que el valor del CU aplicado con la opción tarifaria se iguala al valor del CU calculado con la Resolución CREG 119 de 2007, el comercializador puede incluir en el CU a cobrar a los usuarios un valor adicional asociado con el pago del saldo acumulado existente en dicho mercado, este cobro adicional se da hasta que el saldo acumulado sea igual a cero.</w:t>
      </w:r>
      <w:r w:rsidR="007F4302">
        <w:rPr>
          <w:rFonts w:ascii="Bookman Old Style" w:hAnsi="Bookman Old Style" w:cs="Arial"/>
        </w:rPr>
        <w:t xml:space="preserve"> </w:t>
      </w:r>
    </w:p>
    <w:p w14:paraId="0A38BDF6" w14:textId="795220D9" w:rsidR="00B87129" w:rsidRPr="00C403B3" w:rsidRDefault="00F80FC0" w:rsidP="00B87129">
      <w:pPr>
        <w:widowControl w:val="0"/>
        <w:spacing w:before="240" w:after="240"/>
        <w:ind w:left="0" w:right="47"/>
        <w:jc w:val="both"/>
        <w:rPr>
          <w:rFonts w:ascii="Bookman Old Style" w:hAnsi="Bookman Old Style" w:cs="Arial"/>
        </w:rPr>
      </w:pPr>
      <w:r>
        <w:rPr>
          <w:rFonts w:ascii="Bookman Old Style" w:hAnsi="Bookman Old Style" w:cs="Arial"/>
        </w:rPr>
        <w:t xml:space="preserve">Es por esto </w:t>
      </w:r>
      <w:proofErr w:type="gramStart"/>
      <w:r>
        <w:rPr>
          <w:rFonts w:ascii="Bookman Old Style" w:hAnsi="Bookman Old Style" w:cs="Arial"/>
        </w:rPr>
        <w:t>que</w:t>
      </w:r>
      <w:proofErr w:type="gramEnd"/>
      <w:r w:rsidR="000F3DF8">
        <w:rPr>
          <w:rFonts w:ascii="Bookman Old Style" w:hAnsi="Bookman Old Style" w:cs="Arial"/>
        </w:rPr>
        <w:t>, a</w:t>
      </w:r>
      <w:r w:rsidR="000F7B59">
        <w:rPr>
          <w:rFonts w:ascii="Bookman Old Style" w:hAnsi="Bookman Old Style" w:cs="Arial"/>
        </w:rPr>
        <w:t xml:space="preserve"> partir de lo </w:t>
      </w:r>
      <w:r w:rsidR="00D4254B">
        <w:rPr>
          <w:rFonts w:ascii="Bookman Old Style" w:hAnsi="Bookman Old Style" w:cs="Arial"/>
        </w:rPr>
        <w:t xml:space="preserve">dispuesto en el artículo 12 de </w:t>
      </w:r>
      <w:r w:rsidR="00DF0E01">
        <w:rPr>
          <w:rFonts w:ascii="Bookman Old Style" w:hAnsi="Bookman Old Style" w:cs="Arial"/>
        </w:rPr>
        <w:t>la</w:t>
      </w:r>
      <w:r w:rsidR="00D4254B">
        <w:rPr>
          <w:rFonts w:ascii="Bookman Old Style" w:hAnsi="Bookman Old Style" w:cs="Arial"/>
        </w:rPr>
        <w:t xml:space="preserve"> </w:t>
      </w:r>
      <w:r w:rsidR="00DF0E01">
        <w:rPr>
          <w:rFonts w:ascii="Bookman Old Style" w:hAnsi="Bookman Old Style" w:cs="Arial"/>
        </w:rPr>
        <w:t>R</w:t>
      </w:r>
      <w:r w:rsidR="00D4254B">
        <w:rPr>
          <w:rFonts w:ascii="Bookman Old Style" w:hAnsi="Bookman Old Style" w:cs="Arial"/>
        </w:rPr>
        <w:t>esolución</w:t>
      </w:r>
      <w:r w:rsidR="00DF0E01">
        <w:rPr>
          <w:rFonts w:ascii="Bookman Old Style" w:hAnsi="Bookman Old Style" w:cs="Arial"/>
        </w:rPr>
        <w:t xml:space="preserve"> CREG 058 de 2020</w:t>
      </w:r>
      <w:r w:rsidR="00F304B6">
        <w:rPr>
          <w:rFonts w:ascii="Bookman Old Style" w:hAnsi="Bookman Old Style" w:cs="Arial"/>
        </w:rPr>
        <w:t xml:space="preserve"> y la aplicación del artículo 2 de la Resolución CREG 012 de 2020</w:t>
      </w:r>
      <w:r w:rsidR="001C74E0" w:rsidRPr="00C403B3">
        <w:rPr>
          <w:rFonts w:ascii="Bookman Old Style" w:hAnsi="Bookman Old Style" w:cs="Arial"/>
        </w:rPr>
        <w:t xml:space="preserve">, los comercializadores desde </w:t>
      </w:r>
      <w:r w:rsidR="00A44BAA">
        <w:rPr>
          <w:rFonts w:ascii="Bookman Old Style" w:hAnsi="Bookman Old Style" w:cs="Arial"/>
        </w:rPr>
        <w:t>comienzos d</w:t>
      </w:r>
      <w:r w:rsidR="001C74E0" w:rsidRPr="00C403B3">
        <w:rPr>
          <w:rFonts w:ascii="Bookman Old Style" w:hAnsi="Bookman Old Style" w:cs="Arial"/>
        </w:rPr>
        <w:t xml:space="preserve">el año 2020 </w:t>
      </w:r>
      <w:r w:rsidR="001555CF">
        <w:rPr>
          <w:rFonts w:ascii="Bookman Old Style" w:hAnsi="Bookman Old Style" w:cs="Arial"/>
        </w:rPr>
        <w:t xml:space="preserve">empezaron a trasladar </w:t>
      </w:r>
      <w:r w:rsidR="001C74E0" w:rsidRPr="00C403B3">
        <w:rPr>
          <w:rFonts w:ascii="Bookman Old Style" w:hAnsi="Bookman Old Style" w:cs="Arial"/>
        </w:rPr>
        <w:t xml:space="preserve">a </w:t>
      </w:r>
      <w:r w:rsidR="001555CF">
        <w:rPr>
          <w:rFonts w:ascii="Bookman Old Style" w:hAnsi="Bookman Old Style" w:cs="Arial"/>
        </w:rPr>
        <w:t xml:space="preserve">sus </w:t>
      </w:r>
      <w:r w:rsidR="001C74E0" w:rsidRPr="00C403B3">
        <w:rPr>
          <w:rFonts w:ascii="Bookman Old Style" w:hAnsi="Bookman Old Style" w:cs="Arial"/>
        </w:rPr>
        <w:t xml:space="preserve">usuarios </w:t>
      </w:r>
      <w:r w:rsidR="00A44BAA">
        <w:rPr>
          <w:rFonts w:ascii="Bookman Old Style" w:hAnsi="Bookman Old Style" w:cs="Arial"/>
        </w:rPr>
        <w:t xml:space="preserve">el </w:t>
      </w:r>
      <w:r w:rsidR="009F6C7E">
        <w:rPr>
          <w:rFonts w:ascii="Bookman Old Style" w:hAnsi="Bookman Old Style" w:cs="Arial"/>
        </w:rPr>
        <w:t>CU</w:t>
      </w:r>
      <w:r w:rsidR="00A44BAA">
        <w:rPr>
          <w:rFonts w:ascii="Bookman Old Style" w:hAnsi="Bookman Old Style" w:cs="Arial"/>
        </w:rPr>
        <w:t xml:space="preserve"> resultante de la opción tarifaría, el cual es </w:t>
      </w:r>
      <w:r w:rsidR="001C74E0" w:rsidRPr="00C403B3">
        <w:rPr>
          <w:rFonts w:ascii="Bookman Old Style" w:hAnsi="Bookman Old Style" w:cs="Arial"/>
        </w:rPr>
        <w:t xml:space="preserve">menor al </w:t>
      </w:r>
      <w:r w:rsidR="001555CF">
        <w:rPr>
          <w:rFonts w:ascii="Bookman Old Style" w:hAnsi="Bookman Old Style" w:cs="Arial"/>
        </w:rPr>
        <w:t xml:space="preserve">CU </w:t>
      </w:r>
      <w:r w:rsidR="003C7F3C">
        <w:rPr>
          <w:rFonts w:ascii="Bookman Old Style" w:hAnsi="Bookman Old Style" w:cs="Arial"/>
        </w:rPr>
        <w:t>reconocido</w:t>
      </w:r>
      <w:r w:rsidR="00837DE5">
        <w:rPr>
          <w:rFonts w:ascii="Bookman Old Style" w:hAnsi="Bookman Old Style" w:cs="Arial"/>
        </w:rPr>
        <w:t xml:space="preserve"> y</w:t>
      </w:r>
      <w:r w:rsidR="003C7F3C">
        <w:rPr>
          <w:rFonts w:ascii="Bookman Old Style" w:hAnsi="Bookman Old Style" w:cs="Arial"/>
        </w:rPr>
        <w:t xml:space="preserve"> </w:t>
      </w:r>
      <w:r w:rsidR="001C74E0" w:rsidRPr="00C403B3">
        <w:rPr>
          <w:rFonts w:ascii="Bookman Old Style" w:hAnsi="Bookman Old Style" w:cs="Arial"/>
        </w:rPr>
        <w:t>calculado con la Resolución CREG 119 de 2007, generando un saldo a favor del comercializador.</w:t>
      </w:r>
      <w:r w:rsidR="001555CF">
        <w:rPr>
          <w:rFonts w:ascii="Bookman Old Style" w:hAnsi="Bookman Old Style" w:cs="Arial"/>
        </w:rPr>
        <w:t xml:space="preserve"> </w:t>
      </w:r>
      <w:r w:rsidR="00B87129" w:rsidRPr="00C403B3">
        <w:rPr>
          <w:rFonts w:ascii="Bookman Old Style" w:hAnsi="Bookman Old Style" w:cs="Arial"/>
        </w:rPr>
        <w:t xml:space="preserve">Se tiene estimado que el saldo acumulado de todos los comercializadores a </w:t>
      </w:r>
      <w:r w:rsidR="007F4293">
        <w:rPr>
          <w:rFonts w:ascii="Bookman Old Style" w:hAnsi="Bookman Old Style" w:cs="Arial"/>
        </w:rPr>
        <w:t>septiembre</w:t>
      </w:r>
      <w:r w:rsidR="00B87129">
        <w:rPr>
          <w:rFonts w:ascii="Bookman Old Style" w:hAnsi="Bookman Old Style" w:cs="Arial"/>
        </w:rPr>
        <w:t xml:space="preserve"> </w:t>
      </w:r>
      <w:r w:rsidR="00B87129" w:rsidRPr="00C403B3">
        <w:rPr>
          <w:rFonts w:ascii="Bookman Old Style" w:hAnsi="Bookman Old Style" w:cs="Arial"/>
        </w:rPr>
        <w:t>de 202</w:t>
      </w:r>
      <w:r w:rsidR="00B87129">
        <w:rPr>
          <w:rFonts w:ascii="Bookman Old Style" w:hAnsi="Bookman Old Style" w:cs="Arial"/>
        </w:rPr>
        <w:t>3</w:t>
      </w:r>
      <w:r w:rsidR="00B87129" w:rsidRPr="00C403B3">
        <w:rPr>
          <w:rFonts w:ascii="Bookman Old Style" w:hAnsi="Bookman Old Style" w:cs="Arial"/>
        </w:rPr>
        <w:t xml:space="preserve">, por la aplicación de la opción tarifaria es del orden </w:t>
      </w:r>
      <w:r w:rsidR="00B87129" w:rsidRPr="00231A84">
        <w:rPr>
          <w:rFonts w:ascii="Bookman Old Style" w:hAnsi="Bookman Old Style" w:cs="Arial"/>
        </w:rPr>
        <w:t xml:space="preserve">de </w:t>
      </w:r>
      <w:r w:rsidR="00B87129" w:rsidRPr="004B072E">
        <w:rPr>
          <w:rFonts w:ascii="Bookman Old Style" w:hAnsi="Bookman Old Style" w:cs="Arial"/>
        </w:rPr>
        <w:t>4.9</w:t>
      </w:r>
      <w:r w:rsidR="00B87129" w:rsidRPr="00231A84">
        <w:rPr>
          <w:rFonts w:ascii="Bookman Old Style" w:hAnsi="Bookman Old Style" w:cs="Arial"/>
        </w:rPr>
        <w:t xml:space="preserve"> b</w:t>
      </w:r>
      <w:r w:rsidR="00B87129" w:rsidRPr="00C403B3">
        <w:rPr>
          <w:rFonts w:ascii="Bookman Old Style" w:hAnsi="Bookman Old Style" w:cs="Arial"/>
        </w:rPr>
        <w:t>illones de pesos</w:t>
      </w:r>
      <w:r w:rsidR="00890F29">
        <w:rPr>
          <w:rFonts w:ascii="Bookman Old Style" w:hAnsi="Bookman Old Style" w:cs="Arial"/>
        </w:rPr>
        <w:t xml:space="preserve">, de acuerdo con reportes de las empresas al Sistema </w:t>
      </w:r>
      <w:r w:rsidR="00443A24">
        <w:rPr>
          <w:rFonts w:ascii="Bookman Old Style" w:hAnsi="Bookman Old Style" w:cs="Arial"/>
        </w:rPr>
        <w:t xml:space="preserve">Único </w:t>
      </w:r>
      <w:r w:rsidR="00890F29">
        <w:rPr>
          <w:rFonts w:ascii="Bookman Old Style" w:hAnsi="Bookman Old Style" w:cs="Arial"/>
        </w:rPr>
        <w:t>de Información, SUI.</w:t>
      </w:r>
      <w:r w:rsidR="00B87129">
        <w:rPr>
          <w:rFonts w:ascii="Bookman Old Style" w:hAnsi="Bookman Old Style" w:cs="Arial"/>
        </w:rPr>
        <w:t xml:space="preserve"> </w:t>
      </w:r>
    </w:p>
    <w:p w14:paraId="3160A107" w14:textId="5E8C1EA9" w:rsidR="00CC6CB7" w:rsidRPr="00C403B3" w:rsidRDefault="00E94C8D" w:rsidP="00B87129">
      <w:pPr>
        <w:widowControl w:val="0"/>
        <w:spacing w:before="240" w:after="240"/>
        <w:ind w:left="0" w:right="47"/>
        <w:jc w:val="both"/>
        <w:rPr>
          <w:rFonts w:ascii="Bookman Old Style" w:hAnsi="Bookman Old Style" w:cs="Arial"/>
        </w:rPr>
      </w:pPr>
      <w:r>
        <w:rPr>
          <w:rFonts w:ascii="Bookman Old Style" w:hAnsi="Bookman Old Style" w:cs="Arial"/>
        </w:rPr>
        <w:t xml:space="preserve">De acuerdo con </w:t>
      </w:r>
      <w:r w:rsidR="00D26255">
        <w:rPr>
          <w:rFonts w:ascii="Bookman Old Style" w:hAnsi="Bookman Old Style" w:cs="Arial"/>
        </w:rPr>
        <w:t xml:space="preserve">lo anterior, </w:t>
      </w:r>
      <w:r>
        <w:rPr>
          <w:rFonts w:ascii="Bookman Old Style" w:hAnsi="Bookman Old Style" w:cs="Arial"/>
        </w:rPr>
        <w:t>la</w:t>
      </w:r>
      <w:r w:rsidR="00EF027C">
        <w:rPr>
          <w:rFonts w:ascii="Bookman Old Style" w:hAnsi="Bookman Old Style" w:cs="Arial"/>
        </w:rPr>
        <w:t xml:space="preserve"> opción tarifaria</w:t>
      </w:r>
      <w:r w:rsidR="00586DD7">
        <w:rPr>
          <w:rFonts w:ascii="Bookman Old Style" w:hAnsi="Bookman Old Style" w:cs="Arial"/>
        </w:rPr>
        <w:t xml:space="preserve"> que se hizo de manera obligatoria, para </w:t>
      </w:r>
      <w:r w:rsidR="00586DD7" w:rsidRPr="00E07BBE">
        <w:rPr>
          <w:rFonts w:ascii="Bookman Old Style" w:hAnsi="Bookman Old Style" w:cs="Arial"/>
        </w:rPr>
        <w:t xml:space="preserve">reducir el impacto económico en el sistema ocasionado por la emergencia </w:t>
      </w:r>
      <w:r w:rsidR="00586DD7">
        <w:rPr>
          <w:rFonts w:ascii="Bookman Old Style" w:hAnsi="Bookman Old Style" w:cs="Arial"/>
        </w:rPr>
        <w:t xml:space="preserve">del COVID -19 </w:t>
      </w:r>
      <w:r w:rsidR="00586DD7" w:rsidRPr="00E07BBE">
        <w:rPr>
          <w:rFonts w:ascii="Bookman Old Style" w:hAnsi="Bookman Old Style" w:cs="Arial"/>
        </w:rPr>
        <w:t>y ajustar el esquema financiero alterado por la pandemia</w:t>
      </w:r>
      <w:r w:rsidR="00586DD7">
        <w:rPr>
          <w:rFonts w:ascii="Bookman Old Style" w:hAnsi="Bookman Old Style" w:cs="Arial"/>
        </w:rPr>
        <w:t>,</w:t>
      </w:r>
      <w:r w:rsidR="00EF027C">
        <w:rPr>
          <w:rFonts w:ascii="Bookman Old Style" w:hAnsi="Bookman Old Style" w:cs="Arial"/>
        </w:rPr>
        <w:t xml:space="preserve"> busc</w:t>
      </w:r>
      <w:r w:rsidR="00B60181">
        <w:rPr>
          <w:rFonts w:ascii="Bookman Old Style" w:hAnsi="Bookman Old Style" w:cs="Arial"/>
        </w:rPr>
        <w:t>ó</w:t>
      </w:r>
      <w:r w:rsidR="00EF027C">
        <w:rPr>
          <w:rFonts w:ascii="Bookman Old Style" w:hAnsi="Bookman Old Style" w:cs="Arial"/>
        </w:rPr>
        <w:t xml:space="preserve"> que </w:t>
      </w:r>
      <w:r w:rsidR="00EF027C" w:rsidRPr="00EF027C">
        <w:rPr>
          <w:rFonts w:ascii="Bookman Old Style" w:hAnsi="Bookman Old Style" w:cs="Arial"/>
        </w:rPr>
        <w:t>el saldo que se acumula</w:t>
      </w:r>
      <w:r w:rsidR="00D5009F">
        <w:rPr>
          <w:rFonts w:ascii="Bookman Old Style" w:hAnsi="Bookman Old Style" w:cs="Arial"/>
        </w:rPr>
        <w:t>ra</w:t>
      </w:r>
      <w:r w:rsidR="00EF027C" w:rsidRPr="00EF027C">
        <w:rPr>
          <w:rFonts w:ascii="Bookman Old Style" w:hAnsi="Bookman Old Style" w:cs="Arial"/>
        </w:rPr>
        <w:t xml:space="preserve"> en un mercado de </w:t>
      </w:r>
      <w:r w:rsidR="00ED7378" w:rsidRPr="00EF027C">
        <w:rPr>
          <w:rFonts w:ascii="Bookman Old Style" w:hAnsi="Bookman Old Style" w:cs="Arial"/>
        </w:rPr>
        <w:t>comercialización</w:t>
      </w:r>
      <w:r w:rsidR="00EF027C">
        <w:rPr>
          <w:rFonts w:ascii="Bookman Old Style" w:hAnsi="Bookman Old Style" w:cs="Arial"/>
        </w:rPr>
        <w:t xml:space="preserve"> </w:t>
      </w:r>
      <w:r w:rsidR="005C2434">
        <w:rPr>
          <w:rFonts w:ascii="Bookman Old Style" w:hAnsi="Bookman Old Style" w:cs="Arial"/>
        </w:rPr>
        <w:t xml:space="preserve">y </w:t>
      </w:r>
      <w:r w:rsidR="00677668">
        <w:rPr>
          <w:rFonts w:ascii="Bookman Old Style" w:hAnsi="Bookman Old Style" w:cs="Arial"/>
        </w:rPr>
        <w:t>se</w:t>
      </w:r>
      <w:r w:rsidR="00EF027C" w:rsidRPr="00EF027C">
        <w:rPr>
          <w:rFonts w:ascii="Bookman Old Style" w:hAnsi="Bookman Old Style" w:cs="Arial"/>
        </w:rPr>
        <w:t xml:space="preserve"> amorti</w:t>
      </w:r>
      <w:r w:rsidR="009F7DD8">
        <w:rPr>
          <w:rFonts w:ascii="Bookman Old Style" w:hAnsi="Bookman Old Style" w:cs="Arial"/>
        </w:rPr>
        <w:t>zara</w:t>
      </w:r>
      <w:r w:rsidR="00EF027C" w:rsidRPr="00EF027C">
        <w:rPr>
          <w:rFonts w:ascii="Bookman Old Style" w:hAnsi="Bookman Old Style" w:cs="Arial"/>
        </w:rPr>
        <w:t xml:space="preserve"> en un lapso determinado por parte del comercializador que atiende dicho mercado.</w:t>
      </w:r>
      <w:r>
        <w:rPr>
          <w:rFonts w:ascii="Bookman Old Style" w:hAnsi="Bookman Old Style" w:cs="Arial"/>
        </w:rPr>
        <w:t xml:space="preserve"> Sin embargo, la aplicación de este mecanismo se </w:t>
      </w:r>
      <w:r w:rsidR="001503FA">
        <w:rPr>
          <w:rFonts w:ascii="Bookman Old Style" w:hAnsi="Bookman Old Style" w:cs="Arial"/>
        </w:rPr>
        <w:t xml:space="preserve">ha visto afectada </w:t>
      </w:r>
      <w:r w:rsidR="00F9283F">
        <w:rPr>
          <w:rFonts w:ascii="Bookman Old Style" w:hAnsi="Bookman Old Style" w:cs="Arial"/>
        </w:rPr>
        <w:t xml:space="preserve">con posterioridad a su definición </w:t>
      </w:r>
      <w:r w:rsidR="00641A0D">
        <w:rPr>
          <w:rFonts w:ascii="Bookman Old Style" w:hAnsi="Bookman Old Style" w:cs="Arial"/>
        </w:rPr>
        <w:t>por una serie de eventos económicos y de mercado</w:t>
      </w:r>
      <w:r w:rsidR="00141D34">
        <w:rPr>
          <w:rFonts w:ascii="Bookman Old Style" w:hAnsi="Bookman Old Style" w:cs="Arial"/>
        </w:rPr>
        <w:t xml:space="preserve">, </w:t>
      </w:r>
      <w:r w:rsidR="00D71257">
        <w:rPr>
          <w:rFonts w:ascii="Bookman Old Style" w:hAnsi="Bookman Old Style" w:cs="Arial"/>
        </w:rPr>
        <w:t>derivados p</w:t>
      </w:r>
      <w:r w:rsidR="00BC43B1">
        <w:rPr>
          <w:rFonts w:ascii="Bookman Old Style" w:hAnsi="Bookman Old Style" w:cs="Arial"/>
        </w:rPr>
        <w:t xml:space="preserve">rincipalmente </w:t>
      </w:r>
      <w:r w:rsidR="00A946B0">
        <w:rPr>
          <w:rFonts w:ascii="Bookman Old Style" w:hAnsi="Bookman Old Style" w:cs="Arial"/>
        </w:rPr>
        <w:t xml:space="preserve">de la </w:t>
      </w:r>
      <w:r w:rsidR="007248ED">
        <w:rPr>
          <w:rFonts w:ascii="Bookman Old Style" w:hAnsi="Bookman Old Style" w:cs="Arial"/>
        </w:rPr>
        <w:t xml:space="preserve">ocurrencia de la </w:t>
      </w:r>
      <w:r w:rsidR="00A946B0">
        <w:rPr>
          <w:rFonts w:ascii="Bookman Old Style" w:hAnsi="Bookman Old Style" w:cs="Arial"/>
        </w:rPr>
        <w:t>pandemia</w:t>
      </w:r>
      <w:r w:rsidR="007248ED">
        <w:rPr>
          <w:rFonts w:ascii="Bookman Old Style" w:hAnsi="Bookman Old Style" w:cs="Arial"/>
        </w:rPr>
        <w:t xml:space="preserve"> y los efectos </w:t>
      </w:r>
      <w:r w:rsidR="00C61241">
        <w:rPr>
          <w:rFonts w:ascii="Bookman Old Style" w:hAnsi="Bookman Old Style" w:cs="Arial"/>
        </w:rPr>
        <w:t>generados en la economía</w:t>
      </w:r>
      <w:r w:rsidR="009342EC">
        <w:rPr>
          <w:rFonts w:ascii="Bookman Old Style" w:hAnsi="Bookman Old Style" w:cs="Arial"/>
        </w:rPr>
        <w:t xml:space="preserve">, los cuales han llevado </w:t>
      </w:r>
      <w:r w:rsidR="00C61241">
        <w:rPr>
          <w:rFonts w:ascii="Bookman Old Style" w:hAnsi="Bookman Old Style" w:cs="Arial"/>
        </w:rPr>
        <w:t xml:space="preserve">a </w:t>
      </w:r>
      <w:r w:rsidR="009342EC">
        <w:rPr>
          <w:rFonts w:ascii="Bookman Old Style" w:hAnsi="Bookman Old Style" w:cs="Arial"/>
        </w:rPr>
        <w:t xml:space="preserve">que el esquema previsto inicialmente no permita una </w:t>
      </w:r>
      <w:r w:rsidR="00F50AEA">
        <w:rPr>
          <w:rFonts w:ascii="Bookman Old Style" w:hAnsi="Bookman Old Style" w:cs="Arial"/>
        </w:rPr>
        <w:t xml:space="preserve">debida </w:t>
      </w:r>
      <w:r w:rsidR="009342EC">
        <w:rPr>
          <w:rFonts w:ascii="Bookman Old Style" w:hAnsi="Bookman Old Style" w:cs="Arial"/>
        </w:rPr>
        <w:t xml:space="preserve">recuperación de los saldos y </w:t>
      </w:r>
      <w:r w:rsidR="00DF17F9">
        <w:rPr>
          <w:rFonts w:ascii="Bookman Old Style" w:hAnsi="Bookman Old Style" w:cs="Arial"/>
        </w:rPr>
        <w:t xml:space="preserve">genere una acumulación </w:t>
      </w:r>
      <w:r w:rsidR="004B64A6">
        <w:rPr>
          <w:rFonts w:ascii="Bookman Old Style" w:hAnsi="Bookman Old Style" w:cs="Arial"/>
        </w:rPr>
        <w:t xml:space="preserve">en niveles </w:t>
      </w:r>
      <w:r w:rsidR="00DB1BFB">
        <w:rPr>
          <w:rFonts w:ascii="Bookman Old Style" w:hAnsi="Bookman Old Style" w:cs="Arial"/>
        </w:rPr>
        <w:t>más allá de los previsibles inicialmente</w:t>
      </w:r>
      <w:r w:rsidR="00A946B0">
        <w:rPr>
          <w:rFonts w:ascii="Bookman Old Style" w:hAnsi="Bookman Old Style" w:cs="Arial"/>
        </w:rPr>
        <w:t>.</w:t>
      </w:r>
    </w:p>
    <w:p w14:paraId="7A879A2A" w14:textId="2378934E" w:rsidR="005F0A42" w:rsidRDefault="00101A70" w:rsidP="00FE3776">
      <w:pPr>
        <w:widowControl w:val="0"/>
        <w:spacing w:before="240" w:after="240"/>
        <w:ind w:left="0" w:right="47"/>
        <w:jc w:val="both"/>
        <w:rPr>
          <w:rFonts w:ascii="Bookman Old Style" w:hAnsi="Bookman Old Style" w:cs="Arial"/>
        </w:rPr>
      </w:pPr>
      <w:r>
        <w:rPr>
          <w:rFonts w:ascii="Bookman Old Style" w:hAnsi="Bookman Old Style" w:cs="Arial"/>
        </w:rPr>
        <w:t xml:space="preserve">Ejemplo de esto es </w:t>
      </w:r>
      <w:r w:rsidR="00701E25">
        <w:rPr>
          <w:rFonts w:ascii="Bookman Old Style" w:hAnsi="Bookman Old Style" w:cs="Arial"/>
        </w:rPr>
        <w:t>el comportamiento de los índices de precios, toda vez que</w:t>
      </w:r>
      <w:r w:rsidR="00DB1BFB">
        <w:rPr>
          <w:rFonts w:ascii="Bookman Old Style" w:hAnsi="Bookman Old Style" w:cs="Arial"/>
        </w:rPr>
        <w:t xml:space="preserve"> d</w:t>
      </w:r>
      <w:r w:rsidR="00EB490D" w:rsidRPr="00EB490D">
        <w:rPr>
          <w:rFonts w:ascii="Bookman Old Style" w:hAnsi="Bookman Old Style" w:cs="Arial"/>
        </w:rPr>
        <w:t xml:space="preserve">urante el periodo 2017 – 2019 la variación del Índice de Precios al Productor, IPP, que se emplea para actualizar aproximadamente el 85% del </w:t>
      </w:r>
      <w:r w:rsidR="007771C1">
        <w:rPr>
          <w:rFonts w:ascii="Bookman Old Style" w:hAnsi="Bookman Old Style" w:cs="Arial"/>
        </w:rPr>
        <w:t>CU</w:t>
      </w:r>
      <w:r w:rsidR="00EB490D" w:rsidRPr="00EB490D">
        <w:rPr>
          <w:rFonts w:ascii="Bookman Old Style" w:hAnsi="Bookman Old Style" w:cs="Arial"/>
        </w:rPr>
        <w:t xml:space="preserve">, registró un promedio </w:t>
      </w:r>
      <w:r w:rsidR="00731B57">
        <w:rPr>
          <w:rFonts w:ascii="Bookman Old Style" w:hAnsi="Bookman Old Style" w:cs="Arial"/>
        </w:rPr>
        <w:t xml:space="preserve">de incremento anual </w:t>
      </w:r>
      <w:r w:rsidR="00EB490D" w:rsidRPr="00EB490D">
        <w:rPr>
          <w:rFonts w:ascii="Bookman Old Style" w:hAnsi="Bookman Old Style" w:cs="Arial"/>
        </w:rPr>
        <w:t>del 3%</w:t>
      </w:r>
      <w:r w:rsidR="00F67A6B">
        <w:rPr>
          <w:rFonts w:ascii="Bookman Old Style" w:hAnsi="Bookman Old Style" w:cs="Arial"/>
        </w:rPr>
        <w:t>,</w:t>
      </w:r>
      <w:r w:rsidR="00731B57">
        <w:rPr>
          <w:rFonts w:ascii="Bookman Old Style" w:hAnsi="Bookman Old Style" w:cs="Arial"/>
        </w:rPr>
        <w:t xml:space="preserve"> </w:t>
      </w:r>
      <w:r w:rsidR="00701E25">
        <w:rPr>
          <w:rFonts w:ascii="Bookman Old Style" w:hAnsi="Bookman Old Style" w:cs="Arial"/>
        </w:rPr>
        <w:t>s</w:t>
      </w:r>
      <w:r w:rsidR="00731B57">
        <w:rPr>
          <w:rFonts w:ascii="Bookman Old Style" w:hAnsi="Bookman Old Style" w:cs="Arial"/>
        </w:rPr>
        <w:t>in embargo</w:t>
      </w:r>
      <w:r w:rsidR="00B74D04">
        <w:rPr>
          <w:rFonts w:ascii="Bookman Old Style" w:hAnsi="Bookman Old Style" w:cs="Arial"/>
        </w:rPr>
        <w:t>,</w:t>
      </w:r>
      <w:r w:rsidR="00B40B4F">
        <w:rPr>
          <w:rFonts w:ascii="Bookman Old Style" w:hAnsi="Bookman Old Style" w:cs="Arial"/>
        </w:rPr>
        <w:t xml:space="preserve"> el </w:t>
      </w:r>
      <w:r w:rsidR="00EB490D" w:rsidRPr="00EB490D">
        <w:rPr>
          <w:rFonts w:ascii="Bookman Old Style" w:hAnsi="Bookman Old Style" w:cs="Arial"/>
        </w:rPr>
        <w:t xml:space="preserve">IPP </w:t>
      </w:r>
      <w:r w:rsidR="00B74D04">
        <w:rPr>
          <w:rFonts w:ascii="Bookman Old Style" w:hAnsi="Bookman Old Style" w:cs="Arial"/>
        </w:rPr>
        <w:t xml:space="preserve">tuvo un comportamiento </w:t>
      </w:r>
      <w:r w:rsidR="00EB490D" w:rsidRPr="00EB490D">
        <w:rPr>
          <w:rFonts w:ascii="Bookman Old Style" w:hAnsi="Bookman Old Style" w:cs="Arial"/>
        </w:rPr>
        <w:t>atípico</w:t>
      </w:r>
      <w:r w:rsidR="00AE41F8">
        <w:rPr>
          <w:rFonts w:ascii="Bookman Old Style" w:hAnsi="Bookman Old Style" w:cs="Arial"/>
        </w:rPr>
        <w:t xml:space="preserve"> a partir de</w:t>
      </w:r>
      <w:r w:rsidR="0007096E">
        <w:rPr>
          <w:rFonts w:ascii="Bookman Old Style" w:hAnsi="Bookman Old Style" w:cs="Arial"/>
        </w:rPr>
        <w:t xml:space="preserve"> diciembre de 2020</w:t>
      </w:r>
      <w:r w:rsidR="004F070D">
        <w:rPr>
          <w:rFonts w:ascii="Bookman Old Style" w:hAnsi="Bookman Old Style" w:cs="Arial"/>
        </w:rPr>
        <w:t>,</w:t>
      </w:r>
      <w:r w:rsidR="00B74D04">
        <w:rPr>
          <w:rFonts w:ascii="Bookman Old Style" w:hAnsi="Bookman Old Style" w:cs="Arial"/>
        </w:rPr>
        <w:t xml:space="preserve"> generando </w:t>
      </w:r>
      <w:r w:rsidR="005F0A42">
        <w:rPr>
          <w:rFonts w:ascii="Bookman Old Style" w:hAnsi="Bookman Old Style" w:cs="Arial"/>
        </w:rPr>
        <w:t xml:space="preserve">un incremento </w:t>
      </w:r>
      <w:r w:rsidR="005F0A42">
        <w:rPr>
          <w:rFonts w:ascii="Bookman Old Style" w:hAnsi="Bookman Old Style" w:cs="Arial"/>
        </w:rPr>
        <w:lastRenderedPageBreak/>
        <w:t>importante en el costo unitario de prestación del servicio</w:t>
      </w:r>
      <w:r w:rsidR="009E3A2C">
        <w:rPr>
          <w:rStyle w:val="Refdenotaalpie"/>
          <w:rFonts w:ascii="Bookman Old Style" w:hAnsi="Bookman Old Style" w:cs="Arial"/>
        </w:rPr>
        <w:footnoteReference w:id="5"/>
      </w:r>
      <w:r w:rsidR="005F0A42">
        <w:rPr>
          <w:rFonts w:ascii="Bookman Old Style" w:hAnsi="Bookman Old Style" w:cs="Arial"/>
        </w:rPr>
        <w:t>.</w:t>
      </w:r>
    </w:p>
    <w:p w14:paraId="500AAE26" w14:textId="5725FD63" w:rsidR="004B76D4" w:rsidRDefault="00AE3844" w:rsidP="00AE3844">
      <w:pPr>
        <w:widowControl w:val="0"/>
        <w:spacing w:before="240" w:after="240"/>
        <w:ind w:left="0" w:right="47"/>
        <w:jc w:val="both"/>
        <w:rPr>
          <w:rFonts w:ascii="Bookman Old Style" w:hAnsi="Bookman Old Style" w:cs="Arial"/>
        </w:rPr>
      </w:pPr>
      <w:r w:rsidRPr="003C00E2">
        <w:rPr>
          <w:rFonts w:ascii="Bookman Old Style" w:hAnsi="Bookman Old Style" w:cs="Arial"/>
        </w:rPr>
        <w:t xml:space="preserve">En este sentido, de continuar con la aplicación de la opción </w:t>
      </w:r>
      <w:r w:rsidR="004F070D">
        <w:rPr>
          <w:rFonts w:ascii="Bookman Old Style" w:hAnsi="Bookman Old Style" w:cs="Arial"/>
        </w:rPr>
        <w:t xml:space="preserve">tarifaria </w:t>
      </w:r>
      <w:r w:rsidRPr="003C00E2">
        <w:rPr>
          <w:rFonts w:ascii="Bookman Old Style" w:hAnsi="Bookman Old Style" w:cs="Arial"/>
        </w:rPr>
        <w:t>en las mismas condiciones actuales,</w:t>
      </w:r>
      <w:r w:rsidR="005B44AF">
        <w:rPr>
          <w:rFonts w:ascii="Bookman Old Style" w:hAnsi="Bookman Old Style" w:cs="Arial"/>
        </w:rPr>
        <w:t xml:space="preserve"> </w:t>
      </w:r>
      <w:r w:rsidR="005A3B16">
        <w:rPr>
          <w:rFonts w:ascii="Bookman Old Style" w:hAnsi="Bookman Old Style" w:cs="Arial"/>
        </w:rPr>
        <w:t xml:space="preserve">esto puede </w:t>
      </w:r>
      <w:r w:rsidR="005B44AF">
        <w:rPr>
          <w:rFonts w:ascii="Bookman Old Style" w:hAnsi="Bookman Old Style" w:cs="Arial"/>
        </w:rPr>
        <w:t>conlleva</w:t>
      </w:r>
      <w:r w:rsidR="005A3B16">
        <w:rPr>
          <w:rFonts w:ascii="Bookman Old Style" w:hAnsi="Bookman Old Style" w:cs="Arial"/>
        </w:rPr>
        <w:t>r</w:t>
      </w:r>
      <w:r w:rsidR="005B44AF">
        <w:rPr>
          <w:rFonts w:ascii="Bookman Old Style" w:hAnsi="Bookman Old Style" w:cs="Arial"/>
        </w:rPr>
        <w:t xml:space="preserve"> a u</w:t>
      </w:r>
      <w:r w:rsidR="004D48D2">
        <w:rPr>
          <w:rFonts w:ascii="Bookman Old Style" w:hAnsi="Bookman Old Style" w:cs="Arial"/>
        </w:rPr>
        <w:t xml:space="preserve">na </w:t>
      </w:r>
      <w:r w:rsidR="00D60313">
        <w:rPr>
          <w:rFonts w:ascii="Bookman Old Style" w:hAnsi="Bookman Old Style" w:cs="Arial"/>
        </w:rPr>
        <w:t xml:space="preserve">divergencia </w:t>
      </w:r>
      <w:r w:rsidRPr="003C00E2">
        <w:rPr>
          <w:rFonts w:ascii="Bookman Old Style" w:hAnsi="Bookman Old Style" w:cs="Arial"/>
        </w:rPr>
        <w:t xml:space="preserve">entre los intereses colectivos que persigue la prestación de los servicios públicos </w:t>
      </w:r>
      <w:r w:rsidR="004B76D4">
        <w:rPr>
          <w:rFonts w:ascii="Bookman Old Style" w:hAnsi="Bookman Old Style" w:cs="Arial"/>
        </w:rPr>
        <w:t xml:space="preserve">domiciliarios </w:t>
      </w:r>
      <w:r w:rsidRPr="003C00E2">
        <w:rPr>
          <w:rFonts w:ascii="Bookman Old Style" w:hAnsi="Bookman Old Style" w:cs="Arial"/>
        </w:rPr>
        <w:t xml:space="preserve">en relación con los usuarios, con el interés de las empresas en relación </w:t>
      </w:r>
      <w:r w:rsidR="009255B9">
        <w:rPr>
          <w:rFonts w:ascii="Bookman Old Style" w:hAnsi="Bookman Old Style" w:cs="Arial"/>
        </w:rPr>
        <w:t>con</w:t>
      </w:r>
      <w:r w:rsidR="00855F3E">
        <w:rPr>
          <w:rFonts w:ascii="Bookman Old Style" w:hAnsi="Bookman Old Style" w:cs="Arial"/>
        </w:rPr>
        <w:t xml:space="preserve"> </w:t>
      </w:r>
      <w:r w:rsidRPr="003C00E2">
        <w:rPr>
          <w:rFonts w:ascii="Bookman Old Style" w:hAnsi="Bookman Old Style" w:cs="Arial"/>
        </w:rPr>
        <w:t xml:space="preserve">la libertad económica, así como la correcta y suficiente remuneración del servicio en condiciones de eficiencia. </w:t>
      </w:r>
    </w:p>
    <w:p w14:paraId="4C5CBD67" w14:textId="238F7288" w:rsidR="00AE3844" w:rsidRPr="00993977" w:rsidRDefault="004B76D4" w:rsidP="00993977">
      <w:pPr>
        <w:widowControl w:val="0"/>
        <w:spacing w:before="240" w:after="240"/>
        <w:ind w:left="0" w:right="47"/>
        <w:jc w:val="both"/>
        <w:rPr>
          <w:rFonts w:ascii="Bookman Old Style" w:hAnsi="Bookman Old Style" w:cs="Arial"/>
        </w:rPr>
      </w:pPr>
      <w:r>
        <w:rPr>
          <w:rFonts w:ascii="Bookman Old Style" w:hAnsi="Bookman Old Style" w:cs="Arial"/>
        </w:rPr>
        <w:t>Lo anterior, toda vez que de seguir presentándose incrementos en los saldos</w:t>
      </w:r>
      <w:r w:rsidR="00452EFC">
        <w:rPr>
          <w:rFonts w:ascii="Bookman Old Style" w:hAnsi="Bookman Old Style" w:cs="Arial"/>
        </w:rPr>
        <w:t xml:space="preserve"> acumulados en niveles superiores a los actuales</w:t>
      </w:r>
      <w:r>
        <w:rPr>
          <w:rFonts w:ascii="Bookman Old Style" w:hAnsi="Bookman Old Style" w:cs="Arial"/>
        </w:rPr>
        <w:t xml:space="preserve"> </w:t>
      </w:r>
      <w:r w:rsidR="00083B84">
        <w:rPr>
          <w:rFonts w:ascii="Bookman Old Style" w:hAnsi="Bookman Old Style" w:cs="Arial"/>
        </w:rPr>
        <w:t>puede poner</w:t>
      </w:r>
      <w:r w:rsidR="009255B9">
        <w:rPr>
          <w:rFonts w:ascii="Bookman Old Style" w:hAnsi="Bookman Old Style" w:cs="Arial"/>
        </w:rPr>
        <w:t>se</w:t>
      </w:r>
      <w:r w:rsidR="00083B84">
        <w:rPr>
          <w:rFonts w:ascii="Bookman Old Style" w:hAnsi="Bookman Old Style" w:cs="Arial"/>
        </w:rPr>
        <w:t xml:space="preserve"> </w:t>
      </w:r>
      <w:r w:rsidR="00AE3844" w:rsidRPr="00993977">
        <w:rPr>
          <w:rFonts w:ascii="Bookman Old Style" w:hAnsi="Bookman Old Style" w:cs="Arial"/>
        </w:rPr>
        <w:t>en riesgo la continuidad en la prestación del servicio</w:t>
      </w:r>
      <w:r w:rsidR="00447771">
        <w:rPr>
          <w:rFonts w:ascii="Bookman Old Style" w:hAnsi="Bookman Old Style" w:cs="Arial"/>
        </w:rPr>
        <w:t>,</w:t>
      </w:r>
      <w:r w:rsidR="00AE3844" w:rsidRPr="00993977">
        <w:rPr>
          <w:rFonts w:ascii="Bookman Old Style" w:hAnsi="Bookman Old Style" w:cs="Arial"/>
        </w:rPr>
        <w:t xml:space="preserve"> desde el </w:t>
      </w:r>
      <w:r w:rsidR="00C12EB4">
        <w:rPr>
          <w:rFonts w:ascii="Bookman Old Style" w:hAnsi="Bookman Old Style" w:cs="Arial"/>
        </w:rPr>
        <w:t>aspecto</w:t>
      </w:r>
      <w:r w:rsidR="00AE3844" w:rsidRPr="00993977">
        <w:rPr>
          <w:rFonts w:ascii="Bookman Old Style" w:hAnsi="Bookman Old Style" w:cs="Arial"/>
        </w:rPr>
        <w:t xml:space="preserve"> económico, en relación con</w:t>
      </w:r>
      <w:r w:rsidR="00BE0E42">
        <w:rPr>
          <w:rFonts w:ascii="Bookman Old Style" w:hAnsi="Bookman Old Style" w:cs="Arial"/>
        </w:rPr>
        <w:t>: (i)</w:t>
      </w:r>
      <w:r w:rsidR="00AE3844" w:rsidRPr="00993977">
        <w:rPr>
          <w:rFonts w:ascii="Bookman Old Style" w:hAnsi="Bookman Old Style" w:cs="Arial"/>
        </w:rPr>
        <w:t xml:space="preserve"> la capacidad financiera de los agentes comercializadores frente a la forma en que se vienen asumiendo el saldo</w:t>
      </w:r>
      <w:r w:rsidR="0019746A">
        <w:rPr>
          <w:rFonts w:ascii="Bookman Old Style" w:hAnsi="Bookman Old Style" w:cs="Arial"/>
        </w:rPr>
        <w:t xml:space="preserve"> y (</w:t>
      </w:r>
      <w:proofErr w:type="spellStart"/>
      <w:r w:rsidR="0019746A">
        <w:rPr>
          <w:rFonts w:ascii="Bookman Old Style" w:hAnsi="Bookman Old Style" w:cs="Arial"/>
        </w:rPr>
        <w:t>ii</w:t>
      </w:r>
      <w:proofErr w:type="spellEnd"/>
      <w:r w:rsidR="0019746A">
        <w:rPr>
          <w:rFonts w:ascii="Bookman Old Style" w:hAnsi="Bookman Old Style" w:cs="Arial"/>
        </w:rPr>
        <w:t>)</w:t>
      </w:r>
      <w:r w:rsidR="00AE3844" w:rsidRPr="00993977">
        <w:rPr>
          <w:rFonts w:ascii="Bookman Old Style" w:hAnsi="Bookman Old Style" w:cs="Arial"/>
        </w:rPr>
        <w:t xml:space="preserve"> los impactos </w:t>
      </w:r>
      <w:r w:rsidR="0029530D" w:rsidRPr="0029530D">
        <w:rPr>
          <w:rFonts w:ascii="Bookman Old Style" w:hAnsi="Bookman Old Style" w:cs="Arial"/>
        </w:rPr>
        <w:t>que deban asumir los usuarios en las tarifas, junto a su capacidad de asumirlos, desde el momento en que el saldo se deje de acumular, e inicie la aplicación de un CU posiblemente alto y con largos periodos de recuperación.</w:t>
      </w:r>
    </w:p>
    <w:p w14:paraId="175B9657" w14:textId="019031D4" w:rsidR="00AE3844" w:rsidRPr="00993977" w:rsidRDefault="00AE3844" w:rsidP="00993977">
      <w:pPr>
        <w:widowControl w:val="0"/>
        <w:spacing w:before="240" w:after="240"/>
        <w:ind w:left="0" w:right="47"/>
        <w:jc w:val="both"/>
        <w:rPr>
          <w:rFonts w:ascii="Bookman Old Style" w:hAnsi="Bookman Old Style" w:cs="Arial"/>
        </w:rPr>
      </w:pPr>
      <w:r w:rsidRPr="00993977">
        <w:rPr>
          <w:rFonts w:ascii="Bookman Old Style" w:hAnsi="Bookman Old Style" w:cs="Arial"/>
        </w:rPr>
        <w:t xml:space="preserve">Adicionalmente, desde el lado de las empresas comercializadoras, la aplicación de dichos incrementos </w:t>
      </w:r>
      <w:r w:rsidR="00C63B75">
        <w:rPr>
          <w:rFonts w:ascii="Bookman Old Style" w:hAnsi="Bookman Old Style" w:cs="Arial"/>
        </w:rPr>
        <w:t xml:space="preserve">en los saldos por mercado de comercialización </w:t>
      </w:r>
      <w:r w:rsidRPr="00993977">
        <w:rPr>
          <w:rFonts w:ascii="Bookman Old Style" w:hAnsi="Bookman Old Style" w:cs="Arial"/>
        </w:rPr>
        <w:t xml:space="preserve">puede ver afectadas las condiciones de prestación del servicio en mercados con condiciones específicas, </w:t>
      </w:r>
      <w:r w:rsidR="0032127E">
        <w:rPr>
          <w:rFonts w:ascii="Bookman Old Style" w:hAnsi="Bookman Old Style" w:cs="Arial"/>
        </w:rPr>
        <w:t xml:space="preserve">en este caso, </w:t>
      </w:r>
      <w:r w:rsidR="00E659BD">
        <w:rPr>
          <w:rFonts w:ascii="Bookman Old Style" w:hAnsi="Bookman Old Style" w:cs="Arial"/>
        </w:rPr>
        <w:t xml:space="preserve">por </w:t>
      </w:r>
      <w:r w:rsidRPr="00993977">
        <w:rPr>
          <w:rFonts w:ascii="Bookman Old Style" w:hAnsi="Bookman Old Style" w:cs="Arial"/>
        </w:rPr>
        <w:t xml:space="preserve">el retiro o disminución de la demanda que, de manera masiva, puede llevar a una inviabilidad en la prestación del servicio desde el punto de vista financiero. Esto se presenta a través de lo que se puede denominar como una “competencia artificial” </w:t>
      </w:r>
      <w:r w:rsidR="00224D9D">
        <w:rPr>
          <w:rFonts w:ascii="Bookman Old Style" w:hAnsi="Bookman Old Style" w:cs="Arial"/>
        </w:rPr>
        <w:t>generada a partir de</w:t>
      </w:r>
      <w:r w:rsidR="007E291C">
        <w:rPr>
          <w:rFonts w:ascii="Bookman Old Style" w:hAnsi="Bookman Old Style" w:cs="Arial"/>
        </w:rPr>
        <w:t xml:space="preserve"> la imposibilidad de amortizar los saldos</w:t>
      </w:r>
      <w:r w:rsidR="00EB697E">
        <w:rPr>
          <w:rFonts w:ascii="Bookman Old Style" w:hAnsi="Bookman Old Style" w:cs="Arial"/>
        </w:rPr>
        <w:t xml:space="preserve">, </w:t>
      </w:r>
      <w:r w:rsidR="008B7F96">
        <w:rPr>
          <w:rFonts w:ascii="Bookman Old Style" w:hAnsi="Bookman Old Style" w:cs="Arial"/>
        </w:rPr>
        <w:t xml:space="preserve">donde </w:t>
      </w:r>
      <w:r w:rsidRPr="00993977">
        <w:rPr>
          <w:rFonts w:ascii="Bookman Old Style" w:hAnsi="Bookman Old Style" w:cs="Arial"/>
        </w:rPr>
        <w:t xml:space="preserve">el retiro de </w:t>
      </w:r>
      <w:r w:rsidR="008B7F96">
        <w:rPr>
          <w:rFonts w:ascii="Bookman Old Style" w:hAnsi="Bookman Old Style" w:cs="Arial"/>
        </w:rPr>
        <w:t xml:space="preserve">la </w:t>
      </w:r>
      <w:r w:rsidRPr="00993977">
        <w:rPr>
          <w:rFonts w:ascii="Bookman Old Style" w:hAnsi="Bookman Old Style" w:cs="Arial"/>
        </w:rPr>
        <w:t xml:space="preserve">demanda en un mercado de comercialización </w:t>
      </w:r>
      <w:r w:rsidR="00900C25">
        <w:rPr>
          <w:rFonts w:ascii="Bookman Old Style" w:hAnsi="Bookman Old Style" w:cs="Arial"/>
        </w:rPr>
        <w:t xml:space="preserve">se presenta </w:t>
      </w:r>
      <w:r w:rsidR="00AC43C9">
        <w:rPr>
          <w:rFonts w:ascii="Bookman Old Style" w:hAnsi="Bookman Old Style" w:cs="Arial"/>
        </w:rPr>
        <w:t xml:space="preserve">ante la posibilidad de que </w:t>
      </w:r>
      <w:r w:rsidRPr="00993977">
        <w:rPr>
          <w:rFonts w:ascii="Bookman Old Style" w:hAnsi="Bookman Old Style" w:cs="Arial"/>
        </w:rPr>
        <w:t xml:space="preserve">un usuario busque ser atendido por otro comercializador y no sufrague el pago del saldo acumulado en el mercado </w:t>
      </w:r>
      <w:r w:rsidR="001F6DFD">
        <w:rPr>
          <w:rFonts w:ascii="Bookman Old Style" w:hAnsi="Bookman Old Style" w:cs="Arial"/>
        </w:rPr>
        <w:t xml:space="preserve">de comercialización en el </w:t>
      </w:r>
      <w:r w:rsidRPr="00993977">
        <w:rPr>
          <w:rFonts w:ascii="Bookman Old Style" w:hAnsi="Bookman Old Style" w:cs="Arial"/>
        </w:rPr>
        <w:t xml:space="preserve">que </w:t>
      </w:r>
      <w:r w:rsidR="001F6DFD">
        <w:rPr>
          <w:rFonts w:ascii="Bookman Old Style" w:hAnsi="Bookman Old Style" w:cs="Arial"/>
        </w:rPr>
        <w:t>venía siendo</w:t>
      </w:r>
      <w:r w:rsidRPr="00993977">
        <w:rPr>
          <w:rFonts w:ascii="Bookman Old Style" w:hAnsi="Bookman Old Style" w:cs="Arial"/>
        </w:rPr>
        <w:t xml:space="preserve"> atendido.</w:t>
      </w:r>
    </w:p>
    <w:p w14:paraId="482A33E1" w14:textId="3CB47F49" w:rsidR="002B1EB5" w:rsidRDefault="00AE3844" w:rsidP="002B1EB5">
      <w:pPr>
        <w:widowControl w:val="0"/>
        <w:spacing w:before="240" w:after="240"/>
        <w:ind w:left="0" w:right="47"/>
        <w:jc w:val="both"/>
        <w:rPr>
          <w:rFonts w:ascii="Bookman Old Style" w:hAnsi="Bookman Old Style" w:cs="Arial"/>
        </w:rPr>
      </w:pPr>
      <w:r w:rsidRPr="00993977">
        <w:rPr>
          <w:rFonts w:ascii="Bookman Old Style" w:hAnsi="Bookman Old Style" w:cs="Arial"/>
        </w:rPr>
        <w:t>De acuerdo con lo expuesto</w:t>
      </w:r>
      <w:r w:rsidR="00C9268A">
        <w:rPr>
          <w:rFonts w:ascii="Bookman Old Style" w:hAnsi="Bookman Old Style" w:cs="Arial"/>
        </w:rPr>
        <w:t xml:space="preserve"> y ante</w:t>
      </w:r>
      <w:r w:rsidRPr="00993977">
        <w:rPr>
          <w:rFonts w:ascii="Bookman Old Style" w:hAnsi="Bookman Old Style" w:cs="Arial"/>
        </w:rPr>
        <w:t xml:space="preserve"> la situación actual </w:t>
      </w:r>
      <w:r w:rsidR="00336E75">
        <w:rPr>
          <w:rFonts w:ascii="Bookman Old Style" w:hAnsi="Bookman Old Style" w:cs="Arial"/>
        </w:rPr>
        <w:t>se hace necesario,</w:t>
      </w:r>
      <w:r w:rsidR="00336E75" w:rsidRPr="00993977">
        <w:rPr>
          <w:rFonts w:ascii="Bookman Old Style" w:hAnsi="Bookman Old Style" w:cs="Arial"/>
        </w:rPr>
        <w:t xml:space="preserve"> </w:t>
      </w:r>
      <w:r w:rsidR="0041009E">
        <w:rPr>
          <w:rFonts w:ascii="Bookman Old Style" w:hAnsi="Bookman Old Style" w:cs="Arial"/>
        </w:rPr>
        <w:t xml:space="preserve">a través del </w:t>
      </w:r>
      <w:r w:rsidRPr="00993977">
        <w:rPr>
          <w:rFonts w:ascii="Bookman Old Style" w:hAnsi="Bookman Old Style" w:cs="Arial"/>
        </w:rPr>
        <w:t>ejercicio de la actividad regulatoria</w:t>
      </w:r>
      <w:r w:rsidR="003E5D11">
        <w:rPr>
          <w:rFonts w:ascii="Bookman Old Style" w:hAnsi="Bookman Old Style" w:cs="Arial"/>
        </w:rPr>
        <w:t>,</w:t>
      </w:r>
      <w:r w:rsidRPr="00993977">
        <w:rPr>
          <w:rFonts w:ascii="Bookman Old Style" w:hAnsi="Bookman Old Style" w:cs="Arial"/>
        </w:rPr>
        <w:t xml:space="preserve"> interv</w:t>
      </w:r>
      <w:r w:rsidR="003E5D11">
        <w:rPr>
          <w:rFonts w:ascii="Bookman Old Style" w:hAnsi="Bookman Old Style" w:cs="Arial"/>
        </w:rPr>
        <w:t>enir</w:t>
      </w:r>
      <w:r w:rsidRPr="00993977">
        <w:rPr>
          <w:rFonts w:ascii="Bookman Old Style" w:hAnsi="Bookman Old Style" w:cs="Arial"/>
        </w:rPr>
        <w:t xml:space="preserve"> la opción tarifaria actual, con el fin de </w:t>
      </w:r>
      <w:r w:rsidR="002469E1">
        <w:rPr>
          <w:rFonts w:ascii="Bookman Old Style" w:hAnsi="Bookman Old Style" w:cs="Arial"/>
        </w:rPr>
        <w:t>apli</w:t>
      </w:r>
      <w:r w:rsidR="002469E1" w:rsidRPr="00993977">
        <w:rPr>
          <w:rFonts w:ascii="Bookman Old Style" w:hAnsi="Bookman Old Style" w:cs="Arial"/>
        </w:rPr>
        <w:t xml:space="preserve">car </w:t>
      </w:r>
      <w:r w:rsidRPr="00993977">
        <w:rPr>
          <w:rFonts w:ascii="Bookman Old Style" w:hAnsi="Bookman Old Style" w:cs="Arial"/>
        </w:rPr>
        <w:t xml:space="preserve">una alternativa regulatoria que </w:t>
      </w:r>
      <w:r w:rsidR="00D13341">
        <w:rPr>
          <w:rFonts w:ascii="Bookman Old Style" w:hAnsi="Bookman Old Style" w:cs="Arial"/>
        </w:rPr>
        <w:t>permita</w:t>
      </w:r>
      <w:r w:rsidR="00702369">
        <w:rPr>
          <w:rFonts w:ascii="Bookman Old Style" w:hAnsi="Bookman Old Style" w:cs="Arial"/>
        </w:rPr>
        <w:t xml:space="preserve"> hacer compatibles nuevamente </w:t>
      </w:r>
      <w:r w:rsidRPr="00993977">
        <w:rPr>
          <w:rFonts w:ascii="Bookman Old Style" w:hAnsi="Bookman Old Style" w:cs="Arial"/>
        </w:rPr>
        <w:t>los intereses privados que actúan como motor de la actividad económica, con la satisfacción de las necesidades colectivas, garantiza</w:t>
      </w:r>
      <w:r w:rsidR="00911E2A">
        <w:rPr>
          <w:rFonts w:ascii="Bookman Old Style" w:hAnsi="Bookman Old Style" w:cs="Arial"/>
        </w:rPr>
        <w:t>ndo</w:t>
      </w:r>
      <w:r w:rsidRPr="00993977">
        <w:rPr>
          <w:rFonts w:ascii="Bookman Old Style" w:hAnsi="Bookman Old Style" w:cs="Arial"/>
        </w:rPr>
        <w:t xml:space="preserve"> la efectividad de los principios sociales que rigen la prestación de los servicios públicos domiciliarios, así como el adecuado funcionamiento del mercado, en el marco de la continua y eficiente prestación del servicio. </w:t>
      </w:r>
    </w:p>
    <w:p w14:paraId="1885006A" w14:textId="37B17160" w:rsidR="007905BC" w:rsidRDefault="004436EF" w:rsidP="002B1EB5">
      <w:pPr>
        <w:widowControl w:val="0"/>
        <w:spacing w:before="240" w:after="240"/>
        <w:ind w:left="0" w:right="47"/>
        <w:jc w:val="both"/>
        <w:rPr>
          <w:rFonts w:ascii="Bookman Old Style" w:hAnsi="Bookman Old Style" w:cs="Arial"/>
        </w:rPr>
      </w:pPr>
      <w:r>
        <w:rPr>
          <w:rFonts w:ascii="Bookman Old Style" w:hAnsi="Bookman Old Style" w:cs="Arial"/>
        </w:rPr>
        <w:t>En este sentido, la alternativa regulatoria propuesta</w:t>
      </w:r>
      <w:r w:rsidR="00985821" w:rsidRPr="007905BC">
        <w:rPr>
          <w:rFonts w:ascii="Bookman Old Style" w:hAnsi="Bookman Old Style" w:cs="Arial"/>
        </w:rPr>
        <w:t xml:space="preserve"> ha de propender por</w:t>
      </w:r>
      <w:r w:rsidR="007905BC" w:rsidRPr="007905BC">
        <w:rPr>
          <w:rFonts w:ascii="Bookman Old Style" w:hAnsi="Bookman Old Style" w:cs="Arial"/>
        </w:rPr>
        <w:t xml:space="preserve"> el cumplimiento de objetivos tales como:</w:t>
      </w:r>
      <w:r w:rsidR="007905BC">
        <w:rPr>
          <w:rFonts w:ascii="Bookman Old Style" w:hAnsi="Bookman Old Style" w:cs="Arial"/>
        </w:rPr>
        <w:t xml:space="preserve"> i) </w:t>
      </w:r>
      <w:r w:rsidR="007905BC" w:rsidRPr="00993977">
        <w:rPr>
          <w:rFonts w:ascii="Bookman Old Style" w:hAnsi="Bookman Old Style"/>
        </w:rPr>
        <w:t>Evitar el incremento del saldo acumulado</w:t>
      </w:r>
      <w:r w:rsidR="007905BC">
        <w:rPr>
          <w:rFonts w:ascii="Bookman Old Style" w:hAnsi="Bookman Old Style"/>
        </w:rPr>
        <w:t xml:space="preserve"> en los mercados de comercialización; </w:t>
      </w:r>
      <w:proofErr w:type="spellStart"/>
      <w:r w:rsidR="007905BC">
        <w:rPr>
          <w:rFonts w:ascii="Bookman Old Style" w:hAnsi="Bookman Old Style"/>
        </w:rPr>
        <w:t>ii</w:t>
      </w:r>
      <w:proofErr w:type="spellEnd"/>
      <w:r w:rsidR="007905BC">
        <w:rPr>
          <w:rFonts w:ascii="Bookman Old Style" w:hAnsi="Bookman Old Style"/>
        </w:rPr>
        <w:t>)</w:t>
      </w:r>
      <w:r w:rsidR="007905BC">
        <w:rPr>
          <w:rFonts w:ascii="Bookman Old Style" w:hAnsi="Bookman Old Style" w:cs="Arial"/>
        </w:rPr>
        <w:t xml:space="preserve"> </w:t>
      </w:r>
      <w:r w:rsidR="007905BC" w:rsidRPr="00993977">
        <w:rPr>
          <w:rFonts w:ascii="Bookman Old Style" w:hAnsi="Bookman Old Style"/>
        </w:rPr>
        <w:t>Minimizar altos valores (picos) en el CU cuando se aplique la fórmula de recuperación de saldos de la opción tarifaria actual</w:t>
      </w:r>
      <w:r w:rsidR="007905BC">
        <w:rPr>
          <w:rFonts w:ascii="Bookman Old Style" w:hAnsi="Bookman Old Style"/>
        </w:rPr>
        <w:t xml:space="preserve">; </w:t>
      </w:r>
      <w:proofErr w:type="spellStart"/>
      <w:r w:rsidR="007905BC">
        <w:rPr>
          <w:rFonts w:ascii="Bookman Old Style" w:hAnsi="Bookman Old Style"/>
        </w:rPr>
        <w:t>iii</w:t>
      </w:r>
      <w:proofErr w:type="spellEnd"/>
      <w:r w:rsidR="007905BC">
        <w:rPr>
          <w:rFonts w:ascii="Bookman Old Style" w:hAnsi="Bookman Old Style"/>
        </w:rPr>
        <w:t xml:space="preserve">) </w:t>
      </w:r>
      <w:r w:rsidR="007905BC" w:rsidRPr="00993977">
        <w:rPr>
          <w:rFonts w:ascii="Bookman Old Style" w:hAnsi="Bookman Old Style"/>
        </w:rPr>
        <w:t xml:space="preserve">Evitar </w:t>
      </w:r>
      <w:r w:rsidR="00D10C46">
        <w:rPr>
          <w:rFonts w:ascii="Bookman Old Style" w:hAnsi="Bookman Old Style"/>
        </w:rPr>
        <w:t xml:space="preserve">una posible </w:t>
      </w:r>
      <w:r w:rsidR="000F0BC6">
        <w:rPr>
          <w:rFonts w:ascii="Bookman Old Style" w:hAnsi="Bookman Old Style"/>
        </w:rPr>
        <w:t>“</w:t>
      </w:r>
      <w:r w:rsidR="007905BC" w:rsidRPr="00993977">
        <w:rPr>
          <w:rFonts w:ascii="Bookman Old Style" w:hAnsi="Bookman Old Style"/>
        </w:rPr>
        <w:t>competencia artificial” que genere “descreme del mercado” (que todos los usuarios del mercado respondan por los saldos acumulados)</w:t>
      </w:r>
      <w:r w:rsidR="007905BC">
        <w:rPr>
          <w:rFonts w:ascii="Bookman Old Style" w:hAnsi="Bookman Old Style"/>
        </w:rPr>
        <w:t xml:space="preserve">; </w:t>
      </w:r>
      <w:proofErr w:type="spellStart"/>
      <w:r w:rsidR="007905BC">
        <w:rPr>
          <w:rFonts w:ascii="Bookman Old Style" w:hAnsi="Bookman Old Style"/>
        </w:rPr>
        <w:t>iv</w:t>
      </w:r>
      <w:proofErr w:type="spellEnd"/>
      <w:r w:rsidR="007905BC">
        <w:rPr>
          <w:rFonts w:ascii="Bookman Old Style" w:hAnsi="Bookman Old Style"/>
        </w:rPr>
        <w:t xml:space="preserve">) </w:t>
      </w:r>
      <w:r w:rsidR="007905BC" w:rsidRPr="00993977">
        <w:rPr>
          <w:rFonts w:ascii="Bookman Old Style" w:hAnsi="Bookman Old Style"/>
          <w:iCs/>
        </w:rPr>
        <w:t>Evitar alzas excesivas inmediatas en el CU aplicado a los usuarios por ajustes en la regulación de la opción tarifaria</w:t>
      </w:r>
      <w:r w:rsidR="00C43948">
        <w:rPr>
          <w:rFonts w:ascii="Bookman Old Style" w:hAnsi="Bookman Old Style"/>
          <w:iCs/>
        </w:rPr>
        <w:t>,</w:t>
      </w:r>
      <w:r w:rsidR="0090451C">
        <w:rPr>
          <w:rFonts w:ascii="Bookman Old Style" w:hAnsi="Bookman Old Style"/>
          <w:iCs/>
        </w:rPr>
        <w:t xml:space="preserve"> </w:t>
      </w:r>
      <w:r w:rsidR="00DB7342" w:rsidRPr="005C0A5B">
        <w:rPr>
          <w:rFonts w:ascii="Bookman Old Style" w:hAnsi="Bookman Old Style"/>
        </w:rPr>
        <w:t>v)</w:t>
      </w:r>
      <w:r w:rsidR="00C43948" w:rsidRPr="005C0A5B">
        <w:rPr>
          <w:rFonts w:ascii="Bookman Old Style" w:hAnsi="Bookman Old Style"/>
        </w:rPr>
        <w:t xml:space="preserve"> </w:t>
      </w:r>
      <w:r w:rsidR="00D10C46">
        <w:rPr>
          <w:rFonts w:ascii="Bookman Old Style" w:hAnsi="Bookman Old Style"/>
        </w:rPr>
        <w:t>E</w:t>
      </w:r>
      <w:r w:rsidR="00C43948" w:rsidRPr="005C0A5B">
        <w:rPr>
          <w:rFonts w:ascii="Bookman Old Style" w:hAnsi="Bookman Old Style"/>
        </w:rPr>
        <w:t xml:space="preserve">vitar poner </w:t>
      </w:r>
      <w:r w:rsidR="00C43948" w:rsidRPr="005C0A5B">
        <w:rPr>
          <w:rFonts w:ascii="Bookman Old Style" w:hAnsi="Bookman Old Style"/>
        </w:rPr>
        <w:lastRenderedPageBreak/>
        <w:t xml:space="preserve">en riesgo </w:t>
      </w:r>
      <w:r w:rsidR="0090451C" w:rsidRPr="005C0A5B">
        <w:rPr>
          <w:rFonts w:ascii="Bookman Old Style" w:hAnsi="Bookman Old Style"/>
        </w:rPr>
        <w:t>el saldo acumulado</w:t>
      </w:r>
      <w:r w:rsidR="00863E8E" w:rsidRPr="005C0A5B">
        <w:rPr>
          <w:rFonts w:ascii="Bookman Old Style" w:hAnsi="Bookman Old Style"/>
        </w:rPr>
        <w:t xml:space="preserve"> y </w:t>
      </w:r>
      <w:r w:rsidR="00333E56" w:rsidRPr="005C0A5B">
        <w:rPr>
          <w:rFonts w:ascii="Bookman Old Style" w:hAnsi="Bookman Old Style"/>
        </w:rPr>
        <w:t>v</w:t>
      </w:r>
      <w:r w:rsidR="0090451C" w:rsidRPr="005C0A5B">
        <w:rPr>
          <w:rFonts w:ascii="Bookman Old Style" w:hAnsi="Bookman Old Style"/>
        </w:rPr>
        <w:t>i</w:t>
      </w:r>
      <w:r w:rsidR="00333E56" w:rsidRPr="005C0A5B">
        <w:rPr>
          <w:rFonts w:ascii="Bookman Old Style" w:hAnsi="Bookman Old Style"/>
        </w:rPr>
        <w:t>)</w:t>
      </w:r>
      <w:r w:rsidR="0090451C" w:rsidRPr="005C0A5B">
        <w:rPr>
          <w:rFonts w:ascii="Bookman Old Style" w:hAnsi="Bookman Old Style"/>
        </w:rPr>
        <w:t xml:space="preserve"> </w:t>
      </w:r>
      <w:r w:rsidR="00220801">
        <w:rPr>
          <w:rFonts w:ascii="Bookman Old Style" w:hAnsi="Bookman Old Style"/>
        </w:rPr>
        <w:t>P</w:t>
      </w:r>
      <w:r w:rsidR="0090451C" w:rsidRPr="005C0A5B">
        <w:rPr>
          <w:rFonts w:ascii="Bookman Old Style" w:hAnsi="Bookman Old Style"/>
        </w:rPr>
        <w:t>osibilitar la financiación del saldo</w:t>
      </w:r>
      <w:r w:rsidR="007905BC" w:rsidRPr="005C0A5B">
        <w:rPr>
          <w:rFonts w:ascii="Bookman Old Style" w:hAnsi="Bookman Old Style"/>
        </w:rPr>
        <w:t>.</w:t>
      </w:r>
      <w:r w:rsidR="007905BC" w:rsidRPr="00993977">
        <w:rPr>
          <w:rFonts w:ascii="Bookman Old Style" w:hAnsi="Bookman Old Style"/>
          <w:iCs/>
        </w:rPr>
        <w:t xml:space="preserve"> </w:t>
      </w:r>
    </w:p>
    <w:p w14:paraId="5650B40A" w14:textId="07B9AE68" w:rsidR="004436EF" w:rsidRDefault="00A910BB" w:rsidP="002B1EB5">
      <w:pPr>
        <w:widowControl w:val="0"/>
        <w:spacing w:before="240" w:after="240"/>
        <w:ind w:left="0" w:right="47"/>
        <w:jc w:val="both"/>
        <w:rPr>
          <w:rFonts w:ascii="Bookman Old Style" w:hAnsi="Bookman Old Style" w:cs="Arial"/>
        </w:rPr>
      </w:pPr>
      <w:r>
        <w:rPr>
          <w:rFonts w:ascii="Bookman Old Style" w:hAnsi="Bookman Old Style" w:cs="Arial"/>
        </w:rPr>
        <w:t xml:space="preserve">Para </w:t>
      </w:r>
      <w:r w:rsidR="00220801">
        <w:rPr>
          <w:rFonts w:ascii="Bookman Old Style" w:hAnsi="Bookman Old Style" w:cs="Arial"/>
        </w:rPr>
        <w:t>alcanzar tales objetivos</w:t>
      </w:r>
      <w:r>
        <w:rPr>
          <w:rFonts w:ascii="Bookman Old Style" w:hAnsi="Bookman Old Style" w:cs="Arial"/>
        </w:rPr>
        <w:t>, se debe tener en cuenta</w:t>
      </w:r>
      <w:r w:rsidR="00702C18">
        <w:rPr>
          <w:rFonts w:ascii="Bookman Old Style" w:hAnsi="Bookman Old Style" w:cs="Arial"/>
        </w:rPr>
        <w:t xml:space="preserve"> que la aplicación de la opción tarifaria y sus efectos </w:t>
      </w:r>
      <w:r w:rsidR="00835AC2">
        <w:rPr>
          <w:rFonts w:ascii="Bookman Old Style" w:hAnsi="Bookman Old Style" w:cs="Arial"/>
        </w:rPr>
        <w:t xml:space="preserve">económicos y </w:t>
      </w:r>
      <w:r w:rsidR="00702C18">
        <w:rPr>
          <w:rFonts w:ascii="Bookman Old Style" w:hAnsi="Bookman Old Style" w:cs="Arial"/>
        </w:rPr>
        <w:t>financieros vienen siendo asumidos actualmente por parte de los comercializadores</w:t>
      </w:r>
      <w:r>
        <w:rPr>
          <w:rFonts w:ascii="Bookman Old Style" w:hAnsi="Bookman Old Style" w:cs="Arial"/>
        </w:rPr>
        <w:t xml:space="preserve"> incumbentes</w:t>
      </w:r>
      <w:r w:rsidR="00A852AD">
        <w:rPr>
          <w:rFonts w:ascii="Bookman Old Style" w:hAnsi="Bookman Old Style" w:cs="Arial"/>
        </w:rPr>
        <w:t>, principalmente en relación con la acumulación del saldo</w:t>
      </w:r>
      <w:r w:rsidR="00CB7EE3">
        <w:rPr>
          <w:rFonts w:ascii="Bookman Old Style" w:hAnsi="Bookman Old Style" w:cs="Arial"/>
        </w:rPr>
        <w:t xml:space="preserve">, lo cual </w:t>
      </w:r>
      <w:r w:rsidR="00B109D9">
        <w:rPr>
          <w:rFonts w:ascii="Bookman Old Style" w:hAnsi="Bookman Old Style" w:cs="Arial"/>
        </w:rPr>
        <w:t xml:space="preserve">implica </w:t>
      </w:r>
      <w:r w:rsidR="00CB7EE3">
        <w:rPr>
          <w:rFonts w:ascii="Bookman Old Style" w:hAnsi="Bookman Old Style" w:cs="Arial"/>
        </w:rPr>
        <w:t xml:space="preserve">en el financiamiento directo </w:t>
      </w:r>
      <w:r w:rsidR="00E530B9">
        <w:rPr>
          <w:rFonts w:ascii="Bookman Old Style" w:hAnsi="Bookman Old Style" w:cs="Arial"/>
        </w:rPr>
        <w:t xml:space="preserve">o </w:t>
      </w:r>
      <w:r w:rsidR="00601688">
        <w:rPr>
          <w:rFonts w:ascii="Bookman Old Style" w:hAnsi="Bookman Old Style" w:cs="Arial"/>
        </w:rPr>
        <w:t>un impacto en su flujo de caja</w:t>
      </w:r>
      <w:r w:rsidR="003376B0">
        <w:rPr>
          <w:rFonts w:ascii="Bookman Old Style" w:hAnsi="Bookman Old Style" w:cs="Arial"/>
        </w:rPr>
        <w:t>, en ambos casos,</w:t>
      </w:r>
      <w:r w:rsidR="00601688">
        <w:rPr>
          <w:rFonts w:ascii="Bookman Old Style" w:hAnsi="Bookman Old Style" w:cs="Arial"/>
        </w:rPr>
        <w:t xml:space="preserve"> </w:t>
      </w:r>
      <w:r w:rsidR="00EC6B7C">
        <w:rPr>
          <w:rFonts w:ascii="Bookman Old Style" w:hAnsi="Bookman Old Style" w:cs="Arial"/>
        </w:rPr>
        <w:t xml:space="preserve">derivado </w:t>
      </w:r>
      <w:r w:rsidR="008E45FD">
        <w:rPr>
          <w:rFonts w:ascii="Bookman Old Style" w:hAnsi="Bookman Old Style" w:cs="Arial"/>
        </w:rPr>
        <w:t>de la diferencia entre el CU calculado y el CU aplicado.</w:t>
      </w:r>
      <w:r w:rsidR="00F01402">
        <w:rPr>
          <w:rFonts w:ascii="Bookman Old Style" w:hAnsi="Bookman Old Style" w:cs="Arial"/>
        </w:rPr>
        <w:t xml:space="preserve"> </w:t>
      </w:r>
    </w:p>
    <w:p w14:paraId="59074BB5" w14:textId="5B16D7C8" w:rsidR="00422EDE" w:rsidRPr="005C0A5B" w:rsidRDefault="00422EDE" w:rsidP="002B1EB5">
      <w:pPr>
        <w:widowControl w:val="0"/>
        <w:spacing w:before="240" w:after="240"/>
        <w:ind w:left="0" w:right="47"/>
        <w:jc w:val="both"/>
        <w:rPr>
          <w:rFonts w:ascii="Bookman Old Style" w:hAnsi="Bookman Old Style" w:cs="Arial"/>
        </w:rPr>
      </w:pPr>
      <w:r>
        <w:rPr>
          <w:rFonts w:ascii="Bookman Old Style" w:hAnsi="Bookman Old Style" w:cs="Arial"/>
        </w:rPr>
        <w:t xml:space="preserve">El anterior análisis </w:t>
      </w:r>
      <w:r w:rsidR="00EF0E54">
        <w:rPr>
          <w:rFonts w:ascii="Bookman Old Style" w:hAnsi="Bookman Old Style" w:cs="Arial"/>
        </w:rPr>
        <w:t>ha tenido en cuenta lo</w:t>
      </w:r>
      <w:r w:rsidR="00B142C5">
        <w:rPr>
          <w:rFonts w:ascii="Bookman Old Style" w:hAnsi="Bookman Old Style" w:cs="Arial"/>
        </w:rPr>
        <w:t>s eventos</w:t>
      </w:r>
      <w:r w:rsidR="00EF0E54">
        <w:rPr>
          <w:rFonts w:ascii="Bookman Old Style" w:hAnsi="Bookman Old Style" w:cs="Arial"/>
        </w:rPr>
        <w:t xml:space="preserve"> expuesto</w:t>
      </w:r>
      <w:r w:rsidR="00B142C5">
        <w:rPr>
          <w:rFonts w:ascii="Bookman Old Style" w:hAnsi="Bookman Old Style" w:cs="Arial"/>
        </w:rPr>
        <w:t>s</w:t>
      </w:r>
      <w:r w:rsidR="00EF0E54">
        <w:rPr>
          <w:rFonts w:ascii="Bookman Old Style" w:hAnsi="Bookman Old Style" w:cs="Arial"/>
        </w:rPr>
        <w:t xml:space="preserve"> por parte de los agentes, entre </w:t>
      </w:r>
      <w:r w:rsidR="004664A5">
        <w:rPr>
          <w:rFonts w:ascii="Bookman Old Style" w:hAnsi="Bookman Old Style" w:cs="Arial"/>
        </w:rPr>
        <w:t>ellos</w:t>
      </w:r>
      <w:r w:rsidR="00EF0E54">
        <w:rPr>
          <w:rFonts w:ascii="Bookman Old Style" w:hAnsi="Bookman Old Style" w:cs="Arial"/>
        </w:rPr>
        <w:t xml:space="preserve">, </w:t>
      </w:r>
      <w:r w:rsidR="004664A5">
        <w:rPr>
          <w:rFonts w:ascii="Bookman Old Style" w:hAnsi="Bookman Old Style" w:cs="Arial"/>
        </w:rPr>
        <w:t xml:space="preserve">los de la agremiación </w:t>
      </w:r>
      <w:proofErr w:type="spellStart"/>
      <w:r w:rsidR="00934E2D">
        <w:rPr>
          <w:rFonts w:ascii="Bookman Old Style" w:hAnsi="Bookman Old Style" w:cs="Arial"/>
        </w:rPr>
        <w:t>Asocodis</w:t>
      </w:r>
      <w:proofErr w:type="spellEnd"/>
      <w:r w:rsidR="00E71B45">
        <w:rPr>
          <w:rFonts w:ascii="Bookman Old Style" w:hAnsi="Bookman Old Style" w:cs="Arial"/>
        </w:rPr>
        <w:t>, a través de su comunicación con radicado CREG E2023</w:t>
      </w:r>
      <w:r w:rsidR="00B142C5">
        <w:rPr>
          <w:rFonts w:ascii="Bookman Old Style" w:hAnsi="Bookman Old Style" w:cs="Arial"/>
        </w:rPr>
        <w:t>15580 y sus anexos</w:t>
      </w:r>
      <w:r w:rsidR="00865EE7">
        <w:rPr>
          <w:rFonts w:ascii="Bookman Old Style" w:hAnsi="Bookman Old Style" w:cs="Arial"/>
        </w:rPr>
        <w:t xml:space="preserve"> donde, entre otros, se encuentran temas asociados con </w:t>
      </w:r>
      <w:r w:rsidR="00136AC4">
        <w:rPr>
          <w:rFonts w:ascii="Bookman Old Style" w:hAnsi="Bookman Old Style" w:cs="Arial"/>
        </w:rPr>
        <w:t>las dificultades en la liquidez de las empresas comercializadoras</w:t>
      </w:r>
      <w:r w:rsidR="00852775">
        <w:rPr>
          <w:rFonts w:ascii="Bookman Old Style" w:hAnsi="Bookman Old Style" w:cs="Arial"/>
        </w:rPr>
        <w:t xml:space="preserve">, el cobro de los saldos acumulados, las distorsiones en la competencia, </w:t>
      </w:r>
      <w:r w:rsidR="00537E4C">
        <w:rPr>
          <w:rFonts w:ascii="Bookman Old Style" w:hAnsi="Bookman Old Style" w:cs="Arial"/>
        </w:rPr>
        <w:t>alternativas de financiamiento a través de Findeter y otr</w:t>
      </w:r>
      <w:r w:rsidR="00BB699A">
        <w:rPr>
          <w:rFonts w:ascii="Bookman Old Style" w:hAnsi="Bookman Old Style" w:cs="Arial"/>
        </w:rPr>
        <w:t>as instituciones financieras</w:t>
      </w:r>
      <w:r w:rsidR="007554FD">
        <w:rPr>
          <w:rFonts w:ascii="Bookman Old Style" w:hAnsi="Bookman Old Style" w:cs="Arial"/>
        </w:rPr>
        <w:t xml:space="preserve">, </w:t>
      </w:r>
      <w:r w:rsidR="00506B1C">
        <w:rPr>
          <w:rFonts w:ascii="Bookman Old Style" w:hAnsi="Bookman Old Style" w:cs="Arial"/>
        </w:rPr>
        <w:t xml:space="preserve">la </w:t>
      </w:r>
      <w:r w:rsidR="007554FD">
        <w:rPr>
          <w:rFonts w:ascii="Bookman Old Style" w:hAnsi="Bookman Old Style" w:cs="Arial"/>
        </w:rPr>
        <w:t>flexib</w:t>
      </w:r>
      <w:r w:rsidR="00506B1C">
        <w:rPr>
          <w:rFonts w:ascii="Bookman Old Style" w:hAnsi="Bookman Old Style" w:cs="Arial"/>
        </w:rPr>
        <w:t>i</w:t>
      </w:r>
      <w:r w:rsidR="007554FD">
        <w:rPr>
          <w:rFonts w:ascii="Bookman Old Style" w:hAnsi="Bookman Old Style" w:cs="Arial"/>
        </w:rPr>
        <w:t>l</w:t>
      </w:r>
      <w:r w:rsidR="00506B1C">
        <w:rPr>
          <w:rFonts w:ascii="Bookman Old Style" w:hAnsi="Bookman Old Style" w:cs="Arial"/>
        </w:rPr>
        <w:t>i</w:t>
      </w:r>
      <w:r w:rsidR="007554FD">
        <w:rPr>
          <w:rFonts w:ascii="Bookman Old Style" w:hAnsi="Bookman Old Style" w:cs="Arial"/>
        </w:rPr>
        <w:t>zaci</w:t>
      </w:r>
      <w:r w:rsidR="00506B1C">
        <w:rPr>
          <w:rFonts w:ascii="Bookman Old Style" w:hAnsi="Bookman Old Style" w:cs="Arial"/>
        </w:rPr>
        <w:t>ó</w:t>
      </w:r>
      <w:r w:rsidR="007554FD">
        <w:rPr>
          <w:rFonts w:ascii="Bookman Old Style" w:hAnsi="Bookman Old Style" w:cs="Arial"/>
        </w:rPr>
        <w:t>n</w:t>
      </w:r>
      <w:r w:rsidR="002A4BF5">
        <w:rPr>
          <w:rFonts w:ascii="Bookman Old Style" w:hAnsi="Bookman Old Style" w:cs="Arial"/>
        </w:rPr>
        <w:t xml:space="preserve"> temporal de planes de inversión</w:t>
      </w:r>
      <w:r w:rsidR="00294E92">
        <w:rPr>
          <w:rFonts w:ascii="Bookman Old Style" w:hAnsi="Bookman Old Style" w:cs="Arial"/>
        </w:rPr>
        <w:t xml:space="preserve">, </w:t>
      </w:r>
      <w:r w:rsidR="00506B1C">
        <w:rPr>
          <w:rFonts w:ascii="Bookman Old Style" w:hAnsi="Bookman Old Style" w:cs="Arial"/>
        </w:rPr>
        <w:t xml:space="preserve">métodos de indexación de tarifas y </w:t>
      </w:r>
      <w:r w:rsidR="002E75AE">
        <w:rPr>
          <w:rFonts w:ascii="Bookman Old Style" w:hAnsi="Bookman Old Style" w:cs="Arial"/>
        </w:rPr>
        <w:t>la propuesta de un fondo de estabilizaci</w:t>
      </w:r>
      <w:r w:rsidR="00506B1C">
        <w:rPr>
          <w:rFonts w:ascii="Bookman Old Style" w:hAnsi="Bookman Old Style" w:cs="Arial"/>
        </w:rPr>
        <w:t>ó</w:t>
      </w:r>
      <w:r w:rsidR="002E75AE">
        <w:rPr>
          <w:rFonts w:ascii="Bookman Old Style" w:hAnsi="Bookman Old Style" w:cs="Arial"/>
        </w:rPr>
        <w:t>n de tarifas de energía eléctric</w:t>
      </w:r>
      <w:r w:rsidR="00294E92">
        <w:rPr>
          <w:rFonts w:ascii="Bookman Old Style" w:hAnsi="Bookman Old Style" w:cs="Arial"/>
        </w:rPr>
        <w:t>a</w:t>
      </w:r>
      <w:r w:rsidR="00B142C5">
        <w:rPr>
          <w:rFonts w:ascii="Bookman Old Style" w:hAnsi="Bookman Old Style" w:cs="Arial"/>
        </w:rPr>
        <w:t>.</w:t>
      </w:r>
    </w:p>
    <w:p w14:paraId="79920B1F" w14:textId="3F8A0792" w:rsidR="00DF7759" w:rsidRDefault="000F28DE" w:rsidP="00871ED9">
      <w:pPr>
        <w:widowControl w:val="0"/>
        <w:spacing w:before="240" w:after="240"/>
        <w:ind w:left="0" w:right="47"/>
        <w:jc w:val="both"/>
        <w:rPr>
          <w:rFonts w:ascii="Bookman Old Style" w:hAnsi="Bookman Old Style" w:cs="Arial"/>
        </w:rPr>
      </w:pPr>
      <w:r>
        <w:rPr>
          <w:rFonts w:ascii="Bookman Old Style" w:hAnsi="Bookman Old Style" w:cs="Arial"/>
        </w:rPr>
        <w:t>De otro lado</w:t>
      </w:r>
      <w:r w:rsidR="008A4076">
        <w:rPr>
          <w:rFonts w:ascii="Bookman Old Style" w:hAnsi="Bookman Old Style" w:cs="Arial"/>
        </w:rPr>
        <w:t>, e</w:t>
      </w:r>
      <w:r w:rsidR="00DF7759" w:rsidRPr="005C0A5B">
        <w:rPr>
          <w:rFonts w:ascii="Bookman Old Style" w:hAnsi="Bookman Old Style" w:cs="Arial"/>
        </w:rPr>
        <w:t xml:space="preserve">l artículo 5 de la Ley 2299 de 2023, </w:t>
      </w:r>
      <w:r w:rsidR="00871ED9" w:rsidRPr="00243BA1">
        <w:rPr>
          <w:rFonts w:ascii="Bookman Old Style" w:hAnsi="Bookman Old Style" w:cs="Arial"/>
          <w:i/>
          <w:iCs/>
        </w:rPr>
        <w:t>“</w:t>
      </w:r>
      <w:r w:rsidR="008A4076" w:rsidRPr="00243BA1">
        <w:rPr>
          <w:rFonts w:ascii="Bookman Old Style" w:hAnsi="Bookman Old Style" w:cs="Arial"/>
          <w:i/>
          <w:iCs/>
        </w:rPr>
        <w:t xml:space="preserve">Por </w:t>
      </w:r>
      <w:r w:rsidR="00871ED9" w:rsidRPr="00243BA1">
        <w:rPr>
          <w:rFonts w:ascii="Bookman Old Style" w:hAnsi="Bookman Old Style" w:cs="Arial"/>
          <w:i/>
          <w:iCs/>
        </w:rPr>
        <w:t>la cual se adiciona y efectúan unas modificaciones al presupuesto general de la nación de la vigencia fiscal de 2023”</w:t>
      </w:r>
      <w:r w:rsidR="00871ED9" w:rsidRPr="005C0A5B">
        <w:rPr>
          <w:rFonts w:ascii="Bookman Old Style" w:hAnsi="Bookman Old Style" w:cs="Arial"/>
        </w:rPr>
        <w:t xml:space="preserve">, </w:t>
      </w:r>
      <w:r w:rsidR="00E236A5">
        <w:rPr>
          <w:rFonts w:ascii="Bookman Old Style" w:hAnsi="Bookman Old Style" w:cs="Arial"/>
        </w:rPr>
        <w:t>indica</w:t>
      </w:r>
      <w:r w:rsidR="00871ED9" w:rsidRPr="005C0A5B">
        <w:rPr>
          <w:rFonts w:ascii="Bookman Old Style" w:hAnsi="Bookman Old Style" w:cs="Arial"/>
        </w:rPr>
        <w:t xml:space="preserve"> que l</w:t>
      </w:r>
      <w:r w:rsidR="00DF7759" w:rsidRPr="005C0A5B">
        <w:rPr>
          <w:rFonts w:ascii="Bookman Old Style" w:hAnsi="Bookman Old Style" w:cs="Arial"/>
        </w:rPr>
        <w:t>a Financiera de Desarrollo Territorial S A. - FINDETER estructurará previa verificación de la Superintendencia Financiera de Colombia el cumplimiento de los requisitos para la administración y gestión de los sistemas integrales de riesgos, otorgar crédito directo, con o sin tasa compensada, a las empresas de distribución y comercialización de energía eléctrica de naturaleza oficial, mixta y/o privada, que hayan aplicado a la opción tarifaria regulatoria establecida por la CREG.</w:t>
      </w:r>
    </w:p>
    <w:p w14:paraId="12A8BF84" w14:textId="204B0342" w:rsidR="00D906A8" w:rsidRDefault="00D44AE4" w:rsidP="002B1EB5">
      <w:pPr>
        <w:widowControl w:val="0"/>
        <w:spacing w:before="240" w:after="240"/>
        <w:ind w:left="0" w:right="47"/>
        <w:jc w:val="both"/>
        <w:rPr>
          <w:rFonts w:ascii="Bookman Old Style" w:hAnsi="Bookman Old Style" w:cs="Arial"/>
        </w:rPr>
      </w:pPr>
      <w:r>
        <w:rPr>
          <w:rFonts w:ascii="Bookman Old Style" w:hAnsi="Bookman Old Style" w:cs="Arial"/>
        </w:rPr>
        <w:t>E</w:t>
      </w:r>
      <w:r w:rsidR="006F1072" w:rsidRPr="006F1072">
        <w:rPr>
          <w:rFonts w:ascii="Bookman Old Style" w:hAnsi="Bookman Old Style" w:cs="Arial"/>
        </w:rPr>
        <w:t>l saldo acumulad</w:t>
      </w:r>
      <w:r w:rsidR="00F01402">
        <w:rPr>
          <w:rFonts w:ascii="Bookman Old Style" w:hAnsi="Bookman Old Style" w:cs="Arial"/>
        </w:rPr>
        <w:t>o</w:t>
      </w:r>
      <w:r w:rsidR="006F1072" w:rsidRPr="006F1072">
        <w:rPr>
          <w:rFonts w:ascii="Bookman Old Style" w:hAnsi="Bookman Old Style" w:cs="Arial"/>
        </w:rPr>
        <w:t xml:space="preserve"> en cada mercado de comercialización corresponde a un costo reconocido a los prestadores del servicio que no ha sido trasladado a los usuarios</w:t>
      </w:r>
      <w:r w:rsidR="00AC7D46">
        <w:rPr>
          <w:rFonts w:ascii="Bookman Old Style" w:hAnsi="Bookman Old Style" w:cs="Arial"/>
        </w:rPr>
        <w:t xml:space="preserve"> y que ha sido </w:t>
      </w:r>
      <w:r w:rsidR="006F1072" w:rsidRPr="006F1072">
        <w:rPr>
          <w:rFonts w:ascii="Bookman Old Style" w:hAnsi="Bookman Old Style" w:cs="Arial"/>
        </w:rPr>
        <w:t>asumido por los comercializadores que atienden usuarios regulados</w:t>
      </w:r>
      <w:r w:rsidR="00D906A8">
        <w:rPr>
          <w:rFonts w:ascii="Bookman Old Style" w:hAnsi="Bookman Old Style" w:cs="Arial"/>
        </w:rPr>
        <w:t>.</w:t>
      </w:r>
    </w:p>
    <w:p w14:paraId="359DA122" w14:textId="47D3530D" w:rsidR="006F1072" w:rsidRDefault="00D906A8" w:rsidP="002B1EB5">
      <w:pPr>
        <w:widowControl w:val="0"/>
        <w:spacing w:before="240" w:after="240"/>
        <w:ind w:left="0" w:right="47"/>
        <w:jc w:val="both"/>
        <w:rPr>
          <w:rFonts w:ascii="Bookman Old Style" w:hAnsi="Bookman Old Style" w:cs="Arial"/>
        </w:rPr>
      </w:pPr>
      <w:r>
        <w:rPr>
          <w:rFonts w:ascii="Bookman Old Style" w:hAnsi="Bookman Old Style" w:cs="Arial"/>
        </w:rPr>
        <w:t xml:space="preserve">Teniendo en cuenta que </w:t>
      </w:r>
      <w:r w:rsidR="006F1072" w:rsidRPr="006F1072">
        <w:rPr>
          <w:rFonts w:ascii="Bookman Old Style" w:hAnsi="Bookman Old Style" w:cs="Arial"/>
        </w:rPr>
        <w:t xml:space="preserve">la metodología definida en la </w:t>
      </w:r>
      <w:r w:rsidR="003B0474">
        <w:rPr>
          <w:rFonts w:ascii="Bookman Old Style" w:hAnsi="Bookman Old Style" w:cs="Arial"/>
        </w:rPr>
        <w:t>R</w:t>
      </w:r>
      <w:r w:rsidR="003B0474" w:rsidRPr="006F1072">
        <w:rPr>
          <w:rFonts w:ascii="Bookman Old Style" w:hAnsi="Bookman Old Style" w:cs="Arial"/>
        </w:rPr>
        <w:t xml:space="preserve">esolución </w:t>
      </w:r>
      <w:r w:rsidR="006F1072" w:rsidRPr="006F1072">
        <w:rPr>
          <w:rFonts w:ascii="Bookman Old Style" w:hAnsi="Bookman Old Style" w:cs="Arial"/>
        </w:rPr>
        <w:t xml:space="preserve">CREG 119 de 2007 incorpora en la formación del CU los diferentes costos reconocidos para la prestación del servicio, se considera adecuado </w:t>
      </w:r>
      <w:r w:rsidR="009403CE">
        <w:rPr>
          <w:rFonts w:ascii="Bookman Old Style" w:hAnsi="Bookman Old Style" w:cs="Arial"/>
        </w:rPr>
        <w:t>conforme a la Ley 142 de 1994 y la regulación</w:t>
      </w:r>
      <w:r w:rsidR="005639A8">
        <w:rPr>
          <w:rFonts w:ascii="Bookman Old Style" w:hAnsi="Bookman Old Style" w:cs="Arial"/>
        </w:rPr>
        <w:t>,</w:t>
      </w:r>
      <w:r w:rsidR="009403CE">
        <w:rPr>
          <w:rFonts w:ascii="Bookman Old Style" w:hAnsi="Bookman Old Style" w:cs="Arial"/>
        </w:rPr>
        <w:t xml:space="preserve"> </w:t>
      </w:r>
      <w:r w:rsidR="006F1072" w:rsidRPr="006F1072">
        <w:rPr>
          <w:rFonts w:ascii="Bookman Old Style" w:hAnsi="Bookman Old Style" w:cs="Arial"/>
        </w:rPr>
        <w:t>modificar dicha metodología para incorporar en pago del saldo acumulado en condiciones que minimicen los impactos tanto para los usuarios como para las empresas.</w:t>
      </w:r>
    </w:p>
    <w:p w14:paraId="02605CF0" w14:textId="611A136C" w:rsidR="002C3D42" w:rsidRPr="00993977" w:rsidRDefault="000C4182" w:rsidP="00993977">
      <w:pPr>
        <w:widowControl w:val="0"/>
        <w:spacing w:before="240" w:after="240"/>
        <w:ind w:left="0" w:right="47"/>
        <w:jc w:val="both"/>
        <w:rPr>
          <w:rFonts w:ascii="Bookman Old Style" w:hAnsi="Bookman Old Style" w:cs="Arial"/>
        </w:rPr>
      </w:pPr>
      <w:r>
        <w:rPr>
          <w:rFonts w:ascii="Bookman Old Style" w:hAnsi="Bookman Old Style" w:cs="Arial"/>
        </w:rPr>
        <w:t xml:space="preserve">La posibilidad de modificar dicha fórmula </w:t>
      </w:r>
      <w:r w:rsidR="009C6A02">
        <w:rPr>
          <w:rFonts w:ascii="Bookman Old Style" w:hAnsi="Bookman Old Style" w:cs="Arial"/>
        </w:rPr>
        <w:t xml:space="preserve">se sujeta a </w:t>
      </w:r>
      <w:r w:rsidR="00B33EF4">
        <w:rPr>
          <w:rFonts w:ascii="Bookman Old Style" w:hAnsi="Bookman Old Style" w:cs="Arial"/>
        </w:rPr>
        <w:t xml:space="preserve">lo dispuesto en el artículo 126 de la Ley 142 de 1994, </w:t>
      </w:r>
      <w:r w:rsidR="002C3D42" w:rsidRPr="00993977">
        <w:rPr>
          <w:rFonts w:ascii="Bookman Old Style" w:hAnsi="Bookman Old Style" w:cs="Arial"/>
        </w:rPr>
        <w:t>modificado por el artículo 52 de la Ley 2099 de 2021, el cual establece lo siguiente:</w:t>
      </w:r>
    </w:p>
    <w:p w14:paraId="45DA1936" w14:textId="0BA358C7" w:rsidR="002C3D42" w:rsidRDefault="002C3D42" w:rsidP="002C3D42">
      <w:pPr>
        <w:widowControl w:val="0"/>
        <w:ind w:left="284" w:right="284"/>
        <w:jc w:val="both"/>
        <w:rPr>
          <w:rFonts w:ascii="Bookman Old Style" w:hAnsi="Bookman Old Style" w:cs="Arial"/>
          <w:i/>
          <w:iCs/>
          <w:sz w:val="22"/>
          <w:szCs w:val="22"/>
        </w:rPr>
      </w:pPr>
      <w:r w:rsidRPr="00993977">
        <w:rPr>
          <w:rFonts w:ascii="Bookman Old Style" w:hAnsi="Bookman Old Style" w:cs="Arial"/>
          <w:i/>
          <w:iCs/>
          <w:sz w:val="22"/>
          <w:szCs w:val="22"/>
        </w:rPr>
        <w:t>“</w:t>
      </w:r>
      <w:r w:rsidRPr="00993977">
        <w:rPr>
          <w:rFonts w:ascii="Bookman Old Style" w:hAnsi="Bookman Old Style" w:cs="Arial"/>
          <w:b/>
          <w:bCs/>
          <w:i/>
          <w:iCs/>
          <w:sz w:val="22"/>
          <w:szCs w:val="22"/>
        </w:rPr>
        <w:t>ARTÍCULO 126. Vigencia de las fórmulas de tarifas.</w:t>
      </w:r>
      <w:r w:rsidRPr="00993977">
        <w:rPr>
          <w:rFonts w:ascii="Bookman Old Style" w:hAnsi="Bookman Old Style" w:cs="Arial"/>
          <w:i/>
          <w:iCs/>
          <w:sz w:val="22"/>
          <w:szCs w:val="22"/>
        </w:rPr>
        <w:t xml:space="preserve"> </w:t>
      </w:r>
      <w:r w:rsidRPr="00993977">
        <w:rPr>
          <w:rFonts w:ascii="Bookman Old Style" w:hAnsi="Bookman Old Style" w:cs="Arial"/>
          <w:b/>
          <w:bCs/>
          <w:i/>
          <w:iCs/>
          <w:sz w:val="22"/>
          <w:szCs w:val="22"/>
          <w:u w:val="single"/>
        </w:rPr>
        <w:t>Las fórmulas tarifarias tendrán una vigencia de cinco años, salvo que antes haya acuerdo entre la empresa de servicios públicos y la comisión para modificarlas</w:t>
      </w:r>
      <w:r w:rsidRPr="00993977">
        <w:rPr>
          <w:rFonts w:ascii="Bookman Old Style" w:hAnsi="Bookman Old Style" w:cs="Arial"/>
          <w:i/>
          <w:iCs/>
          <w:sz w:val="22"/>
          <w:szCs w:val="22"/>
        </w:rPr>
        <w:t xml:space="preserve"> o prorrogarlas por un periodo igual. Excepcionalmente podrán modificarse en cualquier tiempo, de oficio o a petición de parte, cuando sea evidente que se cometieron graves errores en su cálculo, se lesionan injustamente los intereses de los usuarios o de la empresa; o que ha habido razones de caso fortuito o fuerza mayor que comprometen en forma grave la capacidad financiera de la empresa para continuar prestando el servicio en </w:t>
      </w:r>
      <w:r w:rsidRPr="00993977">
        <w:rPr>
          <w:rFonts w:ascii="Bookman Old Style" w:hAnsi="Bookman Old Style" w:cs="Arial"/>
          <w:i/>
          <w:iCs/>
          <w:sz w:val="22"/>
          <w:szCs w:val="22"/>
        </w:rPr>
        <w:lastRenderedPageBreak/>
        <w:t>las condiciones tarifarias previstas.</w:t>
      </w:r>
    </w:p>
    <w:p w14:paraId="141B51A2" w14:textId="77777777" w:rsidR="00B95A21" w:rsidRPr="00993977" w:rsidRDefault="00B95A21" w:rsidP="00993977">
      <w:pPr>
        <w:widowControl w:val="0"/>
        <w:ind w:left="284" w:right="284"/>
        <w:jc w:val="both"/>
        <w:rPr>
          <w:rFonts w:ascii="Bookman Old Style" w:hAnsi="Bookman Old Style" w:cs="Arial"/>
          <w:i/>
          <w:iCs/>
          <w:sz w:val="22"/>
          <w:szCs w:val="22"/>
        </w:rPr>
      </w:pPr>
    </w:p>
    <w:p w14:paraId="5B060509" w14:textId="77777777" w:rsidR="002C3D42" w:rsidRPr="00993977" w:rsidRDefault="002C3D42" w:rsidP="00993977">
      <w:pPr>
        <w:widowControl w:val="0"/>
        <w:ind w:left="284" w:right="284"/>
        <w:jc w:val="both"/>
        <w:rPr>
          <w:rFonts w:ascii="Bookman Old Style" w:hAnsi="Bookman Old Style" w:cs="Arial"/>
          <w:i/>
          <w:iCs/>
          <w:sz w:val="22"/>
          <w:szCs w:val="22"/>
        </w:rPr>
      </w:pPr>
      <w:r w:rsidRPr="00993977">
        <w:rPr>
          <w:rFonts w:ascii="Bookman Old Style" w:hAnsi="Bookman Old Style" w:cs="Arial"/>
          <w:i/>
          <w:iCs/>
          <w:sz w:val="22"/>
          <w:szCs w:val="22"/>
        </w:rPr>
        <w:t>Vencido el periodo de vigencia de las fórmulas tarifarias, continuarán rigiendo mientras la comisión no fije las nuevas” (Resaltado fuera de texto)</w:t>
      </w:r>
    </w:p>
    <w:p w14:paraId="7E8750A3" w14:textId="10BCEB56" w:rsidR="007777F4" w:rsidRPr="007777F4" w:rsidRDefault="000F0BC6" w:rsidP="007777F4">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En relación con el alcance de la </w:t>
      </w:r>
      <w:r w:rsidR="003B0474">
        <w:rPr>
          <w:rFonts w:ascii="Bookman Old Style" w:hAnsi="Bookman Old Style" w:cs="Arial"/>
          <w:lang w:val="es-CO"/>
        </w:rPr>
        <w:t>modificación por</w:t>
      </w:r>
      <w:r>
        <w:rPr>
          <w:rFonts w:ascii="Bookman Old Style" w:hAnsi="Bookman Old Style" w:cs="Arial"/>
          <w:lang w:val="es-CO"/>
        </w:rPr>
        <w:t xml:space="preserve"> mutuo acuerdo entre la empresa de servicios públicos domiciliarios y la Comisión</w:t>
      </w:r>
      <w:r w:rsidR="001A76F3">
        <w:rPr>
          <w:rStyle w:val="Refdenotaalpie"/>
          <w:rFonts w:ascii="Bookman Old Style" w:hAnsi="Bookman Old Style" w:cs="Arial"/>
          <w:lang w:val="es-CO"/>
        </w:rPr>
        <w:footnoteReference w:id="6"/>
      </w:r>
      <w:r>
        <w:rPr>
          <w:rFonts w:ascii="Bookman Old Style" w:hAnsi="Bookman Old Style" w:cs="Arial"/>
          <w:lang w:val="es-CO"/>
        </w:rPr>
        <w:t xml:space="preserve">, se ha </w:t>
      </w:r>
      <w:r w:rsidR="0027217D">
        <w:rPr>
          <w:rFonts w:ascii="Bookman Old Style" w:hAnsi="Bookman Old Style" w:cs="Arial"/>
          <w:lang w:val="es-CO"/>
        </w:rPr>
        <w:t>precisado</w:t>
      </w:r>
      <w:r>
        <w:rPr>
          <w:rFonts w:ascii="Bookman Old Style" w:hAnsi="Bookman Old Style" w:cs="Arial"/>
          <w:lang w:val="es-CO"/>
        </w:rPr>
        <w:t xml:space="preserve"> que </w:t>
      </w:r>
      <w:r w:rsidR="007777F4">
        <w:rPr>
          <w:rFonts w:ascii="Bookman Old Style" w:hAnsi="Bookman Old Style" w:cs="Arial"/>
          <w:lang w:val="es-CO"/>
        </w:rPr>
        <w:t>e</w:t>
      </w:r>
      <w:r w:rsidR="007777F4" w:rsidRPr="007777F4">
        <w:rPr>
          <w:rFonts w:ascii="Bookman Old Style" w:hAnsi="Bookman Old Style" w:cs="Arial"/>
          <w:lang w:val="es-CO"/>
        </w:rPr>
        <w:t>sta facultad no permite acordar arbitrariamente una fórmula tarifaria en desconocimiento de las normas constitucionales y legales sobre el régimen tarifario, así como de los principios constitucionales que rigen la prestación de los servicios públicos domiciliarios, sino que la administración debe actuar conforme a los principios y límites previstos en la Constitución y la Ley.</w:t>
      </w:r>
    </w:p>
    <w:p w14:paraId="2B226069" w14:textId="6559C9DA" w:rsidR="000F0BC6" w:rsidRDefault="007777F4" w:rsidP="00960ED9">
      <w:pPr>
        <w:widowControl w:val="0"/>
        <w:spacing w:before="240" w:after="240"/>
        <w:ind w:left="0" w:right="47"/>
        <w:jc w:val="both"/>
        <w:rPr>
          <w:rFonts w:ascii="Bookman Old Style" w:hAnsi="Bookman Old Style" w:cs="Arial"/>
          <w:lang w:val="es-CO"/>
        </w:rPr>
      </w:pPr>
      <w:r w:rsidRPr="007777F4">
        <w:rPr>
          <w:rFonts w:ascii="Bookman Old Style" w:hAnsi="Bookman Old Style" w:cs="Arial"/>
          <w:lang w:val="es-CO"/>
        </w:rPr>
        <w:t xml:space="preserve">Es por esto </w:t>
      </w:r>
      <w:proofErr w:type="gramStart"/>
      <w:r w:rsidRPr="007777F4">
        <w:rPr>
          <w:rFonts w:ascii="Bookman Old Style" w:hAnsi="Bookman Old Style" w:cs="Arial"/>
          <w:lang w:val="es-CO"/>
        </w:rPr>
        <w:t>que</w:t>
      </w:r>
      <w:proofErr w:type="gramEnd"/>
      <w:r w:rsidRPr="007777F4">
        <w:rPr>
          <w:rFonts w:ascii="Bookman Old Style" w:hAnsi="Bookman Old Style" w:cs="Arial"/>
          <w:lang w:val="es-CO"/>
        </w:rPr>
        <w:t xml:space="preserve"> dicha causal </w:t>
      </w:r>
      <w:r w:rsidR="0016498E">
        <w:rPr>
          <w:rFonts w:ascii="Bookman Old Style" w:hAnsi="Bookman Old Style" w:cs="Arial"/>
          <w:lang w:val="es-CO"/>
        </w:rPr>
        <w:t xml:space="preserve">de modificación por mutuo acuerdo </w:t>
      </w:r>
      <w:r w:rsidRPr="007777F4">
        <w:rPr>
          <w:rFonts w:ascii="Bookman Old Style" w:hAnsi="Bookman Old Style" w:cs="Arial"/>
          <w:lang w:val="es-CO"/>
        </w:rPr>
        <w:t>tiene fundamento en razones que ameriten ajustes en las tarifas para garantizar</w:t>
      </w:r>
      <w:r w:rsidR="00D01F35">
        <w:rPr>
          <w:rFonts w:ascii="Bookman Old Style" w:hAnsi="Bookman Old Style" w:cs="Arial"/>
          <w:lang w:val="es-CO"/>
        </w:rPr>
        <w:t>, tanto a los usuarios como</w:t>
      </w:r>
      <w:r w:rsidRPr="007777F4">
        <w:rPr>
          <w:rFonts w:ascii="Bookman Old Style" w:hAnsi="Bookman Old Style" w:cs="Arial"/>
          <w:lang w:val="es-CO"/>
        </w:rPr>
        <w:t xml:space="preserve"> a las empresas</w:t>
      </w:r>
      <w:r w:rsidR="00A80362">
        <w:rPr>
          <w:rFonts w:ascii="Bookman Old Style" w:hAnsi="Bookman Old Style" w:cs="Arial"/>
          <w:lang w:val="es-CO"/>
        </w:rPr>
        <w:t>,</w:t>
      </w:r>
      <w:r w:rsidRPr="007777F4">
        <w:rPr>
          <w:rFonts w:ascii="Bookman Old Style" w:hAnsi="Bookman Old Style" w:cs="Arial"/>
          <w:lang w:val="es-CO"/>
        </w:rPr>
        <w:t xml:space="preserve"> el cumplimiento de los criterios tarifarios definidos en el artículo 87 de la Ley 142 de 1994. En el evento del mutuo acuerdo, la modificación puede proceder</w:t>
      </w:r>
      <w:r w:rsidR="00851637">
        <w:rPr>
          <w:rFonts w:ascii="Bookman Old Style" w:hAnsi="Bookman Old Style" w:cs="Arial"/>
          <w:lang w:val="es-CO"/>
        </w:rPr>
        <w:t>, por ejemplo,</w:t>
      </w:r>
      <w:r w:rsidRPr="007777F4">
        <w:rPr>
          <w:rFonts w:ascii="Bookman Old Style" w:hAnsi="Bookman Old Style" w:cs="Arial"/>
          <w:lang w:val="es-CO"/>
        </w:rPr>
        <w:t xml:space="preserve"> por hechos o circunstancias de la prestación del servicio generadas en un evento posterior, que no se reflejan adecuadamente en los costos incorporados en las tarifas aprobadas a una empresa.</w:t>
      </w:r>
    </w:p>
    <w:p w14:paraId="7650AE23" w14:textId="04D920DC" w:rsidR="00471ECC" w:rsidRDefault="0000162A" w:rsidP="00960ED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Frente a los eventos expuestos, en el presente caso </w:t>
      </w:r>
      <w:r w:rsidR="00902DBC">
        <w:rPr>
          <w:rFonts w:ascii="Bookman Old Style" w:hAnsi="Bookman Old Style" w:cs="Arial"/>
          <w:lang w:val="es-CO"/>
        </w:rPr>
        <w:t xml:space="preserve">estos se adecuan a la causal de </w:t>
      </w:r>
      <w:r w:rsidR="00344651">
        <w:rPr>
          <w:rFonts w:ascii="Bookman Old Style" w:hAnsi="Bookman Old Style" w:cs="Arial"/>
          <w:lang w:val="es-CO"/>
        </w:rPr>
        <w:t xml:space="preserve">modificación por </w:t>
      </w:r>
      <w:r w:rsidR="00902DBC">
        <w:rPr>
          <w:rFonts w:ascii="Bookman Old Style" w:hAnsi="Bookman Old Style" w:cs="Arial"/>
          <w:lang w:val="es-CO"/>
        </w:rPr>
        <w:t>mut</w:t>
      </w:r>
      <w:r w:rsidR="00344651">
        <w:rPr>
          <w:rFonts w:ascii="Bookman Old Style" w:hAnsi="Bookman Old Style" w:cs="Arial"/>
          <w:lang w:val="es-CO"/>
        </w:rPr>
        <w:t>u</w:t>
      </w:r>
      <w:r w:rsidR="00902DBC">
        <w:rPr>
          <w:rFonts w:ascii="Bookman Old Style" w:hAnsi="Bookman Old Style" w:cs="Arial"/>
          <w:lang w:val="es-CO"/>
        </w:rPr>
        <w:t>o acuerdo</w:t>
      </w:r>
      <w:r w:rsidR="00796032">
        <w:rPr>
          <w:rFonts w:ascii="Bookman Old Style" w:hAnsi="Bookman Old Style" w:cs="Arial"/>
          <w:lang w:val="es-CO"/>
        </w:rPr>
        <w:t>,</w:t>
      </w:r>
      <w:r w:rsidR="00902DBC">
        <w:rPr>
          <w:rFonts w:ascii="Bookman Old Style" w:hAnsi="Bookman Old Style" w:cs="Arial"/>
          <w:lang w:val="es-CO"/>
        </w:rPr>
        <w:t xml:space="preserve"> previst</w:t>
      </w:r>
      <w:r w:rsidR="00796032">
        <w:rPr>
          <w:rFonts w:ascii="Bookman Old Style" w:hAnsi="Bookman Old Style" w:cs="Arial"/>
          <w:lang w:val="es-CO"/>
        </w:rPr>
        <w:t>a</w:t>
      </w:r>
      <w:r w:rsidR="00902DBC">
        <w:rPr>
          <w:rFonts w:ascii="Bookman Old Style" w:hAnsi="Bookman Old Style" w:cs="Arial"/>
          <w:lang w:val="es-CO"/>
        </w:rPr>
        <w:t xml:space="preserve"> en el artículo 126</w:t>
      </w:r>
      <w:r w:rsidR="007068D8">
        <w:rPr>
          <w:rFonts w:ascii="Bookman Old Style" w:hAnsi="Bookman Old Style" w:cs="Arial"/>
          <w:lang w:val="es-CO"/>
        </w:rPr>
        <w:t xml:space="preserve"> de la Ley 142 de 1994</w:t>
      </w:r>
      <w:r w:rsidR="000000F5">
        <w:rPr>
          <w:rFonts w:ascii="Bookman Old Style" w:hAnsi="Bookman Old Style" w:cs="Arial"/>
          <w:lang w:val="es-CO"/>
        </w:rPr>
        <w:t xml:space="preserve">, toda vez que </w:t>
      </w:r>
      <w:r w:rsidR="003F4518">
        <w:rPr>
          <w:rFonts w:ascii="Bookman Old Style" w:hAnsi="Bookman Old Style" w:cs="Arial"/>
          <w:lang w:val="es-CO"/>
        </w:rPr>
        <w:t xml:space="preserve">su incorporación dentro de los costos de prestación del servicio y determinación de las tarifas garantiza la correcta </w:t>
      </w:r>
      <w:r w:rsidR="00513809">
        <w:rPr>
          <w:rFonts w:ascii="Bookman Old Style" w:hAnsi="Bookman Old Style" w:cs="Arial"/>
          <w:lang w:val="es-CO"/>
        </w:rPr>
        <w:t>aplicación de los criterios tarifarios</w:t>
      </w:r>
      <w:r w:rsidR="003F4518">
        <w:rPr>
          <w:rFonts w:ascii="Bookman Old Style" w:hAnsi="Bookman Old Style" w:cs="Arial"/>
          <w:lang w:val="es-CO"/>
        </w:rPr>
        <w:t xml:space="preserve"> </w:t>
      </w:r>
      <w:r w:rsidR="00172F5B">
        <w:rPr>
          <w:rFonts w:ascii="Bookman Old Style" w:hAnsi="Bookman Old Style" w:cs="Arial"/>
          <w:lang w:val="es-CO"/>
        </w:rPr>
        <w:t xml:space="preserve">establecidos en la Ley, en relación con el </w:t>
      </w:r>
      <w:r w:rsidR="00513809">
        <w:rPr>
          <w:rFonts w:ascii="Bookman Old Style" w:hAnsi="Bookman Old Style" w:cs="Arial"/>
          <w:lang w:val="es-CO"/>
        </w:rPr>
        <w:t>servicio público domiciliario de energía eléctrica.</w:t>
      </w:r>
      <w:r w:rsidR="000A59B2">
        <w:rPr>
          <w:rFonts w:ascii="Bookman Old Style" w:hAnsi="Bookman Old Style" w:cs="Arial"/>
          <w:lang w:val="es-CO"/>
        </w:rPr>
        <w:t xml:space="preserve"> Así mismo, estos se presentan con posterioridad </w:t>
      </w:r>
      <w:r w:rsidR="002C7C12">
        <w:rPr>
          <w:rFonts w:ascii="Bookman Old Style" w:hAnsi="Bookman Old Style" w:cs="Arial"/>
          <w:lang w:val="es-CO"/>
        </w:rPr>
        <w:t xml:space="preserve">a la definición </w:t>
      </w:r>
      <w:r w:rsidR="00D22ED1">
        <w:rPr>
          <w:rFonts w:ascii="Bookman Old Style" w:hAnsi="Bookman Old Style" w:cs="Arial"/>
          <w:lang w:val="es-CO"/>
        </w:rPr>
        <w:t>de la fórmula prevista en el artículo 2</w:t>
      </w:r>
      <w:r w:rsidR="00703B1C">
        <w:rPr>
          <w:rFonts w:ascii="Bookman Old Style" w:hAnsi="Bookman Old Style" w:cs="Arial"/>
          <w:lang w:val="es-CO"/>
        </w:rPr>
        <w:t xml:space="preserve">º </w:t>
      </w:r>
      <w:r w:rsidR="00D22ED1">
        <w:rPr>
          <w:rFonts w:ascii="Bookman Old Style" w:hAnsi="Bookman Old Style" w:cs="Arial"/>
          <w:lang w:val="es-CO"/>
        </w:rPr>
        <w:t>de la Resolución CREG 012 de 20</w:t>
      </w:r>
      <w:r w:rsidR="00C124B3">
        <w:rPr>
          <w:rFonts w:ascii="Bookman Old Style" w:hAnsi="Bookman Old Style" w:cs="Arial"/>
          <w:lang w:val="es-CO"/>
        </w:rPr>
        <w:t>2</w:t>
      </w:r>
      <w:r w:rsidR="00D22ED1">
        <w:rPr>
          <w:rFonts w:ascii="Bookman Old Style" w:hAnsi="Bookman Old Style" w:cs="Arial"/>
          <w:lang w:val="es-CO"/>
        </w:rPr>
        <w:t>0.</w:t>
      </w:r>
    </w:p>
    <w:p w14:paraId="5D39700B" w14:textId="049F18CE" w:rsidR="003D7C36" w:rsidRDefault="00D22ED1" w:rsidP="00960ED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En este sentido, </w:t>
      </w:r>
      <w:r w:rsidR="009C6A02">
        <w:rPr>
          <w:rFonts w:ascii="Bookman Old Style" w:hAnsi="Bookman Old Style" w:cs="Arial"/>
          <w:lang w:val="es-CO"/>
        </w:rPr>
        <w:t>estima</w:t>
      </w:r>
      <w:r w:rsidR="002C7C12">
        <w:rPr>
          <w:rFonts w:ascii="Bookman Old Style" w:hAnsi="Bookman Old Style" w:cs="Arial"/>
          <w:lang w:val="es-CO"/>
        </w:rPr>
        <w:t xml:space="preserve"> la Comisión que</w:t>
      </w:r>
      <w:r>
        <w:rPr>
          <w:rFonts w:ascii="Bookman Old Style" w:hAnsi="Bookman Old Style" w:cs="Arial"/>
          <w:lang w:val="es-CO"/>
        </w:rPr>
        <w:t xml:space="preserve"> </w:t>
      </w:r>
      <w:r w:rsidR="00D32085">
        <w:rPr>
          <w:rFonts w:ascii="Bookman Old Style" w:hAnsi="Bookman Old Style" w:cs="Arial"/>
          <w:lang w:val="es-CO"/>
        </w:rPr>
        <w:t>la alternativa</w:t>
      </w:r>
      <w:r>
        <w:rPr>
          <w:rFonts w:ascii="Bookman Old Style" w:hAnsi="Bookman Old Style" w:cs="Arial"/>
          <w:lang w:val="es-CO"/>
        </w:rPr>
        <w:t xml:space="preserve"> propuesta</w:t>
      </w:r>
      <w:r w:rsidR="001D4031">
        <w:rPr>
          <w:rFonts w:ascii="Bookman Old Style" w:hAnsi="Bookman Old Style" w:cs="Arial"/>
          <w:lang w:val="es-CO"/>
        </w:rPr>
        <w:t xml:space="preserve">, </w:t>
      </w:r>
      <w:r w:rsidR="00413627">
        <w:rPr>
          <w:rFonts w:ascii="Bookman Old Style" w:hAnsi="Bookman Old Style" w:cs="Arial"/>
          <w:lang w:val="es-CO"/>
        </w:rPr>
        <w:t>además de permitir la</w:t>
      </w:r>
      <w:r w:rsidR="002C7C12">
        <w:rPr>
          <w:rFonts w:ascii="Bookman Old Style" w:hAnsi="Bookman Old Style" w:cs="Arial"/>
          <w:lang w:val="es-CO"/>
        </w:rPr>
        <w:t xml:space="preserve"> correcta aplicación de los criterios tarifarios</w:t>
      </w:r>
      <w:r w:rsidR="002024A9">
        <w:rPr>
          <w:rFonts w:ascii="Bookman Old Style" w:hAnsi="Bookman Old Style" w:cs="Arial"/>
          <w:lang w:val="es-CO"/>
        </w:rPr>
        <w:t xml:space="preserve"> de acuerdo con la Ley y la Constitución,</w:t>
      </w:r>
      <w:r w:rsidR="002C7C12">
        <w:rPr>
          <w:rFonts w:ascii="Bookman Old Style" w:hAnsi="Bookman Old Style" w:cs="Arial"/>
          <w:lang w:val="es-CO"/>
        </w:rPr>
        <w:t xml:space="preserve"> </w:t>
      </w:r>
      <w:r w:rsidR="00513809">
        <w:rPr>
          <w:rFonts w:ascii="Bookman Old Style" w:hAnsi="Bookman Old Style" w:cs="Arial"/>
          <w:lang w:val="es-CO"/>
        </w:rPr>
        <w:t xml:space="preserve">permite </w:t>
      </w:r>
      <w:r w:rsidR="000F2F5C">
        <w:rPr>
          <w:rFonts w:ascii="Bookman Old Style" w:hAnsi="Bookman Old Style" w:cs="Arial"/>
          <w:lang w:val="es-CO"/>
        </w:rPr>
        <w:t xml:space="preserve">la recuperación de unos valores que </w:t>
      </w:r>
      <w:r w:rsidR="00471ECC">
        <w:rPr>
          <w:rFonts w:ascii="Bookman Old Style" w:hAnsi="Bookman Old Style" w:cs="Arial"/>
          <w:lang w:val="es-CO"/>
        </w:rPr>
        <w:t xml:space="preserve">no </w:t>
      </w:r>
      <w:r w:rsidR="00031744">
        <w:rPr>
          <w:rFonts w:ascii="Bookman Old Style" w:hAnsi="Bookman Old Style" w:cs="Arial"/>
          <w:lang w:val="es-CO"/>
        </w:rPr>
        <w:t>incorpora</w:t>
      </w:r>
      <w:r w:rsidR="00471ECC">
        <w:rPr>
          <w:rFonts w:ascii="Bookman Old Style" w:hAnsi="Bookman Old Style" w:cs="Arial"/>
          <w:lang w:val="es-CO"/>
        </w:rPr>
        <w:t>n</w:t>
      </w:r>
      <w:r w:rsidR="00031744">
        <w:rPr>
          <w:rFonts w:ascii="Bookman Old Style" w:hAnsi="Bookman Old Style" w:cs="Arial"/>
          <w:lang w:val="es-CO"/>
        </w:rPr>
        <w:t xml:space="preserve"> gestiones ineficientes</w:t>
      </w:r>
      <w:r w:rsidR="00471ECC">
        <w:rPr>
          <w:rFonts w:ascii="Bookman Old Style" w:hAnsi="Bookman Old Style" w:cs="Arial"/>
          <w:lang w:val="es-CO"/>
        </w:rPr>
        <w:t xml:space="preserve"> o son resultado de</w:t>
      </w:r>
      <w:r w:rsidR="00DD61A7">
        <w:rPr>
          <w:rFonts w:ascii="Bookman Old Style" w:hAnsi="Bookman Old Style" w:cs="Arial"/>
          <w:lang w:val="es-CO"/>
        </w:rPr>
        <w:t xml:space="preserve"> </w:t>
      </w:r>
      <w:r w:rsidR="00471ECC">
        <w:rPr>
          <w:rFonts w:ascii="Bookman Old Style" w:hAnsi="Bookman Old Style" w:cs="Arial"/>
          <w:lang w:val="es-CO"/>
        </w:rPr>
        <w:t>prácticas</w:t>
      </w:r>
      <w:r w:rsidR="00FB7672">
        <w:rPr>
          <w:rFonts w:ascii="Bookman Old Style" w:hAnsi="Bookman Old Style" w:cs="Arial"/>
          <w:lang w:val="es-CO"/>
        </w:rPr>
        <w:t xml:space="preserve"> anticompetitivas</w:t>
      </w:r>
      <w:r w:rsidR="00471ECC">
        <w:rPr>
          <w:rFonts w:ascii="Bookman Old Style" w:hAnsi="Bookman Old Style" w:cs="Arial"/>
          <w:lang w:val="es-CO"/>
        </w:rPr>
        <w:t xml:space="preserve"> o abusivas</w:t>
      </w:r>
      <w:r w:rsidR="00764D01">
        <w:rPr>
          <w:rFonts w:ascii="Bookman Old Style" w:hAnsi="Bookman Old Style" w:cs="Arial"/>
          <w:lang w:val="es-CO"/>
        </w:rPr>
        <w:t xml:space="preserve">. Por </w:t>
      </w:r>
      <w:r w:rsidR="00286A2D">
        <w:rPr>
          <w:rFonts w:ascii="Bookman Old Style" w:hAnsi="Bookman Old Style" w:cs="Arial"/>
          <w:lang w:val="es-CO"/>
        </w:rPr>
        <w:t xml:space="preserve">el contrario, </w:t>
      </w:r>
      <w:r w:rsidR="00471ECC">
        <w:rPr>
          <w:rFonts w:ascii="Bookman Old Style" w:hAnsi="Bookman Old Style" w:cs="Arial"/>
          <w:lang w:val="es-CO"/>
        </w:rPr>
        <w:t xml:space="preserve">reflejan una estructura de costos </w:t>
      </w:r>
      <w:r w:rsidR="00DA5A63">
        <w:rPr>
          <w:rFonts w:ascii="Bookman Old Style" w:hAnsi="Bookman Old Style" w:cs="Arial"/>
          <w:lang w:val="es-CO"/>
        </w:rPr>
        <w:t xml:space="preserve">que </w:t>
      </w:r>
      <w:r w:rsidR="00B87911">
        <w:rPr>
          <w:rFonts w:ascii="Bookman Old Style" w:hAnsi="Bookman Old Style" w:cs="Arial"/>
          <w:lang w:val="es-CO"/>
        </w:rPr>
        <w:t>permite una adecuada rec</w:t>
      </w:r>
      <w:r w:rsidR="00ED4654">
        <w:rPr>
          <w:rFonts w:ascii="Bookman Old Style" w:hAnsi="Bookman Old Style" w:cs="Arial"/>
          <w:lang w:val="es-CO"/>
        </w:rPr>
        <w:t xml:space="preserve">uperación de los </w:t>
      </w:r>
      <w:r w:rsidR="00833840">
        <w:rPr>
          <w:rFonts w:ascii="Bookman Old Style" w:hAnsi="Bookman Old Style" w:cs="Arial"/>
          <w:lang w:val="es-CO"/>
        </w:rPr>
        <w:t>saldos de la opción tarifaria</w:t>
      </w:r>
      <w:r w:rsidR="00CD0BD9">
        <w:rPr>
          <w:rFonts w:ascii="Bookman Old Style" w:hAnsi="Bookman Old Style" w:cs="Arial"/>
          <w:lang w:val="es-CO"/>
        </w:rPr>
        <w:t xml:space="preserve">, </w:t>
      </w:r>
      <w:r w:rsidR="00CD0BD9" w:rsidRPr="00CD0BD9">
        <w:rPr>
          <w:rFonts w:ascii="Bookman Old Style" w:hAnsi="Bookman Old Style" w:cs="Arial"/>
          <w:lang w:val="es-CO"/>
        </w:rPr>
        <w:t>proteg</w:t>
      </w:r>
      <w:r w:rsidR="00CD0BD9">
        <w:rPr>
          <w:rFonts w:ascii="Bookman Old Style" w:hAnsi="Bookman Old Style" w:cs="Arial"/>
          <w:lang w:val="es-CO"/>
        </w:rPr>
        <w:t>iendo</w:t>
      </w:r>
      <w:r w:rsidR="00CD0BD9" w:rsidRPr="00CD0BD9">
        <w:rPr>
          <w:rFonts w:ascii="Bookman Old Style" w:hAnsi="Bookman Old Style" w:cs="Arial"/>
          <w:lang w:val="es-CO"/>
        </w:rPr>
        <w:t xml:space="preserve"> el interés de los usuarios en la medida en que se establecen condiciones para que </w:t>
      </w:r>
      <w:r w:rsidR="007B3797">
        <w:rPr>
          <w:rFonts w:ascii="Bookman Old Style" w:hAnsi="Bookman Old Style" w:cs="Arial"/>
          <w:lang w:val="es-CO"/>
        </w:rPr>
        <w:t>la</w:t>
      </w:r>
      <w:r w:rsidR="00CD0BD9" w:rsidRPr="00CD0BD9">
        <w:rPr>
          <w:rFonts w:ascii="Bookman Old Style" w:hAnsi="Bookman Old Style" w:cs="Arial"/>
          <w:lang w:val="es-CO"/>
        </w:rPr>
        <w:t xml:space="preserve"> prestación</w:t>
      </w:r>
      <w:r w:rsidR="00870B04">
        <w:rPr>
          <w:rFonts w:ascii="Bookman Old Style" w:hAnsi="Bookman Old Style" w:cs="Arial"/>
          <w:lang w:val="es-CO"/>
        </w:rPr>
        <w:t xml:space="preserve"> del servicio </w:t>
      </w:r>
      <w:r w:rsidR="00CD0BD9" w:rsidRPr="00CD0BD9">
        <w:rPr>
          <w:rFonts w:ascii="Bookman Old Style" w:hAnsi="Bookman Old Style" w:cs="Arial"/>
          <w:lang w:val="es-CO"/>
        </w:rPr>
        <w:t>sea sostenible en el largo plazo</w:t>
      </w:r>
      <w:r w:rsidR="00CD0BD9">
        <w:rPr>
          <w:rStyle w:val="Refdenotaalpie"/>
          <w:rFonts w:ascii="Bookman Old Style" w:hAnsi="Bookman Old Style" w:cs="Arial"/>
          <w:lang w:val="es-CO"/>
        </w:rPr>
        <w:footnoteReference w:id="7"/>
      </w:r>
      <w:r w:rsidR="00CD0BD9" w:rsidRPr="00CD0BD9">
        <w:rPr>
          <w:rFonts w:ascii="Bookman Old Style" w:hAnsi="Bookman Old Style" w:cs="Arial"/>
          <w:lang w:val="es-CO"/>
        </w:rPr>
        <w:t xml:space="preserve">, </w:t>
      </w:r>
      <w:r w:rsidR="00F25452">
        <w:rPr>
          <w:rFonts w:ascii="Bookman Old Style" w:hAnsi="Bookman Old Style" w:cs="Arial"/>
          <w:lang w:val="es-CO"/>
        </w:rPr>
        <w:t xml:space="preserve">garantizando la </w:t>
      </w:r>
      <w:r w:rsidR="00655764">
        <w:rPr>
          <w:rFonts w:ascii="Bookman Old Style" w:hAnsi="Bookman Old Style" w:cs="Arial"/>
          <w:lang w:val="es-CO"/>
        </w:rPr>
        <w:t>continuidad en las actividades que deben desplegar los comercializadores en el marco del criterio de suficiencia financiera</w:t>
      </w:r>
      <w:r w:rsidR="008F2C39">
        <w:rPr>
          <w:rFonts w:ascii="Bookman Old Style" w:hAnsi="Bookman Old Style" w:cs="Arial"/>
          <w:lang w:val="es-CO"/>
        </w:rPr>
        <w:t>. Así mismo</w:t>
      </w:r>
      <w:r w:rsidR="007A4D21">
        <w:rPr>
          <w:rFonts w:ascii="Bookman Old Style" w:hAnsi="Bookman Old Style" w:cs="Arial"/>
          <w:lang w:val="es-CO"/>
        </w:rPr>
        <w:t>, los valores a recuperar</w:t>
      </w:r>
      <w:r w:rsidR="00DD4058">
        <w:rPr>
          <w:rFonts w:ascii="Bookman Old Style" w:hAnsi="Bookman Old Style" w:cs="Arial"/>
          <w:lang w:val="es-CO"/>
        </w:rPr>
        <w:t xml:space="preserve">, </w:t>
      </w:r>
      <w:r w:rsidR="00AC6916">
        <w:rPr>
          <w:rFonts w:ascii="Bookman Old Style" w:hAnsi="Bookman Old Style" w:cs="Arial"/>
          <w:lang w:val="es-CO"/>
        </w:rPr>
        <w:t>al ser sufragados por</w:t>
      </w:r>
      <w:r w:rsidR="00723F2E">
        <w:rPr>
          <w:rFonts w:ascii="Bookman Old Style" w:hAnsi="Bookman Old Style" w:cs="Arial"/>
          <w:lang w:val="es-CO"/>
        </w:rPr>
        <w:t xml:space="preserve"> todos</w:t>
      </w:r>
      <w:r w:rsidR="00AC6916">
        <w:rPr>
          <w:rFonts w:ascii="Bookman Old Style" w:hAnsi="Bookman Old Style" w:cs="Arial"/>
          <w:lang w:val="es-CO"/>
        </w:rPr>
        <w:t xml:space="preserve"> los usuarios en cada mercado de comercialización</w:t>
      </w:r>
      <w:r w:rsidR="0096558E">
        <w:rPr>
          <w:rFonts w:ascii="Bookman Old Style" w:hAnsi="Bookman Old Style" w:cs="Arial"/>
          <w:lang w:val="es-CO"/>
        </w:rPr>
        <w:t>, permiten</w:t>
      </w:r>
      <w:r w:rsidR="00AC6916">
        <w:rPr>
          <w:rFonts w:ascii="Bookman Old Style" w:hAnsi="Bookman Old Style" w:cs="Arial"/>
          <w:lang w:val="es-CO"/>
        </w:rPr>
        <w:t xml:space="preserve"> </w:t>
      </w:r>
      <w:r w:rsidR="00723F2E">
        <w:rPr>
          <w:rFonts w:ascii="Bookman Old Style" w:hAnsi="Bookman Old Style" w:cs="Arial"/>
          <w:lang w:val="es-CO"/>
        </w:rPr>
        <w:t>un tratamiento neutral</w:t>
      </w:r>
      <w:r w:rsidR="00CD4B2B">
        <w:rPr>
          <w:rFonts w:ascii="Bookman Old Style" w:hAnsi="Bookman Old Style" w:cs="Arial"/>
          <w:lang w:val="es-CO"/>
        </w:rPr>
        <w:t xml:space="preserve"> dadas las características de costos que tienen estos usuarios (</w:t>
      </w:r>
      <w:proofErr w:type="spellStart"/>
      <w:r w:rsidR="00CD4B2B">
        <w:rPr>
          <w:rFonts w:ascii="Bookman Old Style" w:hAnsi="Bookman Old Style" w:cs="Arial"/>
          <w:lang w:val="es-CO"/>
        </w:rPr>
        <w:t>i.e</w:t>
      </w:r>
      <w:proofErr w:type="spellEnd"/>
      <w:r w:rsidR="00CD4B2B">
        <w:rPr>
          <w:rFonts w:ascii="Bookman Old Style" w:hAnsi="Bookman Old Style" w:cs="Arial"/>
          <w:lang w:val="es-CO"/>
        </w:rPr>
        <w:t>, en cada nivel de tensión</w:t>
      </w:r>
      <w:r w:rsidR="00CD3875">
        <w:rPr>
          <w:rFonts w:ascii="Bookman Old Style" w:hAnsi="Bookman Old Style" w:cs="Arial"/>
          <w:lang w:val="es-CO"/>
        </w:rPr>
        <w:t>)</w:t>
      </w:r>
      <w:r w:rsidR="005301C2">
        <w:rPr>
          <w:rFonts w:ascii="Bookman Old Style" w:hAnsi="Bookman Old Style" w:cs="Arial"/>
          <w:lang w:val="es-CO"/>
        </w:rPr>
        <w:t xml:space="preserve">, </w:t>
      </w:r>
      <w:r w:rsidR="003D7C36">
        <w:rPr>
          <w:rFonts w:ascii="Bookman Old Style" w:hAnsi="Bookman Old Style" w:cs="Arial"/>
          <w:lang w:val="es-CO"/>
        </w:rPr>
        <w:t>en el marco del criterio de neutralidad.</w:t>
      </w:r>
    </w:p>
    <w:p w14:paraId="6A0CB0E6" w14:textId="408129B6" w:rsidR="003D62A8" w:rsidRDefault="00AE604D" w:rsidP="00960ED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T</w:t>
      </w:r>
      <w:r w:rsidR="002F6428">
        <w:rPr>
          <w:rFonts w:ascii="Bookman Old Style" w:hAnsi="Bookman Old Style" w:cs="Arial"/>
          <w:lang w:val="es-CO"/>
        </w:rPr>
        <w:t>eniendo en cuenta</w:t>
      </w:r>
      <w:r w:rsidR="00080F6E">
        <w:rPr>
          <w:rFonts w:ascii="Bookman Old Style" w:hAnsi="Bookman Old Style" w:cs="Arial"/>
          <w:lang w:val="es-CO"/>
        </w:rPr>
        <w:t xml:space="preserve"> </w:t>
      </w:r>
      <w:r w:rsidR="00B134B4">
        <w:rPr>
          <w:rFonts w:ascii="Bookman Old Style" w:hAnsi="Bookman Old Style" w:cs="Arial"/>
          <w:lang w:val="es-CO"/>
        </w:rPr>
        <w:t xml:space="preserve">que </w:t>
      </w:r>
      <w:r w:rsidR="00080F6E">
        <w:rPr>
          <w:rFonts w:ascii="Bookman Old Style" w:hAnsi="Bookman Old Style" w:cs="Arial"/>
          <w:lang w:val="es-CO"/>
        </w:rPr>
        <w:t>las gestiones realizadas</w:t>
      </w:r>
      <w:r w:rsidR="00B134B4">
        <w:rPr>
          <w:rFonts w:ascii="Bookman Old Style" w:hAnsi="Bookman Old Style" w:cs="Arial"/>
          <w:lang w:val="es-CO"/>
        </w:rPr>
        <w:t xml:space="preserve"> para dar</w:t>
      </w:r>
      <w:r w:rsidR="00080F6E">
        <w:rPr>
          <w:rFonts w:ascii="Bookman Old Style" w:hAnsi="Bookman Old Style" w:cs="Arial"/>
          <w:lang w:val="es-CO"/>
        </w:rPr>
        <w:t xml:space="preserve"> aplicación </w:t>
      </w:r>
      <w:r w:rsidR="00711C8A">
        <w:rPr>
          <w:rFonts w:ascii="Bookman Old Style" w:hAnsi="Bookman Old Style" w:cs="Arial"/>
          <w:lang w:val="es-CO"/>
        </w:rPr>
        <w:t>a</w:t>
      </w:r>
      <w:r w:rsidR="00080F6E">
        <w:rPr>
          <w:rFonts w:ascii="Bookman Old Style" w:hAnsi="Bookman Old Style" w:cs="Arial"/>
          <w:lang w:val="es-CO"/>
        </w:rPr>
        <w:t xml:space="preserve"> la opción tarifaria actual han sido desarrolladas por los comercializadores</w:t>
      </w:r>
      <w:r w:rsidR="00D86FB4">
        <w:rPr>
          <w:rFonts w:ascii="Bookman Old Style" w:hAnsi="Bookman Old Style" w:cs="Arial"/>
          <w:lang w:val="es-CO"/>
        </w:rPr>
        <w:t xml:space="preserve">, </w:t>
      </w:r>
      <w:r w:rsidR="00706F67">
        <w:rPr>
          <w:rFonts w:ascii="Bookman Old Style" w:hAnsi="Bookman Old Style" w:cs="Arial"/>
          <w:lang w:val="es-CO"/>
        </w:rPr>
        <w:t>los efectos económicos</w:t>
      </w:r>
      <w:r w:rsidR="00080F6E">
        <w:rPr>
          <w:rFonts w:ascii="Bookman Old Style" w:hAnsi="Bookman Old Style" w:cs="Arial"/>
          <w:lang w:val="es-CO"/>
        </w:rPr>
        <w:t xml:space="preserve"> y siendo dichos agentes a los que les corresponde </w:t>
      </w:r>
      <w:r w:rsidR="00706F67">
        <w:rPr>
          <w:rFonts w:ascii="Bookman Old Style" w:hAnsi="Bookman Old Style" w:cs="Arial"/>
          <w:lang w:val="es-CO"/>
        </w:rPr>
        <w:t xml:space="preserve">la aplicación de </w:t>
      </w:r>
      <w:r w:rsidR="00706F67">
        <w:rPr>
          <w:rFonts w:ascii="Bookman Old Style" w:hAnsi="Bookman Old Style" w:cs="Arial"/>
          <w:lang w:val="es-CO"/>
        </w:rPr>
        <w:lastRenderedPageBreak/>
        <w:t>la f</w:t>
      </w:r>
      <w:r w:rsidR="00F01F24">
        <w:rPr>
          <w:rFonts w:ascii="Bookman Old Style" w:hAnsi="Bookman Old Style" w:cs="Arial"/>
          <w:lang w:val="es-CO"/>
        </w:rPr>
        <w:t>ó</w:t>
      </w:r>
      <w:r w:rsidR="00706F67">
        <w:rPr>
          <w:rFonts w:ascii="Bookman Old Style" w:hAnsi="Bookman Old Style" w:cs="Arial"/>
          <w:lang w:val="es-CO"/>
        </w:rPr>
        <w:t xml:space="preserve">rmula tarifaria </w:t>
      </w:r>
      <w:r w:rsidR="001A76F3">
        <w:rPr>
          <w:rFonts w:ascii="Bookman Old Style" w:hAnsi="Bookman Old Style" w:cs="Arial"/>
          <w:lang w:val="es-CO"/>
        </w:rPr>
        <w:t xml:space="preserve">general, el reconocimiento de estos saldos </w:t>
      </w:r>
      <w:r w:rsidR="003C1407">
        <w:rPr>
          <w:rFonts w:ascii="Bookman Old Style" w:hAnsi="Bookman Old Style" w:cs="Arial"/>
          <w:lang w:val="es-CO"/>
        </w:rPr>
        <w:t xml:space="preserve">acumulados </w:t>
      </w:r>
      <w:r w:rsidR="001A76F3">
        <w:rPr>
          <w:rFonts w:ascii="Bookman Old Style" w:hAnsi="Bookman Old Style" w:cs="Arial"/>
          <w:lang w:val="es-CO"/>
        </w:rPr>
        <w:t xml:space="preserve">dentro de dicha fórmula </w:t>
      </w:r>
      <w:r w:rsidR="004D2AEF">
        <w:rPr>
          <w:rFonts w:ascii="Bookman Old Style" w:hAnsi="Bookman Old Style" w:cs="Arial"/>
          <w:lang w:val="es-CO"/>
        </w:rPr>
        <w:t>se debe consignar</w:t>
      </w:r>
      <w:r w:rsidR="001A76F3">
        <w:rPr>
          <w:rFonts w:ascii="Bookman Old Style" w:hAnsi="Bookman Old Style" w:cs="Arial"/>
          <w:lang w:val="es-CO"/>
        </w:rPr>
        <w:t xml:space="preserve"> dentro de</w:t>
      </w:r>
      <w:r w:rsidR="00494A1D">
        <w:rPr>
          <w:rFonts w:ascii="Bookman Old Style" w:hAnsi="Bookman Old Style" w:cs="Arial"/>
          <w:lang w:val="es-CO"/>
        </w:rPr>
        <w:t>l c</w:t>
      </w:r>
      <w:r w:rsidR="00D12777" w:rsidRPr="00D12777">
        <w:rPr>
          <w:rFonts w:ascii="Bookman Old Style" w:hAnsi="Bookman Old Style" w:cs="Arial"/>
          <w:lang w:val="es-CO"/>
        </w:rPr>
        <w:t>omponente variable que remunera costos asociados a la atención de usuarios regulados por parte del comercializador minorista</w:t>
      </w:r>
      <w:r w:rsidR="009C115D">
        <w:rPr>
          <w:rFonts w:ascii="Bookman Old Style" w:hAnsi="Bookman Old Style" w:cs="Arial"/>
          <w:lang w:val="es-CO"/>
        </w:rPr>
        <w:t>.</w:t>
      </w:r>
      <w:r w:rsidR="004B1848">
        <w:rPr>
          <w:rFonts w:ascii="Bookman Old Style" w:hAnsi="Bookman Old Style" w:cs="Arial"/>
          <w:lang w:val="es-CO"/>
        </w:rPr>
        <w:t xml:space="preserve"> </w:t>
      </w:r>
      <w:r w:rsidR="00E8703E">
        <w:rPr>
          <w:rFonts w:ascii="Bookman Old Style" w:hAnsi="Bookman Old Style" w:cs="Arial"/>
          <w:lang w:val="es-CO"/>
        </w:rPr>
        <w:t>P</w:t>
      </w:r>
      <w:r w:rsidR="005917A6">
        <w:rPr>
          <w:rFonts w:ascii="Bookman Old Style" w:hAnsi="Bookman Old Style" w:cs="Arial"/>
          <w:lang w:val="es-CO"/>
        </w:rPr>
        <w:t>or e</w:t>
      </w:r>
      <w:r w:rsidR="00A85DFC">
        <w:rPr>
          <w:rFonts w:ascii="Bookman Old Style" w:hAnsi="Bookman Old Style" w:cs="Arial"/>
          <w:lang w:val="es-CO"/>
        </w:rPr>
        <w:t>llo</w:t>
      </w:r>
      <w:r w:rsidR="00B23FA8">
        <w:rPr>
          <w:rFonts w:ascii="Bookman Old Style" w:hAnsi="Bookman Old Style" w:cs="Arial"/>
          <w:lang w:val="es-CO"/>
        </w:rPr>
        <w:t xml:space="preserve"> es a los </w:t>
      </w:r>
      <w:r w:rsidR="004B1848">
        <w:rPr>
          <w:rFonts w:ascii="Bookman Old Style" w:hAnsi="Bookman Old Style" w:cs="Arial"/>
          <w:lang w:val="es-CO"/>
        </w:rPr>
        <w:t xml:space="preserve">agentes </w:t>
      </w:r>
      <w:r w:rsidR="00B23FA8">
        <w:rPr>
          <w:rFonts w:ascii="Bookman Old Style" w:hAnsi="Bookman Old Style" w:cs="Arial"/>
          <w:lang w:val="es-CO"/>
        </w:rPr>
        <w:t>comercializadores a quienes se dirige el</w:t>
      </w:r>
      <w:r w:rsidR="00D92EBB">
        <w:rPr>
          <w:rFonts w:ascii="Bookman Old Style" w:hAnsi="Bookman Old Style" w:cs="Arial"/>
          <w:lang w:val="es-CO"/>
        </w:rPr>
        <w:t xml:space="preserve"> acuerdo</w:t>
      </w:r>
      <w:r w:rsidR="006370A7">
        <w:rPr>
          <w:rFonts w:ascii="Bookman Old Style" w:hAnsi="Bookman Old Style" w:cs="Arial"/>
          <w:lang w:val="es-CO"/>
        </w:rPr>
        <w:t xml:space="preserve"> modificatorio de</w:t>
      </w:r>
      <w:r w:rsidR="00D92EBB">
        <w:rPr>
          <w:rFonts w:ascii="Bookman Old Style" w:hAnsi="Bookman Old Style" w:cs="Arial"/>
          <w:lang w:val="es-CO"/>
        </w:rPr>
        <w:t xml:space="preserve"> la fórmula tarifaria general.</w:t>
      </w:r>
    </w:p>
    <w:p w14:paraId="37A92052" w14:textId="6DF2ED5C" w:rsidR="001A0225" w:rsidRDefault="0022080B" w:rsidP="00960ED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Igualmente, </w:t>
      </w:r>
      <w:r w:rsidR="006370A7">
        <w:rPr>
          <w:rFonts w:ascii="Bookman Old Style" w:hAnsi="Bookman Old Style" w:cs="Arial"/>
          <w:lang w:val="es-CO"/>
        </w:rPr>
        <w:t xml:space="preserve">en </w:t>
      </w:r>
      <w:r>
        <w:rPr>
          <w:rFonts w:ascii="Bookman Old Style" w:hAnsi="Bookman Old Style" w:cs="Arial"/>
          <w:lang w:val="es-CO"/>
        </w:rPr>
        <w:t>d</w:t>
      </w:r>
      <w:r w:rsidR="001A0225">
        <w:rPr>
          <w:rFonts w:ascii="Bookman Old Style" w:hAnsi="Bookman Old Style" w:cs="Arial"/>
          <w:lang w:val="es-CO"/>
        </w:rPr>
        <w:t xml:space="preserve">icho reconocimiento </w:t>
      </w:r>
      <w:r w:rsidR="006370A7">
        <w:rPr>
          <w:rFonts w:ascii="Bookman Old Style" w:hAnsi="Bookman Old Style" w:cs="Arial"/>
          <w:lang w:val="es-CO"/>
        </w:rPr>
        <w:t>del saldo a recuperar</w:t>
      </w:r>
      <w:r w:rsidR="007B19DC">
        <w:rPr>
          <w:rFonts w:ascii="Bookman Old Style" w:hAnsi="Bookman Old Style" w:cs="Arial"/>
          <w:lang w:val="es-CO"/>
        </w:rPr>
        <w:t xml:space="preserve">, </w:t>
      </w:r>
      <w:r w:rsidR="001A0225">
        <w:rPr>
          <w:rFonts w:ascii="Bookman Old Style" w:hAnsi="Bookman Old Style" w:cs="Arial"/>
          <w:lang w:val="es-CO"/>
        </w:rPr>
        <w:t>está</w:t>
      </w:r>
      <w:r w:rsidR="007B19DC">
        <w:rPr>
          <w:rFonts w:ascii="Bookman Old Style" w:hAnsi="Bookman Old Style" w:cs="Arial"/>
          <w:lang w:val="es-CO"/>
        </w:rPr>
        <w:t>n</w:t>
      </w:r>
      <w:r w:rsidR="001A0225">
        <w:rPr>
          <w:rFonts w:ascii="Bookman Old Style" w:hAnsi="Bookman Old Style" w:cs="Arial"/>
          <w:lang w:val="es-CO"/>
        </w:rPr>
        <w:t xml:space="preserve"> asociado</w:t>
      </w:r>
      <w:r w:rsidR="007B19DC">
        <w:rPr>
          <w:rFonts w:ascii="Bookman Old Style" w:hAnsi="Bookman Old Style" w:cs="Arial"/>
          <w:lang w:val="es-CO"/>
        </w:rPr>
        <w:t>s</w:t>
      </w:r>
      <w:r w:rsidR="001A0225">
        <w:rPr>
          <w:rFonts w:ascii="Bookman Old Style" w:hAnsi="Bookman Old Style" w:cs="Arial"/>
          <w:lang w:val="es-CO"/>
        </w:rPr>
        <w:t xml:space="preserve"> elementos previstos en </w:t>
      </w:r>
      <w:r w:rsidR="007324D8">
        <w:rPr>
          <w:rFonts w:ascii="Bookman Old Style" w:hAnsi="Bookman Old Style" w:cs="Arial"/>
          <w:lang w:val="es-CO"/>
        </w:rPr>
        <w:t xml:space="preserve">artículo 87 de </w:t>
      </w:r>
      <w:r w:rsidR="001A0225">
        <w:rPr>
          <w:rFonts w:ascii="Bookman Old Style" w:hAnsi="Bookman Old Style" w:cs="Arial"/>
          <w:lang w:val="es-CO"/>
        </w:rPr>
        <w:t xml:space="preserve">la Ley 142 de 1994 que deben ser </w:t>
      </w:r>
      <w:r w:rsidR="002F6428">
        <w:rPr>
          <w:rFonts w:ascii="Bookman Old Style" w:hAnsi="Bookman Old Style" w:cs="Arial"/>
          <w:lang w:val="es-CO"/>
        </w:rPr>
        <w:t>incorporados</w:t>
      </w:r>
      <w:r w:rsidR="001A0225">
        <w:rPr>
          <w:rFonts w:ascii="Bookman Old Style" w:hAnsi="Bookman Old Style" w:cs="Arial"/>
          <w:lang w:val="es-CO"/>
        </w:rPr>
        <w:t xml:space="preserve"> en las tarifas, como lo son </w:t>
      </w:r>
      <w:r w:rsidR="001A0225" w:rsidRPr="001A0225">
        <w:rPr>
          <w:rFonts w:ascii="Bookman Old Style" w:hAnsi="Bookman Old Style" w:cs="Arial"/>
          <w:lang w:val="es-CO"/>
        </w:rPr>
        <w:t>la estructura de los costos económicos que varí</w:t>
      </w:r>
      <w:r w:rsidR="00C6642B">
        <w:rPr>
          <w:rFonts w:ascii="Bookman Old Style" w:hAnsi="Bookman Old Style" w:cs="Arial"/>
          <w:lang w:val="es-CO"/>
        </w:rPr>
        <w:t>a</w:t>
      </w:r>
      <w:r w:rsidR="001A0225" w:rsidRPr="001A0225">
        <w:rPr>
          <w:rFonts w:ascii="Bookman Old Style" w:hAnsi="Bookman Old Style" w:cs="Arial"/>
          <w:lang w:val="es-CO"/>
        </w:rPr>
        <w:t>n con el nivel de consumo como la demanda por el servicio</w:t>
      </w:r>
      <w:r w:rsidR="001A0225">
        <w:rPr>
          <w:rFonts w:ascii="Bookman Old Style" w:hAnsi="Bookman Old Style" w:cs="Arial"/>
          <w:lang w:val="es-CO"/>
        </w:rPr>
        <w:t>, lo cual se refleja en el nivel de recuperación de los saldos</w:t>
      </w:r>
      <w:r w:rsidR="001A0225" w:rsidRPr="001A0225">
        <w:rPr>
          <w:rFonts w:ascii="Bookman Old Style" w:hAnsi="Bookman Old Style" w:cs="Arial"/>
          <w:lang w:val="es-CO"/>
        </w:rPr>
        <w:t>.</w:t>
      </w:r>
    </w:p>
    <w:p w14:paraId="7716DA89" w14:textId="2A0409CD" w:rsidR="0015441A" w:rsidRDefault="000874D7" w:rsidP="002B1EB5">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Es por esto </w:t>
      </w:r>
      <w:proofErr w:type="gramStart"/>
      <w:r>
        <w:rPr>
          <w:rFonts w:ascii="Bookman Old Style" w:hAnsi="Bookman Old Style" w:cs="Arial"/>
          <w:lang w:val="es-CO"/>
        </w:rPr>
        <w:t>que</w:t>
      </w:r>
      <w:proofErr w:type="gramEnd"/>
      <w:r w:rsidR="00E92669">
        <w:rPr>
          <w:rFonts w:ascii="Bookman Old Style" w:hAnsi="Bookman Old Style" w:cs="Arial"/>
          <w:lang w:val="es-CO"/>
        </w:rPr>
        <w:t xml:space="preserve"> </w:t>
      </w:r>
      <w:r>
        <w:rPr>
          <w:rFonts w:ascii="Bookman Old Style" w:hAnsi="Bookman Old Style" w:cs="Arial"/>
          <w:lang w:val="es-CO"/>
        </w:rPr>
        <w:t>la</w:t>
      </w:r>
      <w:r w:rsidR="0084698D">
        <w:rPr>
          <w:rFonts w:ascii="Bookman Old Style" w:hAnsi="Bookman Old Style" w:cs="Arial"/>
          <w:lang w:val="es-CO"/>
        </w:rPr>
        <w:t xml:space="preserve"> alternativa </w:t>
      </w:r>
      <w:r>
        <w:rPr>
          <w:rFonts w:ascii="Bookman Old Style" w:hAnsi="Bookman Old Style" w:cs="Arial"/>
          <w:lang w:val="es-CO"/>
        </w:rPr>
        <w:t xml:space="preserve">consignada en la presente resolución </w:t>
      </w:r>
      <w:r w:rsidR="006A3714">
        <w:rPr>
          <w:rFonts w:ascii="Bookman Old Style" w:hAnsi="Bookman Old Style" w:cs="Arial"/>
          <w:lang w:val="es-CO"/>
        </w:rPr>
        <w:t>permite dar cumplimiento a los objetivos expuestos en relación con la problemática identificada</w:t>
      </w:r>
      <w:r w:rsidR="00CA2769">
        <w:rPr>
          <w:rFonts w:ascii="Bookman Old Style" w:hAnsi="Bookman Old Style" w:cs="Arial"/>
          <w:lang w:val="es-CO"/>
        </w:rPr>
        <w:t>,</w:t>
      </w:r>
      <w:r w:rsidR="006A3714">
        <w:rPr>
          <w:rFonts w:ascii="Bookman Old Style" w:hAnsi="Bookman Old Style" w:cs="Arial"/>
          <w:lang w:val="es-CO"/>
        </w:rPr>
        <w:t xml:space="preserve"> frente a la aplicación de la opción tarifaria actual.</w:t>
      </w:r>
      <w:r w:rsidR="00723F2E">
        <w:rPr>
          <w:rFonts w:ascii="Bookman Old Style" w:hAnsi="Bookman Old Style" w:cs="Arial"/>
          <w:lang w:val="es-CO"/>
        </w:rPr>
        <w:t xml:space="preserve"> </w:t>
      </w:r>
    </w:p>
    <w:p w14:paraId="79D0E0A5" w14:textId="67C52294" w:rsidR="009B5AEE" w:rsidRPr="009B5AEE" w:rsidRDefault="00136A3B" w:rsidP="009B5AEE">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Finalmente, con respecto al plazo de consulta, se precisa que el mismo se definió atendiendo </w:t>
      </w:r>
      <w:r w:rsidR="00C53E25">
        <w:rPr>
          <w:rFonts w:ascii="Bookman Old Style" w:hAnsi="Bookman Old Style" w:cs="Arial"/>
          <w:lang w:val="es-CO"/>
        </w:rPr>
        <w:t xml:space="preserve">a </w:t>
      </w:r>
      <w:r>
        <w:rPr>
          <w:rFonts w:ascii="Bookman Old Style" w:hAnsi="Bookman Old Style" w:cs="Arial"/>
          <w:lang w:val="es-CO"/>
        </w:rPr>
        <w:t xml:space="preserve">la </w:t>
      </w:r>
      <w:r w:rsidR="00C53E25">
        <w:rPr>
          <w:rFonts w:ascii="Bookman Old Style" w:hAnsi="Bookman Old Style" w:cs="Arial"/>
          <w:lang w:val="es-CO"/>
        </w:rPr>
        <w:t xml:space="preserve">excepción </w:t>
      </w:r>
      <w:r>
        <w:rPr>
          <w:rFonts w:ascii="Bookman Old Style" w:hAnsi="Bookman Old Style" w:cs="Arial"/>
          <w:lang w:val="es-CO"/>
        </w:rPr>
        <w:t xml:space="preserve">prevista en el numeral </w:t>
      </w:r>
      <w:r w:rsidR="00AB3276">
        <w:rPr>
          <w:rFonts w:ascii="Bookman Old Style" w:hAnsi="Bookman Old Style" w:cs="Arial"/>
          <w:lang w:val="es-CO"/>
        </w:rPr>
        <w:t>1</w:t>
      </w:r>
      <w:r>
        <w:rPr>
          <w:rFonts w:ascii="Bookman Old Style" w:hAnsi="Bookman Old Style" w:cs="Arial"/>
          <w:lang w:val="es-CO"/>
        </w:rPr>
        <w:t xml:space="preserve"> del artículo 33 de la </w:t>
      </w:r>
      <w:r w:rsidR="0012759B">
        <w:rPr>
          <w:rFonts w:ascii="Bookman Old Style" w:hAnsi="Bookman Old Style" w:cs="Arial"/>
          <w:lang w:val="es-CO"/>
        </w:rPr>
        <w:t>Resolución CREG 039 de 2017</w:t>
      </w:r>
      <w:r w:rsidR="009B5AEE">
        <w:rPr>
          <w:rFonts w:ascii="Bookman Old Style" w:hAnsi="Bookman Old Style" w:cs="Arial"/>
          <w:lang w:val="es-CO"/>
        </w:rPr>
        <w:t xml:space="preserve"> “</w:t>
      </w:r>
      <w:r w:rsidR="009B5AEE" w:rsidRPr="009B5AEE">
        <w:rPr>
          <w:rFonts w:ascii="Bookman Old Style" w:hAnsi="Bookman Old Style" w:cs="Arial"/>
          <w:lang w:val="es-CO"/>
        </w:rPr>
        <w:t>Por la cual se establece el Reglamento Interno de la Comisión de Regulación de Energía y Gas</w:t>
      </w:r>
      <w:r w:rsidR="009B5AEE">
        <w:rPr>
          <w:rFonts w:ascii="Bookman Old Style" w:hAnsi="Bookman Old Style" w:cs="Arial"/>
          <w:lang w:val="es-CO"/>
        </w:rPr>
        <w:t>”</w:t>
      </w:r>
      <w:r w:rsidR="00AB3276">
        <w:rPr>
          <w:rFonts w:ascii="Bookman Old Style" w:hAnsi="Bookman Old Style" w:cs="Arial"/>
          <w:lang w:val="es-CO"/>
        </w:rPr>
        <w:t>, el cual establece lo siguiente:</w:t>
      </w:r>
    </w:p>
    <w:p w14:paraId="3C374BC5" w14:textId="082F9F7C" w:rsidR="00AB3276" w:rsidRDefault="00AB3276" w:rsidP="00AB3276">
      <w:pPr>
        <w:widowControl w:val="0"/>
        <w:ind w:left="284" w:right="284"/>
        <w:jc w:val="both"/>
        <w:rPr>
          <w:rFonts w:ascii="Bookman Old Style" w:hAnsi="Bookman Old Style" w:cs="Arial"/>
          <w:i/>
          <w:iCs/>
          <w:sz w:val="22"/>
          <w:szCs w:val="22"/>
        </w:rPr>
      </w:pPr>
      <w:r>
        <w:rPr>
          <w:rFonts w:ascii="Bookman Old Style" w:hAnsi="Bookman Old Style" w:cs="Arial"/>
          <w:i/>
          <w:iCs/>
          <w:sz w:val="22"/>
          <w:szCs w:val="22"/>
        </w:rPr>
        <w:t>“Artículo</w:t>
      </w:r>
      <w:r w:rsidRPr="00AB3276">
        <w:rPr>
          <w:rFonts w:ascii="Bookman Old Style" w:hAnsi="Bookman Old Style" w:cs="Arial"/>
          <w:i/>
          <w:iCs/>
          <w:sz w:val="22"/>
          <w:szCs w:val="22"/>
        </w:rPr>
        <w:t xml:space="preserve"> 33. PLAZOS DE PUBLICIDAD DE LOS PROYECTOS DE REGULACIÓN DE CARÁCTER GENERAL. La Comisión publicará en su portal web, con antelación a la fecha de su expedición no inferior a treinta (30) días hábiles, todos los proyectos de resoluciones de carácter general que pretendan adoptar, excepto los relativos a fórmulas tarifarias, en cuyo caso se seguirá el procedimiento previsto en los artículos </w:t>
      </w:r>
      <w:hyperlink r:id="rId13" w:anchor="35" w:tgtFrame="_blank" w:tooltip="Resolución 39 de 2017 CREG - Por la cual se establece el Reglamento Interno de la Comisión de Regulación de Energía y Gas (CREG), 35" w:history="1">
        <w:r w:rsidRPr="00AB3276">
          <w:rPr>
            <w:rFonts w:ascii="Bookman Old Style" w:hAnsi="Bookman Old Style" w:cs="Arial"/>
            <w:i/>
            <w:iCs/>
            <w:sz w:val="22"/>
            <w:szCs w:val="22"/>
          </w:rPr>
          <w:t>35</w:t>
        </w:r>
      </w:hyperlink>
      <w:r w:rsidRPr="00AB3276">
        <w:rPr>
          <w:rFonts w:ascii="Bookman Old Style" w:hAnsi="Bookman Old Style" w:cs="Arial"/>
          <w:i/>
          <w:iCs/>
          <w:sz w:val="22"/>
          <w:szCs w:val="22"/>
        </w:rPr>
        <w:t> y </w:t>
      </w:r>
      <w:hyperlink r:id="rId14" w:anchor="36" w:tgtFrame="_blank" w:tooltip="Resolución 39 de 2017 CREG - Por la cual se establece el Reglamento Interno de la Comisión de Regulación de Energía y Gas (CREG), 36" w:history="1">
        <w:r w:rsidRPr="00AB3276">
          <w:rPr>
            <w:rFonts w:ascii="Bookman Old Style" w:hAnsi="Bookman Old Style" w:cs="Arial"/>
            <w:i/>
            <w:iCs/>
            <w:sz w:val="22"/>
            <w:szCs w:val="22"/>
          </w:rPr>
          <w:t>36</w:t>
        </w:r>
      </w:hyperlink>
      <w:r w:rsidRPr="00AB3276">
        <w:rPr>
          <w:rFonts w:ascii="Bookman Old Style" w:hAnsi="Bookman Old Style" w:cs="Arial"/>
          <w:i/>
          <w:iCs/>
          <w:sz w:val="22"/>
          <w:szCs w:val="22"/>
        </w:rPr>
        <w:t> de este reglamento. También se exceptúan los casos que se relacionan en este artículo.</w:t>
      </w:r>
    </w:p>
    <w:p w14:paraId="1DEA8F89" w14:textId="77777777" w:rsidR="00AB3276" w:rsidRPr="00AB3276" w:rsidRDefault="00AB3276" w:rsidP="00AB3276">
      <w:pPr>
        <w:widowControl w:val="0"/>
        <w:ind w:left="284" w:right="284"/>
        <w:jc w:val="both"/>
        <w:rPr>
          <w:rFonts w:ascii="Bookman Old Style" w:hAnsi="Bookman Old Style" w:cs="Arial"/>
          <w:i/>
          <w:iCs/>
          <w:sz w:val="22"/>
          <w:szCs w:val="22"/>
        </w:rPr>
      </w:pPr>
    </w:p>
    <w:p w14:paraId="3062A78C" w14:textId="77777777" w:rsidR="00AB3276" w:rsidRDefault="00AB3276" w:rsidP="00AB3276">
      <w:pPr>
        <w:widowControl w:val="0"/>
        <w:ind w:left="284" w:right="284"/>
        <w:jc w:val="both"/>
        <w:rPr>
          <w:rFonts w:ascii="Bookman Old Style" w:hAnsi="Bookman Old Style" w:cs="Arial"/>
          <w:i/>
          <w:iCs/>
          <w:sz w:val="22"/>
          <w:szCs w:val="22"/>
        </w:rPr>
      </w:pPr>
      <w:r w:rsidRPr="00AB3276">
        <w:rPr>
          <w:rFonts w:ascii="Bookman Old Style" w:hAnsi="Bookman Old Style" w:cs="Arial"/>
          <w:i/>
          <w:iCs/>
          <w:sz w:val="22"/>
          <w:szCs w:val="22"/>
        </w:rPr>
        <w:t>El término para la recepción de las observaciones, reparos o sugerencias no podrá ser menor a diez (10) días hábiles, contados a partir de la fecha en que se haga público el proyecto de regulación, salvo en los casos y condiciones que se relacionan en el siguiente inciso. Este plazo podrá prorrogarse por solicitud de parte u oficiosamente.</w:t>
      </w:r>
    </w:p>
    <w:p w14:paraId="09726EAC" w14:textId="77777777" w:rsidR="00AB3276" w:rsidRPr="00AB3276" w:rsidRDefault="00AB3276" w:rsidP="00AB3276">
      <w:pPr>
        <w:widowControl w:val="0"/>
        <w:ind w:left="284" w:right="284"/>
        <w:jc w:val="both"/>
        <w:rPr>
          <w:rFonts w:ascii="Bookman Old Style" w:hAnsi="Bookman Old Style" w:cs="Arial"/>
          <w:i/>
          <w:iCs/>
          <w:sz w:val="22"/>
          <w:szCs w:val="22"/>
        </w:rPr>
      </w:pPr>
    </w:p>
    <w:p w14:paraId="53C27DAD" w14:textId="499633CB" w:rsidR="00AB3276" w:rsidRDefault="00AB3276" w:rsidP="00AB3276">
      <w:pPr>
        <w:widowControl w:val="0"/>
        <w:ind w:left="284" w:right="284"/>
        <w:jc w:val="both"/>
        <w:rPr>
          <w:rFonts w:ascii="Bookman Old Style" w:hAnsi="Bookman Old Style" w:cs="Arial"/>
          <w:i/>
          <w:iCs/>
          <w:sz w:val="22"/>
          <w:szCs w:val="22"/>
        </w:rPr>
      </w:pPr>
      <w:r w:rsidRPr="00AB3276">
        <w:rPr>
          <w:rFonts w:ascii="Bookman Old Style" w:hAnsi="Bookman Old Style" w:cs="Arial"/>
          <w:i/>
          <w:iCs/>
          <w:sz w:val="22"/>
          <w:szCs w:val="22"/>
        </w:rPr>
        <w:t>La CREG podrá publicar los proyectos específicos de regulación que pretenda expedir, con una antelación a la fecha de su expedición inferior a treinta (30) días hábiles, y establecer un término para la recepción de las observaciones, reparos o sugerencias menor a diez (10) días hábiles, en los siguientes casos:</w:t>
      </w:r>
    </w:p>
    <w:p w14:paraId="73C09A11" w14:textId="77777777" w:rsidR="00AB3276" w:rsidRPr="00AB3276" w:rsidRDefault="00AB3276" w:rsidP="00AB3276">
      <w:pPr>
        <w:widowControl w:val="0"/>
        <w:ind w:left="284" w:right="284"/>
        <w:jc w:val="both"/>
        <w:rPr>
          <w:rFonts w:ascii="Bookman Old Style" w:hAnsi="Bookman Old Style" w:cs="Arial"/>
          <w:i/>
          <w:iCs/>
          <w:sz w:val="22"/>
          <w:szCs w:val="22"/>
        </w:rPr>
      </w:pPr>
    </w:p>
    <w:p w14:paraId="675C2B30" w14:textId="6EA9D411" w:rsidR="00AB3276" w:rsidRPr="00AB3276" w:rsidRDefault="00AB3276" w:rsidP="00AB3276">
      <w:pPr>
        <w:widowControl w:val="0"/>
        <w:ind w:left="284" w:right="284"/>
        <w:jc w:val="both"/>
        <w:rPr>
          <w:rFonts w:ascii="Bookman Old Style" w:hAnsi="Bookman Old Style" w:cs="Arial"/>
          <w:i/>
          <w:iCs/>
          <w:sz w:val="22"/>
          <w:szCs w:val="22"/>
        </w:rPr>
      </w:pPr>
      <w:r w:rsidRPr="00AB3276">
        <w:rPr>
          <w:rFonts w:ascii="Bookman Old Style" w:hAnsi="Bookman Old Style" w:cs="Arial"/>
          <w:i/>
          <w:iCs/>
          <w:sz w:val="22"/>
          <w:szCs w:val="22"/>
        </w:rPr>
        <w:t>1. Cuando se requiera tomar medidas urgentes para garantizar el abastecimiento del producto o la continuidad y confiabilidad del servicio.</w:t>
      </w:r>
      <w:r w:rsidR="00E963B3">
        <w:rPr>
          <w:rFonts w:ascii="Bookman Old Style" w:hAnsi="Bookman Old Style" w:cs="Arial"/>
          <w:i/>
          <w:iCs/>
          <w:sz w:val="22"/>
          <w:szCs w:val="22"/>
        </w:rPr>
        <w:t xml:space="preserve"> (…)”</w:t>
      </w:r>
    </w:p>
    <w:p w14:paraId="5319A5FB" w14:textId="3FC90687" w:rsidR="00140DE3" w:rsidRDefault="00FA645B" w:rsidP="009B5AEE">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L</w:t>
      </w:r>
      <w:r w:rsidR="00123AAC">
        <w:rPr>
          <w:rFonts w:ascii="Bookman Old Style" w:hAnsi="Bookman Old Style" w:cs="Arial"/>
          <w:lang w:val="es-CO"/>
        </w:rPr>
        <w:t xml:space="preserve">a procedencia de dicha </w:t>
      </w:r>
      <w:r>
        <w:rPr>
          <w:rFonts w:ascii="Bookman Old Style" w:hAnsi="Bookman Old Style" w:cs="Arial"/>
          <w:lang w:val="es-CO"/>
        </w:rPr>
        <w:t>excepción surge</w:t>
      </w:r>
      <w:r w:rsidR="00123AAC">
        <w:rPr>
          <w:rFonts w:ascii="Bookman Old Style" w:hAnsi="Bookman Old Style" w:cs="Arial"/>
          <w:lang w:val="es-CO"/>
        </w:rPr>
        <w:t xml:space="preserve"> </w:t>
      </w:r>
      <w:r w:rsidR="003F7264">
        <w:rPr>
          <w:rFonts w:ascii="Bookman Old Style" w:hAnsi="Bookman Old Style" w:cs="Arial"/>
          <w:lang w:val="es-CO"/>
        </w:rPr>
        <w:t>a partir de lo expuesto en la parte motiva de la presente resolución</w:t>
      </w:r>
      <w:r w:rsidR="00E11971">
        <w:rPr>
          <w:rFonts w:ascii="Bookman Old Style" w:hAnsi="Bookman Old Style" w:cs="Arial"/>
          <w:lang w:val="es-CO"/>
        </w:rPr>
        <w:t xml:space="preserve">, </w:t>
      </w:r>
      <w:r w:rsidR="00A71D87">
        <w:rPr>
          <w:rFonts w:ascii="Bookman Old Style" w:hAnsi="Bookman Old Style" w:cs="Arial"/>
          <w:lang w:val="es-CO"/>
        </w:rPr>
        <w:t>la</w:t>
      </w:r>
      <w:r w:rsidR="00074E20">
        <w:rPr>
          <w:rFonts w:ascii="Bookman Old Style" w:hAnsi="Bookman Old Style" w:cs="Arial"/>
          <w:lang w:val="es-CO"/>
        </w:rPr>
        <w:t xml:space="preserve"> </w:t>
      </w:r>
      <w:r w:rsidR="00AB5AD4">
        <w:rPr>
          <w:rFonts w:ascii="Bookman Old Style" w:hAnsi="Bookman Old Style" w:cs="Arial"/>
          <w:lang w:val="es-CO"/>
        </w:rPr>
        <w:t xml:space="preserve">necesidad </w:t>
      </w:r>
      <w:r w:rsidR="007D7332">
        <w:rPr>
          <w:rFonts w:ascii="Bookman Old Style" w:hAnsi="Bookman Old Style" w:cs="Arial"/>
          <w:lang w:val="es-CO"/>
        </w:rPr>
        <w:t>y</w:t>
      </w:r>
      <w:r w:rsidR="00AB5AD4">
        <w:rPr>
          <w:rFonts w:ascii="Bookman Old Style" w:hAnsi="Bookman Old Style" w:cs="Arial"/>
          <w:lang w:val="es-CO"/>
        </w:rPr>
        <w:t xml:space="preserve"> </w:t>
      </w:r>
      <w:r w:rsidR="0046632A">
        <w:rPr>
          <w:rFonts w:ascii="Bookman Old Style" w:hAnsi="Bookman Old Style" w:cs="Arial"/>
          <w:lang w:val="es-CO"/>
        </w:rPr>
        <w:t xml:space="preserve">el carácter apremiante de </w:t>
      </w:r>
      <w:r w:rsidR="00DC7B4A">
        <w:rPr>
          <w:rFonts w:ascii="Bookman Old Style" w:hAnsi="Bookman Old Style" w:cs="Arial"/>
          <w:lang w:val="es-CO"/>
        </w:rPr>
        <w:t>l</w:t>
      </w:r>
      <w:r w:rsidR="00AD4E28">
        <w:rPr>
          <w:rFonts w:ascii="Bookman Old Style" w:hAnsi="Bookman Old Style" w:cs="Arial"/>
          <w:lang w:val="es-CO"/>
        </w:rPr>
        <w:t>a presente propuesta</w:t>
      </w:r>
      <w:r w:rsidR="00620A81">
        <w:rPr>
          <w:rFonts w:ascii="Bookman Old Style" w:hAnsi="Bookman Old Style" w:cs="Arial"/>
          <w:lang w:val="es-CO"/>
        </w:rPr>
        <w:t>, ya que</w:t>
      </w:r>
      <w:r w:rsidR="00AA6E58">
        <w:rPr>
          <w:rFonts w:ascii="Bookman Old Style" w:hAnsi="Bookman Old Style" w:cs="Arial"/>
          <w:lang w:val="es-CO"/>
        </w:rPr>
        <w:t xml:space="preserve"> de no contar con</w:t>
      </w:r>
      <w:r w:rsidR="00A71D87">
        <w:rPr>
          <w:rFonts w:ascii="Bookman Old Style" w:hAnsi="Bookman Old Style" w:cs="Arial"/>
          <w:lang w:val="es-CO"/>
        </w:rPr>
        <w:t xml:space="preserve"> una decisión regulatoria </w:t>
      </w:r>
      <w:r w:rsidR="00A5259F">
        <w:rPr>
          <w:rFonts w:ascii="Bookman Old Style" w:hAnsi="Bookman Old Style" w:cs="Arial"/>
          <w:lang w:val="es-CO"/>
        </w:rPr>
        <w:t>vigente</w:t>
      </w:r>
      <w:r w:rsidR="00A71D87">
        <w:rPr>
          <w:rFonts w:ascii="Bookman Old Style" w:hAnsi="Bookman Old Style" w:cs="Arial"/>
          <w:lang w:val="es-CO"/>
        </w:rPr>
        <w:t xml:space="preserve"> a partir del mes de octubre de 2023</w:t>
      </w:r>
      <w:r w:rsidR="00A5259F">
        <w:rPr>
          <w:rFonts w:ascii="Bookman Old Style" w:hAnsi="Bookman Old Style" w:cs="Arial"/>
          <w:lang w:val="es-CO"/>
        </w:rPr>
        <w:t>,</w:t>
      </w:r>
      <w:r w:rsidR="00B216B4">
        <w:rPr>
          <w:rFonts w:ascii="Bookman Old Style" w:hAnsi="Bookman Old Style" w:cs="Arial"/>
          <w:lang w:val="es-CO"/>
        </w:rPr>
        <w:t xml:space="preserve"> </w:t>
      </w:r>
      <w:r w:rsidR="008C2F16">
        <w:rPr>
          <w:rFonts w:ascii="Bookman Old Style" w:hAnsi="Bookman Old Style" w:cs="Arial"/>
          <w:lang w:val="es-CO"/>
        </w:rPr>
        <w:t>no pod</w:t>
      </w:r>
      <w:r w:rsidR="00CD2F8F">
        <w:rPr>
          <w:rFonts w:ascii="Bookman Old Style" w:hAnsi="Bookman Old Style" w:cs="Arial"/>
          <w:lang w:val="es-CO"/>
        </w:rPr>
        <w:t>ría dar</w:t>
      </w:r>
      <w:r w:rsidR="00083CE1">
        <w:rPr>
          <w:rFonts w:ascii="Bookman Old Style" w:hAnsi="Bookman Old Style" w:cs="Arial"/>
          <w:lang w:val="es-CO"/>
        </w:rPr>
        <w:t>se</w:t>
      </w:r>
      <w:r w:rsidR="00CD2F8F">
        <w:rPr>
          <w:rFonts w:ascii="Bookman Old Style" w:hAnsi="Bookman Old Style" w:cs="Arial"/>
          <w:lang w:val="es-CO"/>
        </w:rPr>
        <w:t xml:space="preserve"> cumplimiento a los objetivos relacionados </w:t>
      </w:r>
      <w:r w:rsidR="006D09A9">
        <w:rPr>
          <w:rFonts w:ascii="Bookman Old Style" w:hAnsi="Bookman Old Style" w:cs="Arial"/>
          <w:lang w:val="es-CO"/>
        </w:rPr>
        <w:t xml:space="preserve">particularmente </w:t>
      </w:r>
      <w:r w:rsidR="00CD2F8F">
        <w:rPr>
          <w:rFonts w:ascii="Bookman Old Style" w:hAnsi="Bookman Old Style" w:cs="Arial"/>
          <w:lang w:val="es-CO"/>
        </w:rPr>
        <w:t>con</w:t>
      </w:r>
      <w:r w:rsidR="00F34E2C">
        <w:rPr>
          <w:rFonts w:ascii="Bookman Old Style" w:hAnsi="Bookman Old Style" w:cs="Arial"/>
          <w:lang w:val="es-CO"/>
        </w:rPr>
        <w:t xml:space="preserve"> </w:t>
      </w:r>
      <w:r w:rsidR="00BE3481">
        <w:rPr>
          <w:rFonts w:ascii="Bookman Old Style" w:hAnsi="Bookman Old Style" w:cs="Arial"/>
          <w:lang w:val="es-CO"/>
        </w:rPr>
        <w:t>m</w:t>
      </w:r>
      <w:r w:rsidR="00BE3481" w:rsidRPr="00BE3481">
        <w:rPr>
          <w:rFonts w:ascii="Bookman Old Style" w:hAnsi="Bookman Old Style" w:cs="Arial"/>
          <w:lang w:val="es-CO"/>
        </w:rPr>
        <w:t xml:space="preserve">inimizar </w:t>
      </w:r>
      <w:r w:rsidR="0063770E">
        <w:rPr>
          <w:rFonts w:ascii="Bookman Old Style" w:hAnsi="Bookman Old Style" w:cs="Arial"/>
          <w:lang w:val="es-CO"/>
        </w:rPr>
        <w:t xml:space="preserve">los </w:t>
      </w:r>
      <w:r w:rsidR="00BE3481" w:rsidRPr="00BE3481">
        <w:rPr>
          <w:rFonts w:ascii="Bookman Old Style" w:hAnsi="Bookman Old Style" w:cs="Arial"/>
          <w:lang w:val="es-CO"/>
        </w:rPr>
        <w:t>altos valores (picos) en el CU</w:t>
      </w:r>
      <w:r w:rsidR="004B1E2C">
        <w:rPr>
          <w:rFonts w:ascii="Bookman Old Style" w:hAnsi="Bookman Old Style" w:cs="Arial"/>
          <w:lang w:val="es-CO"/>
        </w:rPr>
        <w:t xml:space="preserve"> y</w:t>
      </w:r>
      <w:r w:rsidR="00F6421C">
        <w:rPr>
          <w:rFonts w:ascii="Bookman Old Style" w:hAnsi="Bookman Old Style" w:cs="Arial"/>
          <w:lang w:val="es-CO"/>
        </w:rPr>
        <w:t xml:space="preserve"> evitar alzas </w:t>
      </w:r>
      <w:r w:rsidR="00F6421C" w:rsidRPr="00BE3481">
        <w:rPr>
          <w:rFonts w:ascii="Bookman Old Style" w:hAnsi="Bookman Old Style" w:cs="Arial"/>
          <w:lang w:val="es-CO"/>
        </w:rPr>
        <w:t>excesivas inmediatas en el CU aplicado a los usuarios</w:t>
      </w:r>
      <w:r w:rsidR="00742AAE">
        <w:rPr>
          <w:rFonts w:ascii="Bookman Old Style" w:hAnsi="Bookman Old Style" w:cs="Arial"/>
          <w:lang w:val="es-CO"/>
        </w:rPr>
        <w:t>,</w:t>
      </w:r>
      <w:r w:rsidR="00F6421C" w:rsidRPr="00BE3481">
        <w:rPr>
          <w:rFonts w:ascii="Bookman Old Style" w:hAnsi="Bookman Old Style" w:cs="Arial"/>
          <w:lang w:val="es-CO"/>
        </w:rPr>
        <w:t xml:space="preserve"> </w:t>
      </w:r>
      <w:r w:rsidR="007659B6">
        <w:rPr>
          <w:rFonts w:ascii="Bookman Old Style" w:hAnsi="Bookman Old Style" w:cs="Arial"/>
          <w:lang w:val="es-CO"/>
        </w:rPr>
        <w:t>al dar aplicación a</w:t>
      </w:r>
      <w:r w:rsidR="00BE3481" w:rsidRPr="00BE3481">
        <w:rPr>
          <w:rFonts w:ascii="Bookman Old Style" w:hAnsi="Bookman Old Style" w:cs="Arial"/>
          <w:lang w:val="es-CO"/>
        </w:rPr>
        <w:t xml:space="preserve"> la fórmula de recuperación de saldos de la opción tarifaria actual</w:t>
      </w:r>
      <w:r w:rsidR="0063770E">
        <w:rPr>
          <w:rStyle w:val="Refdenotaalpie"/>
          <w:rFonts w:ascii="Bookman Old Style" w:hAnsi="Bookman Old Style" w:cs="Arial"/>
          <w:lang w:val="es-CO"/>
        </w:rPr>
        <w:footnoteReference w:id="8"/>
      </w:r>
      <w:r w:rsidR="00140DE3">
        <w:rPr>
          <w:rFonts w:ascii="Bookman Old Style" w:hAnsi="Bookman Old Style" w:cs="Arial"/>
          <w:lang w:val="es-CO"/>
        </w:rPr>
        <w:t xml:space="preserve">. </w:t>
      </w:r>
    </w:p>
    <w:p w14:paraId="4CA17D99" w14:textId="3AF7594A" w:rsidR="004813D2" w:rsidRDefault="00F51401" w:rsidP="0020096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L</w:t>
      </w:r>
      <w:r w:rsidR="00325559">
        <w:rPr>
          <w:rFonts w:ascii="Bookman Old Style" w:hAnsi="Bookman Old Style" w:cs="Arial"/>
          <w:lang w:val="es-CO"/>
        </w:rPr>
        <w:t xml:space="preserve">a recuperación de saldos </w:t>
      </w:r>
      <w:r w:rsidR="00177BB3">
        <w:rPr>
          <w:rFonts w:ascii="Bookman Old Style" w:hAnsi="Bookman Old Style" w:cs="Arial"/>
          <w:lang w:val="es-CO"/>
        </w:rPr>
        <w:t xml:space="preserve">con base en la </w:t>
      </w:r>
      <w:r w:rsidR="007C5A0B">
        <w:rPr>
          <w:rFonts w:ascii="Bookman Old Style" w:hAnsi="Bookman Old Style" w:cs="Arial"/>
          <w:lang w:val="es-CO"/>
        </w:rPr>
        <w:t>fórmula</w:t>
      </w:r>
      <w:r w:rsidR="00177BB3" w:rsidRPr="00177BB3">
        <w:rPr>
          <w:rFonts w:ascii="Bookman Old Style" w:hAnsi="Bookman Old Style" w:cs="Arial"/>
          <w:lang w:val="es-CO"/>
        </w:rPr>
        <w:t xml:space="preserve"> tarifaria actual</w:t>
      </w:r>
      <w:r w:rsidR="00100134">
        <w:rPr>
          <w:rFonts w:ascii="Bookman Old Style" w:hAnsi="Bookman Old Style" w:cs="Arial"/>
          <w:lang w:val="es-CO"/>
        </w:rPr>
        <w:t xml:space="preserve"> </w:t>
      </w:r>
      <w:r w:rsidR="00117E95">
        <w:rPr>
          <w:rFonts w:ascii="Bookman Old Style" w:hAnsi="Bookman Old Style" w:cs="Arial"/>
          <w:lang w:val="es-CO"/>
        </w:rPr>
        <w:t xml:space="preserve">trae como </w:t>
      </w:r>
      <w:r w:rsidR="00117E95">
        <w:rPr>
          <w:rFonts w:ascii="Bookman Old Style" w:hAnsi="Bookman Old Style" w:cs="Arial"/>
          <w:lang w:val="es-CO"/>
        </w:rPr>
        <w:lastRenderedPageBreak/>
        <w:t xml:space="preserve">consecuencia </w:t>
      </w:r>
      <w:r w:rsidR="003E43A8">
        <w:rPr>
          <w:rFonts w:ascii="Bookman Old Style" w:hAnsi="Bookman Old Style" w:cs="Arial"/>
          <w:lang w:val="es-CO"/>
        </w:rPr>
        <w:t xml:space="preserve">un incremento en las tarifas </w:t>
      </w:r>
      <w:r w:rsidR="00814B39">
        <w:rPr>
          <w:rFonts w:ascii="Bookman Old Style" w:hAnsi="Bookman Old Style" w:cs="Arial"/>
          <w:lang w:val="es-CO"/>
        </w:rPr>
        <w:t xml:space="preserve">en los mercados de comercialización que cuentan con un </w:t>
      </w:r>
      <w:r w:rsidR="007679ED">
        <w:rPr>
          <w:rFonts w:ascii="Bookman Old Style" w:hAnsi="Bookman Old Style" w:cs="Arial"/>
          <w:lang w:val="es-CO"/>
        </w:rPr>
        <w:t xml:space="preserve">mayor valor del saldo acumulado, </w:t>
      </w:r>
      <w:r w:rsidR="00A04566">
        <w:rPr>
          <w:rFonts w:ascii="Bookman Old Style" w:hAnsi="Bookman Old Style" w:cs="Arial"/>
          <w:lang w:val="es-CO"/>
        </w:rPr>
        <w:t>tal como se expone dentro de los análisis que acompañan el documento soporte de la presente resolución</w:t>
      </w:r>
      <w:r w:rsidR="00B4209E">
        <w:rPr>
          <w:rFonts w:ascii="Bookman Old Style" w:hAnsi="Bookman Old Style" w:cs="Arial"/>
          <w:lang w:val="es-CO"/>
        </w:rPr>
        <w:t xml:space="preserve">. Ante los </w:t>
      </w:r>
      <w:r w:rsidR="00B2239D">
        <w:rPr>
          <w:rFonts w:ascii="Bookman Old Style" w:hAnsi="Bookman Old Style" w:cs="Arial"/>
          <w:lang w:val="es-CO"/>
        </w:rPr>
        <w:t xml:space="preserve">incrementos y </w:t>
      </w:r>
      <w:r w:rsidR="00B4209E">
        <w:rPr>
          <w:rFonts w:ascii="Bookman Old Style" w:hAnsi="Bookman Old Style" w:cs="Arial"/>
          <w:lang w:val="es-CO"/>
        </w:rPr>
        <w:t>la probable</w:t>
      </w:r>
      <w:r w:rsidR="00D92D62">
        <w:rPr>
          <w:rFonts w:ascii="Bookman Old Style" w:hAnsi="Bookman Old Style" w:cs="Arial"/>
          <w:lang w:val="es-CO"/>
        </w:rPr>
        <w:t xml:space="preserve"> </w:t>
      </w:r>
      <w:r w:rsidR="006D5693" w:rsidRPr="00300A83">
        <w:rPr>
          <w:rFonts w:ascii="Bookman Old Style" w:hAnsi="Bookman Old Style" w:cs="Arial"/>
          <w:lang w:val="es-CO"/>
        </w:rPr>
        <w:t>imposibilidad de pago de los usuarios</w:t>
      </w:r>
      <w:r w:rsidR="00112B4C">
        <w:rPr>
          <w:rFonts w:ascii="Bookman Old Style" w:hAnsi="Bookman Old Style" w:cs="Arial"/>
          <w:lang w:val="es-CO"/>
        </w:rPr>
        <w:t>,</w:t>
      </w:r>
      <w:r w:rsidR="006D5693" w:rsidRPr="00300A83">
        <w:rPr>
          <w:rFonts w:ascii="Bookman Old Style" w:hAnsi="Bookman Old Style" w:cs="Arial"/>
          <w:lang w:val="es-CO"/>
        </w:rPr>
        <w:t xml:space="preserve"> </w:t>
      </w:r>
      <w:r w:rsidR="00BE0F43">
        <w:rPr>
          <w:rFonts w:ascii="Bookman Old Style" w:hAnsi="Bookman Old Style" w:cs="Arial"/>
          <w:lang w:val="es-CO"/>
        </w:rPr>
        <w:t>pu</w:t>
      </w:r>
      <w:r w:rsidR="00D87240">
        <w:rPr>
          <w:rFonts w:ascii="Bookman Old Style" w:hAnsi="Bookman Old Style" w:cs="Arial"/>
          <w:lang w:val="es-CO"/>
        </w:rPr>
        <w:t>e</w:t>
      </w:r>
      <w:r w:rsidR="00BE0F43">
        <w:rPr>
          <w:rFonts w:ascii="Bookman Old Style" w:hAnsi="Bookman Old Style" w:cs="Arial"/>
          <w:lang w:val="es-CO"/>
        </w:rPr>
        <w:t>de poner</w:t>
      </w:r>
      <w:r w:rsidR="00C82063">
        <w:rPr>
          <w:rFonts w:ascii="Bookman Old Style" w:hAnsi="Bookman Old Style" w:cs="Arial"/>
          <w:lang w:val="es-CO"/>
        </w:rPr>
        <w:t>se</w:t>
      </w:r>
      <w:r w:rsidR="006D5693" w:rsidRPr="00300A83">
        <w:rPr>
          <w:rFonts w:ascii="Bookman Old Style" w:hAnsi="Bookman Old Style" w:cs="Arial"/>
          <w:lang w:val="es-CO"/>
        </w:rPr>
        <w:t xml:space="preserve"> en riesgo la </w:t>
      </w:r>
      <w:r w:rsidR="00BE0F43">
        <w:rPr>
          <w:rFonts w:ascii="Bookman Old Style" w:hAnsi="Bookman Old Style" w:cs="Arial"/>
          <w:lang w:val="es-CO"/>
        </w:rPr>
        <w:t xml:space="preserve">continuidad en la </w:t>
      </w:r>
      <w:r w:rsidR="006D5693" w:rsidRPr="00300A83">
        <w:rPr>
          <w:rFonts w:ascii="Bookman Old Style" w:hAnsi="Bookman Old Style" w:cs="Arial"/>
          <w:lang w:val="es-CO"/>
        </w:rPr>
        <w:t>prestación del servicio</w:t>
      </w:r>
      <w:r w:rsidR="00FC0070">
        <w:rPr>
          <w:rFonts w:ascii="Bookman Old Style" w:hAnsi="Bookman Old Style" w:cs="Arial"/>
          <w:lang w:val="es-CO"/>
        </w:rPr>
        <w:t>, debido a</w:t>
      </w:r>
      <w:r w:rsidR="00A827E0">
        <w:rPr>
          <w:rFonts w:ascii="Bookman Old Style" w:hAnsi="Bookman Old Style" w:cs="Arial"/>
          <w:lang w:val="es-CO"/>
        </w:rPr>
        <w:t xml:space="preserve"> </w:t>
      </w:r>
      <w:r w:rsidR="006D72CC">
        <w:rPr>
          <w:rFonts w:ascii="Bookman Old Style" w:hAnsi="Bookman Old Style" w:cs="Arial"/>
          <w:lang w:val="es-CO"/>
        </w:rPr>
        <w:t>la afectación de</w:t>
      </w:r>
      <w:r w:rsidR="006D5693" w:rsidRPr="00300A83">
        <w:rPr>
          <w:rFonts w:ascii="Bookman Old Style" w:hAnsi="Bookman Old Style" w:cs="Arial"/>
          <w:lang w:val="es-CO"/>
        </w:rPr>
        <w:t xml:space="preserve"> la suficiencia financiera de la empresa</w:t>
      </w:r>
      <w:r w:rsidR="00EE195A">
        <w:rPr>
          <w:rFonts w:ascii="Bookman Old Style" w:hAnsi="Bookman Old Style" w:cs="Arial"/>
          <w:lang w:val="es-CO"/>
        </w:rPr>
        <w:t>, generada</w:t>
      </w:r>
      <w:r w:rsidR="006D5693" w:rsidRPr="00300A83">
        <w:rPr>
          <w:rFonts w:ascii="Bookman Old Style" w:hAnsi="Bookman Old Style" w:cs="Arial"/>
          <w:lang w:val="es-CO"/>
        </w:rPr>
        <w:t xml:space="preserve"> por el no pago de la tarifa</w:t>
      </w:r>
      <w:r w:rsidR="004813D2">
        <w:rPr>
          <w:rFonts w:ascii="Bookman Old Style" w:hAnsi="Bookman Old Style" w:cs="Arial"/>
          <w:lang w:val="es-CO"/>
        </w:rPr>
        <w:t>.</w:t>
      </w:r>
    </w:p>
    <w:p w14:paraId="2665856D" w14:textId="3FEEC513" w:rsidR="0033673D" w:rsidRDefault="00F41FA8" w:rsidP="0033673D">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D</w:t>
      </w:r>
      <w:r w:rsidR="00A95624">
        <w:rPr>
          <w:rFonts w:ascii="Bookman Old Style" w:hAnsi="Bookman Old Style" w:cs="Arial"/>
          <w:lang w:val="es-CO"/>
        </w:rPr>
        <w:t xml:space="preserve">e materializarse </w:t>
      </w:r>
      <w:r w:rsidR="00A647C9">
        <w:rPr>
          <w:rFonts w:ascii="Bookman Old Style" w:hAnsi="Bookman Old Style" w:cs="Arial"/>
          <w:lang w:val="es-CO"/>
        </w:rPr>
        <w:t>l</w:t>
      </w:r>
      <w:r w:rsidR="00A95624">
        <w:rPr>
          <w:rFonts w:ascii="Bookman Old Style" w:hAnsi="Bookman Old Style" w:cs="Arial"/>
          <w:lang w:val="es-CO"/>
        </w:rPr>
        <w:t>a situación</w:t>
      </w:r>
      <w:r w:rsidR="00A647C9">
        <w:rPr>
          <w:rFonts w:ascii="Bookman Old Style" w:hAnsi="Bookman Old Style" w:cs="Arial"/>
          <w:lang w:val="es-CO"/>
        </w:rPr>
        <w:t xml:space="preserve"> previamente mencionada</w:t>
      </w:r>
      <w:r w:rsidR="00A95624">
        <w:rPr>
          <w:rFonts w:ascii="Bookman Old Style" w:hAnsi="Bookman Old Style" w:cs="Arial"/>
          <w:lang w:val="es-CO"/>
        </w:rPr>
        <w:t xml:space="preserve">, </w:t>
      </w:r>
      <w:r w:rsidR="000E3ED0">
        <w:rPr>
          <w:rFonts w:ascii="Bookman Old Style" w:hAnsi="Bookman Old Style" w:cs="Arial"/>
          <w:lang w:val="es-CO"/>
        </w:rPr>
        <w:t>los comercializadores se ve</w:t>
      </w:r>
      <w:r w:rsidR="00661FB8">
        <w:rPr>
          <w:rFonts w:ascii="Bookman Old Style" w:hAnsi="Bookman Old Style" w:cs="Arial"/>
          <w:lang w:val="es-CO"/>
        </w:rPr>
        <w:t>rán</w:t>
      </w:r>
      <w:r w:rsidR="000E3ED0">
        <w:rPr>
          <w:rFonts w:ascii="Bookman Old Style" w:hAnsi="Bookman Old Style" w:cs="Arial"/>
          <w:lang w:val="es-CO"/>
        </w:rPr>
        <w:t xml:space="preserve"> expuestos a incumplimiento en los deberes y responsabilidades</w:t>
      </w:r>
      <w:r w:rsidR="005563F5">
        <w:rPr>
          <w:rFonts w:ascii="Bookman Old Style" w:hAnsi="Bookman Old Style" w:cs="Arial"/>
          <w:lang w:val="es-CO"/>
        </w:rPr>
        <w:t xml:space="preserve"> necesarios</w:t>
      </w:r>
      <w:r w:rsidR="000E3ED0">
        <w:rPr>
          <w:rFonts w:ascii="Bookman Old Style" w:hAnsi="Bookman Old Style" w:cs="Arial"/>
          <w:lang w:val="es-CO"/>
        </w:rPr>
        <w:t xml:space="preserve"> para atender a los usuarios y llevar a cabo la </w:t>
      </w:r>
      <w:r w:rsidR="00074534">
        <w:rPr>
          <w:rFonts w:ascii="Bookman Old Style" w:hAnsi="Bookman Old Style" w:cs="Arial"/>
          <w:lang w:val="es-CO"/>
        </w:rPr>
        <w:t xml:space="preserve">debida y eficiente </w:t>
      </w:r>
      <w:r w:rsidR="000E3ED0">
        <w:rPr>
          <w:rFonts w:ascii="Bookman Old Style" w:hAnsi="Bookman Old Style" w:cs="Arial"/>
          <w:lang w:val="es-CO"/>
        </w:rPr>
        <w:t>prestación del servicio, en la medida que no contaría</w:t>
      </w:r>
      <w:r w:rsidR="00022701">
        <w:rPr>
          <w:rFonts w:ascii="Bookman Old Style" w:hAnsi="Bookman Old Style" w:cs="Arial"/>
          <w:lang w:val="es-CO"/>
        </w:rPr>
        <w:t>n</w:t>
      </w:r>
      <w:r w:rsidR="000E3ED0">
        <w:rPr>
          <w:rFonts w:ascii="Bookman Old Style" w:hAnsi="Bookman Old Style" w:cs="Arial"/>
          <w:lang w:val="es-CO"/>
        </w:rPr>
        <w:t xml:space="preserve"> con flujo de caja </w:t>
      </w:r>
      <w:r w:rsidR="00976E39">
        <w:rPr>
          <w:rFonts w:ascii="Bookman Old Style" w:hAnsi="Bookman Old Style" w:cs="Arial"/>
          <w:lang w:val="es-CO"/>
        </w:rPr>
        <w:t xml:space="preserve">suficiente y adecuado </w:t>
      </w:r>
      <w:r w:rsidR="000E3ED0">
        <w:rPr>
          <w:rFonts w:ascii="Bookman Old Style" w:hAnsi="Bookman Old Style" w:cs="Arial"/>
          <w:lang w:val="es-CO"/>
        </w:rPr>
        <w:t>para atender sus obligaciones</w:t>
      </w:r>
      <w:r w:rsidR="00BF2CF3">
        <w:rPr>
          <w:rStyle w:val="Refdenotaalpie"/>
          <w:rFonts w:ascii="Bookman Old Style" w:hAnsi="Bookman Old Style" w:cs="Arial"/>
          <w:lang w:val="es-CO"/>
        </w:rPr>
        <w:footnoteReference w:id="9"/>
      </w:r>
      <w:r w:rsidR="008B0C62">
        <w:rPr>
          <w:rFonts w:ascii="Bookman Old Style" w:hAnsi="Bookman Old Style" w:cs="Arial"/>
          <w:lang w:val="es-CO"/>
        </w:rPr>
        <w:t>; esto a su vez</w:t>
      </w:r>
      <w:r w:rsidR="00C52BF6">
        <w:rPr>
          <w:rFonts w:ascii="Bookman Old Style" w:hAnsi="Bookman Old Style" w:cs="Arial"/>
          <w:lang w:val="es-CO"/>
        </w:rPr>
        <w:t xml:space="preserve"> afecta la cadena de prestación del servicio y las actividades que de esta hacen parte, </w:t>
      </w:r>
      <w:r w:rsidR="000E3ED0">
        <w:rPr>
          <w:rFonts w:ascii="Bookman Old Style" w:hAnsi="Bookman Old Style" w:cs="Arial"/>
          <w:lang w:val="es-CO"/>
        </w:rPr>
        <w:t xml:space="preserve">así como de manera general, </w:t>
      </w:r>
      <w:r w:rsidR="00E34A99">
        <w:rPr>
          <w:rFonts w:ascii="Bookman Old Style" w:hAnsi="Bookman Old Style" w:cs="Arial"/>
          <w:lang w:val="es-CO"/>
        </w:rPr>
        <w:t xml:space="preserve">se dificulta </w:t>
      </w:r>
      <w:r w:rsidR="000E3ED0">
        <w:rPr>
          <w:rFonts w:ascii="Bookman Old Style" w:hAnsi="Bookman Old Style" w:cs="Arial"/>
          <w:lang w:val="es-CO"/>
        </w:rPr>
        <w:t>la recuperación de los saldos</w:t>
      </w:r>
      <w:r w:rsidR="0033673D">
        <w:rPr>
          <w:rFonts w:ascii="Bookman Old Style" w:hAnsi="Bookman Old Style" w:cs="Arial"/>
          <w:lang w:val="es-CO"/>
        </w:rPr>
        <w:t>.</w:t>
      </w:r>
    </w:p>
    <w:p w14:paraId="47EA6DBF" w14:textId="682007C4" w:rsidR="00141A34" w:rsidRDefault="00202A4F" w:rsidP="0033673D">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El </w:t>
      </w:r>
      <w:r w:rsidR="00A8776A">
        <w:rPr>
          <w:rFonts w:ascii="Bookman Old Style" w:hAnsi="Bookman Old Style" w:cs="Arial"/>
          <w:lang w:val="es-CO"/>
        </w:rPr>
        <w:t>14 de septiembre de 2023 s</w:t>
      </w:r>
      <w:r w:rsidR="00567423">
        <w:rPr>
          <w:rFonts w:ascii="Bookman Old Style" w:hAnsi="Bookman Old Style" w:cs="Arial"/>
          <w:lang w:val="es-CO"/>
        </w:rPr>
        <w:t>e publicó para comentarios</w:t>
      </w:r>
      <w:r w:rsidR="00A8776A">
        <w:rPr>
          <w:rFonts w:ascii="Bookman Old Style" w:hAnsi="Bookman Old Style" w:cs="Arial"/>
          <w:lang w:val="es-CO"/>
        </w:rPr>
        <w:t>,</w:t>
      </w:r>
      <w:r w:rsidR="00567423">
        <w:rPr>
          <w:rFonts w:ascii="Bookman Old Style" w:hAnsi="Bookman Old Style" w:cs="Arial"/>
          <w:lang w:val="es-CO"/>
        </w:rPr>
        <w:t xml:space="preserve"> el proyecto de resolución </w:t>
      </w:r>
      <w:r>
        <w:rPr>
          <w:rFonts w:ascii="Bookman Old Style" w:hAnsi="Bookman Old Style" w:cs="Arial"/>
          <w:lang w:val="es-CO"/>
        </w:rPr>
        <w:t>CREG 701 023 de 2023</w:t>
      </w:r>
      <w:r w:rsidR="00BB4BD0">
        <w:rPr>
          <w:rFonts w:ascii="Bookman Old Style" w:hAnsi="Bookman Old Style" w:cs="Arial"/>
          <w:lang w:val="es-CO"/>
        </w:rPr>
        <w:t xml:space="preserve"> </w:t>
      </w:r>
      <w:r w:rsidR="000D0DAA">
        <w:rPr>
          <w:rFonts w:ascii="Bookman Old Style" w:hAnsi="Bookman Old Style" w:cs="Arial"/>
          <w:lang w:val="es-CO"/>
        </w:rPr>
        <w:t xml:space="preserve">con la propuesta de modificación de </w:t>
      </w:r>
      <w:r w:rsidR="008C47D5" w:rsidRPr="008C47D5">
        <w:rPr>
          <w:rFonts w:ascii="Bookman Old Style" w:hAnsi="Bookman Old Style" w:cs="Arial"/>
          <w:lang w:val="es-CO"/>
        </w:rPr>
        <w:t>la Resolución CREG 119 de 2007</w:t>
      </w:r>
      <w:r w:rsidR="00734DE7">
        <w:rPr>
          <w:rFonts w:ascii="Bookman Old Style" w:hAnsi="Bookman Old Style" w:cs="Arial"/>
          <w:lang w:val="es-CO"/>
        </w:rPr>
        <w:t>,</w:t>
      </w:r>
      <w:r w:rsidR="008C47D5" w:rsidRPr="008C47D5">
        <w:rPr>
          <w:rFonts w:ascii="Bookman Old Style" w:hAnsi="Bookman Old Style" w:cs="Arial"/>
          <w:lang w:val="es-CO"/>
        </w:rPr>
        <w:t xml:space="preserve"> con fundamento en el artículo 126 de la Ley 142 de 199</w:t>
      </w:r>
      <w:r w:rsidR="00720FA4">
        <w:rPr>
          <w:rFonts w:ascii="Bookman Old Style" w:hAnsi="Bookman Old Style" w:cs="Arial"/>
          <w:lang w:val="es-CO"/>
        </w:rPr>
        <w:t>4, respecto de</w:t>
      </w:r>
      <w:r w:rsidR="00734DE7">
        <w:rPr>
          <w:rFonts w:ascii="Bookman Old Style" w:hAnsi="Bookman Old Style" w:cs="Arial"/>
          <w:lang w:val="es-CO"/>
        </w:rPr>
        <w:t>l</w:t>
      </w:r>
      <w:r w:rsidR="00720FA4">
        <w:rPr>
          <w:rFonts w:ascii="Bookman Old Style" w:hAnsi="Bookman Old Style" w:cs="Arial"/>
          <w:lang w:val="es-CO"/>
        </w:rPr>
        <w:t xml:space="preserve"> cual se recibieron </w:t>
      </w:r>
      <w:r w:rsidR="00EE5980">
        <w:rPr>
          <w:rFonts w:ascii="Bookman Old Style" w:hAnsi="Bookman Old Style" w:cs="Arial"/>
          <w:lang w:val="es-CO"/>
        </w:rPr>
        <w:t xml:space="preserve">121 comentarios </w:t>
      </w:r>
      <w:r w:rsidR="00C52FC7">
        <w:rPr>
          <w:rFonts w:ascii="Bookman Old Style" w:hAnsi="Bookman Old Style" w:cs="Arial"/>
          <w:lang w:val="es-CO"/>
        </w:rPr>
        <w:t xml:space="preserve">contenidos en 17 comunicaciones </w:t>
      </w:r>
      <w:r w:rsidR="00EE5980">
        <w:rPr>
          <w:rFonts w:ascii="Bookman Old Style" w:hAnsi="Bookman Old Style" w:cs="Arial"/>
          <w:lang w:val="es-CO"/>
        </w:rPr>
        <w:t>enviad</w:t>
      </w:r>
      <w:r w:rsidR="00C52FC7">
        <w:rPr>
          <w:rFonts w:ascii="Bookman Old Style" w:hAnsi="Bookman Old Style" w:cs="Arial"/>
          <w:lang w:val="es-CO"/>
        </w:rPr>
        <w:t>a</w:t>
      </w:r>
      <w:r w:rsidR="00EE5980">
        <w:rPr>
          <w:rFonts w:ascii="Bookman Old Style" w:hAnsi="Bookman Old Style" w:cs="Arial"/>
          <w:lang w:val="es-CO"/>
        </w:rPr>
        <w:t xml:space="preserve">s </w:t>
      </w:r>
      <w:r w:rsidR="00734DE7">
        <w:rPr>
          <w:rFonts w:ascii="Bookman Old Style" w:hAnsi="Bookman Old Style" w:cs="Arial"/>
          <w:lang w:val="es-CO"/>
        </w:rPr>
        <w:t>mediante los radicados que se relacionan a continuación</w:t>
      </w:r>
      <w:r w:rsidR="00141A34">
        <w:rPr>
          <w:rFonts w:ascii="Bookman Old Style" w:hAnsi="Bookman Old Style" w:cs="Arial"/>
          <w:lang w:val="es-CO"/>
        </w:rPr>
        <w:t>:</w:t>
      </w:r>
    </w:p>
    <w:p w14:paraId="36867218" w14:textId="19D3F5CD" w:rsidR="00141A34" w:rsidRDefault="00C52FC7" w:rsidP="00A93AD0">
      <w:pPr>
        <w:widowControl w:val="0"/>
        <w:spacing w:before="240" w:after="240"/>
        <w:ind w:left="0" w:right="47"/>
        <w:jc w:val="center"/>
        <w:rPr>
          <w:rFonts w:ascii="Bookman Old Style" w:hAnsi="Bookman Old Style" w:cs="Arial"/>
          <w:lang w:val="es-CO"/>
        </w:rPr>
      </w:pPr>
      <w:r w:rsidRPr="00C52FC7">
        <w:rPr>
          <w:noProof/>
        </w:rPr>
        <w:drawing>
          <wp:inline distT="0" distB="0" distL="0" distR="0" wp14:anchorId="7CCF8DE9" wp14:editId="5E519EC0">
            <wp:extent cx="3382982" cy="1665027"/>
            <wp:effectExtent l="0" t="0" r="8255" b="0"/>
            <wp:docPr id="1533317369" name="Imagen 1533317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0202" cy="1673502"/>
                    </a:xfrm>
                    <a:prstGeom prst="rect">
                      <a:avLst/>
                    </a:prstGeom>
                    <a:noFill/>
                    <a:ln>
                      <a:noFill/>
                    </a:ln>
                  </pic:spPr>
                </pic:pic>
              </a:graphicData>
            </a:graphic>
          </wp:inline>
        </w:drawing>
      </w:r>
    </w:p>
    <w:p w14:paraId="3E52139A" w14:textId="000F3D90" w:rsidR="00141A34" w:rsidRDefault="001E6BF8" w:rsidP="0033673D">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Todos </w:t>
      </w:r>
      <w:r w:rsidR="00C52FC7">
        <w:rPr>
          <w:rFonts w:ascii="Bookman Old Style" w:hAnsi="Bookman Old Style" w:cs="Arial"/>
          <w:lang w:val="es-CO"/>
        </w:rPr>
        <w:t>los comentarios</w:t>
      </w:r>
      <w:r>
        <w:rPr>
          <w:rFonts w:ascii="Bookman Old Style" w:hAnsi="Bookman Old Style" w:cs="Arial"/>
          <w:lang w:val="es-CO"/>
        </w:rPr>
        <w:t xml:space="preserve"> fueron analizado</w:t>
      </w:r>
      <w:r w:rsidR="006F1F3D">
        <w:rPr>
          <w:rFonts w:ascii="Bookman Old Style" w:hAnsi="Bookman Old Style" w:cs="Arial"/>
          <w:lang w:val="es-CO"/>
        </w:rPr>
        <w:t xml:space="preserve">s y muchos de ellos </w:t>
      </w:r>
      <w:r w:rsidR="005C6125">
        <w:rPr>
          <w:rFonts w:ascii="Bookman Old Style" w:hAnsi="Bookman Old Style" w:cs="Arial"/>
          <w:lang w:val="es-CO"/>
        </w:rPr>
        <w:t>produjeron modificaciones al proyecto de resolución. E</w:t>
      </w:r>
      <w:r>
        <w:rPr>
          <w:rFonts w:ascii="Bookman Old Style" w:hAnsi="Bookman Old Style" w:cs="Arial"/>
          <w:lang w:val="es-CO"/>
        </w:rPr>
        <w:t>n el documento que acompaña esta resolución se encuentran las respu</w:t>
      </w:r>
      <w:r w:rsidR="005C6125">
        <w:rPr>
          <w:rFonts w:ascii="Bookman Old Style" w:hAnsi="Bookman Old Style" w:cs="Arial"/>
          <w:lang w:val="es-CO"/>
        </w:rPr>
        <w:t>e</w:t>
      </w:r>
      <w:r>
        <w:rPr>
          <w:rFonts w:ascii="Bookman Old Style" w:hAnsi="Bookman Old Style" w:cs="Arial"/>
          <w:lang w:val="es-CO"/>
        </w:rPr>
        <w:t>stas particulares</w:t>
      </w:r>
      <w:r w:rsidR="000E5577">
        <w:rPr>
          <w:rFonts w:ascii="Bookman Old Style" w:hAnsi="Bookman Old Style" w:cs="Arial"/>
          <w:lang w:val="es-CO"/>
        </w:rPr>
        <w:t>.</w:t>
      </w:r>
      <w:r>
        <w:rPr>
          <w:rFonts w:ascii="Bookman Old Style" w:hAnsi="Bookman Old Style" w:cs="Arial"/>
          <w:lang w:val="es-CO"/>
        </w:rPr>
        <w:t xml:space="preserve"> </w:t>
      </w:r>
    </w:p>
    <w:p w14:paraId="04D95881" w14:textId="77777777" w:rsidR="00BA3752" w:rsidRDefault="00BA3752" w:rsidP="00BA3752">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De igual forma, en el documento </w:t>
      </w:r>
      <w:r w:rsidRPr="008B4A02">
        <w:rPr>
          <w:rFonts w:ascii="Bookman Old Style" w:hAnsi="Bookman Old Style" w:cs="Arial"/>
          <w:lang w:val="es-CO"/>
        </w:rPr>
        <w:t>soporte que acompaña la presente resolución</w:t>
      </w:r>
      <w:r w:rsidR="00734DE7">
        <w:rPr>
          <w:rFonts w:ascii="Bookman Old Style" w:hAnsi="Bookman Old Style" w:cs="Arial"/>
          <w:lang w:val="es-CO"/>
        </w:rPr>
        <w:t>,</w:t>
      </w:r>
      <w:r>
        <w:rPr>
          <w:rFonts w:ascii="Bookman Old Style" w:hAnsi="Bookman Old Style" w:cs="Arial"/>
          <w:lang w:val="es-CO"/>
        </w:rPr>
        <w:t xml:space="preserve"> se consignan las consideraciones y análisis que fundamentan y soportan la presente propuesta regulatoria.</w:t>
      </w:r>
    </w:p>
    <w:p w14:paraId="3CE06D24" w14:textId="68FEB2D2" w:rsidR="000710B2" w:rsidRPr="000710B2" w:rsidRDefault="00734DE7" w:rsidP="000710B2">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E</w:t>
      </w:r>
      <w:r w:rsidRPr="000710B2">
        <w:rPr>
          <w:rFonts w:ascii="Bookman Old Style" w:hAnsi="Bookman Old Style" w:cs="Arial"/>
          <w:lang w:val="es-CO"/>
        </w:rPr>
        <w:t>n cumplimiento de lo establecido en el Decreto 1074 de 2015</w:t>
      </w:r>
      <w:r>
        <w:rPr>
          <w:rFonts w:ascii="Bookman Old Style" w:hAnsi="Bookman Old Style" w:cs="Arial"/>
          <w:lang w:val="es-CO"/>
        </w:rPr>
        <w:t xml:space="preserve"> y c</w:t>
      </w:r>
      <w:r w:rsidR="000710B2" w:rsidRPr="000710B2">
        <w:rPr>
          <w:rFonts w:ascii="Bookman Old Style" w:hAnsi="Bookman Old Style" w:cs="Arial"/>
          <w:lang w:val="es-CO"/>
        </w:rPr>
        <w:t xml:space="preserve">omo resultado del diligenciamiento del </w:t>
      </w:r>
      <w:r w:rsidR="000710B2" w:rsidRPr="000F49C2">
        <w:rPr>
          <w:rFonts w:ascii="Bookman Old Style" w:hAnsi="Bookman Old Style" w:cs="Arial"/>
          <w:lang w:val="es-CO"/>
        </w:rPr>
        <w:t xml:space="preserve">formulario sobre prácticas restrictivas a la competencia, se concluyó que esta normativa </w:t>
      </w:r>
      <w:r w:rsidR="000710B2" w:rsidRPr="008A1415">
        <w:rPr>
          <w:rFonts w:ascii="Bookman Old Style" w:hAnsi="Bookman Old Style" w:cs="Arial"/>
          <w:lang w:val="es-CO"/>
        </w:rPr>
        <w:t>no es restrictiva</w:t>
      </w:r>
      <w:r w:rsidR="000710B2" w:rsidRPr="000F49C2">
        <w:rPr>
          <w:rFonts w:ascii="Bookman Old Style" w:hAnsi="Bookman Old Style" w:cs="Arial"/>
          <w:lang w:val="es-CO"/>
        </w:rPr>
        <w:t xml:space="preserve"> de la competencia. </w:t>
      </w:r>
      <w:r w:rsidR="00823924" w:rsidRPr="000F49C2">
        <w:rPr>
          <w:rFonts w:ascii="Bookman Old Style" w:hAnsi="Bookman Old Style" w:cs="Arial"/>
          <w:lang w:val="es-CO"/>
        </w:rPr>
        <w:t>No obstante</w:t>
      </w:r>
      <w:r w:rsidR="007A2F63" w:rsidRPr="000F49C2">
        <w:rPr>
          <w:rFonts w:ascii="Bookman Old Style" w:hAnsi="Bookman Old Style" w:cs="Arial"/>
          <w:lang w:val="es-CO"/>
        </w:rPr>
        <w:t>,</w:t>
      </w:r>
      <w:r w:rsidR="00823924" w:rsidRPr="000F49C2">
        <w:rPr>
          <w:rFonts w:ascii="Bookman Old Style" w:hAnsi="Bookman Old Style" w:cs="Arial"/>
          <w:lang w:val="es-CO"/>
        </w:rPr>
        <w:t xml:space="preserve"> </w:t>
      </w:r>
      <w:r w:rsidRPr="000F49C2">
        <w:rPr>
          <w:rFonts w:ascii="Bookman Old Style" w:hAnsi="Bookman Old Style" w:cs="Arial"/>
          <w:lang w:val="es-CO"/>
        </w:rPr>
        <w:t xml:space="preserve">teniendo en cuenta </w:t>
      </w:r>
      <w:r w:rsidR="007A2F63" w:rsidRPr="000F49C2">
        <w:rPr>
          <w:rFonts w:ascii="Bookman Old Style" w:hAnsi="Bookman Old Style" w:cs="Arial"/>
          <w:lang w:val="es-CO"/>
        </w:rPr>
        <w:t>que se modifica una metodología tarifaria</w:t>
      </w:r>
      <w:r w:rsidR="000710B2" w:rsidRPr="000F49C2">
        <w:rPr>
          <w:rFonts w:ascii="Bookman Old Style" w:hAnsi="Bookman Old Style" w:cs="Arial"/>
          <w:lang w:val="es-CO"/>
        </w:rPr>
        <w:t xml:space="preserve">, </w:t>
      </w:r>
      <w:r w:rsidR="000710B2" w:rsidRPr="008A1415">
        <w:rPr>
          <w:rFonts w:ascii="Bookman Old Style" w:hAnsi="Bookman Old Style" w:cs="Arial"/>
          <w:lang w:val="es-CO"/>
        </w:rPr>
        <w:t>se informó</w:t>
      </w:r>
      <w:r w:rsidR="000710B2" w:rsidRPr="000F49C2">
        <w:rPr>
          <w:rFonts w:ascii="Bookman Old Style" w:hAnsi="Bookman Old Style" w:cs="Arial"/>
          <w:lang w:val="es-CO"/>
        </w:rPr>
        <w:t xml:space="preserve"> a la Superintendencia de Industria y Comercio, SIC, sobre la presente resolución.</w:t>
      </w:r>
    </w:p>
    <w:p w14:paraId="4D9CC36B" w14:textId="225244DD" w:rsidR="000710B2" w:rsidRDefault="000710B2" w:rsidP="000710B2">
      <w:pPr>
        <w:widowControl w:val="0"/>
        <w:spacing w:before="240" w:after="240"/>
        <w:ind w:left="0" w:right="47"/>
        <w:jc w:val="both"/>
        <w:rPr>
          <w:rFonts w:ascii="Bookman Old Style" w:hAnsi="Bookman Old Style" w:cs="Arial"/>
          <w:lang w:val="es-CO"/>
        </w:rPr>
      </w:pPr>
      <w:r w:rsidRPr="000710B2">
        <w:rPr>
          <w:rFonts w:ascii="Bookman Old Style" w:hAnsi="Bookman Old Style" w:cs="Arial"/>
          <w:lang w:val="es-CO"/>
        </w:rPr>
        <w:t xml:space="preserve">Con base en lo anterior, la Comisión de Regulación de Energía y Gas, en su </w:t>
      </w:r>
      <w:r w:rsidRPr="000710B2">
        <w:rPr>
          <w:rFonts w:ascii="Bookman Old Style" w:hAnsi="Bookman Old Style" w:cs="Arial"/>
          <w:lang w:val="es-CO"/>
        </w:rPr>
        <w:lastRenderedPageBreak/>
        <w:t xml:space="preserve">sesión No. </w:t>
      </w:r>
      <w:r w:rsidR="00734DE7">
        <w:rPr>
          <w:rFonts w:ascii="Bookman Old Style" w:hAnsi="Bookman Old Style" w:cs="Arial"/>
          <w:lang w:val="es-CO"/>
        </w:rPr>
        <w:t>1294</w:t>
      </w:r>
      <w:r w:rsidRPr="000710B2">
        <w:rPr>
          <w:rFonts w:ascii="Bookman Old Style" w:hAnsi="Bookman Old Style" w:cs="Arial"/>
          <w:lang w:val="es-CO"/>
        </w:rPr>
        <w:t xml:space="preserve"> del </w:t>
      </w:r>
      <w:r>
        <w:rPr>
          <w:rFonts w:ascii="Bookman Old Style" w:hAnsi="Bookman Old Style" w:cs="Arial"/>
          <w:lang w:val="es-CO"/>
        </w:rPr>
        <w:t>24</w:t>
      </w:r>
      <w:r w:rsidRPr="000710B2">
        <w:rPr>
          <w:rFonts w:ascii="Bookman Old Style" w:hAnsi="Bookman Old Style" w:cs="Arial"/>
          <w:lang w:val="es-CO"/>
        </w:rPr>
        <w:t xml:space="preserve"> de </w:t>
      </w:r>
      <w:r>
        <w:rPr>
          <w:rFonts w:ascii="Bookman Old Style" w:hAnsi="Bookman Old Style" w:cs="Arial"/>
          <w:lang w:val="es-CO"/>
        </w:rPr>
        <w:t>noviembre</w:t>
      </w:r>
      <w:r w:rsidRPr="000710B2">
        <w:rPr>
          <w:rFonts w:ascii="Bookman Old Style" w:hAnsi="Bookman Old Style" w:cs="Arial"/>
          <w:lang w:val="es-CO"/>
        </w:rPr>
        <w:t xml:space="preserve"> de 2023, acordó expedir esta resolución.</w:t>
      </w:r>
    </w:p>
    <w:p w14:paraId="5B1B2EE7" w14:textId="437B2718" w:rsidR="0035106B" w:rsidRPr="00993977" w:rsidRDefault="0035106B" w:rsidP="00993977">
      <w:pPr>
        <w:spacing w:before="120" w:after="120"/>
        <w:ind w:left="0" w:right="-142"/>
        <w:jc w:val="both"/>
        <w:rPr>
          <w:rFonts w:ascii="Bookman Old Style" w:hAnsi="Bookman Old Style"/>
          <w:color w:val="000000"/>
          <w:lang w:val="es-ES_tradnl"/>
        </w:rPr>
      </w:pPr>
      <w:r w:rsidRPr="0035106B">
        <w:rPr>
          <w:rFonts w:ascii="Bookman Old Style" w:hAnsi="Bookman Old Style"/>
          <w:color w:val="000000"/>
          <w:lang w:val="es-ES_tradnl"/>
        </w:rPr>
        <w:t xml:space="preserve">En consecuencia, </w:t>
      </w:r>
    </w:p>
    <w:p w14:paraId="75C31764" w14:textId="77777777" w:rsidR="001B36D8" w:rsidRPr="009E2240" w:rsidRDefault="001B36D8" w:rsidP="00312A3F">
      <w:pPr>
        <w:widowControl w:val="0"/>
        <w:spacing w:before="480" w:after="480"/>
        <w:ind w:left="0"/>
        <w:jc w:val="center"/>
        <w:rPr>
          <w:rFonts w:ascii="Bookman Old Style" w:hAnsi="Bookman Old Style" w:cs="Arial"/>
        </w:rPr>
      </w:pPr>
      <w:r w:rsidRPr="009E2240">
        <w:rPr>
          <w:rFonts w:ascii="Bookman Old Style" w:hAnsi="Bookman Old Style" w:cs="Arial"/>
          <w:b/>
          <w:spacing w:val="80"/>
        </w:rPr>
        <w:t>RESUELVE</w:t>
      </w:r>
      <w:r w:rsidRPr="009E2240">
        <w:rPr>
          <w:rFonts w:ascii="Bookman Old Style" w:hAnsi="Bookman Old Style" w:cs="Arial"/>
          <w:b/>
        </w:rPr>
        <w:t>:</w:t>
      </w:r>
    </w:p>
    <w:p w14:paraId="0B6BB3D9" w14:textId="47C2D093" w:rsidR="00D131EE" w:rsidRDefault="00867B0B" w:rsidP="00E10E5B">
      <w:pPr>
        <w:pStyle w:val="Estilo2"/>
        <w:keepNext w:val="0"/>
        <w:numPr>
          <w:ilvl w:val="0"/>
          <w:numId w:val="17"/>
        </w:numPr>
        <w:tabs>
          <w:tab w:val="clear" w:pos="1440"/>
        </w:tabs>
        <w:spacing w:before="240" w:after="240"/>
        <w:rPr>
          <w:b w:val="0"/>
          <w:bCs w:val="0"/>
        </w:rPr>
      </w:pPr>
      <w:r>
        <w:t xml:space="preserve">Objeto. </w:t>
      </w:r>
      <w:r w:rsidR="006F56D4" w:rsidRPr="00993977">
        <w:rPr>
          <w:b w:val="0"/>
          <w:bCs w:val="0"/>
        </w:rPr>
        <w:t xml:space="preserve">La presente resolución tiene como objeto establecer la </w:t>
      </w:r>
      <w:r w:rsidR="00B81291">
        <w:rPr>
          <w:b w:val="0"/>
          <w:bCs w:val="0"/>
        </w:rPr>
        <w:t>modificación de los artículos 4</w:t>
      </w:r>
      <w:r w:rsidR="00E268A4">
        <w:rPr>
          <w:b w:val="0"/>
          <w:bCs w:val="0"/>
        </w:rPr>
        <w:t xml:space="preserve">º, 11º y adicionar el Anexo 3 a la Resolución </w:t>
      </w:r>
      <w:r w:rsidR="00D475D5">
        <w:rPr>
          <w:b w:val="0"/>
          <w:bCs w:val="0"/>
        </w:rPr>
        <w:t>CREG 119 de 2007 “</w:t>
      </w:r>
      <w:r w:rsidR="00D475D5" w:rsidRPr="00D475D5">
        <w:rPr>
          <w:b w:val="0"/>
          <w:bCs w:val="0"/>
        </w:rPr>
        <w:t>Por la cual se aprueba la fórmula tarifaria general que permite a los Comercializadores Minoristas de electricidad establecer los costos de prestación del servicio a usuarios regulados en el Sistema Interconectado Nacional</w:t>
      </w:r>
      <w:r w:rsidR="00D475D5">
        <w:rPr>
          <w:b w:val="0"/>
          <w:bCs w:val="0"/>
        </w:rPr>
        <w:t>”</w:t>
      </w:r>
      <w:r w:rsidR="00062C94">
        <w:rPr>
          <w:b w:val="0"/>
          <w:bCs w:val="0"/>
        </w:rPr>
        <w:t xml:space="preserve"> en el marco del artículo 126 de la Ley 142 de 1994</w:t>
      </w:r>
      <w:r w:rsidR="00D131EE">
        <w:rPr>
          <w:b w:val="0"/>
          <w:bCs w:val="0"/>
        </w:rPr>
        <w:t>.</w:t>
      </w:r>
    </w:p>
    <w:p w14:paraId="26A902E1" w14:textId="323BE0C5" w:rsidR="003C14B7" w:rsidRDefault="00D20851" w:rsidP="00D20851">
      <w:pPr>
        <w:pStyle w:val="Estilo2"/>
        <w:keepNext w:val="0"/>
        <w:numPr>
          <w:ilvl w:val="0"/>
          <w:numId w:val="17"/>
        </w:numPr>
        <w:tabs>
          <w:tab w:val="clear" w:pos="1440"/>
        </w:tabs>
        <w:spacing w:before="240" w:after="240"/>
        <w:rPr>
          <w:b w:val="0"/>
          <w:bCs w:val="0"/>
        </w:rPr>
      </w:pPr>
      <w:bookmarkStart w:id="0" w:name="_Ref151581345"/>
      <w:r>
        <w:t>Al</w:t>
      </w:r>
      <w:r w:rsidR="009C2C79">
        <w:t xml:space="preserve">cance. </w:t>
      </w:r>
      <w:r w:rsidR="009C2C79" w:rsidRPr="00993977">
        <w:rPr>
          <w:b w:val="0"/>
          <w:bCs w:val="0"/>
        </w:rPr>
        <w:t xml:space="preserve">La presente resolución </w:t>
      </w:r>
      <w:r w:rsidR="00337F30">
        <w:rPr>
          <w:b w:val="0"/>
          <w:bCs w:val="0"/>
        </w:rPr>
        <w:t>aplica a</w:t>
      </w:r>
      <w:r w:rsidR="003C14B7">
        <w:rPr>
          <w:b w:val="0"/>
          <w:bCs w:val="0"/>
        </w:rPr>
        <w:t>:</w:t>
      </w:r>
    </w:p>
    <w:p w14:paraId="151CD6B4" w14:textId="4366B392" w:rsidR="008F2D82" w:rsidRDefault="003C14B7" w:rsidP="00A93AD0">
      <w:pPr>
        <w:pStyle w:val="Estilo2"/>
        <w:keepNext w:val="0"/>
        <w:numPr>
          <w:ilvl w:val="0"/>
          <w:numId w:val="52"/>
        </w:numPr>
        <w:spacing w:before="240" w:after="240"/>
        <w:rPr>
          <w:b w:val="0"/>
          <w:bCs w:val="0"/>
        </w:rPr>
      </w:pPr>
      <w:r>
        <w:rPr>
          <w:b w:val="0"/>
          <w:bCs w:val="0"/>
        </w:rPr>
        <w:t>L</w:t>
      </w:r>
      <w:r w:rsidR="0068009A">
        <w:rPr>
          <w:b w:val="0"/>
          <w:bCs w:val="0"/>
        </w:rPr>
        <w:t>os</w:t>
      </w:r>
      <w:r w:rsidR="009C2C79">
        <w:rPr>
          <w:b w:val="0"/>
          <w:bCs w:val="0"/>
        </w:rPr>
        <w:t xml:space="preserve"> agentes comercializadores del </w:t>
      </w:r>
      <w:r w:rsidR="0068009A">
        <w:rPr>
          <w:b w:val="0"/>
          <w:bCs w:val="0"/>
        </w:rPr>
        <w:t xml:space="preserve">Sistema </w:t>
      </w:r>
      <w:r w:rsidR="009C2C79">
        <w:rPr>
          <w:b w:val="0"/>
          <w:bCs w:val="0"/>
        </w:rPr>
        <w:t xml:space="preserve">Interconectado </w:t>
      </w:r>
      <w:r w:rsidR="0068009A">
        <w:rPr>
          <w:b w:val="0"/>
          <w:bCs w:val="0"/>
        </w:rPr>
        <w:t>Nacional</w:t>
      </w:r>
      <w:r w:rsidR="000F5DCC">
        <w:rPr>
          <w:b w:val="0"/>
          <w:bCs w:val="0"/>
        </w:rPr>
        <w:t>, SIN,</w:t>
      </w:r>
      <w:r w:rsidR="0068009A">
        <w:rPr>
          <w:b w:val="0"/>
          <w:bCs w:val="0"/>
        </w:rPr>
        <w:t xml:space="preserve"> </w:t>
      </w:r>
      <w:r w:rsidR="009C2C79">
        <w:rPr>
          <w:b w:val="0"/>
          <w:bCs w:val="0"/>
        </w:rPr>
        <w:t>que cuenten con saldos acumulados en el marco de la opción tarifaria a que hace referencia la Resolución CREG 012 de 2020 y que en el marco de la causal de modificación de las fórmulas tarifarias por mutuo acuerdo, señalada en el artículo 126 de la Ley 142 de 1994, decidan acogerse a la presente resolución</w:t>
      </w:r>
      <w:r w:rsidR="008F2D82">
        <w:rPr>
          <w:b w:val="0"/>
          <w:bCs w:val="0"/>
        </w:rPr>
        <w:t>.</w:t>
      </w:r>
      <w:bookmarkEnd w:id="0"/>
    </w:p>
    <w:p w14:paraId="278F6C50" w14:textId="348DE547" w:rsidR="008F2D82" w:rsidRDefault="003C14B7" w:rsidP="00A93AD0">
      <w:pPr>
        <w:pStyle w:val="Estilo2"/>
        <w:keepNext w:val="0"/>
        <w:numPr>
          <w:ilvl w:val="0"/>
          <w:numId w:val="52"/>
        </w:numPr>
        <w:spacing w:before="240" w:after="240"/>
        <w:rPr>
          <w:b w:val="0"/>
          <w:bCs w:val="0"/>
        </w:rPr>
      </w:pPr>
      <w:r>
        <w:rPr>
          <w:b w:val="0"/>
          <w:bCs w:val="0"/>
        </w:rPr>
        <w:t>L</w:t>
      </w:r>
      <w:r w:rsidR="008F2D82">
        <w:rPr>
          <w:b w:val="0"/>
          <w:bCs w:val="0"/>
        </w:rPr>
        <w:t xml:space="preserve">os comercializadores </w:t>
      </w:r>
      <w:r w:rsidR="000F5DCC">
        <w:rPr>
          <w:b w:val="0"/>
          <w:bCs w:val="0"/>
        </w:rPr>
        <w:t xml:space="preserve">del SIN </w:t>
      </w:r>
      <w:r w:rsidR="008F2D82">
        <w:rPr>
          <w:b w:val="0"/>
          <w:bCs w:val="0"/>
        </w:rPr>
        <w:t>que</w:t>
      </w:r>
      <w:r w:rsidR="000F5DCC">
        <w:rPr>
          <w:b w:val="0"/>
          <w:bCs w:val="0"/>
        </w:rPr>
        <w:t xml:space="preserve">, sin haberse acogido a los establecido en esta resolución, desarrollen su actividad </w:t>
      </w:r>
      <w:r w:rsidR="00AF2E5C">
        <w:rPr>
          <w:b w:val="0"/>
          <w:bCs w:val="0"/>
        </w:rPr>
        <w:t>en un mercado donde otro comercializador de energía se haya acogido</w:t>
      </w:r>
      <w:r w:rsidR="003D2868">
        <w:rPr>
          <w:b w:val="0"/>
          <w:bCs w:val="0"/>
        </w:rPr>
        <w:t xml:space="preserve"> al mutuo acuerdo </w:t>
      </w:r>
      <w:r w:rsidR="00773A5C">
        <w:rPr>
          <w:b w:val="0"/>
          <w:bCs w:val="0"/>
        </w:rPr>
        <w:t>p</w:t>
      </w:r>
      <w:r w:rsidR="003D2868">
        <w:rPr>
          <w:b w:val="0"/>
          <w:bCs w:val="0"/>
        </w:rPr>
        <w:t>lanteado en esta resolución.</w:t>
      </w:r>
    </w:p>
    <w:p w14:paraId="04A568B8" w14:textId="064DEB4D" w:rsidR="009A4815" w:rsidRDefault="003C14B7" w:rsidP="00A93AD0">
      <w:pPr>
        <w:pStyle w:val="Estilo2"/>
        <w:keepNext w:val="0"/>
        <w:numPr>
          <w:ilvl w:val="0"/>
          <w:numId w:val="52"/>
        </w:numPr>
        <w:spacing w:before="240" w:after="240"/>
        <w:rPr>
          <w:b w:val="0"/>
          <w:bCs w:val="0"/>
        </w:rPr>
      </w:pPr>
      <w:r>
        <w:rPr>
          <w:b w:val="0"/>
          <w:bCs w:val="0"/>
        </w:rPr>
        <w:t>L</w:t>
      </w:r>
      <w:r w:rsidR="00EF74DC">
        <w:rPr>
          <w:b w:val="0"/>
          <w:bCs w:val="0"/>
        </w:rPr>
        <w:t xml:space="preserve">os usuarios </w:t>
      </w:r>
      <w:r w:rsidR="00E62D70">
        <w:rPr>
          <w:b w:val="0"/>
          <w:bCs w:val="0"/>
        </w:rPr>
        <w:t xml:space="preserve">regulados </w:t>
      </w:r>
      <w:r w:rsidR="00EF74DC">
        <w:rPr>
          <w:b w:val="0"/>
          <w:bCs w:val="0"/>
        </w:rPr>
        <w:t xml:space="preserve">existentes y </w:t>
      </w:r>
      <w:r w:rsidR="00E62D70">
        <w:rPr>
          <w:b w:val="0"/>
          <w:bCs w:val="0"/>
        </w:rPr>
        <w:t xml:space="preserve">nuevos </w:t>
      </w:r>
      <w:r w:rsidR="00916835">
        <w:rPr>
          <w:b w:val="0"/>
          <w:bCs w:val="0"/>
        </w:rPr>
        <w:t xml:space="preserve">de </w:t>
      </w:r>
      <w:r w:rsidR="00EF74DC">
        <w:rPr>
          <w:b w:val="0"/>
          <w:bCs w:val="0"/>
        </w:rPr>
        <w:t>un mercado de comercialización donde</w:t>
      </w:r>
      <w:r w:rsidR="00916835">
        <w:rPr>
          <w:b w:val="0"/>
          <w:bCs w:val="0"/>
        </w:rPr>
        <w:t>,</w:t>
      </w:r>
      <w:r w:rsidR="00EF74DC">
        <w:rPr>
          <w:b w:val="0"/>
          <w:bCs w:val="0"/>
        </w:rPr>
        <w:t xml:space="preserve"> </w:t>
      </w:r>
      <w:r w:rsidR="00E62D70">
        <w:rPr>
          <w:b w:val="0"/>
          <w:bCs w:val="0"/>
        </w:rPr>
        <w:t>por lo menos</w:t>
      </w:r>
      <w:r w:rsidR="00916835">
        <w:rPr>
          <w:b w:val="0"/>
          <w:bCs w:val="0"/>
        </w:rPr>
        <w:t>,</w:t>
      </w:r>
      <w:r w:rsidR="00E62D70">
        <w:rPr>
          <w:b w:val="0"/>
          <w:bCs w:val="0"/>
        </w:rPr>
        <w:t xml:space="preserve"> un comercial</w:t>
      </w:r>
      <w:r w:rsidR="00916835">
        <w:rPr>
          <w:b w:val="0"/>
          <w:bCs w:val="0"/>
        </w:rPr>
        <w:t>i</w:t>
      </w:r>
      <w:r w:rsidR="00E62D70">
        <w:rPr>
          <w:b w:val="0"/>
          <w:bCs w:val="0"/>
        </w:rPr>
        <w:t>zador de energía eléctrica se haya acogido a lo establecido en esta resolución.</w:t>
      </w:r>
    </w:p>
    <w:p w14:paraId="5CC05A20" w14:textId="1B97C9AE" w:rsidR="003C14B7" w:rsidRDefault="00D72F48" w:rsidP="00A93AD0">
      <w:pPr>
        <w:pStyle w:val="Estilo2"/>
        <w:keepNext w:val="0"/>
        <w:numPr>
          <w:ilvl w:val="0"/>
          <w:numId w:val="52"/>
        </w:numPr>
        <w:spacing w:before="240" w:after="240"/>
        <w:rPr>
          <w:b w:val="0"/>
          <w:bCs w:val="0"/>
        </w:rPr>
      </w:pPr>
      <w:r>
        <w:rPr>
          <w:b w:val="0"/>
          <w:bCs w:val="0"/>
        </w:rPr>
        <w:t>Los usuarios que</w:t>
      </w:r>
      <w:r w:rsidR="008670FD">
        <w:rPr>
          <w:b w:val="0"/>
          <w:bCs w:val="0"/>
        </w:rPr>
        <w:t xml:space="preserve">, siendo atendidos </w:t>
      </w:r>
      <w:r w:rsidR="004E7455">
        <w:rPr>
          <w:b w:val="0"/>
          <w:bCs w:val="0"/>
        </w:rPr>
        <w:t xml:space="preserve">por un comercializador que se haya </w:t>
      </w:r>
      <w:r w:rsidR="00047C02">
        <w:rPr>
          <w:b w:val="0"/>
          <w:bCs w:val="0"/>
        </w:rPr>
        <w:t xml:space="preserve">acogido a </w:t>
      </w:r>
      <w:r w:rsidR="005463B3">
        <w:rPr>
          <w:b w:val="0"/>
          <w:bCs w:val="0"/>
        </w:rPr>
        <w:t>al mutuo acuerdo planteado en esta resolución</w:t>
      </w:r>
      <w:r w:rsidR="004E7455">
        <w:rPr>
          <w:b w:val="0"/>
          <w:bCs w:val="0"/>
        </w:rPr>
        <w:t xml:space="preserve">, </w:t>
      </w:r>
      <w:r w:rsidR="00873632">
        <w:rPr>
          <w:b w:val="0"/>
          <w:bCs w:val="0"/>
        </w:rPr>
        <w:t>cambien de comercializador</w:t>
      </w:r>
      <w:r w:rsidR="00560007">
        <w:rPr>
          <w:b w:val="0"/>
          <w:bCs w:val="0"/>
        </w:rPr>
        <w:t>,</w:t>
      </w:r>
      <w:r w:rsidR="00893B78">
        <w:rPr>
          <w:b w:val="0"/>
          <w:bCs w:val="0"/>
        </w:rPr>
        <w:t xml:space="preserve"> de nivel de tensión</w:t>
      </w:r>
      <w:r w:rsidR="00560007">
        <w:rPr>
          <w:b w:val="0"/>
          <w:bCs w:val="0"/>
        </w:rPr>
        <w:t xml:space="preserve"> o del mercado regulado al no regulado;</w:t>
      </w:r>
      <w:r w:rsidR="004C708A">
        <w:rPr>
          <w:b w:val="0"/>
          <w:bCs w:val="0"/>
        </w:rPr>
        <w:t xml:space="preserve"> quienes seguir</w:t>
      </w:r>
      <w:r w:rsidR="00417562">
        <w:rPr>
          <w:b w:val="0"/>
          <w:bCs w:val="0"/>
        </w:rPr>
        <w:t>án p</w:t>
      </w:r>
      <w:r w:rsidR="004C708A">
        <w:rPr>
          <w:b w:val="0"/>
          <w:bCs w:val="0"/>
        </w:rPr>
        <w:t>agando el c</w:t>
      </w:r>
      <w:r w:rsidR="00417562">
        <w:rPr>
          <w:b w:val="0"/>
          <w:bCs w:val="0"/>
        </w:rPr>
        <w:t xml:space="preserve">osto de opción tarifaria del mercado aplicable </w:t>
      </w:r>
      <w:r w:rsidR="00536DF7">
        <w:rPr>
          <w:b w:val="0"/>
          <w:bCs w:val="0"/>
        </w:rPr>
        <w:t>antes de su cambio.</w:t>
      </w:r>
    </w:p>
    <w:p w14:paraId="4977C18F" w14:textId="6B7E767A" w:rsidR="007C7633" w:rsidRDefault="00560007" w:rsidP="00A93AD0">
      <w:pPr>
        <w:pStyle w:val="Estilo2"/>
        <w:keepNext w:val="0"/>
        <w:numPr>
          <w:ilvl w:val="0"/>
          <w:numId w:val="52"/>
        </w:numPr>
        <w:spacing w:before="240" w:after="240"/>
        <w:rPr>
          <w:b w:val="0"/>
          <w:bCs w:val="0"/>
        </w:rPr>
      </w:pPr>
      <w:r>
        <w:rPr>
          <w:b w:val="0"/>
          <w:bCs w:val="0"/>
        </w:rPr>
        <w:t>L</w:t>
      </w:r>
      <w:r w:rsidR="00AF2F45">
        <w:rPr>
          <w:b w:val="0"/>
          <w:bCs w:val="0"/>
        </w:rPr>
        <w:t xml:space="preserve">os usuarios </w:t>
      </w:r>
      <w:r w:rsidR="000D0C31">
        <w:rPr>
          <w:b w:val="0"/>
          <w:bCs w:val="0"/>
        </w:rPr>
        <w:t>n</w:t>
      </w:r>
      <w:r w:rsidR="00AF2F45">
        <w:rPr>
          <w:b w:val="0"/>
          <w:bCs w:val="0"/>
        </w:rPr>
        <w:t xml:space="preserve">o regulados que </w:t>
      </w:r>
      <w:r w:rsidR="00DC4D79">
        <w:rPr>
          <w:b w:val="0"/>
          <w:bCs w:val="0"/>
        </w:rPr>
        <w:t xml:space="preserve">por cualquier motivo </w:t>
      </w:r>
      <w:r w:rsidR="000D0C31">
        <w:rPr>
          <w:b w:val="0"/>
          <w:bCs w:val="0"/>
        </w:rPr>
        <w:t>cambi</w:t>
      </w:r>
      <w:r w:rsidR="00DC4D79">
        <w:rPr>
          <w:b w:val="0"/>
          <w:bCs w:val="0"/>
        </w:rPr>
        <w:t>en</w:t>
      </w:r>
      <w:r w:rsidR="000D0C31">
        <w:rPr>
          <w:b w:val="0"/>
          <w:bCs w:val="0"/>
        </w:rPr>
        <w:t xml:space="preserve"> </w:t>
      </w:r>
      <w:r w:rsidR="00141ABE">
        <w:rPr>
          <w:b w:val="0"/>
          <w:bCs w:val="0"/>
        </w:rPr>
        <w:t>a</w:t>
      </w:r>
      <w:r w:rsidR="000D0C31">
        <w:rPr>
          <w:b w:val="0"/>
          <w:bCs w:val="0"/>
        </w:rPr>
        <w:t xml:space="preserve">l mercado </w:t>
      </w:r>
      <w:r w:rsidR="00141ABE">
        <w:rPr>
          <w:b w:val="0"/>
          <w:bCs w:val="0"/>
        </w:rPr>
        <w:t>regulado</w:t>
      </w:r>
      <w:r w:rsidR="00217ADB">
        <w:rPr>
          <w:b w:val="0"/>
          <w:bCs w:val="0"/>
        </w:rPr>
        <w:t xml:space="preserve"> a</w:t>
      </w:r>
      <w:r w:rsidR="00217ADB" w:rsidRPr="00217ADB">
        <w:rPr>
          <w:b w:val="0"/>
          <w:bCs w:val="0"/>
        </w:rPr>
        <w:t xml:space="preserve">tendido por un comercializador que </w:t>
      </w:r>
      <w:r w:rsidR="00047C02">
        <w:rPr>
          <w:b w:val="0"/>
          <w:bCs w:val="0"/>
        </w:rPr>
        <w:t xml:space="preserve">se haya acogido </w:t>
      </w:r>
      <w:r w:rsidR="005463B3">
        <w:rPr>
          <w:b w:val="0"/>
          <w:bCs w:val="0"/>
        </w:rPr>
        <w:t>al mutuo acuerdo planteado en esta resolución</w:t>
      </w:r>
      <w:r w:rsidR="001C065C">
        <w:rPr>
          <w:b w:val="0"/>
          <w:bCs w:val="0"/>
        </w:rPr>
        <w:t xml:space="preserve">, </w:t>
      </w:r>
      <w:r w:rsidR="00DC4D79">
        <w:rPr>
          <w:b w:val="0"/>
          <w:bCs w:val="0"/>
        </w:rPr>
        <w:t xml:space="preserve">exceptuando aquellos usuarios </w:t>
      </w:r>
      <w:r w:rsidR="00DB0E4C">
        <w:rPr>
          <w:b w:val="0"/>
          <w:bCs w:val="0"/>
        </w:rPr>
        <w:t xml:space="preserve">no regulados </w:t>
      </w:r>
      <w:r w:rsidR="00DC4D79">
        <w:rPr>
          <w:b w:val="0"/>
          <w:bCs w:val="0"/>
        </w:rPr>
        <w:t xml:space="preserve">que </w:t>
      </w:r>
      <w:r w:rsidR="00E214AA">
        <w:rPr>
          <w:b w:val="0"/>
          <w:bCs w:val="0"/>
        </w:rPr>
        <w:t xml:space="preserve">sean trasladados al mercado regulado </w:t>
      </w:r>
      <w:r w:rsidR="00DC4D79">
        <w:rPr>
          <w:b w:val="0"/>
          <w:bCs w:val="0"/>
        </w:rPr>
        <w:t xml:space="preserve">como producto de limitación de suministro </w:t>
      </w:r>
      <w:r w:rsidR="003C28CE">
        <w:rPr>
          <w:b w:val="0"/>
          <w:bCs w:val="0"/>
        </w:rPr>
        <w:t>dirigido al comercializador que lo atendía.</w:t>
      </w:r>
    </w:p>
    <w:p w14:paraId="527E528D" w14:textId="0CA2046E" w:rsidR="00E95010" w:rsidRDefault="00350C9D" w:rsidP="008F2D82">
      <w:pPr>
        <w:pStyle w:val="Estilo2"/>
        <w:keepNext w:val="0"/>
        <w:numPr>
          <w:ilvl w:val="0"/>
          <w:numId w:val="0"/>
        </w:numPr>
        <w:spacing w:before="240" w:after="240"/>
        <w:rPr>
          <w:b w:val="0"/>
          <w:bCs w:val="0"/>
        </w:rPr>
      </w:pPr>
      <w:r>
        <w:rPr>
          <w:b w:val="0"/>
          <w:bCs w:val="0"/>
        </w:rPr>
        <w:t>E</w:t>
      </w:r>
      <w:r w:rsidR="00581AF2">
        <w:rPr>
          <w:b w:val="0"/>
          <w:bCs w:val="0"/>
        </w:rPr>
        <w:t xml:space="preserve">sta resolución </w:t>
      </w:r>
      <w:r>
        <w:rPr>
          <w:b w:val="0"/>
          <w:bCs w:val="0"/>
        </w:rPr>
        <w:t xml:space="preserve">no aplica </w:t>
      </w:r>
      <w:r w:rsidR="00581AF2">
        <w:rPr>
          <w:b w:val="0"/>
          <w:bCs w:val="0"/>
        </w:rPr>
        <w:t xml:space="preserve">a aquellos usuarios </w:t>
      </w:r>
      <w:r w:rsidR="00524883">
        <w:rPr>
          <w:b w:val="0"/>
          <w:bCs w:val="0"/>
        </w:rPr>
        <w:t xml:space="preserve">regulados </w:t>
      </w:r>
      <w:r w:rsidR="00581AF2">
        <w:rPr>
          <w:b w:val="0"/>
          <w:bCs w:val="0"/>
        </w:rPr>
        <w:t>que son atendidos por un comercializador</w:t>
      </w:r>
      <w:r w:rsidR="008F212B">
        <w:rPr>
          <w:b w:val="0"/>
          <w:bCs w:val="0"/>
        </w:rPr>
        <w:t xml:space="preserve"> que</w:t>
      </w:r>
      <w:r w:rsidR="00460FC4">
        <w:rPr>
          <w:b w:val="0"/>
          <w:bCs w:val="0"/>
        </w:rPr>
        <w:t xml:space="preserve">, a la fecha de </w:t>
      </w:r>
      <w:proofErr w:type="gramStart"/>
      <w:r w:rsidR="00460FC4">
        <w:rPr>
          <w:b w:val="0"/>
          <w:bCs w:val="0"/>
        </w:rPr>
        <w:t>entrada en vigencia</w:t>
      </w:r>
      <w:proofErr w:type="gramEnd"/>
      <w:r w:rsidR="00460FC4">
        <w:rPr>
          <w:b w:val="0"/>
          <w:bCs w:val="0"/>
        </w:rPr>
        <w:t xml:space="preserve"> de la presente resolución, </w:t>
      </w:r>
      <w:r w:rsidR="008F212B">
        <w:rPr>
          <w:b w:val="0"/>
          <w:bCs w:val="0"/>
        </w:rPr>
        <w:t xml:space="preserve">no </w:t>
      </w:r>
      <w:r w:rsidR="0012352D">
        <w:rPr>
          <w:b w:val="0"/>
          <w:bCs w:val="0"/>
        </w:rPr>
        <w:t>registre sal</w:t>
      </w:r>
      <w:r w:rsidR="00082962">
        <w:rPr>
          <w:b w:val="0"/>
          <w:bCs w:val="0"/>
        </w:rPr>
        <w:t>d</w:t>
      </w:r>
      <w:r w:rsidR="0012352D">
        <w:rPr>
          <w:b w:val="0"/>
          <w:bCs w:val="0"/>
        </w:rPr>
        <w:t>o acumulado por objeto de l</w:t>
      </w:r>
      <w:r w:rsidR="0074378B">
        <w:rPr>
          <w:b w:val="0"/>
          <w:bCs w:val="0"/>
        </w:rPr>
        <w:t>a opción tarifaria establecida mediante la Resolución CREG 012 de 2020</w:t>
      </w:r>
      <w:r w:rsidR="00AC10DD">
        <w:rPr>
          <w:b w:val="0"/>
          <w:bCs w:val="0"/>
        </w:rPr>
        <w:t>.</w:t>
      </w:r>
    </w:p>
    <w:p w14:paraId="6F9DA82B" w14:textId="6F195696" w:rsidR="00077219" w:rsidRDefault="005F0D1F" w:rsidP="008F2D82">
      <w:pPr>
        <w:pStyle w:val="Estilo2"/>
        <w:keepNext w:val="0"/>
        <w:numPr>
          <w:ilvl w:val="0"/>
          <w:numId w:val="0"/>
        </w:numPr>
        <w:spacing w:before="240" w:after="240"/>
        <w:rPr>
          <w:b w:val="0"/>
          <w:bCs w:val="0"/>
        </w:rPr>
      </w:pPr>
      <w:r>
        <w:rPr>
          <w:b w:val="0"/>
          <w:bCs w:val="0"/>
        </w:rPr>
        <w:t xml:space="preserve">Para efectos de </w:t>
      </w:r>
      <w:r w:rsidR="007473B7">
        <w:rPr>
          <w:b w:val="0"/>
          <w:bCs w:val="0"/>
        </w:rPr>
        <w:t>determinar los usuarios</w:t>
      </w:r>
      <w:r w:rsidR="005A11B0">
        <w:rPr>
          <w:b w:val="0"/>
          <w:bCs w:val="0"/>
        </w:rPr>
        <w:t xml:space="preserve"> descritos en el párrafo anterior, los cuales </w:t>
      </w:r>
      <w:r w:rsidR="007473B7">
        <w:rPr>
          <w:b w:val="0"/>
          <w:bCs w:val="0"/>
        </w:rPr>
        <w:t xml:space="preserve"> se encuentran </w:t>
      </w:r>
      <w:r w:rsidR="00C35159">
        <w:rPr>
          <w:b w:val="0"/>
          <w:bCs w:val="0"/>
        </w:rPr>
        <w:t xml:space="preserve">exentos de la aplicación de esta resolución y </w:t>
      </w:r>
      <w:r w:rsidR="00EE6079">
        <w:rPr>
          <w:b w:val="0"/>
          <w:bCs w:val="0"/>
        </w:rPr>
        <w:t xml:space="preserve">que no son responsables del pago del costo de opción tarifaria de mercado definida en el </w:t>
      </w:r>
      <w:r w:rsidR="00047C02">
        <w:rPr>
          <w:b w:val="0"/>
          <w:bCs w:val="0"/>
        </w:rPr>
        <w:lastRenderedPageBreak/>
        <w:t>A</w:t>
      </w:r>
      <w:r w:rsidR="002D5EDB">
        <w:rPr>
          <w:b w:val="0"/>
          <w:bCs w:val="0"/>
        </w:rPr>
        <w:t>nexo 3</w:t>
      </w:r>
      <w:r w:rsidR="00EE6079">
        <w:rPr>
          <w:b w:val="0"/>
          <w:bCs w:val="0"/>
        </w:rPr>
        <w:t xml:space="preserve">, </w:t>
      </w:r>
      <w:r w:rsidR="0065173D">
        <w:rPr>
          <w:b w:val="0"/>
          <w:bCs w:val="0"/>
        </w:rPr>
        <w:t xml:space="preserve">el comercializador que los atiende deberá enviar el listado con los </w:t>
      </w:r>
      <w:r w:rsidR="00E96776">
        <w:rPr>
          <w:b w:val="0"/>
          <w:bCs w:val="0"/>
        </w:rPr>
        <w:t xml:space="preserve">respectivos </w:t>
      </w:r>
      <w:r w:rsidR="0065173D">
        <w:rPr>
          <w:b w:val="0"/>
          <w:bCs w:val="0"/>
        </w:rPr>
        <w:t xml:space="preserve">códigos NIU a la </w:t>
      </w:r>
      <w:r w:rsidR="002B1035">
        <w:rPr>
          <w:b w:val="0"/>
          <w:bCs w:val="0"/>
        </w:rPr>
        <w:t xml:space="preserve">Superintendencia de Servicios Públicos Domiciliarios, </w:t>
      </w:r>
      <w:r w:rsidR="0065173D">
        <w:rPr>
          <w:b w:val="0"/>
          <w:bCs w:val="0"/>
        </w:rPr>
        <w:t>SSPD</w:t>
      </w:r>
      <w:r w:rsidR="009E2357">
        <w:rPr>
          <w:b w:val="0"/>
          <w:bCs w:val="0"/>
        </w:rPr>
        <w:t xml:space="preserve"> dentro de los primeros cinco (5) días hábiles siguientes al de la fecha de expedición de esta resolución</w:t>
      </w:r>
      <w:r w:rsidR="00BF6B1D">
        <w:rPr>
          <w:b w:val="0"/>
          <w:bCs w:val="0"/>
        </w:rPr>
        <w:t>.</w:t>
      </w:r>
      <w:r w:rsidR="009648DD">
        <w:rPr>
          <w:b w:val="0"/>
          <w:bCs w:val="0"/>
        </w:rPr>
        <w:t xml:space="preserve"> En caso de no efectuar ning</w:t>
      </w:r>
      <w:r w:rsidR="00CE362E">
        <w:rPr>
          <w:b w:val="0"/>
          <w:bCs w:val="0"/>
        </w:rPr>
        <w:t>ún</w:t>
      </w:r>
      <w:r w:rsidR="009648DD">
        <w:rPr>
          <w:b w:val="0"/>
          <w:bCs w:val="0"/>
        </w:rPr>
        <w:t xml:space="preserve"> reporte, se entiende que los usuarios de dicho comercializador </w:t>
      </w:r>
      <w:r w:rsidR="00CE362E">
        <w:rPr>
          <w:b w:val="0"/>
          <w:bCs w:val="0"/>
        </w:rPr>
        <w:t>n</w:t>
      </w:r>
      <w:r w:rsidR="009648DD">
        <w:rPr>
          <w:b w:val="0"/>
          <w:bCs w:val="0"/>
        </w:rPr>
        <w:t xml:space="preserve">o se encuentran </w:t>
      </w:r>
      <w:r w:rsidR="00CE362E">
        <w:rPr>
          <w:b w:val="0"/>
          <w:bCs w:val="0"/>
        </w:rPr>
        <w:t xml:space="preserve">en condición de excepción y por tanto serán responsables del pago de los costos de </w:t>
      </w:r>
      <w:r w:rsidR="00702EB5">
        <w:rPr>
          <w:b w:val="0"/>
          <w:bCs w:val="0"/>
        </w:rPr>
        <w:t>opción tarifaria que corresponda en el mercado.</w:t>
      </w:r>
      <w:r w:rsidR="009648DD">
        <w:rPr>
          <w:b w:val="0"/>
          <w:bCs w:val="0"/>
        </w:rPr>
        <w:t xml:space="preserve"> </w:t>
      </w:r>
    </w:p>
    <w:p w14:paraId="1F1CE620" w14:textId="39CEA5AB" w:rsidR="00473105" w:rsidRDefault="00473105" w:rsidP="00473105">
      <w:pPr>
        <w:pStyle w:val="Estilo2"/>
        <w:keepNext w:val="0"/>
        <w:numPr>
          <w:ilvl w:val="0"/>
          <w:numId w:val="17"/>
        </w:numPr>
        <w:tabs>
          <w:tab w:val="clear" w:pos="1440"/>
        </w:tabs>
        <w:spacing w:before="240" w:after="240"/>
        <w:rPr>
          <w:b w:val="0"/>
          <w:bCs w:val="0"/>
        </w:rPr>
      </w:pPr>
      <w:bookmarkStart w:id="1" w:name="_Ref152314393"/>
      <w:r>
        <w:t>Plazo para acogerse a</w:t>
      </w:r>
      <w:r w:rsidR="00047C02">
        <w:t xml:space="preserve"> la modificación tarifaria</w:t>
      </w:r>
      <w:r>
        <w:t>.</w:t>
      </w:r>
      <w:r w:rsidR="005D64E0">
        <w:t xml:space="preserve"> </w:t>
      </w:r>
      <w:r w:rsidR="005D64E0" w:rsidRPr="00867B0B">
        <w:rPr>
          <w:b w:val="0"/>
          <w:bCs w:val="0"/>
        </w:rPr>
        <w:t xml:space="preserve">Los </w:t>
      </w:r>
      <w:r w:rsidR="005D64E0">
        <w:rPr>
          <w:b w:val="0"/>
          <w:bCs w:val="0"/>
        </w:rPr>
        <w:t xml:space="preserve">comercializadores </w:t>
      </w:r>
      <w:r w:rsidR="005D64E0" w:rsidRPr="00867B0B">
        <w:rPr>
          <w:b w:val="0"/>
          <w:bCs w:val="0"/>
        </w:rPr>
        <w:t xml:space="preserve">tendrán un plazo de </w:t>
      </w:r>
      <w:r w:rsidR="00FB0E3A">
        <w:rPr>
          <w:b w:val="0"/>
          <w:bCs w:val="0"/>
        </w:rPr>
        <w:t xml:space="preserve">diez </w:t>
      </w:r>
      <w:r w:rsidR="00047C02">
        <w:rPr>
          <w:b w:val="0"/>
          <w:bCs w:val="0"/>
        </w:rPr>
        <w:t>(1</w:t>
      </w:r>
      <w:r w:rsidR="00FB0E3A">
        <w:rPr>
          <w:b w:val="0"/>
          <w:bCs w:val="0"/>
        </w:rPr>
        <w:t>0</w:t>
      </w:r>
      <w:r w:rsidR="00047C02">
        <w:rPr>
          <w:b w:val="0"/>
          <w:bCs w:val="0"/>
        </w:rPr>
        <w:t>)</w:t>
      </w:r>
      <w:r w:rsidR="005D64E0">
        <w:rPr>
          <w:b w:val="0"/>
          <w:bCs w:val="0"/>
        </w:rPr>
        <w:t xml:space="preserve"> días calendario, contados </w:t>
      </w:r>
      <w:r w:rsidR="005D64E0" w:rsidRPr="00867B0B">
        <w:rPr>
          <w:b w:val="0"/>
          <w:bCs w:val="0"/>
        </w:rPr>
        <w:t xml:space="preserve">a partir de la </w:t>
      </w:r>
      <w:r w:rsidR="005D64E0">
        <w:rPr>
          <w:b w:val="0"/>
          <w:bCs w:val="0"/>
        </w:rPr>
        <w:t xml:space="preserve">fecha de </w:t>
      </w:r>
      <w:proofErr w:type="gramStart"/>
      <w:r w:rsidR="005D64E0" w:rsidRPr="00867B0B">
        <w:rPr>
          <w:b w:val="0"/>
          <w:bCs w:val="0"/>
        </w:rPr>
        <w:t>entrada en vigencia</w:t>
      </w:r>
      <w:proofErr w:type="gramEnd"/>
      <w:r w:rsidR="005D64E0" w:rsidRPr="00867B0B">
        <w:rPr>
          <w:b w:val="0"/>
          <w:bCs w:val="0"/>
        </w:rPr>
        <w:t xml:space="preserve"> de la presente resolución</w:t>
      </w:r>
      <w:r w:rsidR="005D64E0">
        <w:rPr>
          <w:b w:val="0"/>
          <w:bCs w:val="0"/>
        </w:rPr>
        <w:t>,</w:t>
      </w:r>
      <w:r w:rsidR="005D64E0" w:rsidRPr="00867B0B">
        <w:rPr>
          <w:b w:val="0"/>
          <w:bCs w:val="0"/>
        </w:rPr>
        <w:t xml:space="preserve"> para informar a la CREG, con copia a SSPD, la </w:t>
      </w:r>
      <w:r w:rsidR="005D64E0">
        <w:rPr>
          <w:b w:val="0"/>
          <w:bCs w:val="0"/>
        </w:rPr>
        <w:t>decisión de acogerse a las medidas incorporadas en la presente resolución, mediante comunicación suscrita por su representante legal</w:t>
      </w:r>
      <w:r w:rsidR="005D64E0" w:rsidRPr="00867B0B">
        <w:rPr>
          <w:b w:val="0"/>
          <w:bCs w:val="0"/>
        </w:rPr>
        <w:t>.</w:t>
      </w:r>
      <w:bookmarkEnd w:id="1"/>
    </w:p>
    <w:p w14:paraId="1AAA37F7" w14:textId="48A88F93" w:rsidR="00592E63" w:rsidRDefault="00FA642E" w:rsidP="00A93AD0">
      <w:pPr>
        <w:pStyle w:val="Estilo2"/>
        <w:keepNext w:val="0"/>
        <w:numPr>
          <w:ilvl w:val="0"/>
          <w:numId w:val="0"/>
        </w:numPr>
        <w:spacing w:before="240" w:after="240"/>
        <w:rPr>
          <w:b w:val="0"/>
          <w:bCs w:val="0"/>
        </w:rPr>
      </w:pPr>
      <w:r>
        <w:rPr>
          <w:b w:val="0"/>
          <w:bCs w:val="0"/>
        </w:rPr>
        <w:t xml:space="preserve">A partir de </w:t>
      </w:r>
      <w:r w:rsidR="00D85CE5">
        <w:rPr>
          <w:b w:val="0"/>
          <w:bCs w:val="0"/>
        </w:rPr>
        <w:t xml:space="preserve">la fecha de </w:t>
      </w:r>
      <w:r>
        <w:rPr>
          <w:b w:val="0"/>
          <w:bCs w:val="0"/>
        </w:rPr>
        <w:t>dicha</w:t>
      </w:r>
      <w:r w:rsidR="00FC094F">
        <w:rPr>
          <w:b w:val="0"/>
          <w:bCs w:val="0"/>
        </w:rPr>
        <w:t xml:space="preserve"> </w:t>
      </w:r>
      <w:r w:rsidR="00A94C56">
        <w:rPr>
          <w:b w:val="0"/>
          <w:bCs w:val="0"/>
        </w:rPr>
        <w:t>decis</w:t>
      </w:r>
      <w:r w:rsidR="00FC094F">
        <w:rPr>
          <w:b w:val="0"/>
          <w:bCs w:val="0"/>
        </w:rPr>
        <w:t>ión</w:t>
      </w:r>
      <w:r>
        <w:rPr>
          <w:b w:val="0"/>
          <w:bCs w:val="0"/>
        </w:rPr>
        <w:t xml:space="preserve">, </w:t>
      </w:r>
      <w:r w:rsidR="002E7D43">
        <w:rPr>
          <w:b w:val="0"/>
          <w:bCs w:val="0"/>
        </w:rPr>
        <w:t xml:space="preserve">se entenderá finalizada la opción tarifaria </w:t>
      </w:r>
      <w:r w:rsidR="00214A7B" w:rsidRPr="00214A7B">
        <w:rPr>
          <w:b w:val="0"/>
          <w:bCs w:val="0"/>
        </w:rPr>
        <w:t>que est</w:t>
      </w:r>
      <w:r w:rsidR="00214A7B">
        <w:rPr>
          <w:b w:val="0"/>
          <w:bCs w:val="0"/>
        </w:rPr>
        <w:t>á</w:t>
      </w:r>
      <w:r w:rsidR="00214A7B" w:rsidRPr="00214A7B">
        <w:rPr>
          <w:b w:val="0"/>
          <w:bCs w:val="0"/>
        </w:rPr>
        <w:t xml:space="preserve"> aplicando el comercializador de acuerdo con la Resolución CREG 012 de 2020 </w:t>
      </w:r>
      <w:r w:rsidR="00E11BFD">
        <w:rPr>
          <w:b w:val="0"/>
          <w:bCs w:val="0"/>
        </w:rPr>
        <w:t xml:space="preserve">y se deberán informar los valores de las variables del </w:t>
      </w:r>
      <w:r w:rsidR="00047C02">
        <w:rPr>
          <w:b w:val="0"/>
          <w:bCs w:val="0"/>
        </w:rPr>
        <w:t>A</w:t>
      </w:r>
      <w:r w:rsidR="00E11BFD">
        <w:rPr>
          <w:b w:val="0"/>
          <w:bCs w:val="0"/>
        </w:rPr>
        <w:t>nexo 3</w:t>
      </w:r>
      <w:r w:rsidR="009F23CB">
        <w:rPr>
          <w:b w:val="0"/>
          <w:bCs w:val="0"/>
        </w:rPr>
        <w:t xml:space="preserve">, acorde con </w:t>
      </w:r>
      <w:r w:rsidR="00220862">
        <w:rPr>
          <w:b w:val="0"/>
          <w:bCs w:val="0"/>
        </w:rPr>
        <w:t xml:space="preserve">los </w:t>
      </w:r>
      <w:r w:rsidR="00FB0E3A">
        <w:rPr>
          <w:b w:val="0"/>
          <w:bCs w:val="0"/>
        </w:rPr>
        <w:t>numeral</w:t>
      </w:r>
      <w:r w:rsidR="00220862">
        <w:rPr>
          <w:b w:val="0"/>
          <w:bCs w:val="0"/>
        </w:rPr>
        <w:t>es</w:t>
      </w:r>
      <w:r w:rsidR="00FB0E3A">
        <w:rPr>
          <w:b w:val="0"/>
          <w:bCs w:val="0"/>
        </w:rPr>
        <w:t xml:space="preserve"> 2.1. </w:t>
      </w:r>
      <w:proofErr w:type="spellStart"/>
      <w:r w:rsidR="00FB0E3A">
        <w:rPr>
          <w:b w:val="0"/>
          <w:bCs w:val="0"/>
        </w:rPr>
        <w:t>ó</w:t>
      </w:r>
      <w:proofErr w:type="spellEnd"/>
      <w:r w:rsidR="00FB0E3A">
        <w:rPr>
          <w:b w:val="0"/>
          <w:bCs w:val="0"/>
        </w:rPr>
        <w:t xml:space="preserve"> 2.2. según </w:t>
      </w:r>
      <w:r w:rsidR="009F23CB">
        <w:rPr>
          <w:b w:val="0"/>
          <w:bCs w:val="0"/>
        </w:rPr>
        <w:t xml:space="preserve">corresponda. </w:t>
      </w:r>
    </w:p>
    <w:p w14:paraId="0253401A" w14:textId="787CD1C1" w:rsidR="00D475D5" w:rsidRDefault="00867B0B" w:rsidP="00C263E7">
      <w:pPr>
        <w:pStyle w:val="Estilo2"/>
        <w:keepNext w:val="0"/>
        <w:numPr>
          <w:ilvl w:val="0"/>
          <w:numId w:val="0"/>
        </w:numPr>
        <w:spacing w:before="240" w:after="240"/>
        <w:rPr>
          <w:b w:val="0"/>
          <w:bCs w:val="0"/>
        </w:rPr>
      </w:pPr>
      <w:r w:rsidRPr="00781365">
        <w:t>Parágrafo.</w:t>
      </w:r>
      <w:r w:rsidRPr="00867B0B">
        <w:rPr>
          <w:b w:val="0"/>
          <w:bCs w:val="0"/>
        </w:rPr>
        <w:t xml:space="preserve"> </w:t>
      </w:r>
      <w:r w:rsidR="00301955">
        <w:rPr>
          <w:b w:val="0"/>
          <w:bCs w:val="0"/>
        </w:rPr>
        <w:t>V</w:t>
      </w:r>
      <w:r w:rsidRPr="00867B0B">
        <w:rPr>
          <w:b w:val="0"/>
          <w:bCs w:val="0"/>
        </w:rPr>
        <w:t>encido el plazo otorgado en el presente artículo para acogerse</w:t>
      </w:r>
      <w:r w:rsidR="00B747A2">
        <w:rPr>
          <w:b w:val="0"/>
          <w:bCs w:val="0"/>
        </w:rPr>
        <w:t xml:space="preserve"> a</w:t>
      </w:r>
      <w:r w:rsidRPr="00867B0B">
        <w:rPr>
          <w:b w:val="0"/>
          <w:bCs w:val="0"/>
        </w:rPr>
        <w:t xml:space="preserve"> la </w:t>
      </w:r>
      <w:r w:rsidR="00EF1C5A">
        <w:rPr>
          <w:b w:val="0"/>
          <w:bCs w:val="0"/>
        </w:rPr>
        <w:t>modificación tarifaria</w:t>
      </w:r>
      <w:r w:rsidR="0084140B">
        <w:rPr>
          <w:b w:val="0"/>
          <w:bCs w:val="0"/>
        </w:rPr>
        <w:t xml:space="preserve">, </w:t>
      </w:r>
      <w:r w:rsidR="001A1B0B">
        <w:rPr>
          <w:b w:val="0"/>
          <w:bCs w:val="0"/>
        </w:rPr>
        <w:t>la Dirección Ejecutiva de la CREG, informará mediante una circular</w:t>
      </w:r>
      <w:r w:rsidRPr="00867B0B">
        <w:rPr>
          <w:b w:val="0"/>
          <w:bCs w:val="0"/>
        </w:rPr>
        <w:t xml:space="preserve">, el listado de los </w:t>
      </w:r>
      <w:r>
        <w:rPr>
          <w:b w:val="0"/>
          <w:bCs w:val="0"/>
        </w:rPr>
        <w:t xml:space="preserve">comercializadores </w:t>
      </w:r>
      <w:r w:rsidRPr="00867B0B">
        <w:rPr>
          <w:b w:val="0"/>
          <w:bCs w:val="0"/>
        </w:rPr>
        <w:t>que se hayan acogido.</w:t>
      </w:r>
    </w:p>
    <w:p w14:paraId="4FC6AE49" w14:textId="56B7EAD3" w:rsidR="0039130D" w:rsidRPr="0039130D" w:rsidRDefault="009A4E76" w:rsidP="0039130D">
      <w:pPr>
        <w:pStyle w:val="Estilo2"/>
        <w:keepNext w:val="0"/>
        <w:numPr>
          <w:ilvl w:val="0"/>
          <w:numId w:val="17"/>
        </w:numPr>
        <w:tabs>
          <w:tab w:val="clear" w:pos="1440"/>
        </w:tabs>
        <w:spacing w:before="240" w:after="240"/>
      </w:pPr>
      <w:r>
        <w:t>Modificación del c</w:t>
      </w:r>
      <w:r w:rsidR="0039130D" w:rsidRPr="0039130D">
        <w:t xml:space="preserve">osto unitario de prestación del servicio de energía eléctrica. </w:t>
      </w:r>
      <w:r w:rsidR="0039130D" w:rsidRPr="0039130D">
        <w:rPr>
          <w:b w:val="0"/>
        </w:rPr>
        <w:t>El artículo 4</w:t>
      </w:r>
      <w:r w:rsidR="00E268A4">
        <w:rPr>
          <w:b w:val="0"/>
        </w:rPr>
        <w:t>º</w:t>
      </w:r>
      <w:r w:rsidR="0039130D" w:rsidRPr="0039130D">
        <w:rPr>
          <w:b w:val="0"/>
        </w:rPr>
        <w:t xml:space="preserve"> de la Resolución CREG 119 de 2007 quedará así:</w:t>
      </w:r>
    </w:p>
    <w:p w14:paraId="141901B6" w14:textId="77777777" w:rsidR="0039130D" w:rsidRPr="0039130D" w:rsidRDefault="0039130D" w:rsidP="0039130D">
      <w:pPr>
        <w:widowControl w:val="0"/>
        <w:spacing w:before="200" w:after="200"/>
        <w:ind w:left="709"/>
        <w:jc w:val="both"/>
        <w:rPr>
          <w:rFonts w:ascii="Bookman Old Style" w:hAnsi="Bookman Old Style"/>
        </w:rPr>
      </w:pPr>
      <w:r w:rsidRPr="0039130D">
        <w:rPr>
          <w:rFonts w:ascii="Bookman Old Style" w:hAnsi="Bookman Old Style" w:cs="Arial"/>
          <w:b/>
        </w:rPr>
        <w:t xml:space="preserve">“Artículo 4. Costo unitario de prestación del servicio de energía eléctrica. </w:t>
      </w:r>
      <w:r w:rsidRPr="0039130D">
        <w:rPr>
          <w:rFonts w:ascii="Bookman Old Style" w:hAnsi="Bookman Old Style"/>
        </w:rPr>
        <w:t>El Costo unitario de prestación del servicio consta de un componente variable de acuerdo con el nivel de consumo, expresado en $/kWh, y un componente fijo, expresado en $/factura, según se indica a continuación:</w:t>
      </w:r>
    </w:p>
    <w:p w14:paraId="1E636FC5" w14:textId="1C8F8233" w:rsidR="0039130D" w:rsidRPr="0039130D" w:rsidRDefault="005E00C2" w:rsidP="0039130D">
      <w:pPr>
        <w:widowControl w:val="0"/>
        <w:spacing w:before="200" w:after="200"/>
        <w:ind w:left="709"/>
        <w:rPr>
          <w:rFonts w:ascii="Bookman Old Style" w:hAnsi="Bookman Old Style"/>
        </w:rPr>
      </w:pPr>
      <m:oMathPara>
        <m:oMath>
          <m:sSub>
            <m:sSubPr>
              <m:ctrlPr>
                <w:rPr>
                  <w:rFonts w:ascii="Cambria Math" w:hAnsi="Cambria Math"/>
                  <w:i/>
                  <w:color w:val="000000"/>
                </w:rPr>
              </m:ctrlPr>
            </m:sSubPr>
            <m:e>
              <m:r>
                <w:rPr>
                  <w:rFonts w:ascii="Cambria Math" w:hAnsi="Cambria Math"/>
                  <w:color w:val="000000"/>
                </w:rPr>
                <m:t>CUv</m:t>
              </m:r>
            </m:e>
            <m:sub>
              <m:r>
                <w:rPr>
                  <w:rFonts w:ascii="Cambria Math" w:hAnsi="Cambria Math"/>
                  <w:color w:val="000000"/>
                </w:rPr>
                <m:t>n</m:t>
              </m:r>
              <m:r>
                <w:rPr>
                  <w:rFonts w:ascii="Cambria Math" w:hAnsi="Cambria Math"/>
                  <w:color w:val="000000"/>
                </w:rPr>
                <m:t>,</m:t>
              </m:r>
              <m:r>
                <w:rPr>
                  <w:rFonts w:ascii="Cambria Math" w:hAnsi="Cambria Math"/>
                  <w:color w:val="000000"/>
                </w:rPr>
                <m:t>m</m:t>
              </m:r>
              <m:r>
                <w:rPr>
                  <w:rFonts w:ascii="Cambria Math" w:hAnsi="Cambria Math"/>
                  <w:color w:val="000000"/>
                </w:rPr>
                <m:t>,</m:t>
              </m:r>
              <m:r>
                <w:rPr>
                  <w:rFonts w:ascii="Cambria Math" w:hAnsi="Cambria Math"/>
                  <w:color w:val="000000"/>
                </w:rPr>
                <m:t>i</m:t>
              </m:r>
              <m:r>
                <w:rPr>
                  <w:rFonts w:ascii="Cambria Math" w:hAnsi="Cambria Math"/>
                  <w:color w:val="000000"/>
                </w:rPr>
                <m:t>,</m:t>
              </m:r>
              <m:r>
                <w:rPr>
                  <w:rFonts w:ascii="Cambria Math" w:hAnsi="Cambria Math"/>
                  <w:color w:val="000000"/>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m</m:t>
              </m:r>
              <m:r>
                <w:rPr>
                  <w:rFonts w:ascii="Cambria Math" w:hAnsi="Cambria Math"/>
                  <w:color w:val="000000"/>
                </w:rPr>
                <m:t>,</m:t>
              </m:r>
              <m:r>
                <w:rPr>
                  <w:rFonts w:ascii="Cambria Math" w:hAnsi="Cambria Math"/>
                  <w:color w:val="000000"/>
                </w:rPr>
                <m:t>i</m:t>
              </m:r>
              <m:r>
                <w:rPr>
                  <w:rFonts w:ascii="Cambria Math" w:hAnsi="Cambria Math"/>
                  <w:color w:val="000000"/>
                </w:rPr>
                <m:t>,</m:t>
              </m:r>
              <m:r>
                <w:rPr>
                  <w:rFonts w:ascii="Cambria Math" w:hAnsi="Cambria Math"/>
                  <w:color w:val="000000"/>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m</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n</m:t>
              </m:r>
              <m:r>
                <w:rPr>
                  <w:rFonts w:ascii="Cambria Math" w:hAnsi="Cambria Math"/>
                  <w:color w:val="000000"/>
                </w:rPr>
                <m:t>,</m:t>
              </m:r>
              <m:r>
                <w:rPr>
                  <w:rFonts w:ascii="Cambria Math" w:hAnsi="Cambria Math"/>
                  <w:color w:val="000000"/>
                </w:rPr>
                <m:t>m</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Cv</m:t>
              </m:r>
            </m:e>
            <m:sub>
              <m:r>
                <w:rPr>
                  <w:rFonts w:ascii="Cambria Math" w:hAnsi="Cambria Math"/>
                  <w:color w:val="000000"/>
                </w:rPr>
                <m:t>n</m:t>
              </m:r>
              <m:r>
                <w:rPr>
                  <w:rFonts w:ascii="Cambria Math" w:hAnsi="Cambria Math"/>
                  <w:color w:val="000000"/>
                </w:rPr>
                <m:t>,</m:t>
              </m:r>
              <m:r>
                <w:rPr>
                  <w:rFonts w:ascii="Cambria Math" w:hAnsi="Cambria Math"/>
                  <w:color w:val="000000"/>
                </w:rPr>
                <m:t>m</m:t>
              </m:r>
              <m:r>
                <w:rPr>
                  <w:rFonts w:ascii="Cambria Math" w:hAnsi="Cambria Math"/>
                  <w:color w:val="000000"/>
                </w:rPr>
                <m:t>,</m:t>
              </m:r>
              <m:r>
                <w:rPr>
                  <w:rFonts w:ascii="Cambria Math" w:hAnsi="Cambria Math"/>
                  <w:color w:val="000000"/>
                </w:rPr>
                <m:t>i</m:t>
              </m:r>
              <m:r>
                <w:rPr>
                  <w:rFonts w:ascii="Cambria Math" w:hAnsi="Cambria Math"/>
                  <w:color w:val="000000"/>
                </w:rPr>
                <m:t>,</m:t>
              </m:r>
              <m:r>
                <w:rPr>
                  <w:rFonts w:ascii="Cambria Math" w:hAnsi="Cambria Math"/>
                  <w:color w:val="000000"/>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PR</m:t>
              </m:r>
            </m:e>
            <m:sub>
              <m:r>
                <w:rPr>
                  <w:rFonts w:ascii="Cambria Math" w:hAnsi="Cambria Math"/>
                  <w:color w:val="000000"/>
                </w:rPr>
                <m:t>n</m:t>
              </m:r>
              <m:r>
                <w:rPr>
                  <w:rFonts w:ascii="Cambria Math" w:hAnsi="Cambria Math"/>
                  <w:color w:val="000000"/>
                </w:rPr>
                <m:t>,</m:t>
              </m:r>
              <m:r>
                <w:rPr>
                  <w:rFonts w:ascii="Cambria Math" w:hAnsi="Cambria Math"/>
                  <w:color w:val="000000"/>
                </w:rPr>
                <m:t>m</m:t>
              </m:r>
              <m:r>
                <w:rPr>
                  <w:rFonts w:ascii="Cambria Math" w:hAnsi="Cambria Math"/>
                  <w:color w:val="000000"/>
                </w:rPr>
                <m:t>,</m:t>
              </m:r>
              <m:r>
                <w:rPr>
                  <w:rFonts w:ascii="Cambria Math" w:hAnsi="Cambria Math"/>
                  <w:color w:val="000000"/>
                </w:rPr>
                <m:t>i</m:t>
              </m:r>
              <m:r>
                <w:rPr>
                  <w:rFonts w:ascii="Cambria Math" w:hAnsi="Cambria Math"/>
                  <w:color w:val="000000"/>
                </w:rPr>
                <m:t>,</m:t>
              </m:r>
              <m:r>
                <w:rPr>
                  <w:rFonts w:ascii="Cambria Math" w:hAnsi="Cambria Math"/>
                  <w:color w:val="000000"/>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m</m:t>
              </m:r>
              <m:r>
                <w:rPr>
                  <w:rFonts w:ascii="Cambria Math" w:hAnsi="Cambria Math"/>
                  <w:color w:val="000000"/>
                </w:rPr>
                <m:t>,</m:t>
              </m:r>
              <m:r>
                <w:rPr>
                  <w:rFonts w:ascii="Cambria Math" w:hAnsi="Cambria Math"/>
                  <w:color w:val="000000"/>
                </w:rPr>
                <m:t>i</m:t>
              </m:r>
            </m:sub>
          </m:sSub>
        </m:oMath>
      </m:oMathPara>
    </w:p>
    <w:p w14:paraId="67C3AB6F" w14:textId="77777777" w:rsidR="0039130D" w:rsidRPr="0039130D" w:rsidRDefault="005E00C2" w:rsidP="0039130D">
      <w:pPr>
        <w:widowControl w:val="0"/>
        <w:spacing w:before="200" w:after="200"/>
        <w:ind w:left="709"/>
        <w:rPr>
          <w:rFonts w:ascii="Bookman Old Style" w:hAnsi="Bookman Old Style"/>
        </w:rPr>
      </w:pPr>
      <m:oMathPara>
        <m:oMath>
          <m:sSub>
            <m:sSubPr>
              <m:ctrlPr>
                <w:rPr>
                  <w:rFonts w:ascii="Cambria Math" w:hAnsi="Cambria Math"/>
                  <w:i/>
                  <w:color w:val="000000"/>
                </w:rPr>
              </m:ctrlPr>
            </m:sSubPr>
            <m:e>
              <m:r>
                <w:rPr>
                  <w:rFonts w:ascii="Cambria Math" w:hAnsi="Cambria Math"/>
                  <w:color w:val="000000"/>
                </w:rPr>
                <m:t>CUf</m:t>
              </m:r>
            </m:e>
            <m:sub>
              <m:r>
                <w:rPr>
                  <w:rFonts w:ascii="Cambria Math" w:hAnsi="Cambria Math"/>
                  <w:color w:val="000000"/>
                </w:rPr>
                <m:t>m</m:t>
              </m:r>
              <m:r>
                <w:rPr>
                  <w:rFonts w:ascii="Cambria Math" w:hAnsi="Cambria Math"/>
                  <w:color w:val="000000"/>
                </w:rPr>
                <m:t>,</m:t>
              </m:r>
              <m:r>
                <w:rPr>
                  <w:rFonts w:ascii="Cambria Math" w:hAnsi="Cambria Math"/>
                  <w:color w:val="000000"/>
                </w:rPr>
                <m:t>j</m:t>
              </m:r>
            </m:sub>
          </m:sSub>
          <m:r>
            <w:rPr>
              <w:rFonts w:ascii="Cambria Math" w:hAnsi="Cambria Math"/>
              <w:color w:val="000000"/>
            </w:rPr>
            <m:t>=</m:t>
          </m:r>
          <m:r>
            <w:rPr>
              <w:rFonts w:ascii="Cambria Math" w:hAnsi="Cambria Math"/>
              <w:color w:val="000000"/>
            </w:rPr>
            <m:t>β</m:t>
          </m:r>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m:t>
              </m:r>
              <m:r>
                <w:rPr>
                  <w:rFonts w:ascii="Cambria Math" w:hAnsi="Cambria Math"/>
                  <w:color w:val="000000"/>
                </w:rPr>
                <m:t>,</m:t>
              </m:r>
              <m:r>
                <w:rPr>
                  <w:rFonts w:ascii="Cambria Math" w:hAnsi="Cambria Math"/>
                  <w:color w:val="000000"/>
                </w:rPr>
                <m:t>j</m:t>
              </m:r>
            </m:sub>
          </m:sSub>
        </m:oMath>
      </m:oMathPara>
    </w:p>
    <w:p w14:paraId="5894BD7B" w14:textId="77777777" w:rsidR="0039130D" w:rsidRPr="0039130D" w:rsidRDefault="0039130D" w:rsidP="0039130D">
      <w:pPr>
        <w:widowControl w:val="0"/>
        <w:spacing w:before="200" w:after="200"/>
        <w:ind w:left="709"/>
        <w:rPr>
          <w:rFonts w:ascii="Bookman Old Style" w:hAnsi="Bookman Old Style"/>
        </w:rPr>
      </w:pPr>
      <w:r w:rsidRPr="0039130D">
        <w:rPr>
          <w:rFonts w:ascii="Bookman Old Style" w:hAnsi="Bookman Old Style"/>
        </w:rPr>
        <w:t>Donde:</w:t>
      </w:r>
    </w:p>
    <w:p w14:paraId="5D35F0B2" w14:textId="77777777" w:rsidR="0039130D" w:rsidRPr="0039130D" w:rsidRDefault="0039130D" w:rsidP="0039130D">
      <w:pPr>
        <w:widowControl w:val="0"/>
        <w:spacing w:before="200" w:after="200"/>
        <w:ind w:left="2127" w:hanging="1418"/>
        <w:jc w:val="both"/>
        <w:rPr>
          <w:rFonts w:ascii="Bookman Old Style" w:hAnsi="Bookman Old Style"/>
        </w:rPr>
      </w:pPr>
      <w:r w:rsidRPr="0039130D">
        <w:rPr>
          <w:rFonts w:ascii="Bookman Old Style" w:hAnsi="Bookman Old Style"/>
          <w:i/>
          <w:iCs/>
        </w:rPr>
        <w:t>n:</w:t>
      </w:r>
      <w:r w:rsidRPr="0039130D">
        <w:rPr>
          <w:rFonts w:ascii="Bookman Old Style" w:hAnsi="Bookman Old Style"/>
        </w:rPr>
        <w:tab/>
        <w:t>Nivel de tensión de conexión del usuario.</w:t>
      </w:r>
    </w:p>
    <w:p w14:paraId="795FD4C5" w14:textId="77777777" w:rsidR="0039130D" w:rsidRPr="0039130D" w:rsidRDefault="0039130D" w:rsidP="0039130D">
      <w:pPr>
        <w:widowControl w:val="0"/>
        <w:spacing w:before="200" w:after="200"/>
        <w:ind w:left="2127" w:hanging="1418"/>
        <w:jc w:val="both"/>
        <w:rPr>
          <w:rFonts w:ascii="Bookman Old Style" w:hAnsi="Bookman Old Style"/>
        </w:rPr>
      </w:pPr>
      <w:r w:rsidRPr="0039130D">
        <w:rPr>
          <w:rFonts w:ascii="Bookman Old Style" w:hAnsi="Bookman Old Style"/>
          <w:i/>
          <w:iCs/>
        </w:rPr>
        <w:t>m:</w:t>
      </w:r>
      <w:r w:rsidRPr="0039130D">
        <w:rPr>
          <w:rFonts w:ascii="Bookman Old Style" w:hAnsi="Bookman Old Style"/>
        </w:rPr>
        <w:tab/>
        <w:t>Es el mes para el cual se calcula el costo unitario de prestación del servicio.</w:t>
      </w:r>
    </w:p>
    <w:p w14:paraId="6C729049" w14:textId="77777777" w:rsidR="0039130D" w:rsidRPr="0039130D" w:rsidRDefault="0039130D" w:rsidP="0039130D">
      <w:pPr>
        <w:widowControl w:val="0"/>
        <w:spacing w:before="200" w:after="200"/>
        <w:ind w:left="2127" w:hanging="1418"/>
        <w:jc w:val="both"/>
        <w:rPr>
          <w:rFonts w:ascii="Bookman Old Style" w:hAnsi="Bookman Old Style"/>
        </w:rPr>
      </w:pPr>
      <w:r w:rsidRPr="0039130D">
        <w:rPr>
          <w:rFonts w:ascii="Bookman Old Style" w:hAnsi="Bookman Old Style"/>
          <w:i/>
          <w:iCs/>
        </w:rPr>
        <w:t>i:</w:t>
      </w:r>
      <w:r w:rsidRPr="0039130D">
        <w:rPr>
          <w:rFonts w:ascii="Bookman Old Style" w:hAnsi="Bookman Old Style"/>
        </w:rPr>
        <w:tab/>
        <w:t>Comercializador minorista.</w:t>
      </w:r>
    </w:p>
    <w:p w14:paraId="02163124" w14:textId="77777777" w:rsidR="0039130D" w:rsidRPr="0039130D" w:rsidRDefault="0039130D" w:rsidP="0039130D">
      <w:pPr>
        <w:widowControl w:val="0"/>
        <w:spacing w:before="200" w:after="200"/>
        <w:ind w:left="2127" w:hanging="1418"/>
        <w:jc w:val="both"/>
        <w:rPr>
          <w:rFonts w:ascii="Bookman Old Style" w:hAnsi="Bookman Old Style"/>
        </w:rPr>
      </w:pPr>
      <w:r w:rsidRPr="0039130D">
        <w:rPr>
          <w:rFonts w:ascii="Bookman Old Style" w:hAnsi="Bookman Old Style"/>
          <w:i/>
          <w:iCs/>
        </w:rPr>
        <w:t>j:</w:t>
      </w:r>
      <w:r w:rsidRPr="0039130D">
        <w:rPr>
          <w:rFonts w:ascii="Bookman Old Style" w:hAnsi="Bookman Old Style"/>
        </w:rPr>
        <w:tab/>
        <w:t>Es el mercado de comercialización.</w:t>
      </w:r>
    </w:p>
    <w:p w14:paraId="2867E5DB" w14:textId="77777777"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color w:val="000000"/>
        </w:rPr>
        <w:t>CUv</w:t>
      </w:r>
      <w:r w:rsidRPr="0039130D">
        <w:rPr>
          <w:rFonts w:ascii="Bookman Old Style" w:hAnsi="Bookman Old Style"/>
          <w:i/>
          <w:iCs/>
          <w:color w:val="000000"/>
          <w:vertAlign w:val="subscript"/>
        </w:rPr>
        <w:t>n,m</w:t>
      </w:r>
      <w:proofErr w:type="gramEnd"/>
      <w:r w:rsidRPr="0039130D">
        <w:rPr>
          <w:rFonts w:ascii="Bookman Old Style" w:hAnsi="Bookman Old Style"/>
          <w:i/>
          <w:iCs/>
          <w:color w:val="000000"/>
          <w:vertAlign w:val="subscript"/>
        </w:rPr>
        <w:t>,i,j</w:t>
      </w:r>
      <w:proofErr w:type="spellEnd"/>
      <w:r w:rsidRPr="0039130D">
        <w:rPr>
          <w:rFonts w:ascii="Bookman Old Style" w:hAnsi="Bookman Old Style"/>
          <w:i/>
          <w:iCs/>
          <w:color w:val="000000"/>
        </w:rPr>
        <w:t>:</w:t>
      </w:r>
      <w:r w:rsidRPr="0039130D">
        <w:rPr>
          <w:rFonts w:ascii="Bookman Old Style" w:hAnsi="Bookman Old Style"/>
        </w:rPr>
        <w:tab/>
        <w:t xml:space="preserve">Componente variable del costo unitario de prestación del servicio ($/kWh) para los usuarios conectados al nivel de tensión </w:t>
      </w:r>
      <w:r w:rsidRPr="0039130D">
        <w:rPr>
          <w:rFonts w:ascii="Bookman Old Style" w:hAnsi="Bookman Old Style"/>
          <w:i/>
        </w:rPr>
        <w:t>n</w:t>
      </w:r>
      <w:r w:rsidRPr="0039130D">
        <w:rPr>
          <w:rFonts w:ascii="Bookman Old Style" w:hAnsi="Bookman Old Style"/>
        </w:rPr>
        <w:t xml:space="preserve">, correspondiente al mes </w:t>
      </w:r>
      <w:r w:rsidRPr="0039130D">
        <w:rPr>
          <w:rFonts w:ascii="Bookman Old Style" w:hAnsi="Bookman Old Style"/>
          <w:i/>
        </w:rPr>
        <w:t>m</w:t>
      </w:r>
      <w:r w:rsidRPr="0039130D">
        <w:rPr>
          <w:rFonts w:ascii="Bookman Old Style" w:hAnsi="Bookman Old Style"/>
        </w:rPr>
        <w:t xml:space="preserve">, del comercializador minorista </w:t>
      </w:r>
      <w:r w:rsidRPr="0039130D">
        <w:rPr>
          <w:rFonts w:ascii="Bookman Old Style" w:hAnsi="Bookman Old Style"/>
          <w:i/>
        </w:rPr>
        <w:t>i</w:t>
      </w:r>
      <w:r w:rsidRPr="0039130D">
        <w:rPr>
          <w:rFonts w:ascii="Bookman Old Style" w:hAnsi="Bookman Old Style"/>
        </w:rPr>
        <w:t xml:space="preserve">, en el mercado de comercialización </w:t>
      </w:r>
      <w:r w:rsidRPr="0039130D">
        <w:rPr>
          <w:rFonts w:ascii="Bookman Old Style" w:hAnsi="Bookman Old Style"/>
          <w:i/>
        </w:rPr>
        <w:t>j</w:t>
      </w:r>
      <w:r w:rsidRPr="0039130D">
        <w:rPr>
          <w:rFonts w:ascii="Bookman Old Style" w:hAnsi="Bookman Old Style"/>
        </w:rPr>
        <w:t>.</w:t>
      </w:r>
    </w:p>
    <w:p w14:paraId="34E9C9BE" w14:textId="77777777"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rPr>
        <w:lastRenderedPageBreak/>
        <w:t>G</w:t>
      </w:r>
      <w:r w:rsidRPr="0039130D">
        <w:rPr>
          <w:rFonts w:ascii="Bookman Old Style" w:hAnsi="Bookman Old Style"/>
          <w:i/>
          <w:iCs/>
          <w:vertAlign w:val="subscript"/>
        </w:rPr>
        <w:t>m,i</w:t>
      </w:r>
      <w:proofErr w:type="gramEnd"/>
      <w:r w:rsidRPr="0039130D">
        <w:rPr>
          <w:rFonts w:ascii="Bookman Old Style" w:hAnsi="Bookman Old Style"/>
          <w:i/>
          <w:iCs/>
          <w:vertAlign w:val="subscript"/>
        </w:rPr>
        <w:t>,j</w:t>
      </w:r>
      <w:proofErr w:type="spellEnd"/>
      <w:r w:rsidRPr="0039130D">
        <w:rPr>
          <w:rFonts w:ascii="Bookman Old Style" w:hAnsi="Bookman Old Style"/>
          <w:i/>
          <w:iCs/>
        </w:rPr>
        <w:t>:</w:t>
      </w:r>
      <w:r w:rsidRPr="0039130D">
        <w:rPr>
          <w:rFonts w:ascii="Bookman Old Style" w:hAnsi="Bookman Old Style"/>
        </w:rPr>
        <w:tab/>
        <w:t xml:space="preserve">Costo de compra de energía ($/kWh) para el mes </w:t>
      </w:r>
      <w:r w:rsidRPr="0039130D">
        <w:rPr>
          <w:rFonts w:ascii="Bookman Old Style" w:hAnsi="Bookman Old Style"/>
          <w:i/>
        </w:rPr>
        <w:t>m,</w:t>
      </w:r>
      <w:r w:rsidRPr="0039130D">
        <w:rPr>
          <w:rFonts w:ascii="Bookman Old Style" w:hAnsi="Bookman Old Style"/>
        </w:rPr>
        <w:t xml:space="preserve"> del comercializador minorista </w:t>
      </w:r>
      <w:r w:rsidRPr="0039130D">
        <w:rPr>
          <w:rFonts w:ascii="Bookman Old Style" w:hAnsi="Bookman Old Style"/>
          <w:i/>
        </w:rPr>
        <w:t>i</w:t>
      </w:r>
      <w:r w:rsidRPr="0039130D">
        <w:rPr>
          <w:rFonts w:ascii="Bookman Old Style" w:hAnsi="Bookman Old Style"/>
        </w:rPr>
        <w:t xml:space="preserve">, en el mercado de comercialización </w:t>
      </w:r>
      <w:r w:rsidRPr="0039130D">
        <w:rPr>
          <w:rFonts w:ascii="Bookman Old Style" w:hAnsi="Bookman Old Style"/>
          <w:i/>
        </w:rPr>
        <w:t>j</w:t>
      </w:r>
      <w:r w:rsidRPr="0039130D">
        <w:rPr>
          <w:rFonts w:ascii="Bookman Old Style" w:hAnsi="Bookman Old Style"/>
        </w:rPr>
        <w:t>, determinado conforme se establece en el Capítulo III de la presente resolución.</w:t>
      </w:r>
    </w:p>
    <w:p w14:paraId="07ED5DEF" w14:textId="77777777" w:rsidR="0039130D" w:rsidRPr="0039130D" w:rsidRDefault="0039130D" w:rsidP="0039130D">
      <w:pPr>
        <w:widowControl w:val="0"/>
        <w:spacing w:before="200" w:after="200"/>
        <w:ind w:left="2127" w:hanging="1418"/>
        <w:jc w:val="both"/>
        <w:rPr>
          <w:rFonts w:ascii="Bookman Old Style" w:hAnsi="Bookman Old Style"/>
        </w:rPr>
      </w:pPr>
      <w:r w:rsidRPr="0039130D">
        <w:rPr>
          <w:rFonts w:ascii="Bookman Old Style" w:hAnsi="Bookman Old Style"/>
          <w:i/>
          <w:iCs/>
          <w:color w:val="000000"/>
        </w:rPr>
        <w:t>T</w:t>
      </w:r>
      <w:r w:rsidRPr="0039130D">
        <w:rPr>
          <w:rFonts w:ascii="Bookman Old Style" w:hAnsi="Bookman Old Style"/>
          <w:i/>
          <w:iCs/>
          <w:color w:val="000000"/>
          <w:vertAlign w:val="subscript"/>
        </w:rPr>
        <w:t>m</w:t>
      </w:r>
      <w:r w:rsidRPr="0039130D">
        <w:rPr>
          <w:rFonts w:ascii="Bookman Old Style" w:hAnsi="Bookman Old Style"/>
          <w:color w:val="000000"/>
        </w:rPr>
        <w:t xml:space="preserve">: </w:t>
      </w:r>
      <w:r w:rsidRPr="0039130D">
        <w:rPr>
          <w:rFonts w:ascii="Bookman Old Style" w:hAnsi="Bookman Old Style"/>
        </w:rPr>
        <w:tab/>
        <w:t xml:space="preserve">Costo por uso del sistema nacional de transmisión ($/kWh) para el mes </w:t>
      </w:r>
      <w:r w:rsidRPr="0039130D">
        <w:rPr>
          <w:rFonts w:ascii="Bookman Old Style" w:hAnsi="Bookman Old Style"/>
          <w:i/>
        </w:rPr>
        <w:t>m</w:t>
      </w:r>
      <w:r w:rsidRPr="0039130D">
        <w:rPr>
          <w:rFonts w:ascii="Bookman Old Style" w:hAnsi="Bookman Old Style"/>
        </w:rPr>
        <w:t xml:space="preserve"> determinado conforme al Capítulo IV de la presente resolución.</w:t>
      </w:r>
    </w:p>
    <w:p w14:paraId="3839607B" w14:textId="77777777"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color w:val="000000"/>
        </w:rPr>
        <w:t>D</w:t>
      </w:r>
      <w:r w:rsidRPr="0039130D">
        <w:rPr>
          <w:rFonts w:ascii="Bookman Old Style" w:hAnsi="Bookman Old Style"/>
          <w:i/>
          <w:iCs/>
          <w:color w:val="000000"/>
          <w:vertAlign w:val="subscript"/>
        </w:rPr>
        <w:t>n,m</w:t>
      </w:r>
      <w:proofErr w:type="spellEnd"/>
      <w:proofErr w:type="gramEnd"/>
      <w:r w:rsidRPr="0039130D">
        <w:rPr>
          <w:rFonts w:ascii="Bookman Old Style" w:hAnsi="Bookman Old Style"/>
          <w:color w:val="000000"/>
        </w:rPr>
        <w:t>:</w:t>
      </w:r>
      <w:r w:rsidRPr="0039130D">
        <w:rPr>
          <w:rFonts w:ascii="Bookman Old Style" w:hAnsi="Bookman Old Style"/>
        </w:rPr>
        <w:t xml:space="preserve"> </w:t>
      </w:r>
      <w:r w:rsidRPr="0039130D">
        <w:rPr>
          <w:rFonts w:ascii="Bookman Old Style" w:hAnsi="Bookman Old Style"/>
        </w:rPr>
        <w:tab/>
        <w:t xml:space="preserve">Costo por uso de sistemas de distribución ($/kWh) correspondiente al nivel de tensión </w:t>
      </w:r>
      <w:r w:rsidRPr="0039130D">
        <w:rPr>
          <w:rFonts w:ascii="Bookman Old Style" w:hAnsi="Bookman Old Style"/>
          <w:i/>
        </w:rPr>
        <w:t>n</w:t>
      </w:r>
      <w:r w:rsidRPr="0039130D">
        <w:rPr>
          <w:rFonts w:ascii="Bookman Old Style" w:hAnsi="Bookman Old Style"/>
        </w:rPr>
        <w:t xml:space="preserve"> para el mes </w:t>
      </w:r>
      <w:r w:rsidRPr="0039130D">
        <w:rPr>
          <w:rFonts w:ascii="Bookman Old Style" w:hAnsi="Bookman Old Style"/>
          <w:i/>
        </w:rPr>
        <w:t>m</w:t>
      </w:r>
      <w:r w:rsidRPr="0039130D">
        <w:rPr>
          <w:rFonts w:ascii="Bookman Old Style" w:hAnsi="Bookman Old Style"/>
        </w:rPr>
        <w:t>, determinado conforme al Capítulo IV de la presente resolución.</w:t>
      </w:r>
    </w:p>
    <w:p w14:paraId="0C37338A" w14:textId="666C0F19"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color w:val="000000"/>
        </w:rPr>
        <w:t>C</w:t>
      </w:r>
      <w:r w:rsidRPr="009112CF">
        <w:rPr>
          <w:rFonts w:ascii="Bookman Old Style" w:hAnsi="Bookman Old Style"/>
          <w:i/>
          <w:iCs/>
          <w:color w:val="000000"/>
        </w:rPr>
        <w:t>v</w:t>
      </w:r>
      <w:r w:rsidR="00EB5C73" w:rsidRPr="009112CF">
        <w:rPr>
          <w:rFonts w:ascii="Bookman Old Style" w:hAnsi="Bookman Old Style"/>
          <w:i/>
          <w:iCs/>
          <w:color w:val="000000"/>
          <w:vertAlign w:val="subscript"/>
        </w:rPr>
        <w:t>n,</w:t>
      </w:r>
      <w:r w:rsidR="00EB5C73">
        <w:rPr>
          <w:rFonts w:ascii="Bookman Old Style" w:hAnsi="Bookman Old Style"/>
          <w:i/>
          <w:iCs/>
          <w:color w:val="000000"/>
          <w:vertAlign w:val="subscript"/>
        </w:rPr>
        <w:t>m</w:t>
      </w:r>
      <w:proofErr w:type="gramEnd"/>
      <w:r w:rsidRPr="0039130D">
        <w:rPr>
          <w:rFonts w:ascii="Bookman Old Style" w:hAnsi="Bookman Old Style"/>
          <w:i/>
          <w:iCs/>
          <w:color w:val="000000"/>
          <w:vertAlign w:val="subscript"/>
        </w:rPr>
        <w:t>,i,j</w:t>
      </w:r>
      <w:proofErr w:type="spellEnd"/>
      <w:r w:rsidRPr="0039130D">
        <w:rPr>
          <w:rFonts w:ascii="Bookman Old Style" w:hAnsi="Bookman Old Style"/>
          <w:color w:val="000000"/>
        </w:rPr>
        <w:t>:</w:t>
      </w:r>
      <w:r w:rsidRPr="0039130D">
        <w:rPr>
          <w:rFonts w:ascii="Bookman Old Style" w:hAnsi="Bookman Old Style"/>
        </w:rPr>
        <w:tab/>
        <w:t xml:space="preserve">Margen de </w:t>
      </w:r>
      <w:r w:rsidRPr="009112CF">
        <w:rPr>
          <w:rFonts w:ascii="Bookman Old Style" w:hAnsi="Bookman Old Style"/>
        </w:rPr>
        <w:t xml:space="preserve">comercialización </w:t>
      </w:r>
      <w:r w:rsidR="002A4513" w:rsidRPr="009112CF">
        <w:rPr>
          <w:rFonts w:ascii="Bookman Old Style" w:hAnsi="Bookman Old Style"/>
        </w:rPr>
        <w:t xml:space="preserve">de usuarios conectados al nivel de tensión </w:t>
      </w:r>
      <w:r w:rsidR="002A4513" w:rsidRPr="009112CF">
        <w:rPr>
          <w:rFonts w:ascii="Bookman Old Style" w:hAnsi="Bookman Old Style"/>
          <w:i/>
          <w:iCs/>
        </w:rPr>
        <w:t>n</w:t>
      </w:r>
      <w:r w:rsidR="002A4513" w:rsidRPr="009112CF">
        <w:rPr>
          <w:rFonts w:ascii="Bookman Old Style" w:hAnsi="Bookman Old Style"/>
        </w:rPr>
        <w:t xml:space="preserve">, </w:t>
      </w:r>
      <w:r w:rsidRPr="009112CF">
        <w:rPr>
          <w:rFonts w:ascii="Bookman Old Style" w:hAnsi="Bookman Old Style"/>
        </w:rPr>
        <w:t>correspondiente</w:t>
      </w:r>
      <w:r w:rsidRPr="0039130D">
        <w:rPr>
          <w:rFonts w:ascii="Bookman Old Style" w:hAnsi="Bookman Old Style"/>
        </w:rPr>
        <w:t xml:space="preserve"> al mes </w:t>
      </w:r>
      <w:r w:rsidRPr="0039130D">
        <w:rPr>
          <w:rFonts w:ascii="Bookman Old Style" w:hAnsi="Bookman Old Style"/>
          <w:i/>
        </w:rPr>
        <w:t>m,</w:t>
      </w:r>
      <w:r w:rsidRPr="0039130D">
        <w:rPr>
          <w:rFonts w:ascii="Bookman Old Style" w:hAnsi="Bookman Old Style"/>
        </w:rPr>
        <w:t xml:space="preserve"> del comercializador minorista </w:t>
      </w:r>
      <w:r w:rsidRPr="0039130D">
        <w:rPr>
          <w:rFonts w:ascii="Bookman Old Style" w:hAnsi="Bookman Old Style"/>
          <w:i/>
        </w:rPr>
        <w:t>i</w:t>
      </w:r>
      <w:r w:rsidRPr="0039130D">
        <w:rPr>
          <w:rFonts w:ascii="Bookman Old Style" w:hAnsi="Bookman Old Style"/>
        </w:rPr>
        <w:t xml:space="preserve">, en el mercado de comercialización </w:t>
      </w:r>
      <w:r w:rsidRPr="0039130D">
        <w:rPr>
          <w:rFonts w:ascii="Bookman Old Style" w:hAnsi="Bookman Old Style"/>
          <w:i/>
        </w:rPr>
        <w:t>j</w:t>
      </w:r>
      <w:r w:rsidRPr="0039130D">
        <w:rPr>
          <w:rFonts w:ascii="Bookman Old Style" w:hAnsi="Bookman Old Style"/>
        </w:rPr>
        <w:t xml:space="preserve"> que incluye los costos variables de la actividad de comercialización, expresado en ($/kWh) y determinado conforme al Capítulo V de la presente resolución.</w:t>
      </w:r>
    </w:p>
    <w:p w14:paraId="3CC0FB57" w14:textId="77777777"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color w:val="000000"/>
        </w:rPr>
        <w:t>R</w:t>
      </w:r>
      <w:r w:rsidRPr="0039130D">
        <w:rPr>
          <w:rFonts w:ascii="Bookman Old Style" w:hAnsi="Bookman Old Style"/>
          <w:i/>
          <w:iCs/>
          <w:color w:val="000000"/>
          <w:vertAlign w:val="subscript"/>
        </w:rPr>
        <w:t>m,i</w:t>
      </w:r>
      <w:proofErr w:type="spellEnd"/>
      <w:proofErr w:type="gramEnd"/>
      <w:r w:rsidRPr="0039130D">
        <w:rPr>
          <w:rFonts w:ascii="Bookman Old Style" w:hAnsi="Bookman Old Style"/>
          <w:color w:val="000000"/>
        </w:rPr>
        <w:t xml:space="preserve">: </w:t>
      </w:r>
      <w:r w:rsidRPr="0039130D">
        <w:rPr>
          <w:rFonts w:ascii="Bookman Old Style" w:hAnsi="Bookman Old Style"/>
          <w:color w:val="000000"/>
        </w:rPr>
        <w:tab/>
      </w:r>
      <w:r w:rsidRPr="0039130D">
        <w:rPr>
          <w:rFonts w:ascii="Bookman Old Style" w:hAnsi="Bookman Old Style"/>
        </w:rPr>
        <w:t xml:space="preserve">Costo de restricciones y de servicios asociados con generación en $/kWh asignados al comercializador minorista </w:t>
      </w:r>
      <w:r w:rsidRPr="0039130D">
        <w:rPr>
          <w:rFonts w:ascii="Bookman Old Style" w:hAnsi="Bookman Old Style"/>
          <w:i/>
        </w:rPr>
        <w:t>i</w:t>
      </w:r>
      <w:r w:rsidRPr="0039130D">
        <w:rPr>
          <w:rFonts w:ascii="Bookman Old Style" w:hAnsi="Bookman Old Style"/>
        </w:rPr>
        <w:t xml:space="preserve"> en el mes</w:t>
      </w:r>
      <w:r w:rsidRPr="0039130D">
        <w:rPr>
          <w:rFonts w:ascii="Bookman Old Style" w:hAnsi="Bookman Old Style"/>
          <w:b/>
          <w:bCs/>
          <w:i/>
          <w:iCs/>
        </w:rPr>
        <w:t xml:space="preserve"> </w:t>
      </w:r>
      <w:r w:rsidRPr="0039130D">
        <w:rPr>
          <w:rFonts w:ascii="Bookman Old Style" w:hAnsi="Bookman Old Style"/>
          <w:i/>
          <w:iCs/>
        </w:rPr>
        <w:t>m</w:t>
      </w:r>
      <w:r w:rsidRPr="0039130D">
        <w:rPr>
          <w:rFonts w:ascii="Bookman Old Style" w:hAnsi="Bookman Old Style"/>
          <w:i/>
        </w:rPr>
        <w:t xml:space="preserve">, </w:t>
      </w:r>
      <w:r w:rsidRPr="0039130D">
        <w:rPr>
          <w:rFonts w:ascii="Bookman Old Style" w:hAnsi="Bookman Old Style"/>
        </w:rPr>
        <w:t>conforme al Capítulo VI de la presente resolución.</w:t>
      </w:r>
    </w:p>
    <w:p w14:paraId="52771A03" w14:textId="77777777" w:rsidR="0039130D" w:rsidRPr="0039130D" w:rsidRDefault="0039130D" w:rsidP="0039130D">
      <w:pPr>
        <w:widowControl w:val="0"/>
        <w:spacing w:before="200" w:after="200"/>
        <w:ind w:left="2127" w:hanging="1418"/>
        <w:jc w:val="both"/>
        <w:rPr>
          <w:rFonts w:ascii="Bookman Old Style" w:hAnsi="Bookman Old Style"/>
        </w:rPr>
      </w:pPr>
      <w:proofErr w:type="spellStart"/>
      <w:proofErr w:type="gramStart"/>
      <w:r w:rsidRPr="0039130D">
        <w:rPr>
          <w:rFonts w:ascii="Bookman Old Style" w:hAnsi="Bookman Old Style"/>
          <w:i/>
          <w:iCs/>
          <w:color w:val="000000"/>
        </w:rPr>
        <w:t>PR</w:t>
      </w:r>
      <w:r w:rsidRPr="0039130D">
        <w:rPr>
          <w:rFonts w:ascii="Bookman Old Style" w:hAnsi="Bookman Old Style"/>
          <w:i/>
          <w:iCs/>
          <w:color w:val="000000"/>
          <w:vertAlign w:val="subscript"/>
        </w:rPr>
        <w:t>n,m</w:t>
      </w:r>
      <w:proofErr w:type="gramEnd"/>
      <w:r w:rsidRPr="0039130D">
        <w:rPr>
          <w:rFonts w:ascii="Bookman Old Style" w:hAnsi="Bookman Old Style"/>
          <w:i/>
          <w:iCs/>
          <w:color w:val="000000"/>
          <w:vertAlign w:val="subscript"/>
        </w:rPr>
        <w:t>,i,j</w:t>
      </w:r>
      <w:proofErr w:type="spellEnd"/>
      <w:r w:rsidRPr="0039130D">
        <w:rPr>
          <w:rFonts w:ascii="Bookman Old Style" w:hAnsi="Bookman Old Style"/>
          <w:color w:val="000000"/>
        </w:rPr>
        <w:t>:</w:t>
      </w:r>
      <w:r w:rsidRPr="0039130D">
        <w:rPr>
          <w:rFonts w:ascii="Bookman Old Style" w:hAnsi="Bookman Old Style"/>
        </w:rPr>
        <w:tab/>
        <w:t xml:space="preserve">Costo de compra, transporte y reducción de pérdidas de energía ($/kWh) acumuladas hasta el nivel de tensión </w:t>
      </w:r>
      <w:r w:rsidRPr="0039130D">
        <w:rPr>
          <w:rFonts w:ascii="Bookman Old Style" w:hAnsi="Bookman Old Style"/>
          <w:i/>
        </w:rPr>
        <w:t>n</w:t>
      </w:r>
      <w:r w:rsidRPr="0039130D">
        <w:rPr>
          <w:rFonts w:ascii="Bookman Old Style" w:hAnsi="Bookman Old Style"/>
        </w:rPr>
        <w:t xml:space="preserve">, para el mes </w:t>
      </w:r>
      <w:r w:rsidRPr="0039130D">
        <w:rPr>
          <w:rFonts w:ascii="Bookman Old Style" w:hAnsi="Bookman Old Style"/>
          <w:i/>
        </w:rPr>
        <w:t>m</w:t>
      </w:r>
      <w:r w:rsidRPr="0039130D">
        <w:rPr>
          <w:rFonts w:ascii="Bookman Old Style" w:hAnsi="Bookman Old Style"/>
        </w:rPr>
        <w:t xml:space="preserve">, del comercializador minorista </w:t>
      </w:r>
      <w:r w:rsidRPr="0039130D">
        <w:rPr>
          <w:rFonts w:ascii="Bookman Old Style" w:hAnsi="Bookman Old Style"/>
          <w:i/>
        </w:rPr>
        <w:t>i</w:t>
      </w:r>
      <w:r w:rsidRPr="0039130D">
        <w:rPr>
          <w:rFonts w:ascii="Bookman Old Style" w:hAnsi="Bookman Old Style"/>
        </w:rPr>
        <w:t xml:space="preserve">, en el mercado de comercialización </w:t>
      </w:r>
      <w:r w:rsidRPr="0039130D">
        <w:rPr>
          <w:rFonts w:ascii="Bookman Old Style" w:hAnsi="Bookman Old Style"/>
          <w:i/>
        </w:rPr>
        <w:t>j</w:t>
      </w:r>
      <w:r w:rsidRPr="0039130D">
        <w:rPr>
          <w:rFonts w:ascii="Bookman Old Style" w:hAnsi="Bookman Old Style"/>
        </w:rPr>
        <w:t>, determinado conforme se establece en el Capítulo VII  de la presente resolución.</w:t>
      </w:r>
    </w:p>
    <w:p w14:paraId="3E2DC406" w14:textId="77777777" w:rsidR="0039130D" w:rsidRPr="0039130D" w:rsidRDefault="0039130D" w:rsidP="0039130D">
      <w:pPr>
        <w:widowControl w:val="0"/>
        <w:spacing w:before="240" w:after="240"/>
        <w:ind w:left="2127" w:hanging="1418"/>
        <w:jc w:val="both"/>
        <w:rPr>
          <w:rFonts w:ascii="Bookman Old Style" w:hAnsi="Bookman Old Style"/>
        </w:rPr>
      </w:pPr>
      <w:proofErr w:type="spellStart"/>
      <w:proofErr w:type="gramStart"/>
      <w:r w:rsidRPr="0039130D">
        <w:rPr>
          <w:rFonts w:ascii="Bookman Old Style" w:hAnsi="Bookman Old Style"/>
          <w:i/>
          <w:iCs/>
          <w:color w:val="000000"/>
        </w:rPr>
        <w:t>Cuf</w:t>
      </w:r>
      <w:r w:rsidRPr="0039130D">
        <w:rPr>
          <w:rFonts w:ascii="Bookman Old Style" w:hAnsi="Bookman Old Style"/>
          <w:i/>
          <w:iCs/>
          <w:color w:val="000000"/>
          <w:vertAlign w:val="subscript"/>
        </w:rPr>
        <w:t>m,j</w:t>
      </w:r>
      <w:proofErr w:type="spellEnd"/>
      <w:proofErr w:type="gramEnd"/>
      <w:r w:rsidRPr="0039130D">
        <w:rPr>
          <w:rFonts w:ascii="Bookman Old Style" w:hAnsi="Bookman Old Style"/>
          <w:color w:val="000000"/>
          <w:vertAlign w:val="subscript"/>
        </w:rPr>
        <w:t>:</w:t>
      </w:r>
      <w:r w:rsidRPr="0039130D">
        <w:rPr>
          <w:rFonts w:ascii="Bookman Old Style" w:hAnsi="Bookman Old Style"/>
        </w:rPr>
        <w:t xml:space="preserve"> </w:t>
      </w:r>
      <w:r w:rsidRPr="0039130D">
        <w:rPr>
          <w:rFonts w:ascii="Bookman Old Style" w:hAnsi="Bookman Old Style"/>
        </w:rPr>
        <w:tab/>
        <w:t xml:space="preserve">Componente fijo del costo unitario de prestación del servicio ($/factura) correspondiente al mes </w:t>
      </w:r>
      <w:r w:rsidRPr="0039130D">
        <w:rPr>
          <w:rFonts w:ascii="Bookman Old Style" w:hAnsi="Bookman Old Style"/>
          <w:i/>
        </w:rPr>
        <w:t xml:space="preserve">m </w:t>
      </w:r>
      <w:r w:rsidRPr="0039130D">
        <w:rPr>
          <w:rFonts w:ascii="Bookman Old Style" w:hAnsi="Bookman Old Style"/>
        </w:rPr>
        <w:t xml:space="preserve">para el mercado de comercialización </w:t>
      </w:r>
      <w:r w:rsidRPr="0039130D">
        <w:rPr>
          <w:rFonts w:ascii="Bookman Old Style" w:hAnsi="Bookman Old Style"/>
          <w:i/>
        </w:rPr>
        <w:t>j</w:t>
      </w:r>
      <w:r w:rsidRPr="0039130D">
        <w:rPr>
          <w:rFonts w:ascii="Bookman Old Style" w:hAnsi="Bookman Old Style"/>
        </w:rPr>
        <w:t>.</w:t>
      </w:r>
    </w:p>
    <w:p w14:paraId="7CC5F956" w14:textId="77777777" w:rsidR="0039130D" w:rsidRPr="0039130D" w:rsidRDefault="0039130D" w:rsidP="0039130D">
      <w:pPr>
        <w:widowControl w:val="0"/>
        <w:spacing w:before="240" w:after="240"/>
        <w:ind w:left="2127" w:hanging="1418"/>
        <w:jc w:val="both"/>
        <w:rPr>
          <w:rFonts w:ascii="Bookman Old Style" w:hAnsi="Bookman Old Style"/>
        </w:rPr>
      </w:pPr>
      <w:r w:rsidRPr="0039130D">
        <w:rPr>
          <w:rFonts w:ascii="Symbol" w:hAnsi="Symbol"/>
          <w:i/>
          <w:iCs/>
          <w:color w:val="000000"/>
        </w:rPr>
        <w:t>b</w:t>
      </w:r>
      <w:r w:rsidRPr="0039130D">
        <w:rPr>
          <w:rFonts w:ascii="Bookman Old Style" w:hAnsi="Bookman Old Style"/>
          <w:color w:val="000000"/>
        </w:rPr>
        <w:t>:</w:t>
      </w:r>
      <w:r w:rsidRPr="0039130D">
        <w:rPr>
          <w:rFonts w:ascii="Bookman Old Style" w:hAnsi="Bookman Old Style" w:cs="Arial"/>
          <w:color w:val="000000"/>
        </w:rPr>
        <w:tab/>
        <w:t>Porción</w:t>
      </w:r>
      <w:r w:rsidRPr="0039130D">
        <w:rPr>
          <w:rFonts w:ascii="Bookman Old Style" w:hAnsi="Bookman Old Style" w:cs="Arial"/>
        </w:rPr>
        <w:t xml:space="preserve"> del costo base de comercialización, </w:t>
      </w:r>
      <w:proofErr w:type="spellStart"/>
      <w:proofErr w:type="gramStart"/>
      <w:r w:rsidRPr="0039130D">
        <w:rPr>
          <w:rFonts w:ascii="Bookman Old Style" w:hAnsi="Bookman Old Style"/>
          <w:i/>
          <w:iCs/>
          <w:color w:val="000000"/>
        </w:rPr>
        <w:t>Cf</w:t>
      </w:r>
      <w:r w:rsidRPr="0039130D">
        <w:rPr>
          <w:rFonts w:ascii="Bookman Old Style" w:hAnsi="Bookman Old Style"/>
          <w:i/>
          <w:iCs/>
          <w:color w:val="000000"/>
          <w:vertAlign w:val="subscript"/>
        </w:rPr>
        <w:t>m,j</w:t>
      </w:r>
      <w:proofErr w:type="spellEnd"/>
      <w:proofErr w:type="gramEnd"/>
      <w:r w:rsidRPr="0039130D">
        <w:rPr>
          <w:rFonts w:ascii="Bookman Old Style" w:hAnsi="Bookman Old Style" w:cs="Arial"/>
          <w:color w:val="000000"/>
        </w:rPr>
        <w:t xml:space="preserve">, </w:t>
      </w:r>
      <w:r w:rsidRPr="0039130D">
        <w:rPr>
          <w:rFonts w:ascii="Bookman Old Style" w:hAnsi="Bookman Old Style" w:cs="Arial"/>
        </w:rPr>
        <w:t>que se remunera a través de la componente fija del c</w:t>
      </w:r>
      <w:r w:rsidRPr="0039130D">
        <w:rPr>
          <w:rFonts w:ascii="Bookman Old Style" w:hAnsi="Bookman Old Style"/>
        </w:rPr>
        <w:t xml:space="preserve">osto unitario de prestación del servicio, </w:t>
      </w:r>
      <w:proofErr w:type="spellStart"/>
      <w:r w:rsidRPr="0039130D">
        <w:rPr>
          <w:rFonts w:ascii="Bookman Old Style" w:hAnsi="Bookman Old Style"/>
          <w:i/>
          <w:iCs/>
          <w:color w:val="000000"/>
        </w:rPr>
        <w:t>CUf</w:t>
      </w:r>
      <w:r w:rsidRPr="0039130D">
        <w:rPr>
          <w:rFonts w:ascii="Bookman Old Style" w:hAnsi="Bookman Old Style"/>
          <w:i/>
          <w:iCs/>
          <w:color w:val="000000"/>
          <w:vertAlign w:val="subscript"/>
        </w:rPr>
        <w:t>m,j</w:t>
      </w:r>
      <w:proofErr w:type="spellEnd"/>
      <w:r w:rsidRPr="0039130D">
        <w:rPr>
          <w:rFonts w:ascii="Bookman Old Style" w:hAnsi="Bookman Old Style"/>
          <w:color w:val="000000"/>
        </w:rPr>
        <w:t>.</w:t>
      </w:r>
    </w:p>
    <w:p w14:paraId="51FB4C4E" w14:textId="77777777" w:rsidR="0039130D" w:rsidRPr="0039130D" w:rsidRDefault="0039130D" w:rsidP="0039130D">
      <w:pPr>
        <w:widowControl w:val="0"/>
        <w:spacing w:before="240" w:after="240"/>
        <w:ind w:left="2127" w:hanging="1418"/>
        <w:jc w:val="both"/>
        <w:rPr>
          <w:rFonts w:ascii="Bookman Old Style" w:hAnsi="Bookman Old Style"/>
        </w:rPr>
      </w:pPr>
      <w:proofErr w:type="spellStart"/>
      <w:proofErr w:type="gramStart"/>
      <w:r w:rsidRPr="0039130D">
        <w:rPr>
          <w:rFonts w:ascii="Bookman Old Style" w:hAnsi="Bookman Old Style"/>
          <w:i/>
          <w:iCs/>
          <w:color w:val="000000"/>
        </w:rPr>
        <w:t>Cf</w:t>
      </w:r>
      <w:r w:rsidRPr="0039130D">
        <w:rPr>
          <w:rFonts w:ascii="Bookman Old Style" w:hAnsi="Bookman Old Style"/>
          <w:i/>
          <w:iCs/>
          <w:color w:val="000000"/>
          <w:vertAlign w:val="subscript"/>
        </w:rPr>
        <w:t>m,j</w:t>
      </w:r>
      <w:proofErr w:type="spellEnd"/>
      <w:proofErr w:type="gramEnd"/>
      <w:r w:rsidRPr="0039130D">
        <w:rPr>
          <w:rFonts w:ascii="Bookman Old Style" w:hAnsi="Bookman Old Style"/>
          <w:color w:val="000000"/>
        </w:rPr>
        <w:t>:</w:t>
      </w:r>
      <w:r w:rsidRPr="0039130D">
        <w:rPr>
          <w:rFonts w:ascii="Bookman Old Style" w:hAnsi="Bookman Old Style"/>
        </w:rPr>
        <w:tab/>
        <w:t xml:space="preserve">Costo base de comercialización ($/factura) correspondiente al mes </w:t>
      </w:r>
      <w:r w:rsidRPr="0039130D">
        <w:rPr>
          <w:rFonts w:ascii="Bookman Old Style" w:hAnsi="Bookman Old Style"/>
          <w:i/>
        </w:rPr>
        <w:t>m</w:t>
      </w:r>
      <w:r w:rsidRPr="0039130D">
        <w:rPr>
          <w:rFonts w:ascii="Bookman Old Style" w:hAnsi="Bookman Old Style"/>
        </w:rPr>
        <w:t xml:space="preserve">, para el mercado de comercialización </w:t>
      </w:r>
      <w:r w:rsidRPr="0039130D">
        <w:rPr>
          <w:rFonts w:ascii="Bookman Old Style" w:hAnsi="Bookman Old Style"/>
          <w:i/>
        </w:rPr>
        <w:t>j</w:t>
      </w:r>
      <w:r w:rsidRPr="0039130D">
        <w:rPr>
          <w:rFonts w:ascii="Bookman Old Style" w:hAnsi="Bookman Old Style"/>
        </w:rPr>
        <w:t>.</w:t>
      </w:r>
    </w:p>
    <w:p w14:paraId="30AB341D" w14:textId="77777777" w:rsidR="0039130D" w:rsidRPr="0039130D" w:rsidRDefault="0039130D" w:rsidP="0039130D">
      <w:pPr>
        <w:pStyle w:val="Encabezado"/>
        <w:widowControl w:val="0"/>
        <w:spacing w:before="240" w:after="240"/>
        <w:ind w:left="709"/>
        <w:jc w:val="both"/>
        <w:rPr>
          <w:rFonts w:ascii="Bookman Old Style" w:hAnsi="Bookman Old Style"/>
          <w:color w:val="000000"/>
          <w:szCs w:val="24"/>
        </w:rPr>
      </w:pPr>
      <w:r w:rsidRPr="0039130D">
        <w:rPr>
          <w:rFonts w:ascii="Bookman Old Style" w:hAnsi="Bookman Old Style"/>
          <w:b/>
          <w:szCs w:val="24"/>
          <w:lang w:val="es-MX"/>
        </w:rPr>
        <w:t xml:space="preserve">Parágrafo 1. </w:t>
      </w:r>
      <w:r w:rsidRPr="0039130D">
        <w:rPr>
          <w:rFonts w:ascii="Bookman Old Style" w:hAnsi="Bookman Old Style"/>
          <w:szCs w:val="24"/>
          <w:lang w:val="es-MX"/>
        </w:rPr>
        <w:t xml:space="preserve">El costo máximo del servicio en un período dado corresponderá a la suma de: i) el producto entre el consumo en kWh en dicho período y el componente variable del costo unitario </w:t>
      </w:r>
      <w:proofErr w:type="spellStart"/>
      <w:proofErr w:type="gramStart"/>
      <w:r w:rsidRPr="0039130D">
        <w:rPr>
          <w:rFonts w:ascii="Bookman Old Style" w:hAnsi="Bookman Old Style"/>
          <w:i/>
          <w:iCs/>
          <w:color w:val="000000"/>
        </w:rPr>
        <w:t>CUv</w:t>
      </w:r>
      <w:r w:rsidRPr="0039130D">
        <w:rPr>
          <w:rFonts w:ascii="Bookman Old Style" w:hAnsi="Bookman Old Style"/>
          <w:i/>
          <w:iCs/>
          <w:color w:val="000000"/>
          <w:vertAlign w:val="subscript"/>
        </w:rPr>
        <w:t>n,m</w:t>
      </w:r>
      <w:proofErr w:type="gramEnd"/>
      <w:r w:rsidRPr="0039130D">
        <w:rPr>
          <w:rFonts w:ascii="Bookman Old Style" w:hAnsi="Bookman Old Style"/>
          <w:i/>
          <w:iCs/>
          <w:color w:val="000000"/>
          <w:vertAlign w:val="subscript"/>
        </w:rPr>
        <w:t>,i,j</w:t>
      </w:r>
      <w:proofErr w:type="spellEnd"/>
      <w:r w:rsidRPr="0039130D">
        <w:rPr>
          <w:rFonts w:ascii="Bookman Old Style" w:hAnsi="Bookman Old Style"/>
          <w:szCs w:val="24"/>
        </w:rPr>
        <w:t xml:space="preserve"> y </w:t>
      </w:r>
      <w:proofErr w:type="spellStart"/>
      <w:r w:rsidRPr="0039130D">
        <w:rPr>
          <w:rFonts w:ascii="Bookman Old Style" w:hAnsi="Bookman Old Style"/>
          <w:szCs w:val="24"/>
          <w:lang w:val="es-MX"/>
        </w:rPr>
        <w:t>ii</w:t>
      </w:r>
      <w:proofErr w:type="spellEnd"/>
      <w:r w:rsidRPr="0039130D">
        <w:rPr>
          <w:rFonts w:ascii="Bookman Old Style" w:hAnsi="Bookman Old Style"/>
          <w:szCs w:val="24"/>
          <w:lang w:val="es-MX"/>
        </w:rPr>
        <w:t xml:space="preserve">) el valor del componente fijo del costo unitario </w:t>
      </w:r>
      <w:proofErr w:type="spellStart"/>
      <w:r w:rsidRPr="0039130D">
        <w:rPr>
          <w:rFonts w:ascii="Bookman Old Style" w:hAnsi="Bookman Old Style"/>
          <w:i/>
          <w:iCs/>
          <w:color w:val="000000"/>
        </w:rPr>
        <w:t>CUf</w:t>
      </w:r>
      <w:r w:rsidRPr="0039130D">
        <w:rPr>
          <w:rFonts w:ascii="Bookman Old Style" w:hAnsi="Bookman Old Style"/>
          <w:i/>
          <w:iCs/>
          <w:color w:val="000000"/>
          <w:vertAlign w:val="subscript"/>
        </w:rPr>
        <w:t>m,j</w:t>
      </w:r>
      <w:proofErr w:type="spellEnd"/>
      <w:r w:rsidRPr="0039130D">
        <w:rPr>
          <w:rFonts w:ascii="Bookman Old Style" w:hAnsi="Bookman Old Style"/>
          <w:color w:val="000000"/>
        </w:rPr>
        <w:t>.</w:t>
      </w:r>
    </w:p>
    <w:p w14:paraId="167811E4" w14:textId="6044879D" w:rsidR="0080311A" w:rsidRPr="009E2240" w:rsidRDefault="009A4E76" w:rsidP="0080311A">
      <w:pPr>
        <w:pStyle w:val="Estilo2"/>
        <w:keepNext w:val="0"/>
        <w:numPr>
          <w:ilvl w:val="0"/>
          <w:numId w:val="17"/>
        </w:numPr>
        <w:tabs>
          <w:tab w:val="clear" w:pos="1440"/>
        </w:tabs>
        <w:spacing w:before="240" w:after="240"/>
        <w:rPr>
          <w:b w:val="0"/>
        </w:rPr>
      </w:pPr>
      <w:r>
        <w:t>Modificación de los c</w:t>
      </w:r>
      <w:r w:rsidR="0080311A">
        <w:t>ostos de c</w:t>
      </w:r>
      <w:r w:rsidR="0080311A" w:rsidRPr="009E2240">
        <w:t>omercialización,</w:t>
      </w:r>
      <w:r w:rsidR="0080311A">
        <w:t xml:space="preserve"> </w:t>
      </w:r>
      <w:proofErr w:type="spellStart"/>
      <w:proofErr w:type="gramStart"/>
      <w:r w:rsidR="0080311A" w:rsidRPr="00111764">
        <w:rPr>
          <w:i/>
          <w:iCs/>
          <w:color w:val="000000"/>
        </w:rPr>
        <w:t>C</w:t>
      </w:r>
      <w:r w:rsidR="0080311A">
        <w:rPr>
          <w:i/>
          <w:iCs/>
          <w:color w:val="000000"/>
        </w:rPr>
        <w:t>v</w:t>
      </w:r>
      <w:r w:rsidR="0080311A" w:rsidRPr="007F5B94">
        <w:rPr>
          <w:i/>
          <w:iCs/>
          <w:color w:val="000000"/>
          <w:vertAlign w:val="subscript"/>
        </w:rPr>
        <w:t>m,</w:t>
      </w:r>
      <w:r w:rsidR="0080311A">
        <w:rPr>
          <w:i/>
          <w:iCs/>
          <w:color w:val="000000"/>
          <w:vertAlign w:val="subscript"/>
        </w:rPr>
        <w:t>i</w:t>
      </w:r>
      <w:proofErr w:type="gramEnd"/>
      <w:r w:rsidR="0080311A">
        <w:rPr>
          <w:i/>
          <w:iCs/>
          <w:color w:val="000000"/>
          <w:vertAlign w:val="subscript"/>
        </w:rPr>
        <w:t>,</w:t>
      </w:r>
      <w:r w:rsidR="0080311A" w:rsidRPr="007F5B94">
        <w:rPr>
          <w:i/>
          <w:iCs/>
          <w:color w:val="000000"/>
          <w:vertAlign w:val="subscript"/>
        </w:rPr>
        <w:t>j</w:t>
      </w:r>
      <w:proofErr w:type="spellEnd"/>
      <w:r w:rsidR="0080311A" w:rsidRPr="009E2240">
        <w:rPr>
          <w:rFonts w:cs="Arial"/>
        </w:rPr>
        <w:t xml:space="preserve"> </w:t>
      </w:r>
      <w:r w:rsidR="0080311A" w:rsidRPr="009E2240">
        <w:rPr>
          <w:rFonts w:cs="Arial"/>
          <w:bCs w:val="0"/>
        </w:rPr>
        <w:t>y</w:t>
      </w:r>
      <w:r w:rsidR="0080311A">
        <w:rPr>
          <w:rFonts w:cs="Arial"/>
          <w:bCs w:val="0"/>
        </w:rPr>
        <w:t xml:space="preserve"> </w:t>
      </w:r>
      <w:proofErr w:type="spellStart"/>
      <w:r w:rsidR="0080311A" w:rsidRPr="00111764">
        <w:rPr>
          <w:i/>
          <w:iCs/>
          <w:color w:val="000000"/>
        </w:rPr>
        <w:t>C</w:t>
      </w:r>
      <w:r w:rsidR="0080311A">
        <w:rPr>
          <w:i/>
          <w:iCs/>
          <w:color w:val="000000"/>
        </w:rPr>
        <w:t>f</w:t>
      </w:r>
      <w:r w:rsidR="0080311A" w:rsidRPr="007F5B94">
        <w:rPr>
          <w:i/>
          <w:iCs/>
          <w:color w:val="000000"/>
          <w:vertAlign w:val="subscript"/>
        </w:rPr>
        <w:t>m,j</w:t>
      </w:r>
      <w:proofErr w:type="spellEnd"/>
      <w:r w:rsidR="0080311A" w:rsidRPr="009E2240">
        <w:t xml:space="preserve">. </w:t>
      </w:r>
      <w:r w:rsidR="0080311A" w:rsidRPr="009E2240">
        <w:rPr>
          <w:b w:val="0"/>
        </w:rPr>
        <w:t xml:space="preserve">El artículo 11 de la Resolución CREG 119 de 2007 quedará así: </w:t>
      </w:r>
    </w:p>
    <w:p w14:paraId="1753151F" w14:textId="1E555CE3" w:rsidR="0080311A" w:rsidRPr="00614FAD" w:rsidRDefault="0080311A" w:rsidP="0080311A">
      <w:pPr>
        <w:pStyle w:val="Textoindependiente3"/>
        <w:widowControl w:val="0"/>
        <w:spacing w:before="240" w:after="240"/>
        <w:ind w:left="709"/>
        <w:jc w:val="both"/>
        <w:rPr>
          <w:rFonts w:ascii="Bookman Old Style" w:hAnsi="Bookman Old Style"/>
          <w:b w:val="0"/>
        </w:rPr>
      </w:pPr>
      <w:r>
        <w:rPr>
          <w:rFonts w:ascii="Bookman Old Style" w:hAnsi="Bookman Old Style"/>
        </w:rPr>
        <w:t>“</w:t>
      </w:r>
      <w:r w:rsidRPr="00614FAD">
        <w:rPr>
          <w:rFonts w:ascii="Bookman Old Style" w:hAnsi="Bookman Old Style"/>
        </w:rPr>
        <w:t>Artículo 11</w:t>
      </w:r>
      <w:r w:rsidRPr="00614FAD">
        <w:rPr>
          <w:rFonts w:ascii="Bookman Old Style" w:hAnsi="Bookman Old Style"/>
          <w:b w:val="0"/>
        </w:rPr>
        <w:t xml:space="preserve">. </w:t>
      </w:r>
      <w:r w:rsidRPr="00614FAD">
        <w:rPr>
          <w:rFonts w:ascii="Bookman Old Style" w:hAnsi="Bookman Old Style"/>
        </w:rPr>
        <w:t xml:space="preserve">Costos de </w:t>
      </w:r>
      <w:r>
        <w:rPr>
          <w:rFonts w:ascii="Bookman Old Style" w:hAnsi="Bookman Old Style"/>
        </w:rPr>
        <w:t>c</w:t>
      </w:r>
      <w:r w:rsidRPr="00614FAD">
        <w:rPr>
          <w:rFonts w:ascii="Bookman Old Style" w:hAnsi="Bookman Old Style"/>
        </w:rPr>
        <w:t>omercialización,</w:t>
      </w:r>
      <w:r>
        <w:rPr>
          <w:rFonts w:ascii="Bookman Old Style" w:hAnsi="Bookman Old Style"/>
        </w:rPr>
        <w:t xml:space="preserve"> </w:t>
      </w:r>
      <w:proofErr w:type="spellStart"/>
      <w:proofErr w:type="gramStart"/>
      <w:r w:rsidRPr="00111764">
        <w:rPr>
          <w:rFonts w:ascii="Bookman Old Style" w:hAnsi="Bookman Old Style"/>
          <w:i/>
          <w:iCs/>
          <w:color w:val="000000"/>
        </w:rPr>
        <w:t>C</w:t>
      </w:r>
      <w:r w:rsidR="006D1B6A">
        <w:rPr>
          <w:rFonts w:ascii="Bookman Old Style" w:hAnsi="Bookman Old Style"/>
          <w:i/>
          <w:iCs/>
          <w:color w:val="000000"/>
        </w:rPr>
        <w:t>v</w:t>
      </w:r>
      <w:r w:rsidR="006C6F82" w:rsidRPr="006C6F82">
        <w:rPr>
          <w:rFonts w:ascii="Bookman Old Style" w:hAnsi="Bookman Old Style"/>
          <w:i/>
          <w:iCs/>
          <w:color w:val="000000"/>
          <w:vertAlign w:val="subscript"/>
        </w:rPr>
        <w:t>n,</w:t>
      </w:r>
      <w:r w:rsidRPr="007F5B94">
        <w:rPr>
          <w:rFonts w:ascii="Bookman Old Style" w:hAnsi="Bookman Old Style"/>
          <w:i/>
          <w:iCs/>
          <w:color w:val="000000"/>
          <w:vertAlign w:val="subscript"/>
        </w:rPr>
        <w:t>m</w:t>
      </w:r>
      <w:proofErr w:type="gramEnd"/>
      <w:r w:rsidRPr="007F5B94">
        <w:rPr>
          <w:rFonts w:ascii="Bookman Old Style" w:hAnsi="Bookman Old Style"/>
          <w:i/>
          <w:iCs/>
          <w:color w:val="000000"/>
          <w:vertAlign w:val="subscript"/>
        </w:rPr>
        <w:t>,</w:t>
      </w:r>
      <w:r>
        <w:rPr>
          <w:i/>
          <w:iCs/>
          <w:color w:val="000000"/>
          <w:vertAlign w:val="subscript"/>
        </w:rPr>
        <w:t>i,</w:t>
      </w:r>
      <w:r w:rsidRPr="007F5B94">
        <w:rPr>
          <w:rFonts w:ascii="Bookman Old Style" w:hAnsi="Bookman Old Style"/>
          <w:i/>
          <w:iCs/>
          <w:color w:val="000000"/>
          <w:vertAlign w:val="subscript"/>
        </w:rPr>
        <w:t>j</w:t>
      </w:r>
      <w:proofErr w:type="spellEnd"/>
      <w:r w:rsidRPr="009E2240">
        <w:t xml:space="preserve"> </w:t>
      </w:r>
      <w:r w:rsidRPr="009E2240">
        <w:rPr>
          <w:bCs w:val="0"/>
        </w:rPr>
        <w:t>y</w:t>
      </w:r>
      <w:r>
        <w:rPr>
          <w:bCs w:val="0"/>
        </w:rPr>
        <w:t xml:space="preserve"> </w:t>
      </w:r>
      <w:proofErr w:type="spellStart"/>
      <w:r w:rsidRPr="00111764">
        <w:rPr>
          <w:rFonts w:ascii="Bookman Old Style" w:hAnsi="Bookman Old Style"/>
          <w:i/>
          <w:iCs/>
          <w:color w:val="000000"/>
        </w:rPr>
        <w:t>C</w:t>
      </w:r>
      <w:r>
        <w:rPr>
          <w:rFonts w:ascii="Bookman Old Style" w:hAnsi="Bookman Old Style"/>
          <w:i/>
          <w:iCs/>
          <w:color w:val="000000"/>
        </w:rPr>
        <w:t>f</w:t>
      </w:r>
      <w:r w:rsidRPr="007F5B94">
        <w:rPr>
          <w:rFonts w:ascii="Bookman Old Style" w:hAnsi="Bookman Old Style"/>
          <w:i/>
          <w:iCs/>
          <w:color w:val="000000"/>
          <w:vertAlign w:val="subscript"/>
        </w:rPr>
        <w:t>m,j</w:t>
      </w:r>
      <w:proofErr w:type="spellEnd"/>
      <w:r>
        <w:rPr>
          <w:rFonts w:ascii="Bookman Old Style" w:hAnsi="Bookman Old Style"/>
        </w:rPr>
        <w:t>.</w:t>
      </w:r>
      <w:r w:rsidRPr="00614FAD">
        <w:rPr>
          <w:rFonts w:ascii="Bookman Old Style" w:hAnsi="Bookman Old Style"/>
          <w:b w:val="0"/>
        </w:rPr>
        <w:t xml:space="preserve"> Los costos de comercialización del servicio de electricidad se determinarán conforme la siguiente expresión:</w:t>
      </w:r>
    </w:p>
    <w:p w14:paraId="695E1010" w14:textId="77777777" w:rsidR="0080311A" w:rsidRPr="00F75948" w:rsidRDefault="005E00C2" w:rsidP="0080311A">
      <w:pPr>
        <w:pStyle w:val="Textoindependiente3"/>
        <w:widowControl w:val="0"/>
        <w:spacing w:before="200" w:after="200"/>
        <w:ind w:left="709"/>
        <w:rPr>
          <w:rFonts w:ascii="Bookman Old Style" w:hAnsi="Bookman Old Style"/>
          <w:b w:val="0"/>
        </w:rPr>
      </w:pPr>
      <m:oMathPara>
        <m:oMath>
          <m:sSub>
            <m:sSubPr>
              <m:ctrlPr>
                <w:rPr>
                  <w:rFonts w:ascii="Cambria Math" w:hAnsi="Cambria Math"/>
                  <w:b w:val="0"/>
                  <w:i/>
                </w:rPr>
              </m:ctrlPr>
            </m:sSubPr>
            <m:e>
              <m:r>
                <m:rPr>
                  <m:sty m:val="bi"/>
                </m:rPr>
                <w:rPr>
                  <w:rFonts w:ascii="Cambria Math" w:hAnsi="Cambria Math"/>
                </w:rPr>
                <m:t>Cf</m:t>
              </m:r>
            </m:e>
            <m:sub>
              <m:r>
                <m:rPr>
                  <m:sty m:val="bi"/>
                </m:rPr>
                <w:rPr>
                  <w:rFonts w:ascii="Cambria Math" w:hAnsi="Cambria Math"/>
                </w:rPr>
                <m:t>m</m:t>
              </m:r>
              <m:r>
                <m:rPr>
                  <m:sty m:val="bi"/>
                </m:rPr>
                <w:rPr>
                  <w:rFonts w:ascii="Cambria Math" w:hAnsi="Cambria Math"/>
                </w:rPr>
                <m:t>,</m:t>
              </m:r>
              <m:r>
                <m:rPr>
                  <m:sty m:val="bi"/>
                </m:rPr>
                <w:rPr>
                  <w:rFonts w:ascii="Cambria Math" w:hAnsi="Cambria Math"/>
                </w:rPr>
                <m:t>j</m:t>
              </m:r>
            </m:sub>
          </m:sSub>
        </m:oMath>
      </m:oMathPara>
    </w:p>
    <w:p w14:paraId="54F86EAF" w14:textId="37B4B1A4" w:rsidR="0080311A" w:rsidRPr="004A34ED" w:rsidRDefault="005E00C2" w:rsidP="0080311A">
      <w:pPr>
        <w:widowControl w:val="0"/>
        <w:spacing w:before="200" w:after="200"/>
        <w:ind w:left="709"/>
        <w:jc w:val="center"/>
        <w:rPr>
          <w:rFonts w:ascii="Bookman Old Style" w:hAnsi="Bookman Old Style"/>
        </w:rPr>
      </w:pPr>
      <m:oMathPara>
        <m:oMath>
          <m:sSub>
            <m:sSubPr>
              <m:ctrlPr>
                <w:rPr>
                  <w:rFonts w:ascii="Cambria Math" w:hAnsi="Cambria Math"/>
                  <w:i/>
                  <w:color w:val="000000"/>
                </w:rPr>
              </m:ctrlPr>
            </m:sSubPr>
            <m:e>
              <m:r>
                <w:rPr>
                  <w:rFonts w:ascii="Cambria Math" w:hAnsi="Cambria Math"/>
                  <w:color w:val="000000"/>
                </w:rPr>
                <m:t>Cv</m:t>
              </m:r>
            </m:e>
            <m:sub>
              <m:r>
                <w:rPr>
                  <w:rFonts w:ascii="Cambria Math" w:hAnsi="Cambria Math"/>
                  <w:color w:val="000000"/>
                </w:rPr>
                <m:t>n</m:t>
              </m:r>
              <m:r>
                <w:rPr>
                  <w:rFonts w:ascii="Cambria Math" w:hAnsi="Cambria Math"/>
                  <w:color w:val="000000"/>
                </w:rPr>
                <m:t>,</m:t>
              </m:r>
              <m:r>
                <w:rPr>
                  <w:rFonts w:ascii="Cambria Math" w:hAnsi="Cambria Math"/>
                  <w:color w:val="000000"/>
                </w:rPr>
                <m:t>m</m:t>
              </m:r>
              <m:r>
                <w:rPr>
                  <w:rFonts w:ascii="Cambria Math" w:hAnsi="Cambria Math"/>
                  <w:color w:val="000000"/>
                  <w:lang w:val="en-US"/>
                </w:rPr>
                <m:t>,</m:t>
              </m:r>
              <m:r>
                <w:rPr>
                  <w:rFonts w:ascii="Cambria Math" w:hAnsi="Cambria Math"/>
                  <w:color w:val="000000"/>
                </w:rPr>
                <m:t>i</m:t>
              </m:r>
              <m:r>
                <w:rPr>
                  <w:rFonts w:ascii="Cambria Math" w:hAnsi="Cambria Math"/>
                  <w:color w:val="000000"/>
                  <w:lang w:val="en-US"/>
                </w:rPr>
                <m:t>,</m:t>
              </m:r>
              <m:r>
                <w:rPr>
                  <w:rFonts w:ascii="Cambria Math" w:hAnsi="Cambria Math"/>
                  <w:color w:val="000000"/>
                </w:rPr>
                <m:t>j</m:t>
              </m:r>
            </m:sub>
          </m:sSub>
          <m:r>
            <w:rPr>
              <w:rFonts w:ascii="Cambria Math" w:hAnsi="Cambria Math"/>
              <w:color w:val="000000"/>
              <w:lang w:val="en-US"/>
            </w:rPr>
            <m:t>=</m:t>
          </m:r>
          <m:sSubSup>
            <m:sSubSupPr>
              <m:ctrlPr>
                <w:rPr>
                  <w:rFonts w:ascii="Cambria Math" w:hAnsi="Cambria Math"/>
                  <w:bCs/>
                  <w:i/>
                </w:rPr>
              </m:ctrlPr>
            </m:sSubSupPr>
            <m:e>
              <m:r>
                <w:rPr>
                  <w:rFonts w:ascii="Cambria Math" w:hAnsi="Cambria Math"/>
                </w:rPr>
                <m:t>C</m:t>
              </m:r>
            </m:e>
            <m:sub>
              <m:r>
                <w:rPr>
                  <w:rFonts w:ascii="Cambria Math" w:hAnsi="Cambria Math"/>
                </w:rPr>
                <m:t>i</m:t>
              </m:r>
              <m:r>
                <w:rPr>
                  <w:rFonts w:ascii="Cambria Math" w:hAnsi="Cambria Math"/>
                  <w:lang w:val="en-US"/>
                </w:rPr>
                <m:t>,</m:t>
              </m:r>
              <m:r>
                <w:rPr>
                  <w:rFonts w:ascii="Cambria Math" w:hAnsi="Cambria Math"/>
                </w:rPr>
                <m:t>j</m:t>
              </m:r>
              <m:r>
                <w:rPr>
                  <w:rFonts w:ascii="Cambria Math" w:hAnsi="Cambria Math"/>
                  <w:lang w:val="en-US"/>
                </w:rPr>
                <m:t>,</m:t>
              </m:r>
              <m:r>
                <w:rPr>
                  <w:rFonts w:ascii="Cambria Math" w:hAnsi="Cambria Math"/>
                </w:rPr>
                <m:t>m</m:t>
              </m:r>
            </m:sub>
            <m:sup>
              <m:r>
                <w:rPr>
                  <w:rFonts w:ascii="Cambria Math" w:hAnsi="Cambria Math"/>
                  <w:lang w:val="en-US"/>
                </w:rPr>
                <m:t>*</m:t>
              </m:r>
            </m:sup>
          </m:sSubSup>
          <m:r>
            <w:rPr>
              <w:rFonts w:ascii="Cambria Math" w:hAnsi="Cambria Math"/>
              <w:lang w:val="en-US"/>
            </w:rPr>
            <m:t>+</m:t>
          </m:r>
          <m:f>
            <m:fPr>
              <m:ctrlPr>
                <w:rPr>
                  <w:rFonts w:ascii="Cambria Math" w:hAnsi="Cambria Math"/>
                  <w:bCs/>
                  <w:i/>
                </w:rPr>
              </m:ctrlPr>
            </m:fPr>
            <m:num>
              <m:sSub>
                <m:sSubPr>
                  <m:ctrlPr>
                    <w:rPr>
                      <w:rFonts w:ascii="Cambria Math" w:hAnsi="Cambria Math"/>
                      <w:bCs/>
                      <w:i/>
                    </w:rPr>
                  </m:ctrlPr>
                </m:sSubPr>
                <m:e>
                  <m:r>
                    <w:rPr>
                      <w:rFonts w:ascii="Cambria Math" w:hAnsi="Cambria Math"/>
                    </w:rPr>
                    <m:t>CER</m:t>
                  </m:r>
                </m:e>
                <m:sub>
                  <m:r>
                    <w:rPr>
                      <w:rFonts w:ascii="Cambria Math" w:hAnsi="Cambria Math"/>
                    </w:rPr>
                    <m:t>i</m:t>
                  </m:r>
                  <m:r>
                    <w:rPr>
                      <w:rFonts w:ascii="Cambria Math" w:hAnsi="Cambria Math"/>
                      <w:lang w:val="en-US"/>
                    </w:rPr>
                    <m:t>,</m:t>
                  </m:r>
                  <m:r>
                    <w:rPr>
                      <w:rFonts w:ascii="Cambria Math" w:hAnsi="Cambria Math"/>
                    </w:rPr>
                    <m:t>m</m:t>
                  </m:r>
                </m:sub>
              </m:sSub>
              <m:r>
                <w:rPr>
                  <w:rFonts w:ascii="Cambria Math" w:hAnsi="Cambria Math"/>
                  <w:lang w:val="en-US"/>
                </w:rPr>
                <m:t>+</m:t>
              </m:r>
              <m:sSub>
                <m:sSubPr>
                  <m:ctrlPr>
                    <w:rPr>
                      <w:rFonts w:ascii="Cambria Math" w:hAnsi="Cambria Math"/>
                      <w:bCs/>
                      <w:i/>
                    </w:rPr>
                  </m:ctrlPr>
                </m:sSubPr>
                <m:e>
                  <m:r>
                    <w:rPr>
                      <w:rFonts w:ascii="Cambria Math" w:hAnsi="Cambria Math"/>
                    </w:rPr>
                    <m:t>CCD</m:t>
                  </m:r>
                </m:e>
                <m:sub>
                  <m:r>
                    <w:rPr>
                      <w:rFonts w:ascii="Cambria Math" w:hAnsi="Cambria Math"/>
                    </w:rPr>
                    <m:t>i</m:t>
                  </m:r>
                  <m:r>
                    <w:rPr>
                      <w:rFonts w:ascii="Cambria Math" w:hAnsi="Cambria Math"/>
                      <w:lang w:val="en-US"/>
                    </w:rPr>
                    <m:t>,</m:t>
                  </m:r>
                  <m:r>
                    <w:rPr>
                      <w:rFonts w:ascii="Cambria Math" w:hAnsi="Cambria Math"/>
                    </w:rPr>
                    <m:t>m</m:t>
                  </m:r>
                  <m:r>
                    <w:rPr>
                      <w:rFonts w:ascii="Cambria Math" w:hAnsi="Cambria Math"/>
                      <w:lang w:val="en-US"/>
                    </w:rPr>
                    <m:t>-1</m:t>
                  </m:r>
                </m:sub>
              </m:sSub>
              <m:sSub>
                <m:sSubPr>
                  <m:ctrlPr>
                    <w:rPr>
                      <w:rFonts w:ascii="Cambria Math" w:hAnsi="Cambria Math"/>
                      <w:bCs/>
                      <w:i/>
                    </w:rPr>
                  </m:ctrlPr>
                </m:sSubPr>
                <m:e>
                  <m:r>
                    <w:rPr>
                      <w:rFonts w:ascii="Cambria Math" w:hAnsi="Cambria Math"/>
                      <w:lang w:val="en-US"/>
                    </w:rPr>
                    <m:t>+</m:t>
                  </m:r>
                  <m:r>
                    <w:rPr>
                      <w:rFonts w:ascii="Cambria Math" w:hAnsi="Cambria Math"/>
                    </w:rPr>
                    <m:t>CG</m:t>
                  </m:r>
                </m:e>
                <m:sub>
                  <m:r>
                    <w:rPr>
                      <w:rFonts w:ascii="Cambria Math" w:hAnsi="Cambria Math"/>
                    </w:rPr>
                    <m:t>i</m:t>
                  </m:r>
                  <m:r>
                    <w:rPr>
                      <w:rFonts w:ascii="Cambria Math" w:hAnsi="Cambria Math"/>
                      <w:lang w:val="en-US"/>
                    </w:rPr>
                    <m:t>,</m:t>
                  </m:r>
                  <m:r>
                    <w:rPr>
                      <w:rFonts w:ascii="Cambria Math" w:hAnsi="Cambria Math"/>
                    </w:rPr>
                    <m:t>m</m:t>
                  </m:r>
                  <m:r>
                    <w:rPr>
                      <w:rFonts w:ascii="Cambria Math" w:hAnsi="Cambria Math"/>
                      <w:lang w:val="en-US"/>
                    </w:rPr>
                    <m:t>-1</m:t>
                  </m:r>
                </m:sub>
              </m:sSub>
            </m:num>
            <m:den>
              <m:sSub>
                <m:sSubPr>
                  <m:ctrlPr>
                    <w:rPr>
                      <w:rFonts w:ascii="Cambria Math" w:hAnsi="Cambria Math"/>
                      <w:bCs/>
                      <w:i/>
                    </w:rPr>
                  </m:ctrlPr>
                </m:sSubPr>
                <m:e>
                  <m:r>
                    <w:rPr>
                      <w:rFonts w:ascii="Cambria Math" w:hAnsi="Cambria Math"/>
                    </w:rPr>
                    <m:t>V</m:t>
                  </m:r>
                </m:e>
                <m:sub>
                  <m:r>
                    <w:rPr>
                      <w:rFonts w:ascii="Cambria Math" w:hAnsi="Cambria Math"/>
                    </w:rPr>
                    <m:t>i</m:t>
                  </m:r>
                  <m:r>
                    <w:rPr>
                      <w:rFonts w:ascii="Cambria Math" w:hAnsi="Cambria Math"/>
                      <w:lang w:val="en-US"/>
                    </w:rPr>
                    <m:t>,</m:t>
                  </m:r>
                  <m:r>
                    <w:rPr>
                      <w:rFonts w:ascii="Cambria Math" w:hAnsi="Cambria Math"/>
                    </w:rPr>
                    <m:t>m</m:t>
                  </m:r>
                  <m:r>
                    <w:rPr>
                      <w:rFonts w:ascii="Cambria Math" w:hAnsi="Cambria Math"/>
                      <w:lang w:val="en-US"/>
                    </w:rPr>
                    <m:t>-1</m:t>
                  </m:r>
                </m:sub>
              </m:sSub>
            </m:den>
          </m:f>
          <m:r>
            <w:rPr>
              <w:rFonts w:ascii="Cambria Math" w:hAnsi="Cambria Math"/>
              <w:lang w:val="en-US"/>
            </w:rPr>
            <m:t>+</m:t>
          </m:r>
          <m:sSub>
            <m:sSubPr>
              <m:ctrlPr>
                <w:rPr>
                  <w:rFonts w:ascii="Cambria Math" w:hAnsi="Cambria Math"/>
                  <w:i/>
                </w:rPr>
              </m:ctrlPr>
            </m:sSubPr>
            <m:e>
              <m:r>
                <w:rPr>
                  <w:rFonts w:ascii="Cambria Math" w:hAnsi="Cambria Math"/>
                </w:rPr>
                <m:t>CvR</m:t>
              </m:r>
            </m:e>
            <m:sub>
              <m:r>
                <w:rPr>
                  <w:rFonts w:ascii="Cambria Math" w:hAnsi="Cambria Math"/>
                </w:rPr>
                <m:t>n</m:t>
              </m:r>
              <m:r>
                <w:rPr>
                  <w:rFonts w:ascii="Cambria Math" w:hAnsi="Cambria Math"/>
                </w:rPr>
                <m:t>,</m:t>
              </m:r>
              <m:r>
                <w:rPr>
                  <w:rFonts w:ascii="Cambria Math" w:hAnsi="Cambria Math"/>
                </w:rPr>
                <m:t>i</m:t>
              </m:r>
              <m:r>
                <w:rPr>
                  <w:rFonts w:ascii="Cambria Math" w:hAnsi="Cambria Math"/>
                  <w:lang w:val="en-US"/>
                </w:rPr>
                <m:t>,</m:t>
              </m:r>
              <m:r>
                <w:rPr>
                  <w:rFonts w:ascii="Cambria Math" w:hAnsi="Cambria Math"/>
                </w:rPr>
                <m:t>j</m:t>
              </m:r>
              <m:r>
                <w:rPr>
                  <w:rFonts w:ascii="Cambria Math" w:hAnsi="Cambria Math"/>
                  <w:lang w:val="en-US"/>
                </w:rPr>
                <m:t>,</m:t>
              </m:r>
              <m:r>
                <w:rPr>
                  <w:rFonts w:ascii="Cambria Math" w:hAnsi="Cambria Math"/>
                </w:rPr>
                <m:t>m</m:t>
              </m:r>
            </m:sub>
          </m:sSub>
        </m:oMath>
      </m:oMathPara>
    </w:p>
    <w:p w14:paraId="40BACBAE" w14:textId="3ACD66A4" w:rsidR="005360D1" w:rsidRPr="00614FAD" w:rsidRDefault="005E00C2" w:rsidP="005360D1">
      <w:pPr>
        <w:widowControl w:val="0"/>
        <w:spacing w:before="200" w:after="200"/>
        <w:ind w:left="709"/>
        <w:jc w:val="both"/>
        <w:rPr>
          <w:rFonts w:ascii="Bookman Old Style" w:hAnsi="Bookman Old Style"/>
          <w:bCs/>
        </w:rPr>
      </w:pPr>
      <m:oMathPara>
        <m:oMath>
          <m:sSub>
            <m:sSubPr>
              <m:ctrlPr>
                <w:rPr>
                  <w:rFonts w:ascii="Cambria Math" w:hAnsi="Cambria Math"/>
                  <w:i/>
                </w:rPr>
              </m:ctrlPr>
            </m:sSubPr>
            <m:e>
              <m:r>
                <w:rPr>
                  <w:rFonts w:ascii="Cambria Math" w:hAnsi="Cambria Math"/>
                </w:rPr>
                <m:t>CvR</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sub>
          </m:sSub>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1-</m:t>
                  </m:r>
                  <m:r>
                    <w:rPr>
                      <w:rFonts w:ascii="Cambria Math" w:hAnsi="Cambria Math"/>
                      <w:color w:val="000000"/>
                    </w:rPr>
                    <m:t>β</m:t>
                  </m:r>
                  <m:ctrlPr>
                    <w:rPr>
                      <w:rFonts w:ascii="Cambria Math" w:hAnsi="Cambria Math"/>
                      <w:i/>
                      <w:color w:val="000000"/>
                    </w:rPr>
                  </m:ctrlP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m:t>
                  </m:r>
                  <m:r>
                    <w:rPr>
                      <w:rFonts w:ascii="Cambria Math" w:hAnsi="Cambria Math"/>
                      <w:color w:val="000000"/>
                    </w:rPr>
                    <m:t>,</m:t>
                  </m:r>
                  <m:r>
                    <w:rPr>
                      <w:rFonts w:ascii="Cambria Math" w:hAnsi="Cambria Math"/>
                      <w:color w:val="000000"/>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UR</m:t>
                  </m:r>
                </m:e>
                <m:sub>
                  <m:r>
                    <w:rPr>
                      <w:rFonts w:ascii="Cambria Math" w:hAnsi="Cambria Math"/>
                      <w:color w:val="000000"/>
                    </w:rPr>
                    <m:t>i</m:t>
                  </m:r>
                  <m:r>
                    <w:rPr>
                      <w:rFonts w:ascii="Cambria Math" w:hAnsi="Cambria Math"/>
                      <w:color w:val="000000"/>
                    </w:rPr>
                    <m:t>,</m:t>
                  </m:r>
                  <m:r>
                    <w:rPr>
                      <w:rFonts w:ascii="Cambria Math" w:hAnsi="Cambria Math"/>
                      <w:color w:val="000000"/>
                    </w:rPr>
                    <m:t>j</m:t>
                  </m:r>
                  <m:r>
                    <w:rPr>
                      <w:rFonts w:ascii="Cambria Math" w:hAnsi="Cambria Math"/>
                      <w:color w:val="000000"/>
                    </w:rPr>
                    <m:t>,</m:t>
                  </m:r>
                  <m:r>
                    <w:rPr>
                      <w:rFonts w:ascii="Cambria Math" w:hAnsi="Cambria Math"/>
                      <w:color w:val="000000"/>
                    </w:rPr>
                    <m:t>m</m:t>
                  </m:r>
                  <m:r>
                    <w:rPr>
                      <w:rFonts w:ascii="Cambria Math" w:hAnsi="Cambria Math"/>
                      <w:color w:val="000000"/>
                    </w:rPr>
                    <m:t>-2</m:t>
                  </m:r>
                </m:sub>
              </m:sSub>
              <m:r>
                <w:rPr>
                  <w:rFonts w:ascii="Cambria Math" w:hAnsi="Cambria Math"/>
                  <w:color w:val="000000"/>
                </w:rPr>
                <m:t>+</m:t>
              </m:r>
              <m:sSub>
                <m:sSubPr>
                  <m:ctrlPr>
                    <w:rPr>
                      <w:rFonts w:ascii="Cambria Math" w:hAnsi="Cambria Math"/>
                      <w:bCs/>
                      <w:i/>
                    </w:rPr>
                  </m:ctrlPr>
                </m:sSubPr>
                <m:e>
                  <m:r>
                    <w:rPr>
                      <w:rFonts w:ascii="Cambria Math" w:hAnsi="Cambria Math"/>
                    </w:rPr>
                    <m:t>CGCU</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PUI</m:t>
                  </m:r>
                </m:e>
                <m:sub>
                  <m:r>
                    <w:rPr>
                      <w:rFonts w:ascii="Cambria Math" w:hAnsi="Cambria Math"/>
                    </w:rPr>
                    <m:t>j</m:t>
                  </m:r>
                  <m:r>
                    <w:rPr>
                      <w:rFonts w:ascii="Cambria Math" w:hAnsi="Cambria Math"/>
                    </w:rPr>
                    <m:t>,</m:t>
                  </m:r>
                  <m:r>
                    <w:rPr>
                      <w:rFonts w:ascii="Cambria Math" w:hAnsi="Cambria Math"/>
                    </w:rPr>
                    <m:t>m</m:t>
                  </m:r>
                </m:sub>
              </m:sSub>
            </m:num>
            <m:den>
              <m:sSub>
                <m:sSubPr>
                  <m:ctrlPr>
                    <w:rPr>
                      <w:rFonts w:ascii="Cambria Math" w:hAnsi="Cambria Math"/>
                      <w:bCs/>
                      <w:i/>
                    </w:rPr>
                  </m:ctrlPr>
                </m:sSubPr>
                <m:e>
                  <m:r>
                    <w:rPr>
                      <w:rFonts w:ascii="Cambria Math" w:hAnsi="Cambria Math"/>
                    </w:rPr>
                    <m:t>VR</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r>
                    <w:rPr>
                      <w:rFonts w:ascii="Cambria Math" w:hAnsi="Cambria Math"/>
                    </w:rPr>
                    <m:t>-2</m:t>
                  </m:r>
                </m:sub>
              </m:sSub>
            </m:den>
          </m:f>
          <m:r>
            <w:rPr>
              <w:rFonts w:ascii="Cambria Math" w:hAnsi="Cambria Math"/>
            </w:rPr>
            <m:t>+</m:t>
          </m:r>
          <m:sSub>
            <m:sSubPr>
              <m:ctrlPr>
                <w:rPr>
                  <w:rFonts w:ascii="Cambria Math" w:hAnsi="Cambria Math"/>
                  <w:bCs/>
                  <w:i/>
                </w:rPr>
              </m:ctrlPr>
            </m:sSubPr>
            <m:e>
              <m:r>
                <w:rPr>
                  <w:rFonts w:ascii="Cambria Math" w:hAnsi="Cambria Math"/>
                </w:rPr>
                <m:t>COT</m:t>
              </m:r>
            </m:e>
            <m:sub>
              <m:r>
                <w:rPr>
                  <w:rFonts w:ascii="Cambria Math" w:hAnsi="Cambria Math"/>
                </w:rPr>
                <m:t>n</m:t>
              </m:r>
              <m:r>
                <w:rPr>
                  <w:rFonts w:ascii="Cambria Math" w:hAnsi="Cambria Math"/>
                </w:rPr>
                <m:t>,</m:t>
              </m:r>
              <m:r>
                <w:rPr>
                  <w:rFonts w:ascii="Cambria Math" w:hAnsi="Cambria Math"/>
                </w:rPr>
                <m:t>j</m:t>
              </m:r>
              <m:r>
                <w:rPr>
                  <w:rFonts w:ascii="Cambria Math" w:hAnsi="Cambria Math"/>
                </w:rPr>
                <m:t>,</m:t>
              </m:r>
              <m:r>
                <w:rPr>
                  <w:rFonts w:ascii="Cambria Math" w:hAnsi="Cambria Math"/>
                </w:rPr>
                <m:t>m</m:t>
              </m:r>
            </m:sub>
          </m:sSub>
        </m:oMath>
      </m:oMathPara>
    </w:p>
    <w:p w14:paraId="6F42D718" w14:textId="7E42984B" w:rsidR="0080311A" w:rsidRPr="00614FAD" w:rsidRDefault="0080311A" w:rsidP="0080311A">
      <w:pPr>
        <w:widowControl w:val="0"/>
        <w:spacing w:before="240" w:after="240"/>
        <w:ind w:left="1985" w:hanging="1276"/>
        <w:jc w:val="both"/>
        <w:rPr>
          <w:rFonts w:ascii="Bookman Old Style" w:hAnsi="Bookman Old Style"/>
          <w:bCs/>
        </w:rPr>
      </w:pPr>
      <w:r w:rsidRPr="00614FAD">
        <w:rPr>
          <w:rFonts w:ascii="Bookman Old Style" w:hAnsi="Bookman Old Style"/>
          <w:bCs/>
        </w:rPr>
        <w:t>Donde:</w:t>
      </w:r>
    </w:p>
    <w:p w14:paraId="7242A9BA" w14:textId="77777777" w:rsidR="0080311A" w:rsidRPr="00614FAD" w:rsidRDefault="0080311A" w:rsidP="0080311A">
      <w:pPr>
        <w:widowControl w:val="0"/>
        <w:spacing w:before="240" w:after="240"/>
        <w:ind w:left="2127" w:hanging="1418"/>
        <w:jc w:val="both"/>
        <w:rPr>
          <w:rFonts w:ascii="Bookman Old Style" w:hAnsi="Bookman Old Style"/>
          <w:bCs/>
        </w:rPr>
      </w:pPr>
      <m:oMath>
        <m:r>
          <w:rPr>
            <w:rFonts w:ascii="Cambria Math" w:hAnsi="Cambria Math"/>
          </w:rPr>
          <m:t>m</m:t>
        </m:r>
      </m:oMath>
      <w:r w:rsidRPr="00614FAD">
        <w:rPr>
          <w:rFonts w:ascii="Bookman Old Style" w:hAnsi="Bookman Old Style"/>
          <w:bCs/>
        </w:rPr>
        <w:t xml:space="preserve">: </w:t>
      </w:r>
      <w:r w:rsidRPr="00614FAD">
        <w:rPr>
          <w:rFonts w:ascii="Bookman Old Style" w:hAnsi="Bookman Old Style"/>
          <w:bCs/>
        </w:rPr>
        <w:tab/>
        <w:t xml:space="preserve">Es el mes para el cual se calcula el </w:t>
      </w:r>
      <w:r>
        <w:rPr>
          <w:rFonts w:ascii="Bookman Old Style" w:hAnsi="Bookman Old Style"/>
          <w:bCs/>
        </w:rPr>
        <w:t>c</w:t>
      </w:r>
      <w:r w:rsidRPr="00614FAD">
        <w:rPr>
          <w:rFonts w:ascii="Bookman Old Style" w:hAnsi="Bookman Old Style"/>
          <w:bCs/>
        </w:rPr>
        <w:t xml:space="preserve">osto </w:t>
      </w:r>
      <w:r>
        <w:rPr>
          <w:rFonts w:ascii="Bookman Old Style" w:hAnsi="Bookman Old Style"/>
          <w:bCs/>
        </w:rPr>
        <w:t>u</w:t>
      </w:r>
      <w:r w:rsidRPr="00614FAD">
        <w:rPr>
          <w:rFonts w:ascii="Bookman Old Style" w:hAnsi="Bookman Old Style"/>
          <w:bCs/>
        </w:rPr>
        <w:t xml:space="preserve">nitario de </w:t>
      </w:r>
      <w:r>
        <w:rPr>
          <w:rFonts w:ascii="Bookman Old Style" w:hAnsi="Bookman Old Style"/>
          <w:bCs/>
        </w:rPr>
        <w:t>p</w:t>
      </w:r>
      <w:r w:rsidRPr="00614FAD">
        <w:rPr>
          <w:rFonts w:ascii="Bookman Old Style" w:hAnsi="Bookman Old Style"/>
          <w:bCs/>
        </w:rPr>
        <w:t xml:space="preserve">restación del </w:t>
      </w:r>
      <w:r>
        <w:rPr>
          <w:rFonts w:ascii="Bookman Old Style" w:hAnsi="Bookman Old Style"/>
          <w:bCs/>
        </w:rPr>
        <w:t>s</w:t>
      </w:r>
      <w:r w:rsidRPr="00614FAD">
        <w:rPr>
          <w:rFonts w:ascii="Bookman Old Style" w:hAnsi="Bookman Old Style"/>
          <w:bCs/>
        </w:rPr>
        <w:t>ervicio.</w:t>
      </w:r>
    </w:p>
    <w:p w14:paraId="02764813" w14:textId="77777777" w:rsidR="0080311A" w:rsidRDefault="0080311A" w:rsidP="0080311A">
      <w:pPr>
        <w:widowControl w:val="0"/>
        <w:tabs>
          <w:tab w:val="left" w:pos="858"/>
        </w:tabs>
        <w:spacing w:before="240" w:after="240"/>
        <w:ind w:left="2127" w:hanging="1418"/>
        <w:jc w:val="both"/>
        <w:rPr>
          <w:rFonts w:ascii="Bookman Old Style" w:hAnsi="Bookman Old Style"/>
          <w:bCs/>
        </w:rPr>
      </w:pPr>
      <w:proofErr w:type="spellStart"/>
      <w:proofErr w:type="gramStart"/>
      <w:r w:rsidRPr="00650B2E">
        <w:rPr>
          <w:rFonts w:ascii="Bookman Old Style" w:hAnsi="Bookman Old Style"/>
          <w:i/>
          <w:iCs/>
          <w:color w:val="000000"/>
        </w:rPr>
        <w:t>Cf</w:t>
      </w:r>
      <w:r w:rsidRPr="00650B2E">
        <w:rPr>
          <w:rFonts w:ascii="Bookman Old Style" w:hAnsi="Bookman Old Style"/>
          <w:i/>
          <w:iCs/>
          <w:color w:val="000000"/>
          <w:vertAlign w:val="subscript"/>
        </w:rPr>
        <w:t>m,j</w:t>
      </w:r>
      <w:proofErr w:type="spellEnd"/>
      <w:proofErr w:type="gramEnd"/>
      <w:r w:rsidRPr="00764035">
        <w:rPr>
          <w:rFonts w:ascii="Bookman Old Style" w:hAnsi="Bookman Old Style"/>
          <w:color w:val="000000"/>
        </w:rPr>
        <w:t>:</w:t>
      </w:r>
      <w:r w:rsidRPr="00614FAD">
        <w:rPr>
          <w:rFonts w:ascii="Bookman Old Style" w:hAnsi="Bookman Old Style"/>
        </w:rPr>
        <w:tab/>
        <w:t xml:space="preserve">Costo </w:t>
      </w:r>
      <w:r>
        <w:rPr>
          <w:rFonts w:ascii="Bookman Old Style" w:hAnsi="Bookman Old Style"/>
        </w:rPr>
        <w:t>b</w:t>
      </w:r>
      <w:r w:rsidRPr="00614FAD">
        <w:rPr>
          <w:rFonts w:ascii="Bookman Old Style" w:hAnsi="Bookman Old Style"/>
        </w:rPr>
        <w:t xml:space="preserve">ase de </w:t>
      </w:r>
      <w:r>
        <w:rPr>
          <w:rFonts w:ascii="Bookman Old Style" w:hAnsi="Bookman Old Style"/>
        </w:rPr>
        <w:t>c</w:t>
      </w:r>
      <w:r w:rsidRPr="00614FAD">
        <w:rPr>
          <w:rFonts w:ascii="Bookman Old Style" w:hAnsi="Bookman Old Style"/>
        </w:rPr>
        <w:t xml:space="preserve">omercialización para el </w:t>
      </w:r>
      <w:r>
        <w:rPr>
          <w:rFonts w:ascii="Bookman Old Style" w:hAnsi="Bookman Old Style"/>
        </w:rPr>
        <w:t>m</w:t>
      </w:r>
      <w:r w:rsidRPr="00614FAD">
        <w:rPr>
          <w:rFonts w:ascii="Bookman Old Style" w:hAnsi="Bookman Old Style"/>
        </w:rPr>
        <w:t xml:space="preserve">ercado de </w:t>
      </w:r>
      <w:r>
        <w:rPr>
          <w:rFonts w:ascii="Bookman Old Style" w:hAnsi="Bookman Old Style"/>
        </w:rPr>
        <w:t>c</w:t>
      </w:r>
      <w:r w:rsidRPr="00614FAD">
        <w:rPr>
          <w:rFonts w:ascii="Bookman Old Style" w:hAnsi="Bookman Old Style"/>
        </w:rPr>
        <w:t xml:space="preserve">omercialización </w:t>
      </w:r>
      <w:r w:rsidRPr="00614FAD">
        <w:rPr>
          <w:rFonts w:ascii="Bookman Old Style" w:hAnsi="Bookman Old Style"/>
          <w:i/>
        </w:rPr>
        <w:t>j</w:t>
      </w:r>
      <w:r w:rsidRPr="00614FAD">
        <w:rPr>
          <w:rFonts w:ascii="Bookman Old Style" w:hAnsi="Bookman Old Style"/>
        </w:rPr>
        <w:t xml:space="preserve">, expresado en pesos por factura ($/factura), correspondiente al mes </w:t>
      </w:r>
      <w:r w:rsidRPr="00614FAD">
        <w:rPr>
          <w:rFonts w:ascii="Bookman Old Style" w:hAnsi="Bookman Old Style"/>
          <w:i/>
        </w:rPr>
        <w:t>m</w:t>
      </w:r>
      <w:r w:rsidRPr="00614FAD">
        <w:rPr>
          <w:rFonts w:ascii="Bookman Old Style" w:hAnsi="Bookman Old Style"/>
        </w:rPr>
        <w:t xml:space="preserve"> de prestación del servicio. </w:t>
      </w:r>
      <w:r w:rsidRPr="00614FAD">
        <w:rPr>
          <w:rFonts w:ascii="Bookman Old Style" w:hAnsi="Bookman Old Style"/>
          <w:bCs/>
        </w:rPr>
        <w:t xml:space="preserve">Esta variable se calculará conforme se establece en el artículo </w:t>
      </w:r>
      <w:r>
        <w:rPr>
          <w:rFonts w:ascii="Bookman Old Style" w:hAnsi="Bookman Old Style"/>
          <w:bCs/>
        </w:rPr>
        <w:t>11</w:t>
      </w:r>
      <w:r w:rsidRPr="00614FAD">
        <w:rPr>
          <w:rFonts w:ascii="Bookman Old Style" w:hAnsi="Bookman Old Style"/>
          <w:bCs/>
        </w:rPr>
        <w:t xml:space="preserve"> de la Resolución CREG </w:t>
      </w:r>
      <w:r>
        <w:rPr>
          <w:rFonts w:ascii="Bookman Old Style" w:hAnsi="Bookman Old Style"/>
          <w:bCs/>
        </w:rPr>
        <w:t>180</w:t>
      </w:r>
      <w:r w:rsidRPr="00614FAD">
        <w:rPr>
          <w:rFonts w:ascii="Bookman Old Style" w:hAnsi="Bookman Old Style"/>
          <w:bCs/>
        </w:rPr>
        <w:t xml:space="preserve"> de 201</w:t>
      </w:r>
      <w:r>
        <w:rPr>
          <w:rFonts w:ascii="Bookman Old Style" w:hAnsi="Bookman Old Style"/>
          <w:bCs/>
        </w:rPr>
        <w:t>4</w:t>
      </w:r>
      <w:r w:rsidRPr="00614FAD">
        <w:rPr>
          <w:rFonts w:ascii="Bookman Old Style" w:hAnsi="Bookman Old Style"/>
          <w:bCs/>
        </w:rPr>
        <w:t>.</w:t>
      </w:r>
    </w:p>
    <w:p w14:paraId="374DCD66" w14:textId="23A77463" w:rsidR="0080311A" w:rsidRPr="00614FAD" w:rsidRDefault="0080311A" w:rsidP="0080311A">
      <w:pPr>
        <w:widowControl w:val="0"/>
        <w:spacing w:before="240" w:after="240"/>
        <w:ind w:left="2127" w:hanging="1418"/>
        <w:jc w:val="both"/>
        <w:rPr>
          <w:rFonts w:ascii="Bookman Old Style" w:hAnsi="Bookman Old Style"/>
          <w:bCs/>
        </w:rPr>
      </w:pPr>
      <w:proofErr w:type="spellStart"/>
      <w:proofErr w:type="gramStart"/>
      <w:r w:rsidRPr="00650B2E">
        <w:rPr>
          <w:rFonts w:ascii="Bookman Old Style" w:hAnsi="Bookman Old Style"/>
          <w:i/>
          <w:iCs/>
          <w:color w:val="000000"/>
        </w:rPr>
        <w:t>C</w:t>
      </w:r>
      <w:r>
        <w:rPr>
          <w:rFonts w:ascii="Bookman Old Style" w:hAnsi="Bookman Old Style"/>
          <w:i/>
          <w:iCs/>
          <w:color w:val="000000"/>
        </w:rPr>
        <w:t>v</w:t>
      </w:r>
      <w:r w:rsidR="007E720C" w:rsidRPr="007E720C">
        <w:rPr>
          <w:rFonts w:ascii="Bookman Old Style" w:hAnsi="Bookman Old Style"/>
          <w:i/>
          <w:iCs/>
          <w:color w:val="000000"/>
          <w:vertAlign w:val="subscript"/>
        </w:rPr>
        <w:t>n</w:t>
      </w:r>
      <w:r w:rsidR="007E720C" w:rsidRPr="007E720C">
        <w:rPr>
          <w:rFonts w:ascii="Bookman Old Style" w:hAnsi="Bookman Old Style"/>
          <w:i/>
          <w:iCs/>
          <w:color w:val="000000"/>
        </w:rPr>
        <w:t>,</w:t>
      </w:r>
      <w:r w:rsidRPr="00650B2E">
        <w:rPr>
          <w:rFonts w:ascii="Bookman Old Style" w:hAnsi="Bookman Old Style"/>
          <w:i/>
          <w:iCs/>
          <w:color w:val="000000"/>
          <w:vertAlign w:val="subscript"/>
        </w:rPr>
        <w:t>m</w:t>
      </w:r>
      <w:proofErr w:type="gramEnd"/>
      <w:r w:rsidRPr="00650B2E">
        <w:rPr>
          <w:rFonts w:ascii="Bookman Old Style" w:hAnsi="Bookman Old Style"/>
          <w:i/>
          <w:iCs/>
          <w:color w:val="000000"/>
          <w:vertAlign w:val="subscript"/>
        </w:rPr>
        <w:t>,</w:t>
      </w:r>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spellEnd"/>
      <w:r w:rsidRPr="00764035">
        <w:rPr>
          <w:rFonts w:ascii="Bookman Old Style" w:hAnsi="Bookman Old Style"/>
          <w:color w:val="000000"/>
        </w:rPr>
        <w:t>:</w:t>
      </w:r>
      <w:r>
        <w:rPr>
          <w:rFonts w:ascii="Bookman Old Style" w:hAnsi="Bookman Old Style"/>
          <w:bCs/>
        </w:rPr>
        <w:tab/>
      </w:r>
      <w:r w:rsidRPr="00614FAD">
        <w:rPr>
          <w:rFonts w:ascii="Bookman Old Style" w:hAnsi="Bookman Old Style"/>
          <w:bCs/>
        </w:rPr>
        <w:t xml:space="preserve">Margen de </w:t>
      </w:r>
      <w:r>
        <w:rPr>
          <w:rFonts w:ascii="Bookman Old Style" w:hAnsi="Bookman Old Style"/>
          <w:bCs/>
        </w:rPr>
        <w:t>c</w:t>
      </w:r>
      <w:r w:rsidRPr="00614FAD">
        <w:rPr>
          <w:rFonts w:ascii="Bookman Old Style" w:hAnsi="Bookman Old Style"/>
          <w:bCs/>
        </w:rPr>
        <w:t xml:space="preserve">omercialización </w:t>
      </w:r>
      <w:r w:rsidR="00BC13CD">
        <w:rPr>
          <w:rFonts w:ascii="Bookman Old Style" w:hAnsi="Bookman Old Style"/>
          <w:bCs/>
        </w:rPr>
        <w:t xml:space="preserve">en el nivel de tensión </w:t>
      </w:r>
      <w:r w:rsidR="00BC13CD" w:rsidRPr="00BC13CD">
        <w:rPr>
          <w:rFonts w:ascii="Bookman Old Style" w:hAnsi="Bookman Old Style"/>
          <w:bCs/>
          <w:i/>
          <w:iCs/>
        </w:rPr>
        <w:t>n</w:t>
      </w:r>
      <w:r w:rsidR="00BC13CD">
        <w:rPr>
          <w:rFonts w:ascii="Bookman Old Style" w:hAnsi="Bookman Old Style"/>
          <w:bCs/>
        </w:rPr>
        <w:t xml:space="preserve"> </w:t>
      </w:r>
      <w:r w:rsidRPr="00614FAD">
        <w:rPr>
          <w:rFonts w:ascii="Bookman Old Style" w:hAnsi="Bookman Old Style"/>
          <w:bCs/>
        </w:rPr>
        <w:t xml:space="preserve">para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w:t>
      </w:r>
      <w:r w:rsidRPr="00614FAD">
        <w:rPr>
          <w:rFonts w:ascii="Bookman Old Style" w:hAnsi="Bookman Old Style"/>
          <w:bCs/>
          <w:i/>
        </w:rPr>
        <w:t>i</w:t>
      </w:r>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correspondiente al mes</w:t>
      </w:r>
      <w:r>
        <w:rPr>
          <w:rFonts w:ascii="Bookman Old Style" w:hAnsi="Bookman Old Style"/>
          <w:bCs/>
        </w:rPr>
        <w:t xml:space="preserve"> </w:t>
      </w:r>
      <w:r w:rsidRPr="00244142">
        <w:rPr>
          <w:rFonts w:ascii="Bookman Old Style" w:hAnsi="Bookman Old Style"/>
          <w:bCs/>
          <w:i/>
          <w:iCs/>
        </w:rPr>
        <w:t>m</w:t>
      </w:r>
      <w:r w:rsidRPr="00614FAD">
        <w:rPr>
          <w:rFonts w:ascii="Bookman Old Style" w:hAnsi="Bookman Old Style"/>
          <w:bCs/>
        </w:rPr>
        <w:t>, expresado en p</w:t>
      </w:r>
      <w:r>
        <w:rPr>
          <w:rFonts w:ascii="Bookman Old Style" w:hAnsi="Bookman Old Style"/>
          <w:bCs/>
        </w:rPr>
        <w:t>esos por kilovatio hora ($/kWh).</w:t>
      </w:r>
    </w:p>
    <w:p w14:paraId="3ECD8D48" w14:textId="3A5E7191" w:rsidR="0080311A" w:rsidRPr="00614FAD" w:rsidRDefault="0080311A" w:rsidP="0080311A">
      <w:pPr>
        <w:widowControl w:val="0"/>
        <w:spacing w:before="200" w:after="200"/>
        <w:ind w:left="2127" w:hanging="1418"/>
        <w:jc w:val="both"/>
        <w:rPr>
          <w:rFonts w:ascii="Bookman Old Style" w:hAnsi="Bookman Old Style"/>
          <w:bCs/>
        </w:rPr>
      </w:pPr>
      <w:r w:rsidRPr="00650B2E">
        <w:rPr>
          <w:rFonts w:ascii="Bookman Old Style" w:hAnsi="Bookman Old Style"/>
          <w:i/>
          <w:iCs/>
          <w:color w:val="000000"/>
        </w:rPr>
        <w:t>C</w:t>
      </w:r>
      <w:r w:rsidRPr="00234537">
        <w:rPr>
          <w:rFonts w:ascii="Bookman Old Style" w:hAnsi="Bookman Old Style"/>
          <w:i/>
          <w:iCs/>
          <w:color w:val="000000"/>
          <w:vertAlign w:val="superscript"/>
        </w:rPr>
        <w:t>*</w:t>
      </w:r>
      <w:proofErr w:type="spellStart"/>
      <w:proofErr w:type="gramStart"/>
      <w:r>
        <w:rPr>
          <w:rFonts w:ascii="Bookman Old Style" w:hAnsi="Bookman Old Style"/>
          <w:i/>
          <w:iCs/>
          <w:color w:val="000000"/>
          <w:vertAlign w:val="subscript"/>
        </w:rPr>
        <w:t>i,j</w:t>
      </w:r>
      <w:proofErr w:type="gramEnd"/>
      <w:r>
        <w:rPr>
          <w:rFonts w:ascii="Bookman Old Style" w:hAnsi="Bookman Old Style"/>
          <w:i/>
          <w:iCs/>
          <w:color w:val="000000"/>
          <w:vertAlign w:val="subscript"/>
        </w:rPr>
        <w:t>,m</w:t>
      </w:r>
      <w:proofErr w:type="spellEnd"/>
      <w:r w:rsidRPr="00764035">
        <w:rPr>
          <w:rFonts w:ascii="Bookman Old Style" w:hAnsi="Bookman Old Style"/>
          <w:color w:val="000000"/>
        </w:rPr>
        <w:t>:</w:t>
      </w:r>
      <w:r w:rsidRPr="00614FAD">
        <w:rPr>
          <w:rFonts w:ascii="Bookman Old Style" w:hAnsi="Bookman Old Style"/>
          <w:bCs/>
        </w:rPr>
        <w:t xml:space="preserve"> </w:t>
      </w:r>
      <w:r>
        <w:rPr>
          <w:rFonts w:ascii="Bookman Old Style" w:hAnsi="Bookman Old Style"/>
          <w:bCs/>
        </w:rPr>
        <w:tab/>
      </w:r>
      <w:r w:rsidRPr="00614FAD">
        <w:rPr>
          <w:rFonts w:ascii="Bookman Old Style" w:hAnsi="Bookman Old Style"/>
          <w:bCs/>
        </w:rPr>
        <w:t xml:space="preserve">Costo variable de la actividad de comercialización para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D4655A">
        <w:rPr>
          <w:rFonts w:ascii="Bookman Old Style" w:hAnsi="Bookman Old Style"/>
          <w:bCs/>
          <w:i/>
          <w:iCs/>
        </w:rPr>
        <w:t>i</w:t>
      </w:r>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en el mes</w:t>
      </w:r>
      <w:r>
        <w:rPr>
          <w:rFonts w:ascii="Bookman Old Style" w:hAnsi="Bookman Old Style"/>
          <w:bCs/>
        </w:rPr>
        <w:t xml:space="preserve"> </w:t>
      </w:r>
      <w:r w:rsidRPr="00234537">
        <w:rPr>
          <w:rFonts w:ascii="Bookman Old Style" w:hAnsi="Bookman Old Style"/>
          <w:bCs/>
          <w:i/>
          <w:iCs/>
        </w:rPr>
        <w:t>m</w:t>
      </w:r>
      <w:r w:rsidRPr="00614FAD">
        <w:rPr>
          <w:rFonts w:ascii="Bookman Old Style" w:hAnsi="Bookman Old Style"/>
          <w:bCs/>
        </w:rPr>
        <w:t xml:space="preserve">. Esta variable se calculará conforme se establece en el artículo </w:t>
      </w:r>
      <w:r w:rsidRPr="00F75948">
        <w:rPr>
          <w:rFonts w:ascii="Bookman Old Style" w:hAnsi="Bookman Old Style"/>
          <w:bCs/>
        </w:rPr>
        <w:t>12</w:t>
      </w:r>
      <w:r w:rsidRPr="00614FAD">
        <w:rPr>
          <w:rFonts w:ascii="Bookman Old Style" w:hAnsi="Bookman Old Style"/>
          <w:bCs/>
        </w:rPr>
        <w:t xml:space="preserve"> de la Resolución CREG </w:t>
      </w:r>
      <w:r>
        <w:rPr>
          <w:rFonts w:ascii="Bookman Old Style" w:hAnsi="Bookman Old Style"/>
          <w:bCs/>
        </w:rPr>
        <w:t>180</w:t>
      </w:r>
      <w:r w:rsidRPr="00614FAD">
        <w:rPr>
          <w:rFonts w:ascii="Bookman Old Style" w:hAnsi="Bookman Old Style"/>
          <w:bCs/>
        </w:rPr>
        <w:t xml:space="preserve"> de 201</w:t>
      </w:r>
      <w:r>
        <w:rPr>
          <w:rFonts w:ascii="Bookman Old Style" w:hAnsi="Bookman Old Style"/>
          <w:bCs/>
        </w:rPr>
        <w:t>4</w:t>
      </w:r>
      <w:r w:rsidRPr="00614FAD">
        <w:rPr>
          <w:rFonts w:ascii="Bookman Old Style" w:hAnsi="Bookman Old Style"/>
          <w:bCs/>
        </w:rPr>
        <w:t>.</w:t>
      </w:r>
    </w:p>
    <w:p w14:paraId="6EB1EB14" w14:textId="77777777" w:rsidR="0080311A" w:rsidRPr="00614FAD" w:rsidRDefault="0080311A" w:rsidP="0080311A">
      <w:pPr>
        <w:widowControl w:val="0"/>
        <w:spacing w:before="200" w:after="200"/>
        <w:ind w:left="2127" w:hanging="1418"/>
        <w:jc w:val="both"/>
        <w:rPr>
          <w:rFonts w:ascii="Bookman Old Style" w:hAnsi="Bookman Old Style"/>
          <w:bCs/>
        </w:rPr>
      </w:pPr>
      <w:proofErr w:type="spellStart"/>
      <w:proofErr w:type="gramStart"/>
      <w:r w:rsidRPr="00650B2E">
        <w:rPr>
          <w:rFonts w:ascii="Bookman Old Style" w:hAnsi="Bookman Old Style"/>
          <w:i/>
          <w:iCs/>
          <w:color w:val="000000"/>
        </w:rPr>
        <w:t>C</w:t>
      </w:r>
      <w:r>
        <w:rPr>
          <w:rFonts w:ascii="Bookman Old Style" w:hAnsi="Bookman Old Style"/>
          <w:i/>
          <w:iCs/>
          <w:color w:val="000000"/>
        </w:rPr>
        <w:t>ER</w:t>
      </w:r>
      <w:r>
        <w:rPr>
          <w:rFonts w:ascii="Bookman Old Style" w:hAnsi="Bookman Old Style"/>
          <w:i/>
          <w:iCs/>
          <w:color w:val="000000"/>
          <w:vertAlign w:val="subscript"/>
        </w:rPr>
        <w:t>i</w:t>
      </w:r>
      <w:r w:rsidRPr="00650B2E">
        <w:rPr>
          <w:rFonts w:ascii="Bookman Old Style" w:hAnsi="Bookman Old Style"/>
          <w:i/>
          <w:iCs/>
          <w:color w:val="000000"/>
          <w:vertAlign w:val="subscript"/>
        </w:rPr>
        <w:t>,</w:t>
      </w:r>
      <w:r>
        <w:rPr>
          <w:rFonts w:ascii="Bookman Old Style" w:hAnsi="Bookman Old Style"/>
          <w:i/>
          <w:iCs/>
          <w:color w:val="000000"/>
          <w:vertAlign w:val="subscript"/>
        </w:rPr>
        <w:t>m</w:t>
      </w:r>
      <w:proofErr w:type="spellEnd"/>
      <w:proofErr w:type="gramEnd"/>
      <w:r w:rsidRPr="00764035">
        <w:rPr>
          <w:rFonts w:ascii="Bookman Old Style" w:hAnsi="Bookman Old Style"/>
          <w:color w:val="000000"/>
        </w:rPr>
        <w:t>:</w:t>
      </w:r>
      <w:r>
        <w:rPr>
          <w:rFonts w:ascii="Bookman Old Style" w:hAnsi="Bookman Old Style"/>
          <w:color w:val="000000"/>
        </w:rPr>
        <w:tab/>
      </w:r>
      <w:r w:rsidRPr="00614FAD">
        <w:rPr>
          <w:rFonts w:ascii="Bookman Old Style" w:hAnsi="Bookman Old Style"/>
          <w:bCs/>
        </w:rPr>
        <w:t xml:space="preserve">Costo mensual de las contribuciones a la CREG y </w:t>
      </w:r>
      <w:r>
        <w:rPr>
          <w:rFonts w:ascii="Bookman Old Style" w:hAnsi="Bookman Old Style"/>
          <w:bCs/>
        </w:rPr>
        <w:t xml:space="preserve">la </w:t>
      </w:r>
      <w:r w:rsidRPr="00614FAD">
        <w:rPr>
          <w:rFonts w:ascii="Bookman Old Style" w:hAnsi="Bookman Old Style"/>
          <w:bCs/>
        </w:rPr>
        <w:t xml:space="preserve">SSPD, liquidado al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w:t>
      </w:r>
      <w:r w:rsidRPr="00614FAD">
        <w:rPr>
          <w:rFonts w:ascii="Bookman Old Style" w:hAnsi="Bookman Old Style"/>
          <w:bCs/>
          <w:i/>
        </w:rPr>
        <w:t>i</w:t>
      </w:r>
      <w:r w:rsidRPr="00614FAD">
        <w:rPr>
          <w:rFonts w:ascii="Bookman Old Style" w:hAnsi="Bookman Old Style"/>
          <w:bCs/>
        </w:rPr>
        <w:t xml:space="preserve"> conforme a la regulación vigente. El costo mensual de las contribuciones corresponderá a una doceava parte del pago anual que se efectúa a la CREG y a la SSPD.</w:t>
      </w:r>
    </w:p>
    <w:p w14:paraId="3A945BFF"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sidRPr="00650B2E">
        <w:rPr>
          <w:rFonts w:ascii="Bookman Old Style" w:hAnsi="Bookman Old Style"/>
          <w:i/>
          <w:iCs/>
          <w:color w:val="000000"/>
        </w:rPr>
        <w:t>C</w:t>
      </w:r>
      <w:r>
        <w:rPr>
          <w:rFonts w:ascii="Bookman Old Style" w:hAnsi="Bookman Old Style"/>
          <w:i/>
          <w:iCs/>
          <w:color w:val="000000"/>
        </w:rPr>
        <w:t>CD</w:t>
      </w:r>
      <w:r>
        <w:rPr>
          <w:rFonts w:ascii="Bookman Old Style" w:hAnsi="Bookman Old Style"/>
          <w:i/>
          <w:iCs/>
          <w:color w:val="000000"/>
          <w:vertAlign w:val="subscript"/>
        </w:rPr>
        <w:t>i,m</w:t>
      </w:r>
      <w:proofErr w:type="gramEnd"/>
      <w:r>
        <w:rPr>
          <w:rFonts w:ascii="Bookman Old Style" w:hAnsi="Bookman Old Style"/>
          <w:i/>
          <w:iCs/>
          <w:color w:val="000000"/>
          <w:vertAlign w:val="subscript"/>
        </w:rPr>
        <w:t>-1</w:t>
      </w:r>
      <w:r w:rsidRPr="00764035">
        <w:rPr>
          <w:rFonts w:ascii="Bookman Old Style" w:hAnsi="Bookman Old Style"/>
          <w:color w:val="000000"/>
        </w:rPr>
        <w:t>:</w:t>
      </w:r>
      <w:r>
        <w:rPr>
          <w:rFonts w:ascii="Bookman Old Style" w:hAnsi="Bookman Old Style"/>
          <w:color w:val="000000"/>
        </w:rPr>
        <w:tab/>
      </w:r>
      <w:r w:rsidRPr="00614FAD">
        <w:rPr>
          <w:rFonts w:ascii="Bookman Old Style" w:hAnsi="Bookman Old Style"/>
          <w:bCs/>
        </w:rPr>
        <w:t xml:space="preserve">Costos de los servicios del Centro Nacional de Despacho y del Administrador del Sistema de Intercambio Comerciales, ASIC, expresados en pesos ($) asignados al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w:t>
      </w:r>
      <w:r w:rsidRPr="00614FAD">
        <w:rPr>
          <w:rFonts w:ascii="Bookman Old Style" w:hAnsi="Bookman Old Style"/>
          <w:bCs/>
          <w:i/>
        </w:rPr>
        <w:t>i</w:t>
      </w:r>
      <w:r w:rsidRPr="00614FAD">
        <w:rPr>
          <w:rFonts w:ascii="Bookman Old Style" w:hAnsi="Bookman Old Style"/>
          <w:bCs/>
        </w:rPr>
        <w:t>, correspondientes al mes</w:t>
      </w:r>
      <w:r>
        <w:rPr>
          <w:rFonts w:ascii="Bookman Old Style" w:hAnsi="Bookman Old Style"/>
          <w:bCs/>
        </w:rPr>
        <w:t xml:space="preserve"> </w:t>
      </w:r>
      <w:r w:rsidRPr="00C06A66">
        <w:rPr>
          <w:rFonts w:ascii="Bookman Old Style" w:hAnsi="Bookman Old Style"/>
          <w:bCs/>
          <w:i/>
          <w:iCs/>
        </w:rPr>
        <w:t>m-1</w:t>
      </w:r>
      <w:r>
        <w:rPr>
          <w:rFonts w:ascii="Bookman Old Style" w:hAnsi="Bookman Old Style"/>
          <w:bCs/>
        </w:rPr>
        <w:t xml:space="preserve">, </w:t>
      </w:r>
      <w:r w:rsidRPr="00614FAD">
        <w:rPr>
          <w:rFonts w:ascii="Bookman Old Style" w:hAnsi="Bookman Old Style"/>
          <w:bCs/>
        </w:rPr>
        <w:t>de acuerdo con la regulación vigente.</w:t>
      </w:r>
    </w:p>
    <w:p w14:paraId="689A17AE"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sidRPr="00650B2E">
        <w:rPr>
          <w:rFonts w:ascii="Bookman Old Style" w:hAnsi="Bookman Old Style"/>
          <w:i/>
          <w:iCs/>
          <w:color w:val="000000"/>
        </w:rPr>
        <w:t>C</w:t>
      </w:r>
      <w:r>
        <w:rPr>
          <w:rFonts w:ascii="Bookman Old Style" w:hAnsi="Bookman Old Style"/>
          <w:i/>
          <w:iCs/>
          <w:color w:val="000000"/>
        </w:rPr>
        <w:t>G</w:t>
      </w:r>
      <w:r>
        <w:rPr>
          <w:rFonts w:ascii="Bookman Old Style" w:hAnsi="Bookman Old Style"/>
          <w:i/>
          <w:iCs/>
          <w:color w:val="000000"/>
          <w:vertAlign w:val="subscript"/>
        </w:rPr>
        <w:t>i,m</w:t>
      </w:r>
      <w:proofErr w:type="gramEnd"/>
      <w:r>
        <w:rPr>
          <w:rFonts w:ascii="Bookman Old Style" w:hAnsi="Bookman Old Style"/>
          <w:i/>
          <w:iCs/>
          <w:color w:val="000000"/>
          <w:vertAlign w:val="subscript"/>
        </w:rPr>
        <w:t>-1</w:t>
      </w:r>
      <w:r w:rsidRPr="00C06A66">
        <w:rPr>
          <w:rFonts w:ascii="Bookman Old Style" w:hAnsi="Bookman Old Style"/>
          <w:color w:val="000000"/>
        </w:rPr>
        <w:t>:</w:t>
      </w:r>
      <w:r w:rsidRPr="00614FAD">
        <w:rPr>
          <w:rFonts w:ascii="Bookman Old Style" w:hAnsi="Bookman Old Style"/>
          <w:bCs/>
        </w:rPr>
        <w:tab/>
        <w:t xml:space="preserve">Costos de garantías en el Mercado Mayorista expresados en pesos ($), para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C06A66">
        <w:rPr>
          <w:rFonts w:ascii="Bookman Old Style" w:hAnsi="Bookman Old Style"/>
          <w:bCs/>
          <w:i/>
          <w:iCs/>
        </w:rPr>
        <w:t>i</w:t>
      </w:r>
      <w:r w:rsidRPr="00614FAD">
        <w:rPr>
          <w:rFonts w:ascii="Bookman Old Style" w:hAnsi="Bookman Old Style"/>
          <w:bCs/>
        </w:rPr>
        <w:t>, correspondientes al mes</w:t>
      </w:r>
      <w:r>
        <w:rPr>
          <w:rFonts w:ascii="Bookman Old Style" w:hAnsi="Bookman Old Style"/>
          <w:bCs/>
        </w:rPr>
        <w:t xml:space="preserve"> </w:t>
      </w:r>
      <w:r w:rsidRPr="00C06A66">
        <w:rPr>
          <w:rFonts w:ascii="Bookman Old Style" w:hAnsi="Bookman Old Style"/>
          <w:bCs/>
          <w:i/>
          <w:iCs/>
        </w:rPr>
        <w:t>m-1</w:t>
      </w:r>
      <w:r w:rsidRPr="00614FAD">
        <w:rPr>
          <w:rFonts w:ascii="Bookman Old Style" w:hAnsi="Bookman Old Style"/>
          <w:bCs/>
        </w:rPr>
        <w:t xml:space="preserve">, conforme con la regulación vigente. Esta variable se calculará de acuerdo con lo establecido en el </w:t>
      </w:r>
      <w:r w:rsidRPr="00F75948">
        <w:rPr>
          <w:rFonts w:ascii="Bookman Old Style" w:hAnsi="Bookman Old Style"/>
          <w:bCs/>
        </w:rPr>
        <w:t>artículo 19</w:t>
      </w:r>
      <w:r w:rsidRPr="00614FAD">
        <w:rPr>
          <w:rFonts w:ascii="Bookman Old Style" w:hAnsi="Bookman Old Style"/>
          <w:bCs/>
        </w:rPr>
        <w:t xml:space="preserve"> de la Resolución CREG </w:t>
      </w:r>
      <w:r>
        <w:rPr>
          <w:rFonts w:ascii="Bookman Old Style" w:hAnsi="Bookman Old Style"/>
          <w:bCs/>
        </w:rPr>
        <w:t>180</w:t>
      </w:r>
      <w:r w:rsidRPr="00614FAD">
        <w:rPr>
          <w:rFonts w:ascii="Bookman Old Style" w:hAnsi="Bookman Old Style"/>
          <w:bCs/>
        </w:rPr>
        <w:t xml:space="preserve"> de 201</w:t>
      </w:r>
      <w:r>
        <w:rPr>
          <w:rFonts w:ascii="Bookman Old Style" w:hAnsi="Bookman Old Style"/>
          <w:bCs/>
        </w:rPr>
        <w:t>4</w:t>
      </w:r>
      <w:r w:rsidRPr="00614FAD">
        <w:rPr>
          <w:rFonts w:ascii="Bookman Old Style" w:hAnsi="Bookman Old Style"/>
          <w:bCs/>
        </w:rPr>
        <w:t>.</w:t>
      </w:r>
    </w:p>
    <w:p w14:paraId="517F5108"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sidRPr="008F739D">
        <w:rPr>
          <w:rFonts w:ascii="Bookman Old Style" w:hAnsi="Bookman Old Style"/>
          <w:bCs/>
          <w:i/>
          <w:iCs/>
        </w:rPr>
        <w:t>V</w:t>
      </w:r>
      <w:r w:rsidRPr="008F739D">
        <w:rPr>
          <w:rFonts w:ascii="Bookman Old Style" w:hAnsi="Bookman Old Style"/>
          <w:bCs/>
          <w:i/>
          <w:iCs/>
          <w:vertAlign w:val="subscript"/>
        </w:rPr>
        <w:t>i,m</w:t>
      </w:r>
      <w:proofErr w:type="gramEnd"/>
      <w:r w:rsidRPr="008F739D">
        <w:rPr>
          <w:rFonts w:ascii="Bookman Old Style" w:hAnsi="Bookman Old Style"/>
          <w:bCs/>
          <w:i/>
          <w:iCs/>
          <w:vertAlign w:val="subscript"/>
        </w:rPr>
        <w:t>-1</w:t>
      </w:r>
      <w:r>
        <w:rPr>
          <w:rFonts w:ascii="Bookman Old Style" w:hAnsi="Bookman Old Style"/>
          <w:bCs/>
        </w:rPr>
        <w:t>:</w:t>
      </w:r>
      <w:r>
        <w:rPr>
          <w:rFonts w:ascii="Bookman Old Style" w:hAnsi="Bookman Old Style"/>
          <w:bCs/>
        </w:rPr>
        <w:tab/>
      </w:r>
      <w:r w:rsidRPr="00614FAD">
        <w:rPr>
          <w:rFonts w:ascii="Bookman Old Style" w:hAnsi="Bookman Old Style"/>
          <w:bCs/>
        </w:rPr>
        <w:t xml:space="preserve">Ventas totales a usuarios del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C06A66">
        <w:rPr>
          <w:rFonts w:ascii="Bookman Old Style" w:hAnsi="Bookman Old Style"/>
          <w:bCs/>
          <w:i/>
          <w:iCs/>
        </w:rPr>
        <w:t>i</w:t>
      </w:r>
      <w:r w:rsidRPr="00614FAD">
        <w:rPr>
          <w:rFonts w:ascii="Bookman Old Style" w:hAnsi="Bookman Old Style"/>
          <w:bCs/>
        </w:rPr>
        <w:t>, regulados y no regulados, en el mes</w:t>
      </w:r>
      <w:r>
        <w:rPr>
          <w:rFonts w:ascii="Bookman Old Style" w:hAnsi="Bookman Old Style"/>
          <w:bCs/>
        </w:rPr>
        <w:t xml:space="preserve"> </w:t>
      </w:r>
      <w:r w:rsidRPr="00D4655A">
        <w:rPr>
          <w:rFonts w:ascii="Bookman Old Style" w:hAnsi="Bookman Old Style"/>
          <w:bCs/>
          <w:i/>
          <w:iCs/>
        </w:rPr>
        <w:t>m-1</w:t>
      </w:r>
      <w:r w:rsidRPr="00614FAD">
        <w:rPr>
          <w:rFonts w:ascii="Bookman Old Style" w:hAnsi="Bookman Old Style"/>
          <w:bCs/>
        </w:rPr>
        <w:t>, expresadas en kilovatios hora (kWh).</w:t>
      </w:r>
    </w:p>
    <w:p w14:paraId="1C5493F9" w14:textId="597B3A6F" w:rsidR="0080311A" w:rsidRPr="00614FAD" w:rsidRDefault="0080311A" w:rsidP="0080311A">
      <w:pPr>
        <w:widowControl w:val="0"/>
        <w:spacing w:before="200" w:after="200"/>
        <w:ind w:left="2127" w:hanging="1418"/>
        <w:jc w:val="both"/>
        <w:rPr>
          <w:rFonts w:ascii="Bookman Old Style" w:hAnsi="Bookman Old Style"/>
          <w:bCs/>
        </w:rPr>
      </w:pPr>
      <w:proofErr w:type="spellStart"/>
      <w:proofErr w:type="gramStart"/>
      <w:r w:rsidRPr="00650B2E">
        <w:rPr>
          <w:rFonts w:ascii="Bookman Old Style" w:hAnsi="Bookman Old Style"/>
          <w:i/>
          <w:iCs/>
          <w:color w:val="000000"/>
        </w:rPr>
        <w:t>Cv</w:t>
      </w:r>
      <w:r>
        <w:rPr>
          <w:rFonts w:ascii="Bookman Old Style" w:hAnsi="Bookman Old Style"/>
          <w:i/>
          <w:iCs/>
          <w:color w:val="000000"/>
        </w:rPr>
        <w:t>R</w:t>
      </w:r>
      <w:r w:rsidR="000A3A8A" w:rsidRPr="000A3A8A">
        <w:rPr>
          <w:rFonts w:ascii="Bookman Old Style" w:hAnsi="Bookman Old Style"/>
          <w:i/>
          <w:iCs/>
          <w:color w:val="000000"/>
          <w:vertAlign w:val="subscript"/>
        </w:rPr>
        <w:t>n,</w:t>
      </w:r>
      <w:r w:rsidRPr="00650B2E">
        <w:rPr>
          <w:rFonts w:ascii="Bookman Old Style" w:hAnsi="Bookman Old Style"/>
          <w:i/>
          <w:iCs/>
          <w:color w:val="000000"/>
          <w:vertAlign w:val="subscript"/>
        </w:rPr>
        <w:t>i</w:t>
      </w:r>
      <w:proofErr w:type="gramEnd"/>
      <w:r w:rsidRPr="00650B2E">
        <w:rPr>
          <w:rFonts w:ascii="Bookman Old Style" w:hAnsi="Bookman Old Style"/>
          <w:i/>
          <w:iCs/>
          <w:color w:val="000000"/>
          <w:vertAlign w:val="subscript"/>
        </w:rPr>
        <w:t>,j</w:t>
      </w:r>
      <w:r>
        <w:rPr>
          <w:rFonts w:ascii="Bookman Old Style" w:hAnsi="Bookman Old Style"/>
          <w:i/>
          <w:iCs/>
          <w:color w:val="000000"/>
          <w:vertAlign w:val="subscript"/>
        </w:rPr>
        <w:t>,m</w:t>
      </w:r>
      <w:proofErr w:type="spellEnd"/>
      <w:r>
        <w:rPr>
          <w:rFonts w:ascii="Bookman Old Style" w:hAnsi="Bookman Old Style"/>
          <w:color w:val="000000"/>
        </w:rPr>
        <w:t>:</w:t>
      </w:r>
      <w:r>
        <w:rPr>
          <w:rFonts w:ascii="Bookman Old Style" w:hAnsi="Bookman Old Style"/>
          <w:color w:val="000000"/>
        </w:rPr>
        <w:tab/>
      </w:r>
      <w:r w:rsidRPr="00614FAD">
        <w:rPr>
          <w:rFonts w:ascii="Bookman Old Style" w:hAnsi="Bookman Old Style"/>
        </w:rPr>
        <w:t xml:space="preserve">Componente </w:t>
      </w:r>
      <w:r w:rsidRPr="00614FAD">
        <w:rPr>
          <w:rFonts w:ascii="Bookman Old Style" w:hAnsi="Bookman Old Style"/>
          <w:bCs/>
        </w:rPr>
        <w:t xml:space="preserve">variable que remunera costos asociados a la </w:t>
      </w:r>
      <w:r w:rsidRPr="00614FAD">
        <w:rPr>
          <w:rFonts w:ascii="Bookman Old Style" w:hAnsi="Bookman Old Style"/>
          <w:bCs/>
        </w:rPr>
        <w:lastRenderedPageBreak/>
        <w:t xml:space="preserve">atención de usuarios regulados </w:t>
      </w:r>
      <w:r w:rsidR="00E35928">
        <w:rPr>
          <w:rFonts w:ascii="Bookman Old Style" w:hAnsi="Bookman Old Style"/>
          <w:bCs/>
        </w:rPr>
        <w:t xml:space="preserve">en el nivel de tensión </w:t>
      </w:r>
      <w:r w:rsidR="00E35928" w:rsidRPr="00E35928">
        <w:rPr>
          <w:rFonts w:ascii="Bookman Old Style" w:hAnsi="Bookman Old Style"/>
          <w:bCs/>
          <w:i/>
          <w:iCs/>
        </w:rPr>
        <w:t>n</w:t>
      </w:r>
      <w:r w:rsidR="00E35928">
        <w:rPr>
          <w:rFonts w:ascii="Bookman Old Style" w:hAnsi="Bookman Old Style"/>
          <w:bCs/>
          <w:i/>
          <w:iCs/>
        </w:rPr>
        <w:t>,</w:t>
      </w:r>
      <w:r w:rsidR="00E35928">
        <w:rPr>
          <w:rFonts w:ascii="Bookman Old Style" w:hAnsi="Bookman Old Style"/>
          <w:bCs/>
        </w:rPr>
        <w:t xml:space="preserve"> </w:t>
      </w:r>
      <w:r w:rsidRPr="00614FAD">
        <w:rPr>
          <w:rFonts w:ascii="Bookman Old Style" w:hAnsi="Bookman Old Style"/>
          <w:bCs/>
        </w:rPr>
        <w:t xml:space="preserve">por parte del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D4655A">
        <w:rPr>
          <w:rFonts w:ascii="Bookman Old Style" w:hAnsi="Bookman Old Style"/>
          <w:bCs/>
          <w:i/>
          <w:iCs/>
        </w:rPr>
        <w:t>i</w:t>
      </w:r>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en el mes</w:t>
      </w:r>
      <w:r>
        <w:rPr>
          <w:rFonts w:ascii="Bookman Old Style" w:hAnsi="Bookman Old Style"/>
          <w:bCs/>
        </w:rPr>
        <w:t xml:space="preserve"> </w:t>
      </w:r>
      <w:r w:rsidRPr="00D4655A">
        <w:rPr>
          <w:rFonts w:ascii="Bookman Old Style" w:hAnsi="Bookman Old Style"/>
          <w:bCs/>
          <w:i/>
          <w:iCs/>
        </w:rPr>
        <w:t>m</w:t>
      </w:r>
      <w:r w:rsidRPr="00614FAD">
        <w:rPr>
          <w:rFonts w:ascii="Bookman Old Style" w:hAnsi="Bookman Old Style"/>
          <w:bCs/>
        </w:rPr>
        <w:t>.</w:t>
      </w:r>
    </w:p>
    <w:p w14:paraId="73BD78CB" w14:textId="77777777" w:rsidR="0080311A" w:rsidRPr="00614FAD" w:rsidRDefault="0080311A" w:rsidP="0080311A">
      <w:pPr>
        <w:widowControl w:val="0"/>
        <w:spacing w:before="200" w:after="200"/>
        <w:ind w:left="2127" w:hanging="1418"/>
        <w:jc w:val="both"/>
        <w:rPr>
          <w:rFonts w:ascii="Bookman Old Style" w:hAnsi="Bookman Old Style"/>
        </w:rPr>
      </w:pPr>
      <w:r w:rsidRPr="00563842">
        <w:rPr>
          <w:rFonts w:ascii="Symbol" w:hAnsi="Symbol"/>
          <w:i/>
          <w:iCs/>
          <w:color w:val="000000"/>
        </w:rPr>
        <w:t>b</w:t>
      </w:r>
      <w:r>
        <w:rPr>
          <w:rFonts w:ascii="Bookman Old Style" w:hAnsi="Bookman Old Style"/>
          <w:color w:val="000000"/>
        </w:rPr>
        <w:t>:</w:t>
      </w:r>
      <w:r w:rsidRPr="00614FAD">
        <w:rPr>
          <w:rFonts w:ascii="Bookman Old Style" w:hAnsi="Bookman Old Style" w:cs="Arial"/>
          <w:color w:val="000000"/>
        </w:rPr>
        <w:tab/>
      </w:r>
      <w:r>
        <w:rPr>
          <w:rFonts w:ascii="Bookman Old Style" w:hAnsi="Bookman Old Style" w:cs="Arial"/>
          <w:color w:val="000000"/>
        </w:rPr>
        <w:t xml:space="preserve">Porción </w:t>
      </w:r>
      <w:r w:rsidRPr="00614FAD">
        <w:rPr>
          <w:rFonts w:ascii="Bookman Old Style" w:hAnsi="Bookman Old Style" w:cs="Arial"/>
        </w:rPr>
        <w:t xml:space="preserve">del </w:t>
      </w:r>
      <w:r>
        <w:rPr>
          <w:rFonts w:ascii="Bookman Old Style" w:hAnsi="Bookman Old Style" w:cs="Arial"/>
        </w:rPr>
        <w:t>c</w:t>
      </w:r>
      <w:r w:rsidRPr="00614FAD">
        <w:rPr>
          <w:rFonts w:ascii="Bookman Old Style" w:hAnsi="Bookman Old Style" w:cs="Arial"/>
        </w:rPr>
        <w:t xml:space="preserve">osto </w:t>
      </w:r>
      <w:r>
        <w:rPr>
          <w:rFonts w:ascii="Bookman Old Style" w:hAnsi="Bookman Old Style" w:cs="Arial"/>
        </w:rPr>
        <w:t>b</w:t>
      </w:r>
      <w:r w:rsidRPr="00614FAD">
        <w:rPr>
          <w:rFonts w:ascii="Bookman Old Style" w:hAnsi="Bookman Old Style" w:cs="Arial"/>
        </w:rPr>
        <w:t xml:space="preserve">ase de </w:t>
      </w:r>
      <w:r>
        <w:rPr>
          <w:rFonts w:ascii="Bookman Old Style" w:hAnsi="Bookman Old Style" w:cs="Arial"/>
        </w:rPr>
        <w:t>c</w:t>
      </w:r>
      <w:r w:rsidRPr="00614FAD">
        <w:rPr>
          <w:rFonts w:ascii="Bookman Old Style" w:hAnsi="Bookman Old Style" w:cs="Arial"/>
        </w:rPr>
        <w:t>omercialización,</w:t>
      </w:r>
      <w:r>
        <w:rPr>
          <w:rFonts w:ascii="Bookman Old Style" w:hAnsi="Bookman Old Style" w:cs="Arial"/>
        </w:rPr>
        <w:t xml:space="preserve"> </w:t>
      </w:r>
      <w:proofErr w:type="spellStart"/>
      <w:proofErr w:type="gramStart"/>
      <w:r w:rsidRPr="00650B2E">
        <w:rPr>
          <w:rFonts w:ascii="Bookman Old Style" w:hAnsi="Bookman Old Style"/>
          <w:i/>
          <w:iCs/>
          <w:color w:val="000000"/>
        </w:rPr>
        <w:t>Cf</w:t>
      </w:r>
      <w:r w:rsidRPr="00650B2E">
        <w:rPr>
          <w:rFonts w:ascii="Bookman Old Style" w:hAnsi="Bookman Old Style"/>
          <w:i/>
          <w:iCs/>
          <w:color w:val="000000"/>
          <w:vertAlign w:val="subscript"/>
        </w:rPr>
        <w:t>m,j</w:t>
      </w:r>
      <w:proofErr w:type="spellEnd"/>
      <w:proofErr w:type="gramEnd"/>
      <w:r w:rsidRPr="00614FAD">
        <w:rPr>
          <w:rFonts w:ascii="Bookman Old Style" w:hAnsi="Bookman Old Style" w:cs="Arial"/>
          <w:color w:val="000000"/>
        </w:rPr>
        <w:t xml:space="preserve">, </w:t>
      </w:r>
      <w:r w:rsidRPr="00614FAD">
        <w:rPr>
          <w:rFonts w:ascii="Bookman Old Style" w:hAnsi="Bookman Old Style" w:cs="Arial"/>
        </w:rPr>
        <w:t xml:space="preserve">que se remunera a través de la componente fija del </w:t>
      </w:r>
      <w:r>
        <w:rPr>
          <w:rFonts w:ascii="Bookman Old Style" w:hAnsi="Bookman Old Style" w:cs="Arial"/>
        </w:rPr>
        <w:t>c</w:t>
      </w:r>
      <w:r w:rsidRPr="00614FAD">
        <w:rPr>
          <w:rFonts w:ascii="Bookman Old Style" w:hAnsi="Bookman Old Style"/>
        </w:rPr>
        <w:t xml:space="preserve">osto </w:t>
      </w:r>
      <w:r>
        <w:rPr>
          <w:rFonts w:ascii="Bookman Old Style" w:hAnsi="Bookman Old Style"/>
        </w:rPr>
        <w:t>u</w:t>
      </w:r>
      <w:r w:rsidRPr="00614FAD">
        <w:rPr>
          <w:rFonts w:ascii="Bookman Old Style" w:hAnsi="Bookman Old Style"/>
        </w:rPr>
        <w:t xml:space="preserve">nitario de </w:t>
      </w:r>
      <w:r>
        <w:rPr>
          <w:rFonts w:ascii="Bookman Old Style" w:hAnsi="Bookman Old Style"/>
        </w:rPr>
        <w:t>p</w:t>
      </w:r>
      <w:r w:rsidRPr="00614FAD">
        <w:rPr>
          <w:rFonts w:ascii="Bookman Old Style" w:hAnsi="Bookman Old Style"/>
        </w:rPr>
        <w:t xml:space="preserve">restación del </w:t>
      </w:r>
      <w:r>
        <w:rPr>
          <w:rFonts w:ascii="Bookman Old Style" w:hAnsi="Bookman Old Style"/>
        </w:rPr>
        <w:t>s</w:t>
      </w:r>
      <w:r w:rsidRPr="00614FAD">
        <w:rPr>
          <w:rFonts w:ascii="Bookman Old Style" w:hAnsi="Bookman Old Style"/>
        </w:rPr>
        <w:t>ervicio,</w:t>
      </w:r>
      <w:r>
        <w:rPr>
          <w:rFonts w:ascii="Bookman Old Style" w:hAnsi="Bookman Old Style"/>
        </w:rPr>
        <w:t xml:space="preserve"> </w:t>
      </w:r>
      <w:proofErr w:type="spellStart"/>
      <w:r w:rsidRPr="00650B2E">
        <w:rPr>
          <w:rFonts w:ascii="Bookman Old Style" w:hAnsi="Bookman Old Style"/>
          <w:i/>
          <w:iCs/>
          <w:color w:val="000000"/>
        </w:rPr>
        <w:t>C</w:t>
      </w:r>
      <w:r>
        <w:rPr>
          <w:rFonts w:ascii="Bookman Old Style" w:hAnsi="Bookman Old Style"/>
          <w:i/>
          <w:iCs/>
          <w:color w:val="000000"/>
        </w:rPr>
        <w:t>U</w:t>
      </w:r>
      <w:r w:rsidRPr="00650B2E">
        <w:rPr>
          <w:rFonts w:ascii="Bookman Old Style" w:hAnsi="Bookman Old Style"/>
          <w:i/>
          <w:iCs/>
          <w:color w:val="000000"/>
        </w:rPr>
        <w:t>f</w:t>
      </w:r>
      <w:r w:rsidRPr="00650B2E">
        <w:rPr>
          <w:rFonts w:ascii="Bookman Old Style" w:hAnsi="Bookman Old Style"/>
          <w:i/>
          <w:iCs/>
          <w:color w:val="000000"/>
          <w:vertAlign w:val="subscript"/>
        </w:rPr>
        <w:t>m,j</w:t>
      </w:r>
      <w:proofErr w:type="spellEnd"/>
      <w:r w:rsidRPr="00614FAD">
        <w:rPr>
          <w:rFonts w:ascii="Bookman Old Style" w:hAnsi="Bookman Old Style"/>
          <w:color w:val="000000"/>
        </w:rPr>
        <w:t>.</w:t>
      </w:r>
    </w:p>
    <w:p w14:paraId="46CFEC92"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Pr>
          <w:rFonts w:ascii="Bookman Old Style" w:hAnsi="Bookman Old Style"/>
          <w:i/>
          <w:iCs/>
          <w:color w:val="000000"/>
        </w:rPr>
        <w:t>UR</w:t>
      </w:r>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gramEnd"/>
      <w:r>
        <w:rPr>
          <w:rFonts w:ascii="Bookman Old Style" w:hAnsi="Bookman Old Style"/>
          <w:i/>
          <w:iCs/>
          <w:color w:val="000000"/>
          <w:vertAlign w:val="subscript"/>
        </w:rPr>
        <w:t>,m-2</w:t>
      </w:r>
      <w:r w:rsidRPr="00764035">
        <w:rPr>
          <w:rFonts w:ascii="Bookman Old Style" w:hAnsi="Bookman Old Style"/>
          <w:color w:val="000000"/>
        </w:rPr>
        <w:t>:</w:t>
      </w:r>
      <w:r>
        <w:rPr>
          <w:rFonts w:ascii="Bookman Old Style" w:hAnsi="Bookman Old Style"/>
          <w:color w:val="000000"/>
        </w:rPr>
        <w:tab/>
      </w:r>
      <w:r w:rsidRPr="00614FAD">
        <w:rPr>
          <w:rFonts w:ascii="Bookman Old Style" w:hAnsi="Bookman Old Style"/>
        </w:rPr>
        <w:t xml:space="preserve">Número de usuarios regulados atendidos por </w:t>
      </w:r>
      <w:r w:rsidRPr="00614FAD">
        <w:rPr>
          <w:rFonts w:ascii="Bookman Old Style" w:hAnsi="Bookman Old Style"/>
          <w:bCs/>
        </w:rPr>
        <w:t xml:space="preserve">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D4655A">
        <w:rPr>
          <w:rFonts w:ascii="Bookman Old Style" w:hAnsi="Bookman Old Style"/>
          <w:bCs/>
          <w:i/>
          <w:iCs/>
        </w:rPr>
        <w:t>i</w:t>
      </w:r>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en el mes</w:t>
      </w:r>
      <w:r>
        <w:rPr>
          <w:rFonts w:ascii="Bookman Old Style" w:hAnsi="Bookman Old Style"/>
          <w:bCs/>
        </w:rPr>
        <w:t xml:space="preserve"> </w:t>
      </w:r>
      <w:r w:rsidRPr="00D4655A">
        <w:rPr>
          <w:rFonts w:ascii="Bookman Old Style" w:hAnsi="Bookman Old Style"/>
          <w:bCs/>
          <w:i/>
          <w:iCs/>
        </w:rPr>
        <w:t>m-2</w:t>
      </w:r>
      <w:r w:rsidRPr="00614FAD">
        <w:rPr>
          <w:rFonts w:ascii="Bookman Old Style" w:hAnsi="Bookman Old Style"/>
          <w:bCs/>
        </w:rPr>
        <w:t>. Corresponderá al número total usuarios regulados reportados en los formatos 2 y 3 de la Resolución SSPD 20102400008055 o aquella que la modifique o sustituya.</w:t>
      </w:r>
    </w:p>
    <w:p w14:paraId="31B37B60"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sidRPr="00650B2E">
        <w:rPr>
          <w:rFonts w:ascii="Bookman Old Style" w:hAnsi="Bookman Old Style"/>
          <w:i/>
          <w:iCs/>
          <w:color w:val="000000"/>
        </w:rPr>
        <w:t>C</w:t>
      </w:r>
      <w:r>
        <w:rPr>
          <w:rFonts w:ascii="Bookman Old Style" w:hAnsi="Bookman Old Style"/>
          <w:i/>
          <w:iCs/>
          <w:color w:val="000000"/>
        </w:rPr>
        <w:t>GCU</w:t>
      </w:r>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gramEnd"/>
      <w:r>
        <w:rPr>
          <w:rFonts w:ascii="Bookman Old Style" w:hAnsi="Bookman Old Style"/>
          <w:i/>
          <w:iCs/>
          <w:color w:val="000000"/>
          <w:vertAlign w:val="subscript"/>
        </w:rPr>
        <w:t>,m-1</w:t>
      </w:r>
      <w:r w:rsidRPr="00764035">
        <w:rPr>
          <w:rFonts w:ascii="Bookman Old Style" w:hAnsi="Bookman Old Style"/>
          <w:color w:val="000000"/>
        </w:rPr>
        <w:t>:</w:t>
      </w:r>
      <w:r w:rsidRPr="00614FAD">
        <w:rPr>
          <w:rFonts w:ascii="Bookman Old Style" w:hAnsi="Bookman Old Style"/>
          <w:bCs/>
        </w:rPr>
        <w:t xml:space="preserve"> Costos de garantías para cubrir el pago de los cargos por uso del STR y/o del SDL, de usuarios regulados, expresados en Pesos ($), para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w:t>
      </w:r>
      <w:r>
        <w:rPr>
          <w:rFonts w:ascii="Bookman Old Style" w:hAnsi="Bookman Old Style"/>
          <w:bCs/>
        </w:rPr>
        <w:t xml:space="preserve"> </w:t>
      </w:r>
      <w:r w:rsidRPr="00D4655A">
        <w:rPr>
          <w:rFonts w:ascii="Bookman Old Style" w:hAnsi="Bookman Old Style"/>
          <w:bCs/>
          <w:i/>
          <w:iCs/>
        </w:rPr>
        <w:t>i</w:t>
      </w:r>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correspondientes al mes</w:t>
      </w:r>
      <w:r>
        <w:rPr>
          <w:rFonts w:ascii="Bookman Old Style" w:hAnsi="Bookman Old Style"/>
          <w:bCs/>
        </w:rPr>
        <w:t xml:space="preserve"> </w:t>
      </w:r>
      <w:r w:rsidRPr="006F4081">
        <w:rPr>
          <w:rFonts w:ascii="Bookman Old Style" w:hAnsi="Bookman Old Style"/>
          <w:bCs/>
          <w:i/>
          <w:iCs/>
        </w:rPr>
        <w:t>m-1</w:t>
      </w:r>
      <w:r w:rsidRPr="00614FAD">
        <w:rPr>
          <w:rFonts w:ascii="Bookman Old Style" w:hAnsi="Bookman Old Style"/>
          <w:bCs/>
        </w:rPr>
        <w:t xml:space="preserve">, conforme con la regulación vigente. Esta variable se calculará de acuerdo con lo establecido en el artículo </w:t>
      </w:r>
      <w:r w:rsidRPr="00F75948">
        <w:rPr>
          <w:rFonts w:ascii="Bookman Old Style" w:hAnsi="Bookman Old Style"/>
          <w:bCs/>
        </w:rPr>
        <w:t>20 de la Resolución CREG 180 de 2014.</w:t>
      </w:r>
    </w:p>
    <w:p w14:paraId="4D90DFA6" w14:textId="77777777" w:rsidR="0080311A" w:rsidRDefault="0080311A" w:rsidP="0080311A">
      <w:pPr>
        <w:widowControl w:val="0"/>
        <w:spacing w:before="200" w:after="200"/>
        <w:ind w:left="2127" w:hanging="1418"/>
        <w:jc w:val="both"/>
        <w:rPr>
          <w:rFonts w:ascii="Bookman Old Style" w:hAnsi="Bookman Old Style"/>
          <w:bCs/>
        </w:rPr>
      </w:pPr>
      <w:proofErr w:type="spellStart"/>
      <w:proofErr w:type="gramStart"/>
      <w:r>
        <w:rPr>
          <w:rFonts w:ascii="Bookman Old Style" w:hAnsi="Bookman Old Style"/>
          <w:i/>
          <w:iCs/>
          <w:color w:val="000000"/>
        </w:rPr>
        <w:t>PUI</w:t>
      </w:r>
      <w:r w:rsidRPr="00650B2E">
        <w:rPr>
          <w:rFonts w:ascii="Bookman Old Style" w:hAnsi="Bookman Old Style"/>
          <w:i/>
          <w:iCs/>
          <w:color w:val="000000"/>
          <w:vertAlign w:val="subscript"/>
        </w:rPr>
        <w:t>j</w:t>
      </w:r>
      <w:r>
        <w:rPr>
          <w:rFonts w:ascii="Bookman Old Style" w:hAnsi="Bookman Old Style"/>
          <w:i/>
          <w:iCs/>
          <w:color w:val="000000"/>
          <w:vertAlign w:val="subscript"/>
        </w:rPr>
        <w:t>,m</w:t>
      </w:r>
      <w:proofErr w:type="spellEnd"/>
      <w:proofErr w:type="gramEnd"/>
      <w:r w:rsidRPr="00764035">
        <w:rPr>
          <w:rFonts w:ascii="Bookman Old Style" w:hAnsi="Bookman Old Style"/>
          <w:color w:val="000000"/>
        </w:rPr>
        <w:t>:</w:t>
      </w:r>
      <w:r>
        <w:rPr>
          <w:rFonts w:ascii="Bookman Old Style" w:hAnsi="Bookman Old Style"/>
          <w:color w:val="000000"/>
        </w:rPr>
        <w:tab/>
      </w:r>
      <w:r w:rsidRPr="00614FAD">
        <w:rPr>
          <w:rFonts w:ascii="Bookman Old Style" w:hAnsi="Bookman Old Style"/>
          <w:bCs/>
        </w:rPr>
        <w:t xml:space="preserve">Costo que remunera la actividad de </w:t>
      </w:r>
      <w:r>
        <w:rPr>
          <w:rFonts w:ascii="Bookman Old Style" w:hAnsi="Bookman Old Style"/>
          <w:bCs/>
        </w:rPr>
        <w:t>p</w:t>
      </w:r>
      <w:r w:rsidRPr="00614FAD">
        <w:rPr>
          <w:rFonts w:ascii="Bookman Old Style" w:hAnsi="Bookman Old Style"/>
          <w:bCs/>
        </w:rPr>
        <w:t xml:space="preserve">restador de </w:t>
      </w:r>
      <w:r>
        <w:rPr>
          <w:rFonts w:ascii="Bookman Old Style" w:hAnsi="Bookman Old Style"/>
          <w:bCs/>
        </w:rPr>
        <w:t>ú</w:t>
      </w:r>
      <w:r w:rsidRPr="00614FAD">
        <w:rPr>
          <w:rFonts w:ascii="Bookman Old Style" w:hAnsi="Bookman Old Style"/>
          <w:bCs/>
        </w:rPr>
        <w:t xml:space="preserve">ltima </w:t>
      </w:r>
      <w:r>
        <w:rPr>
          <w:rFonts w:ascii="Bookman Old Style" w:hAnsi="Bookman Old Style"/>
          <w:bCs/>
        </w:rPr>
        <w:t>i</w:t>
      </w:r>
      <w:r w:rsidRPr="00614FAD">
        <w:rPr>
          <w:rFonts w:ascii="Bookman Old Style" w:hAnsi="Bookman Old Style"/>
          <w:bCs/>
        </w:rPr>
        <w:t xml:space="preserve">nstancia a usuarios regulados en 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omercialización</w:t>
      </w:r>
      <w:r>
        <w:rPr>
          <w:rFonts w:ascii="Bookman Old Style" w:hAnsi="Bookman Old Style"/>
          <w:bCs/>
        </w:rPr>
        <w:t xml:space="preserve"> </w:t>
      </w:r>
      <w:r w:rsidRPr="00DA2DAA">
        <w:rPr>
          <w:rFonts w:ascii="Bookman Old Style" w:hAnsi="Bookman Old Style"/>
          <w:bCs/>
          <w:i/>
          <w:iCs/>
        </w:rPr>
        <w:t>j</w:t>
      </w:r>
      <w:r w:rsidRPr="00614FAD">
        <w:rPr>
          <w:rFonts w:ascii="Bookman Old Style" w:hAnsi="Bookman Old Style"/>
          <w:bCs/>
        </w:rPr>
        <w:t>, en el mes</w:t>
      </w:r>
      <w:r>
        <w:rPr>
          <w:rFonts w:ascii="Bookman Old Style" w:hAnsi="Bookman Old Style"/>
          <w:bCs/>
        </w:rPr>
        <w:t xml:space="preserve"> </w:t>
      </w:r>
      <w:r w:rsidRPr="00DA2DAA">
        <w:rPr>
          <w:rFonts w:ascii="Bookman Old Style" w:hAnsi="Bookman Old Style"/>
          <w:bCs/>
          <w:i/>
          <w:iCs/>
        </w:rPr>
        <w:t>m</w:t>
      </w:r>
      <w:r w:rsidRPr="00614FAD">
        <w:rPr>
          <w:rFonts w:ascii="Bookman Old Style" w:hAnsi="Bookman Old Style"/>
          <w:bCs/>
        </w:rPr>
        <w:t>. Hasta que se adopte e implemente la resolución que remunera este costo, el valor de esta variable será igual a cero.</w:t>
      </w:r>
    </w:p>
    <w:p w14:paraId="49E0D1F9" w14:textId="77777777" w:rsidR="0080311A" w:rsidRPr="00614FAD" w:rsidRDefault="0080311A" w:rsidP="0080311A">
      <w:pPr>
        <w:widowControl w:val="0"/>
        <w:spacing w:before="200" w:after="200"/>
        <w:ind w:left="2127" w:hanging="1418"/>
        <w:jc w:val="both"/>
        <w:rPr>
          <w:rFonts w:ascii="Bookman Old Style" w:hAnsi="Bookman Old Style"/>
          <w:bCs/>
        </w:rPr>
      </w:pPr>
      <w:proofErr w:type="gramStart"/>
      <w:r>
        <w:rPr>
          <w:rFonts w:ascii="Bookman Old Style" w:hAnsi="Bookman Old Style"/>
          <w:i/>
          <w:iCs/>
          <w:color w:val="000000"/>
        </w:rPr>
        <w:t>VR</w:t>
      </w:r>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gramEnd"/>
      <w:r>
        <w:rPr>
          <w:rFonts w:ascii="Bookman Old Style" w:hAnsi="Bookman Old Style"/>
          <w:i/>
          <w:iCs/>
          <w:color w:val="000000"/>
          <w:vertAlign w:val="subscript"/>
        </w:rPr>
        <w:t>,m-2</w:t>
      </w:r>
      <w:r w:rsidRPr="00764035">
        <w:rPr>
          <w:rFonts w:ascii="Bookman Old Style" w:hAnsi="Bookman Old Style"/>
          <w:color w:val="000000"/>
        </w:rPr>
        <w:t>:</w:t>
      </w:r>
      <w:r>
        <w:rPr>
          <w:rFonts w:ascii="Bookman Old Style" w:hAnsi="Bookman Old Style"/>
          <w:color w:val="000000"/>
        </w:rPr>
        <w:t xml:space="preserve"> </w:t>
      </w:r>
      <w:r>
        <w:rPr>
          <w:rFonts w:ascii="Bookman Old Style" w:hAnsi="Bookman Old Style"/>
          <w:color w:val="000000"/>
        </w:rPr>
        <w:tab/>
      </w:r>
      <w:r w:rsidRPr="00614FAD">
        <w:rPr>
          <w:rFonts w:ascii="Bookman Old Style" w:hAnsi="Bookman Old Style"/>
          <w:bCs/>
        </w:rPr>
        <w:t xml:space="preserve">Ventas totales a usuarios regulados del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w:t>
      </w:r>
      <m:oMath>
        <m:r>
          <w:rPr>
            <w:rFonts w:ascii="Cambria Math" w:hAnsi="Cambria Math"/>
          </w:rPr>
          <m:t>i</m:t>
        </m:r>
      </m:oMath>
      <w:r w:rsidRPr="00614FAD">
        <w:rPr>
          <w:rFonts w:ascii="Bookman Old Style" w:hAnsi="Bookman Old Style"/>
          <w:bCs/>
        </w:rPr>
        <w:t xml:space="preserve">, del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expresadas en kilovatios hora (kWh), en el mes</w:t>
      </w:r>
      <w:r>
        <w:rPr>
          <w:rFonts w:ascii="Bookman Old Style" w:hAnsi="Bookman Old Style"/>
          <w:bCs/>
        </w:rPr>
        <w:t xml:space="preserve"> </w:t>
      </w:r>
      <w:r w:rsidRPr="006F4081">
        <w:rPr>
          <w:rFonts w:ascii="Bookman Old Style" w:hAnsi="Bookman Old Style"/>
          <w:bCs/>
          <w:i/>
          <w:iCs/>
        </w:rPr>
        <w:t>m-1</w:t>
      </w:r>
      <w:r w:rsidRPr="00614FAD">
        <w:rPr>
          <w:rFonts w:ascii="Bookman Old Style" w:hAnsi="Bookman Old Style"/>
          <w:bCs/>
        </w:rPr>
        <w:t>.</w:t>
      </w:r>
    </w:p>
    <w:p w14:paraId="65D350D5" w14:textId="3D4DFCF6" w:rsidR="00E67267" w:rsidRPr="00614FAD" w:rsidRDefault="00E77109" w:rsidP="00E67267">
      <w:pPr>
        <w:widowControl w:val="0"/>
        <w:tabs>
          <w:tab w:val="left" w:pos="858"/>
        </w:tabs>
        <w:spacing w:before="240" w:after="240"/>
        <w:ind w:left="2127" w:hanging="1418"/>
        <w:jc w:val="both"/>
        <w:rPr>
          <w:rFonts w:ascii="Bookman Old Style" w:hAnsi="Bookman Old Style"/>
        </w:rPr>
      </w:pPr>
      <w:proofErr w:type="spellStart"/>
      <w:proofErr w:type="gramStart"/>
      <w:r w:rsidRPr="0016493A">
        <w:rPr>
          <w:rFonts w:ascii="Bookman Old Style" w:hAnsi="Bookman Old Style"/>
          <w:i/>
          <w:iCs/>
        </w:rPr>
        <w:t>C</w:t>
      </w:r>
      <w:r w:rsidR="00E67267" w:rsidRPr="0016493A">
        <w:rPr>
          <w:rFonts w:ascii="Bookman Old Style" w:hAnsi="Bookman Old Style"/>
          <w:i/>
          <w:iCs/>
        </w:rPr>
        <w:t>OT</w:t>
      </w:r>
      <w:r w:rsidR="001C23B8" w:rsidRPr="0016493A">
        <w:rPr>
          <w:rFonts w:ascii="Bookman Old Style" w:hAnsi="Bookman Old Style"/>
          <w:i/>
          <w:iCs/>
          <w:vertAlign w:val="subscript"/>
        </w:rPr>
        <w:t>n,</w:t>
      </w:r>
      <w:r w:rsidR="00E67267" w:rsidRPr="0016493A">
        <w:rPr>
          <w:rFonts w:ascii="Bookman Old Style" w:hAnsi="Bookman Old Style"/>
          <w:i/>
          <w:iCs/>
          <w:vertAlign w:val="subscript"/>
        </w:rPr>
        <w:t>j</w:t>
      </w:r>
      <w:proofErr w:type="gramEnd"/>
      <w:r w:rsidR="00E67267" w:rsidRPr="0016493A">
        <w:rPr>
          <w:rFonts w:ascii="Bookman Old Style" w:hAnsi="Bookman Old Style"/>
          <w:i/>
          <w:iCs/>
          <w:vertAlign w:val="subscript"/>
        </w:rPr>
        <w:t>,m</w:t>
      </w:r>
      <w:proofErr w:type="spellEnd"/>
      <w:r w:rsidR="00E67267" w:rsidRPr="0016493A">
        <w:rPr>
          <w:rFonts w:ascii="Bookman Old Style" w:hAnsi="Bookman Old Style"/>
        </w:rPr>
        <w:t>:</w:t>
      </w:r>
      <w:r w:rsidR="00E67267" w:rsidRPr="0016493A">
        <w:rPr>
          <w:rFonts w:ascii="Bookman Old Style" w:hAnsi="Bookman Old Style"/>
        </w:rPr>
        <w:tab/>
        <w:t xml:space="preserve">Costo asociado con la recuperación del saldo de la opción tarifaria </w:t>
      </w:r>
      <w:r w:rsidR="00EE06FA" w:rsidRPr="0016493A">
        <w:rPr>
          <w:rFonts w:ascii="Bookman Old Style" w:hAnsi="Bookman Old Style"/>
        </w:rPr>
        <w:t xml:space="preserve">del nivel de tensión </w:t>
      </w:r>
      <w:r w:rsidR="00EE06FA" w:rsidRPr="0016493A">
        <w:rPr>
          <w:rFonts w:ascii="Bookman Old Style" w:hAnsi="Bookman Old Style"/>
          <w:i/>
          <w:iCs/>
        </w:rPr>
        <w:t>n</w:t>
      </w:r>
      <w:r w:rsidR="00EE06FA" w:rsidRPr="0016493A">
        <w:rPr>
          <w:rFonts w:ascii="Bookman Old Style" w:hAnsi="Bookman Old Style"/>
        </w:rPr>
        <w:t xml:space="preserve">, en el </w:t>
      </w:r>
      <w:r w:rsidR="00E67267" w:rsidRPr="0016493A">
        <w:rPr>
          <w:rFonts w:ascii="Bookman Old Style" w:hAnsi="Bookman Old Style"/>
        </w:rPr>
        <w:t xml:space="preserve">mercado de comercialización </w:t>
      </w:r>
      <w:r w:rsidR="00E67267" w:rsidRPr="0016493A">
        <w:rPr>
          <w:rFonts w:ascii="Bookman Old Style" w:hAnsi="Bookman Old Style"/>
          <w:i/>
          <w:iCs/>
        </w:rPr>
        <w:t>j</w:t>
      </w:r>
      <w:r w:rsidR="00E67267" w:rsidRPr="0016493A">
        <w:rPr>
          <w:rFonts w:ascii="Bookman Old Style" w:hAnsi="Bookman Old Style"/>
        </w:rPr>
        <w:t xml:space="preserve"> </w:t>
      </w:r>
      <w:r w:rsidR="00732521" w:rsidRPr="0016493A">
        <w:rPr>
          <w:rFonts w:ascii="Bookman Old Style" w:hAnsi="Bookman Old Style"/>
        </w:rPr>
        <w:t xml:space="preserve">y </w:t>
      </w:r>
      <w:r w:rsidR="00E67267" w:rsidRPr="0016493A">
        <w:rPr>
          <w:rFonts w:ascii="Bookman Old Style" w:hAnsi="Bookman Old Style"/>
        </w:rPr>
        <w:t xml:space="preserve">en el mes </w:t>
      </w:r>
      <w:r w:rsidR="00E67267" w:rsidRPr="0016493A">
        <w:rPr>
          <w:rFonts w:ascii="Bookman Old Style" w:hAnsi="Bookman Old Style"/>
          <w:i/>
          <w:iCs/>
        </w:rPr>
        <w:t>m.</w:t>
      </w:r>
      <w:r w:rsidR="00EE06FA">
        <w:rPr>
          <w:rFonts w:ascii="Bookman Old Style" w:hAnsi="Bookman Old Style"/>
          <w:i/>
          <w:iCs/>
        </w:rPr>
        <w:t xml:space="preserve"> </w:t>
      </w:r>
      <w:r w:rsidR="00EE06FA" w:rsidRPr="00614FAD">
        <w:rPr>
          <w:rFonts w:ascii="Bookman Old Style" w:hAnsi="Bookman Old Style"/>
          <w:bCs/>
        </w:rPr>
        <w:t xml:space="preserve">expresado en </w:t>
      </w:r>
      <w:r w:rsidR="00EE06FA">
        <w:rPr>
          <w:rFonts w:ascii="Bookman Old Style" w:hAnsi="Bookman Old Style"/>
          <w:bCs/>
        </w:rPr>
        <w:t>$/kWh.</w:t>
      </w:r>
      <w:r w:rsidR="0000707D">
        <w:rPr>
          <w:rFonts w:ascii="Bookman Old Style" w:hAnsi="Bookman Old Style"/>
          <w:bCs/>
        </w:rPr>
        <w:t xml:space="preserve"> </w:t>
      </w:r>
      <w:r w:rsidR="00437D44">
        <w:rPr>
          <w:rFonts w:ascii="Bookman Old Style" w:hAnsi="Bookman Old Style"/>
          <w:bCs/>
        </w:rPr>
        <w:t>Calculado de acuerdo con lo definido en el Anexo 3.</w:t>
      </w:r>
    </w:p>
    <w:p w14:paraId="6844D993" w14:textId="77777777" w:rsidR="009612F5" w:rsidRPr="00614FAD" w:rsidRDefault="009612F5" w:rsidP="009612F5">
      <w:pPr>
        <w:widowControl w:val="0"/>
        <w:spacing w:before="200" w:after="200"/>
        <w:ind w:left="709" w:right="47"/>
        <w:jc w:val="both"/>
        <w:rPr>
          <w:rFonts w:ascii="Bookman Old Style" w:hAnsi="Bookman Old Style" w:cs="Arial"/>
        </w:rPr>
      </w:pPr>
      <w:r w:rsidRPr="00614FAD">
        <w:rPr>
          <w:rFonts w:ascii="Bookman Old Style" w:hAnsi="Bookman Old Style" w:cs="Arial"/>
          <w:b/>
        </w:rPr>
        <w:t>Parágrafo 1.</w:t>
      </w:r>
      <w:r w:rsidRPr="00614FAD">
        <w:rPr>
          <w:rFonts w:ascii="Bookman Old Style" w:hAnsi="Bookman Old Style" w:cs="Arial"/>
        </w:rPr>
        <w:t xml:space="preserve"> </w:t>
      </w:r>
      <w:r>
        <w:rPr>
          <w:rFonts w:ascii="Bookman Old Style" w:hAnsi="Bookman Old Style" w:cs="Arial"/>
        </w:rPr>
        <w:t xml:space="preserve">El valor del término </w:t>
      </w:r>
      <w:r w:rsidRPr="006F4081">
        <w:rPr>
          <w:rFonts w:ascii="Symbol" w:hAnsi="Symbol" w:cs="Arial"/>
          <w:i/>
          <w:iCs/>
        </w:rPr>
        <w:t>b</w:t>
      </w:r>
      <w:r>
        <w:rPr>
          <w:rFonts w:ascii="Bookman Old Style" w:hAnsi="Bookman Old Style" w:cs="Arial"/>
        </w:rPr>
        <w:t xml:space="preserve"> </w:t>
      </w:r>
      <w:r>
        <w:rPr>
          <w:rFonts w:ascii="Bookman Old Style" w:hAnsi="Bookman Old Style" w:cs="Arial"/>
          <w:color w:val="000000"/>
        </w:rPr>
        <w:t>corresponderá a cero</w:t>
      </w:r>
      <w:r w:rsidRPr="00614FAD">
        <w:rPr>
          <w:rFonts w:ascii="Bookman Old Style" w:hAnsi="Bookman Old Style" w:cs="Arial"/>
        </w:rPr>
        <w:t>.</w:t>
      </w:r>
      <w:r w:rsidRPr="00974053">
        <w:rPr>
          <w:rFonts w:ascii="Bookman Old Style" w:hAnsi="Bookman Old Style" w:cs="Arial"/>
          <w:color w:val="000000"/>
        </w:rPr>
        <w:t xml:space="preserve"> </w:t>
      </w:r>
    </w:p>
    <w:p w14:paraId="345BC47B" w14:textId="1BC74124" w:rsidR="009612F5" w:rsidRPr="00614FAD" w:rsidRDefault="009612F5" w:rsidP="009612F5">
      <w:pPr>
        <w:widowControl w:val="0"/>
        <w:spacing w:before="200" w:after="200"/>
        <w:ind w:left="709" w:right="47"/>
        <w:jc w:val="both"/>
        <w:rPr>
          <w:rFonts w:ascii="Bookman Old Style" w:hAnsi="Bookman Old Style" w:cs="Arial"/>
          <w:spacing w:val="-3"/>
        </w:rPr>
      </w:pPr>
      <w:r w:rsidRPr="00614FAD">
        <w:rPr>
          <w:rFonts w:ascii="Bookman Old Style" w:hAnsi="Bookman Old Style" w:cs="Arial"/>
          <w:b/>
        </w:rPr>
        <w:t>Parágrafo 2.</w:t>
      </w:r>
      <w:r>
        <w:rPr>
          <w:rFonts w:ascii="Bookman Old Style" w:hAnsi="Bookman Old Style" w:cs="Arial"/>
        </w:rPr>
        <w:t xml:space="preserve"> Los c</w:t>
      </w:r>
      <w:r w:rsidRPr="00614FAD">
        <w:rPr>
          <w:rFonts w:ascii="Bookman Old Style" w:hAnsi="Bookman Old Style" w:cs="Arial"/>
        </w:rPr>
        <w:t>omercializadores</w:t>
      </w:r>
      <w:r w:rsidRPr="00614FAD">
        <w:rPr>
          <w:rFonts w:ascii="Bookman Old Style" w:hAnsi="Bookman Old Style" w:cs="Arial"/>
          <w:spacing w:val="-3"/>
        </w:rPr>
        <w:t xml:space="preserve"> </w:t>
      </w:r>
      <w:r>
        <w:rPr>
          <w:rFonts w:ascii="Bookman Old Style" w:hAnsi="Bookman Old Style" w:cs="Arial"/>
          <w:spacing w:val="-3"/>
        </w:rPr>
        <w:t>m</w:t>
      </w:r>
      <w:r w:rsidRPr="00614FAD">
        <w:rPr>
          <w:rFonts w:ascii="Bookman Old Style" w:hAnsi="Bookman Old Style" w:cs="Arial"/>
          <w:spacing w:val="-3"/>
        </w:rPr>
        <w:t xml:space="preserve">inoristas que vayan a prestar el servicio público domiciliario de energía eléctrica a usuarios finales regulados en un nuevo </w:t>
      </w:r>
      <w:r>
        <w:rPr>
          <w:rFonts w:ascii="Bookman Old Style" w:hAnsi="Bookman Old Style" w:cs="Arial"/>
          <w:spacing w:val="-3"/>
        </w:rPr>
        <w:t>m</w:t>
      </w:r>
      <w:r w:rsidRPr="00614FAD">
        <w:rPr>
          <w:rFonts w:ascii="Bookman Old Style" w:hAnsi="Bookman Old Style" w:cs="Arial"/>
          <w:spacing w:val="-3"/>
        </w:rPr>
        <w:t xml:space="preserve">ercado de </w:t>
      </w:r>
      <w:r w:rsidR="00B474FC">
        <w:rPr>
          <w:rFonts w:ascii="Bookman Old Style" w:hAnsi="Bookman Old Style" w:cs="Arial"/>
          <w:spacing w:val="-3"/>
        </w:rPr>
        <w:t>c</w:t>
      </w:r>
      <w:r w:rsidR="00B474FC" w:rsidRPr="00614FAD">
        <w:rPr>
          <w:rFonts w:ascii="Bookman Old Style" w:hAnsi="Bookman Old Style" w:cs="Arial"/>
          <w:spacing w:val="-3"/>
        </w:rPr>
        <w:t>omercialización</w:t>
      </w:r>
      <w:r w:rsidRPr="00614FAD">
        <w:rPr>
          <w:rFonts w:ascii="Bookman Old Style" w:hAnsi="Bookman Old Style" w:cs="Arial"/>
          <w:spacing w:val="-3"/>
        </w:rPr>
        <w:t xml:space="preserve"> deberán:</w:t>
      </w:r>
    </w:p>
    <w:p w14:paraId="3F8D61A0" w14:textId="79B6850E" w:rsidR="009612F5" w:rsidRPr="00614FAD" w:rsidRDefault="009612F5" w:rsidP="009612F5">
      <w:pPr>
        <w:widowControl w:val="0"/>
        <w:numPr>
          <w:ilvl w:val="0"/>
          <w:numId w:val="20"/>
        </w:numPr>
        <w:spacing w:before="200" w:after="200"/>
        <w:ind w:left="1134" w:right="47" w:hanging="425"/>
        <w:jc w:val="both"/>
        <w:rPr>
          <w:rFonts w:ascii="Bookman Old Style" w:hAnsi="Bookman Old Style" w:cs="Arial"/>
          <w:spacing w:val="-3"/>
        </w:rPr>
      </w:pPr>
      <w:r w:rsidRPr="00614FAD">
        <w:rPr>
          <w:rFonts w:ascii="Bookman Old Style" w:hAnsi="Bookman Old Style" w:cs="Arial"/>
          <w:spacing w:val="-3"/>
        </w:rPr>
        <w:t>Utilizar como valor de la variable</w:t>
      </w:r>
      <w:r>
        <w:rPr>
          <w:rFonts w:ascii="Bookman Old Style" w:hAnsi="Bookman Old Style" w:cs="Arial"/>
          <w:spacing w:val="-3"/>
        </w:rPr>
        <w:t xml:space="preserve"> </w:t>
      </w:r>
      <w:proofErr w:type="spellStart"/>
      <w:proofErr w:type="gramStart"/>
      <w:r w:rsidRPr="00650B2E">
        <w:rPr>
          <w:rFonts w:ascii="Bookman Old Style" w:hAnsi="Bookman Old Style"/>
          <w:i/>
          <w:iCs/>
          <w:color w:val="000000"/>
        </w:rPr>
        <w:t>C</w:t>
      </w:r>
      <w:r>
        <w:rPr>
          <w:rFonts w:ascii="Bookman Old Style" w:hAnsi="Bookman Old Style"/>
          <w:i/>
          <w:iCs/>
          <w:color w:val="000000"/>
        </w:rPr>
        <w:t>v</w:t>
      </w:r>
      <w:r w:rsidR="00DD7B6D" w:rsidRPr="00DD7B6D">
        <w:rPr>
          <w:rFonts w:ascii="Bookman Old Style" w:hAnsi="Bookman Old Style"/>
          <w:i/>
          <w:iCs/>
          <w:color w:val="000000"/>
          <w:vertAlign w:val="subscript"/>
        </w:rPr>
        <w:t>n,</w:t>
      </w:r>
      <w:r w:rsidRPr="00650B2E">
        <w:rPr>
          <w:rFonts w:ascii="Bookman Old Style" w:hAnsi="Bookman Old Style"/>
          <w:i/>
          <w:iCs/>
          <w:color w:val="000000"/>
          <w:vertAlign w:val="subscript"/>
        </w:rPr>
        <w:t>m</w:t>
      </w:r>
      <w:proofErr w:type="gramEnd"/>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spellEnd"/>
      <w:r w:rsidRPr="00614FAD">
        <w:rPr>
          <w:rFonts w:ascii="Bookman Old Style" w:hAnsi="Bookman Old Style" w:cs="Arial"/>
          <w:spacing w:val="-3"/>
        </w:rPr>
        <w:t xml:space="preserve"> para el primer mes de operación, el valor de la variable</w:t>
      </w:r>
      <w:r>
        <w:rPr>
          <w:rFonts w:ascii="Bookman Old Style" w:hAnsi="Bookman Old Style" w:cs="Arial"/>
          <w:spacing w:val="-3"/>
        </w:rPr>
        <w:t xml:space="preserve"> </w:t>
      </w:r>
      <w:r w:rsidRPr="00650B2E">
        <w:rPr>
          <w:rFonts w:ascii="Bookman Old Style" w:hAnsi="Bookman Old Style"/>
          <w:i/>
          <w:iCs/>
          <w:color w:val="000000"/>
        </w:rPr>
        <w:t>C</w:t>
      </w:r>
      <w:r>
        <w:rPr>
          <w:rFonts w:ascii="Bookman Old Style" w:hAnsi="Bookman Old Style"/>
          <w:i/>
          <w:iCs/>
          <w:color w:val="000000"/>
        </w:rPr>
        <w:t>v</w:t>
      </w:r>
      <w:r w:rsidR="005C20AB" w:rsidRPr="005C20AB">
        <w:rPr>
          <w:rFonts w:ascii="Bookman Old Style" w:hAnsi="Bookman Old Style"/>
          <w:i/>
          <w:iCs/>
          <w:color w:val="000000"/>
          <w:vertAlign w:val="subscript"/>
        </w:rPr>
        <w:t>n,</w:t>
      </w:r>
      <w:r w:rsidRPr="00650B2E">
        <w:rPr>
          <w:rFonts w:ascii="Bookman Old Style" w:hAnsi="Bookman Old Style"/>
          <w:i/>
          <w:iCs/>
          <w:color w:val="000000"/>
          <w:vertAlign w:val="subscript"/>
        </w:rPr>
        <w:t>m</w:t>
      </w:r>
      <w:r>
        <w:rPr>
          <w:rFonts w:ascii="Bookman Old Style" w:hAnsi="Bookman Old Style"/>
          <w:i/>
          <w:iCs/>
          <w:color w:val="000000"/>
          <w:vertAlign w:val="subscript"/>
        </w:rPr>
        <w:t>-1,i</w:t>
      </w:r>
      <w:r w:rsidRPr="00650B2E">
        <w:rPr>
          <w:rFonts w:ascii="Bookman Old Style" w:hAnsi="Bookman Old Style"/>
          <w:i/>
          <w:iCs/>
          <w:color w:val="000000"/>
          <w:vertAlign w:val="subscript"/>
        </w:rPr>
        <w:t>,j</w:t>
      </w:r>
      <w:r w:rsidRPr="00614FAD">
        <w:rPr>
          <w:rFonts w:ascii="Bookman Old Style" w:hAnsi="Bookman Old Style" w:cs="Arial"/>
          <w:spacing w:val="-3"/>
        </w:rPr>
        <w:t xml:space="preserve"> </w:t>
      </w:r>
      <w:r w:rsidRPr="00614FAD">
        <w:rPr>
          <w:rFonts w:ascii="Bookman Old Style" w:hAnsi="Bookman Old Style"/>
          <w:bCs/>
        </w:rPr>
        <w:t>aplicad</w:t>
      </w:r>
      <w:r w:rsidR="00B13BB9">
        <w:rPr>
          <w:rFonts w:ascii="Bookman Old Style" w:hAnsi="Bookman Old Style"/>
          <w:bCs/>
        </w:rPr>
        <w:t>a</w:t>
      </w:r>
      <w:r w:rsidRPr="00614FAD">
        <w:rPr>
          <w:rFonts w:ascii="Bookman Old Style" w:hAnsi="Bookman Old Style"/>
          <w:bCs/>
        </w:rPr>
        <w:t xml:space="preserve"> por </w:t>
      </w:r>
      <w:r w:rsidR="00B13BB9">
        <w:rPr>
          <w:rFonts w:ascii="Bookman Old Style" w:hAnsi="Bookman Old Style"/>
          <w:bCs/>
        </w:rPr>
        <w:t>el</w:t>
      </w:r>
      <w:r w:rsidRPr="00614FAD">
        <w:rPr>
          <w:rFonts w:ascii="Bookman Old Style" w:hAnsi="Bookman Old Style"/>
          <w:bCs/>
        </w:rPr>
        <w:t xml:space="preserve">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inorista integrado a</w:t>
      </w:r>
      <w:r w:rsidR="00700E0C">
        <w:rPr>
          <w:rFonts w:ascii="Bookman Old Style" w:hAnsi="Bookman Old Style"/>
          <w:bCs/>
        </w:rPr>
        <w:t>l</w:t>
      </w:r>
      <w:r w:rsidRPr="00614FAD">
        <w:rPr>
          <w:rFonts w:ascii="Bookman Old Style" w:hAnsi="Bookman Old Style"/>
          <w:bCs/>
        </w:rPr>
        <w:t xml:space="preserve"> operador de red en su respectivo mercado de comercialización.</w:t>
      </w:r>
    </w:p>
    <w:p w14:paraId="2DE700C8" w14:textId="77777777" w:rsidR="009612F5" w:rsidRPr="00614FAD" w:rsidRDefault="009612F5" w:rsidP="009612F5">
      <w:pPr>
        <w:widowControl w:val="0"/>
        <w:numPr>
          <w:ilvl w:val="0"/>
          <w:numId w:val="20"/>
        </w:numPr>
        <w:spacing w:before="200" w:after="200"/>
        <w:ind w:left="1134" w:right="47" w:hanging="425"/>
        <w:jc w:val="both"/>
        <w:rPr>
          <w:rFonts w:ascii="Bookman Old Style" w:hAnsi="Bookman Old Style" w:cs="Arial"/>
          <w:spacing w:val="-3"/>
        </w:rPr>
      </w:pPr>
      <w:r w:rsidRPr="00614FAD">
        <w:rPr>
          <w:rFonts w:ascii="Bookman Old Style" w:hAnsi="Bookman Old Style" w:cs="Arial"/>
          <w:spacing w:val="-3"/>
        </w:rPr>
        <w:t>Utilizar cero como valor de la variable</w:t>
      </w:r>
      <w:r>
        <w:rPr>
          <w:rFonts w:ascii="Bookman Old Style" w:hAnsi="Bookman Old Style" w:cs="Arial"/>
          <w:spacing w:val="-3"/>
        </w:rPr>
        <w:t xml:space="preserve"> </w:t>
      </w:r>
      <w:proofErr w:type="spellStart"/>
      <w:proofErr w:type="gramStart"/>
      <w:r w:rsidRPr="00650B2E">
        <w:rPr>
          <w:rFonts w:ascii="Bookman Old Style" w:hAnsi="Bookman Old Style"/>
          <w:i/>
          <w:iCs/>
          <w:color w:val="000000"/>
        </w:rPr>
        <w:t>C</w:t>
      </w:r>
      <w:r>
        <w:rPr>
          <w:rFonts w:ascii="Bookman Old Style" w:hAnsi="Bookman Old Style"/>
          <w:i/>
          <w:iCs/>
          <w:color w:val="000000"/>
        </w:rPr>
        <w:t>ER</w:t>
      </w:r>
      <w:r>
        <w:rPr>
          <w:rFonts w:ascii="Bookman Old Style" w:hAnsi="Bookman Old Style"/>
          <w:i/>
          <w:iCs/>
          <w:color w:val="000000"/>
          <w:vertAlign w:val="subscript"/>
        </w:rPr>
        <w:t>i</w:t>
      </w:r>
      <w:r w:rsidRPr="00650B2E">
        <w:rPr>
          <w:rFonts w:ascii="Bookman Old Style" w:hAnsi="Bookman Old Style"/>
          <w:i/>
          <w:iCs/>
          <w:color w:val="000000"/>
          <w:vertAlign w:val="subscript"/>
        </w:rPr>
        <w:t>,</w:t>
      </w:r>
      <w:r>
        <w:rPr>
          <w:rFonts w:ascii="Bookman Old Style" w:hAnsi="Bookman Old Style"/>
          <w:i/>
          <w:iCs/>
          <w:color w:val="000000"/>
          <w:vertAlign w:val="subscript"/>
        </w:rPr>
        <w:t>m</w:t>
      </w:r>
      <w:proofErr w:type="spellEnd"/>
      <w:proofErr w:type="gramEnd"/>
      <w:r w:rsidRPr="00614FAD">
        <w:rPr>
          <w:rFonts w:ascii="Bookman Old Style" w:hAnsi="Bookman Old Style" w:cs="Arial"/>
          <w:spacing w:val="-3"/>
        </w:rPr>
        <w:t xml:space="preserve"> durante el primer año de operación.</w:t>
      </w:r>
    </w:p>
    <w:p w14:paraId="1215C157" w14:textId="20172DA5" w:rsidR="009612F5" w:rsidRPr="00614FAD" w:rsidRDefault="009612F5" w:rsidP="009612F5">
      <w:pPr>
        <w:widowControl w:val="0"/>
        <w:spacing w:before="200" w:after="200"/>
        <w:ind w:left="708"/>
        <w:jc w:val="both"/>
        <w:rPr>
          <w:rFonts w:ascii="Bookman Old Style" w:hAnsi="Bookman Old Style"/>
          <w:bCs/>
        </w:rPr>
      </w:pPr>
      <w:r w:rsidRPr="00614FAD">
        <w:rPr>
          <w:rFonts w:ascii="Bookman Old Style" w:hAnsi="Bookman Old Style"/>
          <w:b/>
          <w:bCs/>
        </w:rPr>
        <w:t xml:space="preserve">Parágrafo </w:t>
      </w:r>
      <w:r>
        <w:rPr>
          <w:rFonts w:ascii="Bookman Old Style" w:hAnsi="Bookman Old Style"/>
          <w:b/>
          <w:bCs/>
        </w:rPr>
        <w:t>3</w:t>
      </w:r>
      <w:r w:rsidRPr="00614FAD">
        <w:rPr>
          <w:rFonts w:ascii="Bookman Old Style" w:hAnsi="Bookman Old Style"/>
          <w:b/>
          <w:bCs/>
        </w:rPr>
        <w:t>.</w:t>
      </w:r>
      <w:r w:rsidRPr="00614FAD">
        <w:rPr>
          <w:rFonts w:ascii="Bookman Old Style" w:hAnsi="Bookman Old Style"/>
          <w:bCs/>
        </w:rPr>
        <w:t xml:space="preserve"> En el caso </w:t>
      </w:r>
      <w:r>
        <w:rPr>
          <w:rFonts w:ascii="Bookman Old Style" w:hAnsi="Bookman Old Style"/>
          <w:bCs/>
        </w:rPr>
        <w:t xml:space="preserve">de </w:t>
      </w:r>
      <w:r w:rsidRPr="00614FAD">
        <w:rPr>
          <w:rFonts w:ascii="Bookman Old Style" w:hAnsi="Bookman Old Style"/>
          <w:bCs/>
        </w:rPr>
        <w:t xml:space="preserve">que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w:t>
      </w:r>
      <m:oMath>
        <m:r>
          <w:rPr>
            <w:rFonts w:ascii="Cambria Math" w:hAnsi="Cambria Math"/>
          </w:rPr>
          <m:t>i</m:t>
        </m:r>
      </m:oMath>
      <w:r w:rsidRPr="00614FAD">
        <w:rPr>
          <w:rFonts w:ascii="Bookman Old Style" w:hAnsi="Bookman Old Style"/>
          <w:bCs/>
        </w:rPr>
        <w:t xml:space="preserve"> no haya atendido usuarios regulados en el mes</w:t>
      </w:r>
      <w:r>
        <w:rPr>
          <w:rFonts w:ascii="Bookman Old Style" w:hAnsi="Bookman Old Style"/>
          <w:bCs/>
        </w:rPr>
        <w:t xml:space="preserve"> </w:t>
      </w:r>
      <w:r w:rsidRPr="00270650">
        <w:rPr>
          <w:rFonts w:ascii="Bookman Old Style" w:hAnsi="Bookman Old Style"/>
          <w:bCs/>
          <w:i/>
          <w:iCs/>
        </w:rPr>
        <w:t>m-1</w:t>
      </w:r>
      <w:r>
        <w:rPr>
          <w:rFonts w:ascii="Bookman Old Style" w:hAnsi="Bookman Old Style"/>
          <w:bCs/>
        </w:rPr>
        <w:t xml:space="preserve"> </w:t>
      </w:r>
      <w:r w:rsidRPr="00614FAD">
        <w:rPr>
          <w:rFonts w:ascii="Bookman Old Style" w:hAnsi="Bookman Old Style"/>
          <w:bCs/>
        </w:rPr>
        <w:t xml:space="preserve">en el </w:t>
      </w:r>
      <w:r>
        <w:rPr>
          <w:rFonts w:ascii="Bookman Old Style" w:hAnsi="Bookman Old Style"/>
          <w:bCs/>
        </w:rPr>
        <w:t xml:space="preserve">mercado de </w:t>
      </w:r>
      <w:r>
        <w:rPr>
          <w:rFonts w:ascii="Bookman Old Style" w:hAnsi="Bookman Old Style"/>
          <w:bCs/>
        </w:rPr>
        <w:lastRenderedPageBreak/>
        <w:t>co</w:t>
      </w:r>
      <w:r w:rsidRPr="00614FAD">
        <w:rPr>
          <w:rFonts w:ascii="Bookman Old Style" w:hAnsi="Bookman Old Style"/>
          <w:bCs/>
        </w:rPr>
        <w:t>mercialización</w:t>
      </w:r>
      <w:r>
        <w:rPr>
          <w:rFonts w:ascii="Bookman Old Style" w:hAnsi="Bookman Old Style"/>
          <w:bCs/>
        </w:rPr>
        <w:t xml:space="preserve"> </w:t>
      </w:r>
      <w:r w:rsidRPr="00270650">
        <w:rPr>
          <w:rFonts w:ascii="Bookman Old Style" w:hAnsi="Bookman Old Style"/>
          <w:bCs/>
          <w:i/>
          <w:iCs/>
        </w:rPr>
        <w:t>j</w:t>
      </w:r>
      <w:r w:rsidRPr="00614FAD">
        <w:rPr>
          <w:rFonts w:ascii="Bookman Old Style" w:hAnsi="Bookman Old Style"/>
          <w:bCs/>
        </w:rPr>
        <w:t>, el valor del componente</w:t>
      </w:r>
      <w:r>
        <w:rPr>
          <w:rFonts w:ascii="Bookman Old Style" w:hAnsi="Bookman Old Style"/>
          <w:bCs/>
        </w:rPr>
        <w:t xml:space="preserve"> </w:t>
      </w:r>
      <w:proofErr w:type="spellStart"/>
      <w:proofErr w:type="gramStart"/>
      <w:r w:rsidRPr="00650B2E">
        <w:rPr>
          <w:rFonts w:ascii="Bookman Old Style" w:hAnsi="Bookman Old Style"/>
          <w:i/>
          <w:iCs/>
          <w:color w:val="000000"/>
        </w:rPr>
        <w:t>C</w:t>
      </w:r>
      <w:r>
        <w:rPr>
          <w:rFonts w:ascii="Bookman Old Style" w:hAnsi="Bookman Old Style"/>
          <w:i/>
          <w:iCs/>
          <w:color w:val="000000"/>
        </w:rPr>
        <w:t>v</w:t>
      </w:r>
      <w:r w:rsidR="00730DB5" w:rsidRPr="00730DB5">
        <w:rPr>
          <w:rFonts w:ascii="Bookman Old Style" w:hAnsi="Bookman Old Style"/>
          <w:i/>
          <w:iCs/>
          <w:color w:val="000000"/>
          <w:vertAlign w:val="subscript"/>
        </w:rPr>
        <w:t>n,</w:t>
      </w:r>
      <w:r w:rsidRPr="00650B2E">
        <w:rPr>
          <w:rFonts w:ascii="Bookman Old Style" w:hAnsi="Bookman Old Style"/>
          <w:i/>
          <w:iCs/>
          <w:color w:val="000000"/>
          <w:vertAlign w:val="subscript"/>
        </w:rPr>
        <w:t>m</w:t>
      </w:r>
      <w:proofErr w:type="gramEnd"/>
      <w:r w:rsidRPr="00650B2E">
        <w:rPr>
          <w:rFonts w:ascii="Bookman Old Style" w:hAnsi="Bookman Old Style"/>
          <w:i/>
          <w:iCs/>
          <w:color w:val="000000"/>
          <w:vertAlign w:val="subscript"/>
        </w:rPr>
        <w:t>,</w:t>
      </w:r>
      <w:r>
        <w:rPr>
          <w:rFonts w:ascii="Bookman Old Style" w:hAnsi="Bookman Old Style"/>
          <w:i/>
          <w:iCs/>
          <w:color w:val="000000"/>
          <w:vertAlign w:val="subscript"/>
        </w:rPr>
        <w:t>i,</w:t>
      </w:r>
      <w:r w:rsidRPr="00650B2E">
        <w:rPr>
          <w:rFonts w:ascii="Bookman Old Style" w:hAnsi="Bookman Old Style"/>
          <w:i/>
          <w:iCs/>
          <w:color w:val="000000"/>
          <w:vertAlign w:val="subscript"/>
        </w:rPr>
        <w:t>j</w:t>
      </w:r>
      <w:proofErr w:type="spellEnd"/>
      <w:r>
        <w:rPr>
          <w:rFonts w:ascii="Bookman Old Style" w:hAnsi="Bookman Old Style"/>
          <w:i/>
          <w:iCs/>
          <w:color w:val="000000"/>
          <w:vertAlign w:val="subscript"/>
        </w:rPr>
        <w:t xml:space="preserve"> </w:t>
      </w:r>
      <w:r w:rsidRPr="00614FAD">
        <w:rPr>
          <w:rFonts w:ascii="Bookman Old Style" w:hAnsi="Bookman Old Style"/>
          <w:bCs/>
        </w:rPr>
        <w:t>que deberá aplicar será igual al último valor del componente</w:t>
      </w:r>
      <w:r>
        <w:rPr>
          <w:rFonts w:ascii="Bookman Old Style" w:hAnsi="Bookman Old Style"/>
          <w:bCs/>
        </w:rPr>
        <w:t xml:space="preserve"> </w:t>
      </w:r>
      <w:proofErr w:type="spellStart"/>
      <w:r w:rsidRPr="002A0782">
        <w:rPr>
          <w:rFonts w:ascii="Bookman Old Style" w:hAnsi="Bookman Old Style"/>
          <w:bCs/>
          <w:i/>
          <w:iCs/>
        </w:rPr>
        <w:t>Cv</w:t>
      </w:r>
      <w:proofErr w:type="spellEnd"/>
      <w:r>
        <w:rPr>
          <w:rFonts w:ascii="Bookman Old Style" w:hAnsi="Bookman Old Style"/>
          <w:bCs/>
        </w:rPr>
        <w:t xml:space="preserve"> </w:t>
      </w:r>
      <w:r w:rsidRPr="00614FAD">
        <w:rPr>
          <w:rFonts w:ascii="Bookman Old Style" w:hAnsi="Bookman Old Style"/>
          <w:bCs/>
        </w:rPr>
        <w:t xml:space="preserve">publicado por el </w:t>
      </w:r>
      <w:r>
        <w:rPr>
          <w:rFonts w:ascii="Bookman Old Style" w:hAnsi="Bookman Old Style"/>
          <w:bCs/>
        </w:rPr>
        <w:t>c</w:t>
      </w:r>
      <w:r w:rsidRPr="00614FAD">
        <w:rPr>
          <w:rFonts w:ascii="Bookman Old Style" w:hAnsi="Bookman Old Style"/>
          <w:bCs/>
        </w:rPr>
        <w:t xml:space="preserve">omercializador </w:t>
      </w:r>
      <w:r>
        <w:rPr>
          <w:rFonts w:ascii="Bookman Old Style" w:hAnsi="Bookman Old Style"/>
          <w:bCs/>
        </w:rPr>
        <w:t>m</w:t>
      </w:r>
      <w:r w:rsidRPr="00614FAD">
        <w:rPr>
          <w:rFonts w:ascii="Bookman Old Style" w:hAnsi="Bookman Old Style"/>
          <w:bCs/>
        </w:rPr>
        <w:t xml:space="preserve">inorista integrado al operador de red </w:t>
      </w:r>
      <w:r>
        <w:rPr>
          <w:rFonts w:ascii="Bookman Old Style" w:hAnsi="Bookman Old Style"/>
          <w:bCs/>
        </w:rPr>
        <w:t>d</w:t>
      </w:r>
      <w:r w:rsidRPr="00614FAD">
        <w:rPr>
          <w:rFonts w:ascii="Bookman Old Style" w:hAnsi="Bookman Old Style"/>
          <w:bCs/>
        </w:rPr>
        <w:t xml:space="preserve">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omercialización</w:t>
      </w:r>
      <w:r>
        <w:rPr>
          <w:rFonts w:ascii="Bookman Old Style" w:hAnsi="Bookman Old Style"/>
          <w:bCs/>
        </w:rPr>
        <w:t xml:space="preserve"> </w:t>
      </w:r>
      <w:r w:rsidRPr="002A0782">
        <w:rPr>
          <w:rFonts w:ascii="Bookman Old Style" w:hAnsi="Bookman Old Style"/>
          <w:bCs/>
          <w:i/>
          <w:iCs/>
        </w:rPr>
        <w:t>j</w:t>
      </w:r>
      <w:r>
        <w:rPr>
          <w:rFonts w:ascii="Bookman Old Style" w:hAnsi="Bookman Old Style"/>
          <w:bCs/>
        </w:rPr>
        <w:t>”.</w:t>
      </w:r>
    </w:p>
    <w:p w14:paraId="7F880E49" w14:textId="1330848A" w:rsidR="00AC04E9" w:rsidRPr="000A3A8A" w:rsidRDefault="00FC2E5C" w:rsidP="009526D8">
      <w:pPr>
        <w:widowControl w:val="0"/>
        <w:tabs>
          <w:tab w:val="left" w:pos="858"/>
        </w:tabs>
        <w:spacing w:before="240" w:after="240"/>
        <w:ind w:left="709"/>
        <w:jc w:val="both"/>
        <w:rPr>
          <w:rFonts w:ascii="Bookman Old Style" w:hAnsi="Bookman Old Style"/>
        </w:rPr>
      </w:pPr>
      <w:r w:rsidRPr="000A3A8A">
        <w:rPr>
          <w:rFonts w:ascii="Bookman Old Style" w:hAnsi="Bookman Old Style"/>
          <w:b/>
          <w:bCs/>
        </w:rPr>
        <w:t xml:space="preserve">Parágrafo </w:t>
      </w:r>
      <w:r w:rsidR="00257BA4" w:rsidRPr="000A3A8A">
        <w:rPr>
          <w:rFonts w:ascii="Bookman Old Style" w:hAnsi="Bookman Old Style"/>
          <w:b/>
          <w:bCs/>
        </w:rPr>
        <w:t>4</w:t>
      </w:r>
      <w:r w:rsidRPr="000A3A8A">
        <w:rPr>
          <w:rFonts w:ascii="Bookman Old Style" w:hAnsi="Bookman Old Style"/>
          <w:b/>
          <w:bCs/>
        </w:rPr>
        <w:t xml:space="preserve">. </w:t>
      </w:r>
      <w:r w:rsidR="007B7DDB" w:rsidRPr="000A3A8A">
        <w:rPr>
          <w:rFonts w:ascii="Bookman Old Style" w:hAnsi="Bookman Old Style"/>
        </w:rPr>
        <w:t>Cuando un usuario</w:t>
      </w:r>
      <w:r w:rsidR="00B707E7" w:rsidRPr="000A3A8A">
        <w:rPr>
          <w:rFonts w:ascii="Bookman Old Style" w:hAnsi="Bookman Old Style"/>
        </w:rPr>
        <w:t>,</w:t>
      </w:r>
      <w:r w:rsidR="007B7DDB" w:rsidRPr="000A3A8A">
        <w:rPr>
          <w:rFonts w:ascii="Bookman Old Style" w:hAnsi="Bookman Old Style"/>
        </w:rPr>
        <w:t xml:space="preserve"> atendido por un comercializador </w:t>
      </w:r>
      <w:r w:rsidR="007B7DDB" w:rsidRPr="000A3A8A">
        <w:rPr>
          <w:rFonts w:ascii="Bookman Old Style" w:hAnsi="Bookman Old Style"/>
          <w:i/>
          <w:iCs/>
        </w:rPr>
        <w:t>i</w:t>
      </w:r>
      <w:r w:rsidR="005D00DB" w:rsidRPr="000A3A8A">
        <w:rPr>
          <w:rFonts w:ascii="Bookman Old Style" w:hAnsi="Bookman Old Style"/>
        </w:rPr>
        <w:t xml:space="preserve"> </w:t>
      </w:r>
      <w:r w:rsidR="00B85428" w:rsidRPr="000A3A8A">
        <w:rPr>
          <w:rFonts w:ascii="Bookman Old Style" w:hAnsi="Bookman Old Style"/>
        </w:rPr>
        <w:t xml:space="preserve">que este aplicando </w:t>
      </w:r>
      <w:r w:rsidR="00742827">
        <w:rPr>
          <w:rFonts w:ascii="Bookman Old Style" w:hAnsi="Bookman Old Style"/>
        </w:rPr>
        <w:t xml:space="preserve">la variable </w:t>
      </w:r>
      <w:proofErr w:type="spellStart"/>
      <w:proofErr w:type="gramStart"/>
      <w:r w:rsidR="00742827" w:rsidRPr="000A3A8A">
        <w:rPr>
          <w:rFonts w:ascii="Bookman Old Style" w:hAnsi="Bookman Old Style"/>
          <w:i/>
          <w:iCs/>
        </w:rPr>
        <w:t>COT</w:t>
      </w:r>
      <w:r w:rsidR="00742827" w:rsidRPr="000A3A8A">
        <w:rPr>
          <w:rFonts w:ascii="Bookman Old Style" w:hAnsi="Bookman Old Style"/>
          <w:i/>
          <w:iCs/>
          <w:vertAlign w:val="subscript"/>
        </w:rPr>
        <w:t>n,j</w:t>
      </w:r>
      <w:proofErr w:type="gramEnd"/>
      <w:r w:rsidR="00742827" w:rsidRPr="000A3A8A">
        <w:rPr>
          <w:rFonts w:ascii="Bookman Old Style" w:hAnsi="Bookman Old Style"/>
          <w:i/>
          <w:iCs/>
          <w:vertAlign w:val="subscript"/>
        </w:rPr>
        <w:t>,m</w:t>
      </w:r>
      <w:proofErr w:type="spellEnd"/>
      <w:r w:rsidR="00B707E7" w:rsidRPr="000A3A8A">
        <w:rPr>
          <w:rFonts w:ascii="Bookman Old Style" w:hAnsi="Bookman Old Style"/>
        </w:rPr>
        <w:t>,</w:t>
      </w:r>
      <w:r w:rsidR="00B85428" w:rsidRPr="000A3A8A">
        <w:rPr>
          <w:rFonts w:ascii="Bookman Old Style" w:hAnsi="Bookman Old Style"/>
        </w:rPr>
        <w:t xml:space="preserve"> </w:t>
      </w:r>
      <w:r w:rsidR="007B7DDB" w:rsidRPr="000A3A8A">
        <w:rPr>
          <w:rFonts w:ascii="Bookman Old Style" w:hAnsi="Bookman Old Style"/>
        </w:rPr>
        <w:t>cambie de comercializador</w:t>
      </w:r>
      <w:r w:rsidR="00B55D67">
        <w:rPr>
          <w:rFonts w:ascii="Bookman Old Style" w:hAnsi="Bookman Old Style"/>
        </w:rPr>
        <w:t xml:space="preserve"> o de nivel de te</w:t>
      </w:r>
      <w:r w:rsidR="009028DE">
        <w:rPr>
          <w:rFonts w:ascii="Bookman Old Style" w:hAnsi="Bookman Old Style"/>
        </w:rPr>
        <w:t>n</w:t>
      </w:r>
      <w:r w:rsidR="00B55D67">
        <w:rPr>
          <w:rFonts w:ascii="Bookman Old Style" w:hAnsi="Bookman Old Style"/>
        </w:rPr>
        <w:t>sión</w:t>
      </w:r>
      <w:r w:rsidR="00E82CC1">
        <w:rPr>
          <w:rFonts w:ascii="Bookman Old Style" w:hAnsi="Bookman Old Style"/>
        </w:rPr>
        <w:t xml:space="preserve"> con un mismo comercializador</w:t>
      </w:r>
      <w:r w:rsidR="00B85428" w:rsidRPr="000A3A8A">
        <w:rPr>
          <w:rFonts w:ascii="Bookman Old Style" w:hAnsi="Bookman Old Style"/>
        </w:rPr>
        <w:t xml:space="preserve">, deberá seguir pagando </w:t>
      </w:r>
      <w:r w:rsidR="00CB4FF4">
        <w:rPr>
          <w:rFonts w:ascii="Bookman Old Style" w:hAnsi="Bookman Old Style"/>
        </w:rPr>
        <w:t xml:space="preserve">este </w:t>
      </w:r>
      <w:r w:rsidR="00F403BD" w:rsidRPr="000A3A8A">
        <w:rPr>
          <w:rFonts w:ascii="Bookman Old Style" w:hAnsi="Bookman Old Style"/>
        </w:rPr>
        <w:t xml:space="preserve">costo </w:t>
      </w:r>
      <w:r w:rsidR="00B85428" w:rsidRPr="000A3A8A">
        <w:rPr>
          <w:rFonts w:ascii="Bookman Old Style" w:hAnsi="Bookman Old Style"/>
        </w:rPr>
        <w:t xml:space="preserve">de </w:t>
      </w:r>
      <w:r w:rsidR="002703D7">
        <w:rPr>
          <w:rFonts w:ascii="Bookman Old Style" w:hAnsi="Bookman Old Style"/>
        </w:rPr>
        <w:t>mercado</w:t>
      </w:r>
      <w:r w:rsidR="005D00DB" w:rsidRPr="000A3A8A">
        <w:rPr>
          <w:rFonts w:ascii="Bookman Old Style" w:hAnsi="Bookman Old Style"/>
        </w:rPr>
        <w:t xml:space="preserve"> </w:t>
      </w:r>
      <w:r w:rsidR="008471AA">
        <w:rPr>
          <w:rFonts w:ascii="Bookman Old Style" w:hAnsi="Bookman Old Style"/>
        </w:rPr>
        <w:t xml:space="preserve">y nivel de tensión  </w:t>
      </w:r>
      <w:r w:rsidR="005D00DB" w:rsidRPr="000A3A8A">
        <w:rPr>
          <w:rFonts w:ascii="Bookman Old Style" w:hAnsi="Bookman Old Style"/>
        </w:rPr>
        <w:t xml:space="preserve">hasta </w:t>
      </w:r>
      <w:r w:rsidR="00F00FBA">
        <w:rPr>
          <w:rFonts w:ascii="Bookman Old Style" w:hAnsi="Bookman Old Style"/>
        </w:rPr>
        <w:t>su</w:t>
      </w:r>
      <w:r w:rsidR="00AB3AC2" w:rsidRPr="000A3A8A">
        <w:rPr>
          <w:rFonts w:ascii="Bookman Old Style" w:hAnsi="Bookman Old Style"/>
        </w:rPr>
        <w:t xml:space="preserve"> finalización</w:t>
      </w:r>
      <w:r w:rsidR="004F2577">
        <w:rPr>
          <w:rFonts w:ascii="Bookman Old Style" w:hAnsi="Bookman Old Style"/>
        </w:rPr>
        <w:t>, independientemente de las veces que cambie de comercial</w:t>
      </w:r>
      <w:r w:rsidR="00B04AAE">
        <w:rPr>
          <w:rFonts w:ascii="Bookman Old Style" w:hAnsi="Bookman Old Style"/>
        </w:rPr>
        <w:t>i</w:t>
      </w:r>
      <w:r w:rsidR="004F2577">
        <w:rPr>
          <w:rFonts w:ascii="Bookman Old Style" w:hAnsi="Bookman Old Style"/>
        </w:rPr>
        <w:t xml:space="preserve">zador </w:t>
      </w:r>
      <w:r w:rsidR="00B60BDD">
        <w:rPr>
          <w:rFonts w:ascii="Bookman Old Style" w:hAnsi="Bookman Old Style"/>
        </w:rPr>
        <w:t>o de nivel de tensión</w:t>
      </w:r>
      <w:r w:rsidR="00FB0E3A">
        <w:rPr>
          <w:rFonts w:ascii="Bookman Old Style" w:hAnsi="Bookman Old Style"/>
        </w:rPr>
        <w:t>.</w:t>
      </w:r>
      <w:r w:rsidR="00B60BDD">
        <w:rPr>
          <w:rFonts w:ascii="Bookman Old Style" w:hAnsi="Bookman Old Style"/>
        </w:rPr>
        <w:t xml:space="preserve"> </w:t>
      </w:r>
      <w:r w:rsidR="00AB3AC2" w:rsidRPr="000A3A8A">
        <w:rPr>
          <w:rFonts w:ascii="Bookman Old Style" w:hAnsi="Bookman Old Style"/>
        </w:rPr>
        <w:t xml:space="preserve"> </w:t>
      </w:r>
    </w:p>
    <w:p w14:paraId="550DC181" w14:textId="2ED7A2D0" w:rsidR="009F15D7" w:rsidRDefault="009F15D7" w:rsidP="00A00552">
      <w:pPr>
        <w:widowControl w:val="0"/>
        <w:tabs>
          <w:tab w:val="left" w:pos="858"/>
        </w:tabs>
        <w:spacing w:before="240" w:after="240"/>
        <w:ind w:left="709"/>
        <w:jc w:val="both"/>
        <w:rPr>
          <w:rFonts w:ascii="Bookman Old Style" w:hAnsi="Bookman Old Style"/>
        </w:rPr>
      </w:pPr>
      <w:r>
        <w:rPr>
          <w:rFonts w:ascii="Bookman Old Style" w:hAnsi="Bookman Old Style"/>
          <w:b/>
          <w:bCs/>
        </w:rPr>
        <w:t xml:space="preserve">Parágrafo </w:t>
      </w:r>
      <w:r w:rsidR="002004B3">
        <w:rPr>
          <w:rFonts w:ascii="Bookman Old Style" w:hAnsi="Bookman Old Style"/>
          <w:b/>
          <w:bCs/>
        </w:rPr>
        <w:t>5</w:t>
      </w:r>
      <w:r w:rsidR="0081586A">
        <w:rPr>
          <w:rFonts w:ascii="Bookman Old Style" w:hAnsi="Bookman Old Style"/>
          <w:b/>
          <w:bCs/>
        </w:rPr>
        <w:t>.</w:t>
      </w:r>
      <w:r w:rsidR="0081586A">
        <w:rPr>
          <w:rFonts w:ascii="Bookman Old Style" w:hAnsi="Bookman Old Style"/>
        </w:rPr>
        <w:t xml:space="preserve"> Cuando un usuario </w:t>
      </w:r>
      <w:r w:rsidR="00285C46">
        <w:rPr>
          <w:rFonts w:ascii="Bookman Old Style" w:hAnsi="Bookman Old Style"/>
        </w:rPr>
        <w:t xml:space="preserve">pase del </w:t>
      </w:r>
      <w:r w:rsidR="00FE5A0E">
        <w:rPr>
          <w:rFonts w:ascii="Bookman Old Style" w:hAnsi="Bookman Old Style"/>
        </w:rPr>
        <w:t>M</w:t>
      </w:r>
      <w:r w:rsidR="00285C46">
        <w:rPr>
          <w:rFonts w:ascii="Bookman Old Style" w:hAnsi="Bookman Old Style"/>
        </w:rPr>
        <w:t xml:space="preserve">ercado No Regulado al mercado Regulado, deberá pagar el costo definido para la variable </w:t>
      </w:r>
      <w:proofErr w:type="spellStart"/>
      <w:proofErr w:type="gramStart"/>
      <w:r w:rsidR="00285C46" w:rsidRPr="000A3A8A">
        <w:rPr>
          <w:rFonts w:ascii="Bookman Old Style" w:hAnsi="Bookman Old Style"/>
          <w:i/>
          <w:iCs/>
        </w:rPr>
        <w:t>COT</w:t>
      </w:r>
      <w:r w:rsidR="00285C46" w:rsidRPr="000A3A8A">
        <w:rPr>
          <w:rFonts w:ascii="Bookman Old Style" w:hAnsi="Bookman Old Style"/>
          <w:i/>
          <w:iCs/>
          <w:vertAlign w:val="subscript"/>
        </w:rPr>
        <w:t>n,j</w:t>
      </w:r>
      <w:proofErr w:type="gramEnd"/>
      <w:r w:rsidR="00285C46" w:rsidRPr="000A3A8A">
        <w:rPr>
          <w:rFonts w:ascii="Bookman Old Style" w:hAnsi="Bookman Old Style"/>
          <w:i/>
          <w:iCs/>
          <w:vertAlign w:val="subscript"/>
        </w:rPr>
        <w:t>,m</w:t>
      </w:r>
      <w:proofErr w:type="spellEnd"/>
      <w:r w:rsidR="00B72A68">
        <w:rPr>
          <w:rFonts w:ascii="Bookman Old Style" w:hAnsi="Bookman Old Style"/>
        </w:rPr>
        <w:t>,</w:t>
      </w:r>
      <w:r w:rsidR="00A00552">
        <w:rPr>
          <w:rFonts w:ascii="Bookman Old Style" w:hAnsi="Bookman Old Style"/>
        </w:rPr>
        <w:t xml:space="preserve"> del mercado al que llegue,</w:t>
      </w:r>
      <w:r w:rsidR="00B72A68">
        <w:rPr>
          <w:rFonts w:ascii="Bookman Old Style" w:hAnsi="Bookman Old Style"/>
        </w:rPr>
        <w:t xml:space="preserve"> a excepción de los </w:t>
      </w:r>
      <w:r w:rsidR="0081586A" w:rsidRPr="0081586A">
        <w:rPr>
          <w:rFonts w:ascii="Bookman Old Style" w:hAnsi="Bookman Old Style"/>
        </w:rPr>
        <w:t>usuario</w:t>
      </w:r>
      <w:r w:rsidR="00B72A68">
        <w:rPr>
          <w:rFonts w:ascii="Bookman Old Style" w:hAnsi="Bookman Old Style"/>
        </w:rPr>
        <w:t>s</w:t>
      </w:r>
      <w:r w:rsidR="0081586A" w:rsidRPr="0081586A">
        <w:rPr>
          <w:rFonts w:ascii="Bookman Old Style" w:hAnsi="Bookman Old Style"/>
        </w:rPr>
        <w:t xml:space="preserve"> que cambie</w:t>
      </w:r>
      <w:r w:rsidR="00B72A68">
        <w:rPr>
          <w:rFonts w:ascii="Bookman Old Style" w:hAnsi="Bookman Old Style"/>
        </w:rPr>
        <w:t>n de mercado</w:t>
      </w:r>
      <w:r w:rsidR="0081586A" w:rsidRPr="0081586A">
        <w:rPr>
          <w:rFonts w:ascii="Bookman Old Style" w:hAnsi="Bookman Old Style"/>
        </w:rPr>
        <w:t xml:space="preserve"> por procesos de limitación del suministro del comercializador que lo </w:t>
      </w:r>
      <w:r w:rsidR="00B72A68" w:rsidRPr="0081586A">
        <w:rPr>
          <w:rFonts w:ascii="Bookman Old Style" w:hAnsi="Bookman Old Style"/>
        </w:rPr>
        <w:t>atendía</w:t>
      </w:r>
      <w:r w:rsidR="0081586A" w:rsidRPr="0081586A">
        <w:rPr>
          <w:rFonts w:ascii="Bookman Old Style" w:hAnsi="Bookman Old Style"/>
        </w:rPr>
        <w:t xml:space="preserve">. Si el usuario </w:t>
      </w:r>
      <w:r w:rsidR="001D6125">
        <w:rPr>
          <w:rFonts w:ascii="Bookman Old Style" w:hAnsi="Bookman Old Style"/>
        </w:rPr>
        <w:t xml:space="preserve">cambia </w:t>
      </w:r>
      <w:r w:rsidR="0081586A" w:rsidRPr="0081586A">
        <w:rPr>
          <w:rFonts w:ascii="Bookman Old Style" w:hAnsi="Bookman Old Style"/>
        </w:rPr>
        <w:t xml:space="preserve">del </w:t>
      </w:r>
      <w:r w:rsidR="00FE5A0E">
        <w:rPr>
          <w:rFonts w:ascii="Bookman Old Style" w:hAnsi="Bookman Old Style"/>
        </w:rPr>
        <w:t>M</w:t>
      </w:r>
      <w:r w:rsidR="00A00552">
        <w:rPr>
          <w:rFonts w:ascii="Bookman Old Style" w:hAnsi="Bookman Old Style"/>
        </w:rPr>
        <w:t xml:space="preserve">ercado </w:t>
      </w:r>
      <w:r w:rsidR="00FE5A0E">
        <w:rPr>
          <w:rFonts w:ascii="Bookman Old Style" w:hAnsi="Bookman Old Style"/>
        </w:rPr>
        <w:t>R</w:t>
      </w:r>
      <w:r w:rsidR="0081586A" w:rsidRPr="0081586A">
        <w:rPr>
          <w:rFonts w:ascii="Bookman Old Style" w:hAnsi="Bookman Old Style"/>
        </w:rPr>
        <w:t xml:space="preserve">egulado al </w:t>
      </w:r>
      <w:r w:rsidR="00FE5A0E">
        <w:rPr>
          <w:rFonts w:ascii="Bookman Old Style" w:hAnsi="Bookman Old Style"/>
        </w:rPr>
        <w:t>N</w:t>
      </w:r>
      <w:r w:rsidR="0081586A" w:rsidRPr="0081586A">
        <w:rPr>
          <w:rFonts w:ascii="Bookman Old Style" w:hAnsi="Bookman Old Style"/>
        </w:rPr>
        <w:t xml:space="preserve">o </w:t>
      </w:r>
      <w:r w:rsidR="00FE5A0E">
        <w:rPr>
          <w:rFonts w:ascii="Bookman Old Style" w:hAnsi="Bookman Old Style"/>
        </w:rPr>
        <w:t>R</w:t>
      </w:r>
      <w:r w:rsidR="0081586A" w:rsidRPr="0081586A">
        <w:rPr>
          <w:rFonts w:ascii="Bookman Old Style" w:hAnsi="Bookman Old Style"/>
        </w:rPr>
        <w:t xml:space="preserve">egulado deberá seguir pagando el </w:t>
      </w:r>
      <w:proofErr w:type="spellStart"/>
      <w:proofErr w:type="gramStart"/>
      <w:r w:rsidR="00A00552" w:rsidRPr="000A3A8A">
        <w:rPr>
          <w:rFonts w:ascii="Bookman Old Style" w:hAnsi="Bookman Old Style"/>
          <w:i/>
          <w:iCs/>
        </w:rPr>
        <w:t>COT</w:t>
      </w:r>
      <w:r w:rsidR="00A00552" w:rsidRPr="000A3A8A">
        <w:rPr>
          <w:rFonts w:ascii="Bookman Old Style" w:hAnsi="Bookman Old Style"/>
          <w:i/>
          <w:iCs/>
          <w:vertAlign w:val="subscript"/>
        </w:rPr>
        <w:t>n,j</w:t>
      </w:r>
      <w:proofErr w:type="gramEnd"/>
      <w:r w:rsidR="00A00552" w:rsidRPr="000A3A8A">
        <w:rPr>
          <w:rFonts w:ascii="Bookman Old Style" w:hAnsi="Bookman Old Style"/>
          <w:i/>
          <w:iCs/>
          <w:vertAlign w:val="subscript"/>
        </w:rPr>
        <w:t>,m</w:t>
      </w:r>
      <w:proofErr w:type="spellEnd"/>
      <w:r w:rsidR="00D3423C">
        <w:rPr>
          <w:rFonts w:ascii="Bookman Old Style" w:hAnsi="Bookman Old Style"/>
        </w:rPr>
        <w:t xml:space="preserve"> </w:t>
      </w:r>
      <w:r w:rsidR="005F4772">
        <w:rPr>
          <w:rFonts w:ascii="Bookman Old Style" w:hAnsi="Bookman Old Style"/>
        </w:rPr>
        <w:t>hasta finalizar</w:t>
      </w:r>
      <w:r w:rsidR="004822F5">
        <w:rPr>
          <w:rFonts w:ascii="Bookman Old Style" w:hAnsi="Bookman Old Style"/>
        </w:rPr>
        <w:t xml:space="preserve"> </w:t>
      </w:r>
      <w:r w:rsidR="005F4772">
        <w:rPr>
          <w:rFonts w:ascii="Bookman Old Style" w:hAnsi="Bookman Old Style"/>
        </w:rPr>
        <w:t>la recuperación del saldo</w:t>
      </w:r>
      <w:r w:rsidR="00D3423C">
        <w:rPr>
          <w:rFonts w:ascii="Bookman Old Style" w:hAnsi="Bookman Old Style"/>
        </w:rPr>
        <w:t>.</w:t>
      </w:r>
    </w:p>
    <w:p w14:paraId="770969F6" w14:textId="5ABEBDC8" w:rsidR="00293831" w:rsidRDefault="00F43B4A" w:rsidP="00D41B53">
      <w:pPr>
        <w:widowControl w:val="0"/>
        <w:tabs>
          <w:tab w:val="left" w:pos="858"/>
        </w:tabs>
        <w:spacing w:before="240" w:after="240"/>
        <w:ind w:left="709"/>
        <w:jc w:val="both"/>
        <w:rPr>
          <w:rFonts w:ascii="Bookman Old Style" w:hAnsi="Bookman Old Style"/>
          <w:i/>
          <w:iCs/>
          <w:vertAlign w:val="subscript"/>
        </w:rPr>
      </w:pPr>
      <w:r w:rsidRPr="007628FA">
        <w:rPr>
          <w:rFonts w:ascii="Bookman Old Style" w:hAnsi="Bookman Old Style"/>
          <w:b/>
          <w:bCs/>
        </w:rPr>
        <w:t xml:space="preserve">Parágrafo </w:t>
      </w:r>
      <w:r w:rsidR="0016156F">
        <w:rPr>
          <w:rFonts w:ascii="Bookman Old Style" w:hAnsi="Bookman Old Style"/>
          <w:b/>
          <w:bCs/>
        </w:rPr>
        <w:t>6</w:t>
      </w:r>
      <w:r w:rsidRPr="007628FA">
        <w:rPr>
          <w:rFonts w:ascii="Bookman Old Style" w:hAnsi="Bookman Old Style"/>
          <w:b/>
          <w:bCs/>
        </w:rPr>
        <w:t>.</w:t>
      </w:r>
      <w:r w:rsidRPr="007628FA">
        <w:rPr>
          <w:rFonts w:ascii="Bookman Old Style" w:hAnsi="Bookman Old Style"/>
        </w:rPr>
        <w:t xml:space="preserve"> </w:t>
      </w:r>
      <w:r w:rsidR="00777D63" w:rsidRPr="007628FA">
        <w:rPr>
          <w:rFonts w:ascii="Bookman Old Style" w:hAnsi="Bookman Old Style"/>
        </w:rPr>
        <w:t xml:space="preserve">Los comercializadores que </w:t>
      </w:r>
      <w:r w:rsidR="000430C4" w:rsidRPr="007628FA">
        <w:rPr>
          <w:rFonts w:ascii="Bookman Old Style" w:hAnsi="Bookman Old Style"/>
        </w:rPr>
        <w:t xml:space="preserve">participen </w:t>
      </w:r>
      <w:r w:rsidR="006672BE" w:rsidRPr="007628FA">
        <w:rPr>
          <w:rFonts w:ascii="Bookman Old Style" w:hAnsi="Bookman Old Style"/>
        </w:rPr>
        <w:t xml:space="preserve">o </w:t>
      </w:r>
      <w:r w:rsidR="00777D63" w:rsidRPr="007628FA">
        <w:rPr>
          <w:rFonts w:ascii="Bookman Old Style" w:hAnsi="Bookman Old Style"/>
        </w:rPr>
        <w:t>atiendan usuarios en un mercado de comercializ</w:t>
      </w:r>
      <w:r w:rsidR="006672BE" w:rsidRPr="007628FA">
        <w:rPr>
          <w:rFonts w:ascii="Bookman Old Style" w:hAnsi="Bookman Old Style"/>
        </w:rPr>
        <w:t>a</w:t>
      </w:r>
      <w:r w:rsidR="00777D63" w:rsidRPr="007628FA">
        <w:rPr>
          <w:rFonts w:ascii="Bookman Old Style" w:hAnsi="Bookman Old Style"/>
        </w:rPr>
        <w:t xml:space="preserve">ción </w:t>
      </w:r>
      <w:r w:rsidR="006672BE" w:rsidRPr="00F13AE8">
        <w:rPr>
          <w:rFonts w:ascii="Bookman Old Style" w:hAnsi="Bookman Old Style"/>
          <w:i/>
          <w:iCs/>
        </w:rPr>
        <w:t>j</w:t>
      </w:r>
      <w:r w:rsidR="00777D63" w:rsidRPr="007628FA">
        <w:rPr>
          <w:rFonts w:ascii="Bookman Old Style" w:hAnsi="Bookman Old Style"/>
        </w:rPr>
        <w:t xml:space="preserve"> </w:t>
      </w:r>
      <w:r w:rsidR="006672BE" w:rsidRPr="007628FA">
        <w:rPr>
          <w:rFonts w:ascii="Bookman Old Style" w:hAnsi="Bookman Old Style"/>
        </w:rPr>
        <w:t>deberán publicar</w:t>
      </w:r>
      <w:r w:rsidR="00FB0E3A" w:rsidDel="00FB0E3A">
        <w:rPr>
          <w:rFonts w:ascii="Bookman Old Style" w:hAnsi="Bookman Old Style"/>
        </w:rPr>
        <w:t xml:space="preserve"> </w:t>
      </w:r>
      <w:r w:rsidR="00F4392C">
        <w:rPr>
          <w:rFonts w:ascii="Bookman Old Style" w:hAnsi="Bookman Old Style"/>
        </w:rPr>
        <w:t xml:space="preserve">sus </w:t>
      </w:r>
      <w:r w:rsidR="00502676" w:rsidRPr="007628FA">
        <w:rPr>
          <w:rFonts w:ascii="Bookman Old Style" w:hAnsi="Bookman Old Style"/>
        </w:rPr>
        <w:t>tarifas</w:t>
      </w:r>
      <w:r w:rsidR="006E4C4F">
        <w:rPr>
          <w:rFonts w:ascii="Bookman Old Style" w:hAnsi="Bookman Old Style"/>
        </w:rPr>
        <w:t xml:space="preserve"> </w:t>
      </w:r>
      <w:r w:rsidR="00502676" w:rsidRPr="007628FA">
        <w:rPr>
          <w:rFonts w:ascii="Bookman Old Style" w:hAnsi="Bookman Old Style"/>
        </w:rPr>
        <w:t>calculadas</w:t>
      </w:r>
      <w:r w:rsidR="00DC0A02">
        <w:rPr>
          <w:rFonts w:ascii="Bookman Old Style" w:hAnsi="Bookman Old Style"/>
        </w:rPr>
        <w:t>,</w:t>
      </w:r>
      <w:r w:rsidR="00502676" w:rsidRPr="007628FA">
        <w:rPr>
          <w:rFonts w:ascii="Bookman Old Style" w:hAnsi="Bookman Old Style"/>
        </w:rPr>
        <w:t xml:space="preserve"> incluyendo la variable </w:t>
      </w:r>
      <w:proofErr w:type="spellStart"/>
      <w:proofErr w:type="gramStart"/>
      <w:r w:rsidR="00502676" w:rsidRPr="007628FA">
        <w:rPr>
          <w:rFonts w:ascii="Bookman Old Style" w:hAnsi="Bookman Old Style"/>
          <w:i/>
          <w:iCs/>
        </w:rPr>
        <w:t>COT</w:t>
      </w:r>
      <w:r w:rsidR="00502676" w:rsidRPr="007628FA">
        <w:rPr>
          <w:rFonts w:ascii="Bookman Old Style" w:hAnsi="Bookman Old Style"/>
          <w:i/>
          <w:iCs/>
          <w:vertAlign w:val="subscript"/>
        </w:rPr>
        <w:t>n,j</w:t>
      </w:r>
      <w:proofErr w:type="gramEnd"/>
      <w:r w:rsidR="00502676" w:rsidRPr="007628FA">
        <w:rPr>
          <w:rFonts w:ascii="Bookman Old Style" w:hAnsi="Bookman Old Style"/>
          <w:i/>
          <w:iCs/>
          <w:vertAlign w:val="subscript"/>
        </w:rPr>
        <w:t>,m</w:t>
      </w:r>
      <w:proofErr w:type="spellEnd"/>
      <w:r w:rsidR="00A13CBD">
        <w:rPr>
          <w:rFonts w:ascii="Bookman Old Style" w:hAnsi="Bookman Old Style"/>
        </w:rPr>
        <w:t>, conforme a lo establecido en la Resolución CREG 058 de 2000</w:t>
      </w:r>
      <w:r w:rsidR="00DC0A02">
        <w:rPr>
          <w:rFonts w:ascii="Bookman Old Style" w:hAnsi="Bookman Old Style"/>
        </w:rPr>
        <w:t>.</w:t>
      </w:r>
    </w:p>
    <w:p w14:paraId="527696BB" w14:textId="62D2F189" w:rsidR="00A83B2F" w:rsidRPr="00D25431" w:rsidRDefault="00516469" w:rsidP="00D41B53">
      <w:pPr>
        <w:widowControl w:val="0"/>
        <w:tabs>
          <w:tab w:val="left" w:pos="858"/>
        </w:tabs>
        <w:spacing w:before="240" w:after="240"/>
        <w:ind w:left="709"/>
        <w:jc w:val="both"/>
        <w:rPr>
          <w:rFonts w:ascii="Bookman Old Style" w:hAnsi="Bookman Old Style"/>
        </w:rPr>
      </w:pPr>
      <w:r>
        <w:rPr>
          <w:rFonts w:ascii="Bookman Old Style" w:hAnsi="Bookman Old Style"/>
        </w:rPr>
        <w:t xml:space="preserve">Tanto </w:t>
      </w:r>
      <w:r w:rsidR="008A0752">
        <w:rPr>
          <w:rFonts w:ascii="Bookman Old Style" w:hAnsi="Bookman Old Style"/>
        </w:rPr>
        <w:t xml:space="preserve">la metodología para </w:t>
      </w:r>
      <w:r>
        <w:rPr>
          <w:rFonts w:ascii="Bookman Old Style" w:hAnsi="Bookman Old Style"/>
        </w:rPr>
        <w:t>e</w:t>
      </w:r>
      <w:r w:rsidR="00141DF9" w:rsidRPr="00A93AD0">
        <w:rPr>
          <w:rFonts w:ascii="Bookman Old Style" w:hAnsi="Bookman Old Style"/>
        </w:rPr>
        <w:t>l c</w:t>
      </w:r>
      <w:r>
        <w:rPr>
          <w:rFonts w:ascii="Bookman Old Style" w:hAnsi="Bookman Old Style"/>
        </w:rPr>
        <w:t>á</w:t>
      </w:r>
      <w:r w:rsidR="00141DF9" w:rsidRPr="00A93AD0">
        <w:rPr>
          <w:rFonts w:ascii="Bookman Old Style" w:hAnsi="Bookman Old Style"/>
        </w:rPr>
        <w:t>lculo de</w:t>
      </w:r>
      <w:r w:rsidRPr="00A93AD0">
        <w:rPr>
          <w:rFonts w:ascii="Bookman Old Style" w:hAnsi="Bookman Old Style"/>
        </w:rPr>
        <w:t xml:space="preserve"> </w:t>
      </w:r>
      <w:r w:rsidRPr="00516469">
        <w:rPr>
          <w:rFonts w:ascii="Bookman Old Style" w:hAnsi="Bookman Old Style"/>
        </w:rPr>
        <w:t>l</w:t>
      </w:r>
      <w:r w:rsidRPr="007628FA">
        <w:rPr>
          <w:rFonts w:ascii="Bookman Old Style" w:hAnsi="Bookman Old Style"/>
        </w:rPr>
        <w:t xml:space="preserve">a variable </w:t>
      </w:r>
      <w:proofErr w:type="spellStart"/>
      <w:proofErr w:type="gramStart"/>
      <w:r w:rsidRPr="007628FA">
        <w:rPr>
          <w:rFonts w:ascii="Bookman Old Style" w:hAnsi="Bookman Old Style"/>
          <w:i/>
          <w:iCs/>
        </w:rPr>
        <w:t>COT</w:t>
      </w:r>
      <w:r w:rsidRPr="007628FA">
        <w:rPr>
          <w:rFonts w:ascii="Bookman Old Style" w:hAnsi="Bookman Old Style"/>
          <w:i/>
          <w:iCs/>
          <w:vertAlign w:val="subscript"/>
        </w:rPr>
        <w:t>n,j</w:t>
      </w:r>
      <w:proofErr w:type="gramEnd"/>
      <w:r w:rsidRPr="007628FA">
        <w:rPr>
          <w:rFonts w:ascii="Bookman Old Style" w:hAnsi="Bookman Old Style"/>
          <w:i/>
          <w:iCs/>
          <w:vertAlign w:val="subscript"/>
        </w:rPr>
        <w:t>,m</w:t>
      </w:r>
      <w:proofErr w:type="spellEnd"/>
      <w:r>
        <w:rPr>
          <w:rFonts w:ascii="Bookman Old Style" w:hAnsi="Bookman Old Style"/>
          <w:i/>
          <w:iCs/>
          <w:vertAlign w:val="subscript"/>
        </w:rPr>
        <w:t>.</w:t>
      </w:r>
      <w:r w:rsidRPr="00A93AD0">
        <w:rPr>
          <w:rFonts w:ascii="Bookman Old Style" w:hAnsi="Bookman Old Style"/>
        </w:rPr>
        <w:t xml:space="preserve"> </w:t>
      </w:r>
      <w:r w:rsidR="003474E1" w:rsidRPr="00A93AD0">
        <w:rPr>
          <w:rFonts w:ascii="Bookman Old Style" w:hAnsi="Bookman Old Style"/>
        </w:rPr>
        <w:t>a</w:t>
      </w:r>
      <w:r w:rsidR="003474E1">
        <w:rPr>
          <w:rFonts w:ascii="Bookman Old Style" w:hAnsi="Bookman Old Style"/>
        </w:rPr>
        <w:t>s</w:t>
      </w:r>
      <w:r w:rsidR="003474E1" w:rsidRPr="00A93AD0">
        <w:rPr>
          <w:rFonts w:ascii="Bookman Old Style" w:hAnsi="Bookman Old Style"/>
        </w:rPr>
        <w:t xml:space="preserve">í como </w:t>
      </w:r>
      <w:r w:rsidR="00141DF9" w:rsidRPr="00A93AD0">
        <w:rPr>
          <w:rFonts w:ascii="Bookman Old Style" w:hAnsi="Bookman Old Style"/>
        </w:rPr>
        <w:t>l</w:t>
      </w:r>
      <w:r w:rsidR="003474E1">
        <w:rPr>
          <w:rFonts w:ascii="Bookman Old Style" w:hAnsi="Bookman Old Style"/>
        </w:rPr>
        <w:t xml:space="preserve">a metodología de </w:t>
      </w:r>
      <w:r w:rsidR="00F2080D">
        <w:rPr>
          <w:rFonts w:ascii="Bookman Old Style" w:hAnsi="Bookman Old Style"/>
        </w:rPr>
        <w:t>distribución de los ingresos causados por este concepto</w:t>
      </w:r>
      <w:r w:rsidR="000F61A2">
        <w:rPr>
          <w:rFonts w:ascii="Bookman Old Style" w:hAnsi="Bookman Old Style"/>
        </w:rPr>
        <w:t>,</w:t>
      </w:r>
      <w:r w:rsidR="00F2080D">
        <w:rPr>
          <w:rFonts w:ascii="Bookman Old Style" w:hAnsi="Bookman Old Style"/>
        </w:rPr>
        <w:t xml:space="preserve"> será</w:t>
      </w:r>
      <w:r w:rsidR="00BE3BEB">
        <w:rPr>
          <w:rFonts w:ascii="Bookman Old Style" w:hAnsi="Bookman Old Style"/>
        </w:rPr>
        <w:t>n</w:t>
      </w:r>
      <w:r w:rsidR="00F2080D">
        <w:rPr>
          <w:rFonts w:ascii="Bookman Old Style" w:hAnsi="Bookman Old Style"/>
        </w:rPr>
        <w:t xml:space="preserve"> objeto de publicación posterior</w:t>
      </w:r>
      <w:r w:rsidR="00A83B2F" w:rsidRPr="00A93AD0">
        <w:rPr>
          <w:rFonts w:ascii="Bookman Old Style" w:hAnsi="Bookman Old Style"/>
          <w:i/>
          <w:iCs/>
        </w:rPr>
        <w:t xml:space="preserve"> </w:t>
      </w:r>
      <w:r w:rsidR="00D73F15" w:rsidRPr="00A93AD0">
        <w:rPr>
          <w:rFonts w:ascii="Bookman Old Style" w:hAnsi="Bookman Old Style"/>
        </w:rPr>
        <w:t xml:space="preserve">mediante </w:t>
      </w:r>
      <w:r w:rsidR="00BD4C14">
        <w:rPr>
          <w:rFonts w:ascii="Bookman Old Style" w:hAnsi="Bookman Old Style"/>
        </w:rPr>
        <w:t>c</w:t>
      </w:r>
      <w:r w:rsidR="00D73F15" w:rsidRPr="00A93AD0">
        <w:rPr>
          <w:rFonts w:ascii="Bookman Old Style" w:hAnsi="Bookman Old Style"/>
        </w:rPr>
        <w:t>ircular</w:t>
      </w:r>
      <w:r w:rsidR="00D25431">
        <w:rPr>
          <w:rFonts w:ascii="Bookman Old Style" w:hAnsi="Bookman Old Style"/>
        </w:rPr>
        <w:t>es</w:t>
      </w:r>
      <w:r w:rsidR="00D73F15" w:rsidRPr="00A93AD0">
        <w:rPr>
          <w:rFonts w:ascii="Bookman Old Style" w:hAnsi="Bookman Old Style"/>
        </w:rPr>
        <w:t xml:space="preserve"> CREG</w:t>
      </w:r>
      <w:r w:rsidR="000863AB">
        <w:rPr>
          <w:rFonts w:ascii="Bookman Old Style" w:hAnsi="Bookman Old Style"/>
        </w:rPr>
        <w:t xml:space="preserve"> suscritas por el Director Ejecutivo</w:t>
      </w:r>
      <w:r w:rsidR="00D25431">
        <w:rPr>
          <w:rFonts w:ascii="Bookman Old Style" w:hAnsi="Bookman Old Style"/>
        </w:rPr>
        <w:t>.</w:t>
      </w:r>
    </w:p>
    <w:p w14:paraId="7A6EB155" w14:textId="3288040D" w:rsidR="00305C18" w:rsidRPr="00305C18" w:rsidRDefault="0058386E" w:rsidP="00305C18">
      <w:pPr>
        <w:pStyle w:val="Estilo2"/>
        <w:keepNext w:val="0"/>
        <w:numPr>
          <w:ilvl w:val="0"/>
          <w:numId w:val="17"/>
        </w:numPr>
        <w:tabs>
          <w:tab w:val="clear" w:pos="1440"/>
        </w:tabs>
        <w:spacing w:before="240" w:after="240"/>
      </w:pPr>
      <w:bookmarkStart w:id="2" w:name="_Ref140237418"/>
      <w:r>
        <w:t>C</w:t>
      </w:r>
      <w:r w:rsidR="00F73623">
        <w:t xml:space="preserve">osto </w:t>
      </w:r>
      <w:r>
        <w:t xml:space="preserve">asociado con la recuperación de los saldos de la opción tarifaria. </w:t>
      </w:r>
      <w:r w:rsidR="00661F09" w:rsidRPr="00661F09">
        <w:rPr>
          <w:b w:val="0"/>
          <w:bCs w:val="0"/>
        </w:rPr>
        <w:t>Adicióne</w:t>
      </w:r>
      <w:r w:rsidR="00661F09">
        <w:rPr>
          <w:b w:val="0"/>
          <w:bCs w:val="0"/>
        </w:rPr>
        <w:t>s</w:t>
      </w:r>
      <w:r w:rsidR="00661F09" w:rsidRPr="00661F09">
        <w:rPr>
          <w:b w:val="0"/>
          <w:bCs w:val="0"/>
        </w:rPr>
        <w:t>e el Anexo 3</w:t>
      </w:r>
      <w:r w:rsidR="00982BA3">
        <w:rPr>
          <w:b w:val="0"/>
          <w:bCs w:val="0"/>
        </w:rPr>
        <w:t xml:space="preserve">. </w:t>
      </w:r>
      <w:r w:rsidR="00982BA3" w:rsidRPr="00982BA3">
        <w:rPr>
          <w:b w:val="0"/>
          <w:bCs w:val="0"/>
        </w:rPr>
        <w:t>C</w:t>
      </w:r>
      <w:r w:rsidR="00F73623">
        <w:rPr>
          <w:b w:val="0"/>
          <w:bCs w:val="0"/>
        </w:rPr>
        <w:t xml:space="preserve">osto </w:t>
      </w:r>
      <w:r w:rsidR="00982BA3" w:rsidRPr="00982BA3">
        <w:rPr>
          <w:b w:val="0"/>
          <w:bCs w:val="0"/>
        </w:rPr>
        <w:t>asociado con la recuperación de los saldos de la opción tarifaria</w:t>
      </w:r>
      <w:r w:rsidR="00982BA3">
        <w:rPr>
          <w:b w:val="0"/>
          <w:bCs w:val="0"/>
        </w:rPr>
        <w:t xml:space="preserve"> a la Resolución CREG 119 de 2007, el cual quedará así:</w:t>
      </w:r>
      <w:bookmarkEnd w:id="2"/>
      <w:r w:rsidR="00982BA3">
        <w:rPr>
          <w:b w:val="0"/>
          <w:bCs w:val="0"/>
        </w:rPr>
        <w:t xml:space="preserve"> </w:t>
      </w:r>
      <w:r w:rsidR="00661F09">
        <w:t xml:space="preserve"> </w:t>
      </w:r>
    </w:p>
    <w:p w14:paraId="2E69953D" w14:textId="17F9544A" w:rsidR="00305C18" w:rsidRPr="00C224F1" w:rsidRDefault="00982BA3" w:rsidP="00435E4D">
      <w:pPr>
        <w:keepNext/>
        <w:keepLines/>
        <w:widowControl w:val="0"/>
        <w:spacing w:before="200" w:after="200"/>
        <w:ind w:left="709" w:right="45"/>
        <w:jc w:val="center"/>
        <w:rPr>
          <w:rFonts w:ascii="Bookman Old Style" w:hAnsi="Bookman Old Style" w:cs="Arial"/>
          <w:b/>
        </w:rPr>
      </w:pPr>
      <w:r w:rsidRPr="00134E77">
        <w:rPr>
          <w:rFonts w:ascii="Bookman Old Style" w:hAnsi="Bookman Old Style" w:cs="Arial"/>
          <w:b/>
        </w:rPr>
        <w:t>Anexo 3. C</w:t>
      </w:r>
      <w:r w:rsidR="00134E77">
        <w:rPr>
          <w:rFonts w:ascii="Bookman Old Style" w:hAnsi="Bookman Old Style" w:cs="Arial"/>
          <w:b/>
        </w:rPr>
        <w:t>osto</w:t>
      </w:r>
      <w:r w:rsidRPr="00134E77">
        <w:rPr>
          <w:rFonts w:ascii="Bookman Old Style" w:hAnsi="Bookman Old Style" w:cs="Arial"/>
          <w:b/>
        </w:rPr>
        <w:t xml:space="preserve"> asociado con la recuperación de los saldos de la </w:t>
      </w:r>
      <w:r w:rsidRPr="00C224F1">
        <w:rPr>
          <w:rFonts w:ascii="Bookman Old Style" w:hAnsi="Bookman Old Style" w:cs="Arial"/>
          <w:b/>
        </w:rPr>
        <w:t>opción tarifaria</w:t>
      </w:r>
    </w:p>
    <w:p w14:paraId="7480CC49" w14:textId="44BD4391" w:rsidR="00DE2B8F" w:rsidRPr="001500FB" w:rsidRDefault="00DE2B8F" w:rsidP="00A93AD0">
      <w:pPr>
        <w:pStyle w:val="Ttulo2"/>
      </w:pPr>
      <w:r w:rsidRPr="001500FB">
        <w:t>Cálculo de</w:t>
      </w:r>
      <w:r w:rsidR="00787DB4" w:rsidRPr="001500FB">
        <w:t xml:space="preserve">l Costo </w:t>
      </w:r>
      <w:r w:rsidR="00C1657F" w:rsidRPr="001500FB">
        <w:t>de Opción Tarifaria de mercado (</w:t>
      </w:r>
      <w:proofErr w:type="spellStart"/>
      <w:proofErr w:type="gramStart"/>
      <w:r w:rsidR="008667DC" w:rsidRPr="001500FB">
        <w:t>COT</w:t>
      </w:r>
      <w:r w:rsidR="002039F6" w:rsidRPr="00A93AD0">
        <w:rPr>
          <w:vertAlign w:val="subscript"/>
        </w:rPr>
        <w:t>n</w:t>
      </w:r>
      <w:r w:rsidR="008A1BC1" w:rsidRPr="00A93AD0">
        <w:rPr>
          <w:vertAlign w:val="subscript"/>
        </w:rPr>
        <w:t>,j</w:t>
      </w:r>
      <w:proofErr w:type="gramEnd"/>
      <w:r w:rsidR="008A1BC1" w:rsidRPr="00A93AD0">
        <w:rPr>
          <w:vertAlign w:val="subscript"/>
        </w:rPr>
        <w:t>,m</w:t>
      </w:r>
      <w:proofErr w:type="spellEnd"/>
      <w:r w:rsidR="008A1BC1" w:rsidRPr="001500FB">
        <w:t>)</w:t>
      </w:r>
      <w:r w:rsidRPr="001500FB">
        <w:t xml:space="preserve"> </w:t>
      </w:r>
    </w:p>
    <w:p w14:paraId="2B784B14" w14:textId="2157D48C" w:rsidR="005B7B2A" w:rsidRPr="00C224F1" w:rsidRDefault="00FF1AAE" w:rsidP="0080311A">
      <w:pPr>
        <w:widowControl w:val="0"/>
        <w:spacing w:before="200" w:after="200"/>
        <w:ind w:left="709" w:right="47"/>
        <w:jc w:val="both"/>
        <w:rPr>
          <w:rFonts w:ascii="Bookman Old Style" w:hAnsi="Bookman Old Style" w:cs="Arial"/>
          <w:bCs/>
        </w:rPr>
      </w:pPr>
      <w:r w:rsidRPr="00C224F1">
        <w:rPr>
          <w:rFonts w:ascii="Bookman Old Style" w:hAnsi="Bookman Old Style" w:cs="Arial"/>
          <w:bCs/>
        </w:rPr>
        <w:t>El Comité Asesor de Comercialización, CAC, en un plazo no superior a cinco (5) días hábiles contados a partir de día siguiente al de publicación de la presente resolución, deberá enviar a la CREG una propuesta de cálculo</w:t>
      </w:r>
      <w:r w:rsidR="0086649D" w:rsidRPr="00C224F1">
        <w:rPr>
          <w:rFonts w:ascii="Bookman Old Style" w:hAnsi="Bookman Old Style" w:cs="Arial"/>
          <w:bCs/>
        </w:rPr>
        <w:t xml:space="preserve"> y publicación </w:t>
      </w:r>
      <w:r w:rsidRPr="00C224F1">
        <w:rPr>
          <w:rFonts w:ascii="Bookman Old Style" w:hAnsi="Bookman Old Style" w:cs="Arial"/>
          <w:bCs/>
        </w:rPr>
        <w:t>del costo asociado con la recuperación del saldo de la opción tarifaria en un mercado determinado</w:t>
      </w:r>
      <w:r w:rsidR="00C1017F" w:rsidRPr="00C224F1">
        <w:rPr>
          <w:rFonts w:ascii="Bookman Old Style" w:hAnsi="Bookman Old Style" w:cs="Arial"/>
          <w:bCs/>
        </w:rPr>
        <w:t xml:space="preserve">, </w:t>
      </w:r>
      <w:proofErr w:type="spellStart"/>
      <w:proofErr w:type="gramStart"/>
      <w:r w:rsidR="00C1017F" w:rsidRPr="00A93AD0">
        <w:rPr>
          <w:rFonts w:ascii="Bookman Old Style" w:hAnsi="Bookman Old Style" w:cs="Arial"/>
          <w:bCs/>
          <w:i/>
          <w:iCs/>
        </w:rPr>
        <w:t>COT</w:t>
      </w:r>
      <w:r w:rsidR="007E2D40" w:rsidRPr="00A93AD0">
        <w:rPr>
          <w:rFonts w:ascii="Bookman Old Style" w:hAnsi="Bookman Old Style" w:cs="Arial"/>
          <w:bCs/>
          <w:i/>
          <w:iCs/>
          <w:vertAlign w:val="subscript"/>
        </w:rPr>
        <w:t>n,j</w:t>
      </w:r>
      <w:proofErr w:type="gramEnd"/>
      <w:r w:rsidR="007E2D40" w:rsidRPr="00A93AD0">
        <w:rPr>
          <w:rFonts w:ascii="Bookman Old Style" w:hAnsi="Bookman Old Style" w:cs="Arial"/>
          <w:bCs/>
          <w:i/>
          <w:iCs/>
          <w:vertAlign w:val="subscript"/>
        </w:rPr>
        <w:t>,m</w:t>
      </w:r>
      <w:proofErr w:type="spellEnd"/>
      <w:r w:rsidR="007E2D40" w:rsidRPr="00C224F1">
        <w:rPr>
          <w:rFonts w:ascii="Bookman Old Style" w:hAnsi="Bookman Old Style" w:cs="Arial"/>
          <w:bCs/>
        </w:rPr>
        <w:t xml:space="preserve">, </w:t>
      </w:r>
      <w:r w:rsidR="000D32C6" w:rsidRPr="00C224F1">
        <w:rPr>
          <w:rFonts w:ascii="Bookman Old Style" w:hAnsi="Bookman Old Style" w:cs="Arial"/>
          <w:bCs/>
        </w:rPr>
        <w:t xml:space="preserve">con base en los siguientes </w:t>
      </w:r>
      <w:r w:rsidR="005B7B2A" w:rsidRPr="00C224F1">
        <w:rPr>
          <w:rFonts w:ascii="Bookman Old Style" w:hAnsi="Bookman Old Style" w:cs="Arial"/>
          <w:bCs/>
        </w:rPr>
        <w:t>lineamientos:</w:t>
      </w:r>
    </w:p>
    <w:p w14:paraId="03D01830" w14:textId="3F52DE69" w:rsidR="005B7B2A" w:rsidRPr="00C224F1" w:rsidRDefault="0042527D" w:rsidP="000C5B4F">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sidRPr="00C224F1">
        <w:rPr>
          <w:rFonts w:ascii="Bookman Old Style" w:hAnsi="Bookman Old Style" w:cs="Arial"/>
          <w:bCs/>
          <w:sz w:val="24"/>
          <w:szCs w:val="24"/>
        </w:rPr>
        <w:t xml:space="preserve">El costo </w:t>
      </w:r>
      <w:r w:rsidR="00A169A4" w:rsidRPr="00C224F1">
        <w:rPr>
          <w:rFonts w:ascii="Bookman Old Style" w:hAnsi="Bookman Old Style" w:cs="Arial"/>
          <w:bCs/>
          <w:sz w:val="24"/>
          <w:szCs w:val="24"/>
        </w:rPr>
        <w:t xml:space="preserve">asociado con la recuperación del saldo </w:t>
      </w:r>
      <w:r w:rsidR="009A3748" w:rsidRPr="00C224F1">
        <w:rPr>
          <w:rFonts w:ascii="Bookman Old Style" w:hAnsi="Bookman Old Style" w:cs="Arial"/>
          <w:bCs/>
          <w:sz w:val="24"/>
          <w:szCs w:val="24"/>
        </w:rPr>
        <w:t>de la opción tarifaria en un mercado</w:t>
      </w:r>
      <w:r w:rsidR="00E11D29" w:rsidRPr="00C224F1">
        <w:rPr>
          <w:rFonts w:ascii="Bookman Old Style" w:hAnsi="Bookman Old Style" w:cs="Arial"/>
          <w:bCs/>
          <w:sz w:val="24"/>
          <w:szCs w:val="24"/>
        </w:rPr>
        <w:t xml:space="preserve"> para un mes y nivel de tensión </w:t>
      </w:r>
      <w:r w:rsidR="003214B2" w:rsidRPr="00C224F1">
        <w:rPr>
          <w:rFonts w:ascii="Bookman Old Style" w:hAnsi="Bookman Old Style" w:cs="Arial"/>
          <w:bCs/>
          <w:sz w:val="24"/>
          <w:szCs w:val="24"/>
        </w:rPr>
        <w:t>d</w:t>
      </w:r>
      <w:r w:rsidR="00E11D29" w:rsidRPr="00C224F1">
        <w:rPr>
          <w:rFonts w:ascii="Bookman Old Style" w:hAnsi="Bookman Old Style" w:cs="Arial"/>
          <w:bCs/>
          <w:sz w:val="24"/>
          <w:szCs w:val="24"/>
        </w:rPr>
        <w:t>eterminado</w:t>
      </w:r>
      <w:r w:rsidR="00CC7E85" w:rsidRPr="00C224F1">
        <w:rPr>
          <w:rFonts w:ascii="Bookman Old Style" w:hAnsi="Bookman Old Style" w:cs="Arial"/>
          <w:bCs/>
          <w:sz w:val="24"/>
          <w:szCs w:val="24"/>
        </w:rPr>
        <w:t>,</w:t>
      </w:r>
      <w:r w:rsidR="009A3748" w:rsidRPr="00C224F1">
        <w:rPr>
          <w:rFonts w:ascii="Bookman Old Style" w:hAnsi="Bookman Old Style" w:cs="Arial"/>
          <w:bCs/>
          <w:sz w:val="24"/>
          <w:szCs w:val="24"/>
        </w:rPr>
        <w:t xml:space="preserve"> d</w:t>
      </w:r>
      <w:r w:rsidR="00A34644" w:rsidRPr="00A93AD0">
        <w:rPr>
          <w:rFonts w:ascii="Bookman Old Style" w:hAnsi="Bookman Old Style" w:cs="Arial"/>
          <w:bCs/>
          <w:sz w:val="24"/>
          <w:szCs w:val="24"/>
        </w:rPr>
        <w:t>ebe resulta</w:t>
      </w:r>
      <w:r w:rsidR="009A3748" w:rsidRPr="00C224F1">
        <w:rPr>
          <w:rFonts w:ascii="Bookman Old Style" w:hAnsi="Bookman Old Style" w:cs="Arial"/>
          <w:bCs/>
          <w:sz w:val="24"/>
          <w:szCs w:val="24"/>
        </w:rPr>
        <w:t>r</w:t>
      </w:r>
      <w:r w:rsidR="00A34644" w:rsidRPr="00A93AD0">
        <w:rPr>
          <w:rFonts w:ascii="Bookman Old Style" w:hAnsi="Bookman Old Style" w:cs="Arial"/>
          <w:bCs/>
          <w:sz w:val="24"/>
          <w:szCs w:val="24"/>
        </w:rPr>
        <w:t xml:space="preserve"> de la ponderación de </w:t>
      </w:r>
      <w:r w:rsidR="003C3D0A" w:rsidRPr="00A93AD0">
        <w:rPr>
          <w:rFonts w:ascii="Bookman Old Style" w:hAnsi="Bookman Old Style" w:cs="Arial"/>
          <w:bCs/>
          <w:sz w:val="24"/>
          <w:szCs w:val="24"/>
        </w:rPr>
        <w:t xml:space="preserve">los </w:t>
      </w:r>
      <w:r w:rsidR="009A3748" w:rsidRPr="00C224F1">
        <w:rPr>
          <w:rFonts w:ascii="Bookman Old Style" w:hAnsi="Bookman Old Style" w:cs="Arial"/>
          <w:bCs/>
          <w:sz w:val="24"/>
          <w:szCs w:val="24"/>
        </w:rPr>
        <w:t xml:space="preserve">correspondientes </w:t>
      </w:r>
      <w:r w:rsidR="003C3D0A" w:rsidRPr="00A93AD0">
        <w:rPr>
          <w:rFonts w:ascii="Bookman Old Style" w:hAnsi="Bookman Old Style" w:cs="Arial"/>
          <w:bCs/>
          <w:sz w:val="24"/>
          <w:szCs w:val="24"/>
        </w:rPr>
        <w:t xml:space="preserve">costos de los comercializadores </w:t>
      </w:r>
      <w:r w:rsidR="00E248DF" w:rsidRPr="00A93AD0">
        <w:rPr>
          <w:rFonts w:ascii="Bookman Old Style" w:hAnsi="Bookman Old Style" w:cs="Arial"/>
          <w:bCs/>
          <w:i/>
          <w:iCs/>
          <w:sz w:val="24"/>
          <w:szCs w:val="24"/>
        </w:rPr>
        <w:t>i</w:t>
      </w:r>
      <w:r w:rsidR="00E248DF" w:rsidRPr="00A93AD0">
        <w:rPr>
          <w:rFonts w:ascii="Bookman Old Style" w:hAnsi="Bookman Old Style" w:cs="Arial"/>
          <w:bCs/>
          <w:sz w:val="24"/>
          <w:szCs w:val="24"/>
        </w:rPr>
        <w:t xml:space="preserve"> que se acojan a lo establecido en esta resolución </w:t>
      </w:r>
      <w:r w:rsidR="001A4D66" w:rsidRPr="00A93AD0">
        <w:rPr>
          <w:rFonts w:ascii="Bookman Old Style" w:hAnsi="Bookman Old Style" w:cs="Arial"/>
          <w:bCs/>
          <w:sz w:val="24"/>
          <w:szCs w:val="24"/>
        </w:rPr>
        <w:t xml:space="preserve">(variables </w:t>
      </w:r>
      <w:proofErr w:type="spellStart"/>
      <w:proofErr w:type="gramStart"/>
      <w:r w:rsidR="001A4D66" w:rsidRPr="00A93AD0">
        <w:rPr>
          <w:rFonts w:ascii="Bookman Old Style" w:hAnsi="Bookman Old Style"/>
          <w:i/>
          <w:iCs/>
          <w:sz w:val="24"/>
          <w:szCs w:val="24"/>
        </w:rPr>
        <w:t>COT</w:t>
      </w:r>
      <w:r w:rsidR="001A4D66" w:rsidRPr="00A93AD0">
        <w:rPr>
          <w:rFonts w:ascii="Bookman Old Style" w:hAnsi="Bookman Old Style"/>
          <w:i/>
          <w:iCs/>
          <w:sz w:val="24"/>
          <w:szCs w:val="24"/>
          <w:vertAlign w:val="subscript"/>
        </w:rPr>
        <w:t>n,i</w:t>
      </w:r>
      <w:proofErr w:type="gramEnd"/>
      <w:r w:rsidR="001A4D66" w:rsidRPr="00A93AD0">
        <w:rPr>
          <w:rFonts w:ascii="Bookman Old Style" w:hAnsi="Bookman Old Style"/>
          <w:i/>
          <w:iCs/>
          <w:sz w:val="24"/>
          <w:szCs w:val="24"/>
          <w:vertAlign w:val="subscript"/>
        </w:rPr>
        <w:t>,j,m</w:t>
      </w:r>
      <w:proofErr w:type="spellEnd"/>
      <w:r w:rsidR="001A4D66" w:rsidRPr="00A93AD0">
        <w:rPr>
          <w:rFonts w:ascii="Bookman Old Style" w:hAnsi="Bookman Old Style"/>
          <w:i/>
          <w:iCs/>
          <w:sz w:val="24"/>
          <w:szCs w:val="24"/>
        </w:rPr>
        <w:t xml:space="preserve">) </w:t>
      </w:r>
      <w:r w:rsidR="003C3D0A" w:rsidRPr="00A93AD0">
        <w:rPr>
          <w:rFonts w:ascii="Bookman Old Style" w:hAnsi="Bookman Old Style" w:cs="Arial"/>
          <w:bCs/>
          <w:sz w:val="24"/>
          <w:szCs w:val="24"/>
        </w:rPr>
        <w:t>en un mercado determinado</w:t>
      </w:r>
      <w:r w:rsidR="009A3748" w:rsidRPr="00C224F1">
        <w:rPr>
          <w:rFonts w:ascii="Bookman Old Style" w:hAnsi="Bookman Old Style" w:cs="Arial"/>
          <w:bCs/>
          <w:sz w:val="24"/>
          <w:szCs w:val="24"/>
        </w:rPr>
        <w:t xml:space="preserve">, con base en la energía vendida </w:t>
      </w:r>
      <w:r w:rsidR="00517C0D" w:rsidRPr="00C224F1">
        <w:rPr>
          <w:rFonts w:ascii="Bookman Old Style" w:hAnsi="Bookman Old Style" w:cs="Arial"/>
          <w:bCs/>
          <w:sz w:val="24"/>
          <w:szCs w:val="24"/>
        </w:rPr>
        <w:t xml:space="preserve">en el mercado regulado </w:t>
      </w:r>
      <w:r w:rsidR="00521811" w:rsidRPr="00C224F1">
        <w:rPr>
          <w:rFonts w:ascii="Bookman Old Style" w:hAnsi="Bookman Old Style" w:cs="Arial"/>
          <w:bCs/>
          <w:sz w:val="24"/>
          <w:szCs w:val="24"/>
        </w:rPr>
        <w:t xml:space="preserve">por </w:t>
      </w:r>
      <w:r w:rsidR="00517C0D" w:rsidRPr="00C224F1">
        <w:rPr>
          <w:rFonts w:ascii="Bookman Old Style" w:hAnsi="Bookman Old Style" w:cs="Arial"/>
          <w:bCs/>
          <w:sz w:val="24"/>
          <w:szCs w:val="24"/>
        </w:rPr>
        <w:t xml:space="preserve">parte de </w:t>
      </w:r>
      <w:r w:rsidR="00521811" w:rsidRPr="00C224F1">
        <w:rPr>
          <w:rFonts w:ascii="Bookman Old Style" w:hAnsi="Bookman Old Style" w:cs="Arial"/>
          <w:bCs/>
          <w:sz w:val="24"/>
          <w:szCs w:val="24"/>
        </w:rPr>
        <w:t xml:space="preserve">cada uno de los comercializadores objeto </w:t>
      </w:r>
      <w:r w:rsidR="001F5C9F" w:rsidRPr="00C224F1">
        <w:rPr>
          <w:rFonts w:ascii="Bookman Old Style" w:hAnsi="Bookman Old Style" w:cs="Arial"/>
          <w:bCs/>
          <w:sz w:val="24"/>
          <w:szCs w:val="24"/>
        </w:rPr>
        <w:t>de</w:t>
      </w:r>
      <w:r w:rsidR="00521811" w:rsidRPr="00C224F1">
        <w:rPr>
          <w:rFonts w:ascii="Bookman Old Style" w:hAnsi="Bookman Old Style" w:cs="Arial"/>
          <w:bCs/>
          <w:sz w:val="24"/>
          <w:szCs w:val="24"/>
        </w:rPr>
        <w:t xml:space="preserve"> la ponderación</w:t>
      </w:r>
      <w:r w:rsidR="002A32FE" w:rsidRPr="00A93AD0">
        <w:rPr>
          <w:rFonts w:ascii="Bookman Old Style" w:hAnsi="Bookman Old Style" w:cs="Arial"/>
          <w:bCs/>
          <w:sz w:val="24"/>
          <w:szCs w:val="24"/>
        </w:rPr>
        <w:t>.</w:t>
      </w:r>
    </w:p>
    <w:p w14:paraId="572CF83C" w14:textId="4181CBF6" w:rsidR="009A3748" w:rsidRDefault="003214B2" w:rsidP="000C5B4F">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sidRPr="00C224F1">
        <w:rPr>
          <w:rFonts w:ascii="Bookman Old Style" w:hAnsi="Bookman Old Style" w:cs="Arial"/>
          <w:bCs/>
          <w:sz w:val="24"/>
          <w:szCs w:val="24"/>
        </w:rPr>
        <w:t xml:space="preserve">La metodología deberá </w:t>
      </w:r>
      <w:r w:rsidR="00F33A10" w:rsidRPr="00C224F1">
        <w:rPr>
          <w:rFonts w:ascii="Bookman Old Style" w:hAnsi="Bookman Old Style" w:cs="Arial"/>
          <w:bCs/>
          <w:sz w:val="24"/>
          <w:szCs w:val="24"/>
        </w:rPr>
        <w:t xml:space="preserve">ser replicable </w:t>
      </w:r>
      <w:r w:rsidR="004C62A1" w:rsidRPr="00C224F1">
        <w:rPr>
          <w:rFonts w:ascii="Bookman Old Style" w:hAnsi="Bookman Old Style" w:cs="Arial"/>
          <w:bCs/>
          <w:sz w:val="24"/>
          <w:szCs w:val="24"/>
        </w:rPr>
        <w:t xml:space="preserve">por los agentes </w:t>
      </w:r>
      <w:r w:rsidR="00804633" w:rsidRPr="00C224F1">
        <w:rPr>
          <w:rFonts w:ascii="Bookman Old Style" w:hAnsi="Bookman Old Style" w:cs="Arial"/>
          <w:bCs/>
          <w:sz w:val="24"/>
          <w:szCs w:val="24"/>
        </w:rPr>
        <w:t xml:space="preserve">que se hayan </w:t>
      </w:r>
      <w:r w:rsidR="00804633" w:rsidRPr="00C224F1">
        <w:rPr>
          <w:rFonts w:ascii="Bookman Old Style" w:hAnsi="Bookman Old Style" w:cs="Arial"/>
          <w:bCs/>
          <w:sz w:val="24"/>
          <w:szCs w:val="24"/>
        </w:rPr>
        <w:lastRenderedPageBreak/>
        <w:t>acogido a</w:t>
      </w:r>
      <w:r w:rsidR="00AD0619" w:rsidRPr="00C224F1">
        <w:rPr>
          <w:rFonts w:ascii="Bookman Old Style" w:hAnsi="Bookman Old Style" w:cs="Arial"/>
          <w:bCs/>
          <w:sz w:val="24"/>
          <w:szCs w:val="24"/>
        </w:rPr>
        <w:t xml:space="preserve">l mutuo acuerdo, para lo cual se debe considerar </w:t>
      </w:r>
      <w:r w:rsidR="00A07C55" w:rsidRPr="00C224F1">
        <w:rPr>
          <w:rFonts w:ascii="Bookman Old Style" w:hAnsi="Bookman Old Style" w:cs="Arial"/>
          <w:bCs/>
          <w:sz w:val="24"/>
          <w:szCs w:val="24"/>
        </w:rPr>
        <w:t xml:space="preserve">lo pertinente para </w:t>
      </w:r>
      <w:r w:rsidR="00AD0619" w:rsidRPr="00C224F1">
        <w:rPr>
          <w:rFonts w:ascii="Bookman Old Style" w:hAnsi="Bookman Old Style" w:cs="Arial"/>
          <w:bCs/>
          <w:sz w:val="24"/>
          <w:szCs w:val="24"/>
        </w:rPr>
        <w:t>el intercambio de información que se considere relevante para tal fin.</w:t>
      </w:r>
    </w:p>
    <w:p w14:paraId="479BD40A" w14:textId="517544FC" w:rsidR="00BD5292" w:rsidRDefault="00BD5292" w:rsidP="00BD5292">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Pr>
          <w:rFonts w:ascii="Bookman Old Style" w:hAnsi="Bookman Old Style" w:cs="Arial"/>
          <w:bCs/>
          <w:sz w:val="24"/>
          <w:szCs w:val="24"/>
        </w:rPr>
        <w:t xml:space="preserve">El cálculo propuesto por el CAC podrá considerar las particularidades de los mercados de </w:t>
      </w:r>
      <w:r w:rsidR="00C12D90">
        <w:rPr>
          <w:rFonts w:ascii="Bookman Old Style" w:hAnsi="Bookman Old Style" w:cs="Arial"/>
          <w:bCs/>
          <w:sz w:val="24"/>
          <w:szCs w:val="24"/>
        </w:rPr>
        <w:t>comercialización,</w:t>
      </w:r>
      <w:r>
        <w:rPr>
          <w:rFonts w:ascii="Bookman Old Style" w:hAnsi="Bookman Old Style" w:cs="Arial"/>
          <w:bCs/>
          <w:sz w:val="24"/>
          <w:szCs w:val="24"/>
        </w:rPr>
        <w:t xml:space="preserve"> como </w:t>
      </w:r>
      <w:r w:rsidR="00C12D90">
        <w:rPr>
          <w:rFonts w:ascii="Bookman Old Style" w:hAnsi="Bookman Old Style" w:cs="Arial"/>
          <w:bCs/>
          <w:sz w:val="24"/>
          <w:szCs w:val="24"/>
        </w:rPr>
        <w:t>lo pueden ser</w:t>
      </w:r>
      <w:r>
        <w:rPr>
          <w:rFonts w:ascii="Bookman Old Style" w:hAnsi="Bookman Old Style" w:cs="Arial"/>
          <w:bCs/>
          <w:sz w:val="24"/>
          <w:szCs w:val="24"/>
        </w:rPr>
        <w:t xml:space="preserve"> ciclos de facturación, niveles de tensión, entre otros.</w:t>
      </w:r>
    </w:p>
    <w:p w14:paraId="2826455D" w14:textId="759713BF" w:rsidR="007F700F" w:rsidRPr="00C224F1" w:rsidRDefault="00D04E28" w:rsidP="000C5B4F">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sidRPr="00C224F1">
        <w:rPr>
          <w:rFonts w:ascii="Bookman Old Style" w:hAnsi="Bookman Old Style" w:cs="Arial"/>
          <w:bCs/>
          <w:sz w:val="24"/>
          <w:szCs w:val="24"/>
        </w:rPr>
        <w:t xml:space="preserve">Se deberá definir una fecha máxima de entrega de la variable </w:t>
      </w:r>
      <w:proofErr w:type="spellStart"/>
      <w:proofErr w:type="gramStart"/>
      <w:r w:rsidRPr="00C224F1">
        <w:rPr>
          <w:rFonts w:ascii="Bookman Old Style" w:hAnsi="Bookman Old Style"/>
          <w:i/>
          <w:iCs/>
          <w:sz w:val="24"/>
          <w:szCs w:val="24"/>
        </w:rPr>
        <w:t>COT</w:t>
      </w:r>
      <w:r w:rsidRPr="00C224F1">
        <w:rPr>
          <w:rFonts w:ascii="Bookman Old Style" w:hAnsi="Bookman Old Style"/>
          <w:i/>
          <w:iCs/>
          <w:sz w:val="24"/>
          <w:szCs w:val="24"/>
          <w:vertAlign w:val="subscript"/>
        </w:rPr>
        <w:t>n,i</w:t>
      </w:r>
      <w:proofErr w:type="gramEnd"/>
      <w:r w:rsidRPr="00C224F1">
        <w:rPr>
          <w:rFonts w:ascii="Bookman Old Style" w:hAnsi="Bookman Old Style"/>
          <w:i/>
          <w:iCs/>
          <w:sz w:val="24"/>
          <w:szCs w:val="24"/>
          <w:vertAlign w:val="subscript"/>
        </w:rPr>
        <w:t>,j,m</w:t>
      </w:r>
      <w:proofErr w:type="spellEnd"/>
      <w:r w:rsidRPr="00C224F1">
        <w:rPr>
          <w:rFonts w:ascii="Bookman Old Style" w:hAnsi="Bookman Old Style"/>
          <w:i/>
          <w:iCs/>
          <w:sz w:val="24"/>
          <w:szCs w:val="24"/>
          <w:vertAlign w:val="subscript"/>
        </w:rPr>
        <w:t xml:space="preserve"> </w:t>
      </w:r>
      <w:r w:rsidRPr="00A93AD0">
        <w:rPr>
          <w:rFonts w:ascii="Bookman Old Style" w:hAnsi="Bookman Old Style"/>
          <w:sz w:val="24"/>
          <w:szCs w:val="24"/>
        </w:rPr>
        <w:t>por parte de cada comercial</w:t>
      </w:r>
      <w:r w:rsidRPr="00C224F1">
        <w:rPr>
          <w:rFonts w:ascii="Bookman Old Style" w:hAnsi="Bookman Old Style"/>
          <w:sz w:val="24"/>
          <w:szCs w:val="24"/>
        </w:rPr>
        <w:t>i</w:t>
      </w:r>
      <w:r w:rsidRPr="00A93AD0">
        <w:rPr>
          <w:rFonts w:ascii="Bookman Old Style" w:hAnsi="Bookman Old Style"/>
          <w:sz w:val="24"/>
          <w:szCs w:val="24"/>
        </w:rPr>
        <w:t>zador</w:t>
      </w:r>
      <w:r w:rsidRPr="00C224F1">
        <w:rPr>
          <w:rFonts w:ascii="Bookman Old Style" w:hAnsi="Bookman Old Style"/>
          <w:sz w:val="24"/>
          <w:szCs w:val="24"/>
        </w:rPr>
        <w:t xml:space="preserve">, el medio </w:t>
      </w:r>
      <w:r w:rsidR="00D36196" w:rsidRPr="00C224F1">
        <w:rPr>
          <w:rFonts w:ascii="Bookman Old Style" w:hAnsi="Bookman Old Style"/>
          <w:sz w:val="24"/>
          <w:szCs w:val="24"/>
        </w:rPr>
        <w:t>de entrega</w:t>
      </w:r>
      <w:r w:rsidR="00D23583" w:rsidRPr="00C224F1">
        <w:rPr>
          <w:rFonts w:ascii="Bookman Old Style" w:hAnsi="Bookman Old Style"/>
          <w:sz w:val="24"/>
          <w:szCs w:val="24"/>
        </w:rPr>
        <w:t>, el responsable de cálculo del costo de mercado y la fecha máxima de</w:t>
      </w:r>
      <w:r w:rsidR="00DC2BAF" w:rsidRPr="00C224F1">
        <w:rPr>
          <w:rFonts w:ascii="Bookman Old Style" w:hAnsi="Bookman Old Style"/>
          <w:sz w:val="24"/>
          <w:szCs w:val="24"/>
        </w:rPr>
        <w:t xml:space="preserve"> su</w:t>
      </w:r>
      <w:r w:rsidR="00D23583" w:rsidRPr="00C224F1">
        <w:rPr>
          <w:rFonts w:ascii="Bookman Old Style" w:hAnsi="Bookman Old Style"/>
          <w:sz w:val="24"/>
          <w:szCs w:val="24"/>
        </w:rPr>
        <w:t xml:space="preserve"> publicación que no podrá superar el día 14 calendario de cada mes.</w:t>
      </w:r>
      <w:r w:rsidR="000F43C1">
        <w:rPr>
          <w:rFonts w:ascii="Bookman Old Style" w:hAnsi="Bookman Old Style"/>
          <w:sz w:val="24"/>
          <w:szCs w:val="24"/>
        </w:rPr>
        <w:t xml:space="preserve"> También se deberá</w:t>
      </w:r>
      <w:r w:rsidR="002F6124">
        <w:rPr>
          <w:rFonts w:ascii="Bookman Old Style" w:hAnsi="Bookman Old Style"/>
          <w:sz w:val="24"/>
          <w:szCs w:val="24"/>
        </w:rPr>
        <w:t>n</w:t>
      </w:r>
      <w:r w:rsidR="000F43C1">
        <w:rPr>
          <w:rFonts w:ascii="Bookman Old Style" w:hAnsi="Bookman Old Style"/>
          <w:sz w:val="24"/>
          <w:szCs w:val="24"/>
        </w:rPr>
        <w:t xml:space="preserve"> </w:t>
      </w:r>
      <w:r w:rsidR="001A70BB">
        <w:rPr>
          <w:rFonts w:ascii="Bookman Old Style" w:hAnsi="Bookman Old Style"/>
          <w:sz w:val="24"/>
          <w:szCs w:val="24"/>
        </w:rPr>
        <w:t>definir</w:t>
      </w:r>
      <w:r w:rsidR="002F6124">
        <w:rPr>
          <w:rFonts w:ascii="Bookman Old Style" w:hAnsi="Bookman Old Style"/>
          <w:sz w:val="24"/>
          <w:szCs w:val="24"/>
        </w:rPr>
        <w:t xml:space="preserve"> los datos a utilizar en caso de no reporte de información. </w:t>
      </w:r>
    </w:p>
    <w:p w14:paraId="575D0638" w14:textId="57432B8D" w:rsidR="00D04E28" w:rsidRPr="00C224F1" w:rsidRDefault="00D87F2E" w:rsidP="000C5B4F">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sidRPr="00C224F1">
        <w:rPr>
          <w:rFonts w:ascii="Bookman Old Style" w:hAnsi="Bookman Old Style"/>
          <w:sz w:val="24"/>
          <w:szCs w:val="24"/>
        </w:rPr>
        <w:t>En</w:t>
      </w:r>
      <w:r w:rsidR="007F700F" w:rsidRPr="00C224F1">
        <w:rPr>
          <w:rFonts w:ascii="Bookman Old Style" w:hAnsi="Bookman Old Style"/>
          <w:sz w:val="24"/>
          <w:szCs w:val="24"/>
        </w:rPr>
        <w:t xml:space="preserve"> el cálculo de la variable </w:t>
      </w:r>
      <w:proofErr w:type="spellStart"/>
      <w:proofErr w:type="gramStart"/>
      <w:r w:rsidR="00EC2C47" w:rsidRPr="00C224F1">
        <w:rPr>
          <w:rFonts w:ascii="Bookman Old Style" w:hAnsi="Bookman Old Style"/>
          <w:i/>
          <w:iCs/>
          <w:sz w:val="24"/>
          <w:szCs w:val="24"/>
        </w:rPr>
        <w:t>COT</w:t>
      </w:r>
      <w:r w:rsidR="00EC2C47" w:rsidRPr="00C224F1">
        <w:rPr>
          <w:rFonts w:ascii="Bookman Old Style" w:hAnsi="Bookman Old Style"/>
          <w:i/>
          <w:iCs/>
          <w:sz w:val="24"/>
          <w:szCs w:val="24"/>
          <w:vertAlign w:val="subscript"/>
        </w:rPr>
        <w:t>n,j</w:t>
      </w:r>
      <w:proofErr w:type="gramEnd"/>
      <w:r w:rsidR="00EC2C47" w:rsidRPr="00C224F1">
        <w:rPr>
          <w:rFonts w:ascii="Bookman Old Style" w:hAnsi="Bookman Old Style"/>
          <w:i/>
          <w:iCs/>
          <w:sz w:val="24"/>
          <w:szCs w:val="24"/>
          <w:vertAlign w:val="subscript"/>
        </w:rPr>
        <w:t>,m</w:t>
      </w:r>
      <w:proofErr w:type="spellEnd"/>
      <w:r w:rsidR="00EC2C47" w:rsidRPr="00C224F1">
        <w:rPr>
          <w:rFonts w:ascii="Bookman Old Style" w:hAnsi="Bookman Old Style"/>
          <w:i/>
          <w:iCs/>
          <w:sz w:val="24"/>
          <w:szCs w:val="24"/>
          <w:vertAlign w:val="subscript"/>
        </w:rPr>
        <w:t xml:space="preserve"> </w:t>
      </w:r>
      <w:r w:rsidR="00D07531" w:rsidRPr="00A93AD0">
        <w:rPr>
          <w:rFonts w:ascii="Bookman Old Style" w:hAnsi="Bookman Old Style"/>
          <w:sz w:val="24"/>
          <w:szCs w:val="24"/>
        </w:rPr>
        <w:t xml:space="preserve"> </w:t>
      </w:r>
      <w:r w:rsidR="00D07531" w:rsidRPr="00C224F1">
        <w:rPr>
          <w:rFonts w:ascii="Bookman Old Style" w:hAnsi="Bookman Old Style"/>
          <w:sz w:val="24"/>
          <w:szCs w:val="24"/>
        </w:rPr>
        <w:t xml:space="preserve">se deberá </w:t>
      </w:r>
      <w:r w:rsidRPr="00C224F1">
        <w:rPr>
          <w:rFonts w:ascii="Bookman Old Style" w:hAnsi="Bookman Old Style"/>
          <w:sz w:val="24"/>
          <w:szCs w:val="24"/>
        </w:rPr>
        <w:t xml:space="preserve">excluir la energía </w:t>
      </w:r>
      <w:r w:rsidR="000F5FF3" w:rsidRPr="00C224F1">
        <w:rPr>
          <w:rFonts w:ascii="Bookman Old Style" w:hAnsi="Bookman Old Style"/>
          <w:sz w:val="24"/>
          <w:szCs w:val="24"/>
        </w:rPr>
        <w:t>de los usuarios exentos de pago</w:t>
      </w:r>
      <w:r w:rsidR="00922DF2" w:rsidRPr="00C224F1">
        <w:rPr>
          <w:rFonts w:ascii="Bookman Old Style" w:hAnsi="Bookman Old Style"/>
          <w:sz w:val="24"/>
          <w:szCs w:val="24"/>
        </w:rPr>
        <w:t>,</w:t>
      </w:r>
      <w:r w:rsidR="000F5FF3" w:rsidRPr="00C224F1">
        <w:rPr>
          <w:rFonts w:ascii="Bookman Old Style" w:hAnsi="Bookman Old Style"/>
          <w:sz w:val="24"/>
          <w:szCs w:val="24"/>
        </w:rPr>
        <w:t xml:space="preserve"> </w:t>
      </w:r>
      <w:r w:rsidR="00906935" w:rsidRPr="00C224F1">
        <w:rPr>
          <w:rFonts w:ascii="Bookman Old Style" w:hAnsi="Bookman Old Style"/>
          <w:sz w:val="24"/>
          <w:szCs w:val="24"/>
        </w:rPr>
        <w:t>así como se deberá tener en cuenta la energía de los usuarios que cambien de nivel de tensión</w:t>
      </w:r>
      <w:r w:rsidR="000F5FF3" w:rsidRPr="00C224F1">
        <w:rPr>
          <w:rFonts w:ascii="Bookman Old Style" w:hAnsi="Bookman Old Style"/>
          <w:sz w:val="24"/>
          <w:szCs w:val="24"/>
        </w:rPr>
        <w:t>.</w:t>
      </w:r>
    </w:p>
    <w:p w14:paraId="7A3E9476" w14:textId="3D2E27E5" w:rsidR="000F3F47" w:rsidRPr="00D07531" w:rsidRDefault="000F3F47" w:rsidP="000C5B4F">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Pr>
          <w:rFonts w:ascii="Bookman Old Style" w:hAnsi="Bookman Old Style"/>
          <w:sz w:val="24"/>
          <w:szCs w:val="24"/>
        </w:rPr>
        <w:t xml:space="preserve">Se deberá proponer una metodología de ajuste de saldos </w:t>
      </w:r>
      <w:r w:rsidR="00BB48C6">
        <w:rPr>
          <w:rFonts w:ascii="Bookman Old Style" w:hAnsi="Bookman Old Style"/>
          <w:sz w:val="24"/>
          <w:szCs w:val="24"/>
        </w:rPr>
        <w:t xml:space="preserve">producidos entre la fecha de la </w:t>
      </w:r>
      <w:r>
        <w:rPr>
          <w:rFonts w:ascii="Bookman Old Style" w:hAnsi="Bookman Old Style"/>
          <w:sz w:val="24"/>
          <w:szCs w:val="24"/>
        </w:rPr>
        <w:t>certifica</w:t>
      </w:r>
      <w:r w:rsidR="00BB48C6">
        <w:rPr>
          <w:rFonts w:ascii="Bookman Old Style" w:hAnsi="Bookman Old Style"/>
          <w:sz w:val="24"/>
          <w:szCs w:val="24"/>
        </w:rPr>
        <w:t xml:space="preserve">ción </w:t>
      </w:r>
      <w:r w:rsidR="00155478">
        <w:rPr>
          <w:rFonts w:ascii="Bookman Old Style" w:hAnsi="Bookman Old Style"/>
          <w:sz w:val="24"/>
          <w:szCs w:val="24"/>
        </w:rPr>
        <w:t xml:space="preserve">de saldos </w:t>
      </w:r>
      <w:r>
        <w:rPr>
          <w:rFonts w:ascii="Bookman Old Style" w:hAnsi="Bookman Old Style"/>
          <w:sz w:val="24"/>
          <w:szCs w:val="24"/>
        </w:rPr>
        <w:t xml:space="preserve">por </w:t>
      </w:r>
      <w:r w:rsidR="00155478">
        <w:rPr>
          <w:rFonts w:ascii="Bookman Old Style" w:hAnsi="Bookman Old Style"/>
          <w:sz w:val="24"/>
          <w:szCs w:val="24"/>
        </w:rPr>
        <w:t xml:space="preserve">parte de </w:t>
      </w:r>
      <w:r>
        <w:rPr>
          <w:rFonts w:ascii="Bookman Old Style" w:hAnsi="Bookman Old Style"/>
          <w:sz w:val="24"/>
          <w:szCs w:val="24"/>
        </w:rPr>
        <w:t>la SSPD</w:t>
      </w:r>
      <w:r w:rsidR="00761589">
        <w:rPr>
          <w:rFonts w:ascii="Bookman Old Style" w:hAnsi="Bookman Old Style"/>
          <w:sz w:val="24"/>
          <w:szCs w:val="24"/>
        </w:rPr>
        <w:t>,</w:t>
      </w:r>
      <w:r>
        <w:rPr>
          <w:rFonts w:ascii="Bookman Old Style" w:hAnsi="Bookman Old Style"/>
          <w:sz w:val="24"/>
          <w:szCs w:val="24"/>
        </w:rPr>
        <w:t xml:space="preserve"> </w:t>
      </w:r>
      <w:r w:rsidR="00993007">
        <w:rPr>
          <w:rFonts w:ascii="Bookman Old Style" w:hAnsi="Bookman Old Style"/>
          <w:sz w:val="24"/>
          <w:szCs w:val="24"/>
        </w:rPr>
        <w:t>para efectos de lo establecido en el artículo 5 de la Ley 2299 de 2023</w:t>
      </w:r>
      <w:r w:rsidR="00761589">
        <w:rPr>
          <w:rFonts w:ascii="Bookman Old Style" w:hAnsi="Bookman Old Style"/>
          <w:sz w:val="24"/>
          <w:szCs w:val="24"/>
        </w:rPr>
        <w:t>,</w:t>
      </w:r>
      <w:r>
        <w:rPr>
          <w:rFonts w:ascii="Bookman Old Style" w:hAnsi="Bookman Old Style"/>
          <w:sz w:val="24"/>
          <w:szCs w:val="24"/>
        </w:rPr>
        <w:t xml:space="preserve"> y la fecha de finalización de la opción tarifaria</w:t>
      </w:r>
      <w:r w:rsidR="00761589">
        <w:rPr>
          <w:rFonts w:ascii="Bookman Old Style" w:hAnsi="Bookman Old Style"/>
          <w:sz w:val="24"/>
          <w:szCs w:val="24"/>
        </w:rPr>
        <w:t>; con el fin de que puedan ser parte de</w:t>
      </w:r>
      <w:r w:rsidR="0017658C">
        <w:rPr>
          <w:rFonts w:ascii="Bookman Old Style" w:hAnsi="Bookman Old Style"/>
          <w:sz w:val="24"/>
          <w:szCs w:val="24"/>
        </w:rPr>
        <w:t>l cálculo de</w:t>
      </w:r>
      <w:r w:rsidR="006D4E55">
        <w:rPr>
          <w:rFonts w:ascii="Bookman Old Style" w:hAnsi="Bookman Old Style"/>
          <w:sz w:val="24"/>
          <w:szCs w:val="24"/>
        </w:rPr>
        <w:t xml:space="preserve"> la variable </w:t>
      </w:r>
      <w:proofErr w:type="spellStart"/>
      <w:proofErr w:type="gramStart"/>
      <w:r w:rsidR="006D4E55" w:rsidRPr="00C70E1C">
        <w:rPr>
          <w:rFonts w:ascii="Bookman Old Style" w:hAnsi="Bookman Old Style"/>
          <w:i/>
          <w:iCs/>
          <w:sz w:val="24"/>
          <w:szCs w:val="24"/>
        </w:rPr>
        <w:t>COT</w:t>
      </w:r>
      <w:r w:rsidR="006D4E55" w:rsidRPr="00C70E1C">
        <w:rPr>
          <w:rFonts w:ascii="Bookman Old Style" w:hAnsi="Bookman Old Style"/>
          <w:i/>
          <w:iCs/>
          <w:sz w:val="24"/>
          <w:szCs w:val="24"/>
          <w:vertAlign w:val="subscript"/>
        </w:rPr>
        <w:t>n,i</w:t>
      </w:r>
      <w:proofErr w:type="gramEnd"/>
      <w:r w:rsidR="006D4E55" w:rsidRPr="00C70E1C">
        <w:rPr>
          <w:rFonts w:ascii="Bookman Old Style" w:hAnsi="Bookman Old Style"/>
          <w:i/>
          <w:iCs/>
          <w:sz w:val="24"/>
          <w:szCs w:val="24"/>
          <w:vertAlign w:val="subscript"/>
        </w:rPr>
        <w:t>,j,m</w:t>
      </w:r>
      <w:proofErr w:type="spellEnd"/>
      <w:r w:rsidR="006D4E55">
        <w:rPr>
          <w:rFonts w:ascii="Bookman Old Style" w:hAnsi="Bookman Old Style"/>
          <w:i/>
          <w:iCs/>
          <w:sz w:val="24"/>
          <w:szCs w:val="24"/>
          <w:vertAlign w:val="subscript"/>
        </w:rPr>
        <w:t xml:space="preserve"> </w:t>
      </w:r>
      <w:r w:rsidR="006D4E55" w:rsidRPr="00A93AD0">
        <w:rPr>
          <w:rFonts w:ascii="Bookman Old Style" w:hAnsi="Bookman Old Style"/>
          <w:sz w:val="24"/>
          <w:szCs w:val="24"/>
        </w:rPr>
        <w:t>que corresp</w:t>
      </w:r>
      <w:r w:rsidR="006D4E55">
        <w:rPr>
          <w:rFonts w:ascii="Bookman Old Style" w:hAnsi="Bookman Old Style"/>
          <w:sz w:val="24"/>
          <w:szCs w:val="24"/>
        </w:rPr>
        <w:t>o</w:t>
      </w:r>
      <w:r w:rsidR="006D4E55" w:rsidRPr="00A93AD0">
        <w:rPr>
          <w:rFonts w:ascii="Bookman Old Style" w:hAnsi="Bookman Old Style"/>
          <w:sz w:val="24"/>
          <w:szCs w:val="24"/>
        </w:rPr>
        <w:t>nda</w:t>
      </w:r>
      <w:r>
        <w:rPr>
          <w:rFonts w:ascii="Bookman Old Style" w:hAnsi="Bookman Old Style"/>
          <w:sz w:val="24"/>
          <w:szCs w:val="24"/>
        </w:rPr>
        <w:t>.</w:t>
      </w:r>
    </w:p>
    <w:p w14:paraId="1B99E588" w14:textId="2B7A72B0" w:rsidR="004C6B16" w:rsidRDefault="00DF71A1" w:rsidP="0080311A">
      <w:pPr>
        <w:widowControl w:val="0"/>
        <w:spacing w:before="200" w:after="200"/>
        <w:ind w:left="709" w:right="47"/>
        <w:jc w:val="both"/>
        <w:rPr>
          <w:rFonts w:ascii="Bookman Old Style" w:hAnsi="Bookman Old Style" w:cs="Arial"/>
          <w:bCs/>
        </w:rPr>
      </w:pPr>
      <w:r>
        <w:rPr>
          <w:rFonts w:ascii="Bookman Old Style" w:hAnsi="Bookman Old Style" w:cs="Arial"/>
          <w:bCs/>
        </w:rPr>
        <w:t>El cál</w:t>
      </w:r>
      <w:r w:rsidR="00AF005F">
        <w:rPr>
          <w:rFonts w:ascii="Bookman Old Style" w:hAnsi="Bookman Old Style" w:cs="Arial"/>
          <w:bCs/>
        </w:rPr>
        <w:t xml:space="preserve">culo de la variable </w:t>
      </w:r>
      <w:proofErr w:type="spellStart"/>
      <w:proofErr w:type="gramStart"/>
      <w:r w:rsidR="00AF005F" w:rsidRPr="00C70E1C">
        <w:rPr>
          <w:rFonts w:ascii="Bookman Old Style" w:hAnsi="Bookman Old Style"/>
          <w:i/>
          <w:iCs/>
        </w:rPr>
        <w:t>COT</w:t>
      </w:r>
      <w:r w:rsidR="00AF005F" w:rsidRPr="00C70E1C">
        <w:rPr>
          <w:rFonts w:ascii="Bookman Old Style" w:hAnsi="Bookman Old Style"/>
          <w:i/>
          <w:iCs/>
          <w:vertAlign w:val="subscript"/>
        </w:rPr>
        <w:t>n,i</w:t>
      </w:r>
      <w:proofErr w:type="gramEnd"/>
      <w:r w:rsidR="00AF005F" w:rsidRPr="00C70E1C">
        <w:rPr>
          <w:rFonts w:ascii="Bookman Old Style" w:hAnsi="Bookman Old Style"/>
          <w:i/>
          <w:iCs/>
          <w:vertAlign w:val="subscript"/>
        </w:rPr>
        <w:t>,j,m</w:t>
      </w:r>
      <w:proofErr w:type="spellEnd"/>
      <w:r w:rsidR="00C1017F">
        <w:rPr>
          <w:rFonts w:ascii="Bookman Old Style" w:hAnsi="Bookman Old Style" w:cs="Arial"/>
          <w:bCs/>
        </w:rPr>
        <w:t xml:space="preserve">, </w:t>
      </w:r>
      <w:r w:rsidR="008D6D28">
        <w:rPr>
          <w:rFonts w:ascii="Bookman Old Style" w:hAnsi="Bookman Old Style" w:cs="Arial"/>
          <w:bCs/>
        </w:rPr>
        <w:t xml:space="preserve">para cada comercializador </w:t>
      </w:r>
      <w:r w:rsidR="008D6D28" w:rsidRPr="00A93AD0">
        <w:rPr>
          <w:rFonts w:ascii="Bookman Old Style" w:hAnsi="Bookman Old Style" w:cs="Arial"/>
          <w:bCs/>
          <w:i/>
          <w:iCs/>
        </w:rPr>
        <w:t>i</w:t>
      </w:r>
      <w:r w:rsidR="00C1017F">
        <w:rPr>
          <w:rFonts w:ascii="Bookman Old Style" w:hAnsi="Bookman Old Style" w:cs="Arial"/>
          <w:bCs/>
        </w:rPr>
        <w:t>,</w:t>
      </w:r>
      <w:r w:rsidR="008D6D28">
        <w:rPr>
          <w:rFonts w:ascii="Bookman Old Style" w:hAnsi="Bookman Old Style" w:cs="Arial"/>
          <w:bCs/>
        </w:rPr>
        <w:t xml:space="preserve"> se deberá realizar con base en la siguiente expresión:</w:t>
      </w:r>
    </w:p>
    <w:p w14:paraId="7A6F0F3F" w14:textId="51710BB8" w:rsidR="00A93646" w:rsidRPr="00614FAD" w:rsidRDefault="005E00C2" w:rsidP="00A93646">
      <w:pPr>
        <w:widowControl w:val="0"/>
        <w:spacing w:before="200" w:after="200"/>
        <w:ind w:left="709"/>
        <w:jc w:val="both"/>
        <w:rPr>
          <w:rFonts w:ascii="Bookman Old Style" w:hAnsi="Bookman Old Style"/>
          <w:bCs/>
        </w:rPr>
      </w:pPr>
      <m:oMathPara>
        <m:oMath>
          <m:sSub>
            <m:sSubPr>
              <m:ctrlPr>
                <w:rPr>
                  <w:rFonts w:ascii="Cambria Math" w:hAnsi="Cambria Math"/>
                  <w:i/>
                </w:rPr>
              </m:ctrlPr>
            </m:sSubPr>
            <m:e>
              <m:r>
                <w:rPr>
                  <w:rFonts w:ascii="Cambria Math" w:hAnsi="Cambria Math"/>
                </w:rPr>
                <m:t>COT</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SAOT</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1,</m:t>
                  </m:r>
                  <m:r>
                    <w:rPr>
                      <w:rFonts w:ascii="Cambria Math" w:hAnsi="Cambria Math"/>
                    </w:rPr>
                    <m:t>i</m:t>
                  </m:r>
                  <m:r>
                    <w:rPr>
                      <w:rFonts w:ascii="Cambria Math" w:hAnsi="Cambria Math"/>
                    </w:rPr>
                    <m:t>,</m:t>
                  </m:r>
                  <m:r>
                    <w:rPr>
                      <w:rFonts w:ascii="Cambria Math" w:hAnsi="Cambria Math"/>
                    </w:rPr>
                    <m:t>j</m:t>
                  </m:r>
                </m:sub>
              </m:sSub>
            </m:num>
            <m:den>
              <m:sSub>
                <m:sSubPr>
                  <m:ctrlPr>
                    <w:rPr>
                      <w:rFonts w:ascii="Cambria Math" w:hAnsi="Cambria Math"/>
                      <w:bCs/>
                      <w:i/>
                    </w:rPr>
                  </m:ctrlPr>
                </m:sSubPr>
                <m:e>
                  <m:r>
                    <w:rPr>
                      <w:rFonts w:ascii="Cambria Math" w:hAnsi="Cambria Math"/>
                    </w:rPr>
                    <m:t>VR</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r>
                    <w:rPr>
                      <w:rFonts w:ascii="Cambria Math" w:hAnsi="Cambria Math"/>
                    </w:rPr>
                    <m:t>-2</m:t>
                  </m:r>
                </m:sub>
              </m:sSub>
            </m:den>
          </m:f>
        </m:oMath>
      </m:oMathPara>
    </w:p>
    <w:p w14:paraId="646225E5" w14:textId="11925C26" w:rsidR="00EB2EF0" w:rsidRPr="00E67267" w:rsidRDefault="00E67267" w:rsidP="0080311A">
      <w:pPr>
        <w:widowControl w:val="0"/>
        <w:spacing w:before="200" w:after="200"/>
        <w:ind w:left="709" w:right="47"/>
        <w:jc w:val="both"/>
        <w:rPr>
          <w:rFonts w:ascii="Bookman Old Style" w:hAnsi="Bookman Old Style" w:cs="Arial"/>
          <w:bCs/>
        </w:rPr>
      </w:pPr>
      <w:r w:rsidRPr="00E67267">
        <w:rPr>
          <w:rFonts w:ascii="Bookman Old Style" w:hAnsi="Bookman Old Style" w:cs="Arial"/>
          <w:bCs/>
        </w:rPr>
        <w:t>Donde</w:t>
      </w:r>
      <w:r>
        <w:rPr>
          <w:rFonts w:ascii="Bookman Old Style" w:hAnsi="Bookman Old Style" w:cs="Arial"/>
          <w:bCs/>
        </w:rPr>
        <w:t xml:space="preserve">: </w:t>
      </w:r>
    </w:p>
    <w:p w14:paraId="5CDA4F48" w14:textId="19C7E904" w:rsidR="00247738" w:rsidRDefault="00247738" w:rsidP="00B41407">
      <w:pPr>
        <w:widowControl w:val="0"/>
        <w:spacing w:before="200" w:after="200"/>
        <w:ind w:left="2268" w:right="47" w:hanging="1559"/>
        <w:jc w:val="both"/>
        <w:rPr>
          <w:rFonts w:ascii="Bookman Old Style" w:hAnsi="Bookman Old Style" w:cs="Arial"/>
          <w:bCs/>
        </w:rPr>
      </w:pPr>
      <w:proofErr w:type="spellStart"/>
      <w:proofErr w:type="gramStart"/>
      <w:r w:rsidRPr="00ED0D64">
        <w:rPr>
          <w:rFonts w:ascii="Bookman Old Style" w:hAnsi="Bookman Old Style"/>
          <w:i/>
          <w:iCs/>
        </w:rPr>
        <w:t>COT</w:t>
      </w:r>
      <w:r w:rsidRPr="00ED0D64">
        <w:rPr>
          <w:rFonts w:ascii="Bookman Old Style" w:hAnsi="Bookman Old Style"/>
          <w:i/>
          <w:iCs/>
          <w:vertAlign w:val="subscript"/>
        </w:rPr>
        <w:t>n,i</w:t>
      </w:r>
      <w:proofErr w:type="gramEnd"/>
      <w:r w:rsidRPr="00ED0D64">
        <w:rPr>
          <w:rFonts w:ascii="Bookman Old Style" w:hAnsi="Bookman Old Style"/>
          <w:i/>
          <w:iCs/>
          <w:vertAlign w:val="subscript"/>
        </w:rPr>
        <w:t>,j,m</w:t>
      </w:r>
      <w:proofErr w:type="spellEnd"/>
      <w:r w:rsidRPr="00ED0D64">
        <w:rPr>
          <w:rFonts w:ascii="Bookman Old Style" w:hAnsi="Bookman Old Style"/>
        </w:rPr>
        <w:t>:</w:t>
      </w:r>
      <w:r w:rsidRPr="00ED0D64">
        <w:rPr>
          <w:rFonts w:ascii="Bookman Old Style" w:hAnsi="Bookman Old Style"/>
        </w:rPr>
        <w:tab/>
        <w:t xml:space="preserve">Costo asociado con la recuperación del saldo de la opción tarifaria del </w:t>
      </w:r>
      <w:r w:rsidR="00EE06FA" w:rsidRPr="00ED0D64">
        <w:rPr>
          <w:rFonts w:ascii="Bookman Old Style" w:hAnsi="Bookman Old Style"/>
        </w:rPr>
        <w:t xml:space="preserve">nivel de tensión </w:t>
      </w:r>
      <w:r w:rsidR="00EE06FA" w:rsidRPr="00ED0D64">
        <w:rPr>
          <w:rFonts w:ascii="Bookman Old Style" w:hAnsi="Bookman Old Style"/>
          <w:i/>
          <w:iCs/>
        </w:rPr>
        <w:t>n</w:t>
      </w:r>
      <w:r w:rsidR="00EE06FA" w:rsidRPr="00ED0D64">
        <w:rPr>
          <w:rFonts w:ascii="Bookman Old Style" w:hAnsi="Bookman Old Style"/>
        </w:rPr>
        <w:t xml:space="preserve">, del </w:t>
      </w:r>
      <w:r w:rsidRPr="00ED0D64">
        <w:rPr>
          <w:rFonts w:ascii="Bookman Old Style" w:hAnsi="Bookman Old Style"/>
        </w:rPr>
        <w:t xml:space="preserve">comercializador </w:t>
      </w:r>
      <w:r w:rsidRPr="00ED0D64">
        <w:rPr>
          <w:rFonts w:ascii="Bookman Old Style" w:hAnsi="Bookman Old Style"/>
          <w:i/>
          <w:iCs/>
        </w:rPr>
        <w:t>i</w:t>
      </w:r>
      <w:r w:rsidRPr="00ED0D64">
        <w:rPr>
          <w:rFonts w:ascii="Bookman Old Style" w:hAnsi="Bookman Old Style"/>
        </w:rPr>
        <w:t xml:space="preserve">, en el mercado de comercialización </w:t>
      </w:r>
      <w:r w:rsidRPr="00ED0D64">
        <w:rPr>
          <w:rFonts w:ascii="Bookman Old Style" w:hAnsi="Bookman Old Style"/>
          <w:i/>
          <w:iCs/>
        </w:rPr>
        <w:t>j</w:t>
      </w:r>
      <w:r w:rsidRPr="00ED0D64">
        <w:rPr>
          <w:rFonts w:ascii="Bookman Old Style" w:hAnsi="Bookman Old Style"/>
        </w:rPr>
        <w:t xml:space="preserve"> en el mes </w:t>
      </w:r>
      <w:r w:rsidRPr="00ED0D64">
        <w:rPr>
          <w:rFonts w:ascii="Bookman Old Style" w:hAnsi="Bookman Old Style"/>
          <w:i/>
          <w:iCs/>
        </w:rPr>
        <w:t xml:space="preserve">m. </w:t>
      </w:r>
      <w:r w:rsidRPr="00ED0D64">
        <w:rPr>
          <w:rFonts w:ascii="Bookman Old Style" w:hAnsi="Bookman Old Style"/>
          <w:bCs/>
        </w:rPr>
        <w:t>expresado en $/kWh.</w:t>
      </w:r>
    </w:p>
    <w:p w14:paraId="79E73B1C" w14:textId="0F83AE9C" w:rsidR="00247738" w:rsidRDefault="00247738" w:rsidP="00B41407">
      <w:pPr>
        <w:widowControl w:val="0"/>
        <w:spacing w:before="200" w:after="200"/>
        <w:ind w:left="2268" w:right="47" w:hanging="1559"/>
        <w:jc w:val="both"/>
        <w:rPr>
          <w:rFonts w:ascii="Bookman Old Style" w:hAnsi="Bookman Old Style" w:cs="Arial"/>
          <w:bCs/>
          <w:lang w:val="es-CO"/>
        </w:rPr>
      </w:pPr>
      <w:proofErr w:type="spellStart"/>
      <w:proofErr w:type="gramStart"/>
      <w:r w:rsidRPr="007B5923">
        <w:rPr>
          <w:rFonts w:ascii="Bookman Old Style" w:hAnsi="Bookman Old Style" w:cs="Arial"/>
          <w:bCs/>
          <w:i/>
          <w:iCs/>
          <w:lang w:val="es-CO"/>
        </w:rPr>
        <w:t>S</w:t>
      </w:r>
      <w:r>
        <w:rPr>
          <w:rFonts w:ascii="Bookman Old Style" w:hAnsi="Bookman Old Style" w:cs="Arial"/>
          <w:bCs/>
          <w:i/>
          <w:iCs/>
          <w:lang w:val="es-CO"/>
        </w:rPr>
        <w:t>A</w:t>
      </w:r>
      <w:r w:rsidRPr="007B5923">
        <w:rPr>
          <w:rFonts w:ascii="Bookman Old Style" w:hAnsi="Bookman Old Style" w:cs="Arial"/>
          <w:bCs/>
          <w:i/>
          <w:iCs/>
          <w:lang w:val="es-CO"/>
        </w:rPr>
        <w:t>OT</w:t>
      </w:r>
      <w:r w:rsidRPr="0053495D">
        <w:rPr>
          <w:rFonts w:ascii="Bookman Old Style" w:hAnsi="Bookman Old Style" w:cs="Arial"/>
          <w:bCs/>
          <w:i/>
          <w:iCs/>
          <w:vertAlign w:val="subscript"/>
          <w:lang w:val="es-CO"/>
        </w:rPr>
        <w:t>n,</w:t>
      </w:r>
      <w:r w:rsidR="00327126">
        <w:rPr>
          <w:rFonts w:ascii="Bookman Old Style" w:hAnsi="Bookman Old Style" w:cs="Arial"/>
          <w:bCs/>
          <w:i/>
          <w:iCs/>
          <w:vertAlign w:val="subscript"/>
          <w:lang w:val="es-CO"/>
        </w:rPr>
        <w:t>m</w:t>
      </w:r>
      <w:proofErr w:type="gramEnd"/>
      <w:r w:rsidR="00327126">
        <w:rPr>
          <w:rFonts w:ascii="Bookman Old Style" w:hAnsi="Bookman Old Style" w:cs="Arial"/>
          <w:bCs/>
          <w:i/>
          <w:iCs/>
          <w:vertAlign w:val="subscript"/>
          <w:lang w:val="es-CO"/>
        </w:rPr>
        <w:t>,</w:t>
      </w:r>
      <w:r w:rsidRPr="0053495D">
        <w:rPr>
          <w:rFonts w:ascii="Bookman Old Style" w:hAnsi="Bookman Old Style" w:cs="Arial"/>
          <w:bCs/>
          <w:i/>
          <w:iCs/>
          <w:vertAlign w:val="subscript"/>
          <w:lang w:val="es-CO"/>
        </w:rPr>
        <w:t>i,j</w:t>
      </w:r>
      <w:proofErr w:type="spellEnd"/>
      <w:r w:rsidRPr="004F194D">
        <w:rPr>
          <w:rFonts w:ascii="Bookman Old Style" w:hAnsi="Bookman Old Style" w:cs="Arial"/>
          <w:bCs/>
          <w:lang w:val="es-CO"/>
        </w:rPr>
        <w:t>:</w:t>
      </w:r>
      <w:r w:rsidRPr="004F194D">
        <w:rPr>
          <w:rFonts w:ascii="Bookman Old Style" w:hAnsi="Bookman Old Style" w:cs="Arial"/>
          <w:bCs/>
          <w:lang w:val="es-CO"/>
        </w:rPr>
        <w:tab/>
      </w:r>
      <w:r w:rsidR="007A466E">
        <w:rPr>
          <w:rFonts w:ascii="Bookman Old Style" w:hAnsi="Bookman Old Style" w:cs="Arial"/>
          <w:bCs/>
          <w:lang w:val="es-CO"/>
        </w:rPr>
        <w:t xml:space="preserve">Valor mensual para la recuperación del </w:t>
      </w:r>
      <w:r w:rsidRPr="004F194D">
        <w:rPr>
          <w:rFonts w:ascii="Bookman Old Style" w:hAnsi="Bookman Old Style" w:cs="Arial"/>
          <w:bCs/>
          <w:lang w:val="es-CO"/>
        </w:rPr>
        <w:t xml:space="preserve">saldo de la opción tarifaria del comercializador </w:t>
      </w:r>
      <w:r w:rsidRPr="00113D19">
        <w:rPr>
          <w:rFonts w:ascii="Bookman Old Style" w:hAnsi="Bookman Old Style" w:cs="Arial"/>
          <w:bCs/>
          <w:i/>
          <w:iCs/>
          <w:lang w:val="es-CO"/>
        </w:rPr>
        <w:t>i</w:t>
      </w:r>
      <w:r w:rsidRPr="004F194D">
        <w:rPr>
          <w:rFonts w:ascii="Bookman Old Style" w:hAnsi="Bookman Old Style" w:cs="Arial"/>
          <w:bCs/>
          <w:lang w:val="es-CO"/>
        </w:rPr>
        <w:t xml:space="preserve"> del mercado de comercialización </w:t>
      </w:r>
      <w:r w:rsidRPr="00113D19">
        <w:rPr>
          <w:rFonts w:ascii="Bookman Old Style" w:hAnsi="Bookman Old Style" w:cs="Arial"/>
          <w:bCs/>
          <w:i/>
          <w:iCs/>
          <w:lang w:val="es-CO"/>
        </w:rPr>
        <w:t>j</w:t>
      </w:r>
      <w:r>
        <w:rPr>
          <w:rFonts w:ascii="Bookman Old Style" w:hAnsi="Bookman Old Style" w:cs="Arial"/>
          <w:bCs/>
          <w:lang w:val="es-CO"/>
        </w:rPr>
        <w:t xml:space="preserve"> en el nivel de tensión </w:t>
      </w:r>
      <w:r w:rsidRPr="00465CCA">
        <w:rPr>
          <w:rFonts w:ascii="Bookman Old Style" w:hAnsi="Bookman Old Style" w:cs="Arial"/>
          <w:bCs/>
          <w:i/>
          <w:iCs/>
          <w:lang w:val="es-CO"/>
        </w:rPr>
        <w:t>n</w:t>
      </w:r>
      <w:r>
        <w:rPr>
          <w:rFonts w:ascii="Bookman Old Style" w:hAnsi="Bookman Old Style" w:cs="Arial"/>
          <w:bCs/>
          <w:lang w:val="es-CO"/>
        </w:rPr>
        <w:t>.</w:t>
      </w:r>
    </w:p>
    <w:p w14:paraId="59EF9139" w14:textId="3E63282D" w:rsidR="00726EDE" w:rsidRDefault="00241070" w:rsidP="00B41407">
      <w:pPr>
        <w:widowControl w:val="0"/>
        <w:spacing w:before="200" w:after="200"/>
        <w:ind w:left="2268" w:right="47" w:hanging="1559"/>
        <w:jc w:val="both"/>
        <w:rPr>
          <w:rFonts w:ascii="Bookman Old Style" w:hAnsi="Bookman Old Style"/>
          <w:bCs/>
        </w:rPr>
      </w:pPr>
      <w:proofErr w:type="spellStart"/>
      <w:proofErr w:type="gramStart"/>
      <w:r>
        <w:rPr>
          <w:rFonts w:ascii="Bookman Old Style" w:hAnsi="Bookman Old Style"/>
          <w:i/>
          <w:iCs/>
          <w:color w:val="000000"/>
        </w:rPr>
        <w:t>VR</w:t>
      </w:r>
      <w:r w:rsidR="00AF23B6" w:rsidRPr="00AF23B6">
        <w:rPr>
          <w:rFonts w:ascii="Bookman Old Style" w:hAnsi="Bookman Old Style"/>
          <w:i/>
          <w:iCs/>
          <w:color w:val="000000"/>
          <w:vertAlign w:val="subscript"/>
        </w:rPr>
        <w:t>n,</w:t>
      </w:r>
      <w:r>
        <w:rPr>
          <w:rFonts w:ascii="Bookman Old Style" w:hAnsi="Bookman Old Style"/>
          <w:i/>
          <w:iCs/>
          <w:color w:val="000000"/>
          <w:vertAlign w:val="subscript"/>
        </w:rPr>
        <w:t>i</w:t>
      </w:r>
      <w:proofErr w:type="gramEnd"/>
      <w:r w:rsidRPr="00650B2E">
        <w:rPr>
          <w:rFonts w:ascii="Bookman Old Style" w:hAnsi="Bookman Old Style"/>
          <w:i/>
          <w:iCs/>
          <w:color w:val="000000"/>
          <w:vertAlign w:val="subscript"/>
        </w:rPr>
        <w:t>,j</w:t>
      </w:r>
      <w:r>
        <w:rPr>
          <w:rFonts w:ascii="Bookman Old Style" w:hAnsi="Bookman Old Style"/>
          <w:i/>
          <w:iCs/>
          <w:color w:val="000000"/>
          <w:vertAlign w:val="subscript"/>
        </w:rPr>
        <w:t>,m</w:t>
      </w:r>
      <w:proofErr w:type="spellEnd"/>
      <w:r w:rsidRPr="00764035">
        <w:rPr>
          <w:rFonts w:ascii="Bookman Old Style" w:hAnsi="Bookman Old Style"/>
          <w:color w:val="000000"/>
        </w:rPr>
        <w:t>:</w:t>
      </w:r>
      <w:r>
        <w:rPr>
          <w:rFonts w:ascii="Bookman Old Style" w:hAnsi="Bookman Old Style"/>
          <w:color w:val="000000"/>
        </w:rPr>
        <w:t xml:space="preserve"> </w:t>
      </w:r>
      <w:r>
        <w:rPr>
          <w:rFonts w:ascii="Bookman Old Style" w:hAnsi="Bookman Old Style"/>
          <w:color w:val="000000"/>
        </w:rPr>
        <w:tab/>
      </w:r>
      <w:r w:rsidRPr="00614FAD">
        <w:rPr>
          <w:rFonts w:ascii="Bookman Old Style" w:hAnsi="Bookman Old Style"/>
          <w:bCs/>
        </w:rPr>
        <w:t xml:space="preserve">Ventas totales </w:t>
      </w:r>
      <w:r w:rsidR="009C30EF">
        <w:rPr>
          <w:rFonts w:ascii="Bookman Old Style" w:hAnsi="Bookman Old Style"/>
          <w:bCs/>
        </w:rPr>
        <w:t xml:space="preserve">en el </w:t>
      </w:r>
      <w:r>
        <w:rPr>
          <w:rFonts w:ascii="Bookman Old Style" w:hAnsi="Bookman Old Style"/>
          <w:bCs/>
        </w:rPr>
        <w:t>m</w:t>
      </w:r>
      <w:r w:rsidRPr="00614FAD">
        <w:rPr>
          <w:rFonts w:ascii="Bookman Old Style" w:hAnsi="Bookman Old Style"/>
          <w:bCs/>
        </w:rPr>
        <w:t xml:space="preserve">ercado de </w:t>
      </w:r>
      <w:r>
        <w:rPr>
          <w:rFonts w:ascii="Bookman Old Style" w:hAnsi="Bookman Old Style"/>
          <w:bCs/>
        </w:rPr>
        <w:t>c</w:t>
      </w:r>
      <w:r w:rsidRPr="00614FAD">
        <w:rPr>
          <w:rFonts w:ascii="Bookman Old Style" w:hAnsi="Bookman Old Style"/>
          <w:bCs/>
        </w:rPr>
        <w:t xml:space="preserve">omercialización </w:t>
      </w:r>
      <w:r w:rsidRPr="00614FAD">
        <w:rPr>
          <w:rFonts w:ascii="Bookman Old Style" w:hAnsi="Bookman Old Style"/>
          <w:bCs/>
          <w:i/>
        </w:rPr>
        <w:t>j</w:t>
      </w:r>
      <w:r w:rsidRPr="00614FAD">
        <w:rPr>
          <w:rFonts w:ascii="Bookman Old Style" w:hAnsi="Bookman Old Style"/>
          <w:bCs/>
        </w:rPr>
        <w:t xml:space="preserve">, </w:t>
      </w:r>
      <w:r w:rsidR="00807E28">
        <w:rPr>
          <w:rFonts w:ascii="Bookman Old Style" w:hAnsi="Bookman Old Style"/>
          <w:bCs/>
        </w:rPr>
        <w:t xml:space="preserve">en el nivel de tensión n, </w:t>
      </w:r>
      <w:r w:rsidRPr="00614FAD">
        <w:rPr>
          <w:rFonts w:ascii="Bookman Old Style" w:hAnsi="Bookman Old Style"/>
          <w:bCs/>
        </w:rPr>
        <w:t>en el mes</w:t>
      </w:r>
      <w:r>
        <w:rPr>
          <w:rFonts w:ascii="Bookman Old Style" w:hAnsi="Bookman Old Style"/>
          <w:bCs/>
        </w:rPr>
        <w:t xml:space="preserve"> </w:t>
      </w:r>
      <w:r w:rsidRPr="006F4081">
        <w:rPr>
          <w:rFonts w:ascii="Bookman Old Style" w:hAnsi="Bookman Old Style"/>
          <w:bCs/>
          <w:i/>
          <w:iCs/>
        </w:rPr>
        <w:t>m</w:t>
      </w:r>
      <w:r w:rsidR="008D1FE9">
        <w:rPr>
          <w:rFonts w:ascii="Bookman Old Style" w:hAnsi="Bookman Old Style"/>
          <w:bCs/>
        </w:rPr>
        <w:t xml:space="preserve">, </w:t>
      </w:r>
      <w:r w:rsidR="0029122F">
        <w:rPr>
          <w:rFonts w:ascii="Bookman Old Style" w:hAnsi="Bookman Old Style"/>
          <w:bCs/>
        </w:rPr>
        <w:t xml:space="preserve"> </w:t>
      </w:r>
      <w:r w:rsidR="0029122F" w:rsidRPr="00614FAD">
        <w:rPr>
          <w:rFonts w:ascii="Bookman Old Style" w:hAnsi="Bookman Old Style"/>
          <w:bCs/>
        </w:rPr>
        <w:t>expresadas en kWh</w:t>
      </w:r>
      <w:r w:rsidR="00ED740D">
        <w:rPr>
          <w:rFonts w:ascii="Bookman Old Style" w:hAnsi="Bookman Old Style"/>
          <w:bCs/>
        </w:rPr>
        <w:t xml:space="preserve">, </w:t>
      </w:r>
      <w:r w:rsidR="00A46D6A" w:rsidRPr="00614FAD">
        <w:rPr>
          <w:rFonts w:ascii="Bookman Old Style" w:hAnsi="Bookman Old Style"/>
          <w:bCs/>
        </w:rPr>
        <w:t xml:space="preserve">a </w:t>
      </w:r>
      <w:r w:rsidR="00A46D6A">
        <w:rPr>
          <w:rFonts w:ascii="Bookman Old Style" w:hAnsi="Bookman Old Style"/>
          <w:bCs/>
        </w:rPr>
        <w:t xml:space="preserve">los </w:t>
      </w:r>
      <w:r w:rsidR="00A46D6A" w:rsidRPr="00614FAD">
        <w:rPr>
          <w:rFonts w:ascii="Bookman Old Style" w:hAnsi="Bookman Old Style"/>
          <w:bCs/>
        </w:rPr>
        <w:t xml:space="preserve">usuarios regulados </w:t>
      </w:r>
      <w:r w:rsidR="00A46D6A">
        <w:rPr>
          <w:rFonts w:ascii="Bookman Old Style" w:hAnsi="Bookman Old Style"/>
          <w:bCs/>
        </w:rPr>
        <w:t xml:space="preserve">atendidos por el </w:t>
      </w:r>
      <w:r w:rsidR="00CE4354">
        <w:rPr>
          <w:rFonts w:ascii="Bookman Old Style" w:hAnsi="Bookman Old Style"/>
          <w:bCs/>
        </w:rPr>
        <w:t>c</w:t>
      </w:r>
      <w:r w:rsidR="00CE4354" w:rsidRPr="00614FAD">
        <w:rPr>
          <w:rFonts w:ascii="Bookman Old Style" w:hAnsi="Bookman Old Style"/>
          <w:bCs/>
        </w:rPr>
        <w:t xml:space="preserve">omercializador </w:t>
      </w:r>
      <m:oMath>
        <m:r>
          <w:rPr>
            <w:rFonts w:ascii="Cambria Math" w:hAnsi="Cambria Math"/>
          </w:rPr>
          <m:t>i</m:t>
        </m:r>
      </m:oMath>
      <w:r w:rsidR="00CE4354">
        <w:rPr>
          <w:rFonts w:ascii="Bookman Old Style" w:hAnsi="Bookman Old Style"/>
          <w:bCs/>
        </w:rPr>
        <w:t xml:space="preserve"> </w:t>
      </w:r>
      <w:r w:rsidR="0040560B">
        <w:rPr>
          <w:rFonts w:ascii="Bookman Old Style" w:hAnsi="Bookman Old Style"/>
          <w:bCs/>
        </w:rPr>
        <w:t>a la fecha de publicación de esta resolución</w:t>
      </w:r>
      <w:r w:rsidR="008B19F0">
        <w:rPr>
          <w:rFonts w:ascii="Bookman Old Style" w:hAnsi="Bookman Old Style"/>
          <w:bCs/>
        </w:rPr>
        <w:t>.</w:t>
      </w:r>
      <w:r w:rsidR="00CF49F2">
        <w:rPr>
          <w:rFonts w:ascii="Bookman Old Style" w:hAnsi="Bookman Old Style"/>
          <w:bCs/>
        </w:rPr>
        <w:t xml:space="preserve"> Se incluyen las ventas a usuarios</w:t>
      </w:r>
      <w:r w:rsidR="00726EDE">
        <w:rPr>
          <w:rFonts w:ascii="Bookman Old Style" w:hAnsi="Bookman Old Style"/>
          <w:bCs/>
        </w:rPr>
        <w:t xml:space="preserve"> regulados</w:t>
      </w:r>
      <w:r w:rsidR="00CF49F2">
        <w:rPr>
          <w:rFonts w:ascii="Bookman Old Style" w:hAnsi="Bookman Old Style"/>
          <w:bCs/>
        </w:rPr>
        <w:t xml:space="preserve"> nuevos</w:t>
      </w:r>
      <w:r w:rsidR="00726EDE">
        <w:rPr>
          <w:rFonts w:ascii="Bookman Old Style" w:hAnsi="Bookman Old Style"/>
          <w:bCs/>
        </w:rPr>
        <w:t xml:space="preserve"> en el mercado de comercialización</w:t>
      </w:r>
      <w:r w:rsidR="009A5FE2">
        <w:rPr>
          <w:rFonts w:ascii="Bookman Old Style" w:hAnsi="Bookman Old Style"/>
          <w:bCs/>
        </w:rPr>
        <w:t xml:space="preserve"> </w:t>
      </w:r>
      <w:r w:rsidR="00726EDE" w:rsidRPr="00A93AD0">
        <w:rPr>
          <w:rFonts w:ascii="Bookman Old Style" w:hAnsi="Bookman Old Style"/>
          <w:bCs/>
          <w:i/>
          <w:iCs/>
        </w:rPr>
        <w:t>j</w:t>
      </w:r>
      <w:r w:rsidR="00726EDE">
        <w:rPr>
          <w:rFonts w:ascii="Bookman Old Style" w:hAnsi="Bookman Old Style"/>
          <w:bCs/>
        </w:rPr>
        <w:t xml:space="preserve">. </w:t>
      </w:r>
    </w:p>
    <w:p w14:paraId="0EDCFF3B" w14:textId="6BD2E297" w:rsidR="00247738" w:rsidRDefault="00726EDE" w:rsidP="00B41407">
      <w:pPr>
        <w:widowControl w:val="0"/>
        <w:spacing w:before="200" w:after="200"/>
        <w:ind w:left="2268" w:right="47"/>
        <w:jc w:val="both"/>
        <w:rPr>
          <w:rFonts w:ascii="Bookman Old Style" w:hAnsi="Bookman Old Style"/>
          <w:bCs/>
        </w:rPr>
      </w:pPr>
      <w:r>
        <w:rPr>
          <w:rFonts w:ascii="Bookman Old Style" w:hAnsi="Bookman Old Style"/>
          <w:bCs/>
        </w:rPr>
        <w:t xml:space="preserve">La variable </w:t>
      </w:r>
      <w:proofErr w:type="spellStart"/>
      <w:proofErr w:type="gramStart"/>
      <w:r>
        <w:rPr>
          <w:rFonts w:ascii="Bookman Old Style" w:hAnsi="Bookman Old Style"/>
          <w:i/>
          <w:iCs/>
          <w:color w:val="000000"/>
        </w:rPr>
        <w:t>VR</w:t>
      </w:r>
      <w:r w:rsidRPr="00AF23B6">
        <w:rPr>
          <w:rFonts w:ascii="Bookman Old Style" w:hAnsi="Bookman Old Style"/>
          <w:i/>
          <w:iCs/>
          <w:color w:val="000000"/>
          <w:vertAlign w:val="subscript"/>
        </w:rPr>
        <w:t>n,</w:t>
      </w:r>
      <w:r>
        <w:rPr>
          <w:rFonts w:ascii="Bookman Old Style" w:hAnsi="Bookman Old Style"/>
          <w:i/>
          <w:iCs/>
          <w:color w:val="000000"/>
          <w:vertAlign w:val="subscript"/>
        </w:rPr>
        <w:t>i</w:t>
      </w:r>
      <w:proofErr w:type="gramEnd"/>
      <w:r w:rsidRPr="00650B2E">
        <w:rPr>
          <w:rFonts w:ascii="Bookman Old Style" w:hAnsi="Bookman Old Style"/>
          <w:i/>
          <w:iCs/>
          <w:color w:val="000000"/>
          <w:vertAlign w:val="subscript"/>
        </w:rPr>
        <w:t>,j</w:t>
      </w:r>
      <w:r>
        <w:rPr>
          <w:rFonts w:ascii="Bookman Old Style" w:hAnsi="Bookman Old Style"/>
          <w:i/>
          <w:iCs/>
          <w:color w:val="000000"/>
          <w:vertAlign w:val="subscript"/>
        </w:rPr>
        <w:t>,m</w:t>
      </w:r>
      <w:proofErr w:type="spellEnd"/>
      <w:r>
        <w:rPr>
          <w:rFonts w:ascii="Bookman Old Style" w:hAnsi="Bookman Old Style"/>
          <w:i/>
          <w:iCs/>
          <w:color w:val="000000"/>
          <w:vertAlign w:val="subscript"/>
        </w:rPr>
        <w:t xml:space="preserve"> </w:t>
      </w:r>
      <w:r w:rsidR="0086306D">
        <w:rPr>
          <w:rFonts w:ascii="Bookman Old Style" w:hAnsi="Bookman Old Style"/>
          <w:bCs/>
        </w:rPr>
        <w:t xml:space="preserve">no incluye </w:t>
      </w:r>
      <w:r>
        <w:rPr>
          <w:rFonts w:ascii="Bookman Old Style" w:hAnsi="Bookman Old Style"/>
          <w:bCs/>
        </w:rPr>
        <w:t xml:space="preserve">las ventas </w:t>
      </w:r>
      <w:r w:rsidR="00EF2F96">
        <w:rPr>
          <w:rFonts w:ascii="Bookman Old Style" w:hAnsi="Bookman Old Style"/>
          <w:bCs/>
        </w:rPr>
        <w:t>a</w:t>
      </w:r>
      <w:r w:rsidR="00D84D7A">
        <w:rPr>
          <w:rFonts w:ascii="Bookman Old Style" w:hAnsi="Bookman Old Style"/>
          <w:bCs/>
        </w:rPr>
        <w:t xml:space="preserve"> los usuarios exentos</w:t>
      </w:r>
      <w:r>
        <w:rPr>
          <w:rFonts w:ascii="Bookman Old Style" w:hAnsi="Bookman Old Style"/>
          <w:bCs/>
        </w:rPr>
        <w:t>.</w:t>
      </w:r>
    </w:p>
    <w:p w14:paraId="5F700D9E" w14:textId="42E6A87F" w:rsidR="00B416EB" w:rsidRDefault="00D1383C" w:rsidP="00A93AD0">
      <w:pPr>
        <w:widowControl w:val="0"/>
        <w:spacing w:before="200" w:after="200"/>
        <w:ind w:right="47"/>
        <w:jc w:val="both"/>
        <w:rPr>
          <w:rFonts w:ascii="Bookman Old Style" w:hAnsi="Bookman Old Style"/>
          <w:bCs/>
        </w:rPr>
      </w:pPr>
      <w:r>
        <w:rPr>
          <w:rFonts w:ascii="Bookman Old Style" w:hAnsi="Bookman Old Style"/>
          <w:bCs/>
        </w:rPr>
        <w:t xml:space="preserve">Con base en la propuesta de </w:t>
      </w:r>
      <w:r w:rsidRPr="00D1383C">
        <w:rPr>
          <w:rFonts w:ascii="Bookman Old Style" w:hAnsi="Bookman Old Style"/>
          <w:bCs/>
        </w:rPr>
        <w:t xml:space="preserve">cálculo y publicación del costo </w:t>
      </w:r>
      <w:r w:rsidR="00862634">
        <w:rPr>
          <w:rFonts w:ascii="Bookman Old Style" w:hAnsi="Bookman Old Style"/>
          <w:bCs/>
        </w:rPr>
        <w:t xml:space="preserve">enviada por el CAC, el </w:t>
      </w:r>
      <w:proofErr w:type="gramStart"/>
      <w:r w:rsidR="00862634">
        <w:rPr>
          <w:rFonts w:ascii="Bookman Old Style" w:hAnsi="Bookman Old Style"/>
          <w:bCs/>
        </w:rPr>
        <w:t xml:space="preserve">Director </w:t>
      </w:r>
      <w:r w:rsidR="00827963">
        <w:rPr>
          <w:rFonts w:ascii="Bookman Old Style" w:hAnsi="Bookman Old Style"/>
          <w:bCs/>
        </w:rPr>
        <w:t>Ejecutivo</w:t>
      </w:r>
      <w:proofErr w:type="gramEnd"/>
      <w:r w:rsidR="00827963">
        <w:rPr>
          <w:rFonts w:ascii="Bookman Old Style" w:hAnsi="Bookman Old Style"/>
          <w:bCs/>
        </w:rPr>
        <w:t xml:space="preserve"> </w:t>
      </w:r>
      <w:r w:rsidR="00862634">
        <w:rPr>
          <w:rFonts w:ascii="Bookman Old Style" w:hAnsi="Bookman Old Style"/>
          <w:bCs/>
        </w:rPr>
        <w:t>de la CREG publicará, media</w:t>
      </w:r>
      <w:r w:rsidR="00B416EB">
        <w:rPr>
          <w:rFonts w:ascii="Bookman Old Style" w:hAnsi="Bookman Old Style"/>
          <w:bCs/>
        </w:rPr>
        <w:t>n</w:t>
      </w:r>
      <w:r w:rsidR="00862634">
        <w:rPr>
          <w:rFonts w:ascii="Bookman Old Style" w:hAnsi="Bookman Old Style"/>
          <w:bCs/>
        </w:rPr>
        <w:t xml:space="preserve">te circular, el </w:t>
      </w:r>
      <w:r w:rsidR="00862634">
        <w:rPr>
          <w:rFonts w:ascii="Bookman Old Style" w:hAnsi="Bookman Old Style"/>
          <w:bCs/>
        </w:rPr>
        <w:lastRenderedPageBreak/>
        <w:t>proc</w:t>
      </w:r>
      <w:r w:rsidR="00B416EB">
        <w:rPr>
          <w:rFonts w:ascii="Bookman Old Style" w:hAnsi="Bookman Old Style"/>
          <w:bCs/>
        </w:rPr>
        <w:t>edimiento aplicable para este efecto</w:t>
      </w:r>
      <w:r w:rsidR="002153B3">
        <w:rPr>
          <w:rFonts w:ascii="Bookman Old Style" w:hAnsi="Bookman Old Style"/>
          <w:bCs/>
        </w:rPr>
        <w:t>, previa aprobación del Comité de Expertos</w:t>
      </w:r>
      <w:r w:rsidR="00B416EB">
        <w:rPr>
          <w:rFonts w:ascii="Bookman Old Style" w:hAnsi="Bookman Old Style"/>
          <w:bCs/>
        </w:rPr>
        <w:t>.</w:t>
      </w:r>
    </w:p>
    <w:p w14:paraId="02397B5D" w14:textId="07EA94FC" w:rsidR="0071191E" w:rsidRDefault="00E73CD0" w:rsidP="00A93AD0">
      <w:pPr>
        <w:pStyle w:val="Ttulo2"/>
      </w:pPr>
      <w:bookmarkStart w:id="3" w:name="_Hlk151618520"/>
      <w:r>
        <w:t xml:space="preserve">Cálculo del </w:t>
      </w:r>
      <w:r w:rsidR="00086065">
        <w:t>v</w:t>
      </w:r>
      <w:r w:rsidR="00115887">
        <w:t>alor mensual</w:t>
      </w:r>
      <w:r w:rsidR="00191063">
        <w:t xml:space="preserve"> del </w:t>
      </w:r>
      <w:r w:rsidR="00111F4C">
        <w:t>S</w:t>
      </w:r>
      <w:r w:rsidR="00191063">
        <w:t>aldo de la Opción Tarifaria</w:t>
      </w:r>
      <w:r>
        <w:t>,</w:t>
      </w:r>
      <w:r w:rsidR="00115887">
        <w:t xml:space="preserve"> </w:t>
      </w:r>
      <w:r>
        <w:t>(</w:t>
      </w:r>
      <w:proofErr w:type="spellStart"/>
      <w:proofErr w:type="gramStart"/>
      <w:r w:rsidR="00DA6167" w:rsidRPr="00DA6167">
        <w:t>SAOT</w:t>
      </w:r>
      <w:r w:rsidR="00DA6167" w:rsidRPr="00A93AD0">
        <w:rPr>
          <w:vertAlign w:val="subscript"/>
        </w:rPr>
        <w:t>n,m</w:t>
      </w:r>
      <w:proofErr w:type="gramEnd"/>
      <w:r w:rsidR="00DA6167" w:rsidRPr="00A93AD0">
        <w:rPr>
          <w:vertAlign w:val="subscript"/>
        </w:rPr>
        <w:t>,i,j</w:t>
      </w:r>
      <w:proofErr w:type="spellEnd"/>
      <w:r w:rsidRPr="00A93AD0">
        <w:t>)</w:t>
      </w:r>
      <w:r w:rsidR="00DA6167" w:rsidRPr="00DA6167">
        <w:t>:</w:t>
      </w:r>
    </w:p>
    <w:bookmarkEnd w:id="3"/>
    <w:p w14:paraId="2BD93654" w14:textId="6DFFACAC" w:rsidR="00677856" w:rsidRDefault="00677856" w:rsidP="00A93AD0">
      <w:pPr>
        <w:jc w:val="both"/>
        <w:rPr>
          <w:rFonts w:ascii="Bookman Old Style" w:hAnsi="Bookman Old Style" w:cs="Arial"/>
          <w:bCs/>
          <w:lang w:val="es-CO"/>
        </w:rPr>
      </w:pPr>
      <w:r>
        <w:rPr>
          <w:rFonts w:ascii="Bookman Old Style" w:hAnsi="Bookman Old Style" w:cs="Arial"/>
          <w:bCs/>
          <w:lang w:val="es-CO"/>
        </w:rPr>
        <w:t>La determinación de</w:t>
      </w:r>
      <w:r w:rsidRPr="00E37FF1">
        <w:rPr>
          <w:rFonts w:ascii="Bookman Old Style" w:hAnsi="Bookman Old Style" w:cs="Arial"/>
          <w:bCs/>
          <w:lang w:val="es-CO"/>
        </w:rPr>
        <w:t xml:space="preserve">l valor mensual para la recuperación del saldo de la opción tarifaria </w:t>
      </w:r>
      <w:r w:rsidR="0070022F" w:rsidRPr="0070022F">
        <w:rPr>
          <w:rFonts w:ascii="Bookman Old Style" w:hAnsi="Bookman Old Style" w:cs="Arial"/>
          <w:bCs/>
          <w:i/>
          <w:iCs/>
          <w:lang w:val="es-CO"/>
        </w:rPr>
        <w:t>(</w:t>
      </w:r>
      <w:proofErr w:type="spellStart"/>
      <w:proofErr w:type="gramStart"/>
      <w:r w:rsidR="0070022F" w:rsidRPr="0070022F">
        <w:rPr>
          <w:rFonts w:ascii="Bookman Old Style" w:hAnsi="Bookman Old Style" w:cs="Arial"/>
          <w:bCs/>
          <w:i/>
          <w:iCs/>
          <w:lang w:val="es-CO"/>
        </w:rPr>
        <w:t>SAOT</w:t>
      </w:r>
      <w:r w:rsidR="0070022F" w:rsidRPr="0070022F">
        <w:rPr>
          <w:rFonts w:ascii="Bookman Old Style" w:hAnsi="Bookman Old Style" w:cs="Arial"/>
          <w:bCs/>
          <w:i/>
          <w:iCs/>
          <w:vertAlign w:val="subscript"/>
          <w:lang w:val="es-CO"/>
        </w:rPr>
        <w:t>n,m</w:t>
      </w:r>
      <w:proofErr w:type="gramEnd"/>
      <w:r w:rsidR="0070022F" w:rsidRPr="0070022F">
        <w:rPr>
          <w:rFonts w:ascii="Bookman Old Style" w:hAnsi="Bookman Old Style" w:cs="Arial"/>
          <w:bCs/>
          <w:i/>
          <w:iCs/>
          <w:vertAlign w:val="subscript"/>
          <w:lang w:val="es-CO"/>
        </w:rPr>
        <w:t>,i,j</w:t>
      </w:r>
      <w:proofErr w:type="spellEnd"/>
      <w:r w:rsidR="0070022F" w:rsidRPr="0070022F">
        <w:rPr>
          <w:rFonts w:ascii="Bookman Old Style" w:hAnsi="Bookman Old Style" w:cs="Arial"/>
          <w:bCs/>
          <w:i/>
          <w:iCs/>
          <w:lang w:val="es-CO"/>
        </w:rPr>
        <w:t xml:space="preserve">) </w:t>
      </w:r>
      <w:r>
        <w:rPr>
          <w:rFonts w:ascii="Bookman Old Style" w:hAnsi="Bookman Old Style" w:cs="Arial"/>
          <w:bCs/>
          <w:lang w:val="es-CO"/>
        </w:rPr>
        <w:t>dependerá de</w:t>
      </w:r>
      <w:r w:rsidR="00710263">
        <w:rPr>
          <w:rFonts w:ascii="Bookman Old Style" w:hAnsi="Bookman Old Style" w:cs="Arial"/>
          <w:bCs/>
          <w:lang w:val="es-CO"/>
        </w:rPr>
        <w:t xml:space="preserve"> </w:t>
      </w:r>
      <w:r>
        <w:rPr>
          <w:rFonts w:ascii="Bookman Old Style" w:hAnsi="Bookman Old Style" w:cs="Arial"/>
          <w:bCs/>
          <w:lang w:val="es-CO"/>
        </w:rPr>
        <w:t>l</w:t>
      </w:r>
      <w:r w:rsidR="00710263">
        <w:rPr>
          <w:rFonts w:ascii="Bookman Old Style" w:hAnsi="Bookman Old Style" w:cs="Arial"/>
          <w:bCs/>
          <w:lang w:val="es-CO"/>
        </w:rPr>
        <w:t xml:space="preserve">a </w:t>
      </w:r>
      <w:r w:rsidR="0068267F">
        <w:rPr>
          <w:rFonts w:ascii="Bookman Old Style" w:hAnsi="Bookman Old Style" w:cs="Arial"/>
          <w:bCs/>
          <w:lang w:val="es-CO"/>
        </w:rPr>
        <w:t xml:space="preserve">variable </w:t>
      </w:r>
      <w:r w:rsidR="0068267F" w:rsidRPr="003A7C80">
        <w:rPr>
          <w:rFonts w:ascii="Bookman Old Style" w:hAnsi="Bookman Old Style" w:cs="Arial"/>
          <w:bCs/>
          <w:i/>
          <w:iCs/>
          <w:lang w:val="es-CO"/>
        </w:rPr>
        <w:t>SBC</w:t>
      </w:r>
      <w:r w:rsidR="0068267F" w:rsidRPr="003A7C80">
        <w:rPr>
          <w:rFonts w:ascii="Bookman Old Style" w:hAnsi="Bookman Old Style" w:cs="Arial"/>
          <w:bCs/>
          <w:i/>
          <w:iCs/>
          <w:vertAlign w:val="subscript"/>
          <w:lang w:val="es-CO"/>
        </w:rPr>
        <w:t>n,i,j,</w:t>
      </w:r>
      <w:r w:rsidR="003B48C7">
        <w:rPr>
          <w:rFonts w:ascii="Bookman Old Style" w:hAnsi="Bookman Old Style" w:cs="Arial"/>
          <w:bCs/>
          <w:i/>
          <w:iCs/>
          <w:vertAlign w:val="subscript"/>
          <w:lang w:val="es-CO"/>
        </w:rPr>
        <w:t>0</w:t>
      </w:r>
      <w:r w:rsidR="003B48C7">
        <w:rPr>
          <w:rFonts w:ascii="Bookman Old Style" w:hAnsi="Bookman Old Style" w:cs="Arial"/>
          <w:bCs/>
          <w:lang w:val="es-CO"/>
        </w:rPr>
        <w:t xml:space="preserve"> </w:t>
      </w:r>
      <w:r w:rsidR="0068267F">
        <w:rPr>
          <w:rFonts w:ascii="Bookman Old Style" w:hAnsi="Bookman Old Style" w:cs="Arial"/>
          <w:bCs/>
          <w:lang w:val="es-CO"/>
        </w:rPr>
        <w:t xml:space="preserve">que representa la </w:t>
      </w:r>
      <w:r w:rsidR="00710263">
        <w:rPr>
          <w:rFonts w:ascii="Bookman Old Style" w:hAnsi="Bookman Old Style" w:cs="Arial"/>
          <w:bCs/>
          <w:lang w:val="es-CO"/>
        </w:rPr>
        <w:t xml:space="preserve">suma </w:t>
      </w:r>
      <w:r>
        <w:rPr>
          <w:rFonts w:ascii="Bookman Old Style" w:hAnsi="Bookman Old Style" w:cs="Arial"/>
          <w:bCs/>
          <w:lang w:val="es-CO"/>
        </w:rPr>
        <w:t>del</w:t>
      </w:r>
      <w:r w:rsidR="004345C6">
        <w:rPr>
          <w:rFonts w:ascii="Bookman Old Style" w:hAnsi="Bookman Old Style" w:cs="Arial"/>
          <w:bCs/>
          <w:lang w:val="es-CO"/>
        </w:rPr>
        <w:t xml:space="preserve"> </w:t>
      </w:r>
      <w:r w:rsidR="00BC0E2B">
        <w:rPr>
          <w:rFonts w:ascii="Bookman Old Style" w:hAnsi="Bookman Old Style" w:cs="Arial"/>
          <w:bCs/>
          <w:lang w:val="es-CO"/>
        </w:rPr>
        <w:t xml:space="preserve">costo </w:t>
      </w:r>
      <w:r w:rsidR="00827A73">
        <w:rPr>
          <w:rFonts w:ascii="Bookman Old Style" w:hAnsi="Bookman Old Style" w:cs="Arial"/>
          <w:bCs/>
          <w:lang w:val="es-CO"/>
        </w:rPr>
        <w:t xml:space="preserve">por kilovatio hora </w:t>
      </w:r>
      <w:r w:rsidR="004345C6">
        <w:rPr>
          <w:rFonts w:ascii="Bookman Old Style" w:hAnsi="Bookman Old Style" w:cs="Arial"/>
          <w:bCs/>
          <w:lang w:val="es-CO"/>
        </w:rPr>
        <w:t xml:space="preserve">requerido para </w:t>
      </w:r>
      <w:r w:rsidR="00533426">
        <w:rPr>
          <w:rFonts w:ascii="Bookman Old Style" w:hAnsi="Bookman Old Style" w:cs="Arial"/>
          <w:bCs/>
          <w:lang w:val="es-CO"/>
        </w:rPr>
        <w:t>iniciar el pago del saldo y el cierre de la brecha entre la tarifa calculada y la aplicada</w:t>
      </w:r>
      <w:r w:rsidR="00897DA2">
        <w:rPr>
          <w:rFonts w:ascii="Bookman Old Style" w:hAnsi="Bookman Old Style" w:cs="Arial"/>
          <w:bCs/>
          <w:lang w:val="es-CO"/>
        </w:rPr>
        <w:t>.</w:t>
      </w:r>
    </w:p>
    <w:p w14:paraId="363295E5" w14:textId="58811A48" w:rsidR="00EA17A5" w:rsidRDefault="0016549A" w:rsidP="0016549A">
      <w:pPr>
        <w:widowControl w:val="0"/>
        <w:spacing w:before="200" w:after="200"/>
        <w:ind w:right="47"/>
        <w:jc w:val="both"/>
        <w:rPr>
          <w:rFonts w:ascii="Bookman Old Style" w:hAnsi="Bookman Old Style" w:cs="Arial"/>
          <w:bCs/>
          <w:lang w:val="es-CO"/>
        </w:rPr>
      </w:pPr>
      <w:r w:rsidRPr="00BD2E1F">
        <w:rPr>
          <w:rFonts w:ascii="Bookman Old Style" w:hAnsi="Bookman Old Style" w:cs="Arial"/>
          <w:bCs/>
          <w:lang w:val="es-CO"/>
        </w:rPr>
        <w:t xml:space="preserve">Cuando la variable </w:t>
      </w:r>
      <w:proofErr w:type="gramStart"/>
      <w:r w:rsidRPr="003A7C80">
        <w:rPr>
          <w:rFonts w:ascii="Bookman Old Style" w:hAnsi="Bookman Old Style" w:cs="Arial"/>
          <w:bCs/>
          <w:i/>
          <w:iCs/>
          <w:lang w:val="es-CO"/>
        </w:rPr>
        <w:t>SBC</w:t>
      </w:r>
      <w:r w:rsidRPr="003A7C80">
        <w:rPr>
          <w:rFonts w:ascii="Bookman Old Style" w:hAnsi="Bookman Old Style" w:cs="Arial"/>
          <w:bCs/>
          <w:i/>
          <w:iCs/>
          <w:vertAlign w:val="subscript"/>
          <w:lang w:val="es-CO"/>
        </w:rPr>
        <w:t>n,i</w:t>
      </w:r>
      <w:proofErr w:type="gramEnd"/>
      <w:r w:rsidRPr="003A7C80">
        <w:rPr>
          <w:rFonts w:ascii="Bookman Old Style" w:hAnsi="Bookman Old Style" w:cs="Arial"/>
          <w:bCs/>
          <w:i/>
          <w:iCs/>
          <w:vertAlign w:val="subscript"/>
          <w:lang w:val="es-CO"/>
        </w:rPr>
        <w:t>,j,</w:t>
      </w:r>
      <w:r w:rsidR="0001119B">
        <w:rPr>
          <w:rFonts w:ascii="Bookman Old Style" w:hAnsi="Bookman Old Style" w:cs="Arial"/>
          <w:bCs/>
          <w:i/>
          <w:iCs/>
          <w:vertAlign w:val="subscript"/>
          <w:lang w:val="es-CO"/>
        </w:rPr>
        <w:t>0</w:t>
      </w:r>
      <w:r w:rsidR="00214343">
        <w:rPr>
          <w:rFonts w:ascii="Bookman Old Style" w:hAnsi="Bookman Old Style" w:cs="Arial"/>
          <w:bCs/>
          <w:lang w:val="es-CO"/>
        </w:rPr>
        <w:t xml:space="preserve">  </w:t>
      </w:r>
      <w:r>
        <w:rPr>
          <w:rFonts w:ascii="Bookman Old Style" w:hAnsi="Bookman Old Style" w:cs="Arial"/>
          <w:bCs/>
          <w:lang w:val="es-CO"/>
        </w:rPr>
        <w:t xml:space="preserve">sea igual o menor al 3% del último costo unitario de prestación del servicio </w:t>
      </w:r>
      <w:r w:rsidR="0020509E">
        <w:rPr>
          <w:rFonts w:ascii="Bookman Old Style" w:hAnsi="Bookman Old Style" w:cs="Arial"/>
          <w:bCs/>
          <w:lang w:val="es-CO"/>
        </w:rPr>
        <w:t>aplicado</w:t>
      </w:r>
      <w:r>
        <w:rPr>
          <w:rFonts w:ascii="Bookman Old Style" w:hAnsi="Bookman Old Style" w:cs="Arial"/>
          <w:bCs/>
          <w:lang w:val="es-CO"/>
        </w:rPr>
        <w:t xml:space="preserve">, </w:t>
      </w:r>
      <w:r w:rsidRPr="00BD2E1F">
        <w:rPr>
          <w:rFonts w:ascii="Bookman Old Style" w:hAnsi="Bookman Old Style" w:cs="Arial"/>
          <w:bCs/>
          <w:lang w:val="es-CO"/>
        </w:rPr>
        <w:t xml:space="preserve">se </w:t>
      </w:r>
      <w:r w:rsidR="00B96AA6">
        <w:rPr>
          <w:rFonts w:ascii="Bookman Old Style" w:hAnsi="Bookman Old Style" w:cs="Arial"/>
          <w:bCs/>
          <w:lang w:val="es-CO"/>
        </w:rPr>
        <w:t>empleará</w:t>
      </w:r>
      <w:r>
        <w:rPr>
          <w:rFonts w:ascii="Bookman Old Style" w:hAnsi="Bookman Old Style" w:cs="Arial"/>
          <w:bCs/>
          <w:lang w:val="es-CO"/>
        </w:rPr>
        <w:t xml:space="preserve"> </w:t>
      </w:r>
      <w:r w:rsidR="007C60C0">
        <w:rPr>
          <w:rFonts w:ascii="Bookman Old Style" w:hAnsi="Bookman Old Style" w:cs="Arial"/>
          <w:bCs/>
          <w:lang w:val="es-CO"/>
        </w:rPr>
        <w:t xml:space="preserve">el cálculo del valor mensual </w:t>
      </w:r>
      <w:r w:rsidR="00EA17A5">
        <w:rPr>
          <w:rFonts w:ascii="Bookman Old Style" w:hAnsi="Bookman Old Style" w:cs="Arial"/>
          <w:bCs/>
          <w:lang w:val="es-CO"/>
        </w:rPr>
        <w:t xml:space="preserve">descrito en el numeral 2.1 del presente anexo y, en caso contrario, se </w:t>
      </w:r>
      <w:r w:rsidR="00B96AA6">
        <w:rPr>
          <w:rFonts w:ascii="Bookman Old Style" w:hAnsi="Bookman Old Style" w:cs="Arial"/>
          <w:bCs/>
          <w:lang w:val="es-CO"/>
        </w:rPr>
        <w:t xml:space="preserve">empleará </w:t>
      </w:r>
      <w:r w:rsidR="00EA17A5">
        <w:rPr>
          <w:rFonts w:ascii="Bookman Old Style" w:hAnsi="Bookman Old Style" w:cs="Arial"/>
          <w:bCs/>
          <w:lang w:val="es-CO"/>
        </w:rPr>
        <w:t>lo establecido en el numeral 2.2.</w:t>
      </w:r>
    </w:p>
    <w:p w14:paraId="1FF29A8B" w14:textId="67E10766" w:rsidR="0016549A" w:rsidRDefault="0016549A" w:rsidP="00A93AD0">
      <w:pPr>
        <w:widowControl w:val="0"/>
        <w:spacing w:before="200" w:after="200"/>
        <w:ind w:right="47"/>
        <w:jc w:val="both"/>
        <w:rPr>
          <w:rFonts w:ascii="Bookman Old Style" w:hAnsi="Bookman Old Style" w:cs="Arial"/>
          <w:bCs/>
          <w:lang w:val="es-CO"/>
        </w:rPr>
      </w:pPr>
      <w:r>
        <w:rPr>
          <w:rFonts w:ascii="Bookman Old Style" w:hAnsi="Bookman Old Style" w:cs="Arial"/>
          <w:bCs/>
          <w:lang w:val="es-CO"/>
        </w:rPr>
        <w:t xml:space="preserve">La variable </w:t>
      </w:r>
      <w:proofErr w:type="gramStart"/>
      <w:r w:rsidRPr="00070D3D">
        <w:rPr>
          <w:rFonts w:ascii="Bookman Old Style" w:hAnsi="Bookman Old Style" w:cs="Arial"/>
          <w:bCs/>
          <w:i/>
          <w:iCs/>
          <w:lang w:val="es-CO"/>
        </w:rPr>
        <w:t>SBC</w:t>
      </w:r>
      <w:r w:rsidRPr="00F8512D">
        <w:rPr>
          <w:rFonts w:ascii="Bookman Old Style" w:hAnsi="Bookman Old Style" w:cs="Arial"/>
          <w:bCs/>
          <w:i/>
          <w:iCs/>
          <w:vertAlign w:val="subscript"/>
          <w:lang w:val="es-CO"/>
        </w:rPr>
        <w:t>n,i</w:t>
      </w:r>
      <w:proofErr w:type="gramEnd"/>
      <w:r w:rsidRPr="00F8512D">
        <w:rPr>
          <w:rFonts w:ascii="Bookman Old Style" w:hAnsi="Bookman Old Style" w:cs="Arial"/>
          <w:bCs/>
          <w:i/>
          <w:iCs/>
          <w:vertAlign w:val="subscript"/>
          <w:lang w:val="es-CO"/>
        </w:rPr>
        <w:t>,j,</w:t>
      </w:r>
      <w:r w:rsidR="006804CD">
        <w:rPr>
          <w:rFonts w:ascii="Bookman Old Style" w:hAnsi="Bookman Old Style" w:cs="Arial"/>
          <w:bCs/>
          <w:i/>
          <w:iCs/>
          <w:vertAlign w:val="subscript"/>
          <w:lang w:val="es-CO"/>
        </w:rPr>
        <w:t>0</w:t>
      </w:r>
      <w:r w:rsidR="006804CD">
        <w:rPr>
          <w:rFonts w:ascii="Bookman Old Style" w:hAnsi="Bookman Old Style" w:cs="Arial"/>
          <w:bCs/>
          <w:lang w:val="es-CO"/>
        </w:rPr>
        <w:t xml:space="preserve"> </w:t>
      </w:r>
      <w:r>
        <w:rPr>
          <w:rFonts w:ascii="Bookman Old Style" w:hAnsi="Bookman Old Style" w:cs="Arial"/>
          <w:bCs/>
          <w:lang w:val="es-CO"/>
        </w:rPr>
        <w:t>se calcula de la siguiente forma:</w:t>
      </w:r>
    </w:p>
    <w:p w14:paraId="391F843D" w14:textId="4C8B12A3" w:rsidR="0016549A" w:rsidRPr="00714290" w:rsidRDefault="005E00C2" w:rsidP="0016549A">
      <w:pPr>
        <w:widowControl w:val="0"/>
        <w:spacing w:before="200" w:after="200"/>
        <w:ind w:left="709" w:right="47"/>
        <w:jc w:val="center"/>
        <w:rPr>
          <w:rFonts w:ascii="Bookman Old Style" w:hAnsi="Bookman Old Style" w:cs="Arial"/>
        </w:rPr>
      </w:pPr>
      <m:oMathPara>
        <m:oMath>
          <m:sSub>
            <m:sSubPr>
              <m:ctrlPr>
                <w:rPr>
                  <w:rFonts w:ascii="Cambria Math" w:hAnsi="Cambria Math" w:cs="Arial"/>
                  <w:bCs/>
                  <w:i/>
                  <w:lang w:val="es-CO"/>
                </w:rPr>
              </m:ctrlPr>
            </m:sSubPr>
            <m:e>
              <m:r>
                <w:rPr>
                  <w:rFonts w:ascii="Cambria Math" w:hAnsi="Cambria Math" w:cs="Arial"/>
                  <w:lang w:val="es-CO"/>
                </w:rPr>
                <m:t>SBC</m:t>
              </m:r>
            </m:e>
            <m:sub>
              <m:r>
                <w:rPr>
                  <w:rFonts w:ascii="Cambria Math" w:hAnsi="Cambria Math" w:cs="Arial"/>
                  <w:lang w:val="es-CO"/>
                </w:rPr>
                <m:t>n</m:t>
              </m:r>
              <m:r>
                <w:rPr>
                  <w:rFonts w:ascii="Cambria Math" w:hAnsi="Cambria Math" w:cs="Arial"/>
                  <w:lang w:val="es-CO"/>
                </w:rPr>
                <m:t>,</m:t>
              </m:r>
              <m:r>
                <w:rPr>
                  <w:rFonts w:ascii="Cambria Math" w:hAnsi="Cambria Math" w:cs="Arial"/>
                  <w:lang w:val="es-CO"/>
                </w:rPr>
                <m:t>i</m:t>
              </m:r>
              <m:r>
                <w:rPr>
                  <w:rFonts w:ascii="Cambria Math" w:hAnsi="Cambria Math" w:cs="Arial"/>
                  <w:lang w:val="es-CO"/>
                </w:rPr>
                <m:t>,</m:t>
              </m:r>
              <m:r>
                <w:rPr>
                  <w:rFonts w:ascii="Cambria Math" w:hAnsi="Cambria Math" w:cs="Arial"/>
                  <w:lang w:val="es-CO"/>
                </w:rPr>
                <m:t>j</m:t>
              </m:r>
              <m:r>
                <w:rPr>
                  <w:rFonts w:ascii="Cambria Math" w:hAnsi="Cambria Math" w:cs="Arial"/>
                  <w:lang w:val="es-CO"/>
                </w:rPr>
                <m:t>,0</m:t>
              </m:r>
            </m:sub>
          </m:sSub>
          <m:r>
            <w:rPr>
              <w:rFonts w:ascii="Cambria Math" w:hAnsi="Cambria Math" w:cs="Arial"/>
              <w:lang w:val="es-CO"/>
            </w:rPr>
            <m:t xml:space="preserve">= </m:t>
          </m:r>
          <m:sSub>
            <m:sSubPr>
              <m:ctrlPr>
                <w:rPr>
                  <w:rFonts w:ascii="Cambria Math" w:hAnsi="Cambria Math"/>
                </w:rPr>
              </m:ctrlPr>
            </m:sSubPr>
            <m:e>
              <m:r>
                <w:rPr>
                  <w:rFonts w:ascii="Cambria Math" w:hAnsi="Cambria Math"/>
                </w:rPr>
                <m:t>BCU</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 xml:space="preserve">,0 </m:t>
              </m:r>
            </m:sub>
          </m:sSub>
          <m:r>
            <w:rPr>
              <w:rFonts w:ascii="Cambria Math" w:hAnsi="Cambria Math"/>
            </w:rPr>
            <m:t>+</m:t>
          </m:r>
          <m:sSub>
            <m:sSubPr>
              <m:ctrlPr>
                <w:rPr>
                  <w:rFonts w:ascii="Cambria Math" w:hAnsi="Cambria Math"/>
                  <w:i/>
                </w:rPr>
              </m:ctrlPr>
            </m:sSubPr>
            <m:e>
              <m:r>
                <w:rPr>
                  <w:rFonts w:ascii="Cambria Math" w:hAnsi="Cambria Math"/>
                </w:rPr>
                <m:t>COT</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,0</m:t>
              </m:r>
            </m:sub>
          </m:sSub>
        </m:oMath>
      </m:oMathPara>
    </w:p>
    <w:p w14:paraId="4E0DD166" w14:textId="238DB425" w:rsidR="0016549A" w:rsidRPr="00243BA1" w:rsidRDefault="0016549A" w:rsidP="0016549A">
      <w:pPr>
        <w:widowControl w:val="0"/>
        <w:spacing w:before="200" w:after="200"/>
        <w:ind w:left="709" w:right="47"/>
        <w:jc w:val="both"/>
        <w:rPr>
          <w:rFonts w:ascii="Cambria Math" w:hAnsi="Cambria Math" w:cs="Arial"/>
          <w:bCs/>
          <w:i/>
          <w:lang w:val="es-CO"/>
        </w:rPr>
      </w:pPr>
      <w:r>
        <w:rPr>
          <w:rFonts w:ascii="Bookman Old Style" w:hAnsi="Bookman Old Style" w:cs="Arial"/>
          <w:bCs/>
          <w:lang w:val="es-CO"/>
        </w:rPr>
        <w:t>Donde:</w:t>
      </w:r>
    </w:p>
    <w:p w14:paraId="0327113F" w14:textId="7187D01F" w:rsidR="0016549A" w:rsidRDefault="0016549A" w:rsidP="00A93AD0">
      <w:pPr>
        <w:widowControl w:val="0"/>
        <w:spacing w:before="200" w:after="200"/>
        <w:ind w:left="2127" w:right="47" w:hanging="1418"/>
        <w:jc w:val="both"/>
        <w:rPr>
          <w:rFonts w:ascii="Bookman Old Style" w:hAnsi="Bookman Old Style" w:cs="Arial"/>
          <w:bCs/>
          <w:lang w:val="es-CO"/>
        </w:rPr>
      </w:pPr>
      <w:proofErr w:type="gramStart"/>
      <w:r w:rsidRPr="00070D3D">
        <w:rPr>
          <w:rFonts w:ascii="Bookman Old Style" w:hAnsi="Bookman Old Style" w:cs="Arial"/>
          <w:bCs/>
          <w:i/>
          <w:iCs/>
          <w:lang w:val="es-CO"/>
        </w:rPr>
        <w:t>SBC</w:t>
      </w:r>
      <w:r w:rsidRPr="00F8512D">
        <w:rPr>
          <w:rFonts w:ascii="Bookman Old Style" w:hAnsi="Bookman Old Style" w:cs="Arial"/>
          <w:bCs/>
          <w:i/>
          <w:iCs/>
          <w:vertAlign w:val="subscript"/>
          <w:lang w:val="es-CO"/>
        </w:rPr>
        <w:t>n,i</w:t>
      </w:r>
      <w:proofErr w:type="gramEnd"/>
      <w:r w:rsidRPr="00F8512D">
        <w:rPr>
          <w:rFonts w:ascii="Bookman Old Style" w:hAnsi="Bookman Old Style" w:cs="Arial"/>
          <w:bCs/>
          <w:i/>
          <w:iCs/>
          <w:vertAlign w:val="subscript"/>
          <w:lang w:val="es-CO"/>
        </w:rPr>
        <w:t>,j,</w:t>
      </w:r>
      <w:r w:rsidR="000B4D88">
        <w:rPr>
          <w:rFonts w:ascii="Bookman Old Style" w:hAnsi="Bookman Old Style" w:cs="Arial"/>
          <w:bCs/>
          <w:i/>
          <w:iCs/>
          <w:vertAlign w:val="subscript"/>
          <w:lang w:val="es-CO"/>
        </w:rPr>
        <w:t>0</w:t>
      </w:r>
      <w:r w:rsidRPr="00B6012F">
        <w:rPr>
          <w:rFonts w:ascii="Bookman Old Style" w:hAnsi="Bookman Old Style" w:cs="Arial"/>
          <w:bCs/>
          <w:i/>
          <w:iCs/>
          <w:lang w:val="es-CO"/>
        </w:rPr>
        <w:t>:</w:t>
      </w:r>
      <w:r>
        <w:rPr>
          <w:rFonts w:ascii="Bookman Old Style" w:hAnsi="Bookman Old Style" w:cs="Arial"/>
          <w:bCs/>
          <w:i/>
          <w:iCs/>
          <w:lang w:val="es-CO"/>
        </w:rPr>
        <w:tab/>
      </w:r>
      <w:r w:rsidRPr="00A93C3B">
        <w:rPr>
          <w:rFonts w:ascii="Bookman Old Style" w:hAnsi="Bookman Old Style" w:cs="Arial"/>
          <w:bCs/>
          <w:lang w:val="es-CO"/>
        </w:rPr>
        <w:t xml:space="preserve">Suma de la brecha en el CU y del costo asociado con la recuperación del saldo de la opción tarifaria, para el nivel de tensión n del comercializador minorista i, en el mercado de comercialización j, </w:t>
      </w:r>
      <w:r w:rsidR="00BD16E7">
        <w:rPr>
          <w:rFonts w:ascii="Bookman Old Style" w:hAnsi="Bookman Old Style" w:cs="Arial"/>
          <w:bCs/>
          <w:lang w:val="es-CO"/>
        </w:rPr>
        <w:t xml:space="preserve">una vez el </w:t>
      </w:r>
      <w:r w:rsidR="00120D3C">
        <w:rPr>
          <w:rFonts w:ascii="Bookman Old Style" w:hAnsi="Bookman Old Style" w:cs="Arial"/>
          <w:bCs/>
          <w:lang w:val="es-CO"/>
        </w:rPr>
        <w:t xml:space="preserve">comercializador se </w:t>
      </w:r>
      <w:r w:rsidR="00113A1F" w:rsidRPr="00113A1F">
        <w:rPr>
          <w:rFonts w:ascii="Bookman Old Style" w:hAnsi="Bookman Old Style" w:cs="Arial"/>
          <w:bCs/>
          <w:lang w:val="es-CO"/>
        </w:rPr>
        <w:t>aco</w:t>
      </w:r>
      <w:r w:rsidR="00120D3C">
        <w:rPr>
          <w:rFonts w:ascii="Bookman Old Style" w:hAnsi="Bookman Old Style" w:cs="Arial"/>
          <w:bCs/>
          <w:lang w:val="es-CO"/>
        </w:rPr>
        <w:t>ja</w:t>
      </w:r>
      <w:r w:rsidR="00113A1F" w:rsidRPr="00113A1F">
        <w:rPr>
          <w:rFonts w:ascii="Bookman Old Style" w:hAnsi="Bookman Old Style" w:cs="Arial"/>
          <w:bCs/>
          <w:lang w:val="es-CO"/>
        </w:rPr>
        <w:t xml:space="preserve"> a las medidas incorporadas en la presente resolución,</w:t>
      </w:r>
      <w:r w:rsidR="002174CF">
        <w:rPr>
          <w:rFonts w:ascii="Bookman Old Style" w:hAnsi="Bookman Old Style" w:cs="Arial"/>
          <w:bCs/>
          <w:lang w:val="es-CO"/>
        </w:rPr>
        <w:t xml:space="preserve"> </w:t>
      </w:r>
      <w:r w:rsidRPr="00A93C3B">
        <w:rPr>
          <w:rFonts w:ascii="Bookman Old Style" w:hAnsi="Bookman Old Style" w:cs="Arial"/>
          <w:bCs/>
          <w:lang w:val="es-CO"/>
        </w:rPr>
        <w:t>expresado en $/kWh.</w:t>
      </w:r>
    </w:p>
    <w:p w14:paraId="47964987" w14:textId="02483132" w:rsidR="00977E9C" w:rsidRDefault="0016549A" w:rsidP="00A93AD0">
      <w:pPr>
        <w:widowControl w:val="0"/>
        <w:spacing w:before="200" w:after="200"/>
        <w:ind w:left="2127" w:right="47" w:hanging="1418"/>
        <w:jc w:val="both"/>
        <w:rPr>
          <w:rFonts w:ascii="Bookman Old Style" w:hAnsi="Bookman Old Style"/>
          <w:bCs/>
        </w:rPr>
      </w:pPr>
      <w:proofErr w:type="gramStart"/>
      <w:r w:rsidRPr="00ED0D64">
        <w:rPr>
          <w:rFonts w:ascii="Bookman Old Style" w:hAnsi="Bookman Old Style"/>
          <w:i/>
          <w:iCs/>
        </w:rPr>
        <w:t>COT</w:t>
      </w:r>
      <w:r w:rsidRPr="00ED0D64">
        <w:rPr>
          <w:rFonts w:ascii="Bookman Old Style" w:hAnsi="Bookman Old Style"/>
          <w:i/>
          <w:iCs/>
          <w:vertAlign w:val="subscript"/>
        </w:rPr>
        <w:t>n,i</w:t>
      </w:r>
      <w:proofErr w:type="gramEnd"/>
      <w:r w:rsidRPr="00ED0D64">
        <w:rPr>
          <w:rFonts w:ascii="Bookman Old Style" w:hAnsi="Bookman Old Style"/>
          <w:i/>
          <w:iCs/>
          <w:vertAlign w:val="subscript"/>
        </w:rPr>
        <w:t>,j,</w:t>
      </w:r>
      <w:r w:rsidR="000B4D88">
        <w:rPr>
          <w:rFonts w:ascii="Bookman Old Style" w:hAnsi="Bookman Old Style"/>
          <w:i/>
          <w:iCs/>
          <w:vertAlign w:val="subscript"/>
        </w:rPr>
        <w:t>0</w:t>
      </w:r>
      <w:r w:rsidRPr="00ED0D64">
        <w:rPr>
          <w:rFonts w:ascii="Bookman Old Style" w:hAnsi="Bookman Old Style"/>
        </w:rPr>
        <w:t>:</w:t>
      </w:r>
      <w:r w:rsidRPr="00ED0D64">
        <w:rPr>
          <w:rFonts w:ascii="Bookman Old Style" w:hAnsi="Bookman Old Style"/>
        </w:rPr>
        <w:tab/>
        <w:t xml:space="preserve">Costo asociado con la recuperación del saldo de la opción tarifaria del nivel de tensión </w:t>
      </w:r>
      <w:r w:rsidRPr="00ED0D64">
        <w:rPr>
          <w:rFonts w:ascii="Bookman Old Style" w:hAnsi="Bookman Old Style"/>
          <w:i/>
          <w:iCs/>
        </w:rPr>
        <w:t>n</w:t>
      </w:r>
      <w:r w:rsidRPr="00ED0D64">
        <w:rPr>
          <w:rFonts w:ascii="Bookman Old Style" w:hAnsi="Bookman Old Style"/>
        </w:rPr>
        <w:t xml:space="preserve">, del comercializador </w:t>
      </w:r>
      <w:r w:rsidRPr="00ED0D64">
        <w:rPr>
          <w:rFonts w:ascii="Bookman Old Style" w:hAnsi="Bookman Old Style"/>
          <w:i/>
          <w:iCs/>
        </w:rPr>
        <w:t>i</w:t>
      </w:r>
      <w:r w:rsidRPr="00ED0D64">
        <w:rPr>
          <w:rFonts w:ascii="Bookman Old Style" w:hAnsi="Bookman Old Style"/>
        </w:rPr>
        <w:t xml:space="preserve">, en el mercado de comercialización </w:t>
      </w:r>
      <w:r w:rsidRPr="00ED0D64">
        <w:rPr>
          <w:rFonts w:ascii="Bookman Old Style" w:hAnsi="Bookman Old Style"/>
          <w:i/>
          <w:iCs/>
        </w:rPr>
        <w:t>j</w:t>
      </w:r>
      <w:r w:rsidR="002174CF">
        <w:rPr>
          <w:rFonts w:ascii="Bookman Old Style" w:hAnsi="Bookman Old Style"/>
        </w:rPr>
        <w:t xml:space="preserve">, </w:t>
      </w:r>
      <w:r w:rsidR="002174CF">
        <w:rPr>
          <w:rFonts w:ascii="Bookman Old Style" w:hAnsi="Bookman Old Style" w:cs="Arial"/>
          <w:bCs/>
          <w:lang w:val="es-CO"/>
        </w:rPr>
        <w:t xml:space="preserve">una vez que el comercializador se </w:t>
      </w:r>
      <w:r w:rsidR="002174CF" w:rsidRPr="00113A1F">
        <w:rPr>
          <w:rFonts w:ascii="Bookman Old Style" w:hAnsi="Bookman Old Style" w:cs="Arial"/>
          <w:bCs/>
          <w:lang w:val="es-CO"/>
        </w:rPr>
        <w:t>aco</w:t>
      </w:r>
      <w:r w:rsidR="002174CF">
        <w:rPr>
          <w:rFonts w:ascii="Bookman Old Style" w:hAnsi="Bookman Old Style" w:cs="Arial"/>
          <w:bCs/>
          <w:lang w:val="es-CO"/>
        </w:rPr>
        <w:t>ja</w:t>
      </w:r>
      <w:r w:rsidR="002174CF" w:rsidRPr="00113A1F">
        <w:rPr>
          <w:rFonts w:ascii="Bookman Old Style" w:hAnsi="Bookman Old Style" w:cs="Arial"/>
          <w:bCs/>
          <w:lang w:val="es-CO"/>
        </w:rPr>
        <w:t xml:space="preserve"> a las medidas incorporadas en la presente resolución,</w:t>
      </w:r>
      <w:r w:rsidR="00A24143">
        <w:rPr>
          <w:rFonts w:ascii="Bookman Old Style" w:hAnsi="Bookman Old Style" w:cs="Arial"/>
          <w:bCs/>
          <w:lang w:val="es-CO"/>
        </w:rPr>
        <w:t xml:space="preserve"> </w:t>
      </w:r>
      <w:r w:rsidRPr="00ED0D64">
        <w:rPr>
          <w:rFonts w:ascii="Bookman Old Style" w:hAnsi="Bookman Old Style"/>
        </w:rPr>
        <w:t xml:space="preserve"> </w:t>
      </w:r>
      <w:r w:rsidRPr="00ED0D64">
        <w:rPr>
          <w:rFonts w:ascii="Bookman Old Style" w:hAnsi="Bookman Old Style"/>
          <w:bCs/>
        </w:rPr>
        <w:t>expresado en $/kWh.</w:t>
      </w:r>
      <w:r w:rsidR="00642F7B">
        <w:rPr>
          <w:rFonts w:ascii="Bookman Old Style" w:hAnsi="Bookman Old Style"/>
          <w:bCs/>
        </w:rPr>
        <w:t xml:space="preserve"> </w:t>
      </w:r>
    </w:p>
    <w:p w14:paraId="0CCD538A" w14:textId="4F4D5BB4" w:rsidR="0016549A" w:rsidRDefault="00FC592A" w:rsidP="00191063">
      <w:pPr>
        <w:widowControl w:val="0"/>
        <w:spacing w:before="200" w:after="200"/>
        <w:ind w:left="2127" w:right="47"/>
        <w:jc w:val="both"/>
        <w:rPr>
          <w:rFonts w:ascii="Bookman Old Style" w:hAnsi="Bookman Old Style" w:cs="Arial"/>
          <w:bCs/>
        </w:rPr>
      </w:pPr>
      <w:r>
        <w:rPr>
          <w:rFonts w:ascii="Bookman Old Style" w:hAnsi="Bookman Old Style"/>
          <w:bCs/>
        </w:rPr>
        <w:t xml:space="preserve">El cálculo de esta variable se debe efectuar </w:t>
      </w:r>
      <w:r w:rsidR="00E6463B">
        <w:rPr>
          <w:rFonts w:ascii="Bookman Old Style" w:hAnsi="Bookman Old Style"/>
          <w:bCs/>
        </w:rPr>
        <w:t xml:space="preserve">con base en lo establecido en el numeral </w:t>
      </w:r>
      <w:r w:rsidR="00E6463B">
        <w:rPr>
          <w:rFonts w:ascii="Bookman Old Style" w:hAnsi="Bookman Old Style"/>
          <w:bCs/>
        </w:rPr>
        <w:fldChar w:fldCharType="begin"/>
      </w:r>
      <w:r w:rsidR="00E6463B">
        <w:rPr>
          <w:rFonts w:ascii="Bookman Old Style" w:hAnsi="Bookman Old Style"/>
          <w:bCs/>
        </w:rPr>
        <w:instrText xml:space="preserve"> REF _Ref152076210 \r \h </w:instrText>
      </w:r>
      <w:r w:rsidR="00E6463B">
        <w:rPr>
          <w:rFonts w:ascii="Bookman Old Style" w:hAnsi="Bookman Old Style"/>
          <w:bCs/>
        </w:rPr>
      </w:r>
      <w:r w:rsidR="00E6463B">
        <w:rPr>
          <w:rFonts w:ascii="Bookman Old Style" w:hAnsi="Bookman Old Style"/>
          <w:bCs/>
        </w:rPr>
        <w:fldChar w:fldCharType="separate"/>
      </w:r>
      <w:r w:rsidR="00E6463B">
        <w:rPr>
          <w:rFonts w:ascii="Bookman Old Style" w:hAnsi="Bookman Old Style"/>
          <w:bCs/>
        </w:rPr>
        <w:t>2.1</w:t>
      </w:r>
      <w:r w:rsidR="00E6463B">
        <w:rPr>
          <w:rFonts w:ascii="Bookman Old Style" w:hAnsi="Bookman Old Style"/>
          <w:bCs/>
        </w:rPr>
        <w:fldChar w:fldCharType="end"/>
      </w:r>
      <w:r w:rsidR="00E6463B">
        <w:rPr>
          <w:rFonts w:ascii="Bookman Old Style" w:hAnsi="Bookman Old Style"/>
          <w:bCs/>
        </w:rPr>
        <w:t xml:space="preserve"> de este anexo, </w:t>
      </w:r>
      <w:r>
        <w:rPr>
          <w:rFonts w:ascii="Bookman Old Style" w:hAnsi="Bookman Old Style"/>
          <w:bCs/>
        </w:rPr>
        <w:t xml:space="preserve">considerando la variable </w:t>
      </w:r>
      <w:proofErr w:type="spellStart"/>
      <w:r w:rsidRPr="004520AB">
        <w:rPr>
          <w:rFonts w:ascii="Bookman Old Style" w:hAnsi="Bookman Old Style"/>
          <w:bCs/>
          <w:i/>
          <w:iCs/>
        </w:rPr>
        <w:t>ma</w:t>
      </w:r>
      <w:proofErr w:type="spellEnd"/>
      <w:r w:rsidR="00A907CE">
        <w:rPr>
          <w:rFonts w:ascii="Bookman Old Style" w:hAnsi="Bookman Old Style"/>
          <w:bCs/>
        </w:rPr>
        <w:t>=</w:t>
      </w:r>
      <w:r w:rsidR="00FB57BA">
        <w:rPr>
          <w:rFonts w:ascii="Bookman Old Style" w:hAnsi="Bookman Old Style"/>
          <w:bCs/>
        </w:rPr>
        <w:t>120 meses.</w:t>
      </w:r>
    </w:p>
    <w:p w14:paraId="3C0A8AB6" w14:textId="7FCF9CB2" w:rsidR="0016549A" w:rsidRPr="00A93C3B" w:rsidRDefault="0016549A" w:rsidP="00A93AD0">
      <w:pPr>
        <w:widowControl w:val="0"/>
        <w:spacing w:before="200" w:after="200"/>
        <w:ind w:left="2127" w:right="47" w:hanging="1418"/>
        <w:jc w:val="both"/>
        <w:rPr>
          <w:rFonts w:ascii="Bookman Old Style" w:hAnsi="Bookman Old Style" w:cs="Arial"/>
          <w:bCs/>
          <w:lang w:val="es-CO"/>
        </w:rPr>
      </w:pPr>
      <w:proofErr w:type="gramStart"/>
      <w:r w:rsidRPr="004B072E">
        <w:rPr>
          <w:rFonts w:ascii="Bookman Old Style" w:hAnsi="Bookman Old Style" w:cs="Arial"/>
          <w:i/>
          <w:lang w:val="es-CO"/>
        </w:rPr>
        <w:t>BCU</w:t>
      </w:r>
      <w:r w:rsidRPr="004B072E">
        <w:rPr>
          <w:rFonts w:ascii="Bookman Old Style" w:hAnsi="Bookman Old Style" w:cs="Arial"/>
          <w:i/>
          <w:vertAlign w:val="subscript"/>
          <w:lang w:val="es-CO"/>
        </w:rPr>
        <w:t>n,i</w:t>
      </w:r>
      <w:proofErr w:type="gramEnd"/>
      <w:r w:rsidRPr="004B072E">
        <w:rPr>
          <w:rFonts w:ascii="Bookman Old Style" w:hAnsi="Bookman Old Style" w:cs="Arial"/>
          <w:i/>
          <w:vertAlign w:val="subscript"/>
          <w:lang w:val="es-CO"/>
        </w:rPr>
        <w:t>,j</w:t>
      </w:r>
      <w:r w:rsidR="00373FFD">
        <w:rPr>
          <w:rFonts w:ascii="Bookman Old Style" w:hAnsi="Bookman Old Style" w:cs="Arial"/>
          <w:i/>
          <w:vertAlign w:val="subscript"/>
          <w:lang w:val="es-CO"/>
        </w:rPr>
        <w:t>,</w:t>
      </w:r>
      <w:r w:rsidR="004520AB">
        <w:rPr>
          <w:rFonts w:ascii="Bookman Old Style" w:hAnsi="Bookman Old Style" w:cs="Arial"/>
          <w:i/>
          <w:vertAlign w:val="subscript"/>
          <w:lang w:val="es-CO"/>
        </w:rPr>
        <w:t>0</w:t>
      </w:r>
      <w:r w:rsidRPr="004B072E">
        <w:rPr>
          <w:rFonts w:ascii="Bookman Old Style" w:hAnsi="Bookman Old Style" w:cs="Arial"/>
          <w:i/>
          <w:lang w:val="es-CO"/>
        </w:rPr>
        <w:t>:</w:t>
      </w:r>
      <w:r w:rsidRPr="00BD2E1F">
        <w:rPr>
          <w:rFonts w:ascii="Bookman Old Style" w:hAnsi="Bookman Old Style" w:cs="Arial"/>
          <w:bCs/>
          <w:lang w:val="es-CO"/>
        </w:rPr>
        <w:tab/>
        <w:t>Brecha en el CU, corresponde a la diferencia entre el componente variable del CU calculado y el componente variable del CU aplicado en el mes m, para el nivel de tensión n del comercializador minorista i, en el mercado de comercialización j</w:t>
      </w:r>
      <w:r>
        <w:rPr>
          <w:rFonts w:ascii="Bookman Old Style" w:hAnsi="Bookman Old Style" w:cs="Arial"/>
          <w:bCs/>
          <w:lang w:val="es-CO"/>
        </w:rPr>
        <w:t>, calculado según la siguiente expresión</w:t>
      </w:r>
      <w:r w:rsidR="00A24143">
        <w:rPr>
          <w:rFonts w:ascii="Bookman Old Style" w:hAnsi="Bookman Old Style" w:cs="Arial"/>
          <w:bCs/>
          <w:lang w:val="es-CO"/>
        </w:rPr>
        <w:t xml:space="preserve">, calculada una vez el comercializador se </w:t>
      </w:r>
      <w:r w:rsidR="00A24143" w:rsidRPr="00113A1F">
        <w:rPr>
          <w:rFonts w:ascii="Bookman Old Style" w:hAnsi="Bookman Old Style" w:cs="Arial"/>
          <w:bCs/>
          <w:lang w:val="es-CO"/>
        </w:rPr>
        <w:t>aco</w:t>
      </w:r>
      <w:r w:rsidR="00A24143">
        <w:rPr>
          <w:rFonts w:ascii="Bookman Old Style" w:hAnsi="Bookman Old Style" w:cs="Arial"/>
          <w:bCs/>
          <w:lang w:val="es-CO"/>
        </w:rPr>
        <w:t>ja</w:t>
      </w:r>
      <w:r w:rsidR="00A24143" w:rsidRPr="00113A1F">
        <w:rPr>
          <w:rFonts w:ascii="Bookman Old Style" w:hAnsi="Bookman Old Style" w:cs="Arial"/>
          <w:bCs/>
          <w:lang w:val="es-CO"/>
        </w:rPr>
        <w:t xml:space="preserve"> a las medidas incorporadas en la presente resolución</w:t>
      </w:r>
      <w:r>
        <w:rPr>
          <w:rFonts w:ascii="Bookman Old Style" w:hAnsi="Bookman Old Style" w:cs="Arial"/>
          <w:bCs/>
          <w:lang w:val="es-CO"/>
        </w:rPr>
        <w:t>:</w:t>
      </w:r>
      <w:r w:rsidRPr="00BD2E1F">
        <w:rPr>
          <w:rFonts w:ascii="Bookman Old Style" w:hAnsi="Bookman Old Style" w:cs="Arial"/>
          <w:bCs/>
          <w:lang w:val="es-CO"/>
        </w:rPr>
        <w:t xml:space="preserve">  </w:t>
      </w:r>
    </w:p>
    <w:p w14:paraId="7B782DB7" w14:textId="228DF671" w:rsidR="0016549A" w:rsidRPr="000A29D6" w:rsidRDefault="005E00C2" w:rsidP="0016549A">
      <w:pPr>
        <w:ind w:firstLine="2268"/>
        <w:rPr>
          <w:highlight w:val="lightGray"/>
        </w:rPr>
      </w:pPr>
      <m:oMathPara>
        <m:oMath>
          <m:sSub>
            <m:sSubPr>
              <m:ctrlPr>
                <w:rPr>
                  <w:rFonts w:ascii="Cambria Math" w:hAnsi="Cambria Math"/>
                </w:rPr>
              </m:ctrlPr>
            </m:sSubPr>
            <m:e>
              <m:r>
                <w:rPr>
                  <w:rFonts w:ascii="Cambria Math" w:hAnsi="Cambria Math"/>
                </w:rPr>
                <m:t>BCU</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CU</m:t>
              </m:r>
            </m:e>
            <m:sub>
              <m:sSup>
                <m:sSupPr>
                  <m:ctrlPr>
                    <w:rPr>
                      <w:rFonts w:ascii="Cambria Math" w:hAnsi="Cambria Math"/>
                      <w:i/>
                    </w:rPr>
                  </m:ctrlPr>
                </m:sSupPr>
                <m:e>
                  <m:r>
                    <w:rPr>
                      <w:rFonts w:ascii="Cambria Math" w:hAnsi="Cambria Math"/>
                    </w:rPr>
                    <m:t>V</m:t>
                  </m:r>
                </m:e>
                <m:sup>
                  <m:r>
                    <w:rPr>
                      <w:rFonts w:ascii="Cambria Math" w:hAnsi="Cambria Math"/>
                    </w:rPr>
                    <m:t>c</m:t>
                  </m:r>
                </m:sup>
              </m:sSup>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CUv</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oMath>
      </m:oMathPara>
    </w:p>
    <w:p w14:paraId="4C7EAC95" w14:textId="77777777" w:rsidR="0016549A" w:rsidRPr="00BD2E1F" w:rsidRDefault="0016549A" w:rsidP="00A93AD0">
      <w:pPr>
        <w:widowControl w:val="0"/>
        <w:spacing w:before="200" w:after="200"/>
        <w:ind w:left="2127" w:right="47" w:hanging="1418"/>
        <w:jc w:val="both"/>
        <w:rPr>
          <w:rFonts w:ascii="Bookman Old Style" w:hAnsi="Bookman Old Style" w:cs="Arial"/>
          <w:bCs/>
          <w:lang w:val="es-CO"/>
        </w:rPr>
      </w:pPr>
      <w:r w:rsidRPr="00BD2E1F">
        <w:rPr>
          <w:rFonts w:ascii="Bookman Old Style" w:hAnsi="Bookman Old Style" w:cs="Arial"/>
          <w:bCs/>
          <w:lang w:val="es-CO"/>
        </w:rPr>
        <w:t>Donde:</w:t>
      </w:r>
    </w:p>
    <w:p w14:paraId="32AFA792" w14:textId="77777777" w:rsidR="0016549A" w:rsidRPr="00BD2E1F" w:rsidRDefault="0016549A" w:rsidP="00A93AD0">
      <w:pPr>
        <w:widowControl w:val="0"/>
        <w:spacing w:before="200" w:after="200"/>
        <w:ind w:left="2127" w:right="47" w:hanging="1418"/>
        <w:jc w:val="both"/>
        <w:rPr>
          <w:rFonts w:ascii="Bookman Old Style" w:hAnsi="Bookman Old Style" w:cs="Arial"/>
          <w:bCs/>
          <w:lang w:val="es-CO"/>
        </w:rPr>
      </w:pPr>
      <w:proofErr w:type="spellStart"/>
      <w:proofErr w:type="gramStart"/>
      <w:r w:rsidRPr="004B072E">
        <w:rPr>
          <w:rFonts w:ascii="Bookman Old Style" w:hAnsi="Bookman Old Style" w:cs="Arial"/>
          <w:i/>
          <w:lang w:val="es-CO"/>
        </w:rPr>
        <w:t>CUv</w:t>
      </w:r>
      <w:r w:rsidRPr="004B072E">
        <w:rPr>
          <w:rFonts w:ascii="Bookman Old Style" w:hAnsi="Bookman Old Style" w:cs="Arial"/>
          <w:i/>
          <w:vertAlign w:val="subscript"/>
          <w:lang w:val="es-CO"/>
        </w:rPr>
        <w:t>n,m</w:t>
      </w:r>
      <w:proofErr w:type="gramEnd"/>
      <w:r w:rsidRPr="004B072E">
        <w:rPr>
          <w:rFonts w:ascii="Bookman Old Style" w:hAnsi="Bookman Old Style" w:cs="Arial"/>
          <w:i/>
          <w:vertAlign w:val="subscript"/>
          <w:lang w:val="es-CO"/>
        </w:rPr>
        <w:t>,i,j</w:t>
      </w:r>
      <w:proofErr w:type="spellEnd"/>
      <w:r w:rsidRPr="00BD2E1F">
        <w:rPr>
          <w:rFonts w:ascii="Bookman Old Style" w:hAnsi="Bookman Old Style" w:cs="Arial"/>
          <w:bCs/>
          <w:lang w:val="es-CO"/>
        </w:rPr>
        <w:t>:</w:t>
      </w:r>
      <w:r>
        <w:rPr>
          <w:rFonts w:ascii="Bookman Old Style" w:hAnsi="Bookman Old Style" w:cs="Arial"/>
          <w:bCs/>
          <w:lang w:val="es-CO"/>
        </w:rPr>
        <w:tab/>
      </w:r>
      <w:r w:rsidRPr="00BD2E1F">
        <w:rPr>
          <w:rFonts w:ascii="Bookman Old Style" w:hAnsi="Bookman Old Style" w:cs="Arial"/>
          <w:bCs/>
          <w:lang w:val="es-CO"/>
        </w:rPr>
        <w:t xml:space="preserve">Componente variable del CU </w:t>
      </w:r>
      <w:r>
        <w:rPr>
          <w:rFonts w:ascii="Bookman Old Style" w:hAnsi="Bookman Old Style" w:cs="Arial"/>
          <w:bCs/>
          <w:lang w:val="es-CO"/>
        </w:rPr>
        <w:t xml:space="preserve">aplicado </w:t>
      </w:r>
      <w:r w:rsidRPr="00BD2E1F">
        <w:rPr>
          <w:rFonts w:ascii="Bookman Old Style" w:hAnsi="Bookman Old Style" w:cs="Arial"/>
          <w:bCs/>
          <w:lang w:val="es-CO"/>
        </w:rPr>
        <w:t xml:space="preserve">en el mes m, para el nivel de tensión </w:t>
      </w:r>
      <w:r w:rsidRPr="00D74E6D">
        <w:rPr>
          <w:rFonts w:ascii="Bookman Old Style" w:hAnsi="Bookman Old Style" w:cs="Arial"/>
          <w:i/>
          <w:lang w:val="es-CO"/>
        </w:rPr>
        <w:t>n</w:t>
      </w:r>
      <w:r w:rsidRPr="00BD2E1F">
        <w:rPr>
          <w:rFonts w:ascii="Bookman Old Style" w:hAnsi="Bookman Old Style" w:cs="Arial"/>
          <w:bCs/>
          <w:lang w:val="es-CO"/>
        </w:rPr>
        <w:t xml:space="preserve"> del comercializador minorista </w:t>
      </w:r>
      <w:r w:rsidRPr="00D74E6D">
        <w:rPr>
          <w:rFonts w:ascii="Bookman Old Style" w:hAnsi="Bookman Old Style" w:cs="Arial"/>
          <w:i/>
          <w:lang w:val="es-CO"/>
        </w:rPr>
        <w:t>i</w:t>
      </w:r>
      <w:r w:rsidRPr="00BD2E1F">
        <w:rPr>
          <w:rFonts w:ascii="Bookman Old Style" w:hAnsi="Bookman Old Style" w:cs="Arial"/>
          <w:bCs/>
          <w:lang w:val="es-CO"/>
        </w:rPr>
        <w:t xml:space="preserve">, en el mercado de comercialización </w:t>
      </w:r>
      <w:r w:rsidRPr="00D74E6D">
        <w:rPr>
          <w:rFonts w:ascii="Bookman Old Style" w:hAnsi="Bookman Old Style" w:cs="Arial"/>
          <w:i/>
          <w:lang w:val="es-CO"/>
        </w:rPr>
        <w:t>j</w:t>
      </w:r>
      <w:r w:rsidRPr="00BD2E1F">
        <w:rPr>
          <w:rFonts w:ascii="Bookman Old Style" w:hAnsi="Bookman Old Style" w:cs="Arial"/>
          <w:bCs/>
          <w:lang w:val="es-CO"/>
        </w:rPr>
        <w:t xml:space="preserve">, expresado en $/kWh. Correspondiente al valor calculado con base en el artículo 2 </w:t>
      </w:r>
      <w:r w:rsidRPr="00BD2E1F">
        <w:rPr>
          <w:rFonts w:ascii="Bookman Old Style" w:hAnsi="Bookman Old Style" w:cs="Arial"/>
          <w:bCs/>
          <w:lang w:val="es-CO"/>
        </w:rPr>
        <w:lastRenderedPageBreak/>
        <w:t xml:space="preserve">de la Resolución CREG 012 de 2020.  </w:t>
      </w:r>
    </w:p>
    <w:p w14:paraId="17BC64E8" w14:textId="734022B0" w:rsidR="0016549A" w:rsidRPr="00BD2E1F" w:rsidRDefault="0016549A" w:rsidP="00A93AD0">
      <w:pPr>
        <w:widowControl w:val="0"/>
        <w:spacing w:before="200" w:after="200"/>
        <w:ind w:left="2127" w:right="47" w:hanging="1418"/>
        <w:jc w:val="both"/>
        <w:rPr>
          <w:rFonts w:ascii="Bookman Old Style" w:hAnsi="Bookman Old Style" w:cs="Arial"/>
          <w:bCs/>
          <w:lang w:val="es-CO"/>
        </w:rPr>
      </w:pPr>
      <w:proofErr w:type="spellStart"/>
      <w:proofErr w:type="gramStart"/>
      <w:r w:rsidRPr="004B072E">
        <w:rPr>
          <w:rFonts w:ascii="Bookman Old Style" w:hAnsi="Bookman Old Style" w:cs="Arial"/>
          <w:i/>
          <w:lang w:val="es-CO"/>
        </w:rPr>
        <w:t>CUv</w:t>
      </w:r>
      <w:r w:rsidRPr="004B072E">
        <w:rPr>
          <w:rFonts w:ascii="Bookman Old Style" w:hAnsi="Bookman Old Style" w:cs="Arial"/>
          <w:i/>
          <w:vertAlign w:val="superscript"/>
          <w:lang w:val="es-CO"/>
        </w:rPr>
        <w:t>C</w:t>
      </w:r>
      <w:r w:rsidRPr="004B072E">
        <w:rPr>
          <w:rFonts w:ascii="Bookman Old Style" w:hAnsi="Bookman Old Style" w:cs="Arial"/>
          <w:i/>
          <w:vertAlign w:val="subscript"/>
          <w:lang w:val="es-CO"/>
        </w:rPr>
        <w:t>n,m</w:t>
      </w:r>
      <w:proofErr w:type="gramEnd"/>
      <w:r w:rsidRPr="004B072E">
        <w:rPr>
          <w:rFonts w:ascii="Bookman Old Style" w:hAnsi="Bookman Old Style" w:cs="Arial"/>
          <w:i/>
          <w:vertAlign w:val="subscript"/>
          <w:lang w:val="es-CO"/>
        </w:rPr>
        <w:t>,i,j</w:t>
      </w:r>
      <w:proofErr w:type="spellEnd"/>
      <w:r w:rsidRPr="00BD2E1F">
        <w:rPr>
          <w:rFonts w:ascii="Bookman Old Style" w:hAnsi="Bookman Old Style" w:cs="Arial"/>
          <w:bCs/>
          <w:lang w:val="es-CO"/>
        </w:rPr>
        <w:t>:</w:t>
      </w:r>
      <w:r w:rsidRPr="00BD2E1F">
        <w:rPr>
          <w:rFonts w:ascii="Bookman Old Style" w:hAnsi="Bookman Old Style" w:cs="Arial"/>
          <w:bCs/>
          <w:lang w:val="es-CO"/>
        </w:rPr>
        <w:tab/>
        <w:t xml:space="preserve">Componente variable del CU, calculado para el mes m, conforme la resolución vigente, para los usuarios conectados en el nivel de tensión </w:t>
      </w:r>
      <w:r w:rsidRPr="00735933">
        <w:rPr>
          <w:rFonts w:ascii="Bookman Old Style" w:hAnsi="Bookman Old Style" w:cs="Arial"/>
          <w:i/>
          <w:lang w:val="es-CO"/>
        </w:rPr>
        <w:t>n</w:t>
      </w:r>
      <w:r w:rsidRPr="00BD2E1F">
        <w:rPr>
          <w:rFonts w:ascii="Bookman Old Style" w:hAnsi="Bookman Old Style" w:cs="Arial"/>
          <w:bCs/>
          <w:lang w:val="es-CO"/>
        </w:rPr>
        <w:t xml:space="preserve"> del comercializador minorista</w:t>
      </w:r>
      <w:r w:rsidRPr="00735933">
        <w:rPr>
          <w:rFonts w:ascii="Bookman Old Style" w:hAnsi="Bookman Old Style" w:cs="Arial"/>
          <w:i/>
          <w:lang w:val="es-CO"/>
        </w:rPr>
        <w:t xml:space="preserve"> i</w:t>
      </w:r>
      <w:r w:rsidRPr="00BD2E1F">
        <w:rPr>
          <w:rFonts w:ascii="Bookman Old Style" w:hAnsi="Bookman Old Style" w:cs="Arial"/>
          <w:bCs/>
          <w:lang w:val="es-CO"/>
        </w:rPr>
        <w:t xml:space="preserve">, en el mercado de comercialización </w:t>
      </w:r>
      <w:r w:rsidRPr="00241B1D">
        <w:rPr>
          <w:rFonts w:ascii="Bookman Old Style" w:hAnsi="Bookman Old Style" w:cs="Arial"/>
          <w:i/>
          <w:lang w:val="es-CO"/>
        </w:rPr>
        <w:t>j.</w:t>
      </w:r>
      <w:r w:rsidRPr="00BD2E1F">
        <w:rPr>
          <w:rFonts w:ascii="Bookman Old Style" w:hAnsi="Bookman Old Style" w:cs="Arial"/>
          <w:bCs/>
          <w:lang w:val="es-CO"/>
        </w:rPr>
        <w:t xml:space="preserve"> expresado en $/kWh. Correspondiente al valor calculado con base en la Resolución CREG </w:t>
      </w:r>
      <w:r>
        <w:rPr>
          <w:rFonts w:ascii="Bookman Old Style" w:hAnsi="Bookman Old Style" w:cs="Arial"/>
          <w:bCs/>
          <w:lang w:val="es-CO"/>
        </w:rPr>
        <w:t>119</w:t>
      </w:r>
      <w:r w:rsidRPr="00BD2E1F">
        <w:rPr>
          <w:rFonts w:ascii="Bookman Old Style" w:hAnsi="Bookman Old Style" w:cs="Arial"/>
          <w:bCs/>
          <w:lang w:val="es-CO"/>
        </w:rPr>
        <w:t xml:space="preserve"> de 20</w:t>
      </w:r>
      <w:r>
        <w:rPr>
          <w:rFonts w:ascii="Bookman Old Style" w:hAnsi="Bookman Old Style" w:cs="Arial"/>
          <w:bCs/>
          <w:lang w:val="es-CO"/>
        </w:rPr>
        <w:t>07</w:t>
      </w:r>
      <w:r w:rsidR="00C70AE0">
        <w:rPr>
          <w:rFonts w:ascii="Bookman Old Style" w:hAnsi="Bookman Old Style" w:cs="Arial"/>
          <w:bCs/>
          <w:lang w:val="es-CO"/>
        </w:rPr>
        <w:t xml:space="preserve">. Para este cálculo no se debe </w:t>
      </w:r>
      <w:r w:rsidR="00FD5511">
        <w:rPr>
          <w:rFonts w:ascii="Bookman Old Style" w:hAnsi="Bookman Old Style" w:cs="Arial"/>
          <w:bCs/>
          <w:lang w:val="es-CO"/>
        </w:rPr>
        <w:t>incluir el costo de opción tarifaria de mercado</w:t>
      </w:r>
      <w:r w:rsidR="00C70AE0">
        <w:rPr>
          <w:rFonts w:ascii="Bookman Old Style" w:hAnsi="Bookman Old Style" w:cs="Arial"/>
          <w:bCs/>
          <w:lang w:val="es-CO"/>
        </w:rPr>
        <w:t xml:space="preserve"> es igual a cero</w:t>
      </w:r>
      <w:r w:rsidRPr="00BD2E1F">
        <w:rPr>
          <w:rFonts w:ascii="Bookman Old Style" w:hAnsi="Bookman Old Style" w:cs="Arial"/>
          <w:bCs/>
          <w:lang w:val="es-CO"/>
        </w:rPr>
        <w:t>.</w:t>
      </w:r>
    </w:p>
    <w:p w14:paraId="7BECCCB5" w14:textId="31C6E421" w:rsidR="00B5243F" w:rsidRPr="001500FB" w:rsidRDefault="00B5243F" w:rsidP="00A93AD0">
      <w:pPr>
        <w:pStyle w:val="Ttulo2"/>
        <w:numPr>
          <w:ilvl w:val="1"/>
          <w:numId w:val="36"/>
        </w:numPr>
      </w:pPr>
      <w:bookmarkStart w:id="4" w:name="_Ref152076210"/>
      <w:r w:rsidRPr="001500FB">
        <w:t>Cálculo del valor mensual</w:t>
      </w:r>
      <w:r w:rsidR="00AE4FB2" w:rsidRPr="001500FB">
        <w:t xml:space="preserve"> con</w:t>
      </w:r>
      <w:r w:rsidR="008F12CD" w:rsidRPr="001500FB">
        <w:t xml:space="preserve"> </w:t>
      </w:r>
      <w:proofErr w:type="gramStart"/>
      <w:r w:rsidR="000350B4" w:rsidRPr="001500FB">
        <w:t>SBC</w:t>
      </w:r>
      <w:r w:rsidR="008F12CD" w:rsidRPr="006547A2">
        <w:rPr>
          <w:vertAlign w:val="subscript"/>
        </w:rPr>
        <w:t>n,i</w:t>
      </w:r>
      <w:proofErr w:type="gramEnd"/>
      <w:r w:rsidR="008F12CD" w:rsidRPr="006547A2">
        <w:rPr>
          <w:vertAlign w:val="subscript"/>
        </w:rPr>
        <w:t>,j,</w:t>
      </w:r>
      <w:r w:rsidR="006547A2" w:rsidRPr="006547A2">
        <w:rPr>
          <w:vertAlign w:val="subscript"/>
        </w:rPr>
        <w:t>0</w:t>
      </w:r>
      <w:r w:rsidR="00643B18" w:rsidRPr="001500FB">
        <w:t xml:space="preserve"> </w:t>
      </w:r>
      <w:r w:rsidR="00FD5511" w:rsidRPr="001500FB">
        <w:t>≤</w:t>
      </w:r>
      <w:r w:rsidR="008F12CD" w:rsidRPr="001500FB">
        <w:t xml:space="preserve"> </w:t>
      </w:r>
      <w:r w:rsidR="00066740">
        <w:t xml:space="preserve">0,03 * </w:t>
      </w:r>
      <w:r w:rsidR="00A31EDE" w:rsidRPr="001500FB">
        <w:rPr>
          <w:rFonts w:cs="Arial"/>
        </w:rPr>
        <w:t>CUv</w:t>
      </w:r>
      <w:r w:rsidR="00A31EDE" w:rsidRPr="001500FB">
        <w:rPr>
          <w:rFonts w:cs="Arial"/>
          <w:vertAlign w:val="subscript"/>
        </w:rPr>
        <w:t>n,m</w:t>
      </w:r>
      <w:r w:rsidR="00432C21">
        <w:rPr>
          <w:rFonts w:cs="Arial"/>
          <w:vertAlign w:val="subscript"/>
        </w:rPr>
        <w:t>-1</w:t>
      </w:r>
      <w:r w:rsidR="00A31EDE" w:rsidRPr="001500FB">
        <w:rPr>
          <w:rFonts w:cs="Arial"/>
          <w:vertAlign w:val="subscript"/>
        </w:rPr>
        <w:t>,i,j</w:t>
      </w:r>
      <w:bookmarkEnd w:id="4"/>
    </w:p>
    <w:p w14:paraId="646FF0A6" w14:textId="7FEB556F" w:rsidR="00732521" w:rsidRPr="00E37FF1" w:rsidRDefault="008D1FE9" w:rsidP="002E789F">
      <w:pPr>
        <w:widowControl w:val="0"/>
        <w:spacing w:before="200" w:after="200"/>
        <w:ind w:left="709" w:right="47"/>
        <w:jc w:val="both"/>
        <w:rPr>
          <w:rFonts w:ascii="Bookman Old Style" w:hAnsi="Bookman Old Style" w:cs="Arial"/>
          <w:bCs/>
          <w:lang w:val="es-CO"/>
        </w:rPr>
      </w:pPr>
      <w:r w:rsidRPr="00E37FF1">
        <w:rPr>
          <w:rFonts w:ascii="Bookman Old Style" w:hAnsi="Bookman Old Style" w:cs="Arial"/>
          <w:bCs/>
          <w:lang w:val="es-CO"/>
        </w:rPr>
        <w:t>El valor mensual para la recuperación del saldo de la opción tarifaria se calcula de l</w:t>
      </w:r>
      <w:r w:rsidR="002E789F" w:rsidRPr="00E37FF1">
        <w:rPr>
          <w:rFonts w:ascii="Bookman Old Style" w:hAnsi="Bookman Old Style" w:cs="Arial"/>
          <w:bCs/>
          <w:lang w:val="es-CO"/>
        </w:rPr>
        <w:t>a siguiente manera:</w:t>
      </w:r>
    </w:p>
    <w:p w14:paraId="51349A17" w14:textId="636F162C" w:rsidR="004510F6" w:rsidRPr="000A29D6" w:rsidRDefault="005E00C2" w:rsidP="004510F6">
      <w:pPr>
        <w:rPr>
          <w:highlight w:val="lightGray"/>
        </w:rPr>
      </w:pPr>
      <m:oMathPara>
        <m:oMath>
          <m:sSub>
            <m:sSubPr>
              <m:ctrlPr>
                <w:rPr>
                  <w:rFonts w:ascii="Cambria Math" w:hAnsi="Cambria Math"/>
                </w:rPr>
              </m:ctrlPr>
            </m:sSubPr>
            <m:e>
              <m:r>
                <w:rPr>
                  <w:rFonts w:ascii="Cambria Math" w:hAnsi="Cambria Math"/>
                </w:rPr>
                <m:t>SAOT</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SA</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rOT</m:t>
                  </m:r>
                </m:e>
                <m:sub>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num>
            <m:den>
              <m:sSup>
                <m:sSupPr>
                  <m:ctrlPr>
                    <w:rPr>
                      <w:rFonts w:ascii="Cambria Math" w:hAnsi="Cambria Math"/>
                      <w:i/>
                    </w:rPr>
                  </m:ctrlPr>
                </m:sSupPr>
                <m:e>
                  <m:r>
                    <w:rPr>
                      <w:rFonts w:ascii="Cambria Math" w:hAnsi="Cambria Math"/>
                    </w:rPr>
                    <m:t>1-(1+</m:t>
                  </m:r>
                  <m:sSub>
                    <m:sSubPr>
                      <m:ctrlPr>
                        <w:rPr>
                          <w:rFonts w:ascii="Cambria Math" w:hAnsi="Cambria Math"/>
                          <w:i/>
                        </w:rPr>
                      </m:ctrlPr>
                    </m:sSubPr>
                    <m:e>
                      <m:r>
                        <w:rPr>
                          <w:rFonts w:ascii="Cambria Math" w:hAnsi="Cambria Math"/>
                        </w:rPr>
                        <m:t>rOT</m:t>
                      </m:r>
                    </m:e>
                    <m:sub>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e>
                <m:sup>
                  <m:r>
                    <w:rPr>
                      <w:rFonts w:ascii="Cambria Math" w:hAnsi="Cambria Math"/>
                    </w:rPr>
                    <m:t>-</m:t>
                  </m:r>
                  <m:sSub>
                    <m:sSubPr>
                      <m:ctrlPr>
                        <w:rPr>
                          <w:rFonts w:ascii="Cambria Math" w:hAnsi="Cambria Math"/>
                          <w:i/>
                        </w:rPr>
                      </m:ctrlPr>
                    </m:sSubPr>
                    <m:e>
                      <m:r>
                        <w:rPr>
                          <w:rFonts w:ascii="Cambria Math" w:hAnsi="Cambria Math"/>
                        </w:rPr>
                        <m:t>(</m:t>
                      </m:r>
                      <m:r>
                        <w:rPr>
                          <w:rFonts w:ascii="Cambria Math" w:hAnsi="Cambria Math"/>
                        </w:rPr>
                        <m:t>ma</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r>
                    <w:rPr>
                      <w:rFonts w:ascii="Cambria Math" w:hAnsi="Cambria Math"/>
                    </w:rPr>
                    <m:t>p</m:t>
                  </m:r>
                  <m:r>
                    <w:rPr>
                      <w:rFonts w:ascii="Cambria Math" w:hAnsi="Cambria Math"/>
                    </w:rPr>
                    <m:t>+1)</m:t>
                  </m:r>
                </m:sup>
              </m:sSup>
            </m:den>
          </m:f>
        </m:oMath>
      </m:oMathPara>
    </w:p>
    <w:p w14:paraId="201C7385" w14:textId="4E61F538" w:rsidR="00BD2E1F" w:rsidRPr="00BD2E1F" w:rsidRDefault="00BD2E1F" w:rsidP="00BD2E1F">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 xml:space="preserve">Donde: </w:t>
      </w:r>
    </w:p>
    <w:p w14:paraId="7E8888A2" w14:textId="6409A7DF" w:rsidR="00BD2E1F" w:rsidRPr="004F194D" w:rsidRDefault="00BD2E1F" w:rsidP="004F194D">
      <w:pPr>
        <w:widowControl w:val="0"/>
        <w:spacing w:before="200" w:after="200"/>
        <w:ind w:left="2836" w:right="47" w:hanging="1418"/>
        <w:jc w:val="both"/>
        <w:rPr>
          <w:rFonts w:ascii="Bookman Old Style" w:hAnsi="Bookman Old Style" w:cs="Arial"/>
          <w:bCs/>
          <w:lang w:val="es-CO"/>
        </w:rPr>
      </w:pPr>
      <w:proofErr w:type="spellStart"/>
      <w:proofErr w:type="gramStart"/>
      <w:r w:rsidRPr="007B5923">
        <w:rPr>
          <w:rFonts w:ascii="Bookman Old Style" w:hAnsi="Bookman Old Style" w:cs="Arial"/>
          <w:bCs/>
          <w:i/>
          <w:iCs/>
          <w:lang w:val="es-CO"/>
        </w:rPr>
        <w:t>S</w:t>
      </w:r>
      <w:r w:rsidR="0053495D">
        <w:rPr>
          <w:rFonts w:ascii="Bookman Old Style" w:hAnsi="Bookman Old Style" w:cs="Arial"/>
          <w:bCs/>
          <w:i/>
          <w:iCs/>
          <w:lang w:val="es-CO"/>
        </w:rPr>
        <w:t>A</w:t>
      </w:r>
      <w:r w:rsidRPr="007B5923">
        <w:rPr>
          <w:rFonts w:ascii="Bookman Old Style" w:hAnsi="Bookman Old Style" w:cs="Arial"/>
          <w:bCs/>
          <w:i/>
          <w:iCs/>
          <w:lang w:val="es-CO"/>
        </w:rPr>
        <w:t>OT</w:t>
      </w:r>
      <w:r w:rsidR="0053495D" w:rsidRPr="0053495D">
        <w:rPr>
          <w:rFonts w:ascii="Bookman Old Style" w:hAnsi="Bookman Old Style" w:cs="Arial"/>
          <w:bCs/>
          <w:i/>
          <w:iCs/>
          <w:vertAlign w:val="subscript"/>
          <w:lang w:val="es-CO"/>
        </w:rPr>
        <w:t>n</w:t>
      </w:r>
      <w:r w:rsidR="00F238E1">
        <w:rPr>
          <w:rFonts w:ascii="Bookman Old Style" w:hAnsi="Bookman Old Style" w:cs="Arial"/>
          <w:bCs/>
          <w:i/>
          <w:iCs/>
          <w:vertAlign w:val="subscript"/>
          <w:lang w:val="es-CO"/>
        </w:rPr>
        <w:t>,m</w:t>
      </w:r>
      <w:proofErr w:type="gramEnd"/>
      <w:r w:rsidR="0053495D" w:rsidRPr="0053495D">
        <w:rPr>
          <w:rFonts w:ascii="Bookman Old Style" w:hAnsi="Bookman Old Style" w:cs="Arial"/>
          <w:bCs/>
          <w:i/>
          <w:iCs/>
          <w:vertAlign w:val="subscript"/>
          <w:lang w:val="es-CO"/>
        </w:rPr>
        <w:t>,</w:t>
      </w:r>
      <w:r w:rsidRPr="0053495D">
        <w:rPr>
          <w:rFonts w:ascii="Bookman Old Style" w:hAnsi="Bookman Old Style" w:cs="Arial"/>
          <w:bCs/>
          <w:i/>
          <w:iCs/>
          <w:vertAlign w:val="subscript"/>
          <w:lang w:val="es-CO"/>
        </w:rPr>
        <w:t>i</w:t>
      </w:r>
      <w:r w:rsidRPr="0053495D">
        <w:rPr>
          <w:rFonts w:ascii="Bookman Old Style" w:hAnsi="Bookman Old Style" w:cs="Arial"/>
          <w:i/>
          <w:vertAlign w:val="subscript"/>
          <w:lang w:val="es-CO"/>
        </w:rPr>
        <w:t>,j</w:t>
      </w:r>
      <w:proofErr w:type="spellEnd"/>
      <w:r w:rsidRPr="004F194D">
        <w:rPr>
          <w:rFonts w:ascii="Bookman Old Style" w:hAnsi="Bookman Old Style" w:cs="Arial"/>
          <w:bCs/>
          <w:lang w:val="es-CO"/>
        </w:rPr>
        <w:t>:</w:t>
      </w:r>
      <w:r w:rsidRPr="004F194D">
        <w:rPr>
          <w:rFonts w:ascii="Bookman Old Style" w:hAnsi="Bookman Old Style" w:cs="Arial"/>
          <w:bCs/>
          <w:lang w:val="es-CO"/>
        </w:rPr>
        <w:tab/>
      </w:r>
      <w:r w:rsidR="002E789F">
        <w:rPr>
          <w:rFonts w:ascii="Bookman Old Style" w:hAnsi="Bookman Old Style" w:cs="Arial"/>
          <w:bCs/>
          <w:lang w:val="es-CO"/>
        </w:rPr>
        <w:t>Valor mensual para la recuperación del</w:t>
      </w:r>
      <w:r w:rsidRPr="004F194D">
        <w:rPr>
          <w:rFonts w:ascii="Bookman Old Style" w:hAnsi="Bookman Old Style" w:cs="Arial"/>
          <w:bCs/>
          <w:lang w:val="es-CO"/>
        </w:rPr>
        <w:t xml:space="preserve"> saldo de la opción tarifaria del comercializador </w:t>
      </w:r>
      <w:r w:rsidRPr="00113D19">
        <w:rPr>
          <w:rFonts w:ascii="Bookman Old Style" w:hAnsi="Bookman Old Style" w:cs="Arial"/>
          <w:i/>
          <w:lang w:val="es-CO"/>
        </w:rPr>
        <w:t>i</w:t>
      </w:r>
      <w:r w:rsidRPr="004F194D">
        <w:rPr>
          <w:rFonts w:ascii="Bookman Old Style" w:hAnsi="Bookman Old Style" w:cs="Arial"/>
          <w:bCs/>
          <w:lang w:val="es-CO"/>
        </w:rPr>
        <w:t xml:space="preserve"> del mercado de comercialización </w:t>
      </w:r>
      <w:r w:rsidRPr="00113D19">
        <w:rPr>
          <w:rFonts w:ascii="Bookman Old Style" w:hAnsi="Bookman Old Style" w:cs="Arial"/>
          <w:i/>
          <w:lang w:val="es-CO"/>
        </w:rPr>
        <w:t>j</w:t>
      </w:r>
      <w:r w:rsidR="002E789F">
        <w:rPr>
          <w:rFonts w:ascii="Bookman Old Style" w:hAnsi="Bookman Old Style" w:cs="Arial"/>
          <w:bCs/>
          <w:lang w:val="es-CO"/>
        </w:rPr>
        <w:t xml:space="preserve"> en el nivel de tensión </w:t>
      </w:r>
      <w:r w:rsidR="002E789F" w:rsidRPr="00465CCA">
        <w:rPr>
          <w:rFonts w:ascii="Bookman Old Style" w:hAnsi="Bookman Old Style" w:cs="Arial"/>
          <w:bCs/>
          <w:i/>
          <w:iCs/>
          <w:lang w:val="es-CO"/>
        </w:rPr>
        <w:t>n</w:t>
      </w:r>
      <w:r w:rsidRPr="004F194D">
        <w:rPr>
          <w:rFonts w:ascii="Bookman Old Style" w:hAnsi="Bookman Old Style" w:cs="Arial"/>
          <w:bCs/>
          <w:lang w:val="es-CO"/>
        </w:rPr>
        <w:t xml:space="preserve">. </w:t>
      </w:r>
    </w:p>
    <w:p w14:paraId="56EEAE74" w14:textId="69EE3230" w:rsidR="00BD2E1F" w:rsidRPr="004F194D" w:rsidRDefault="00BD2E1F" w:rsidP="004F194D">
      <w:pPr>
        <w:widowControl w:val="0"/>
        <w:spacing w:before="200" w:after="200"/>
        <w:ind w:left="2836" w:right="47" w:hanging="1418"/>
        <w:jc w:val="both"/>
        <w:rPr>
          <w:rFonts w:ascii="Bookman Old Style" w:hAnsi="Bookman Old Style" w:cs="Arial"/>
          <w:bCs/>
          <w:lang w:val="es-CO"/>
        </w:rPr>
      </w:pPr>
      <w:proofErr w:type="spellStart"/>
      <w:proofErr w:type="gramStart"/>
      <w:r w:rsidRPr="0053495D">
        <w:rPr>
          <w:rFonts w:ascii="Bookman Old Style" w:hAnsi="Bookman Old Style" w:cs="Arial"/>
          <w:bCs/>
          <w:i/>
          <w:iCs/>
          <w:lang w:val="es-CO"/>
        </w:rPr>
        <w:t>SA</w:t>
      </w:r>
      <w:r w:rsidR="0053495D" w:rsidRPr="0053495D">
        <w:rPr>
          <w:rFonts w:ascii="Bookman Old Style" w:hAnsi="Bookman Old Style" w:cs="Arial"/>
          <w:bCs/>
          <w:i/>
          <w:iCs/>
          <w:vertAlign w:val="subscript"/>
          <w:lang w:val="es-CO"/>
        </w:rPr>
        <w:t>n,</w:t>
      </w:r>
      <w:r w:rsidR="00352670">
        <w:rPr>
          <w:rFonts w:ascii="Bookman Old Style" w:hAnsi="Bookman Old Style" w:cs="Arial"/>
          <w:bCs/>
          <w:i/>
          <w:iCs/>
          <w:vertAlign w:val="subscript"/>
          <w:lang w:val="es-CO"/>
        </w:rPr>
        <w:t>m</w:t>
      </w:r>
      <w:proofErr w:type="gramEnd"/>
      <w:r w:rsidR="0053495D" w:rsidRPr="0053495D">
        <w:rPr>
          <w:rFonts w:ascii="Bookman Old Style" w:hAnsi="Bookman Old Style" w:cs="Arial"/>
          <w:bCs/>
          <w:i/>
          <w:iCs/>
          <w:vertAlign w:val="subscript"/>
          <w:lang w:val="es-CO"/>
        </w:rPr>
        <w:t>,</w:t>
      </w:r>
      <w:r w:rsidRPr="0053495D">
        <w:rPr>
          <w:rFonts w:ascii="Bookman Old Style" w:hAnsi="Bookman Old Style" w:cs="Arial"/>
          <w:bCs/>
          <w:i/>
          <w:iCs/>
          <w:vertAlign w:val="subscript"/>
          <w:lang w:val="es-CO"/>
        </w:rPr>
        <w:t>i</w:t>
      </w:r>
      <w:r w:rsidRPr="0053495D">
        <w:rPr>
          <w:rFonts w:ascii="Bookman Old Style" w:hAnsi="Bookman Old Style" w:cs="Arial"/>
          <w:i/>
          <w:vertAlign w:val="subscript"/>
          <w:lang w:val="es-CO"/>
        </w:rPr>
        <w:t>,j</w:t>
      </w:r>
      <w:proofErr w:type="spellEnd"/>
      <w:r w:rsidRPr="0053495D">
        <w:rPr>
          <w:rFonts w:ascii="Bookman Old Style" w:hAnsi="Bookman Old Style" w:cs="Arial"/>
          <w:i/>
          <w:lang w:val="es-CO"/>
        </w:rPr>
        <w:t xml:space="preserve">: </w:t>
      </w:r>
      <w:r w:rsidRPr="004F194D">
        <w:rPr>
          <w:rFonts w:ascii="Bookman Old Style" w:hAnsi="Bookman Old Style" w:cs="Arial"/>
          <w:bCs/>
          <w:lang w:val="es-CO"/>
        </w:rPr>
        <w:tab/>
        <w:t xml:space="preserve">Saldo acumulado </w:t>
      </w:r>
      <w:r w:rsidR="00555D9F">
        <w:rPr>
          <w:rFonts w:ascii="Bookman Old Style" w:hAnsi="Bookman Old Style" w:cs="Arial"/>
          <w:bCs/>
          <w:lang w:val="es-CO"/>
        </w:rPr>
        <w:t xml:space="preserve">pendiente por recuperar </w:t>
      </w:r>
      <w:r w:rsidRPr="004F194D">
        <w:rPr>
          <w:rFonts w:ascii="Bookman Old Style" w:hAnsi="Bookman Old Style" w:cs="Arial"/>
          <w:bCs/>
          <w:lang w:val="es-CO"/>
        </w:rPr>
        <w:t xml:space="preserve">de la opción tarifaria del comercializador </w:t>
      </w:r>
      <w:r w:rsidRPr="00465CCA">
        <w:rPr>
          <w:rFonts w:ascii="Bookman Old Style" w:hAnsi="Bookman Old Style" w:cs="Arial"/>
          <w:i/>
          <w:lang w:val="es-CO"/>
        </w:rPr>
        <w:t>i</w:t>
      </w:r>
      <w:r w:rsidRPr="004F194D">
        <w:rPr>
          <w:rFonts w:ascii="Bookman Old Style" w:hAnsi="Bookman Old Style" w:cs="Arial"/>
          <w:bCs/>
          <w:lang w:val="es-CO"/>
        </w:rPr>
        <w:t xml:space="preserve"> del mercado de comercialización </w:t>
      </w:r>
      <w:r w:rsidRPr="00465CCA">
        <w:rPr>
          <w:rFonts w:ascii="Bookman Old Style" w:hAnsi="Bookman Old Style" w:cs="Arial"/>
          <w:i/>
          <w:lang w:val="es-CO"/>
        </w:rPr>
        <w:t>j</w:t>
      </w:r>
      <w:r w:rsidRPr="004F194D">
        <w:rPr>
          <w:rFonts w:ascii="Bookman Old Style" w:hAnsi="Bookman Old Style" w:cs="Arial"/>
          <w:bCs/>
          <w:lang w:val="es-CO"/>
        </w:rPr>
        <w:t xml:space="preserve"> </w:t>
      </w:r>
      <w:r w:rsidR="00465CCA">
        <w:rPr>
          <w:rFonts w:ascii="Bookman Old Style" w:hAnsi="Bookman Old Style" w:cs="Arial"/>
          <w:bCs/>
          <w:lang w:val="es-CO"/>
        </w:rPr>
        <w:t>del nivel</w:t>
      </w:r>
      <w:r w:rsidRPr="004F194D">
        <w:rPr>
          <w:rFonts w:ascii="Bookman Old Style" w:hAnsi="Bookman Old Style" w:cs="Arial"/>
          <w:bCs/>
          <w:lang w:val="es-CO"/>
        </w:rPr>
        <w:t xml:space="preserve"> de </w:t>
      </w:r>
      <w:r w:rsidR="00465CCA">
        <w:rPr>
          <w:rFonts w:ascii="Bookman Old Style" w:hAnsi="Bookman Old Style" w:cs="Arial"/>
          <w:bCs/>
          <w:lang w:val="es-CO"/>
        </w:rPr>
        <w:t xml:space="preserve">tensión </w:t>
      </w:r>
      <w:r w:rsidR="00465CCA" w:rsidRPr="00465CCA">
        <w:rPr>
          <w:rFonts w:ascii="Bookman Old Style" w:hAnsi="Bookman Old Style" w:cs="Arial"/>
          <w:bCs/>
          <w:i/>
          <w:iCs/>
          <w:lang w:val="es-CO"/>
        </w:rPr>
        <w:t>n</w:t>
      </w:r>
      <w:r w:rsidR="00532520">
        <w:rPr>
          <w:rFonts w:ascii="Bookman Old Style" w:hAnsi="Bookman Old Style" w:cs="Arial"/>
          <w:bCs/>
          <w:i/>
          <w:iCs/>
          <w:lang w:val="es-CO"/>
        </w:rPr>
        <w:t xml:space="preserve"> </w:t>
      </w:r>
      <w:r w:rsidR="00532520" w:rsidRPr="00182D43">
        <w:rPr>
          <w:rFonts w:ascii="Bookman Old Style" w:hAnsi="Bookman Old Style" w:cs="Arial"/>
          <w:bCs/>
          <w:lang w:val="es-CO"/>
        </w:rPr>
        <w:t>en el mes</w:t>
      </w:r>
      <w:r w:rsidR="00532520">
        <w:rPr>
          <w:rFonts w:ascii="Bookman Old Style" w:hAnsi="Bookman Old Style" w:cs="Arial"/>
          <w:bCs/>
          <w:i/>
          <w:iCs/>
          <w:lang w:val="es-CO"/>
        </w:rPr>
        <w:t xml:space="preserve"> m</w:t>
      </w:r>
      <w:r w:rsidR="00465CCA">
        <w:rPr>
          <w:rFonts w:ascii="Bookman Old Style" w:hAnsi="Bookman Old Style" w:cs="Arial"/>
          <w:bCs/>
          <w:i/>
          <w:iCs/>
          <w:lang w:val="es-CO"/>
        </w:rPr>
        <w:t>.</w:t>
      </w:r>
      <w:r w:rsidR="00465CCA">
        <w:rPr>
          <w:rFonts w:ascii="Bookman Old Style" w:hAnsi="Bookman Old Style" w:cs="Arial"/>
          <w:bCs/>
          <w:lang w:val="es-CO"/>
        </w:rPr>
        <w:t xml:space="preserve"> </w:t>
      </w:r>
    </w:p>
    <w:p w14:paraId="6E9E81E7" w14:textId="61EB1488" w:rsidR="000A6579" w:rsidRDefault="00746089" w:rsidP="000A6579">
      <w:pPr>
        <w:widowControl w:val="0"/>
        <w:spacing w:before="200" w:after="200"/>
        <w:ind w:left="2836" w:right="47" w:hanging="1418"/>
        <w:jc w:val="both"/>
        <w:rPr>
          <w:rFonts w:ascii="Bookman Old Style" w:hAnsi="Bookman Old Style" w:cs="Arial"/>
          <w:bCs/>
          <w:lang w:val="es-CO"/>
        </w:rPr>
      </w:pPr>
      <w:r>
        <w:rPr>
          <w:rFonts w:ascii="Bookman Old Style" w:hAnsi="Bookman Old Style" w:cs="Arial"/>
          <w:bCs/>
          <w:lang w:val="es-CO"/>
        </w:rPr>
        <w:tab/>
        <w:t>Este saldo debe ser calculado mensualmente disminuyendo la parte respectiva del capital pagado durante periodos anteriores.</w:t>
      </w:r>
    </w:p>
    <w:p w14:paraId="1DA77EDF" w14:textId="36B257A0" w:rsidR="00BD2E1F" w:rsidRPr="004F194D" w:rsidRDefault="00BD2E1F" w:rsidP="004F194D">
      <w:pPr>
        <w:widowControl w:val="0"/>
        <w:spacing w:before="200" w:after="200"/>
        <w:ind w:left="2836" w:right="47" w:hanging="1418"/>
        <w:jc w:val="both"/>
        <w:rPr>
          <w:rFonts w:ascii="Bookman Old Style" w:hAnsi="Bookman Old Style" w:cs="Arial"/>
          <w:bCs/>
          <w:lang w:val="es-CO"/>
        </w:rPr>
      </w:pPr>
      <w:proofErr w:type="spellStart"/>
      <w:proofErr w:type="gramStart"/>
      <w:r w:rsidRPr="00113D19">
        <w:rPr>
          <w:rFonts w:ascii="Bookman Old Style" w:hAnsi="Bookman Old Style" w:cs="Arial"/>
          <w:bCs/>
          <w:i/>
          <w:iCs/>
          <w:lang w:val="es-CO"/>
        </w:rPr>
        <w:t>r</w:t>
      </w:r>
      <w:r w:rsidR="00E723DB">
        <w:rPr>
          <w:rFonts w:ascii="Bookman Old Style" w:hAnsi="Bookman Old Style" w:cs="Arial"/>
          <w:bCs/>
          <w:i/>
          <w:iCs/>
          <w:lang w:val="es-CO"/>
        </w:rPr>
        <w:t>OT</w:t>
      </w:r>
      <w:r w:rsidR="00934C1C" w:rsidRPr="00243BA1">
        <w:rPr>
          <w:rFonts w:ascii="Bookman Old Style" w:hAnsi="Bookman Old Style" w:cs="Arial"/>
          <w:bCs/>
          <w:i/>
          <w:iCs/>
          <w:vertAlign w:val="subscript"/>
          <w:lang w:val="es-CO"/>
        </w:rPr>
        <w:t>m</w:t>
      </w:r>
      <w:r w:rsidR="00421A7B">
        <w:rPr>
          <w:rFonts w:ascii="Bookman Old Style" w:hAnsi="Bookman Old Style" w:cs="Arial"/>
          <w:bCs/>
          <w:i/>
          <w:iCs/>
          <w:vertAlign w:val="subscript"/>
          <w:lang w:val="es-CO"/>
        </w:rPr>
        <w:t>,</w:t>
      </w:r>
      <w:r w:rsidRPr="00113D19">
        <w:rPr>
          <w:rFonts w:ascii="Bookman Old Style" w:hAnsi="Bookman Old Style" w:cs="Arial"/>
          <w:bCs/>
          <w:i/>
          <w:iCs/>
          <w:vertAlign w:val="subscript"/>
          <w:lang w:val="es-CO"/>
        </w:rPr>
        <w:t>i</w:t>
      </w:r>
      <w:proofErr w:type="gramEnd"/>
      <w:r w:rsidRPr="00113D19">
        <w:rPr>
          <w:rFonts w:ascii="Bookman Old Style" w:hAnsi="Bookman Old Style" w:cs="Arial"/>
          <w:i/>
          <w:vertAlign w:val="subscript"/>
          <w:lang w:val="es-CO"/>
        </w:rPr>
        <w:t>,j</w:t>
      </w:r>
      <w:proofErr w:type="spellEnd"/>
      <w:r w:rsidRPr="004F194D">
        <w:rPr>
          <w:rFonts w:ascii="Bookman Old Style" w:hAnsi="Bookman Old Style" w:cs="Arial"/>
          <w:bCs/>
          <w:lang w:val="es-CO"/>
        </w:rPr>
        <w:t xml:space="preserve">: </w:t>
      </w:r>
      <w:r w:rsidRPr="004F194D">
        <w:rPr>
          <w:rFonts w:ascii="Bookman Old Style" w:hAnsi="Bookman Old Style" w:cs="Arial"/>
          <w:bCs/>
          <w:lang w:val="es-CO"/>
        </w:rPr>
        <w:tab/>
        <w:t xml:space="preserve">Tasa </w:t>
      </w:r>
      <w:r w:rsidR="00934C1C">
        <w:rPr>
          <w:rFonts w:ascii="Bookman Old Style" w:hAnsi="Bookman Old Style" w:cs="Arial"/>
          <w:bCs/>
          <w:lang w:val="es-CO"/>
        </w:rPr>
        <w:t xml:space="preserve">mensual </w:t>
      </w:r>
      <w:r w:rsidRPr="004F194D">
        <w:rPr>
          <w:rFonts w:ascii="Bookman Old Style" w:hAnsi="Bookman Old Style" w:cs="Arial"/>
          <w:bCs/>
          <w:lang w:val="es-CO"/>
        </w:rPr>
        <w:t xml:space="preserve">para calcular el </w:t>
      </w:r>
      <w:r w:rsidR="001D5CD5">
        <w:rPr>
          <w:rFonts w:ascii="Bookman Old Style" w:hAnsi="Bookman Old Style" w:cs="Arial"/>
          <w:bCs/>
          <w:lang w:val="es-CO"/>
        </w:rPr>
        <w:t>valor para la recuperación del</w:t>
      </w:r>
      <w:r w:rsidRPr="004F194D">
        <w:rPr>
          <w:rFonts w:ascii="Bookman Old Style" w:hAnsi="Bookman Old Style" w:cs="Arial"/>
          <w:bCs/>
          <w:lang w:val="es-CO"/>
        </w:rPr>
        <w:t xml:space="preserve"> saldo de la opción tarifaria del comercializador </w:t>
      </w:r>
      <w:r w:rsidRPr="00DB7BB1">
        <w:rPr>
          <w:rFonts w:ascii="Bookman Old Style" w:hAnsi="Bookman Old Style" w:cs="Arial"/>
          <w:i/>
          <w:lang w:val="es-CO"/>
        </w:rPr>
        <w:t>i</w:t>
      </w:r>
      <w:r w:rsidRPr="004F194D">
        <w:rPr>
          <w:rFonts w:ascii="Bookman Old Style" w:hAnsi="Bookman Old Style" w:cs="Arial"/>
          <w:bCs/>
          <w:lang w:val="es-CO"/>
        </w:rPr>
        <w:t xml:space="preserve"> del mercado de comercialización </w:t>
      </w:r>
      <w:r w:rsidRPr="00DB7BB1">
        <w:rPr>
          <w:rFonts w:ascii="Bookman Old Style" w:hAnsi="Bookman Old Style" w:cs="Arial"/>
          <w:i/>
          <w:lang w:val="es-CO"/>
        </w:rPr>
        <w:t>j</w:t>
      </w:r>
      <w:r w:rsidR="006B380B">
        <w:rPr>
          <w:rFonts w:ascii="Bookman Old Style" w:hAnsi="Bookman Old Style" w:cs="Arial"/>
          <w:i/>
          <w:lang w:val="es-CO"/>
        </w:rPr>
        <w:t xml:space="preserve"> </w:t>
      </w:r>
      <w:r w:rsidR="006B380B" w:rsidRPr="006B380B">
        <w:rPr>
          <w:rFonts w:ascii="Bookman Old Style" w:hAnsi="Bookman Old Style" w:cs="Arial"/>
          <w:iCs/>
          <w:lang w:val="es-CO"/>
        </w:rPr>
        <w:t xml:space="preserve">establecido en el numeral </w:t>
      </w:r>
      <w:r w:rsidR="006B380B" w:rsidRPr="006B380B">
        <w:rPr>
          <w:rFonts w:ascii="Bookman Old Style" w:hAnsi="Bookman Old Style" w:cs="Arial"/>
          <w:iCs/>
          <w:lang w:val="es-CO"/>
        </w:rPr>
        <w:fldChar w:fldCharType="begin"/>
      </w:r>
      <w:r w:rsidR="006B380B" w:rsidRPr="006B380B">
        <w:rPr>
          <w:rFonts w:ascii="Bookman Old Style" w:hAnsi="Bookman Old Style" w:cs="Arial"/>
          <w:iCs/>
          <w:lang w:val="es-CO"/>
        </w:rPr>
        <w:instrText xml:space="preserve"> REF _Ref152333833 \r \h </w:instrText>
      </w:r>
      <w:r w:rsidR="006B380B">
        <w:rPr>
          <w:rFonts w:ascii="Bookman Old Style" w:hAnsi="Bookman Old Style" w:cs="Arial"/>
          <w:iCs/>
          <w:lang w:val="es-CO"/>
        </w:rPr>
        <w:instrText xml:space="preserve"> \* MERGEFORMAT </w:instrText>
      </w:r>
      <w:r w:rsidR="006B380B" w:rsidRPr="006B380B">
        <w:rPr>
          <w:rFonts w:ascii="Bookman Old Style" w:hAnsi="Bookman Old Style" w:cs="Arial"/>
          <w:iCs/>
          <w:lang w:val="es-CO"/>
        </w:rPr>
      </w:r>
      <w:r w:rsidR="006B380B" w:rsidRPr="006B380B">
        <w:rPr>
          <w:rFonts w:ascii="Bookman Old Style" w:hAnsi="Bookman Old Style" w:cs="Arial"/>
          <w:iCs/>
          <w:lang w:val="es-CO"/>
        </w:rPr>
        <w:fldChar w:fldCharType="separate"/>
      </w:r>
      <w:r w:rsidR="006B380B" w:rsidRPr="006B380B">
        <w:rPr>
          <w:rFonts w:ascii="Bookman Old Style" w:hAnsi="Bookman Old Style" w:cs="Arial"/>
          <w:iCs/>
          <w:lang w:val="es-CO"/>
        </w:rPr>
        <w:t>4</w:t>
      </w:r>
      <w:r w:rsidR="006B380B" w:rsidRPr="006B380B">
        <w:rPr>
          <w:rFonts w:ascii="Bookman Old Style" w:hAnsi="Bookman Old Style" w:cs="Arial"/>
          <w:iCs/>
          <w:lang w:val="es-CO"/>
        </w:rPr>
        <w:fldChar w:fldCharType="end"/>
      </w:r>
      <w:r w:rsidRPr="004F194D">
        <w:rPr>
          <w:rFonts w:ascii="Bookman Old Style" w:hAnsi="Bookman Old Style" w:cs="Arial"/>
          <w:bCs/>
          <w:lang w:val="es-CO"/>
        </w:rPr>
        <w:t>.</w:t>
      </w:r>
    </w:p>
    <w:p w14:paraId="3DBAE59D" w14:textId="5520D384" w:rsidR="00BD2E1F" w:rsidRDefault="00BD2E1F" w:rsidP="007B5923">
      <w:pPr>
        <w:widowControl w:val="0"/>
        <w:spacing w:before="200" w:after="200"/>
        <w:ind w:left="2836" w:right="47" w:hanging="1418"/>
        <w:jc w:val="both"/>
        <w:rPr>
          <w:rFonts w:ascii="Bookman Old Style" w:hAnsi="Bookman Old Style" w:cs="Arial"/>
          <w:bCs/>
          <w:lang w:val="es-CO"/>
        </w:rPr>
      </w:pPr>
      <w:proofErr w:type="spellStart"/>
      <w:proofErr w:type="gramStart"/>
      <w:r w:rsidRPr="00644A3D">
        <w:rPr>
          <w:rFonts w:ascii="Bookman Old Style" w:hAnsi="Bookman Old Style" w:cs="Arial"/>
          <w:bCs/>
          <w:i/>
          <w:iCs/>
          <w:lang w:val="es-CO"/>
        </w:rPr>
        <w:t>ma</w:t>
      </w:r>
      <w:r w:rsidR="00644A3D" w:rsidRPr="00644A3D">
        <w:rPr>
          <w:rFonts w:ascii="Bookman Old Style" w:hAnsi="Bookman Old Style" w:cs="Arial"/>
          <w:bCs/>
          <w:i/>
          <w:iCs/>
          <w:vertAlign w:val="subscript"/>
          <w:lang w:val="es-CO"/>
        </w:rPr>
        <w:t>n,</w:t>
      </w:r>
      <w:r w:rsidRPr="00644A3D">
        <w:rPr>
          <w:rFonts w:ascii="Bookman Old Style" w:hAnsi="Bookman Old Style" w:cs="Arial"/>
          <w:bCs/>
          <w:i/>
          <w:iCs/>
          <w:vertAlign w:val="subscript"/>
          <w:lang w:val="es-CO"/>
        </w:rPr>
        <w:t>i</w:t>
      </w:r>
      <w:proofErr w:type="gramEnd"/>
      <w:r w:rsidRPr="00644A3D">
        <w:rPr>
          <w:rFonts w:ascii="Bookman Old Style" w:hAnsi="Bookman Old Style" w:cs="Arial"/>
          <w:i/>
          <w:vertAlign w:val="subscript"/>
          <w:lang w:val="es-CO"/>
        </w:rPr>
        <w:t>,j</w:t>
      </w:r>
      <w:proofErr w:type="spellEnd"/>
      <w:r w:rsidRPr="004F194D">
        <w:rPr>
          <w:rFonts w:ascii="Bookman Old Style" w:hAnsi="Bookman Old Style" w:cs="Arial"/>
          <w:bCs/>
          <w:lang w:val="es-CO"/>
        </w:rPr>
        <w:t xml:space="preserve">: </w:t>
      </w:r>
      <w:r w:rsidRPr="004F194D">
        <w:rPr>
          <w:rFonts w:ascii="Bookman Old Style" w:hAnsi="Bookman Old Style" w:cs="Arial"/>
          <w:bCs/>
          <w:lang w:val="es-CO"/>
        </w:rPr>
        <w:tab/>
        <w:t xml:space="preserve">Meses de </w:t>
      </w:r>
      <w:r w:rsidR="00380520">
        <w:rPr>
          <w:rFonts w:ascii="Bookman Old Style" w:hAnsi="Bookman Old Style" w:cs="Arial"/>
          <w:bCs/>
          <w:lang w:val="es-CO"/>
        </w:rPr>
        <w:t xml:space="preserve">recuperación </w:t>
      </w:r>
      <w:r w:rsidRPr="004F194D">
        <w:rPr>
          <w:rFonts w:ascii="Bookman Old Style" w:hAnsi="Bookman Old Style" w:cs="Arial"/>
          <w:bCs/>
          <w:lang w:val="es-CO"/>
        </w:rPr>
        <w:t xml:space="preserve">del </w:t>
      </w:r>
      <w:r w:rsidR="00AB4F5D">
        <w:rPr>
          <w:rFonts w:ascii="Bookman Old Style" w:hAnsi="Bookman Old Style" w:cs="Arial"/>
          <w:bCs/>
          <w:lang w:val="es-CO"/>
        </w:rPr>
        <w:t xml:space="preserve">saldo acumulado </w:t>
      </w:r>
      <w:r w:rsidR="008A47FB">
        <w:rPr>
          <w:rFonts w:ascii="Bookman Old Style" w:hAnsi="Bookman Old Style" w:cs="Arial"/>
          <w:bCs/>
          <w:lang w:val="es-CO"/>
        </w:rPr>
        <w:t xml:space="preserve">de </w:t>
      </w:r>
      <w:r w:rsidRPr="004F194D">
        <w:rPr>
          <w:rFonts w:ascii="Bookman Old Style" w:hAnsi="Bookman Old Style" w:cs="Arial"/>
          <w:bCs/>
          <w:lang w:val="es-CO"/>
        </w:rPr>
        <w:t xml:space="preserve">la opción tarifaria del comercializador </w:t>
      </w:r>
      <w:r w:rsidRPr="009E7B47">
        <w:rPr>
          <w:rFonts w:ascii="Bookman Old Style" w:hAnsi="Bookman Old Style" w:cs="Arial"/>
          <w:i/>
          <w:lang w:val="es-CO"/>
        </w:rPr>
        <w:t>i</w:t>
      </w:r>
      <w:r w:rsidRPr="004F194D">
        <w:rPr>
          <w:rFonts w:ascii="Bookman Old Style" w:hAnsi="Bookman Old Style" w:cs="Arial"/>
          <w:bCs/>
          <w:lang w:val="es-CO"/>
        </w:rPr>
        <w:t xml:space="preserve"> del mercado de comercialización </w:t>
      </w:r>
      <w:r w:rsidRPr="009E7B47">
        <w:rPr>
          <w:rFonts w:ascii="Bookman Old Style" w:hAnsi="Bookman Old Style" w:cs="Arial"/>
          <w:i/>
          <w:lang w:val="es-CO"/>
        </w:rPr>
        <w:t>j</w:t>
      </w:r>
      <w:r w:rsidRPr="004F194D">
        <w:rPr>
          <w:rFonts w:ascii="Bookman Old Style" w:hAnsi="Bookman Old Style" w:cs="Arial"/>
          <w:bCs/>
          <w:lang w:val="es-CO"/>
        </w:rPr>
        <w:t xml:space="preserve">, </w:t>
      </w:r>
      <w:r w:rsidR="009E7B47">
        <w:rPr>
          <w:rFonts w:ascii="Bookman Old Style" w:hAnsi="Bookman Old Style" w:cs="Arial"/>
          <w:bCs/>
          <w:lang w:val="es-CO"/>
        </w:rPr>
        <w:t>en</w:t>
      </w:r>
      <w:r w:rsidRPr="004F194D">
        <w:rPr>
          <w:rFonts w:ascii="Bookman Old Style" w:hAnsi="Bookman Old Style" w:cs="Arial"/>
          <w:bCs/>
          <w:lang w:val="es-CO"/>
        </w:rPr>
        <w:t xml:space="preserve"> el </w:t>
      </w:r>
      <w:r w:rsidR="009E7B47">
        <w:rPr>
          <w:rFonts w:ascii="Bookman Old Style" w:hAnsi="Bookman Old Style" w:cs="Arial"/>
          <w:bCs/>
          <w:lang w:val="es-CO"/>
        </w:rPr>
        <w:t xml:space="preserve">nivel de tensión </w:t>
      </w:r>
      <w:r w:rsidR="009E7B47" w:rsidRPr="009E7B47">
        <w:rPr>
          <w:rFonts w:ascii="Bookman Old Style" w:hAnsi="Bookman Old Style" w:cs="Arial"/>
          <w:bCs/>
          <w:i/>
          <w:iCs/>
          <w:lang w:val="es-CO"/>
        </w:rPr>
        <w:t>n</w:t>
      </w:r>
      <w:r w:rsidRPr="004F194D">
        <w:rPr>
          <w:rFonts w:ascii="Bookman Old Style" w:hAnsi="Bookman Old Style" w:cs="Arial"/>
          <w:bCs/>
          <w:lang w:val="es-CO"/>
        </w:rPr>
        <w:t>.</w:t>
      </w:r>
      <w:r w:rsidR="00C2358B">
        <w:rPr>
          <w:rFonts w:ascii="Bookman Old Style" w:hAnsi="Bookman Old Style" w:cs="Arial"/>
          <w:bCs/>
          <w:lang w:val="es-CO"/>
        </w:rPr>
        <w:t xml:space="preserve"> </w:t>
      </w:r>
      <w:r w:rsidR="00A53AFD">
        <w:rPr>
          <w:rFonts w:ascii="Bookman Old Style" w:hAnsi="Bookman Old Style" w:cs="Arial"/>
          <w:bCs/>
          <w:lang w:val="es-CO"/>
        </w:rPr>
        <w:t xml:space="preserve">Esta variable </w:t>
      </w:r>
      <w:r w:rsidR="00A53AFD" w:rsidRPr="00A53AFD">
        <w:rPr>
          <w:rFonts w:ascii="Bookman Old Style" w:hAnsi="Bookman Old Style" w:cs="Arial"/>
          <w:bCs/>
          <w:lang w:val="es-CO"/>
        </w:rPr>
        <w:t xml:space="preserve">no podrá </w:t>
      </w:r>
      <w:r w:rsidR="00A53AFD">
        <w:rPr>
          <w:rFonts w:ascii="Bookman Old Style" w:hAnsi="Bookman Old Style" w:cs="Arial"/>
          <w:bCs/>
          <w:lang w:val="es-CO"/>
        </w:rPr>
        <w:t xml:space="preserve">ser superior a </w:t>
      </w:r>
      <w:r w:rsidR="00A53AFD" w:rsidRPr="00A53AFD">
        <w:rPr>
          <w:rFonts w:ascii="Bookman Old Style" w:hAnsi="Bookman Old Style" w:cs="Arial"/>
          <w:bCs/>
          <w:lang w:val="es-CO"/>
        </w:rPr>
        <w:t xml:space="preserve">ciento </w:t>
      </w:r>
      <w:r w:rsidR="00C97F1C" w:rsidRPr="00A53AFD">
        <w:rPr>
          <w:rFonts w:ascii="Bookman Old Style" w:hAnsi="Bookman Old Style" w:cs="Arial"/>
          <w:bCs/>
          <w:lang w:val="es-CO"/>
        </w:rPr>
        <w:t>veint</w:t>
      </w:r>
      <w:r w:rsidR="00C97F1C">
        <w:rPr>
          <w:rFonts w:ascii="Bookman Old Style" w:hAnsi="Bookman Old Style" w:cs="Arial"/>
          <w:bCs/>
          <w:lang w:val="es-CO"/>
        </w:rPr>
        <w:t>e</w:t>
      </w:r>
      <w:r w:rsidR="00C97F1C" w:rsidRPr="00A53AFD">
        <w:rPr>
          <w:rFonts w:ascii="Bookman Old Style" w:hAnsi="Bookman Old Style" w:cs="Arial"/>
          <w:bCs/>
          <w:lang w:val="es-CO"/>
        </w:rPr>
        <w:t xml:space="preserve"> </w:t>
      </w:r>
      <w:r w:rsidR="00A53AFD" w:rsidRPr="00A53AFD">
        <w:rPr>
          <w:rFonts w:ascii="Bookman Old Style" w:hAnsi="Bookman Old Style" w:cs="Arial"/>
          <w:bCs/>
          <w:lang w:val="es-CO"/>
        </w:rPr>
        <w:t>(</w:t>
      </w:r>
      <w:r w:rsidR="00C97F1C" w:rsidRPr="00A53AFD">
        <w:rPr>
          <w:rFonts w:ascii="Bookman Old Style" w:hAnsi="Bookman Old Style" w:cs="Arial"/>
          <w:bCs/>
          <w:lang w:val="es-CO"/>
        </w:rPr>
        <w:t>12</w:t>
      </w:r>
      <w:r w:rsidR="00C97F1C">
        <w:rPr>
          <w:rFonts w:ascii="Bookman Old Style" w:hAnsi="Bookman Old Style" w:cs="Arial"/>
          <w:bCs/>
          <w:lang w:val="es-CO"/>
        </w:rPr>
        <w:t>0</w:t>
      </w:r>
      <w:r w:rsidR="00A53AFD" w:rsidRPr="00A53AFD">
        <w:rPr>
          <w:rFonts w:ascii="Bookman Old Style" w:hAnsi="Bookman Old Style" w:cs="Arial"/>
          <w:bCs/>
          <w:lang w:val="es-CO"/>
        </w:rPr>
        <w:t>) meses.</w:t>
      </w:r>
    </w:p>
    <w:p w14:paraId="69F73B90" w14:textId="12A77CDE" w:rsidR="00867F3A" w:rsidRDefault="00867F3A" w:rsidP="007B5923">
      <w:pPr>
        <w:widowControl w:val="0"/>
        <w:spacing w:before="200" w:after="200"/>
        <w:ind w:left="2836" w:right="47" w:hanging="1418"/>
        <w:jc w:val="both"/>
        <w:rPr>
          <w:rFonts w:ascii="Bookman Old Style" w:hAnsi="Bookman Old Style" w:cs="Arial"/>
          <w:bCs/>
          <w:lang w:val="es-CO"/>
        </w:rPr>
      </w:pPr>
      <w:r>
        <w:rPr>
          <w:rFonts w:ascii="Bookman Old Style" w:hAnsi="Bookman Old Style" w:cs="Arial"/>
          <w:bCs/>
          <w:i/>
          <w:iCs/>
          <w:lang w:val="es-CO"/>
        </w:rPr>
        <w:t>p</w:t>
      </w:r>
      <w:r w:rsidRPr="00C80D52">
        <w:rPr>
          <w:rFonts w:ascii="Bookman Old Style" w:hAnsi="Bookman Old Style" w:cs="Arial"/>
          <w:bCs/>
          <w:lang w:val="es-CO"/>
        </w:rPr>
        <w:t>:</w:t>
      </w:r>
      <w:r>
        <w:rPr>
          <w:rFonts w:ascii="Bookman Old Style" w:hAnsi="Bookman Old Style" w:cs="Arial"/>
          <w:bCs/>
          <w:lang w:val="es-CO"/>
        </w:rPr>
        <w:t xml:space="preserve"> </w:t>
      </w:r>
      <w:r>
        <w:rPr>
          <w:rFonts w:ascii="Bookman Old Style" w:hAnsi="Bookman Old Style" w:cs="Arial"/>
          <w:bCs/>
          <w:lang w:val="es-CO"/>
        </w:rPr>
        <w:tab/>
      </w:r>
      <w:r w:rsidR="00CB0615">
        <w:rPr>
          <w:rFonts w:ascii="Bookman Old Style" w:hAnsi="Bookman Old Style" w:cs="Arial"/>
          <w:bCs/>
          <w:lang w:val="es-CO"/>
        </w:rPr>
        <w:t xml:space="preserve">Número de meses transcurridos entre el inicio del cobro de la variable </w:t>
      </w:r>
      <w:proofErr w:type="gramStart"/>
      <w:r w:rsidR="00CB0615" w:rsidRPr="00C80D52">
        <w:rPr>
          <w:rFonts w:ascii="Bookman Old Style" w:hAnsi="Bookman Old Style" w:cs="Arial"/>
          <w:bCs/>
          <w:i/>
          <w:iCs/>
          <w:lang w:val="es-CO"/>
        </w:rPr>
        <w:t>COT</w:t>
      </w:r>
      <w:r w:rsidR="00CB0615" w:rsidRPr="00C80D52">
        <w:rPr>
          <w:rFonts w:ascii="Bookman Old Style" w:hAnsi="Bookman Old Style" w:cs="Arial"/>
          <w:bCs/>
          <w:i/>
          <w:iCs/>
          <w:vertAlign w:val="subscript"/>
          <w:lang w:val="es-CO"/>
        </w:rPr>
        <w:t>n,</w:t>
      </w:r>
      <w:r w:rsidR="008457DF">
        <w:rPr>
          <w:rFonts w:ascii="Bookman Old Style" w:hAnsi="Bookman Old Style" w:cs="Arial"/>
          <w:bCs/>
          <w:i/>
          <w:iCs/>
          <w:vertAlign w:val="subscript"/>
          <w:lang w:val="es-CO"/>
        </w:rPr>
        <w:t>i</w:t>
      </w:r>
      <w:proofErr w:type="gramEnd"/>
      <w:r w:rsidR="008457DF">
        <w:rPr>
          <w:rFonts w:ascii="Bookman Old Style" w:hAnsi="Bookman Old Style" w:cs="Arial"/>
          <w:bCs/>
          <w:i/>
          <w:iCs/>
          <w:vertAlign w:val="subscript"/>
          <w:lang w:val="es-CO"/>
        </w:rPr>
        <w:t>,</w:t>
      </w:r>
      <w:r w:rsidR="00CB0615" w:rsidRPr="00C80D52">
        <w:rPr>
          <w:rFonts w:ascii="Bookman Old Style" w:hAnsi="Bookman Old Style" w:cs="Arial"/>
          <w:bCs/>
          <w:i/>
          <w:iCs/>
          <w:vertAlign w:val="subscript"/>
          <w:lang w:val="es-CO"/>
        </w:rPr>
        <w:t>j</w:t>
      </w:r>
      <w:r w:rsidR="008457DF">
        <w:rPr>
          <w:rFonts w:ascii="Bookman Old Style" w:hAnsi="Bookman Old Style" w:cs="Arial"/>
          <w:bCs/>
          <w:i/>
          <w:iCs/>
          <w:vertAlign w:val="subscript"/>
          <w:lang w:val="es-CO"/>
        </w:rPr>
        <w:t>,</w:t>
      </w:r>
      <w:r w:rsidR="0066358F">
        <w:rPr>
          <w:rFonts w:ascii="Bookman Old Style" w:hAnsi="Bookman Old Style" w:cs="Arial"/>
          <w:bCs/>
          <w:i/>
          <w:iCs/>
          <w:vertAlign w:val="subscript"/>
          <w:lang w:val="es-CO"/>
        </w:rPr>
        <w:t>0</w:t>
      </w:r>
      <w:r w:rsidR="00CB0615" w:rsidRPr="00C80D52">
        <w:rPr>
          <w:rFonts w:ascii="Bookman Old Style" w:hAnsi="Bookman Old Style" w:cs="Arial"/>
          <w:bCs/>
          <w:vertAlign w:val="subscript"/>
          <w:lang w:val="es-CO"/>
        </w:rPr>
        <w:t xml:space="preserve"> </w:t>
      </w:r>
      <w:r w:rsidR="00CB0615">
        <w:rPr>
          <w:rFonts w:ascii="Bookman Old Style" w:hAnsi="Bookman Old Style" w:cs="Arial"/>
          <w:bCs/>
          <w:lang w:val="es-CO"/>
        </w:rPr>
        <w:t>y el mes de cálculo</w:t>
      </w:r>
      <w:r w:rsidR="00652BAB">
        <w:rPr>
          <w:rFonts w:ascii="Bookman Old Style" w:hAnsi="Bookman Old Style" w:cs="Arial"/>
          <w:bCs/>
          <w:lang w:val="es-CO"/>
        </w:rPr>
        <w:t xml:space="preserve"> de la variable </w:t>
      </w:r>
      <w:proofErr w:type="spellStart"/>
      <w:r w:rsidR="00652BAB" w:rsidRPr="00C80D52">
        <w:rPr>
          <w:rFonts w:ascii="Bookman Old Style" w:hAnsi="Bookman Old Style" w:cs="Arial"/>
          <w:bCs/>
          <w:i/>
          <w:iCs/>
          <w:lang w:val="es-CO"/>
        </w:rPr>
        <w:t>SA</w:t>
      </w:r>
      <w:r w:rsidR="008457DF">
        <w:rPr>
          <w:rFonts w:ascii="Bookman Old Style" w:hAnsi="Bookman Old Style" w:cs="Arial"/>
          <w:bCs/>
          <w:i/>
          <w:iCs/>
          <w:lang w:val="es-CO"/>
        </w:rPr>
        <w:t>OT</w:t>
      </w:r>
      <w:r w:rsidR="00652BAB" w:rsidRPr="00C80D52">
        <w:rPr>
          <w:rFonts w:ascii="Bookman Old Style" w:hAnsi="Bookman Old Style" w:cs="Arial"/>
          <w:bCs/>
          <w:i/>
          <w:iCs/>
          <w:vertAlign w:val="subscript"/>
          <w:lang w:val="es-CO"/>
        </w:rPr>
        <w:t>n,m,i,j</w:t>
      </w:r>
      <w:proofErr w:type="spellEnd"/>
    </w:p>
    <w:p w14:paraId="46077F24" w14:textId="5E6CB6B0" w:rsidR="00BD2E1F" w:rsidRPr="004F194D" w:rsidRDefault="00BD2E1F" w:rsidP="00C175FF">
      <w:pPr>
        <w:widowControl w:val="0"/>
        <w:spacing w:before="200" w:after="200"/>
        <w:ind w:left="709" w:right="47"/>
        <w:jc w:val="both"/>
        <w:rPr>
          <w:rFonts w:ascii="Bookman Old Style" w:hAnsi="Bookman Old Style" w:cs="Arial"/>
          <w:bCs/>
          <w:lang w:val="es-CO"/>
        </w:rPr>
      </w:pPr>
      <w:r w:rsidRPr="004F194D">
        <w:rPr>
          <w:rFonts w:ascii="Bookman Old Style" w:hAnsi="Bookman Old Style" w:cs="Arial"/>
          <w:bCs/>
          <w:lang w:val="es-CO"/>
        </w:rPr>
        <w:t xml:space="preserve">El valor de la variable </w:t>
      </w:r>
      <w:proofErr w:type="spellStart"/>
      <w:proofErr w:type="gramStart"/>
      <w:r w:rsidRPr="00C175FF">
        <w:rPr>
          <w:rFonts w:ascii="Bookman Old Style" w:hAnsi="Bookman Old Style" w:cs="Arial"/>
          <w:bCs/>
          <w:i/>
          <w:iCs/>
          <w:lang w:val="es-CO"/>
        </w:rPr>
        <w:t>S</w:t>
      </w:r>
      <w:r w:rsidR="00C175FF" w:rsidRPr="00C175FF">
        <w:rPr>
          <w:rFonts w:ascii="Bookman Old Style" w:hAnsi="Bookman Old Style" w:cs="Arial"/>
          <w:bCs/>
          <w:i/>
          <w:iCs/>
          <w:lang w:val="es-CO"/>
        </w:rPr>
        <w:t>A</w:t>
      </w:r>
      <w:r w:rsidRPr="00C175FF">
        <w:rPr>
          <w:rFonts w:ascii="Bookman Old Style" w:hAnsi="Bookman Old Style" w:cs="Arial"/>
          <w:bCs/>
          <w:i/>
          <w:iCs/>
          <w:lang w:val="es-CO"/>
        </w:rPr>
        <w:t>OT</w:t>
      </w:r>
      <w:r w:rsidR="00C175FF" w:rsidRPr="00C175FF">
        <w:rPr>
          <w:rFonts w:ascii="Bookman Old Style" w:hAnsi="Bookman Old Style" w:cs="Arial"/>
          <w:bCs/>
          <w:i/>
          <w:iCs/>
          <w:vertAlign w:val="subscript"/>
          <w:lang w:val="es-CO"/>
        </w:rPr>
        <w:t>n,</w:t>
      </w:r>
      <w:r w:rsidR="00421A7B">
        <w:rPr>
          <w:rFonts w:ascii="Bookman Old Style" w:hAnsi="Bookman Old Style" w:cs="Arial"/>
          <w:bCs/>
          <w:i/>
          <w:iCs/>
          <w:vertAlign w:val="subscript"/>
          <w:lang w:val="es-CO"/>
        </w:rPr>
        <w:t>m</w:t>
      </w:r>
      <w:proofErr w:type="gramEnd"/>
      <w:r w:rsidR="00421A7B">
        <w:rPr>
          <w:rFonts w:ascii="Bookman Old Style" w:hAnsi="Bookman Old Style" w:cs="Arial"/>
          <w:bCs/>
          <w:i/>
          <w:iCs/>
          <w:vertAlign w:val="subscript"/>
          <w:lang w:val="es-CO"/>
        </w:rPr>
        <w:t>,</w:t>
      </w:r>
      <w:r w:rsidRPr="00C175FF">
        <w:rPr>
          <w:rFonts w:ascii="Bookman Old Style" w:hAnsi="Bookman Old Style" w:cs="Arial"/>
          <w:bCs/>
          <w:i/>
          <w:iCs/>
          <w:vertAlign w:val="subscript"/>
          <w:lang w:val="es-CO"/>
        </w:rPr>
        <w:t>i</w:t>
      </w:r>
      <w:r w:rsidRPr="00C175FF">
        <w:rPr>
          <w:rFonts w:ascii="Bookman Old Style" w:hAnsi="Bookman Old Style" w:cs="Arial"/>
          <w:i/>
          <w:vertAlign w:val="subscript"/>
          <w:lang w:val="es-CO"/>
        </w:rPr>
        <w:t>,j</w:t>
      </w:r>
      <w:proofErr w:type="spellEnd"/>
      <w:r w:rsidRPr="004F194D">
        <w:rPr>
          <w:rFonts w:ascii="Bookman Old Style" w:hAnsi="Bookman Old Style" w:cs="Arial"/>
          <w:bCs/>
          <w:lang w:val="es-CO"/>
        </w:rPr>
        <w:t xml:space="preserve"> </w:t>
      </w:r>
      <w:r w:rsidR="00626164">
        <w:rPr>
          <w:rFonts w:ascii="Bookman Old Style" w:hAnsi="Bookman Old Style" w:cs="Arial"/>
          <w:bCs/>
          <w:lang w:val="es-CO"/>
        </w:rPr>
        <w:t xml:space="preserve">inicial </w:t>
      </w:r>
      <w:r w:rsidRPr="004F194D">
        <w:rPr>
          <w:rFonts w:ascii="Bookman Old Style" w:hAnsi="Bookman Old Style" w:cs="Arial"/>
          <w:bCs/>
          <w:lang w:val="es-CO"/>
        </w:rPr>
        <w:t xml:space="preserve">se calculará y aplicará una vez </w:t>
      </w:r>
      <w:r w:rsidR="00D3143C">
        <w:rPr>
          <w:rFonts w:ascii="Bookman Old Style" w:hAnsi="Bookman Old Style" w:cs="Arial"/>
          <w:bCs/>
          <w:lang w:val="es-CO"/>
        </w:rPr>
        <w:t xml:space="preserve">que el comercializador se acoja al mutuo acuerdo </w:t>
      </w:r>
      <w:r w:rsidR="005A6BBB">
        <w:rPr>
          <w:rFonts w:ascii="Bookman Old Style" w:hAnsi="Bookman Old Style" w:cs="Arial"/>
          <w:bCs/>
          <w:lang w:val="es-CO"/>
        </w:rPr>
        <w:t>planteado</w:t>
      </w:r>
      <w:r w:rsidR="00D3143C">
        <w:rPr>
          <w:rFonts w:ascii="Bookman Old Style" w:hAnsi="Bookman Old Style" w:cs="Arial"/>
          <w:bCs/>
          <w:lang w:val="es-CO"/>
        </w:rPr>
        <w:t xml:space="preserve">. </w:t>
      </w:r>
    </w:p>
    <w:p w14:paraId="392D1702" w14:textId="7E0D9803" w:rsidR="00FE7941" w:rsidRDefault="00906984" w:rsidP="00C175FF">
      <w:pPr>
        <w:widowControl w:val="0"/>
        <w:spacing w:before="200" w:after="200"/>
        <w:ind w:left="709" w:right="47"/>
        <w:jc w:val="both"/>
        <w:rPr>
          <w:rFonts w:ascii="Bookman Old Style" w:hAnsi="Bookman Old Style"/>
          <w:bCs/>
        </w:rPr>
      </w:pPr>
      <w:r>
        <w:rPr>
          <w:rFonts w:ascii="Bookman Old Style" w:hAnsi="Bookman Old Style"/>
          <w:bCs/>
        </w:rPr>
        <w:t>Esta variable se aplicará durante los m</w:t>
      </w:r>
      <w:r w:rsidRPr="00763FA5">
        <w:rPr>
          <w:rFonts w:ascii="Bookman Old Style" w:hAnsi="Bookman Old Style"/>
          <w:bCs/>
        </w:rPr>
        <w:t xml:space="preserve">eses de </w:t>
      </w:r>
      <w:r>
        <w:rPr>
          <w:rFonts w:ascii="Bookman Old Style" w:hAnsi="Bookman Old Style"/>
          <w:bCs/>
        </w:rPr>
        <w:t xml:space="preserve">recuperación </w:t>
      </w:r>
      <w:r w:rsidRPr="00763FA5">
        <w:rPr>
          <w:rFonts w:ascii="Bookman Old Style" w:hAnsi="Bookman Old Style"/>
          <w:bCs/>
        </w:rPr>
        <w:t>del cargo asociado con el saldo de la opción tarifaria</w:t>
      </w:r>
      <w:r w:rsidR="00A53AFD">
        <w:rPr>
          <w:rFonts w:ascii="Bookman Old Style" w:hAnsi="Bookman Old Style"/>
          <w:bCs/>
        </w:rPr>
        <w:t>.</w:t>
      </w:r>
      <w:r w:rsidR="00FE7941">
        <w:rPr>
          <w:rFonts w:ascii="Bookman Old Style" w:hAnsi="Bookman Old Style"/>
          <w:bCs/>
        </w:rPr>
        <w:t xml:space="preserve"> </w:t>
      </w:r>
    </w:p>
    <w:p w14:paraId="3D7983AE" w14:textId="6CBA110D" w:rsidR="00906984" w:rsidRDefault="002E4083" w:rsidP="00C175FF">
      <w:pPr>
        <w:widowControl w:val="0"/>
        <w:spacing w:before="200" w:after="200"/>
        <w:ind w:left="709" w:right="47"/>
        <w:jc w:val="both"/>
        <w:rPr>
          <w:rFonts w:ascii="Bookman Old Style" w:hAnsi="Bookman Old Style"/>
          <w:bCs/>
        </w:rPr>
      </w:pPr>
      <w:r>
        <w:rPr>
          <w:rFonts w:ascii="Bookman Old Style" w:hAnsi="Bookman Old Style"/>
          <w:bCs/>
        </w:rPr>
        <w:t>Una vez transcu</w:t>
      </w:r>
      <w:r w:rsidR="00F6593D">
        <w:rPr>
          <w:rFonts w:ascii="Bookman Old Style" w:hAnsi="Bookman Old Style"/>
          <w:bCs/>
        </w:rPr>
        <w:t>rridos los m</w:t>
      </w:r>
      <w:r w:rsidR="00F6593D" w:rsidRPr="00763FA5">
        <w:rPr>
          <w:rFonts w:ascii="Bookman Old Style" w:hAnsi="Bookman Old Style"/>
          <w:bCs/>
        </w:rPr>
        <w:t xml:space="preserve">eses de </w:t>
      </w:r>
      <w:r w:rsidR="00F6593D">
        <w:rPr>
          <w:rFonts w:ascii="Bookman Old Style" w:hAnsi="Bookman Old Style"/>
          <w:bCs/>
        </w:rPr>
        <w:t xml:space="preserve">recuperación </w:t>
      </w:r>
      <w:r w:rsidR="00F6593D" w:rsidRPr="00763FA5">
        <w:rPr>
          <w:rFonts w:ascii="Bookman Old Style" w:hAnsi="Bookman Old Style"/>
          <w:bCs/>
        </w:rPr>
        <w:t>del cargo asociado con el saldo de la opción tarifaria</w:t>
      </w:r>
      <w:r w:rsidR="005B0483">
        <w:rPr>
          <w:rFonts w:ascii="Bookman Old Style" w:hAnsi="Bookman Old Style"/>
          <w:bCs/>
        </w:rPr>
        <w:t xml:space="preserve"> esta variable será igual a cero (0).</w:t>
      </w:r>
    </w:p>
    <w:p w14:paraId="05AB4EC1" w14:textId="76D07E4A" w:rsidR="00463BCA" w:rsidRDefault="00967DBE" w:rsidP="00C175FF">
      <w:pPr>
        <w:widowControl w:val="0"/>
        <w:spacing w:before="200" w:after="200"/>
        <w:ind w:left="709" w:right="47"/>
        <w:jc w:val="both"/>
        <w:rPr>
          <w:rFonts w:ascii="Bookman Old Style" w:hAnsi="Bookman Old Style" w:cs="Arial"/>
          <w:iCs/>
          <w:lang w:val="es-CO"/>
        </w:rPr>
      </w:pPr>
      <w:r>
        <w:rPr>
          <w:rFonts w:ascii="Bookman Old Style" w:hAnsi="Bookman Old Style"/>
          <w:bCs/>
        </w:rPr>
        <w:lastRenderedPageBreak/>
        <w:t xml:space="preserve">Además de los cambios </w:t>
      </w:r>
      <w:r w:rsidR="00DB75F7">
        <w:rPr>
          <w:rFonts w:ascii="Bookman Old Style" w:hAnsi="Bookman Old Style"/>
          <w:bCs/>
        </w:rPr>
        <w:t>de</w:t>
      </w:r>
      <w:r w:rsidR="00153AA5">
        <w:rPr>
          <w:rFonts w:ascii="Bookman Old Style" w:hAnsi="Bookman Old Style"/>
          <w:bCs/>
        </w:rPr>
        <w:t>l v</w:t>
      </w:r>
      <w:r w:rsidR="00153AA5" w:rsidRPr="00153AA5">
        <w:rPr>
          <w:rFonts w:ascii="Bookman Old Style" w:hAnsi="Bookman Old Style"/>
          <w:bCs/>
        </w:rPr>
        <w:t>alor mensual para la recuperación del saldo de la opción tarifaria</w:t>
      </w:r>
      <w:r w:rsidR="00153AA5">
        <w:rPr>
          <w:rFonts w:ascii="Bookman Old Style" w:hAnsi="Bookman Old Style"/>
          <w:bCs/>
        </w:rPr>
        <w:t xml:space="preserve"> </w:t>
      </w:r>
      <w:r w:rsidR="00DB75F7">
        <w:rPr>
          <w:rFonts w:ascii="Bookman Old Style" w:hAnsi="Bookman Old Style"/>
          <w:bCs/>
        </w:rPr>
        <w:t>producidos por los cambios en las tasas</w:t>
      </w:r>
      <w:r w:rsidR="00C80D52">
        <w:rPr>
          <w:rFonts w:ascii="Bookman Old Style" w:hAnsi="Bookman Old Style"/>
          <w:bCs/>
        </w:rPr>
        <w:t xml:space="preserve"> </w:t>
      </w:r>
      <w:r w:rsidR="0075613B">
        <w:rPr>
          <w:rFonts w:ascii="Bookman Old Style" w:hAnsi="Bookman Old Style"/>
          <w:bCs/>
        </w:rPr>
        <w:t xml:space="preserve">de </w:t>
      </w:r>
      <w:r w:rsidR="00191063">
        <w:rPr>
          <w:rFonts w:ascii="Bookman Old Style" w:hAnsi="Bookman Old Style"/>
          <w:bCs/>
        </w:rPr>
        <w:t>interés</w:t>
      </w:r>
      <w:r w:rsidR="00DB75F7">
        <w:rPr>
          <w:rFonts w:ascii="Bookman Old Style" w:hAnsi="Bookman Old Style"/>
          <w:bCs/>
        </w:rPr>
        <w:t xml:space="preserve">, esta variable </w:t>
      </w:r>
      <w:r w:rsidR="00934A4C">
        <w:rPr>
          <w:rFonts w:ascii="Bookman Old Style" w:hAnsi="Bookman Old Style"/>
          <w:bCs/>
        </w:rPr>
        <w:t xml:space="preserve">se </w:t>
      </w:r>
      <w:r w:rsidR="00DB75F7">
        <w:rPr>
          <w:rFonts w:ascii="Bookman Old Style" w:hAnsi="Bookman Old Style"/>
          <w:bCs/>
        </w:rPr>
        <w:t xml:space="preserve">podrá </w:t>
      </w:r>
      <w:r w:rsidR="00583F99">
        <w:rPr>
          <w:rFonts w:ascii="Bookman Old Style" w:hAnsi="Bookman Old Style"/>
          <w:bCs/>
        </w:rPr>
        <w:t xml:space="preserve">ajustar </w:t>
      </w:r>
      <w:r w:rsidR="00934A4C">
        <w:rPr>
          <w:rFonts w:ascii="Bookman Old Style" w:hAnsi="Bookman Old Style"/>
          <w:bCs/>
        </w:rPr>
        <w:t xml:space="preserve">disminuyendo </w:t>
      </w:r>
      <w:r w:rsidR="00463BCA">
        <w:rPr>
          <w:rFonts w:ascii="Bookman Old Style" w:hAnsi="Bookman Old Style"/>
          <w:bCs/>
        </w:rPr>
        <w:t xml:space="preserve">la variable </w:t>
      </w:r>
      <w:proofErr w:type="spellStart"/>
      <w:proofErr w:type="gramStart"/>
      <w:r w:rsidR="00321DA4" w:rsidRPr="00644A3D">
        <w:rPr>
          <w:rFonts w:ascii="Bookman Old Style" w:hAnsi="Bookman Old Style" w:cs="Arial"/>
          <w:bCs/>
          <w:i/>
          <w:iCs/>
          <w:lang w:val="es-CO"/>
        </w:rPr>
        <w:t>ma</w:t>
      </w:r>
      <w:r w:rsidR="00321DA4" w:rsidRPr="00644A3D">
        <w:rPr>
          <w:rFonts w:ascii="Bookman Old Style" w:hAnsi="Bookman Old Style" w:cs="Arial"/>
          <w:bCs/>
          <w:i/>
          <w:iCs/>
          <w:vertAlign w:val="subscript"/>
          <w:lang w:val="es-CO"/>
        </w:rPr>
        <w:t>n,i</w:t>
      </w:r>
      <w:proofErr w:type="gramEnd"/>
      <w:r w:rsidR="00321DA4" w:rsidRPr="00644A3D">
        <w:rPr>
          <w:rFonts w:ascii="Bookman Old Style" w:hAnsi="Bookman Old Style" w:cs="Arial"/>
          <w:i/>
          <w:vertAlign w:val="subscript"/>
          <w:lang w:val="es-CO"/>
        </w:rPr>
        <w:t>,j</w:t>
      </w:r>
      <w:proofErr w:type="spellEnd"/>
      <w:r w:rsidR="00934A4C">
        <w:rPr>
          <w:rFonts w:ascii="Bookman Old Style" w:hAnsi="Bookman Old Style" w:cs="Arial"/>
          <w:i/>
          <w:vertAlign w:val="subscript"/>
          <w:lang w:val="es-CO"/>
        </w:rPr>
        <w:t xml:space="preserve"> </w:t>
      </w:r>
      <w:r w:rsidR="00934A4C" w:rsidRPr="00C80D52">
        <w:rPr>
          <w:rFonts w:ascii="Bookman Old Style" w:hAnsi="Bookman Old Style" w:cs="Arial"/>
          <w:iCs/>
          <w:lang w:val="es-CO"/>
        </w:rPr>
        <w:t>sujeto a que</w:t>
      </w:r>
      <w:r w:rsidR="009308B4" w:rsidRPr="00C80D52">
        <w:rPr>
          <w:rFonts w:ascii="Bookman Old Style" w:hAnsi="Bookman Old Style" w:cs="Arial"/>
          <w:iCs/>
          <w:lang w:val="es-CO"/>
        </w:rPr>
        <w:t xml:space="preserve"> la variable</w:t>
      </w:r>
      <w:r w:rsidR="009308B4">
        <w:rPr>
          <w:rFonts w:ascii="Bookman Old Style" w:hAnsi="Bookman Old Style" w:cs="Arial"/>
          <w:i/>
          <w:lang w:val="es-CO"/>
        </w:rPr>
        <w:t xml:space="preserve"> </w:t>
      </w:r>
      <w:proofErr w:type="spellStart"/>
      <w:r w:rsidR="00D32821" w:rsidRPr="00ED0D64">
        <w:rPr>
          <w:rFonts w:ascii="Bookman Old Style" w:hAnsi="Bookman Old Style"/>
          <w:i/>
          <w:iCs/>
        </w:rPr>
        <w:t>COT</w:t>
      </w:r>
      <w:r w:rsidR="00D32821" w:rsidRPr="00ED0D64">
        <w:rPr>
          <w:rFonts w:ascii="Bookman Old Style" w:hAnsi="Bookman Old Style"/>
          <w:i/>
          <w:iCs/>
          <w:vertAlign w:val="subscript"/>
        </w:rPr>
        <w:t>n,i,j,m</w:t>
      </w:r>
      <w:proofErr w:type="spellEnd"/>
      <w:r w:rsidR="00D32821">
        <w:rPr>
          <w:rFonts w:ascii="Bookman Old Style" w:hAnsi="Bookman Old Style"/>
        </w:rPr>
        <w:t xml:space="preserve"> </w:t>
      </w:r>
      <w:r w:rsidR="004577D4" w:rsidRPr="00A93AD0">
        <w:rPr>
          <w:rFonts w:ascii="Bookman Old Style" w:hAnsi="Bookman Old Style" w:cs="Arial"/>
          <w:iCs/>
          <w:lang w:val="es-CO"/>
        </w:rPr>
        <w:t xml:space="preserve">no </w:t>
      </w:r>
      <w:r w:rsidR="00FF56A7">
        <w:rPr>
          <w:rFonts w:ascii="Bookman Old Style" w:hAnsi="Bookman Old Style" w:cs="Arial"/>
          <w:iCs/>
          <w:lang w:val="es-CO"/>
        </w:rPr>
        <w:t xml:space="preserve">sea superior al </w:t>
      </w:r>
      <w:r w:rsidR="00D32821" w:rsidRPr="00A93AD0">
        <w:rPr>
          <w:rFonts w:ascii="Bookman Old Style" w:hAnsi="Bookman Old Style" w:cs="Arial"/>
          <w:iCs/>
          <w:lang w:val="es-CO"/>
        </w:rPr>
        <w:t xml:space="preserve">promedio </w:t>
      </w:r>
      <w:r w:rsidR="00FF56A7">
        <w:rPr>
          <w:rFonts w:ascii="Bookman Old Style" w:hAnsi="Bookman Old Style" w:cs="Arial"/>
          <w:iCs/>
          <w:lang w:val="es-CO"/>
        </w:rPr>
        <w:t>de</w:t>
      </w:r>
      <w:r w:rsidR="00572599">
        <w:rPr>
          <w:rFonts w:ascii="Bookman Old Style" w:hAnsi="Bookman Old Style" w:cs="Arial"/>
          <w:iCs/>
          <w:lang w:val="es-CO"/>
        </w:rPr>
        <w:t>l comportamiento de los últimos tres meses de</w:t>
      </w:r>
      <w:r w:rsidR="00A16B43">
        <w:rPr>
          <w:rFonts w:ascii="Bookman Old Style" w:hAnsi="Bookman Old Style" w:cs="Arial"/>
          <w:iCs/>
          <w:lang w:val="es-CO"/>
        </w:rPr>
        <w:t xml:space="preserve"> </w:t>
      </w:r>
      <w:r w:rsidR="00AC5ECF">
        <w:rPr>
          <w:rFonts w:ascii="Bookman Old Style" w:hAnsi="Bookman Old Style" w:cs="Arial"/>
          <w:iCs/>
          <w:lang w:val="es-CO"/>
        </w:rPr>
        <w:t>esta</w:t>
      </w:r>
      <w:r w:rsidR="00A16B43">
        <w:rPr>
          <w:rFonts w:ascii="Bookman Old Style" w:hAnsi="Bookman Old Style" w:cs="Arial"/>
          <w:iCs/>
          <w:lang w:val="es-CO"/>
        </w:rPr>
        <w:t xml:space="preserve"> última</w:t>
      </w:r>
      <w:r w:rsidR="00CF1BBB">
        <w:rPr>
          <w:rFonts w:ascii="Bookman Old Style" w:hAnsi="Bookman Old Style" w:cs="Arial"/>
          <w:iCs/>
          <w:lang w:val="es-CO"/>
        </w:rPr>
        <w:t xml:space="preserve"> variable</w:t>
      </w:r>
      <w:r w:rsidR="00FF56A7">
        <w:rPr>
          <w:rFonts w:ascii="Bookman Old Style" w:hAnsi="Bookman Old Style" w:cs="Arial"/>
          <w:iCs/>
          <w:lang w:val="es-CO"/>
        </w:rPr>
        <w:t>.</w:t>
      </w:r>
      <w:r w:rsidR="00D32821" w:rsidRPr="00A93AD0">
        <w:rPr>
          <w:rFonts w:ascii="Bookman Old Style" w:hAnsi="Bookman Old Style" w:cs="Arial"/>
          <w:iCs/>
          <w:lang w:val="es-CO"/>
        </w:rPr>
        <w:t xml:space="preserve"> </w:t>
      </w:r>
    </w:p>
    <w:p w14:paraId="70D8A96F" w14:textId="54575970" w:rsidR="001F5A97" w:rsidRDefault="00A024D2" w:rsidP="00AF5B07">
      <w:pPr>
        <w:widowControl w:val="0"/>
        <w:spacing w:before="200" w:after="200"/>
        <w:ind w:left="709" w:right="47"/>
        <w:jc w:val="both"/>
        <w:rPr>
          <w:rFonts w:ascii="Bookman Old Style" w:hAnsi="Bookman Old Style"/>
          <w:bCs/>
        </w:rPr>
      </w:pPr>
      <w:r>
        <w:rPr>
          <w:rFonts w:ascii="Bookman Old Style" w:hAnsi="Bookman Old Style"/>
          <w:bCs/>
        </w:rPr>
        <w:t xml:space="preserve">Con la aceptación del mutuo acuerdo por parte de un comercializador, este agente deberá </w:t>
      </w:r>
      <w:r w:rsidR="00B375BC">
        <w:rPr>
          <w:rFonts w:ascii="Bookman Old Style" w:hAnsi="Bookman Old Style"/>
          <w:bCs/>
        </w:rPr>
        <w:t xml:space="preserve">informar </w:t>
      </w:r>
      <w:r w:rsidR="001F5A97">
        <w:rPr>
          <w:rFonts w:ascii="Bookman Old Style" w:hAnsi="Bookman Old Style"/>
          <w:bCs/>
        </w:rPr>
        <w:t>a la SSPD y a la CREG</w:t>
      </w:r>
      <w:r w:rsidR="00C45D33">
        <w:rPr>
          <w:rFonts w:ascii="Bookman Old Style" w:hAnsi="Bookman Old Style"/>
          <w:bCs/>
        </w:rPr>
        <w:t xml:space="preserve">, en el término señalado en el </w:t>
      </w:r>
      <w:r w:rsidR="00120244" w:rsidRPr="00F5221D">
        <w:rPr>
          <w:rFonts w:ascii="Bookman Old Style" w:hAnsi="Bookman Old Style"/>
          <w:bCs/>
        </w:rPr>
        <w:t>Artículo 3</w:t>
      </w:r>
      <w:r w:rsidR="00C45D33">
        <w:rPr>
          <w:rFonts w:ascii="Bookman Old Style" w:hAnsi="Bookman Old Style"/>
          <w:bCs/>
        </w:rPr>
        <w:t xml:space="preserve"> de la presente resolución, </w:t>
      </w:r>
      <w:r w:rsidR="001F5A97">
        <w:rPr>
          <w:rFonts w:ascii="Bookman Old Style" w:hAnsi="Bookman Old Style"/>
          <w:bCs/>
        </w:rPr>
        <w:t xml:space="preserve">los valores iniciales de </w:t>
      </w:r>
      <w:r>
        <w:rPr>
          <w:rFonts w:ascii="Bookman Old Style" w:hAnsi="Bookman Old Style"/>
          <w:bCs/>
        </w:rPr>
        <w:t>todas las variables de que trata este numeral.</w:t>
      </w:r>
      <w:r w:rsidR="001F5A97">
        <w:rPr>
          <w:rFonts w:ascii="Bookman Old Style" w:hAnsi="Bookman Old Style"/>
          <w:bCs/>
        </w:rPr>
        <w:t xml:space="preserve"> </w:t>
      </w:r>
    </w:p>
    <w:p w14:paraId="34F8E8A8" w14:textId="20137C6F" w:rsidR="00AA0468" w:rsidRPr="00C70E1C" w:rsidRDefault="00AA0468" w:rsidP="00A93AD0">
      <w:pPr>
        <w:pStyle w:val="Ttulo2"/>
        <w:numPr>
          <w:ilvl w:val="1"/>
          <w:numId w:val="36"/>
        </w:numPr>
      </w:pPr>
      <w:r w:rsidRPr="00C70E1C">
        <w:t xml:space="preserve">Cálculo del valor mensual con </w:t>
      </w:r>
      <w:proofErr w:type="gramStart"/>
      <w:r w:rsidRPr="00C70E1C">
        <w:t>SBC</w:t>
      </w:r>
      <w:r w:rsidRPr="00E55705">
        <w:rPr>
          <w:vertAlign w:val="subscript"/>
        </w:rPr>
        <w:t>n,i</w:t>
      </w:r>
      <w:proofErr w:type="gramEnd"/>
      <w:r w:rsidRPr="00E55705">
        <w:rPr>
          <w:vertAlign w:val="subscript"/>
        </w:rPr>
        <w:t>,j,</w:t>
      </w:r>
      <w:r w:rsidR="00E55705" w:rsidRPr="00E55705">
        <w:rPr>
          <w:vertAlign w:val="subscript"/>
        </w:rPr>
        <w:t>0</w:t>
      </w:r>
      <w:r w:rsidRPr="00C70E1C">
        <w:t xml:space="preserve"> </w:t>
      </w:r>
      <w:r>
        <w:t>&gt;</w:t>
      </w:r>
      <w:r w:rsidRPr="00C70E1C">
        <w:t xml:space="preserve"> </w:t>
      </w:r>
      <w:r w:rsidR="00437AAD">
        <w:t>0,03*</w:t>
      </w:r>
      <w:r w:rsidRPr="00C70E1C">
        <w:rPr>
          <w:rFonts w:cs="Arial"/>
        </w:rPr>
        <w:t>CUv</w:t>
      </w:r>
      <w:r w:rsidRPr="00C70E1C">
        <w:rPr>
          <w:rFonts w:cs="Arial"/>
          <w:vertAlign w:val="subscript"/>
        </w:rPr>
        <w:t>n,m</w:t>
      </w:r>
      <w:r w:rsidR="00432C21">
        <w:rPr>
          <w:rFonts w:cs="Arial"/>
          <w:vertAlign w:val="subscript"/>
        </w:rPr>
        <w:t>-1</w:t>
      </w:r>
      <w:r w:rsidRPr="00C70E1C">
        <w:rPr>
          <w:rFonts w:cs="Arial"/>
          <w:vertAlign w:val="subscript"/>
        </w:rPr>
        <w:t>,i,j</w:t>
      </w:r>
    </w:p>
    <w:p w14:paraId="4C02467A" w14:textId="7BEE548C" w:rsidR="00AA0468" w:rsidRPr="00E37FF1" w:rsidRDefault="00AA0468" w:rsidP="00AA0468">
      <w:pPr>
        <w:widowControl w:val="0"/>
        <w:spacing w:before="200" w:after="200"/>
        <w:ind w:left="709" w:right="47"/>
        <w:jc w:val="both"/>
        <w:rPr>
          <w:rFonts w:ascii="Bookman Old Style" w:hAnsi="Bookman Old Style" w:cs="Arial"/>
          <w:bCs/>
          <w:lang w:val="es-CO"/>
        </w:rPr>
      </w:pPr>
      <w:r w:rsidRPr="00E37FF1">
        <w:rPr>
          <w:rFonts w:ascii="Bookman Old Style" w:hAnsi="Bookman Old Style" w:cs="Arial"/>
          <w:bCs/>
          <w:lang w:val="es-CO"/>
        </w:rPr>
        <w:t>El valor mensual para la recuperación del saldo de la opción tarifaria</w:t>
      </w:r>
      <w:r w:rsidR="00C100A6">
        <w:rPr>
          <w:rFonts w:ascii="Bookman Old Style" w:hAnsi="Bookman Old Style" w:cs="Arial"/>
          <w:bCs/>
          <w:lang w:val="es-CO"/>
        </w:rPr>
        <w:t xml:space="preserve">, </w:t>
      </w:r>
      <w:proofErr w:type="spellStart"/>
      <w:proofErr w:type="gramStart"/>
      <w:r w:rsidR="00C100A6" w:rsidRPr="00C175FF">
        <w:rPr>
          <w:rFonts w:ascii="Bookman Old Style" w:hAnsi="Bookman Old Style" w:cs="Arial"/>
          <w:bCs/>
          <w:i/>
          <w:iCs/>
          <w:lang w:val="es-CO"/>
        </w:rPr>
        <w:t>SAOT</w:t>
      </w:r>
      <w:r w:rsidR="00C100A6" w:rsidRPr="00C175FF">
        <w:rPr>
          <w:rFonts w:ascii="Bookman Old Style" w:hAnsi="Bookman Old Style" w:cs="Arial"/>
          <w:bCs/>
          <w:i/>
          <w:iCs/>
          <w:vertAlign w:val="subscript"/>
          <w:lang w:val="es-CO"/>
        </w:rPr>
        <w:t>n,</w:t>
      </w:r>
      <w:r w:rsidR="00C100A6">
        <w:rPr>
          <w:rFonts w:ascii="Bookman Old Style" w:hAnsi="Bookman Old Style" w:cs="Arial"/>
          <w:bCs/>
          <w:i/>
          <w:iCs/>
          <w:vertAlign w:val="subscript"/>
          <w:lang w:val="es-CO"/>
        </w:rPr>
        <w:t>m</w:t>
      </w:r>
      <w:proofErr w:type="gramEnd"/>
      <w:r w:rsidR="00C100A6">
        <w:rPr>
          <w:rFonts w:ascii="Bookman Old Style" w:hAnsi="Bookman Old Style" w:cs="Arial"/>
          <w:bCs/>
          <w:i/>
          <w:iCs/>
          <w:vertAlign w:val="subscript"/>
          <w:lang w:val="es-CO"/>
        </w:rPr>
        <w:t>,</w:t>
      </w:r>
      <w:r w:rsidR="00C100A6" w:rsidRPr="00C175FF">
        <w:rPr>
          <w:rFonts w:ascii="Bookman Old Style" w:hAnsi="Bookman Old Style" w:cs="Arial"/>
          <w:bCs/>
          <w:i/>
          <w:iCs/>
          <w:vertAlign w:val="subscript"/>
          <w:lang w:val="es-CO"/>
        </w:rPr>
        <w:t>i</w:t>
      </w:r>
      <w:r w:rsidR="00C100A6" w:rsidRPr="00C175FF">
        <w:rPr>
          <w:rFonts w:ascii="Bookman Old Style" w:hAnsi="Bookman Old Style" w:cs="Arial"/>
          <w:i/>
          <w:vertAlign w:val="subscript"/>
          <w:lang w:val="es-CO"/>
        </w:rPr>
        <w:t>,j</w:t>
      </w:r>
      <w:proofErr w:type="spellEnd"/>
      <w:r w:rsidR="00C100A6">
        <w:rPr>
          <w:rFonts w:ascii="Bookman Old Style" w:hAnsi="Bookman Old Style" w:cs="Arial"/>
          <w:i/>
          <w:vertAlign w:val="subscript"/>
          <w:lang w:val="es-CO"/>
        </w:rPr>
        <w:t>,</w:t>
      </w:r>
      <w:r w:rsidRPr="00A93AD0">
        <w:rPr>
          <w:rFonts w:ascii="Bookman Old Style" w:hAnsi="Bookman Old Style" w:cs="Arial"/>
          <w:bCs/>
          <w:sz w:val="22"/>
          <w:szCs w:val="22"/>
          <w:lang w:val="es-CO"/>
        </w:rPr>
        <w:t xml:space="preserve"> </w:t>
      </w:r>
      <w:r w:rsidRPr="00E37FF1">
        <w:rPr>
          <w:rFonts w:ascii="Bookman Old Style" w:hAnsi="Bookman Old Style" w:cs="Arial"/>
          <w:bCs/>
          <w:lang w:val="es-CO"/>
        </w:rPr>
        <w:t>se</w:t>
      </w:r>
      <w:r w:rsidR="004E06AF">
        <w:rPr>
          <w:rFonts w:ascii="Bookman Old Style" w:hAnsi="Bookman Old Style" w:cs="Arial"/>
          <w:bCs/>
          <w:lang w:val="es-CO"/>
        </w:rPr>
        <w:t xml:space="preserve"> calculará</w:t>
      </w:r>
      <w:r w:rsidR="00ED1468">
        <w:rPr>
          <w:rFonts w:ascii="Bookman Old Style" w:hAnsi="Bookman Old Style" w:cs="Arial"/>
          <w:bCs/>
          <w:lang w:val="es-CO"/>
        </w:rPr>
        <w:t xml:space="preserve"> como un perfil de pagos </w:t>
      </w:r>
      <w:r w:rsidR="00FF7D12">
        <w:rPr>
          <w:rFonts w:ascii="Bookman Old Style" w:hAnsi="Bookman Old Style" w:cs="Arial"/>
          <w:bCs/>
          <w:lang w:val="es-CO"/>
        </w:rPr>
        <w:t>de gradiente</w:t>
      </w:r>
      <w:r w:rsidR="00ED1468">
        <w:rPr>
          <w:rFonts w:ascii="Bookman Old Style" w:hAnsi="Bookman Old Style" w:cs="Arial"/>
          <w:bCs/>
          <w:lang w:val="es-CO"/>
        </w:rPr>
        <w:t xml:space="preserve"> </w:t>
      </w:r>
      <w:r w:rsidR="00701673">
        <w:rPr>
          <w:rFonts w:ascii="Bookman Old Style" w:hAnsi="Bookman Old Style" w:cs="Arial"/>
          <w:bCs/>
          <w:lang w:val="es-CO"/>
        </w:rPr>
        <w:t xml:space="preserve">aritmético </w:t>
      </w:r>
      <w:r w:rsidR="0083712A">
        <w:rPr>
          <w:rFonts w:ascii="Bookman Old Style" w:hAnsi="Bookman Old Style" w:cs="Arial"/>
          <w:bCs/>
          <w:lang w:val="es-CO"/>
        </w:rPr>
        <w:t>creciente</w:t>
      </w:r>
      <w:r w:rsidR="004E06AF">
        <w:rPr>
          <w:rFonts w:ascii="Bookman Old Style" w:hAnsi="Bookman Old Style" w:cs="Arial"/>
          <w:bCs/>
          <w:lang w:val="es-CO"/>
        </w:rPr>
        <w:t xml:space="preserve"> </w:t>
      </w:r>
      <w:r w:rsidR="00095CF0">
        <w:rPr>
          <w:rFonts w:ascii="Bookman Old Style" w:hAnsi="Bookman Old Style" w:cs="Arial"/>
          <w:bCs/>
          <w:lang w:val="es-CO"/>
        </w:rPr>
        <w:t>anual</w:t>
      </w:r>
      <w:r w:rsidR="00C74DBC">
        <w:rPr>
          <w:rFonts w:ascii="Bookman Old Style" w:hAnsi="Bookman Old Style" w:cs="Arial"/>
          <w:bCs/>
          <w:lang w:val="es-CO"/>
        </w:rPr>
        <w:t>,</w:t>
      </w:r>
      <w:r w:rsidR="00095CF0">
        <w:rPr>
          <w:rFonts w:ascii="Bookman Old Style" w:hAnsi="Bookman Old Style" w:cs="Arial"/>
          <w:bCs/>
          <w:lang w:val="es-CO"/>
        </w:rPr>
        <w:t xml:space="preserve"> </w:t>
      </w:r>
      <w:r w:rsidR="004E06AF">
        <w:rPr>
          <w:rFonts w:ascii="Bookman Old Style" w:hAnsi="Bookman Old Style" w:cs="Arial"/>
          <w:bCs/>
          <w:lang w:val="es-CO"/>
        </w:rPr>
        <w:t>cumpliendo con las siguientes condiciones:</w:t>
      </w:r>
    </w:p>
    <w:p w14:paraId="5C7DC597" w14:textId="63B2588F" w:rsidR="007B2B7E" w:rsidRPr="00F90754" w:rsidRDefault="007575D0" w:rsidP="00C02A65">
      <w:pPr>
        <w:pStyle w:val="Prrafodelista"/>
        <w:widowControl w:val="0"/>
        <w:numPr>
          <w:ilvl w:val="0"/>
          <w:numId w:val="50"/>
        </w:numPr>
        <w:spacing w:before="200" w:after="200"/>
        <w:ind w:left="1276" w:right="47" w:hanging="425"/>
        <w:jc w:val="both"/>
        <w:rPr>
          <w:rFonts w:ascii="Bookman Old Style" w:hAnsi="Bookman Old Style" w:cs="Arial"/>
          <w:sz w:val="24"/>
          <w:szCs w:val="24"/>
        </w:rPr>
      </w:pPr>
      <w:r w:rsidRPr="00A93AD0">
        <w:rPr>
          <w:rFonts w:ascii="Bookman Old Style" w:hAnsi="Bookman Old Style" w:cs="Arial"/>
          <w:bCs/>
          <w:sz w:val="24"/>
          <w:szCs w:val="24"/>
        </w:rPr>
        <w:t xml:space="preserve">El valor mensual para la recuperación del saldo de la opción tarifaria </w:t>
      </w:r>
      <w:r w:rsidR="00C100A6" w:rsidRPr="00A93AD0">
        <w:rPr>
          <w:rFonts w:ascii="Bookman Old Style" w:hAnsi="Bookman Old Style" w:cs="Arial"/>
          <w:bCs/>
          <w:i/>
          <w:iCs/>
          <w:sz w:val="24"/>
          <w:szCs w:val="24"/>
        </w:rPr>
        <w:t>SAOT</w:t>
      </w:r>
      <w:r w:rsidR="00C100A6" w:rsidRPr="00A93AD0">
        <w:rPr>
          <w:rFonts w:ascii="Bookman Old Style" w:hAnsi="Bookman Old Style" w:cs="Arial"/>
          <w:bCs/>
          <w:i/>
          <w:iCs/>
          <w:sz w:val="24"/>
          <w:szCs w:val="24"/>
          <w:vertAlign w:val="subscript"/>
        </w:rPr>
        <w:t>n,</w:t>
      </w:r>
      <w:proofErr w:type="gramStart"/>
      <w:r w:rsidR="00B72BC2" w:rsidRPr="00A93AD0">
        <w:rPr>
          <w:rFonts w:ascii="Bookman Old Style" w:hAnsi="Bookman Old Style" w:cs="Arial"/>
          <w:bCs/>
          <w:i/>
          <w:iCs/>
          <w:sz w:val="24"/>
          <w:szCs w:val="24"/>
          <w:vertAlign w:val="subscript"/>
        </w:rPr>
        <w:t>0</w:t>
      </w:r>
      <w:r w:rsidR="00C100A6" w:rsidRPr="00A93AD0">
        <w:rPr>
          <w:rFonts w:ascii="Bookman Old Style" w:hAnsi="Bookman Old Style" w:cs="Arial"/>
          <w:bCs/>
          <w:i/>
          <w:iCs/>
          <w:sz w:val="24"/>
          <w:szCs w:val="24"/>
          <w:vertAlign w:val="subscript"/>
        </w:rPr>
        <w:t>,i</w:t>
      </w:r>
      <w:proofErr w:type="gramEnd"/>
      <w:r w:rsidR="00C100A6" w:rsidRPr="00A93AD0">
        <w:rPr>
          <w:rFonts w:ascii="Bookman Old Style" w:hAnsi="Bookman Old Style" w:cs="Arial"/>
          <w:i/>
          <w:sz w:val="24"/>
          <w:szCs w:val="24"/>
          <w:vertAlign w:val="subscript"/>
        </w:rPr>
        <w:t>,j</w:t>
      </w:r>
      <w:r w:rsidR="00ED009F">
        <w:rPr>
          <w:rFonts w:ascii="Bookman Old Style" w:hAnsi="Bookman Old Style" w:cs="Arial"/>
          <w:i/>
          <w:sz w:val="24"/>
          <w:szCs w:val="24"/>
          <w:vertAlign w:val="subscript"/>
        </w:rPr>
        <w:t>,</w:t>
      </w:r>
      <w:r w:rsidR="00C100A6" w:rsidRPr="00A93AD0">
        <w:rPr>
          <w:rFonts w:ascii="Bookman Old Style" w:hAnsi="Bookman Old Style" w:cs="Arial"/>
          <w:bCs/>
          <w:sz w:val="24"/>
          <w:szCs w:val="24"/>
        </w:rPr>
        <w:t xml:space="preserve"> </w:t>
      </w:r>
      <w:r w:rsidR="003B3DE5" w:rsidRPr="003B3DE5">
        <w:rPr>
          <w:rFonts w:ascii="Bookman Old Style" w:hAnsi="Bookman Old Style" w:cs="Arial"/>
          <w:sz w:val="24"/>
          <w:szCs w:val="24"/>
        </w:rPr>
        <w:t>una vez que el comercializador se acoja a las medidas incorporadas en la presente resolución</w:t>
      </w:r>
      <w:r w:rsidR="00ED009F">
        <w:rPr>
          <w:rFonts w:ascii="Bookman Old Style" w:hAnsi="Bookman Old Style" w:cs="Arial"/>
          <w:sz w:val="24"/>
          <w:szCs w:val="24"/>
        </w:rPr>
        <w:t>,</w:t>
      </w:r>
      <w:r w:rsidR="003B3DE5" w:rsidRPr="003B3DE5">
        <w:rPr>
          <w:rFonts w:ascii="Bookman Old Style" w:hAnsi="Bookman Old Style" w:cs="Arial"/>
          <w:sz w:val="24"/>
          <w:szCs w:val="24"/>
        </w:rPr>
        <w:t xml:space="preserve"> </w:t>
      </w:r>
      <w:r w:rsidR="00722B6F" w:rsidRPr="00A93AD0">
        <w:rPr>
          <w:rFonts w:ascii="Bookman Old Style" w:hAnsi="Bookman Old Style" w:cs="Arial"/>
          <w:bCs/>
          <w:sz w:val="24"/>
          <w:szCs w:val="24"/>
        </w:rPr>
        <w:t xml:space="preserve">debe ser </w:t>
      </w:r>
      <w:r w:rsidR="007B2B7E">
        <w:rPr>
          <w:rFonts w:ascii="Bookman Old Style" w:hAnsi="Bookman Old Style" w:cs="Arial"/>
          <w:bCs/>
          <w:sz w:val="24"/>
          <w:szCs w:val="24"/>
        </w:rPr>
        <w:t xml:space="preserve">el que corresponda para el </w:t>
      </w:r>
      <w:r w:rsidR="007B2B7E" w:rsidRPr="00F90754">
        <w:rPr>
          <w:rFonts w:ascii="Bookman Old Style" w:hAnsi="Bookman Old Style" w:cs="Arial"/>
          <w:bCs/>
          <w:sz w:val="24"/>
          <w:szCs w:val="24"/>
        </w:rPr>
        <w:t>cumplimiento de la siguiente expresión</w:t>
      </w:r>
      <w:r w:rsidR="00B6110A" w:rsidRPr="00F90754">
        <w:rPr>
          <w:rFonts w:ascii="Bookman Old Style" w:hAnsi="Bookman Old Style" w:cs="Arial"/>
          <w:bCs/>
          <w:sz w:val="24"/>
          <w:szCs w:val="24"/>
        </w:rPr>
        <w:t>:</w:t>
      </w:r>
    </w:p>
    <w:p w14:paraId="5F0C8112" w14:textId="041724E8" w:rsidR="002E0F89" w:rsidRPr="00F90754" w:rsidRDefault="005E00C2" w:rsidP="002E0F89">
      <w:pPr>
        <w:widowControl w:val="0"/>
        <w:spacing w:before="200" w:after="200"/>
        <w:ind w:right="47"/>
        <w:jc w:val="both"/>
        <w:rPr>
          <w:rFonts w:ascii="Bookman Old Style" w:hAnsi="Bookman Old Style" w:cs="Arial"/>
        </w:rPr>
      </w:pPr>
      <m:oMathPara>
        <m:oMath>
          <m:sSub>
            <m:sSubPr>
              <m:ctrlPr>
                <w:rPr>
                  <w:rFonts w:ascii="Cambria Math" w:hAnsi="Cambria Math" w:cs="Arial"/>
                  <w:i/>
                </w:rPr>
              </m:ctrlPr>
            </m:sSubPr>
            <m:e>
              <m:r>
                <w:rPr>
                  <w:rFonts w:ascii="Cambria Math" w:hAnsi="Cambria Math" w:cs="Arial"/>
                </w:rPr>
                <m:t>SAOT</m:t>
              </m:r>
            </m:e>
            <m:sub>
              <m:r>
                <w:rPr>
                  <w:rFonts w:ascii="Cambria Math" w:hAnsi="Cambria Math" w:cs="Arial"/>
                </w:rPr>
                <m:t>n</m:t>
              </m:r>
              <m:r>
                <w:rPr>
                  <w:rFonts w:ascii="Cambria Math" w:hAnsi="Cambria Math" w:cs="Arial"/>
                </w:rPr>
                <m:t>,0,</m:t>
              </m:r>
              <m:r>
                <w:rPr>
                  <w:rFonts w:ascii="Cambria Math" w:hAnsi="Cambria Math" w:cs="Arial"/>
                </w:rPr>
                <m:t>i</m:t>
              </m:r>
              <m:r>
                <w:rPr>
                  <w:rFonts w:ascii="Cambria Math" w:hAnsi="Cambria Math" w:cs="Arial"/>
                </w:rPr>
                <m:t>,</m:t>
              </m:r>
              <m:r>
                <w:rPr>
                  <w:rFonts w:ascii="Cambria Math" w:hAnsi="Cambria Math" w:cs="Arial"/>
                </w:rPr>
                <m:t>j</m:t>
              </m:r>
            </m:sub>
          </m:sSub>
          <m:r>
            <w:rPr>
              <w:rFonts w:ascii="Cambria Math" w:hAnsi="Cambria Math" w:cs="Arial"/>
            </w:rPr>
            <m:t>=</m:t>
          </m:r>
          <m:d>
            <m:dPr>
              <m:ctrlPr>
                <w:rPr>
                  <w:rFonts w:ascii="Cambria Math" w:hAnsi="Cambria Math" w:cs="Arial"/>
                  <w:i/>
                </w:rPr>
              </m:ctrlPr>
            </m:dPr>
            <m:e>
              <m:r>
                <w:rPr>
                  <w:rFonts w:ascii="Cambria Math" w:hAnsi="Cambria Math"/>
                </w:rPr>
                <m:t xml:space="preserve">0,03* </m:t>
              </m:r>
              <m:sSub>
                <m:sSubPr>
                  <m:ctrlPr>
                    <w:rPr>
                      <w:rFonts w:ascii="Cambria Math" w:hAnsi="Cambria Math"/>
                      <w:i/>
                    </w:rPr>
                  </m:ctrlPr>
                </m:sSubPr>
                <m:e>
                  <m:r>
                    <w:rPr>
                      <w:rFonts w:ascii="Cambria Math" w:hAnsi="Cambria Math" w:cs="Arial"/>
                      <w:lang w:val="es-CO"/>
                    </w:rPr>
                    <m:t>CUv</m:t>
                  </m:r>
                </m:e>
                <m:sub>
                  <m:r>
                    <w:rPr>
                      <w:rFonts w:ascii="Cambria Math" w:hAnsi="Cambria Math" w:cs="Arial"/>
                      <w:vertAlign w:val="subscript"/>
                      <w:lang w:val="es-CO"/>
                    </w:rPr>
                    <m:t>n</m:t>
                  </m:r>
                  <m:r>
                    <w:rPr>
                      <w:rFonts w:ascii="Cambria Math" w:hAnsi="Cambria Math" w:cs="Arial"/>
                      <w:vertAlign w:val="subscript"/>
                      <w:lang w:val="es-CO"/>
                    </w:rPr>
                    <m:t>,</m:t>
                  </m:r>
                  <m:r>
                    <w:rPr>
                      <w:rFonts w:ascii="Cambria Math" w:hAnsi="Cambria Math" w:cs="Arial"/>
                      <w:vertAlign w:val="subscript"/>
                      <w:lang w:val="es-CO"/>
                    </w:rPr>
                    <m:t>m</m:t>
                  </m:r>
                  <m:r>
                    <w:rPr>
                      <w:rFonts w:ascii="Cambria Math" w:hAnsi="Cambria Math" w:cs="Arial"/>
                      <w:vertAlign w:val="subscript"/>
                      <w:lang w:val="es-CO"/>
                    </w:rPr>
                    <m:t>-</m:t>
                  </m:r>
                  <m:r>
                    <w:rPr>
                      <w:rFonts w:ascii="Cambria Math" w:hAnsi="Cambria Math" w:cs="Arial"/>
                      <w:vertAlign w:val="subscript"/>
                      <w:lang w:val="es-CO"/>
                    </w:rPr>
                    <m:t>1,</m:t>
                  </m:r>
                  <m:r>
                    <w:rPr>
                      <w:rFonts w:ascii="Cambria Math" w:hAnsi="Cambria Math" w:cs="Arial"/>
                      <w:vertAlign w:val="subscript"/>
                      <w:lang w:val="es-CO"/>
                    </w:rPr>
                    <m:t>i</m:t>
                  </m:r>
                  <m:r>
                    <w:rPr>
                      <w:rFonts w:ascii="Cambria Math" w:hAnsi="Cambria Math" w:cs="Arial"/>
                      <w:vertAlign w:val="subscript"/>
                      <w:lang w:val="es-CO"/>
                    </w:rPr>
                    <m:t>,</m:t>
                  </m:r>
                  <m:r>
                    <w:rPr>
                      <w:rFonts w:ascii="Cambria Math" w:hAnsi="Cambria Math" w:cs="Arial"/>
                      <w:vertAlign w:val="subscript"/>
                      <w:lang w:val="es-CO"/>
                    </w:rPr>
                    <m:t>j</m:t>
                  </m:r>
                </m:sub>
              </m:sSub>
              <m:r>
                <w:rPr>
                  <w:rFonts w:ascii="Cambria Math" w:hAnsi="Cambria Math"/>
                </w:rPr>
                <m:t>-</m:t>
              </m:r>
              <m:sSub>
                <m:sSubPr>
                  <m:ctrlPr>
                    <w:rPr>
                      <w:rFonts w:ascii="Cambria Math" w:hAnsi="Cambria Math" w:cs="Arial"/>
                      <w:i/>
                    </w:rPr>
                  </m:ctrlPr>
                </m:sSubPr>
                <m:e>
                  <m:r>
                    <w:rPr>
                      <w:rFonts w:ascii="Cambria Math" w:hAnsi="Cambria Math" w:cs="Arial"/>
                    </w:rPr>
                    <m:t>BCU</m:t>
                  </m:r>
                </m:e>
                <m:sub>
                  <m:r>
                    <w:rPr>
                      <w:rFonts w:ascii="Cambria Math" w:hAnsi="Cambria Math" w:cs="Arial"/>
                    </w:rPr>
                    <m:t>n</m:t>
                  </m:r>
                  <m:r>
                    <w:rPr>
                      <w:rFonts w:ascii="Cambria Math" w:hAnsi="Cambria Math" w:cs="Arial"/>
                    </w:rPr>
                    <m:t>,</m:t>
                  </m:r>
                  <m:r>
                    <w:rPr>
                      <w:rFonts w:ascii="Cambria Math" w:hAnsi="Cambria Math" w:cs="Arial"/>
                    </w:rPr>
                    <m:t>i</m:t>
                  </m:r>
                  <m:r>
                    <w:rPr>
                      <w:rFonts w:ascii="Cambria Math" w:hAnsi="Cambria Math" w:cs="Arial"/>
                    </w:rPr>
                    <m:t>,</m:t>
                  </m:r>
                  <m:r>
                    <w:rPr>
                      <w:rFonts w:ascii="Cambria Math" w:hAnsi="Cambria Math" w:cs="Arial"/>
                    </w:rPr>
                    <m:t>j</m:t>
                  </m:r>
                  <m:r>
                    <w:rPr>
                      <w:rFonts w:ascii="Cambria Math" w:hAnsi="Cambria Math" w:cs="Arial"/>
                    </w:rPr>
                    <m:t>,0</m:t>
                  </m:r>
                </m:sub>
              </m:sSub>
            </m:e>
          </m:d>
          <m:r>
            <w:rPr>
              <w:rFonts w:ascii="Cambria Math" w:hAnsi="Cambria Math" w:cs="Arial"/>
            </w:rPr>
            <m:t>*</m:t>
          </m:r>
          <m:sSub>
            <m:sSubPr>
              <m:ctrlPr>
                <w:rPr>
                  <w:rFonts w:ascii="Cambria Math" w:hAnsi="Cambria Math"/>
                  <w:bCs/>
                  <w:i/>
                </w:rPr>
              </m:ctrlPr>
            </m:sSubPr>
            <m:e>
              <m:r>
                <w:rPr>
                  <w:rFonts w:ascii="Cambria Math" w:hAnsi="Cambria Math"/>
                </w:rPr>
                <m:t>VR</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m</m:t>
              </m:r>
              <m:r>
                <w:rPr>
                  <w:rFonts w:ascii="Cambria Math" w:hAnsi="Cambria Math"/>
                </w:rPr>
                <m:t>-2</m:t>
              </m:r>
            </m:sub>
          </m:sSub>
        </m:oMath>
      </m:oMathPara>
    </w:p>
    <w:p w14:paraId="4BE6A11D" w14:textId="77777777" w:rsidR="00E555B1" w:rsidRPr="00F90754" w:rsidRDefault="00E555B1" w:rsidP="00D10C02">
      <w:pPr>
        <w:widowControl w:val="0"/>
        <w:spacing w:before="200" w:after="200"/>
        <w:ind w:left="709" w:right="47" w:firstLine="567"/>
        <w:jc w:val="both"/>
        <w:rPr>
          <w:rFonts w:ascii="Bookman Old Style" w:hAnsi="Bookman Old Style" w:cs="Arial"/>
          <w:bCs/>
          <w:lang w:val="es-CO"/>
        </w:rPr>
      </w:pPr>
      <w:r w:rsidRPr="00F90754">
        <w:rPr>
          <w:rFonts w:ascii="Bookman Old Style" w:hAnsi="Bookman Old Style" w:cs="Arial"/>
          <w:bCs/>
          <w:lang w:val="es-CO"/>
        </w:rPr>
        <w:t>Sujeto a:</w:t>
      </w:r>
    </w:p>
    <w:p w14:paraId="2B161527" w14:textId="24B45CB3" w:rsidR="00E555B1" w:rsidRDefault="005E00C2" w:rsidP="00D10C02">
      <w:pPr>
        <w:widowControl w:val="0"/>
        <w:spacing w:before="200" w:after="200"/>
        <w:ind w:left="709" w:right="47" w:firstLine="567"/>
        <w:jc w:val="both"/>
        <w:rPr>
          <w:rFonts w:ascii="Bookman Old Style" w:hAnsi="Bookman Old Style" w:cs="Arial"/>
          <w:bCs/>
          <w:lang w:val="es-CO"/>
        </w:rPr>
      </w:pPr>
      <m:oMathPara>
        <m:oMath>
          <m:d>
            <m:dPr>
              <m:ctrlPr>
                <w:rPr>
                  <w:rFonts w:ascii="Cambria Math" w:hAnsi="Cambria Math" w:cs="Arial"/>
                  <w:i/>
                </w:rPr>
              </m:ctrlPr>
            </m:dPr>
            <m:e>
              <m:r>
                <w:rPr>
                  <w:rFonts w:ascii="Cambria Math" w:hAnsi="Cambria Math"/>
                </w:rPr>
                <m:t xml:space="preserve">0,03* </m:t>
              </m:r>
              <m:sSub>
                <m:sSubPr>
                  <m:ctrlPr>
                    <w:rPr>
                      <w:rFonts w:ascii="Cambria Math" w:hAnsi="Cambria Math"/>
                      <w:i/>
                    </w:rPr>
                  </m:ctrlPr>
                </m:sSubPr>
                <m:e>
                  <m:r>
                    <w:rPr>
                      <w:rFonts w:ascii="Cambria Math" w:hAnsi="Cambria Math" w:cs="Arial"/>
                      <w:lang w:val="es-CO"/>
                    </w:rPr>
                    <m:t>CUv</m:t>
                  </m:r>
                </m:e>
                <m:sub>
                  <m:r>
                    <w:rPr>
                      <w:rFonts w:ascii="Cambria Math" w:hAnsi="Cambria Math" w:cs="Arial"/>
                      <w:vertAlign w:val="subscript"/>
                      <w:lang w:val="es-CO"/>
                    </w:rPr>
                    <m:t>n</m:t>
                  </m:r>
                  <m:r>
                    <w:rPr>
                      <w:rFonts w:ascii="Cambria Math" w:hAnsi="Cambria Math" w:cs="Arial"/>
                      <w:vertAlign w:val="subscript"/>
                      <w:lang w:val="es-CO"/>
                    </w:rPr>
                    <m:t>,</m:t>
                  </m:r>
                  <m:r>
                    <w:rPr>
                      <w:rFonts w:ascii="Cambria Math" w:hAnsi="Cambria Math" w:cs="Arial"/>
                      <w:vertAlign w:val="subscript"/>
                      <w:lang w:val="es-CO"/>
                    </w:rPr>
                    <m:t>m</m:t>
                  </m:r>
                  <m:r>
                    <w:rPr>
                      <w:rFonts w:ascii="Cambria Math" w:hAnsi="Cambria Math" w:cs="Arial"/>
                      <w:vertAlign w:val="subscript"/>
                      <w:lang w:val="es-CO"/>
                    </w:rPr>
                    <m:t>-</m:t>
                  </m:r>
                  <m:r>
                    <w:rPr>
                      <w:rFonts w:ascii="Cambria Math" w:hAnsi="Cambria Math" w:cs="Arial"/>
                      <w:vertAlign w:val="subscript"/>
                      <w:lang w:val="es-CO"/>
                    </w:rPr>
                    <m:t>1,</m:t>
                  </m:r>
                  <m:r>
                    <w:rPr>
                      <w:rFonts w:ascii="Cambria Math" w:hAnsi="Cambria Math" w:cs="Arial"/>
                      <w:vertAlign w:val="subscript"/>
                      <w:lang w:val="es-CO"/>
                    </w:rPr>
                    <m:t>i</m:t>
                  </m:r>
                  <m:r>
                    <w:rPr>
                      <w:rFonts w:ascii="Cambria Math" w:hAnsi="Cambria Math" w:cs="Arial"/>
                      <w:vertAlign w:val="subscript"/>
                      <w:lang w:val="es-CO"/>
                    </w:rPr>
                    <m:t>,</m:t>
                  </m:r>
                  <m:r>
                    <w:rPr>
                      <w:rFonts w:ascii="Cambria Math" w:hAnsi="Cambria Math" w:cs="Arial"/>
                      <w:vertAlign w:val="subscript"/>
                      <w:lang w:val="es-CO"/>
                    </w:rPr>
                    <m:t>j</m:t>
                  </m:r>
                </m:sub>
              </m:sSub>
              <m:r>
                <w:rPr>
                  <w:rFonts w:ascii="Cambria Math" w:hAnsi="Cambria Math"/>
                </w:rPr>
                <m:t>-</m:t>
              </m:r>
              <m:sSub>
                <m:sSubPr>
                  <m:ctrlPr>
                    <w:rPr>
                      <w:rFonts w:ascii="Cambria Math" w:hAnsi="Cambria Math" w:cs="Arial"/>
                      <w:i/>
                    </w:rPr>
                  </m:ctrlPr>
                </m:sSubPr>
                <m:e>
                  <m:r>
                    <w:rPr>
                      <w:rFonts w:ascii="Cambria Math" w:hAnsi="Cambria Math" w:cs="Arial"/>
                    </w:rPr>
                    <m:t>BCU</m:t>
                  </m:r>
                </m:e>
                <m:sub>
                  <m:r>
                    <w:rPr>
                      <w:rFonts w:ascii="Cambria Math" w:hAnsi="Cambria Math" w:cs="Arial"/>
                    </w:rPr>
                    <m:t>n</m:t>
                  </m:r>
                  <m:r>
                    <w:rPr>
                      <w:rFonts w:ascii="Cambria Math" w:hAnsi="Cambria Math" w:cs="Arial"/>
                    </w:rPr>
                    <m:t>,</m:t>
                  </m:r>
                  <m:r>
                    <w:rPr>
                      <w:rFonts w:ascii="Cambria Math" w:hAnsi="Cambria Math" w:cs="Arial"/>
                    </w:rPr>
                    <m:t>i</m:t>
                  </m:r>
                  <m:r>
                    <w:rPr>
                      <w:rFonts w:ascii="Cambria Math" w:hAnsi="Cambria Math" w:cs="Arial"/>
                    </w:rPr>
                    <m:t>,</m:t>
                  </m:r>
                  <m:r>
                    <w:rPr>
                      <w:rFonts w:ascii="Cambria Math" w:hAnsi="Cambria Math" w:cs="Arial"/>
                    </w:rPr>
                    <m:t>j</m:t>
                  </m:r>
                  <m:r>
                    <w:rPr>
                      <w:rFonts w:ascii="Cambria Math" w:hAnsi="Cambria Math" w:cs="Arial"/>
                    </w:rPr>
                    <m:t>,0</m:t>
                  </m:r>
                </m:sub>
              </m:sSub>
            </m:e>
          </m:d>
          <m:r>
            <w:rPr>
              <w:rFonts w:ascii="Cambria Math" w:hAnsi="Cambria Math" w:cs="Arial"/>
            </w:rPr>
            <m:t>&gt;0</m:t>
          </m:r>
        </m:oMath>
      </m:oMathPara>
    </w:p>
    <w:p w14:paraId="3BB2B6F0" w14:textId="77777777" w:rsidR="00C40C0C" w:rsidRPr="00BD2E1F" w:rsidRDefault="00C40C0C" w:rsidP="00735933">
      <w:pPr>
        <w:widowControl w:val="0"/>
        <w:spacing w:before="200" w:after="200"/>
        <w:ind w:left="709" w:right="47" w:firstLine="567"/>
        <w:jc w:val="both"/>
        <w:rPr>
          <w:rFonts w:ascii="Bookman Old Style" w:hAnsi="Bookman Old Style" w:cs="Arial"/>
          <w:bCs/>
          <w:lang w:val="es-CO"/>
        </w:rPr>
      </w:pPr>
      <w:r w:rsidRPr="00BD2E1F">
        <w:rPr>
          <w:rFonts w:ascii="Bookman Old Style" w:hAnsi="Bookman Old Style" w:cs="Arial"/>
          <w:bCs/>
          <w:lang w:val="es-CO"/>
        </w:rPr>
        <w:t xml:space="preserve">Donde: </w:t>
      </w:r>
    </w:p>
    <w:p w14:paraId="5220F013" w14:textId="2147483F" w:rsidR="00C40C0C" w:rsidRPr="004F194D" w:rsidRDefault="00C40C0C" w:rsidP="00C40C0C">
      <w:pPr>
        <w:widowControl w:val="0"/>
        <w:spacing w:before="200" w:after="200"/>
        <w:ind w:left="2836" w:right="47" w:hanging="1418"/>
        <w:jc w:val="both"/>
        <w:rPr>
          <w:rFonts w:ascii="Bookman Old Style" w:hAnsi="Bookman Old Style" w:cs="Arial"/>
          <w:bCs/>
          <w:lang w:val="es-CO"/>
        </w:rPr>
      </w:pPr>
      <w:r w:rsidRPr="007B5923">
        <w:rPr>
          <w:rFonts w:ascii="Bookman Old Style" w:hAnsi="Bookman Old Style" w:cs="Arial"/>
          <w:bCs/>
          <w:i/>
          <w:iCs/>
          <w:lang w:val="es-CO"/>
        </w:rPr>
        <w:t>S</w:t>
      </w:r>
      <w:r>
        <w:rPr>
          <w:rFonts w:ascii="Bookman Old Style" w:hAnsi="Bookman Old Style" w:cs="Arial"/>
          <w:bCs/>
          <w:i/>
          <w:iCs/>
          <w:lang w:val="es-CO"/>
        </w:rPr>
        <w:t>A</w:t>
      </w:r>
      <w:r w:rsidRPr="007B5923">
        <w:rPr>
          <w:rFonts w:ascii="Bookman Old Style" w:hAnsi="Bookman Old Style" w:cs="Arial"/>
          <w:bCs/>
          <w:i/>
          <w:iCs/>
          <w:lang w:val="es-CO"/>
        </w:rPr>
        <w:t>OT</w:t>
      </w:r>
      <w:r w:rsidRPr="0053495D">
        <w:rPr>
          <w:rFonts w:ascii="Bookman Old Style" w:hAnsi="Bookman Old Style" w:cs="Arial"/>
          <w:bCs/>
          <w:i/>
          <w:iCs/>
          <w:vertAlign w:val="subscript"/>
          <w:lang w:val="es-CO"/>
        </w:rPr>
        <w:t>n</w:t>
      </w:r>
      <w:r>
        <w:rPr>
          <w:rFonts w:ascii="Bookman Old Style" w:hAnsi="Bookman Old Style" w:cs="Arial"/>
          <w:bCs/>
          <w:i/>
          <w:iCs/>
          <w:vertAlign w:val="subscript"/>
          <w:lang w:val="es-CO"/>
        </w:rPr>
        <w:t>,</w:t>
      </w:r>
      <w:proofErr w:type="gramStart"/>
      <w:r w:rsidR="00F01F4B">
        <w:rPr>
          <w:rFonts w:ascii="Bookman Old Style" w:hAnsi="Bookman Old Style" w:cs="Arial"/>
          <w:bCs/>
          <w:i/>
          <w:iCs/>
          <w:vertAlign w:val="subscript"/>
          <w:lang w:val="es-CO"/>
        </w:rPr>
        <w:t>0</w:t>
      </w:r>
      <w:r w:rsidRPr="0053495D">
        <w:rPr>
          <w:rFonts w:ascii="Bookman Old Style" w:hAnsi="Bookman Old Style" w:cs="Arial"/>
          <w:bCs/>
          <w:i/>
          <w:iCs/>
          <w:vertAlign w:val="subscript"/>
          <w:lang w:val="es-CO"/>
        </w:rPr>
        <w:t>,i</w:t>
      </w:r>
      <w:proofErr w:type="gramEnd"/>
      <w:r w:rsidRPr="0053495D">
        <w:rPr>
          <w:rFonts w:ascii="Bookman Old Style" w:hAnsi="Bookman Old Style" w:cs="Arial"/>
          <w:i/>
          <w:vertAlign w:val="subscript"/>
          <w:lang w:val="es-CO"/>
        </w:rPr>
        <w:t>,j</w:t>
      </w:r>
      <w:r w:rsidRPr="004F194D">
        <w:rPr>
          <w:rFonts w:ascii="Bookman Old Style" w:hAnsi="Bookman Old Style" w:cs="Arial"/>
          <w:bCs/>
          <w:lang w:val="es-CO"/>
        </w:rPr>
        <w:t>:</w:t>
      </w:r>
      <w:r w:rsidRPr="004F194D">
        <w:rPr>
          <w:rFonts w:ascii="Bookman Old Style" w:hAnsi="Bookman Old Style" w:cs="Arial"/>
          <w:bCs/>
          <w:lang w:val="es-CO"/>
        </w:rPr>
        <w:tab/>
      </w:r>
      <w:r>
        <w:rPr>
          <w:rFonts w:ascii="Bookman Old Style" w:hAnsi="Bookman Old Style" w:cs="Arial"/>
          <w:bCs/>
          <w:lang w:val="es-CO"/>
        </w:rPr>
        <w:t>Valor mensual para la recuperación del</w:t>
      </w:r>
      <w:r w:rsidRPr="004F194D">
        <w:rPr>
          <w:rFonts w:ascii="Bookman Old Style" w:hAnsi="Bookman Old Style" w:cs="Arial"/>
          <w:bCs/>
          <w:lang w:val="es-CO"/>
        </w:rPr>
        <w:t xml:space="preserve"> saldo de la opción tarifaria del comercializador </w:t>
      </w:r>
      <w:r w:rsidRPr="00113D19">
        <w:rPr>
          <w:rFonts w:ascii="Bookman Old Style" w:hAnsi="Bookman Old Style" w:cs="Arial"/>
          <w:i/>
          <w:lang w:val="es-CO"/>
        </w:rPr>
        <w:t>i</w:t>
      </w:r>
      <w:r w:rsidRPr="004F194D">
        <w:rPr>
          <w:rFonts w:ascii="Bookman Old Style" w:hAnsi="Bookman Old Style" w:cs="Arial"/>
          <w:bCs/>
          <w:lang w:val="es-CO"/>
        </w:rPr>
        <w:t xml:space="preserve"> del mercado de comercialización </w:t>
      </w:r>
      <w:r w:rsidRPr="00113D19">
        <w:rPr>
          <w:rFonts w:ascii="Bookman Old Style" w:hAnsi="Bookman Old Style" w:cs="Arial"/>
          <w:i/>
          <w:lang w:val="es-CO"/>
        </w:rPr>
        <w:t>j</w:t>
      </w:r>
      <w:r>
        <w:rPr>
          <w:rFonts w:ascii="Bookman Old Style" w:hAnsi="Bookman Old Style" w:cs="Arial"/>
          <w:bCs/>
          <w:lang w:val="es-CO"/>
        </w:rPr>
        <w:t xml:space="preserve"> en el nivel de tensión </w:t>
      </w:r>
      <w:r w:rsidRPr="00465CCA">
        <w:rPr>
          <w:rFonts w:ascii="Bookman Old Style" w:hAnsi="Bookman Old Style" w:cs="Arial"/>
          <w:bCs/>
          <w:i/>
          <w:iCs/>
          <w:lang w:val="es-CO"/>
        </w:rPr>
        <w:t>n</w:t>
      </w:r>
      <w:r w:rsidR="00AC2B14">
        <w:rPr>
          <w:rFonts w:ascii="Bookman Old Style" w:hAnsi="Bookman Old Style" w:cs="Arial"/>
          <w:bCs/>
          <w:i/>
          <w:iCs/>
          <w:lang w:val="es-CO"/>
        </w:rPr>
        <w:t xml:space="preserve">, </w:t>
      </w:r>
      <w:r w:rsidR="005B500A">
        <w:rPr>
          <w:rFonts w:ascii="Bookman Old Style" w:hAnsi="Bookman Old Style" w:cs="Arial"/>
          <w:bCs/>
          <w:lang w:val="es-CO"/>
        </w:rPr>
        <w:t>una vez</w:t>
      </w:r>
      <w:r w:rsidR="005B500A">
        <w:rPr>
          <w:rFonts w:ascii="Bookman Old Style" w:hAnsi="Bookman Old Style" w:cs="Arial"/>
          <w:lang w:val="es-CO"/>
        </w:rPr>
        <w:t xml:space="preserve"> que el </w:t>
      </w:r>
      <w:r w:rsidR="005B500A">
        <w:rPr>
          <w:rFonts w:ascii="Bookman Old Style" w:hAnsi="Bookman Old Style" w:cs="Arial"/>
          <w:bCs/>
          <w:lang w:val="es-CO"/>
        </w:rPr>
        <w:t xml:space="preserve">comercializador se </w:t>
      </w:r>
      <w:r w:rsidR="005B500A" w:rsidRPr="00113A1F">
        <w:rPr>
          <w:rFonts w:ascii="Bookman Old Style" w:hAnsi="Bookman Old Style" w:cs="Arial"/>
          <w:bCs/>
          <w:lang w:val="es-CO"/>
        </w:rPr>
        <w:t>aco</w:t>
      </w:r>
      <w:r w:rsidR="005B500A">
        <w:rPr>
          <w:rFonts w:ascii="Bookman Old Style" w:hAnsi="Bookman Old Style" w:cs="Arial"/>
          <w:bCs/>
          <w:lang w:val="es-CO"/>
        </w:rPr>
        <w:t>ja</w:t>
      </w:r>
      <w:r w:rsidR="005B500A" w:rsidRPr="00113A1F">
        <w:rPr>
          <w:rFonts w:ascii="Bookman Old Style" w:hAnsi="Bookman Old Style" w:cs="Arial"/>
          <w:lang w:val="es-CO"/>
        </w:rPr>
        <w:t xml:space="preserve"> a </w:t>
      </w:r>
      <w:r w:rsidR="005B500A" w:rsidRPr="00113A1F">
        <w:rPr>
          <w:rFonts w:ascii="Bookman Old Style" w:hAnsi="Bookman Old Style" w:cs="Arial"/>
          <w:bCs/>
          <w:lang w:val="es-CO"/>
        </w:rPr>
        <w:t xml:space="preserve">las medidas incorporadas en </w:t>
      </w:r>
      <w:r w:rsidR="005B500A" w:rsidRPr="00113A1F">
        <w:rPr>
          <w:rFonts w:ascii="Bookman Old Style" w:hAnsi="Bookman Old Style" w:cs="Arial"/>
          <w:lang w:val="es-CO"/>
        </w:rPr>
        <w:t xml:space="preserve">la </w:t>
      </w:r>
      <w:r w:rsidR="005B500A" w:rsidRPr="00113A1F">
        <w:rPr>
          <w:rFonts w:ascii="Bookman Old Style" w:hAnsi="Bookman Old Style" w:cs="Arial"/>
          <w:bCs/>
          <w:lang w:val="es-CO"/>
        </w:rPr>
        <w:t>presente resolución</w:t>
      </w:r>
      <w:r w:rsidR="005B500A" w:rsidRPr="004F194D">
        <w:rPr>
          <w:rFonts w:ascii="Bookman Old Style" w:hAnsi="Bookman Old Style" w:cs="Arial"/>
          <w:bCs/>
          <w:lang w:val="es-CO"/>
        </w:rPr>
        <w:t>.</w:t>
      </w:r>
      <w:r w:rsidRPr="004F194D">
        <w:rPr>
          <w:rFonts w:ascii="Bookman Old Style" w:hAnsi="Bookman Old Style" w:cs="Arial"/>
          <w:bCs/>
          <w:lang w:val="es-CO"/>
        </w:rPr>
        <w:t xml:space="preserve"> </w:t>
      </w:r>
    </w:p>
    <w:p w14:paraId="69A29FBD" w14:textId="77777777" w:rsidR="00742A06" w:rsidRDefault="009331F6" w:rsidP="005B500A">
      <w:pPr>
        <w:widowControl w:val="0"/>
        <w:spacing w:before="200" w:after="200"/>
        <w:ind w:left="2836" w:right="47" w:hanging="1418"/>
        <w:jc w:val="both"/>
        <w:rPr>
          <w:rFonts w:ascii="Bookman Old Style" w:hAnsi="Bookman Old Style" w:cs="Arial"/>
          <w:bCs/>
          <w:lang w:val="es-CO"/>
        </w:rPr>
      </w:pPr>
      <w:proofErr w:type="gramStart"/>
      <w:r>
        <w:rPr>
          <w:rFonts w:ascii="Bookman Old Style" w:hAnsi="Bookman Old Style" w:cs="Arial"/>
          <w:bCs/>
          <w:i/>
          <w:iCs/>
          <w:lang w:val="es-CO"/>
        </w:rPr>
        <w:t>CUv</w:t>
      </w:r>
      <w:r w:rsidR="005B500A" w:rsidRPr="0053495D">
        <w:rPr>
          <w:rFonts w:ascii="Bookman Old Style" w:hAnsi="Bookman Old Style" w:cs="Arial"/>
          <w:bCs/>
          <w:i/>
          <w:iCs/>
          <w:vertAlign w:val="subscript"/>
          <w:lang w:val="es-CO"/>
        </w:rPr>
        <w:t>n,</w:t>
      </w:r>
      <w:r w:rsidR="005B500A">
        <w:rPr>
          <w:rFonts w:ascii="Bookman Old Style" w:hAnsi="Bookman Old Style" w:cs="Arial"/>
          <w:bCs/>
          <w:i/>
          <w:iCs/>
          <w:vertAlign w:val="subscript"/>
          <w:lang w:val="es-CO"/>
        </w:rPr>
        <w:t>m</w:t>
      </w:r>
      <w:proofErr w:type="gramEnd"/>
      <w:r>
        <w:rPr>
          <w:rFonts w:ascii="Bookman Old Style" w:hAnsi="Bookman Old Style" w:cs="Arial"/>
          <w:bCs/>
          <w:i/>
          <w:iCs/>
          <w:vertAlign w:val="subscript"/>
          <w:lang w:val="es-CO"/>
        </w:rPr>
        <w:t>-1</w:t>
      </w:r>
      <w:r w:rsidR="005B500A" w:rsidRPr="0053495D">
        <w:rPr>
          <w:rFonts w:ascii="Bookman Old Style" w:hAnsi="Bookman Old Style" w:cs="Arial"/>
          <w:bCs/>
          <w:i/>
          <w:iCs/>
          <w:vertAlign w:val="subscript"/>
          <w:lang w:val="es-CO"/>
        </w:rPr>
        <w:t>,i</w:t>
      </w:r>
      <w:r w:rsidR="005B500A" w:rsidRPr="0053495D">
        <w:rPr>
          <w:rFonts w:ascii="Bookman Old Style" w:hAnsi="Bookman Old Style" w:cs="Arial"/>
          <w:i/>
          <w:vertAlign w:val="subscript"/>
          <w:lang w:val="es-CO"/>
        </w:rPr>
        <w:t>,j</w:t>
      </w:r>
      <w:r w:rsidR="005B500A" w:rsidRPr="0053495D">
        <w:rPr>
          <w:rFonts w:ascii="Bookman Old Style" w:hAnsi="Bookman Old Style" w:cs="Arial"/>
          <w:i/>
          <w:lang w:val="es-CO"/>
        </w:rPr>
        <w:t xml:space="preserve">: </w:t>
      </w:r>
      <w:r w:rsidR="005B500A" w:rsidRPr="004F194D">
        <w:rPr>
          <w:rFonts w:ascii="Bookman Old Style" w:hAnsi="Bookman Old Style" w:cs="Arial"/>
          <w:bCs/>
          <w:lang w:val="es-CO"/>
        </w:rPr>
        <w:tab/>
      </w:r>
      <w:r w:rsidRPr="00BD2E1F">
        <w:rPr>
          <w:rFonts w:ascii="Bookman Old Style" w:hAnsi="Bookman Old Style" w:cs="Arial"/>
          <w:bCs/>
          <w:lang w:val="es-CO"/>
        </w:rPr>
        <w:t xml:space="preserve">Componente variable del CU </w:t>
      </w:r>
      <w:r>
        <w:rPr>
          <w:rFonts w:ascii="Bookman Old Style" w:hAnsi="Bookman Old Style" w:cs="Arial"/>
          <w:bCs/>
          <w:lang w:val="es-CO"/>
        </w:rPr>
        <w:t xml:space="preserve">aplicado </w:t>
      </w:r>
      <w:r w:rsidRPr="00BD2E1F">
        <w:rPr>
          <w:rFonts w:ascii="Bookman Old Style" w:hAnsi="Bookman Old Style" w:cs="Arial"/>
          <w:bCs/>
          <w:lang w:val="es-CO"/>
        </w:rPr>
        <w:t>en el mes m, para el nivel de tensión n del comercializador minorista i, en el mercado de comercialización j, expresado en $/kWh. Correspondiente al valor calculado con base en el artículo 2 de la Resolución CREG 012 de 2020.</w:t>
      </w:r>
    </w:p>
    <w:p w14:paraId="74D25C9B" w14:textId="77777777" w:rsidR="00385603" w:rsidRDefault="005B500A" w:rsidP="00735933">
      <w:pPr>
        <w:widowControl w:val="0"/>
        <w:spacing w:before="200" w:after="200"/>
        <w:ind w:left="2835" w:right="47" w:hanging="1559"/>
        <w:jc w:val="both"/>
        <w:rPr>
          <w:rFonts w:ascii="Bookman Old Style" w:hAnsi="Bookman Old Style"/>
          <w:bCs/>
        </w:rPr>
      </w:pPr>
      <w:r>
        <w:rPr>
          <w:rFonts w:ascii="Bookman Old Style" w:hAnsi="Bookman Old Style" w:cs="Arial"/>
          <w:bCs/>
          <w:lang w:val="es-CO"/>
        </w:rPr>
        <w:t xml:space="preserve"> </w:t>
      </w:r>
      <w:proofErr w:type="spellStart"/>
      <w:proofErr w:type="gramStart"/>
      <w:r w:rsidR="00385603">
        <w:rPr>
          <w:rFonts w:ascii="Bookman Old Style" w:hAnsi="Bookman Old Style"/>
          <w:i/>
          <w:iCs/>
          <w:color w:val="000000"/>
        </w:rPr>
        <w:t>VR</w:t>
      </w:r>
      <w:r w:rsidR="00385603" w:rsidRPr="00AF23B6">
        <w:rPr>
          <w:rFonts w:ascii="Bookman Old Style" w:hAnsi="Bookman Old Style"/>
          <w:i/>
          <w:iCs/>
          <w:color w:val="000000"/>
          <w:vertAlign w:val="subscript"/>
        </w:rPr>
        <w:t>n,</w:t>
      </w:r>
      <w:r w:rsidR="00385603">
        <w:rPr>
          <w:rFonts w:ascii="Bookman Old Style" w:hAnsi="Bookman Old Style"/>
          <w:i/>
          <w:iCs/>
          <w:color w:val="000000"/>
          <w:vertAlign w:val="subscript"/>
        </w:rPr>
        <w:t>i</w:t>
      </w:r>
      <w:proofErr w:type="gramEnd"/>
      <w:r w:rsidR="00385603" w:rsidRPr="00650B2E">
        <w:rPr>
          <w:rFonts w:ascii="Bookman Old Style" w:hAnsi="Bookman Old Style"/>
          <w:i/>
          <w:iCs/>
          <w:color w:val="000000"/>
          <w:vertAlign w:val="subscript"/>
        </w:rPr>
        <w:t>,j</w:t>
      </w:r>
      <w:r w:rsidR="00385603">
        <w:rPr>
          <w:rFonts w:ascii="Bookman Old Style" w:hAnsi="Bookman Old Style"/>
          <w:i/>
          <w:iCs/>
          <w:color w:val="000000"/>
          <w:vertAlign w:val="subscript"/>
        </w:rPr>
        <w:t>,m</w:t>
      </w:r>
      <w:proofErr w:type="spellEnd"/>
      <w:r w:rsidR="00385603" w:rsidRPr="00764035">
        <w:rPr>
          <w:rFonts w:ascii="Bookman Old Style" w:hAnsi="Bookman Old Style"/>
          <w:color w:val="000000"/>
        </w:rPr>
        <w:t>:</w:t>
      </w:r>
      <w:r w:rsidR="00385603">
        <w:rPr>
          <w:rFonts w:ascii="Bookman Old Style" w:hAnsi="Bookman Old Style"/>
          <w:color w:val="000000"/>
        </w:rPr>
        <w:t xml:space="preserve"> </w:t>
      </w:r>
      <w:r w:rsidR="00385603">
        <w:rPr>
          <w:rFonts w:ascii="Bookman Old Style" w:hAnsi="Bookman Old Style"/>
          <w:color w:val="000000"/>
        </w:rPr>
        <w:tab/>
      </w:r>
      <w:r w:rsidR="00385603" w:rsidRPr="00614FAD">
        <w:rPr>
          <w:rFonts w:ascii="Bookman Old Style" w:hAnsi="Bookman Old Style"/>
          <w:bCs/>
        </w:rPr>
        <w:t xml:space="preserve">Ventas totales </w:t>
      </w:r>
      <w:r w:rsidR="00385603">
        <w:rPr>
          <w:rFonts w:ascii="Bookman Old Style" w:hAnsi="Bookman Old Style"/>
          <w:bCs/>
        </w:rPr>
        <w:t>en el m</w:t>
      </w:r>
      <w:r w:rsidR="00385603" w:rsidRPr="00614FAD">
        <w:rPr>
          <w:rFonts w:ascii="Bookman Old Style" w:hAnsi="Bookman Old Style"/>
          <w:bCs/>
        </w:rPr>
        <w:t xml:space="preserve">ercado de </w:t>
      </w:r>
      <w:r w:rsidR="00385603">
        <w:rPr>
          <w:rFonts w:ascii="Bookman Old Style" w:hAnsi="Bookman Old Style"/>
          <w:bCs/>
        </w:rPr>
        <w:t>c</w:t>
      </w:r>
      <w:r w:rsidR="00385603" w:rsidRPr="00614FAD">
        <w:rPr>
          <w:rFonts w:ascii="Bookman Old Style" w:hAnsi="Bookman Old Style"/>
          <w:bCs/>
        </w:rPr>
        <w:t xml:space="preserve">omercialización </w:t>
      </w:r>
      <w:r w:rsidR="00385603" w:rsidRPr="00614FAD">
        <w:rPr>
          <w:rFonts w:ascii="Bookman Old Style" w:hAnsi="Bookman Old Style"/>
          <w:bCs/>
          <w:i/>
        </w:rPr>
        <w:t>j</w:t>
      </w:r>
      <w:r w:rsidR="00385603" w:rsidRPr="00614FAD">
        <w:rPr>
          <w:rFonts w:ascii="Bookman Old Style" w:hAnsi="Bookman Old Style"/>
          <w:bCs/>
        </w:rPr>
        <w:t xml:space="preserve">, </w:t>
      </w:r>
      <w:r w:rsidR="00385603">
        <w:rPr>
          <w:rFonts w:ascii="Bookman Old Style" w:hAnsi="Bookman Old Style"/>
          <w:bCs/>
        </w:rPr>
        <w:t xml:space="preserve">en el nivel de tensión n, </w:t>
      </w:r>
      <w:r w:rsidR="00385603" w:rsidRPr="00614FAD">
        <w:rPr>
          <w:rFonts w:ascii="Bookman Old Style" w:hAnsi="Bookman Old Style"/>
          <w:bCs/>
        </w:rPr>
        <w:t>en el mes</w:t>
      </w:r>
      <w:r w:rsidR="00385603">
        <w:rPr>
          <w:rFonts w:ascii="Bookman Old Style" w:hAnsi="Bookman Old Style"/>
          <w:bCs/>
        </w:rPr>
        <w:t xml:space="preserve"> </w:t>
      </w:r>
      <w:r w:rsidR="00385603" w:rsidRPr="006F4081">
        <w:rPr>
          <w:rFonts w:ascii="Bookman Old Style" w:hAnsi="Bookman Old Style"/>
          <w:bCs/>
          <w:i/>
          <w:iCs/>
        </w:rPr>
        <w:t>m</w:t>
      </w:r>
      <w:r w:rsidR="00385603">
        <w:rPr>
          <w:rFonts w:ascii="Bookman Old Style" w:hAnsi="Bookman Old Style"/>
          <w:bCs/>
        </w:rPr>
        <w:t xml:space="preserve">,  </w:t>
      </w:r>
      <w:r w:rsidR="00385603" w:rsidRPr="00614FAD">
        <w:rPr>
          <w:rFonts w:ascii="Bookman Old Style" w:hAnsi="Bookman Old Style"/>
          <w:bCs/>
        </w:rPr>
        <w:t>expresadas en kWh</w:t>
      </w:r>
      <w:r w:rsidR="00385603">
        <w:rPr>
          <w:rFonts w:ascii="Bookman Old Style" w:hAnsi="Bookman Old Style"/>
          <w:bCs/>
        </w:rPr>
        <w:t xml:space="preserve">, </w:t>
      </w:r>
      <w:r w:rsidR="00385603" w:rsidRPr="00614FAD">
        <w:rPr>
          <w:rFonts w:ascii="Bookman Old Style" w:hAnsi="Bookman Old Style"/>
          <w:bCs/>
        </w:rPr>
        <w:t xml:space="preserve">a </w:t>
      </w:r>
      <w:r w:rsidR="00385603">
        <w:rPr>
          <w:rFonts w:ascii="Bookman Old Style" w:hAnsi="Bookman Old Style"/>
          <w:bCs/>
        </w:rPr>
        <w:t xml:space="preserve">los </w:t>
      </w:r>
      <w:r w:rsidR="00385603" w:rsidRPr="00614FAD">
        <w:rPr>
          <w:rFonts w:ascii="Bookman Old Style" w:hAnsi="Bookman Old Style"/>
          <w:bCs/>
        </w:rPr>
        <w:t xml:space="preserve">usuarios regulados </w:t>
      </w:r>
      <w:r w:rsidR="00385603">
        <w:rPr>
          <w:rFonts w:ascii="Bookman Old Style" w:hAnsi="Bookman Old Style"/>
          <w:bCs/>
        </w:rPr>
        <w:t>atendidos por el c</w:t>
      </w:r>
      <w:r w:rsidR="00385603" w:rsidRPr="00614FAD">
        <w:rPr>
          <w:rFonts w:ascii="Bookman Old Style" w:hAnsi="Bookman Old Style"/>
          <w:bCs/>
        </w:rPr>
        <w:t xml:space="preserve">omercializador </w:t>
      </w:r>
      <m:oMath>
        <m:r>
          <w:rPr>
            <w:rFonts w:ascii="Cambria Math" w:hAnsi="Cambria Math"/>
          </w:rPr>
          <m:t>i</m:t>
        </m:r>
      </m:oMath>
      <w:r w:rsidR="00385603">
        <w:rPr>
          <w:rFonts w:ascii="Bookman Old Style" w:hAnsi="Bookman Old Style"/>
          <w:bCs/>
        </w:rPr>
        <w:t xml:space="preserve"> a la fecha de publicación de esta resolución. Se incluyen las ventas a usuarios regulados nuevos en el mercado de comercialización </w:t>
      </w:r>
      <w:r w:rsidR="00385603" w:rsidRPr="00A93AD0">
        <w:rPr>
          <w:rFonts w:ascii="Bookman Old Style" w:hAnsi="Bookman Old Style"/>
          <w:bCs/>
          <w:i/>
          <w:iCs/>
        </w:rPr>
        <w:t>j</w:t>
      </w:r>
      <w:r w:rsidR="00385603">
        <w:rPr>
          <w:rFonts w:ascii="Bookman Old Style" w:hAnsi="Bookman Old Style"/>
          <w:bCs/>
        </w:rPr>
        <w:t xml:space="preserve">. </w:t>
      </w:r>
    </w:p>
    <w:p w14:paraId="45378DC9" w14:textId="77777777" w:rsidR="00385603" w:rsidRDefault="00385603" w:rsidP="00735933">
      <w:pPr>
        <w:widowControl w:val="0"/>
        <w:spacing w:before="200" w:after="200"/>
        <w:ind w:left="2835" w:right="47"/>
        <w:jc w:val="both"/>
        <w:rPr>
          <w:rFonts w:ascii="Bookman Old Style" w:hAnsi="Bookman Old Style"/>
          <w:bCs/>
        </w:rPr>
      </w:pPr>
      <w:r>
        <w:rPr>
          <w:rFonts w:ascii="Bookman Old Style" w:hAnsi="Bookman Old Style"/>
          <w:bCs/>
        </w:rPr>
        <w:t xml:space="preserve">La variable </w:t>
      </w:r>
      <w:proofErr w:type="spellStart"/>
      <w:proofErr w:type="gramStart"/>
      <w:r>
        <w:rPr>
          <w:rFonts w:ascii="Bookman Old Style" w:hAnsi="Bookman Old Style"/>
          <w:i/>
          <w:iCs/>
          <w:color w:val="000000"/>
        </w:rPr>
        <w:t>VR</w:t>
      </w:r>
      <w:r w:rsidRPr="00AF23B6">
        <w:rPr>
          <w:rFonts w:ascii="Bookman Old Style" w:hAnsi="Bookman Old Style"/>
          <w:i/>
          <w:iCs/>
          <w:color w:val="000000"/>
          <w:vertAlign w:val="subscript"/>
        </w:rPr>
        <w:t>n,</w:t>
      </w:r>
      <w:r>
        <w:rPr>
          <w:rFonts w:ascii="Bookman Old Style" w:hAnsi="Bookman Old Style"/>
          <w:i/>
          <w:iCs/>
          <w:color w:val="000000"/>
          <w:vertAlign w:val="subscript"/>
        </w:rPr>
        <w:t>i</w:t>
      </w:r>
      <w:proofErr w:type="gramEnd"/>
      <w:r w:rsidRPr="00650B2E">
        <w:rPr>
          <w:rFonts w:ascii="Bookman Old Style" w:hAnsi="Bookman Old Style"/>
          <w:i/>
          <w:iCs/>
          <w:color w:val="000000"/>
          <w:vertAlign w:val="subscript"/>
        </w:rPr>
        <w:t>,j</w:t>
      </w:r>
      <w:r>
        <w:rPr>
          <w:rFonts w:ascii="Bookman Old Style" w:hAnsi="Bookman Old Style"/>
          <w:i/>
          <w:iCs/>
          <w:color w:val="000000"/>
          <w:vertAlign w:val="subscript"/>
        </w:rPr>
        <w:t>,m</w:t>
      </w:r>
      <w:proofErr w:type="spellEnd"/>
      <w:r>
        <w:rPr>
          <w:rFonts w:ascii="Bookman Old Style" w:hAnsi="Bookman Old Style"/>
          <w:i/>
          <w:iCs/>
          <w:color w:val="000000"/>
          <w:vertAlign w:val="subscript"/>
        </w:rPr>
        <w:t xml:space="preserve"> </w:t>
      </w:r>
      <w:r>
        <w:rPr>
          <w:rFonts w:ascii="Bookman Old Style" w:hAnsi="Bookman Old Style"/>
          <w:bCs/>
        </w:rPr>
        <w:t>no incluye las ventas a los usuarios exentos.</w:t>
      </w:r>
    </w:p>
    <w:p w14:paraId="1A1D192B" w14:textId="2B3D9BE4" w:rsidR="00121187" w:rsidRPr="00A93C3B" w:rsidRDefault="00121187" w:rsidP="00735933">
      <w:pPr>
        <w:widowControl w:val="0"/>
        <w:spacing w:before="200" w:after="200"/>
        <w:ind w:left="2835" w:right="47" w:hanging="1417"/>
        <w:jc w:val="both"/>
        <w:rPr>
          <w:rFonts w:ascii="Bookman Old Style" w:hAnsi="Bookman Old Style" w:cs="Arial"/>
          <w:bCs/>
          <w:lang w:val="es-CO"/>
        </w:rPr>
      </w:pPr>
      <w:proofErr w:type="gramStart"/>
      <w:r w:rsidRPr="004B072E">
        <w:rPr>
          <w:rFonts w:ascii="Bookman Old Style" w:hAnsi="Bookman Old Style" w:cs="Arial"/>
          <w:i/>
          <w:lang w:val="es-CO"/>
        </w:rPr>
        <w:t>BCU</w:t>
      </w:r>
      <w:r w:rsidRPr="004B072E">
        <w:rPr>
          <w:rFonts w:ascii="Bookman Old Style" w:hAnsi="Bookman Old Style" w:cs="Arial"/>
          <w:i/>
          <w:vertAlign w:val="subscript"/>
          <w:lang w:val="es-CO"/>
        </w:rPr>
        <w:t>n,i</w:t>
      </w:r>
      <w:proofErr w:type="gramEnd"/>
      <w:r w:rsidRPr="004B072E">
        <w:rPr>
          <w:rFonts w:ascii="Bookman Old Style" w:hAnsi="Bookman Old Style" w:cs="Arial"/>
          <w:i/>
          <w:vertAlign w:val="subscript"/>
          <w:lang w:val="es-CO"/>
        </w:rPr>
        <w:t>,j</w:t>
      </w:r>
      <w:r>
        <w:rPr>
          <w:rFonts w:ascii="Bookman Old Style" w:hAnsi="Bookman Old Style" w:cs="Arial"/>
          <w:i/>
          <w:vertAlign w:val="subscript"/>
          <w:lang w:val="es-CO"/>
        </w:rPr>
        <w:t>,0</w:t>
      </w:r>
      <w:r w:rsidRPr="004B072E">
        <w:rPr>
          <w:rFonts w:ascii="Bookman Old Style" w:hAnsi="Bookman Old Style" w:cs="Arial"/>
          <w:i/>
          <w:lang w:val="es-CO"/>
        </w:rPr>
        <w:t>:</w:t>
      </w:r>
      <w:r w:rsidRPr="00BD2E1F">
        <w:rPr>
          <w:rFonts w:ascii="Bookman Old Style" w:hAnsi="Bookman Old Style" w:cs="Arial"/>
          <w:bCs/>
          <w:lang w:val="es-CO"/>
        </w:rPr>
        <w:tab/>
        <w:t xml:space="preserve">Brecha en el CU, corresponde a la diferencia entre el componente variable del CU calculado y el componente </w:t>
      </w:r>
      <w:r w:rsidRPr="00BD2E1F">
        <w:rPr>
          <w:rFonts w:ascii="Bookman Old Style" w:hAnsi="Bookman Old Style" w:cs="Arial"/>
          <w:bCs/>
          <w:lang w:val="es-CO"/>
        </w:rPr>
        <w:lastRenderedPageBreak/>
        <w:t>variable del CU aplicado en el mes m, para el nivel de tensión n del comercializador minorista i, en el mercado de comercialización j</w:t>
      </w:r>
      <w:r>
        <w:rPr>
          <w:rFonts w:ascii="Bookman Old Style" w:hAnsi="Bookman Old Style" w:cs="Arial"/>
          <w:bCs/>
          <w:lang w:val="es-CO"/>
        </w:rPr>
        <w:t xml:space="preserve">, </w:t>
      </w:r>
      <w:r w:rsidR="00F23520">
        <w:rPr>
          <w:rFonts w:ascii="Bookman Old Style" w:hAnsi="Bookman Old Style" w:cs="Arial"/>
          <w:bCs/>
          <w:lang w:val="es-CO"/>
        </w:rPr>
        <w:t xml:space="preserve">una vez el comercializador se </w:t>
      </w:r>
      <w:r w:rsidR="00F23520" w:rsidRPr="00113A1F">
        <w:rPr>
          <w:rFonts w:ascii="Bookman Old Style" w:hAnsi="Bookman Old Style" w:cs="Arial"/>
          <w:bCs/>
          <w:lang w:val="es-CO"/>
        </w:rPr>
        <w:t>aco</w:t>
      </w:r>
      <w:r w:rsidR="00F23520">
        <w:rPr>
          <w:rFonts w:ascii="Bookman Old Style" w:hAnsi="Bookman Old Style" w:cs="Arial"/>
          <w:bCs/>
          <w:lang w:val="es-CO"/>
        </w:rPr>
        <w:t>ja</w:t>
      </w:r>
      <w:r w:rsidR="00F23520" w:rsidRPr="00113A1F">
        <w:rPr>
          <w:rFonts w:ascii="Bookman Old Style" w:hAnsi="Bookman Old Style" w:cs="Arial"/>
          <w:bCs/>
          <w:lang w:val="es-CO"/>
        </w:rPr>
        <w:t xml:space="preserve"> a las medidas incorporadas en la presente resolución</w:t>
      </w:r>
      <w:r w:rsidR="00B84648">
        <w:rPr>
          <w:rFonts w:ascii="Bookman Old Style" w:hAnsi="Bookman Old Style" w:cs="Arial"/>
          <w:bCs/>
          <w:lang w:val="es-CO"/>
        </w:rPr>
        <w:t>,</w:t>
      </w:r>
      <w:r w:rsidR="00F23520">
        <w:rPr>
          <w:rFonts w:ascii="Bookman Old Style" w:hAnsi="Bookman Old Style" w:cs="Arial"/>
          <w:bCs/>
          <w:lang w:val="es-CO"/>
        </w:rPr>
        <w:t xml:space="preserve"> </w:t>
      </w:r>
      <w:r>
        <w:rPr>
          <w:rFonts w:ascii="Bookman Old Style" w:hAnsi="Bookman Old Style" w:cs="Arial"/>
          <w:bCs/>
          <w:lang w:val="es-CO"/>
        </w:rPr>
        <w:t>según la siguiente expresión:</w:t>
      </w:r>
      <w:r w:rsidRPr="00BD2E1F">
        <w:rPr>
          <w:rFonts w:ascii="Bookman Old Style" w:hAnsi="Bookman Old Style" w:cs="Arial"/>
          <w:bCs/>
          <w:lang w:val="es-CO"/>
        </w:rPr>
        <w:t xml:space="preserve">  </w:t>
      </w:r>
    </w:p>
    <w:p w14:paraId="695B4722" w14:textId="77777777" w:rsidR="00121187" w:rsidRPr="000A29D6" w:rsidRDefault="005E00C2" w:rsidP="00735933">
      <w:pPr>
        <w:ind w:left="568" w:firstLine="2268"/>
        <w:rPr>
          <w:highlight w:val="lightGray"/>
        </w:rPr>
      </w:pPr>
      <m:oMathPara>
        <m:oMath>
          <m:sSub>
            <m:sSubPr>
              <m:ctrlPr>
                <w:rPr>
                  <w:rFonts w:ascii="Cambria Math" w:hAnsi="Cambria Math"/>
                </w:rPr>
              </m:ctrlPr>
            </m:sSubPr>
            <m:e>
              <m:r>
                <w:rPr>
                  <w:rFonts w:ascii="Cambria Math" w:hAnsi="Cambria Math"/>
                </w:rPr>
                <m:t>BCU</m:t>
              </m:r>
            </m:e>
            <m:sub>
              <m:r>
                <w:rPr>
                  <w:rFonts w:ascii="Cambria Math" w:hAnsi="Cambria Math"/>
                </w:rPr>
                <m:t>n</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CU</m:t>
              </m:r>
            </m:e>
            <m:sub>
              <m:sSup>
                <m:sSupPr>
                  <m:ctrlPr>
                    <w:rPr>
                      <w:rFonts w:ascii="Cambria Math" w:hAnsi="Cambria Math"/>
                      <w:i/>
                    </w:rPr>
                  </m:ctrlPr>
                </m:sSupPr>
                <m:e>
                  <m:r>
                    <w:rPr>
                      <w:rFonts w:ascii="Cambria Math" w:hAnsi="Cambria Math"/>
                    </w:rPr>
                    <m:t>V</m:t>
                  </m:r>
                </m:e>
                <m:sup>
                  <m:r>
                    <w:rPr>
                      <w:rFonts w:ascii="Cambria Math" w:hAnsi="Cambria Math"/>
                    </w:rPr>
                    <m:t>c</m:t>
                  </m:r>
                </m:sup>
              </m:sSup>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CUv</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oMath>
      </m:oMathPara>
    </w:p>
    <w:p w14:paraId="6DC4CC40" w14:textId="77777777" w:rsidR="00121187" w:rsidRPr="00BD2E1F" w:rsidRDefault="00121187" w:rsidP="00735933">
      <w:pPr>
        <w:widowControl w:val="0"/>
        <w:spacing w:before="200" w:after="200"/>
        <w:ind w:left="2836" w:right="47" w:hanging="1418"/>
        <w:jc w:val="both"/>
        <w:rPr>
          <w:rFonts w:ascii="Bookman Old Style" w:hAnsi="Bookman Old Style" w:cs="Arial"/>
          <w:bCs/>
          <w:lang w:val="es-CO"/>
        </w:rPr>
      </w:pPr>
      <w:r w:rsidRPr="00BD2E1F">
        <w:rPr>
          <w:rFonts w:ascii="Bookman Old Style" w:hAnsi="Bookman Old Style" w:cs="Arial"/>
          <w:bCs/>
          <w:lang w:val="es-CO"/>
        </w:rPr>
        <w:t>Donde:</w:t>
      </w:r>
    </w:p>
    <w:p w14:paraId="31DC987B" w14:textId="77777777" w:rsidR="00121187" w:rsidRPr="00BD2E1F" w:rsidRDefault="00121187" w:rsidP="00735933">
      <w:pPr>
        <w:widowControl w:val="0"/>
        <w:spacing w:before="200" w:after="200"/>
        <w:ind w:left="2836" w:right="47" w:hanging="1418"/>
        <w:jc w:val="both"/>
        <w:rPr>
          <w:rFonts w:ascii="Bookman Old Style" w:hAnsi="Bookman Old Style" w:cs="Arial"/>
          <w:bCs/>
          <w:lang w:val="es-CO"/>
        </w:rPr>
      </w:pPr>
      <w:proofErr w:type="spellStart"/>
      <w:proofErr w:type="gramStart"/>
      <w:r w:rsidRPr="004B072E">
        <w:rPr>
          <w:rFonts w:ascii="Bookman Old Style" w:hAnsi="Bookman Old Style" w:cs="Arial"/>
          <w:i/>
          <w:lang w:val="es-CO"/>
        </w:rPr>
        <w:t>CUv</w:t>
      </w:r>
      <w:r w:rsidRPr="004B072E">
        <w:rPr>
          <w:rFonts w:ascii="Bookman Old Style" w:hAnsi="Bookman Old Style" w:cs="Arial"/>
          <w:i/>
          <w:vertAlign w:val="subscript"/>
          <w:lang w:val="es-CO"/>
        </w:rPr>
        <w:t>n,m</w:t>
      </w:r>
      <w:proofErr w:type="gramEnd"/>
      <w:r w:rsidRPr="004B072E">
        <w:rPr>
          <w:rFonts w:ascii="Bookman Old Style" w:hAnsi="Bookman Old Style" w:cs="Arial"/>
          <w:i/>
          <w:vertAlign w:val="subscript"/>
          <w:lang w:val="es-CO"/>
        </w:rPr>
        <w:t>,i,j</w:t>
      </w:r>
      <w:proofErr w:type="spellEnd"/>
      <w:r w:rsidRPr="00BD2E1F">
        <w:rPr>
          <w:rFonts w:ascii="Bookman Old Style" w:hAnsi="Bookman Old Style" w:cs="Arial"/>
          <w:bCs/>
          <w:lang w:val="es-CO"/>
        </w:rPr>
        <w:t>:</w:t>
      </w:r>
      <w:r>
        <w:rPr>
          <w:rFonts w:ascii="Bookman Old Style" w:hAnsi="Bookman Old Style" w:cs="Arial"/>
          <w:bCs/>
          <w:lang w:val="es-CO"/>
        </w:rPr>
        <w:tab/>
      </w:r>
      <w:r w:rsidRPr="00BD2E1F">
        <w:rPr>
          <w:rFonts w:ascii="Bookman Old Style" w:hAnsi="Bookman Old Style" w:cs="Arial"/>
          <w:bCs/>
          <w:lang w:val="es-CO"/>
        </w:rPr>
        <w:t xml:space="preserve">Componente variable del CU </w:t>
      </w:r>
      <w:r>
        <w:rPr>
          <w:rFonts w:ascii="Bookman Old Style" w:hAnsi="Bookman Old Style" w:cs="Arial"/>
          <w:bCs/>
          <w:lang w:val="es-CO"/>
        </w:rPr>
        <w:t xml:space="preserve">aplicado </w:t>
      </w:r>
      <w:r w:rsidRPr="00BD2E1F">
        <w:rPr>
          <w:rFonts w:ascii="Bookman Old Style" w:hAnsi="Bookman Old Style" w:cs="Arial"/>
          <w:bCs/>
          <w:lang w:val="es-CO"/>
        </w:rPr>
        <w:t xml:space="preserve">en el mes m, para el nivel de tensión n del comercializador minorista i, en el mercado de comercialización j, expresado en $/kWh. Correspondiente al valor calculado con base en el artículo 2 de la Resolución CREG 012 de 2020.  </w:t>
      </w:r>
    </w:p>
    <w:p w14:paraId="233B2ED7" w14:textId="369711CC" w:rsidR="00C40C0C" w:rsidRDefault="00121187" w:rsidP="00567AA2">
      <w:pPr>
        <w:widowControl w:val="0"/>
        <w:spacing w:before="200" w:after="200"/>
        <w:ind w:left="2836" w:right="47" w:hanging="1418"/>
        <w:jc w:val="both"/>
        <w:rPr>
          <w:rFonts w:ascii="Bookman Old Style" w:hAnsi="Bookman Old Style" w:cs="Arial"/>
          <w:bCs/>
          <w:lang w:val="es-CO"/>
        </w:rPr>
      </w:pPr>
      <w:proofErr w:type="spellStart"/>
      <w:proofErr w:type="gramStart"/>
      <w:r w:rsidRPr="004B072E">
        <w:rPr>
          <w:rFonts w:ascii="Bookman Old Style" w:hAnsi="Bookman Old Style" w:cs="Arial"/>
          <w:i/>
          <w:lang w:val="es-CO"/>
        </w:rPr>
        <w:t>CUv</w:t>
      </w:r>
      <w:r w:rsidRPr="004B072E">
        <w:rPr>
          <w:rFonts w:ascii="Bookman Old Style" w:hAnsi="Bookman Old Style" w:cs="Arial"/>
          <w:i/>
          <w:vertAlign w:val="superscript"/>
          <w:lang w:val="es-CO"/>
        </w:rPr>
        <w:t>C</w:t>
      </w:r>
      <w:r w:rsidRPr="004B072E">
        <w:rPr>
          <w:rFonts w:ascii="Bookman Old Style" w:hAnsi="Bookman Old Style" w:cs="Arial"/>
          <w:i/>
          <w:vertAlign w:val="subscript"/>
          <w:lang w:val="es-CO"/>
        </w:rPr>
        <w:t>n,m</w:t>
      </w:r>
      <w:proofErr w:type="gramEnd"/>
      <w:r w:rsidRPr="004B072E">
        <w:rPr>
          <w:rFonts w:ascii="Bookman Old Style" w:hAnsi="Bookman Old Style" w:cs="Arial"/>
          <w:i/>
          <w:vertAlign w:val="subscript"/>
          <w:lang w:val="es-CO"/>
        </w:rPr>
        <w:t>,i,j</w:t>
      </w:r>
      <w:proofErr w:type="spellEnd"/>
      <w:r w:rsidRPr="00BD2E1F">
        <w:rPr>
          <w:rFonts w:ascii="Bookman Old Style" w:hAnsi="Bookman Old Style" w:cs="Arial"/>
          <w:bCs/>
          <w:lang w:val="es-CO"/>
        </w:rPr>
        <w:t>:</w:t>
      </w:r>
      <w:r w:rsidRPr="00BD2E1F">
        <w:rPr>
          <w:rFonts w:ascii="Bookman Old Style" w:hAnsi="Bookman Old Style" w:cs="Arial"/>
          <w:bCs/>
          <w:lang w:val="es-CO"/>
        </w:rPr>
        <w:tab/>
        <w:t xml:space="preserve">Componente variable del CU, calculado para el mes m, conforme la resolución vigente, para los usuarios conectados en el nivel de tensión n del comercializador minorista i, en el mercado de comercialización j. expresado en $/kWh. Correspondiente al valor calculado con base en la Resolución CREG </w:t>
      </w:r>
      <w:r>
        <w:rPr>
          <w:rFonts w:ascii="Bookman Old Style" w:hAnsi="Bookman Old Style" w:cs="Arial"/>
          <w:bCs/>
          <w:lang w:val="es-CO"/>
        </w:rPr>
        <w:t>119</w:t>
      </w:r>
      <w:r w:rsidRPr="00BD2E1F">
        <w:rPr>
          <w:rFonts w:ascii="Bookman Old Style" w:hAnsi="Bookman Old Style" w:cs="Arial"/>
          <w:bCs/>
          <w:lang w:val="es-CO"/>
        </w:rPr>
        <w:t xml:space="preserve"> de 20</w:t>
      </w:r>
      <w:r>
        <w:rPr>
          <w:rFonts w:ascii="Bookman Old Style" w:hAnsi="Bookman Old Style" w:cs="Arial"/>
          <w:bCs/>
          <w:lang w:val="es-CO"/>
        </w:rPr>
        <w:t>07. Para este cálculo no se debe incluir el costo de opción tarifaria de mercado es igual a cero</w:t>
      </w:r>
      <w:r w:rsidRPr="00BD2E1F">
        <w:rPr>
          <w:rFonts w:ascii="Bookman Old Style" w:hAnsi="Bookman Old Style" w:cs="Arial"/>
          <w:bCs/>
          <w:lang w:val="es-CO"/>
        </w:rPr>
        <w:t>.</w:t>
      </w:r>
    </w:p>
    <w:p w14:paraId="7D726DE8" w14:textId="353C3823" w:rsidR="00722B6F" w:rsidRPr="00735933" w:rsidRDefault="008A6CB0" w:rsidP="00735933">
      <w:pPr>
        <w:pStyle w:val="Prrafodelista"/>
        <w:widowControl w:val="0"/>
        <w:numPr>
          <w:ilvl w:val="0"/>
          <w:numId w:val="50"/>
        </w:numPr>
        <w:spacing w:before="200" w:after="200"/>
        <w:ind w:left="1276" w:right="47" w:hanging="425"/>
        <w:jc w:val="both"/>
        <w:rPr>
          <w:rFonts w:ascii="Bookman Old Style" w:hAnsi="Bookman Old Style"/>
          <w:sz w:val="24"/>
          <w:szCs w:val="24"/>
        </w:rPr>
      </w:pPr>
      <w:r w:rsidRPr="00735933">
        <w:rPr>
          <w:rFonts w:ascii="Bookman Old Style" w:hAnsi="Bookman Old Style"/>
          <w:sz w:val="24"/>
          <w:szCs w:val="24"/>
        </w:rPr>
        <w:t>E</w:t>
      </w:r>
      <w:r w:rsidR="00A33B64">
        <w:rPr>
          <w:rFonts w:ascii="Bookman Old Style" w:hAnsi="Bookman Old Style"/>
          <w:sz w:val="24"/>
          <w:szCs w:val="24"/>
        </w:rPr>
        <w:t>l</w:t>
      </w:r>
      <w:r w:rsidRPr="00D74E6D">
        <w:rPr>
          <w:rFonts w:ascii="Bookman Old Style" w:hAnsi="Bookman Old Style"/>
          <w:sz w:val="24"/>
          <w:szCs w:val="24"/>
        </w:rPr>
        <w:t xml:space="preserve"> </w:t>
      </w:r>
      <w:r w:rsidR="00DD7C7C" w:rsidRPr="00D74E6D">
        <w:rPr>
          <w:rFonts w:ascii="Bookman Old Style" w:hAnsi="Bookman Old Style"/>
          <w:sz w:val="24"/>
          <w:szCs w:val="24"/>
        </w:rPr>
        <w:t>valor</w:t>
      </w:r>
      <w:r w:rsidR="00DD7C7C">
        <w:rPr>
          <w:rFonts w:ascii="Bookman Old Style" w:hAnsi="Bookman Old Style"/>
          <w:sz w:val="24"/>
          <w:szCs w:val="24"/>
        </w:rPr>
        <w:t xml:space="preserve"> </w:t>
      </w:r>
      <w:r w:rsidR="00A33B64">
        <w:rPr>
          <w:rFonts w:ascii="Bookman Old Style" w:hAnsi="Bookman Old Style"/>
          <w:sz w:val="24"/>
          <w:szCs w:val="24"/>
        </w:rPr>
        <w:t xml:space="preserve">de </w:t>
      </w:r>
      <w:r w:rsidR="00A33B64" w:rsidRPr="00A93AD0">
        <w:rPr>
          <w:rFonts w:ascii="Bookman Old Style" w:hAnsi="Bookman Old Style" w:cs="Arial"/>
          <w:bCs/>
          <w:i/>
          <w:iCs/>
          <w:sz w:val="24"/>
          <w:szCs w:val="24"/>
        </w:rPr>
        <w:t>SAOT</w:t>
      </w:r>
      <w:r w:rsidR="00A33B64" w:rsidRPr="00A93AD0">
        <w:rPr>
          <w:rFonts w:ascii="Bookman Old Style" w:hAnsi="Bookman Old Style" w:cs="Arial"/>
          <w:bCs/>
          <w:i/>
          <w:iCs/>
          <w:sz w:val="24"/>
          <w:szCs w:val="24"/>
          <w:vertAlign w:val="subscript"/>
        </w:rPr>
        <w:t>n,</w:t>
      </w:r>
      <w:proofErr w:type="gramStart"/>
      <w:r w:rsidR="00A33B64" w:rsidRPr="00A93AD0">
        <w:rPr>
          <w:rFonts w:ascii="Bookman Old Style" w:hAnsi="Bookman Old Style" w:cs="Arial"/>
          <w:bCs/>
          <w:i/>
          <w:iCs/>
          <w:sz w:val="24"/>
          <w:szCs w:val="24"/>
          <w:vertAlign w:val="subscript"/>
        </w:rPr>
        <w:t>0,i</w:t>
      </w:r>
      <w:proofErr w:type="gramEnd"/>
      <w:r w:rsidR="00A33B64" w:rsidRPr="00A93AD0">
        <w:rPr>
          <w:rFonts w:ascii="Bookman Old Style" w:hAnsi="Bookman Old Style" w:cs="Arial"/>
          <w:i/>
          <w:sz w:val="24"/>
          <w:szCs w:val="24"/>
          <w:vertAlign w:val="subscript"/>
        </w:rPr>
        <w:t>,j</w:t>
      </w:r>
      <w:r w:rsidR="00A33B64" w:rsidRPr="00A93AD0">
        <w:rPr>
          <w:rFonts w:ascii="Bookman Old Style" w:hAnsi="Bookman Old Style" w:cs="Arial"/>
          <w:bCs/>
          <w:sz w:val="24"/>
          <w:szCs w:val="24"/>
        </w:rPr>
        <w:t xml:space="preserve"> </w:t>
      </w:r>
      <w:r w:rsidR="00DD7C7C" w:rsidRPr="00735933">
        <w:rPr>
          <w:rFonts w:ascii="Bookman Old Style" w:hAnsi="Bookman Old Style"/>
          <w:sz w:val="24"/>
          <w:szCs w:val="24"/>
        </w:rPr>
        <w:t xml:space="preserve"> se debe mantener</w:t>
      </w:r>
      <w:r w:rsidR="005A4EFD" w:rsidRPr="00735933">
        <w:rPr>
          <w:rFonts w:ascii="Bookman Old Style" w:hAnsi="Bookman Old Style"/>
          <w:sz w:val="24"/>
          <w:szCs w:val="24"/>
        </w:rPr>
        <w:t xml:space="preserve"> igual</w:t>
      </w:r>
      <w:r w:rsidR="00DD7C7C" w:rsidRPr="00735933">
        <w:rPr>
          <w:rFonts w:ascii="Bookman Old Style" w:hAnsi="Bookman Old Style"/>
          <w:sz w:val="24"/>
          <w:szCs w:val="24"/>
        </w:rPr>
        <w:t xml:space="preserve"> por un periodo de </w:t>
      </w:r>
      <w:r w:rsidR="00E97A2D" w:rsidRPr="00735933">
        <w:rPr>
          <w:rFonts w:ascii="Bookman Old Style" w:hAnsi="Bookman Old Style"/>
          <w:sz w:val="24"/>
          <w:szCs w:val="24"/>
        </w:rPr>
        <w:t>doce (</w:t>
      </w:r>
      <w:r w:rsidR="00DD7C7C" w:rsidRPr="00735933">
        <w:rPr>
          <w:rFonts w:ascii="Bookman Old Style" w:hAnsi="Bookman Old Style"/>
          <w:sz w:val="24"/>
          <w:szCs w:val="24"/>
        </w:rPr>
        <w:t>12</w:t>
      </w:r>
      <w:r w:rsidR="00E97A2D" w:rsidRPr="00735933">
        <w:rPr>
          <w:rFonts w:ascii="Bookman Old Style" w:hAnsi="Bookman Old Style"/>
          <w:sz w:val="24"/>
          <w:szCs w:val="24"/>
        </w:rPr>
        <w:t>)</w:t>
      </w:r>
      <w:r w:rsidR="00DD7C7C" w:rsidRPr="00735933">
        <w:rPr>
          <w:rFonts w:ascii="Bookman Old Style" w:hAnsi="Bookman Old Style"/>
          <w:sz w:val="24"/>
          <w:szCs w:val="24"/>
        </w:rPr>
        <w:t xml:space="preserve"> meses.</w:t>
      </w:r>
    </w:p>
    <w:p w14:paraId="144223C8" w14:textId="771C3EFB" w:rsidR="00EB3077" w:rsidRDefault="00EB3077" w:rsidP="00EB3077">
      <w:pPr>
        <w:pStyle w:val="Prrafodelista"/>
        <w:widowControl w:val="0"/>
        <w:numPr>
          <w:ilvl w:val="0"/>
          <w:numId w:val="50"/>
        </w:numPr>
        <w:spacing w:before="200" w:after="200"/>
        <w:ind w:left="1276" w:right="47" w:hanging="425"/>
        <w:jc w:val="both"/>
        <w:rPr>
          <w:rFonts w:ascii="Bookman Old Style" w:hAnsi="Bookman Old Style"/>
          <w:sz w:val="24"/>
          <w:szCs w:val="24"/>
        </w:rPr>
      </w:pPr>
      <w:r>
        <w:rPr>
          <w:rFonts w:ascii="Bookman Old Style" w:hAnsi="Bookman Old Style"/>
          <w:sz w:val="24"/>
          <w:szCs w:val="24"/>
        </w:rPr>
        <w:t>Para el pago de la totalidad del saldo se podrán considerar hasta diez</w:t>
      </w:r>
      <w:r w:rsidR="00E97A2D">
        <w:rPr>
          <w:rFonts w:ascii="Bookman Old Style" w:hAnsi="Bookman Old Style"/>
          <w:sz w:val="24"/>
          <w:szCs w:val="24"/>
        </w:rPr>
        <w:t xml:space="preserve"> (10)</w:t>
      </w:r>
      <w:r>
        <w:rPr>
          <w:rFonts w:ascii="Bookman Old Style" w:hAnsi="Bookman Old Style"/>
          <w:sz w:val="24"/>
          <w:szCs w:val="24"/>
        </w:rPr>
        <w:t xml:space="preserve"> periodos anuales.</w:t>
      </w:r>
    </w:p>
    <w:p w14:paraId="48636514" w14:textId="0C608CE5" w:rsidR="00EB3077" w:rsidRPr="00BA4D75" w:rsidRDefault="00EB3077" w:rsidP="00EB3077">
      <w:pPr>
        <w:pStyle w:val="Prrafodelista"/>
        <w:widowControl w:val="0"/>
        <w:numPr>
          <w:ilvl w:val="0"/>
          <w:numId w:val="50"/>
        </w:numPr>
        <w:spacing w:before="200" w:after="200"/>
        <w:ind w:left="1276" w:right="47" w:hanging="425"/>
        <w:jc w:val="both"/>
        <w:rPr>
          <w:rFonts w:ascii="Bookman Old Style" w:hAnsi="Bookman Old Style"/>
          <w:sz w:val="24"/>
          <w:szCs w:val="24"/>
        </w:rPr>
      </w:pPr>
      <w:r w:rsidRPr="00191CA3">
        <w:rPr>
          <w:rFonts w:ascii="Bookman Old Style" w:hAnsi="Bookman Old Style" w:cs="Arial"/>
          <w:bCs/>
          <w:sz w:val="24"/>
          <w:szCs w:val="24"/>
        </w:rPr>
        <w:t xml:space="preserve">El </w:t>
      </w:r>
      <w:proofErr w:type="spellStart"/>
      <w:proofErr w:type="gramStart"/>
      <w:r w:rsidRPr="00191CA3">
        <w:rPr>
          <w:rFonts w:ascii="Bookman Old Style" w:hAnsi="Bookman Old Style" w:cs="Arial"/>
          <w:bCs/>
          <w:i/>
          <w:iCs/>
          <w:sz w:val="24"/>
          <w:szCs w:val="24"/>
        </w:rPr>
        <w:t>SAOT</w:t>
      </w:r>
      <w:r w:rsidRPr="00191CA3">
        <w:rPr>
          <w:rFonts w:ascii="Bookman Old Style" w:hAnsi="Bookman Old Style" w:cs="Arial"/>
          <w:bCs/>
          <w:i/>
          <w:iCs/>
          <w:sz w:val="24"/>
          <w:szCs w:val="24"/>
          <w:vertAlign w:val="subscript"/>
        </w:rPr>
        <w:t>n,</w:t>
      </w:r>
      <w:r w:rsidR="000522BA">
        <w:rPr>
          <w:rFonts w:ascii="Bookman Old Style" w:hAnsi="Bookman Old Style" w:cs="Arial"/>
          <w:bCs/>
          <w:i/>
          <w:iCs/>
          <w:sz w:val="24"/>
          <w:szCs w:val="24"/>
          <w:vertAlign w:val="subscript"/>
        </w:rPr>
        <w:t>m</w:t>
      </w:r>
      <w:proofErr w:type="gramEnd"/>
      <w:r w:rsidR="000522BA">
        <w:rPr>
          <w:rFonts w:ascii="Bookman Old Style" w:hAnsi="Bookman Old Style" w:cs="Arial"/>
          <w:bCs/>
          <w:i/>
          <w:iCs/>
          <w:sz w:val="24"/>
          <w:szCs w:val="24"/>
          <w:vertAlign w:val="subscript"/>
        </w:rPr>
        <w:t>,</w:t>
      </w:r>
      <w:r w:rsidRPr="00191CA3">
        <w:rPr>
          <w:rFonts w:ascii="Bookman Old Style" w:hAnsi="Bookman Old Style" w:cs="Arial"/>
          <w:bCs/>
          <w:i/>
          <w:iCs/>
          <w:sz w:val="24"/>
          <w:szCs w:val="24"/>
          <w:vertAlign w:val="subscript"/>
        </w:rPr>
        <w:t>i</w:t>
      </w:r>
      <w:r w:rsidRPr="00191CA3">
        <w:rPr>
          <w:rFonts w:ascii="Bookman Old Style" w:hAnsi="Bookman Old Style" w:cs="Arial"/>
          <w:i/>
          <w:sz w:val="24"/>
          <w:szCs w:val="24"/>
          <w:vertAlign w:val="subscript"/>
        </w:rPr>
        <w:t>,j</w:t>
      </w:r>
      <w:proofErr w:type="spellEnd"/>
      <w:r w:rsidRPr="00191CA3">
        <w:rPr>
          <w:rFonts w:ascii="Bookman Old Style" w:hAnsi="Bookman Old Style" w:cs="Arial"/>
          <w:bCs/>
          <w:sz w:val="24"/>
          <w:szCs w:val="24"/>
        </w:rPr>
        <w:t xml:space="preserve">  será igual</w:t>
      </w:r>
      <w:r>
        <w:rPr>
          <w:rFonts w:ascii="Bookman Old Style" w:hAnsi="Bookman Old Style" w:cs="Arial"/>
        </w:rPr>
        <w:t xml:space="preserve"> </w:t>
      </w:r>
      <w:r w:rsidRPr="00191CA3">
        <w:rPr>
          <w:rFonts w:ascii="Bookman Old Style" w:hAnsi="Bookman Old Style" w:cs="Arial"/>
          <w:bCs/>
          <w:sz w:val="24"/>
          <w:szCs w:val="24"/>
        </w:rPr>
        <w:t>durante los</w:t>
      </w:r>
      <w:r w:rsidR="00E97A2D">
        <w:rPr>
          <w:rFonts w:ascii="Bookman Old Style" w:hAnsi="Bookman Old Style" w:cs="Arial"/>
          <w:bCs/>
          <w:sz w:val="24"/>
          <w:szCs w:val="24"/>
        </w:rPr>
        <w:t xml:space="preserve"> doce</w:t>
      </w:r>
      <w:r w:rsidRPr="00191CA3">
        <w:rPr>
          <w:rFonts w:ascii="Bookman Old Style" w:hAnsi="Bookman Old Style" w:cs="Arial"/>
          <w:bCs/>
          <w:sz w:val="24"/>
          <w:szCs w:val="24"/>
        </w:rPr>
        <w:t xml:space="preserve"> </w:t>
      </w:r>
      <w:r w:rsidR="00E97A2D">
        <w:rPr>
          <w:rFonts w:ascii="Bookman Old Style" w:hAnsi="Bookman Old Style" w:cs="Arial"/>
          <w:bCs/>
          <w:sz w:val="24"/>
          <w:szCs w:val="24"/>
        </w:rPr>
        <w:t>(</w:t>
      </w:r>
      <w:r w:rsidRPr="00191CA3">
        <w:rPr>
          <w:rFonts w:ascii="Bookman Old Style" w:hAnsi="Bookman Old Style" w:cs="Arial"/>
          <w:bCs/>
          <w:sz w:val="24"/>
          <w:szCs w:val="24"/>
        </w:rPr>
        <w:t>12</w:t>
      </w:r>
      <w:r w:rsidR="00E97A2D">
        <w:rPr>
          <w:rFonts w:ascii="Bookman Old Style" w:hAnsi="Bookman Old Style" w:cs="Arial"/>
          <w:bCs/>
          <w:sz w:val="24"/>
          <w:szCs w:val="24"/>
        </w:rPr>
        <w:t>)</w:t>
      </w:r>
      <w:r w:rsidRPr="00191CA3">
        <w:rPr>
          <w:rFonts w:ascii="Bookman Old Style" w:hAnsi="Bookman Old Style" w:cs="Arial"/>
          <w:bCs/>
          <w:sz w:val="24"/>
          <w:szCs w:val="24"/>
        </w:rPr>
        <w:t xml:space="preserve"> meses de un periodo anual</w:t>
      </w:r>
      <w:r w:rsidR="000B0158">
        <w:rPr>
          <w:rFonts w:ascii="Bookman Old Style" w:hAnsi="Bookman Old Style" w:cs="Arial"/>
          <w:bCs/>
          <w:sz w:val="24"/>
          <w:szCs w:val="24"/>
        </w:rPr>
        <w:t>. P</w:t>
      </w:r>
      <w:r w:rsidR="00DF3BB8">
        <w:rPr>
          <w:rFonts w:ascii="Bookman Old Style" w:hAnsi="Bookman Old Style" w:cs="Arial"/>
          <w:bCs/>
          <w:sz w:val="24"/>
          <w:szCs w:val="24"/>
        </w:rPr>
        <w:t>asado este periodo</w:t>
      </w:r>
      <w:r>
        <w:rPr>
          <w:rFonts w:ascii="Bookman Old Style" w:hAnsi="Bookman Old Style" w:cs="Arial"/>
          <w:bCs/>
          <w:sz w:val="24"/>
          <w:szCs w:val="24"/>
        </w:rPr>
        <w:t xml:space="preserve"> </w:t>
      </w:r>
      <w:r w:rsidR="0024042E">
        <w:rPr>
          <w:rFonts w:ascii="Bookman Old Style" w:hAnsi="Bookman Old Style" w:cs="Arial"/>
          <w:bCs/>
          <w:sz w:val="24"/>
          <w:szCs w:val="24"/>
        </w:rPr>
        <w:t xml:space="preserve">se </w:t>
      </w:r>
      <w:r>
        <w:rPr>
          <w:rFonts w:ascii="Bookman Old Style" w:hAnsi="Bookman Old Style" w:cs="Arial"/>
          <w:bCs/>
          <w:sz w:val="24"/>
          <w:szCs w:val="24"/>
        </w:rPr>
        <w:t>podrá aumentar</w:t>
      </w:r>
      <w:r w:rsidR="00875395">
        <w:rPr>
          <w:rFonts w:ascii="Bookman Old Style" w:hAnsi="Bookman Old Style" w:cs="Arial"/>
          <w:bCs/>
          <w:sz w:val="24"/>
          <w:szCs w:val="24"/>
        </w:rPr>
        <w:t>,</w:t>
      </w:r>
      <w:r>
        <w:rPr>
          <w:rFonts w:ascii="Bookman Old Style" w:hAnsi="Bookman Old Style" w:cs="Arial"/>
          <w:bCs/>
          <w:sz w:val="24"/>
          <w:szCs w:val="24"/>
        </w:rPr>
        <w:t xml:space="preserve"> como máximo</w:t>
      </w:r>
      <w:r w:rsidR="000B0158">
        <w:rPr>
          <w:rFonts w:ascii="Bookman Old Style" w:hAnsi="Bookman Old Style" w:cs="Arial"/>
          <w:bCs/>
          <w:sz w:val="24"/>
          <w:szCs w:val="24"/>
        </w:rPr>
        <w:t>,</w:t>
      </w:r>
      <w:r>
        <w:rPr>
          <w:rFonts w:ascii="Bookman Old Style" w:hAnsi="Bookman Old Style" w:cs="Arial"/>
          <w:bCs/>
          <w:sz w:val="24"/>
          <w:szCs w:val="24"/>
        </w:rPr>
        <w:t xml:space="preserve"> en un valor equivalente al 50% del valor inicial</w:t>
      </w:r>
      <w:r w:rsidR="002C34C6">
        <w:rPr>
          <w:rFonts w:ascii="Bookman Old Style" w:hAnsi="Bookman Old Style" w:cs="Arial"/>
          <w:bCs/>
          <w:sz w:val="24"/>
          <w:szCs w:val="24"/>
        </w:rPr>
        <w:t xml:space="preserve"> </w:t>
      </w:r>
      <w:r w:rsidR="002C34C6" w:rsidRPr="00A93AD0">
        <w:rPr>
          <w:rFonts w:ascii="Bookman Old Style" w:hAnsi="Bookman Old Style" w:cs="Arial"/>
          <w:bCs/>
          <w:i/>
          <w:iCs/>
          <w:sz w:val="24"/>
          <w:szCs w:val="24"/>
        </w:rPr>
        <w:t>SAOT</w:t>
      </w:r>
      <w:r w:rsidR="002C34C6" w:rsidRPr="00A93AD0">
        <w:rPr>
          <w:rFonts w:ascii="Bookman Old Style" w:hAnsi="Bookman Old Style" w:cs="Arial"/>
          <w:bCs/>
          <w:i/>
          <w:iCs/>
          <w:sz w:val="24"/>
          <w:szCs w:val="24"/>
          <w:vertAlign w:val="subscript"/>
        </w:rPr>
        <w:t>n,</w:t>
      </w:r>
      <w:proofErr w:type="gramStart"/>
      <w:r w:rsidR="00132FE4">
        <w:rPr>
          <w:rFonts w:ascii="Bookman Old Style" w:hAnsi="Bookman Old Style" w:cs="Arial"/>
          <w:bCs/>
          <w:i/>
          <w:iCs/>
          <w:sz w:val="24"/>
          <w:szCs w:val="24"/>
          <w:vertAlign w:val="subscript"/>
        </w:rPr>
        <w:t>0,</w:t>
      </w:r>
      <w:r w:rsidR="002C34C6" w:rsidRPr="00A93AD0">
        <w:rPr>
          <w:rFonts w:ascii="Bookman Old Style" w:hAnsi="Bookman Old Style" w:cs="Arial"/>
          <w:bCs/>
          <w:i/>
          <w:iCs/>
          <w:sz w:val="24"/>
          <w:szCs w:val="24"/>
          <w:vertAlign w:val="subscript"/>
        </w:rPr>
        <w:t>i</w:t>
      </w:r>
      <w:proofErr w:type="gramEnd"/>
      <w:r w:rsidR="002C34C6" w:rsidRPr="00A93AD0">
        <w:rPr>
          <w:rFonts w:ascii="Bookman Old Style" w:hAnsi="Bookman Old Style" w:cs="Arial"/>
          <w:i/>
          <w:sz w:val="24"/>
          <w:szCs w:val="24"/>
          <w:vertAlign w:val="subscript"/>
        </w:rPr>
        <w:t>,j</w:t>
      </w:r>
      <w:r>
        <w:rPr>
          <w:rFonts w:ascii="Bookman Old Style" w:hAnsi="Bookman Old Style" w:cs="Arial"/>
          <w:bCs/>
          <w:sz w:val="24"/>
          <w:szCs w:val="24"/>
        </w:rPr>
        <w:t>, según la siguiente expresión:</w:t>
      </w:r>
    </w:p>
    <w:p w14:paraId="17077FD4" w14:textId="6BC099D0" w:rsidR="0046499E" w:rsidRPr="00795C61" w:rsidRDefault="005E00C2" w:rsidP="00A93AD0">
      <w:pPr>
        <w:pStyle w:val="Prrafodelista"/>
        <w:widowControl w:val="0"/>
        <w:spacing w:before="200" w:after="200"/>
        <w:ind w:left="1276" w:right="47"/>
        <w:jc w:val="both"/>
        <w:rPr>
          <w:rFonts w:ascii="Bookman Old Style" w:hAnsi="Bookman Old Style"/>
          <w:sz w:val="24"/>
          <w:szCs w:val="24"/>
        </w:rPr>
      </w:pPr>
      <m:oMathPara>
        <m:oMath>
          <m:sSub>
            <m:sSubPr>
              <m:ctrlPr>
                <w:rPr>
                  <w:rFonts w:ascii="Cambria Math" w:hAnsi="Cambria Math" w:cs="Arial"/>
                  <w:bCs/>
                  <w:i/>
                  <w:iCs/>
                  <w:sz w:val="28"/>
                  <w:szCs w:val="28"/>
                  <w:lang w:val="es-ES"/>
                </w:rPr>
              </m:ctrlPr>
            </m:sSubPr>
            <m:e>
              <m:r>
                <w:rPr>
                  <w:rFonts w:ascii="Cambria Math" w:hAnsi="Cambria Math" w:cs="Arial"/>
                  <w:sz w:val="22"/>
                  <w:szCs w:val="22"/>
                </w:rPr>
                <m:t>SAOT</m:t>
              </m:r>
            </m:e>
            <m:sub>
              <m:r>
                <w:rPr>
                  <w:rFonts w:ascii="Cambria Math" w:hAnsi="Cambria Math" w:cs="Arial"/>
                  <w:sz w:val="22"/>
                  <w:szCs w:val="22"/>
                </w:rPr>
                <m:t>n</m:t>
              </m:r>
              <m:r>
                <w:rPr>
                  <w:rFonts w:ascii="Cambria Math" w:hAnsi="Cambria Math" w:cs="Arial"/>
                  <w:sz w:val="22"/>
                  <w:szCs w:val="22"/>
                </w:rPr>
                <m:t>,</m:t>
              </m:r>
              <m:r>
                <w:rPr>
                  <w:rFonts w:ascii="Cambria Math" w:hAnsi="Cambria Math" w:cs="Arial"/>
                  <w:sz w:val="22"/>
                  <w:szCs w:val="22"/>
                </w:rPr>
                <m:t>t</m:t>
              </m:r>
              <m:r>
                <w:rPr>
                  <w:rFonts w:ascii="Cambria Math" w:hAnsi="Cambria Math" w:cs="Arial"/>
                  <w:sz w:val="22"/>
                  <w:szCs w:val="22"/>
                </w:rPr>
                <m:t>,</m:t>
              </m:r>
              <m:r>
                <w:rPr>
                  <w:rFonts w:ascii="Cambria Math" w:hAnsi="Cambria Math" w:cs="Arial"/>
                  <w:sz w:val="22"/>
                  <w:szCs w:val="22"/>
                </w:rPr>
                <m:t>i</m:t>
              </m:r>
              <m:r>
                <w:rPr>
                  <w:rFonts w:ascii="Cambria Math" w:hAnsi="Cambria Math" w:cs="Arial"/>
                  <w:sz w:val="22"/>
                  <w:szCs w:val="22"/>
                </w:rPr>
                <m:t>,</m:t>
              </m:r>
              <m:r>
                <w:rPr>
                  <w:rFonts w:ascii="Cambria Math" w:hAnsi="Cambria Math" w:cs="Arial"/>
                  <w:sz w:val="22"/>
                  <w:szCs w:val="22"/>
                </w:rPr>
                <m:t>j</m:t>
              </m:r>
            </m:sub>
          </m:sSub>
          <m:r>
            <w:rPr>
              <w:rFonts w:ascii="Cambria Math" w:hAnsi="Cambria Math"/>
              <w:sz w:val="22"/>
              <w:szCs w:val="22"/>
            </w:rPr>
            <m:t>≤</m:t>
          </m:r>
          <m:sSub>
            <m:sSubPr>
              <m:ctrlPr>
                <w:rPr>
                  <w:rFonts w:ascii="Cambria Math" w:hAnsi="Cambria Math" w:cs="Arial"/>
                  <w:bCs/>
                  <w:i/>
                  <w:iCs/>
                  <w:sz w:val="28"/>
                  <w:szCs w:val="28"/>
                  <w:lang w:val="es-ES"/>
                </w:rPr>
              </m:ctrlPr>
            </m:sSubPr>
            <m:e>
              <m:d>
                <m:dPr>
                  <m:ctrlPr>
                    <w:rPr>
                      <w:rFonts w:ascii="Cambria Math" w:hAnsi="Cambria Math" w:cs="Arial"/>
                      <w:bCs/>
                      <w:i/>
                      <w:iCs/>
                      <w:sz w:val="22"/>
                      <w:szCs w:val="22"/>
                    </w:rPr>
                  </m:ctrlPr>
                </m:dPr>
                <m:e>
                  <m:r>
                    <w:rPr>
                      <w:rFonts w:ascii="Cambria Math" w:hAnsi="Cambria Math" w:cs="Arial"/>
                      <w:sz w:val="22"/>
                      <w:szCs w:val="22"/>
                    </w:rPr>
                    <m:t>1+0,5*</m:t>
                  </m:r>
                  <m:r>
                    <w:rPr>
                      <w:rFonts w:ascii="Cambria Math" w:hAnsi="Cambria Math" w:cs="Arial"/>
                      <w:sz w:val="22"/>
                      <w:szCs w:val="22"/>
                    </w:rPr>
                    <m:t>t</m:t>
                  </m:r>
                </m:e>
              </m:d>
              <m:r>
                <w:rPr>
                  <w:rFonts w:ascii="Cambria Math" w:hAnsi="Cambria Math" w:cs="Arial"/>
                  <w:sz w:val="22"/>
                  <w:szCs w:val="22"/>
                </w:rPr>
                <m:t>*</m:t>
              </m:r>
              <m:r>
                <w:rPr>
                  <w:rFonts w:ascii="Cambria Math" w:hAnsi="Cambria Math" w:cs="Arial"/>
                  <w:sz w:val="22"/>
                  <w:szCs w:val="22"/>
                </w:rPr>
                <m:t>SAOT</m:t>
              </m:r>
            </m:e>
            <m:sub>
              <m:r>
                <w:rPr>
                  <w:rFonts w:ascii="Cambria Math" w:hAnsi="Cambria Math" w:cs="Arial"/>
                  <w:sz w:val="22"/>
                  <w:szCs w:val="22"/>
                </w:rPr>
                <m:t>n</m:t>
              </m:r>
              <m:r>
                <w:rPr>
                  <w:rFonts w:ascii="Cambria Math" w:hAnsi="Cambria Math" w:cs="Arial"/>
                  <w:sz w:val="22"/>
                  <w:szCs w:val="22"/>
                </w:rPr>
                <m:t>,0,</m:t>
              </m:r>
              <m:r>
                <w:rPr>
                  <w:rFonts w:ascii="Cambria Math" w:hAnsi="Cambria Math" w:cs="Arial"/>
                  <w:sz w:val="22"/>
                  <w:szCs w:val="22"/>
                </w:rPr>
                <m:t>i</m:t>
              </m:r>
              <m:r>
                <w:rPr>
                  <w:rFonts w:ascii="Cambria Math" w:hAnsi="Cambria Math" w:cs="Arial"/>
                  <w:sz w:val="22"/>
                  <w:szCs w:val="22"/>
                </w:rPr>
                <m:t>,</m:t>
              </m:r>
              <m:r>
                <w:rPr>
                  <w:rFonts w:ascii="Cambria Math" w:hAnsi="Cambria Math" w:cs="Arial"/>
                  <w:sz w:val="22"/>
                  <w:szCs w:val="22"/>
                </w:rPr>
                <m:t>j</m:t>
              </m:r>
              <m:r>
                <w:rPr>
                  <w:rFonts w:ascii="Cambria Math" w:hAnsi="Cambria Math" w:cs="Arial"/>
                  <w:sz w:val="22"/>
                  <w:szCs w:val="22"/>
                </w:rPr>
                <m:t xml:space="preserve"> </m:t>
              </m:r>
            </m:sub>
          </m:sSub>
        </m:oMath>
      </m:oMathPara>
    </w:p>
    <w:p w14:paraId="5F923DBA" w14:textId="023F5E14" w:rsidR="00EB3077" w:rsidRPr="00191CA3" w:rsidRDefault="00EB3077" w:rsidP="00EB3077">
      <w:pPr>
        <w:widowControl w:val="0"/>
        <w:spacing w:before="200" w:after="200"/>
        <w:ind w:left="1276" w:right="47"/>
        <w:jc w:val="both"/>
        <w:rPr>
          <w:rFonts w:ascii="Bookman Old Style" w:hAnsi="Bookman Old Style"/>
          <w:highlight w:val="yellow"/>
        </w:rPr>
      </w:pPr>
      <w:r w:rsidRPr="00D74E6D">
        <w:rPr>
          <w:rFonts w:ascii="Bookman Old Style" w:hAnsi="Bookman Old Style"/>
        </w:rPr>
        <w:t xml:space="preserve">Con t equivalente al periodo anual variando entre </w:t>
      </w:r>
      <w:r w:rsidR="00192995" w:rsidRPr="00D74E6D">
        <w:rPr>
          <w:rFonts w:ascii="Bookman Old Style" w:hAnsi="Bookman Old Style"/>
        </w:rPr>
        <w:t>0</w:t>
      </w:r>
      <w:r w:rsidRPr="00D74E6D">
        <w:rPr>
          <w:rFonts w:ascii="Bookman Old Style" w:hAnsi="Bookman Old Style"/>
        </w:rPr>
        <w:t xml:space="preserve"> y </w:t>
      </w:r>
      <w:r w:rsidR="00192995" w:rsidRPr="00D74E6D">
        <w:rPr>
          <w:rFonts w:ascii="Bookman Old Style" w:hAnsi="Bookman Old Style"/>
        </w:rPr>
        <w:t>9</w:t>
      </w:r>
      <w:r w:rsidRPr="00D74E6D">
        <w:rPr>
          <w:rFonts w:ascii="Bookman Old Style" w:hAnsi="Bookman Old Style"/>
        </w:rPr>
        <w:t xml:space="preserve"> </w:t>
      </w:r>
    </w:p>
    <w:p w14:paraId="7CA3F521" w14:textId="56D9A62A" w:rsidR="00FE7358" w:rsidRPr="00735933" w:rsidRDefault="00DE2227">
      <w:pPr>
        <w:pStyle w:val="Prrafodelista"/>
        <w:widowControl w:val="0"/>
        <w:numPr>
          <w:ilvl w:val="0"/>
          <w:numId w:val="50"/>
        </w:numPr>
        <w:spacing w:before="200" w:after="200"/>
        <w:ind w:left="1276" w:right="47" w:hanging="425"/>
        <w:jc w:val="both"/>
        <w:rPr>
          <w:rFonts w:ascii="Bookman Old Style" w:hAnsi="Bookman Old Style" w:cs="Arial"/>
        </w:rPr>
      </w:pPr>
      <w:r w:rsidRPr="001500FB">
        <w:rPr>
          <w:rFonts w:ascii="Bookman Old Style" w:hAnsi="Bookman Old Style" w:cs="Arial"/>
          <w:sz w:val="24"/>
          <w:szCs w:val="24"/>
        </w:rPr>
        <w:t xml:space="preserve">El valor presente del perfil de pago para la recuperación de la opción tarifaria debe ser igual al saldo acumulado a la fecha de </w:t>
      </w:r>
      <w:r w:rsidR="0023320E" w:rsidRPr="0023320E">
        <w:rPr>
          <w:rFonts w:ascii="Bookman Old Style" w:hAnsi="Bookman Old Style" w:cs="Arial"/>
          <w:sz w:val="24"/>
          <w:szCs w:val="24"/>
        </w:rPr>
        <w:t>aceptación del mutuo acuerdo por parte de un comercializador</w:t>
      </w:r>
      <w:r w:rsidRPr="001500FB">
        <w:rPr>
          <w:rFonts w:ascii="Bookman Old Style" w:hAnsi="Bookman Old Style" w:cs="Arial"/>
          <w:sz w:val="24"/>
          <w:szCs w:val="24"/>
        </w:rPr>
        <w:t xml:space="preserve"> </w:t>
      </w:r>
      <w:r w:rsidRPr="001500FB">
        <w:rPr>
          <w:rFonts w:ascii="Bookman Old Style" w:hAnsi="Bookman Old Style" w:cs="Arial"/>
          <w:i/>
          <w:sz w:val="24"/>
          <w:szCs w:val="24"/>
        </w:rPr>
        <w:t>i</w:t>
      </w:r>
      <w:r w:rsidRPr="001500FB">
        <w:rPr>
          <w:rFonts w:ascii="Bookman Old Style" w:hAnsi="Bookman Old Style" w:cs="Arial"/>
          <w:sz w:val="24"/>
          <w:szCs w:val="24"/>
        </w:rPr>
        <w:t xml:space="preserve"> del mercado de comercialización </w:t>
      </w:r>
      <w:r w:rsidRPr="001500FB">
        <w:rPr>
          <w:rFonts w:ascii="Bookman Old Style" w:hAnsi="Bookman Old Style" w:cs="Arial"/>
          <w:i/>
          <w:sz w:val="24"/>
          <w:szCs w:val="24"/>
        </w:rPr>
        <w:t>j</w:t>
      </w:r>
      <w:r w:rsidRPr="001500FB">
        <w:rPr>
          <w:rFonts w:ascii="Bookman Old Style" w:hAnsi="Bookman Old Style" w:cs="Arial"/>
          <w:sz w:val="24"/>
          <w:szCs w:val="24"/>
        </w:rPr>
        <w:t xml:space="preserve"> del nivel de tensión </w:t>
      </w:r>
      <w:r w:rsidRPr="001500FB">
        <w:rPr>
          <w:rFonts w:ascii="Bookman Old Style" w:hAnsi="Bookman Old Style" w:cs="Arial"/>
          <w:i/>
          <w:sz w:val="24"/>
          <w:szCs w:val="24"/>
        </w:rPr>
        <w:t>n</w:t>
      </w:r>
      <w:r w:rsidR="001019AF" w:rsidRPr="00A93AD0">
        <w:rPr>
          <w:rFonts w:ascii="Bookman Old Style" w:hAnsi="Bookman Old Style" w:cs="Arial"/>
          <w:i/>
          <w:sz w:val="24"/>
          <w:szCs w:val="24"/>
        </w:rPr>
        <w:t xml:space="preserve">, </w:t>
      </w:r>
      <w:r w:rsidR="001019AF" w:rsidRPr="00A93AD0">
        <w:rPr>
          <w:rFonts w:ascii="Bookman Old Style" w:hAnsi="Bookman Old Style" w:cs="Arial"/>
          <w:iCs/>
          <w:sz w:val="24"/>
          <w:szCs w:val="24"/>
        </w:rPr>
        <w:t>de acuerdo con la siguiente expresión:</w:t>
      </w:r>
    </w:p>
    <w:p w14:paraId="6C11C41F" w14:textId="25BFE799" w:rsidR="00FE7358" w:rsidRPr="00835D06" w:rsidRDefault="005E00C2" w:rsidP="00180E68">
      <m:oMathPara>
        <m:oMathParaPr>
          <m:jc m:val="center"/>
        </m:oMathParaPr>
        <m:oMath>
          <m:nary>
            <m:naryPr>
              <m:chr m:val="∑"/>
              <m:limLoc m:val="undOvr"/>
              <m:ctrlPr>
                <w:rPr>
                  <w:rFonts w:ascii="Cambria Math" w:hAnsi="Cambria Math" w:cs="Arial"/>
                  <w:i/>
                </w:rPr>
              </m:ctrlPr>
            </m:naryPr>
            <m:sub>
              <m:r>
                <w:rPr>
                  <w:rFonts w:ascii="Cambria Math" w:hAnsi="Cambria Math"/>
                </w:rPr>
                <m:t>m</m:t>
              </m:r>
              <m:r>
                <w:rPr>
                  <w:rFonts w:ascii="Cambria Math" w:hAnsi="Cambria Math" w:cs="Arial"/>
                </w:rPr>
                <m:t>=1</m:t>
              </m:r>
            </m:sub>
            <m:sup>
              <m:sSub>
                <m:sSubPr>
                  <m:ctrlPr>
                    <w:rPr>
                      <w:rFonts w:ascii="Cambria Math" w:hAnsi="Cambria Math"/>
                      <w:i/>
                    </w:rPr>
                  </m:ctrlPr>
                </m:sSubPr>
                <m:e>
                  <m:r>
                    <w:rPr>
                      <w:rFonts w:ascii="Cambria Math" w:hAnsi="Cambria Math"/>
                    </w:rPr>
                    <m:t>ma</m:t>
                  </m:r>
                </m:e>
                <m:sub>
                  <m:r>
                    <w:rPr>
                      <w:rFonts w:ascii="Cambria Math" w:hAnsi="Cambria Math"/>
                    </w:rPr>
                    <m:t>n</m:t>
                  </m:r>
                  <m:r>
                    <w:rPr>
                      <w:rFonts w:ascii="Cambria Math" w:hAnsi="Cambria Math"/>
                    </w:rPr>
                    <m:t>,</m:t>
                  </m:r>
                  <m:r>
                    <w:rPr>
                      <w:rFonts w:ascii="Cambria Math" w:hAnsi="Cambria Math"/>
                    </w:rPr>
                    <m:t>ij</m:t>
                  </m:r>
                </m:sub>
              </m:sSub>
            </m:sup>
            <m:e>
              <m:f>
                <m:fPr>
                  <m:ctrlPr>
                    <w:rPr>
                      <w:rFonts w:ascii="Cambria Math" w:hAnsi="Cambria Math" w:cs="Arial"/>
                      <w:i/>
                    </w:rPr>
                  </m:ctrlPr>
                </m:fPr>
                <m:num>
                  <m:sSub>
                    <m:sSubPr>
                      <m:ctrlPr>
                        <w:rPr>
                          <w:rFonts w:ascii="Cambria Math" w:hAnsi="Cambria Math"/>
                        </w:rPr>
                      </m:ctrlPr>
                    </m:sSubPr>
                    <m:e>
                      <m:r>
                        <w:rPr>
                          <w:rFonts w:ascii="Cambria Math" w:hAnsi="Cambria Math"/>
                        </w:rPr>
                        <m:t>SAOT</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num>
                <m:den>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rOT</m:t>
                          </m:r>
                        </m:e>
                        <m:sub>
                          <m:r>
                            <w:rPr>
                              <w:rFonts w:ascii="Cambria Math" w:hAnsi="Cambria Math"/>
                            </w:rPr>
                            <m:t>m</m:t>
                          </m:r>
                          <m:r>
                            <w:rPr>
                              <w:rFonts w:ascii="Cambria Math" w:hAnsi="Cambria Math"/>
                            </w:rPr>
                            <m:t>,</m:t>
                          </m:r>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e>
                    <m:sup>
                      <m:r>
                        <w:rPr>
                          <w:rFonts w:ascii="Cambria Math" w:hAnsi="Cambria Math"/>
                        </w:rPr>
                        <m:t>m</m:t>
                      </m:r>
                    </m:sup>
                  </m:sSup>
                </m:den>
              </m:f>
              <m:sSub>
                <m:sSubPr>
                  <m:ctrlPr>
                    <w:rPr>
                      <w:rFonts w:ascii="Cambria Math" w:hAnsi="Cambria Math" w:cs="Arial"/>
                      <w:i/>
                    </w:rPr>
                  </m:ctrlPr>
                </m:sSubPr>
                <m:e>
                  <m:r>
                    <w:rPr>
                      <w:rFonts w:ascii="Cambria Math" w:hAnsi="Cambria Math" w:cs="Arial"/>
                    </w:rPr>
                    <m:t>=</m:t>
                  </m:r>
                  <m:r>
                    <w:rPr>
                      <w:rFonts w:ascii="Cambria Math" w:hAnsi="Cambria Math" w:cs="Arial"/>
                    </w:rPr>
                    <m:t>SA</m:t>
                  </m:r>
                </m:e>
                <m:sub>
                  <m:r>
                    <w:rPr>
                      <w:rFonts w:ascii="Cambria Math" w:hAnsi="Cambria Math" w:cs="Arial"/>
                    </w:rPr>
                    <m:t>n</m:t>
                  </m:r>
                  <m:r>
                    <w:rPr>
                      <w:rFonts w:ascii="Cambria Math" w:hAnsi="Cambria Math" w:cs="Arial"/>
                    </w:rPr>
                    <m:t>,</m:t>
                  </m:r>
                  <m:r>
                    <w:rPr>
                      <w:rFonts w:ascii="Cambria Math" w:hAnsi="Cambria Math" w:cs="Arial"/>
                    </w:rPr>
                    <m:t>m</m:t>
                  </m:r>
                  <m:r>
                    <w:rPr>
                      <w:rFonts w:ascii="Cambria Math" w:hAnsi="Cambria Math" w:cs="Arial"/>
                    </w:rPr>
                    <m:t>,</m:t>
                  </m:r>
                  <m:r>
                    <w:rPr>
                      <w:rFonts w:ascii="Cambria Math" w:hAnsi="Cambria Math" w:cs="Arial"/>
                    </w:rPr>
                    <m:t>i</m:t>
                  </m:r>
                  <m:r>
                    <w:rPr>
                      <w:rFonts w:ascii="Cambria Math" w:hAnsi="Cambria Math" w:cs="Arial"/>
                    </w:rPr>
                    <m:t>,</m:t>
                  </m:r>
                  <m:r>
                    <w:rPr>
                      <w:rFonts w:ascii="Cambria Math" w:hAnsi="Cambria Math" w:cs="Arial"/>
                    </w:rPr>
                    <m:t>j</m:t>
                  </m:r>
                </m:sub>
              </m:sSub>
            </m:e>
          </m:nary>
        </m:oMath>
      </m:oMathPara>
    </w:p>
    <w:p w14:paraId="430897A6" w14:textId="77777777" w:rsidR="001019AF" w:rsidRPr="00BD2E1F" w:rsidRDefault="001019AF" w:rsidP="00180E68">
      <w:pPr>
        <w:widowControl w:val="0"/>
        <w:spacing w:before="200" w:after="200"/>
        <w:ind w:left="1276" w:right="47"/>
        <w:jc w:val="both"/>
        <w:rPr>
          <w:rFonts w:ascii="Bookman Old Style" w:hAnsi="Bookman Old Style" w:cs="Arial"/>
          <w:bCs/>
          <w:lang w:val="es-CO"/>
        </w:rPr>
      </w:pPr>
      <w:r w:rsidRPr="00BD2E1F">
        <w:rPr>
          <w:rFonts w:ascii="Bookman Old Style" w:hAnsi="Bookman Old Style" w:cs="Arial"/>
          <w:bCs/>
          <w:lang w:val="es-CO"/>
        </w:rPr>
        <w:t xml:space="preserve">Donde: </w:t>
      </w:r>
    </w:p>
    <w:p w14:paraId="3BAE80FD" w14:textId="4E24A276" w:rsidR="001019AF" w:rsidRPr="00180E68" w:rsidRDefault="001019AF" w:rsidP="001019AF">
      <w:pPr>
        <w:widowControl w:val="0"/>
        <w:spacing w:before="200" w:after="200"/>
        <w:ind w:left="2836" w:right="47" w:hanging="1418"/>
        <w:jc w:val="both"/>
        <w:rPr>
          <w:rFonts w:ascii="Bookman Old Style" w:hAnsi="Bookman Old Style" w:cs="Arial"/>
          <w:bCs/>
          <w:lang w:val="es-CO"/>
        </w:rPr>
      </w:pPr>
      <w:proofErr w:type="spellStart"/>
      <w:proofErr w:type="gramStart"/>
      <w:r w:rsidRPr="00180E68">
        <w:rPr>
          <w:rFonts w:ascii="Bookman Old Style" w:hAnsi="Bookman Old Style" w:cs="Arial"/>
          <w:bCs/>
          <w:i/>
          <w:iCs/>
          <w:lang w:val="es-CO"/>
        </w:rPr>
        <w:t>SAOT</w:t>
      </w:r>
      <w:r w:rsidRPr="00180E68">
        <w:rPr>
          <w:rFonts w:ascii="Bookman Old Style" w:hAnsi="Bookman Old Style" w:cs="Arial"/>
          <w:bCs/>
          <w:i/>
          <w:iCs/>
          <w:vertAlign w:val="subscript"/>
          <w:lang w:val="es-CO"/>
        </w:rPr>
        <w:t>n,</w:t>
      </w:r>
      <w:r w:rsidR="00670662" w:rsidRPr="00180E68">
        <w:rPr>
          <w:rFonts w:ascii="Bookman Old Style" w:hAnsi="Bookman Old Style" w:cs="Arial"/>
          <w:bCs/>
          <w:i/>
          <w:iCs/>
          <w:vertAlign w:val="subscript"/>
          <w:lang w:val="es-CO"/>
        </w:rPr>
        <w:t>m</w:t>
      </w:r>
      <w:proofErr w:type="gramEnd"/>
      <w:r w:rsidRPr="00180E68">
        <w:rPr>
          <w:rFonts w:ascii="Bookman Old Style" w:hAnsi="Bookman Old Style" w:cs="Arial"/>
          <w:bCs/>
          <w:i/>
          <w:iCs/>
          <w:vertAlign w:val="subscript"/>
          <w:lang w:val="es-CO"/>
        </w:rPr>
        <w:t>,i</w:t>
      </w:r>
      <w:r w:rsidRPr="00180E68">
        <w:rPr>
          <w:rFonts w:ascii="Bookman Old Style" w:hAnsi="Bookman Old Style" w:cs="Arial"/>
          <w:i/>
          <w:vertAlign w:val="subscript"/>
          <w:lang w:val="es-CO"/>
        </w:rPr>
        <w:t>,j</w:t>
      </w:r>
      <w:proofErr w:type="spellEnd"/>
      <w:r w:rsidRPr="00180E68">
        <w:rPr>
          <w:rFonts w:ascii="Bookman Old Style" w:hAnsi="Bookman Old Style" w:cs="Arial"/>
          <w:bCs/>
          <w:lang w:val="es-CO"/>
        </w:rPr>
        <w:t>:</w:t>
      </w:r>
      <w:r w:rsidRPr="00180E68">
        <w:rPr>
          <w:rFonts w:ascii="Bookman Old Style" w:hAnsi="Bookman Old Style" w:cs="Arial"/>
          <w:bCs/>
          <w:lang w:val="es-CO"/>
        </w:rPr>
        <w:tab/>
        <w:t xml:space="preserve">Valor </w:t>
      </w:r>
      <w:r w:rsidR="00D542D4" w:rsidRPr="00180E68">
        <w:rPr>
          <w:rFonts w:ascii="Bookman Old Style" w:hAnsi="Bookman Old Style" w:cs="Arial"/>
          <w:bCs/>
          <w:lang w:val="es-CO"/>
        </w:rPr>
        <w:t>del mes m</w:t>
      </w:r>
      <w:r w:rsidRPr="00180E68">
        <w:rPr>
          <w:rFonts w:ascii="Bookman Old Style" w:hAnsi="Bookman Old Style" w:cs="Arial"/>
          <w:bCs/>
          <w:lang w:val="es-CO"/>
        </w:rPr>
        <w:t xml:space="preserve"> para la recuperación del saldo de la opción tarifaria del comercializador </w:t>
      </w:r>
      <w:r w:rsidRPr="00180E68">
        <w:rPr>
          <w:rFonts w:ascii="Bookman Old Style" w:hAnsi="Bookman Old Style" w:cs="Arial"/>
          <w:i/>
          <w:lang w:val="es-CO"/>
        </w:rPr>
        <w:t>i</w:t>
      </w:r>
      <w:r w:rsidRPr="00180E68">
        <w:rPr>
          <w:rFonts w:ascii="Bookman Old Style" w:hAnsi="Bookman Old Style" w:cs="Arial"/>
          <w:bCs/>
          <w:lang w:val="es-CO"/>
        </w:rPr>
        <w:t xml:space="preserve"> del mercado de </w:t>
      </w:r>
      <w:r w:rsidRPr="00180E68">
        <w:rPr>
          <w:rFonts w:ascii="Bookman Old Style" w:hAnsi="Bookman Old Style" w:cs="Arial"/>
          <w:bCs/>
          <w:lang w:val="es-CO"/>
        </w:rPr>
        <w:lastRenderedPageBreak/>
        <w:t xml:space="preserve">comercialización </w:t>
      </w:r>
      <w:r w:rsidRPr="00180E68">
        <w:rPr>
          <w:rFonts w:ascii="Bookman Old Style" w:hAnsi="Bookman Old Style" w:cs="Arial"/>
          <w:i/>
          <w:lang w:val="es-CO"/>
        </w:rPr>
        <w:t>j</w:t>
      </w:r>
      <w:r w:rsidRPr="00180E68">
        <w:rPr>
          <w:rFonts w:ascii="Bookman Old Style" w:hAnsi="Bookman Old Style" w:cs="Arial"/>
          <w:bCs/>
          <w:lang w:val="es-CO"/>
        </w:rPr>
        <w:t xml:space="preserve"> en el nivel de tensión </w:t>
      </w:r>
      <w:r w:rsidRPr="00180E68">
        <w:rPr>
          <w:rFonts w:ascii="Bookman Old Style" w:hAnsi="Bookman Old Style" w:cs="Arial"/>
          <w:bCs/>
          <w:i/>
          <w:iCs/>
          <w:lang w:val="es-CO"/>
        </w:rPr>
        <w:t>n</w:t>
      </w:r>
      <w:r w:rsidRPr="00180E68">
        <w:rPr>
          <w:rFonts w:ascii="Bookman Old Style" w:hAnsi="Bookman Old Style" w:cs="Arial"/>
          <w:bCs/>
          <w:lang w:val="es-CO"/>
        </w:rPr>
        <w:t xml:space="preserve">. </w:t>
      </w:r>
    </w:p>
    <w:p w14:paraId="560E1494" w14:textId="2C48F93A" w:rsidR="00513E74" w:rsidRPr="00180E68" w:rsidRDefault="001019AF" w:rsidP="00513E74">
      <w:pPr>
        <w:widowControl w:val="0"/>
        <w:spacing w:before="200" w:after="200"/>
        <w:ind w:left="2836" w:right="47" w:hanging="1418"/>
        <w:jc w:val="both"/>
        <w:rPr>
          <w:rFonts w:ascii="Bookman Old Style" w:hAnsi="Bookman Old Style" w:cs="Arial"/>
          <w:bCs/>
          <w:lang w:val="es-CO"/>
        </w:rPr>
      </w:pPr>
      <w:proofErr w:type="spellStart"/>
      <w:proofErr w:type="gramStart"/>
      <w:r w:rsidRPr="00180E68">
        <w:rPr>
          <w:rFonts w:ascii="Bookman Old Style" w:hAnsi="Bookman Old Style" w:cs="Arial"/>
          <w:bCs/>
          <w:i/>
          <w:iCs/>
          <w:lang w:val="es-CO"/>
        </w:rPr>
        <w:t>SA</w:t>
      </w:r>
      <w:r w:rsidRPr="00180E68">
        <w:rPr>
          <w:rFonts w:ascii="Bookman Old Style" w:hAnsi="Bookman Old Style" w:cs="Arial"/>
          <w:bCs/>
          <w:i/>
          <w:iCs/>
          <w:vertAlign w:val="subscript"/>
          <w:lang w:val="es-CO"/>
        </w:rPr>
        <w:t>n</w:t>
      </w:r>
      <w:r w:rsidRPr="00180E68">
        <w:rPr>
          <w:rFonts w:ascii="Bookman Old Style" w:hAnsi="Bookman Old Style" w:cs="Arial"/>
          <w:i/>
          <w:vertAlign w:val="subscript"/>
          <w:lang w:val="es-CO"/>
        </w:rPr>
        <w:t>,</w:t>
      </w:r>
      <w:r w:rsidR="00FF355D" w:rsidRPr="00180E68">
        <w:rPr>
          <w:rFonts w:ascii="Bookman Old Style" w:hAnsi="Bookman Old Style" w:cs="Arial"/>
          <w:i/>
          <w:vertAlign w:val="subscript"/>
          <w:lang w:val="es-CO"/>
        </w:rPr>
        <w:t>m</w:t>
      </w:r>
      <w:proofErr w:type="gramEnd"/>
      <w:r w:rsidRPr="00180E68">
        <w:rPr>
          <w:rFonts w:ascii="Bookman Old Style" w:hAnsi="Bookman Old Style" w:cs="Arial"/>
          <w:bCs/>
          <w:i/>
          <w:iCs/>
          <w:vertAlign w:val="subscript"/>
          <w:lang w:val="es-CO"/>
        </w:rPr>
        <w:t>,i</w:t>
      </w:r>
      <w:r w:rsidRPr="00180E68">
        <w:rPr>
          <w:rFonts w:ascii="Bookman Old Style" w:hAnsi="Bookman Old Style" w:cs="Arial"/>
          <w:i/>
          <w:vertAlign w:val="subscript"/>
          <w:lang w:val="es-CO"/>
        </w:rPr>
        <w:t>,j</w:t>
      </w:r>
      <w:proofErr w:type="spellEnd"/>
      <w:r w:rsidRPr="00180E68">
        <w:rPr>
          <w:rFonts w:ascii="Bookman Old Style" w:hAnsi="Bookman Old Style" w:cs="Arial"/>
          <w:i/>
          <w:lang w:val="es-CO"/>
        </w:rPr>
        <w:t xml:space="preserve">: </w:t>
      </w:r>
      <w:r w:rsidRPr="00180E68">
        <w:rPr>
          <w:rFonts w:ascii="Bookman Old Style" w:hAnsi="Bookman Old Style" w:cs="Arial"/>
          <w:bCs/>
          <w:lang w:val="es-CO"/>
        </w:rPr>
        <w:tab/>
      </w:r>
      <w:r w:rsidRPr="00180E68">
        <w:rPr>
          <w:rFonts w:ascii="Bookman Old Style" w:hAnsi="Bookman Old Style" w:cs="Arial"/>
          <w:lang w:val="es-CO"/>
        </w:rPr>
        <w:t xml:space="preserve">Saldo acumulado </w:t>
      </w:r>
      <w:r w:rsidR="00513E74" w:rsidRPr="00180E68">
        <w:rPr>
          <w:rFonts w:ascii="Bookman Old Style" w:hAnsi="Bookman Old Style" w:cs="Arial"/>
          <w:bCs/>
          <w:lang w:val="es-CO"/>
        </w:rPr>
        <w:t xml:space="preserve">pendiente por recuperar de la opción tarifaria del comercializador </w:t>
      </w:r>
      <w:r w:rsidR="00513E74" w:rsidRPr="00180E68">
        <w:rPr>
          <w:rFonts w:ascii="Bookman Old Style" w:hAnsi="Bookman Old Style" w:cs="Arial"/>
          <w:i/>
          <w:lang w:val="es-CO"/>
        </w:rPr>
        <w:t>i</w:t>
      </w:r>
      <w:r w:rsidR="00513E74" w:rsidRPr="00180E68">
        <w:rPr>
          <w:rFonts w:ascii="Bookman Old Style" w:hAnsi="Bookman Old Style" w:cs="Arial"/>
          <w:bCs/>
          <w:lang w:val="es-CO"/>
        </w:rPr>
        <w:t xml:space="preserve"> del mercado de comercialización </w:t>
      </w:r>
      <w:r w:rsidR="00513E74" w:rsidRPr="00180E68">
        <w:rPr>
          <w:rFonts w:ascii="Bookman Old Style" w:hAnsi="Bookman Old Style" w:cs="Arial"/>
          <w:i/>
          <w:lang w:val="es-CO"/>
        </w:rPr>
        <w:t>j</w:t>
      </w:r>
      <w:r w:rsidR="00513E74" w:rsidRPr="00180E68">
        <w:rPr>
          <w:rFonts w:ascii="Bookman Old Style" w:hAnsi="Bookman Old Style" w:cs="Arial"/>
          <w:bCs/>
          <w:lang w:val="es-CO"/>
        </w:rPr>
        <w:t xml:space="preserve"> del nivel de tensión </w:t>
      </w:r>
      <w:r w:rsidR="00513E74" w:rsidRPr="00180E68">
        <w:rPr>
          <w:rFonts w:ascii="Bookman Old Style" w:hAnsi="Bookman Old Style" w:cs="Arial"/>
          <w:bCs/>
          <w:i/>
          <w:iCs/>
          <w:lang w:val="es-CO"/>
        </w:rPr>
        <w:t xml:space="preserve">n </w:t>
      </w:r>
      <w:r w:rsidR="00513E74" w:rsidRPr="00180E68">
        <w:rPr>
          <w:rFonts w:ascii="Bookman Old Style" w:hAnsi="Bookman Old Style" w:cs="Arial"/>
          <w:lang w:val="es-CO"/>
        </w:rPr>
        <w:t>en el mes</w:t>
      </w:r>
      <w:r w:rsidR="00513E74" w:rsidRPr="00180E68">
        <w:rPr>
          <w:rFonts w:ascii="Bookman Old Style" w:hAnsi="Bookman Old Style" w:cs="Arial"/>
          <w:bCs/>
          <w:i/>
          <w:iCs/>
          <w:lang w:val="es-CO"/>
        </w:rPr>
        <w:t xml:space="preserve"> m.</w:t>
      </w:r>
      <w:r w:rsidR="00513E74" w:rsidRPr="00180E68">
        <w:rPr>
          <w:rFonts w:ascii="Bookman Old Style" w:hAnsi="Bookman Old Style" w:cs="Arial"/>
          <w:bCs/>
          <w:lang w:val="es-CO"/>
        </w:rPr>
        <w:t xml:space="preserve"> </w:t>
      </w:r>
    </w:p>
    <w:p w14:paraId="309740E7" w14:textId="162A204D" w:rsidR="001019AF" w:rsidRPr="00180E68" w:rsidRDefault="00513E74" w:rsidP="001019AF">
      <w:pPr>
        <w:widowControl w:val="0"/>
        <w:spacing w:before="200" w:after="200"/>
        <w:ind w:left="2836" w:right="47" w:hanging="1418"/>
        <w:jc w:val="both"/>
        <w:rPr>
          <w:rFonts w:ascii="Bookman Old Style" w:hAnsi="Bookman Old Style" w:cs="Arial"/>
          <w:lang w:val="es-CO"/>
        </w:rPr>
      </w:pPr>
      <w:r w:rsidRPr="00180E68">
        <w:rPr>
          <w:rFonts w:ascii="Bookman Old Style" w:hAnsi="Bookman Old Style" w:cs="Arial"/>
          <w:bCs/>
          <w:lang w:val="es-CO"/>
        </w:rPr>
        <w:tab/>
        <w:t>Este saldo debe ser calculado mensualmente disminuyendo la parte respectiva del capital pagado durante periodos anteriores.</w:t>
      </w:r>
    </w:p>
    <w:p w14:paraId="35A1B356" w14:textId="3340B213" w:rsidR="001019AF" w:rsidRPr="00180E68" w:rsidRDefault="001019AF" w:rsidP="001019AF">
      <w:pPr>
        <w:widowControl w:val="0"/>
        <w:spacing w:before="200" w:after="200"/>
        <w:ind w:left="2836" w:right="47" w:hanging="1418"/>
        <w:jc w:val="both"/>
        <w:rPr>
          <w:rFonts w:ascii="Bookman Old Style" w:hAnsi="Bookman Old Style" w:cs="Arial"/>
          <w:bCs/>
          <w:lang w:val="es-CO"/>
        </w:rPr>
      </w:pPr>
      <w:proofErr w:type="spellStart"/>
      <w:proofErr w:type="gramStart"/>
      <w:r w:rsidRPr="00180E68">
        <w:rPr>
          <w:rFonts w:ascii="Bookman Old Style" w:hAnsi="Bookman Old Style" w:cs="Arial"/>
          <w:bCs/>
          <w:i/>
          <w:iCs/>
          <w:lang w:val="es-CO"/>
        </w:rPr>
        <w:t>rOT</w:t>
      </w:r>
      <w:r w:rsidRPr="00180E68">
        <w:rPr>
          <w:rFonts w:ascii="Bookman Old Style" w:hAnsi="Bookman Old Style" w:cs="Arial"/>
          <w:bCs/>
          <w:i/>
          <w:iCs/>
          <w:vertAlign w:val="subscript"/>
          <w:lang w:val="es-CO"/>
        </w:rPr>
        <w:t>m,i</w:t>
      </w:r>
      <w:proofErr w:type="gramEnd"/>
      <w:r w:rsidRPr="00180E68">
        <w:rPr>
          <w:rFonts w:ascii="Bookman Old Style" w:hAnsi="Bookman Old Style" w:cs="Arial"/>
          <w:i/>
          <w:vertAlign w:val="subscript"/>
          <w:lang w:val="es-CO"/>
        </w:rPr>
        <w:t>,j</w:t>
      </w:r>
      <w:proofErr w:type="spellEnd"/>
      <w:r w:rsidRPr="00180E68">
        <w:rPr>
          <w:rFonts w:ascii="Bookman Old Style" w:hAnsi="Bookman Old Style" w:cs="Arial"/>
          <w:bCs/>
          <w:lang w:val="es-CO"/>
        </w:rPr>
        <w:t xml:space="preserve">: </w:t>
      </w:r>
      <w:r w:rsidRPr="00180E68">
        <w:rPr>
          <w:rFonts w:ascii="Bookman Old Style" w:hAnsi="Bookman Old Style" w:cs="Arial"/>
          <w:bCs/>
          <w:lang w:val="es-CO"/>
        </w:rPr>
        <w:tab/>
        <w:t xml:space="preserve">Tasa mensual para calcular el valor para la recuperación del saldo de la opción tarifaria del comercializador </w:t>
      </w:r>
      <w:r w:rsidRPr="00180E68">
        <w:rPr>
          <w:rFonts w:ascii="Bookman Old Style" w:hAnsi="Bookman Old Style" w:cs="Arial"/>
          <w:i/>
          <w:lang w:val="es-CO"/>
        </w:rPr>
        <w:t>i</w:t>
      </w:r>
      <w:r w:rsidRPr="00180E68">
        <w:rPr>
          <w:rFonts w:ascii="Bookman Old Style" w:hAnsi="Bookman Old Style" w:cs="Arial"/>
          <w:bCs/>
          <w:lang w:val="es-CO"/>
        </w:rPr>
        <w:t xml:space="preserve"> del mercado de comercialización </w:t>
      </w:r>
      <w:r w:rsidRPr="00180E68">
        <w:rPr>
          <w:rFonts w:ascii="Bookman Old Style" w:hAnsi="Bookman Old Style" w:cs="Arial"/>
          <w:i/>
          <w:lang w:val="es-CO"/>
        </w:rPr>
        <w:t>j</w:t>
      </w:r>
      <w:r w:rsidR="00726B84">
        <w:rPr>
          <w:rFonts w:ascii="Bookman Old Style" w:hAnsi="Bookman Old Style" w:cs="Arial"/>
          <w:i/>
          <w:lang w:val="es-CO"/>
        </w:rPr>
        <w:t xml:space="preserve">, </w:t>
      </w:r>
      <w:r w:rsidR="00726B84" w:rsidRPr="006B380B">
        <w:rPr>
          <w:rFonts w:ascii="Bookman Old Style" w:hAnsi="Bookman Old Style" w:cs="Arial"/>
          <w:iCs/>
          <w:lang w:val="es-CO"/>
        </w:rPr>
        <w:t xml:space="preserve">establecido en el numeral </w:t>
      </w:r>
      <w:r w:rsidR="00726B84" w:rsidRPr="006B380B">
        <w:rPr>
          <w:rFonts w:ascii="Bookman Old Style" w:hAnsi="Bookman Old Style" w:cs="Arial"/>
          <w:iCs/>
          <w:lang w:val="es-CO"/>
        </w:rPr>
        <w:fldChar w:fldCharType="begin"/>
      </w:r>
      <w:r w:rsidR="00726B84" w:rsidRPr="006B380B">
        <w:rPr>
          <w:rFonts w:ascii="Bookman Old Style" w:hAnsi="Bookman Old Style" w:cs="Arial"/>
          <w:iCs/>
          <w:lang w:val="es-CO"/>
        </w:rPr>
        <w:instrText xml:space="preserve"> REF _Ref152333833 \r \h </w:instrText>
      </w:r>
      <w:r w:rsidR="006B380B">
        <w:rPr>
          <w:rFonts w:ascii="Bookman Old Style" w:hAnsi="Bookman Old Style" w:cs="Arial"/>
          <w:iCs/>
          <w:lang w:val="es-CO"/>
        </w:rPr>
        <w:instrText xml:space="preserve"> \* MERGEFORMAT </w:instrText>
      </w:r>
      <w:r w:rsidR="00726B84" w:rsidRPr="006B380B">
        <w:rPr>
          <w:rFonts w:ascii="Bookman Old Style" w:hAnsi="Bookman Old Style" w:cs="Arial"/>
          <w:iCs/>
          <w:lang w:val="es-CO"/>
        </w:rPr>
      </w:r>
      <w:r w:rsidR="00726B84" w:rsidRPr="006B380B">
        <w:rPr>
          <w:rFonts w:ascii="Bookman Old Style" w:hAnsi="Bookman Old Style" w:cs="Arial"/>
          <w:iCs/>
          <w:lang w:val="es-CO"/>
        </w:rPr>
        <w:fldChar w:fldCharType="separate"/>
      </w:r>
      <w:r w:rsidR="00726B84" w:rsidRPr="006B380B">
        <w:rPr>
          <w:rFonts w:ascii="Bookman Old Style" w:hAnsi="Bookman Old Style" w:cs="Arial"/>
          <w:iCs/>
          <w:lang w:val="es-CO"/>
        </w:rPr>
        <w:t>4</w:t>
      </w:r>
      <w:r w:rsidR="00726B84" w:rsidRPr="006B380B">
        <w:rPr>
          <w:rFonts w:ascii="Bookman Old Style" w:hAnsi="Bookman Old Style" w:cs="Arial"/>
          <w:iCs/>
          <w:lang w:val="es-CO"/>
        </w:rPr>
        <w:fldChar w:fldCharType="end"/>
      </w:r>
      <w:r w:rsidRPr="00180E68">
        <w:rPr>
          <w:rFonts w:ascii="Bookman Old Style" w:hAnsi="Bookman Old Style" w:cs="Arial"/>
          <w:bCs/>
          <w:lang w:val="es-CO"/>
        </w:rPr>
        <w:t>.</w:t>
      </w:r>
    </w:p>
    <w:p w14:paraId="1769C6C8" w14:textId="7DC8B571" w:rsidR="001019AF" w:rsidRDefault="001019AF" w:rsidP="001019AF">
      <w:pPr>
        <w:widowControl w:val="0"/>
        <w:spacing w:before="200" w:after="200"/>
        <w:ind w:left="2836" w:right="47" w:hanging="1418"/>
        <w:jc w:val="both"/>
        <w:rPr>
          <w:rFonts w:ascii="Bookman Old Style" w:hAnsi="Bookman Old Style" w:cs="Arial"/>
          <w:bCs/>
          <w:lang w:val="es-CO"/>
        </w:rPr>
      </w:pPr>
      <w:proofErr w:type="spellStart"/>
      <w:proofErr w:type="gramStart"/>
      <w:r w:rsidRPr="00180E68">
        <w:rPr>
          <w:rFonts w:ascii="Bookman Old Style" w:hAnsi="Bookman Old Style" w:cs="Arial"/>
          <w:bCs/>
          <w:i/>
          <w:iCs/>
          <w:lang w:val="es-CO"/>
        </w:rPr>
        <w:t>ma</w:t>
      </w:r>
      <w:r w:rsidRPr="00180E68">
        <w:rPr>
          <w:rFonts w:ascii="Bookman Old Style" w:hAnsi="Bookman Old Style" w:cs="Arial"/>
          <w:bCs/>
          <w:i/>
          <w:iCs/>
          <w:vertAlign w:val="subscript"/>
          <w:lang w:val="es-CO"/>
        </w:rPr>
        <w:t>n,i</w:t>
      </w:r>
      <w:proofErr w:type="gramEnd"/>
      <w:r w:rsidRPr="00180E68">
        <w:rPr>
          <w:rFonts w:ascii="Bookman Old Style" w:hAnsi="Bookman Old Style" w:cs="Arial"/>
          <w:i/>
          <w:vertAlign w:val="subscript"/>
          <w:lang w:val="es-CO"/>
        </w:rPr>
        <w:t>,j</w:t>
      </w:r>
      <w:proofErr w:type="spellEnd"/>
      <w:r w:rsidRPr="00180E68">
        <w:rPr>
          <w:rFonts w:ascii="Bookman Old Style" w:hAnsi="Bookman Old Style" w:cs="Arial"/>
          <w:bCs/>
          <w:lang w:val="es-CO"/>
        </w:rPr>
        <w:t xml:space="preserve">: </w:t>
      </w:r>
      <w:r w:rsidRPr="00180E68">
        <w:rPr>
          <w:rFonts w:ascii="Bookman Old Style" w:hAnsi="Bookman Old Style" w:cs="Arial"/>
          <w:bCs/>
          <w:lang w:val="es-CO"/>
        </w:rPr>
        <w:tab/>
        <w:t xml:space="preserve">Meses de recuperación del saldo acumulado de la opción tarifaria del comercializador </w:t>
      </w:r>
      <w:r w:rsidRPr="00180E68">
        <w:rPr>
          <w:rFonts w:ascii="Bookman Old Style" w:hAnsi="Bookman Old Style" w:cs="Arial"/>
          <w:i/>
          <w:lang w:val="es-CO"/>
        </w:rPr>
        <w:t>i</w:t>
      </w:r>
      <w:r w:rsidRPr="00180E68">
        <w:rPr>
          <w:rFonts w:ascii="Bookman Old Style" w:hAnsi="Bookman Old Style" w:cs="Arial"/>
          <w:bCs/>
          <w:lang w:val="es-CO"/>
        </w:rPr>
        <w:t xml:space="preserve"> del mercado de comercialización </w:t>
      </w:r>
      <w:r w:rsidRPr="00180E68">
        <w:rPr>
          <w:rFonts w:ascii="Bookman Old Style" w:hAnsi="Bookman Old Style" w:cs="Arial"/>
          <w:i/>
          <w:lang w:val="es-CO"/>
        </w:rPr>
        <w:t>j</w:t>
      </w:r>
      <w:r w:rsidRPr="00180E68">
        <w:rPr>
          <w:rFonts w:ascii="Bookman Old Style" w:hAnsi="Bookman Old Style" w:cs="Arial"/>
          <w:bCs/>
          <w:lang w:val="es-CO"/>
        </w:rPr>
        <w:t xml:space="preserve">, en el nivel de tensión </w:t>
      </w:r>
      <w:r w:rsidRPr="00180E68">
        <w:rPr>
          <w:rFonts w:ascii="Bookman Old Style" w:hAnsi="Bookman Old Style" w:cs="Arial"/>
          <w:bCs/>
          <w:i/>
          <w:iCs/>
          <w:lang w:val="es-CO"/>
        </w:rPr>
        <w:t>n</w:t>
      </w:r>
      <w:r w:rsidRPr="00180E68">
        <w:rPr>
          <w:rFonts w:ascii="Bookman Old Style" w:hAnsi="Bookman Old Style" w:cs="Arial"/>
          <w:bCs/>
          <w:lang w:val="es-CO"/>
        </w:rPr>
        <w:t>. Esta variable no podrá ser superior a ciento veint</w:t>
      </w:r>
      <w:r w:rsidR="00EB3077" w:rsidRPr="00180E68">
        <w:rPr>
          <w:rFonts w:ascii="Bookman Old Style" w:hAnsi="Bookman Old Style" w:cs="Arial"/>
          <w:bCs/>
          <w:lang w:val="es-CO"/>
        </w:rPr>
        <w:t>e</w:t>
      </w:r>
      <w:r w:rsidRPr="00180E68">
        <w:rPr>
          <w:rFonts w:ascii="Bookman Old Style" w:hAnsi="Bookman Old Style" w:cs="Arial"/>
          <w:bCs/>
          <w:lang w:val="es-CO"/>
        </w:rPr>
        <w:t xml:space="preserve"> (12</w:t>
      </w:r>
      <w:r w:rsidR="00EB3077" w:rsidRPr="00180E68">
        <w:rPr>
          <w:rFonts w:ascii="Bookman Old Style" w:hAnsi="Bookman Old Style" w:cs="Arial"/>
          <w:bCs/>
          <w:lang w:val="es-CO"/>
        </w:rPr>
        <w:t>0</w:t>
      </w:r>
      <w:r w:rsidRPr="00180E68">
        <w:rPr>
          <w:rFonts w:ascii="Bookman Old Style" w:hAnsi="Bookman Old Style" w:cs="Arial"/>
          <w:bCs/>
          <w:lang w:val="es-CO"/>
        </w:rPr>
        <w:t>) meses.</w:t>
      </w:r>
    </w:p>
    <w:p w14:paraId="0BCEF470" w14:textId="53DE5D51" w:rsidR="0019714A" w:rsidRDefault="00786BA3" w:rsidP="00786BA3">
      <w:pPr>
        <w:widowControl w:val="0"/>
        <w:spacing w:before="200" w:after="200"/>
        <w:ind w:left="709" w:right="47"/>
        <w:jc w:val="both"/>
        <w:rPr>
          <w:rFonts w:ascii="Bookman Old Style" w:hAnsi="Bookman Old Style"/>
          <w:bCs/>
        </w:rPr>
      </w:pPr>
      <w:r>
        <w:rPr>
          <w:rFonts w:ascii="Bookman Old Style" w:hAnsi="Bookman Old Style"/>
          <w:bCs/>
        </w:rPr>
        <w:t>Con la aceptación del mutuo acuerdo por parte de un comercializador, este agente deberá informar a la SSPD y a la CREG</w:t>
      </w:r>
      <w:r w:rsidR="00C45D33">
        <w:rPr>
          <w:rFonts w:ascii="Bookman Old Style" w:hAnsi="Bookman Old Style"/>
          <w:bCs/>
        </w:rPr>
        <w:t xml:space="preserve">, en el término señalado en el </w:t>
      </w:r>
      <w:r w:rsidR="003502F6">
        <w:rPr>
          <w:rFonts w:ascii="Bookman Old Style" w:hAnsi="Bookman Old Style"/>
          <w:bCs/>
        </w:rPr>
        <w:fldChar w:fldCharType="begin"/>
      </w:r>
      <w:r w:rsidR="003502F6">
        <w:rPr>
          <w:rFonts w:ascii="Bookman Old Style" w:hAnsi="Bookman Old Style"/>
          <w:bCs/>
        </w:rPr>
        <w:instrText xml:space="preserve"> REF _Ref152314393 \r \h </w:instrText>
      </w:r>
      <w:r w:rsidR="003502F6">
        <w:rPr>
          <w:rFonts w:ascii="Bookman Old Style" w:hAnsi="Bookman Old Style"/>
          <w:bCs/>
        </w:rPr>
      </w:r>
      <w:r w:rsidR="003502F6">
        <w:rPr>
          <w:rFonts w:ascii="Bookman Old Style" w:hAnsi="Bookman Old Style"/>
          <w:bCs/>
        </w:rPr>
        <w:fldChar w:fldCharType="separate"/>
      </w:r>
      <w:r w:rsidR="003502F6">
        <w:rPr>
          <w:rFonts w:ascii="Bookman Old Style" w:hAnsi="Bookman Old Style"/>
          <w:bCs/>
        </w:rPr>
        <w:t>Artículo 3</w:t>
      </w:r>
      <w:r w:rsidR="003502F6">
        <w:rPr>
          <w:rFonts w:ascii="Bookman Old Style" w:hAnsi="Bookman Old Style"/>
          <w:bCs/>
        </w:rPr>
        <w:fldChar w:fldCharType="end"/>
      </w:r>
      <w:r w:rsidR="00C45D33">
        <w:rPr>
          <w:rFonts w:ascii="Bookman Old Style" w:hAnsi="Bookman Old Style"/>
          <w:bCs/>
        </w:rPr>
        <w:t xml:space="preserve"> de la presente resolución, </w:t>
      </w:r>
      <w:r>
        <w:rPr>
          <w:rFonts w:ascii="Bookman Old Style" w:hAnsi="Bookman Old Style"/>
          <w:bCs/>
        </w:rPr>
        <w:t xml:space="preserve">los valores iniciales de todas las variables de que trata este numeral. </w:t>
      </w:r>
    </w:p>
    <w:p w14:paraId="77346615" w14:textId="77777777" w:rsidR="00BD2E1F" w:rsidRDefault="00BD2E1F" w:rsidP="001500FB">
      <w:pPr>
        <w:pStyle w:val="Ttulo2"/>
      </w:pPr>
      <w:r w:rsidRPr="00BD2E1F">
        <w:t>Saldo acumulado al cierre de la opción tarifaria</w:t>
      </w:r>
    </w:p>
    <w:p w14:paraId="303D346F" w14:textId="77988495" w:rsidR="00BD2E1F" w:rsidRPr="00BD2E1F" w:rsidRDefault="00BD2E1F" w:rsidP="00BD2E1F">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 xml:space="preserve">Corresponde al valor de la variable </w:t>
      </w:r>
      <w:proofErr w:type="spellStart"/>
      <w:proofErr w:type="gramStart"/>
      <w:r w:rsidRPr="008B366D">
        <w:rPr>
          <w:rFonts w:ascii="Bookman Old Style" w:hAnsi="Bookman Old Style" w:cs="Arial"/>
          <w:i/>
          <w:lang w:val="es-CO"/>
        </w:rPr>
        <w:t>SA</w:t>
      </w:r>
      <w:r w:rsidRPr="008B366D">
        <w:rPr>
          <w:rFonts w:ascii="Bookman Old Style" w:hAnsi="Bookman Old Style" w:cs="Arial"/>
          <w:i/>
          <w:vertAlign w:val="subscript"/>
          <w:lang w:val="es-CO"/>
        </w:rPr>
        <w:t>n,m</w:t>
      </w:r>
      <w:proofErr w:type="gramEnd"/>
      <w:r w:rsidRPr="008B366D">
        <w:rPr>
          <w:rFonts w:ascii="Bookman Old Style" w:hAnsi="Bookman Old Style" w:cs="Arial"/>
          <w:i/>
          <w:vertAlign w:val="subscript"/>
          <w:lang w:val="es-CO"/>
        </w:rPr>
        <w:t>,i,j</w:t>
      </w:r>
      <w:proofErr w:type="spellEnd"/>
      <w:r w:rsidRPr="00BD2E1F">
        <w:rPr>
          <w:rFonts w:ascii="Bookman Old Style" w:hAnsi="Bookman Old Style" w:cs="Arial"/>
          <w:bCs/>
          <w:lang w:val="es-CO"/>
        </w:rPr>
        <w:t xml:space="preserve"> establecida en el artículo 2 de la Resolución CREG 012 de 2020 de cada mercado de comercialización </w:t>
      </w:r>
      <w:r w:rsidRPr="008B366D">
        <w:rPr>
          <w:rFonts w:ascii="Bookman Old Style" w:hAnsi="Bookman Old Style" w:cs="Arial"/>
          <w:i/>
          <w:lang w:val="es-CO"/>
        </w:rPr>
        <w:t>j</w:t>
      </w:r>
      <w:r w:rsidRPr="00BD2E1F">
        <w:rPr>
          <w:rFonts w:ascii="Bookman Old Style" w:hAnsi="Bookman Old Style" w:cs="Arial"/>
          <w:bCs/>
          <w:lang w:val="es-CO"/>
        </w:rPr>
        <w:t xml:space="preserve"> en el mes </w:t>
      </w:r>
      <w:r w:rsidRPr="008B366D">
        <w:rPr>
          <w:rFonts w:ascii="Bookman Old Style" w:hAnsi="Bookman Old Style" w:cs="Arial"/>
          <w:i/>
          <w:lang w:val="es-CO"/>
        </w:rPr>
        <w:t>m</w:t>
      </w:r>
      <w:r w:rsidRPr="00BD2E1F">
        <w:rPr>
          <w:rFonts w:ascii="Bookman Old Style" w:hAnsi="Bookman Old Style" w:cs="Arial"/>
          <w:bCs/>
          <w:lang w:val="es-CO"/>
        </w:rPr>
        <w:t xml:space="preserve"> en el </w:t>
      </w:r>
      <w:r w:rsidR="008B366D" w:rsidRPr="00BD2E1F">
        <w:rPr>
          <w:rFonts w:ascii="Bookman Old Style" w:hAnsi="Bookman Old Style" w:cs="Arial"/>
          <w:bCs/>
          <w:lang w:val="es-CO"/>
        </w:rPr>
        <w:t>cual</w:t>
      </w:r>
      <w:r w:rsidRPr="00BD2E1F">
        <w:rPr>
          <w:rFonts w:ascii="Bookman Old Style" w:hAnsi="Bookman Old Style" w:cs="Arial"/>
          <w:bCs/>
          <w:lang w:val="es-CO"/>
        </w:rPr>
        <w:t xml:space="preserve"> </w:t>
      </w:r>
      <w:r w:rsidR="007C4B74">
        <w:rPr>
          <w:rFonts w:ascii="Bookman Old Style" w:hAnsi="Bookman Old Style" w:cs="Arial"/>
          <w:bCs/>
          <w:lang w:val="es-CO"/>
        </w:rPr>
        <w:t xml:space="preserve">se </w:t>
      </w:r>
      <w:r w:rsidR="00FA238A">
        <w:rPr>
          <w:rFonts w:ascii="Bookman Old Style" w:hAnsi="Bookman Old Style" w:cs="Arial"/>
          <w:bCs/>
          <w:lang w:val="es-CO"/>
        </w:rPr>
        <w:t xml:space="preserve">acoge el mutuo acuerdo y se </w:t>
      </w:r>
      <w:r w:rsidR="007C4B74">
        <w:rPr>
          <w:rFonts w:ascii="Bookman Old Style" w:hAnsi="Bookman Old Style" w:cs="Arial"/>
          <w:bCs/>
          <w:lang w:val="es-CO"/>
        </w:rPr>
        <w:t xml:space="preserve">finaliza la opción tarifaria. </w:t>
      </w:r>
    </w:p>
    <w:p w14:paraId="37114318" w14:textId="0FF179CF" w:rsidR="00BD2E1F" w:rsidRPr="006F0F8C" w:rsidRDefault="00BD2E1F" w:rsidP="00BD2E1F">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Para su reconocimiento</w:t>
      </w:r>
      <w:r w:rsidR="00D55B52">
        <w:rPr>
          <w:rFonts w:ascii="Bookman Old Style" w:hAnsi="Bookman Old Style" w:cs="Arial"/>
          <w:bCs/>
          <w:lang w:val="es-CO"/>
        </w:rPr>
        <w:t xml:space="preserve"> y aplicación</w:t>
      </w:r>
      <w:r w:rsidRPr="00BD2E1F">
        <w:rPr>
          <w:rFonts w:ascii="Bookman Old Style" w:hAnsi="Bookman Old Style" w:cs="Arial"/>
          <w:bCs/>
          <w:lang w:val="es-CO"/>
        </w:rPr>
        <w:t xml:space="preserve">, este valor deberá ser </w:t>
      </w:r>
      <w:r w:rsidR="00AF75FD">
        <w:rPr>
          <w:rFonts w:ascii="Bookman Old Style" w:hAnsi="Bookman Old Style" w:cs="Arial"/>
          <w:bCs/>
          <w:lang w:val="es-CO"/>
        </w:rPr>
        <w:t xml:space="preserve">informado </w:t>
      </w:r>
      <w:r w:rsidRPr="00BD2E1F">
        <w:rPr>
          <w:rFonts w:ascii="Bookman Old Style" w:hAnsi="Bookman Old Style" w:cs="Arial"/>
          <w:bCs/>
          <w:lang w:val="es-CO"/>
        </w:rPr>
        <w:t xml:space="preserve">por el </w:t>
      </w:r>
      <w:r w:rsidRPr="006F0F8C">
        <w:rPr>
          <w:rFonts w:ascii="Bookman Old Style" w:hAnsi="Bookman Old Style" w:cs="Arial"/>
          <w:bCs/>
          <w:lang w:val="es-CO"/>
        </w:rPr>
        <w:t>comercializador a la CREG, con la siguiente información:</w:t>
      </w:r>
    </w:p>
    <w:p w14:paraId="2C47AF1C" w14:textId="2A4129B8" w:rsidR="00BD2E1F" w:rsidRPr="00A93AD0" w:rsidRDefault="00BD2E1F" w:rsidP="008B366D">
      <w:pPr>
        <w:pStyle w:val="Prrafodelista"/>
        <w:widowControl w:val="0"/>
        <w:numPr>
          <w:ilvl w:val="0"/>
          <w:numId w:val="37"/>
        </w:numPr>
        <w:spacing w:before="200" w:after="200"/>
        <w:ind w:left="1134" w:right="47"/>
        <w:jc w:val="both"/>
        <w:rPr>
          <w:rFonts w:ascii="Bookman Old Style" w:hAnsi="Bookman Old Style" w:cs="Arial"/>
          <w:bCs/>
          <w:sz w:val="24"/>
          <w:szCs w:val="24"/>
        </w:rPr>
      </w:pPr>
      <w:r w:rsidRPr="00A93AD0">
        <w:rPr>
          <w:rFonts w:ascii="Bookman Old Style" w:hAnsi="Bookman Old Style" w:cs="Arial"/>
          <w:bCs/>
          <w:sz w:val="24"/>
          <w:szCs w:val="24"/>
        </w:rPr>
        <w:t>Mes de inicio de aplicación de la opción tarifaria.</w:t>
      </w:r>
    </w:p>
    <w:p w14:paraId="55159246" w14:textId="20EA4EEA" w:rsidR="00BD2E1F" w:rsidRPr="00A93AD0" w:rsidRDefault="00BD2E1F" w:rsidP="008B366D">
      <w:pPr>
        <w:pStyle w:val="Prrafodelista"/>
        <w:widowControl w:val="0"/>
        <w:numPr>
          <w:ilvl w:val="0"/>
          <w:numId w:val="37"/>
        </w:numPr>
        <w:spacing w:before="200" w:after="200"/>
        <w:ind w:left="1134" w:right="47"/>
        <w:jc w:val="both"/>
        <w:rPr>
          <w:rFonts w:ascii="Bookman Old Style" w:hAnsi="Bookman Old Style" w:cs="Arial"/>
          <w:bCs/>
          <w:sz w:val="24"/>
          <w:szCs w:val="24"/>
        </w:rPr>
      </w:pPr>
      <w:r w:rsidRPr="00A93AD0">
        <w:rPr>
          <w:rFonts w:ascii="Bookman Old Style" w:hAnsi="Bookman Old Style" w:cs="Arial"/>
          <w:bCs/>
          <w:sz w:val="24"/>
          <w:szCs w:val="24"/>
        </w:rPr>
        <w:t>Valor del saldo acumulado mensualmente, desde el inicio de la aplicación de la opción tarifaria, en pesos.</w:t>
      </w:r>
    </w:p>
    <w:p w14:paraId="37995DBF" w14:textId="57E21D08" w:rsidR="00BD2E1F" w:rsidRPr="00A93AD0" w:rsidRDefault="00BD2E1F" w:rsidP="008B366D">
      <w:pPr>
        <w:pStyle w:val="Prrafodelista"/>
        <w:widowControl w:val="0"/>
        <w:numPr>
          <w:ilvl w:val="0"/>
          <w:numId w:val="37"/>
        </w:numPr>
        <w:spacing w:before="200" w:after="200"/>
        <w:ind w:left="1134" w:right="47"/>
        <w:jc w:val="both"/>
        <w:rPr>
          <w:rFonts w:ascii="Bookman Old Style" w:hAnsi="Bookman Old Style" w:cs="Arial"/>
          <w:bCs/>
          <w:sz w:val="24"/>
          <w:szCs w:val="24"/>
        </w:rPr>
      </w:pPr>
      <w:r w:rsidRPr="00A93AD0">
        <w:rPr>
          <w:rFonts w:ascii="Bookman Old Style" w:hAnsi="Bookman Old Style" w:cs="Arial"/>
          <w:bCs/>
          <w:sz w:val="24"/>
          <w:szCs w:val="24"/>
        </w:rPr>
        <w:t>Valor de los intereses causados mensualmente, desde el inicio de la aplicación de la opción tarifaria, en pesos.</w:t>
      </w:r>
    </w:p>
    <w:p w14:paraId="11AE4BD2" w14:textId="07C80941" w:rsidR="00BD2E1F" w:rsidRPr="00A93AD0" w:rsidRDefault="00BD2E1F" w:rsidP="008B366D">
      <w:pPr>
        <w:pStyle w:val="Prrafodelista"/>
        <w:widowControl w:val="0"/>
        <w:numPr>
          <w:ilvl w:val="0"/>
          <w:numId w:val="37"/>
        </w:numPr>
        <w:spacing w:before="200" w:after="200"/>
        <w:ind w:left="1134" w:right="47"/>
        <w:jc w:val="both"/>
        <w:rPr>
          <w:rFonts w:ascii="Bookman Old Style" w:hAnsi="Bookman Old Style" w:cs="Arial"/>
          <w:bCs/>
          <w:sz w:val="24"/>
          <w:szCs w:val="24"/>
        </w:rPr>
      </w:pPr>
      <w:r w:rsidRPr="00A93AD0">
        <w:rPr>
          <w:rFonts w:ascii="Bookman Old Style" w:hAnsi="Bookman Old Style" w:cs="Arial"/>
          <w:bCs/>
          <w:sz w:val="24"/>
          <w:szCs w:val="24"/>
        </w:rPr>
        <w:t xml:space="preserve">Tasa de interés aplicada mensualmente, desde el inicio de la aplicación de la opción tarifaria, en </w:t>
      </w:r>
      <w:r w:rsidR="00AD3C95" w:rsidRPr="00A93AD0">
        <w:rPr>
          <w:rFonts w:ascii="Bookman Old Style" w:hAnsi="Bookman Old Style" w:cs="Arial"/>
          <w:bCs/>
          <w:sz w:val="24"/>
          <w:szCs w:val="24"/>
        </w:rPr>
        <w:t xml:space="preserve">porcentaje y en </w:t>
      </w:r>
      <w:r w:rsidRPr="00A93AD0">
        <w:rPr>
          <w:rFonts w:ascii="Bookman Old Style" w:hAnsi="Bookman Old Style" w:cs="Arial"/>
          <w:bCs/>
          <w:sz w:val="24"/>
          <w:szCs w:val="24"/>
        </w:rPr>
        <w:t xml:space="preserve">pesos. </w:t>
      </w:r>
    </w:p>
    <w:p w14:paraId="669F6C30" w14:textId="17C6F485" w:rsidR="00BD2E1F" w:rsidRPr="00A93AD0" w:rsidRDefault="00BD2E1F" w:rsidP="008B366D">
      <w:pPr>
        <w:pStyle w:val="Prrafodelista"/>
        <w:widowControl w:val="0"/>
        <w:numPr>
          <w:ilvl w:val="0"/>
          <w:numId w:val="37"/>
        </w:numPr>
        <w:spacing w:before="200" w:after="200"/>
        <w:ind w:left="1134" w:right="47"/>
        <w:jc w:val="both"/>
        <w:rPr>
          <w:rFonts w:ascii="Bookman Old Style" w:hAnsi="Bookman Old Style" w:cs="Arial"/>
          <w:bCs/>
          <w:sz w:val="24"/>
          <w:szCs w:val="24"/>
        </w:rPr>
      </w:pPr>
      <w:r w:rsidRPr="00A93AD0">
        <w:rPr>
          <w:rFonts w:ascii="Bookman Old Style" w:hAnsi="Bookman Old Style" w:cs="Arial"/>
          <w:bCs/>
          <w:sz w:val="24"/>
          <w:szCs w:val="24"/>
        </w:rPr>
        <w:t>Saldos mensuales recuperados a la fecha de cierre de la opción tarifaria, desde el inicio de la aplicación de la opción tarifaria, en pesos.</w:t>
      </w:r>
    </w:p>
    <w:p w14:paraId="0D06506C" w14:textId="469F46EA" w:rsidR="00BD2E1F" w:rsidRPr="00A93AD0" w:rsidRDefault="00BD2E1F" w:rsidP="008B366D">
      <w:pPr>
        <w:pStyle w:val="Prrafodelista"/>
        <w:widowControl w:val="0"/>
        <w:numPr>
          <w:ilvl w:val="0"/>
          <w:numId w:val="37"/>
        </w:numPr>
        <w:spacing w:before="200" w:after="200"/>
        <w:ind w:left="1134" w:right="47"/>
        <w:jc w:val="both"/>
        <w:rPr>
          <w:rFonts w:ascii="Bookman Old Style" w:hAnsi="Bookman Old Style" w:cs="Arial"/>
          <w:bCs/>
          <w:sz w:val="24"/>
          <w:szCs w:val="24"/>
        </w:rPr>
      </w:pPr>
      <w:r w:rsidRPr="00A93AD0">
        <w:rPr>
          <w:rFonts w:ascii="Bookman Old Style" w:hAnsi="Bookman Old Style" w:cs="Arial"/>
          <w:bCs/>
          <w:sz w:val="24"/>
          <w:szCs w:val="24"/>
        </w:rPr>
        <w:t xml:space="preserve">Certificación del representante legal y revisor fiscal del valor del saldo acumulado a la fecha. </w:t>
      </w:r>
    </w:p>
    <w:p w14:paraId="1E327EF5" w14:textId="36E46DDA" w:rsidR="00D55B52" w:rsidRDefault="002D3884" w:rsidP="00BD2E1F">
      <w:pPr>
        <w:widowControl w:val="0"/>
        <w:spacing w:before="200" w:after="200"/>
        <w:ind w:left="709" w:right="47"/>
        <w:jc w:val="both"/>
        <w:rPr>
          <w:rFonts w:ascii="Bookman Old Style" w:hAnsi="Bookman Old Style" w:cs="Arial"/>
          <w:bCs/>
          <w:lang w:val="es-CO"/>
        </w:rPr>
      </w:pPr>
      <w:r>
        <w:rPr>
          <w:rFonts w:ascii="Bookman Old Style" w:hAnsi="Bookman Old Style" w:cs="Arial"/>
          <w:bCs/>
          <w:lang w:val="es-CO"/>
        </w:rPr>
        <w:t>E</w:t>
      </w:r>
      <w:r w:rsidR="00174C02" w:rsidRPr="006F0F8C">
        <w:rPr>
          <w:rFonts w:ascii="Bookman Old Style" w:hAnsi="Bookman Old Style" w:cs="Arial"/>
          <w:bCs/>
          <w:lang w:val="es-CO"/>
        </w:rPr>
        <w:t xml:space="preserve">l saldo acumulado </w:t>
      </w:r>
      <w:r w:rsidR="001E0710">
        <w:rPr>
          <w:rFonts w:ascii="Bookman Old Style" w:hAnsi="Bookman Old Style" w:cs="Arial"/>
          <w:bCs/>
          <w:lang w:val="es-CO"/>
        </w:rPr>
        <w:t xml:space="preserve">deberá </w:t>
      </w:r>
      <w:r w:rsidR="00174C02" w:rsidRPr="006F0F8C">
        <w:rPr>
          <w:rFonts w:ascii="Bookman Old Style" w:hAnsi="Bookman Old Style" w:cs="Arial"/>
          <w:bCs/>
          <w:lang w:val="es-CO"/>
        </w:rPr>
        <w:t>corresponde</w:t>
      </w:r>
      <w:r w:rsidR="001E0710">
        <w:rPr>
          <w:rFonts w:ascii="Bookman Old Style" w:hAnsi="Bookman Old Style" w:cs="Arial"/>
          <w:bCs/>
          <w:lang w:val="es-CO"/>
        </w:rPr>
        <w:t>r</w:t>
      </w:r>
      <w:r w:rsidR="00174C02">
        <w:rPr>
          <w:rFonts w:ascii="Bookman Old Style" w:hAnsi="Bookman Old Style" w:cs="Arial"/>
          <w:bCs/>
          <w:lang w:val="es-CO"/>
        </w:rPr>
        <w:t xml:space="preserve"> a</w:t>
      </w:r>
      <w:r w:rsidR="003A4B7B">
        <w:rPr>
          <w:rFonts w:ascii="Bookman Old Style" w:hAnsi="Bookman Old Style" w:cs="Arial"/>
          <w:bCs/>
          <w:lang w:val="es-CO"/>
        </w:rPr>
        <w:t>l reportado en el S</w:t>
      </w:r>
      <w:r w:rsidR="000B240E">
        <w:rPr>
          <w:rFonts w:ascii="Bookman Old Style" w:hAnsi="Bookman Old Style" w:cs="Arial"/>
          <w:bCs/>
          <w:lang w:val="es-CO"/>
        </w:rPr>
        <w:t xml:space="preserve">istema Único de Información, SUI, a la fecha de </w:t>
      </w:r>
      <w:r w:rsidR="000B240E" w:rsidRPr="0023320E">
        <w:rPr>
          <w:rFonts w:ascii="Bookman Old Style" w:hAnsi="Bookman Old Style" w:cs="Arial"/>
        </w:rPr>
        <w:t>aceptación del mutuo acuerdo por parte de un comercializador</w:t>
      </w:r>
      <w:r w:rsidR="00174C02">
        <w:rPr>
          <w:rFonts w:ascii="Bookman Old Style" w:hAnsi="Bookman Old Style" w:cs="Arial"/>
          <w:bCs/>
          <w:lang w:val="es-CO"/>
        </w:rPr>
        <w:t>.</w:t>
      </w:r>
    </w:p>
    <w:p w14:paraId="0A3A3546" w14:textId="6045154A" w:rsidR="005E7671" w:rsidRDefault="005E7671" w:rsidP="00BD2E1F">
      <w:pPr>
        <w:widowControl w:val="0"/>
        <w:spacing w:before="200" w:after="200"/>
        <w:ind w:left="709" w:right="47"/>
        <w:jc w:val="both"/>
        <w:rPr>
          <w:rFonts w:ascii="Bookman Old Style" w:hAnsi="Bookman Old Style" w:cs="Arial"/>
          <w:bCs/>
          <w:lang w:val="es-CO"/>
        </w:rPr>
      </w:pPr>
      <w:r>
        <w:rPr>
          <w:rFonts w:ascii="Bookman Old Style" w:hAnsi="Bookman Old Style" w:cs="Arial"/>
          <w:bCs/>
          <w:lang w:val="es-CO"/>
        </w:rPr>
        <w:lastRenderedPageBreak/>
        <w:t>Este saldo podrá ser ajustado, en función de</w:t>
      </w:r>
      <w:r w:rsidR="00821B89">
        <w:rPr>
          <w:rFonts w:ascii="Bookman Old Style" w:hAnsi="Bookman Old Style" w:cs="Arial"/>
          <w:bCs/>
          <w:lang w:val="es-CO"/>
        </w:rPr>
        <w:t xml:space="preserve"> </w:t>
      </w:r>
      <w:r>
        <w:rPr>
          <w:rFonts w:ascii="Bookman Old Style" w:hAnsi="Bookman Old Style" w:cs="Arial"/>
          <w:bCs/>
          <w:lang w:val="es-CO"/>
        </w:rPr>
        <w:t>l</w:t>
      </w:r>
      <w:r w:rsidR="00821B89">
        <w:rPr>
          <w:rFonts w:ascii="Bookman Old Style" w:hAnsi="Bookman Old Style" w:cs="Arial"/>
          <w:bCs/>
          <w:lang w:val="es-CO"/>
        </w:rPr>
        <w:t>a facturación de los distintos ciclos ejecutados por un comercializador</w:t>
      </w:r>
      <w:r w:rsidR="006F5968">
        <w:rPr>
          <w:rFonts w:ascii="Bookman Old Style" w:hAnsi="Bookman Old Style" w:cs="Arial"/>
          <w:bCs/>
          <w:lang w:val="es-CO"/>
        </w:rPr>
        <w:t xml:space="preserve">, cuyos valores finales deberán ser informados finalmente </w:t>
      </w:r>
      <w:r w:rsidR="000F4C4A">
        <w:rPr>
          <w:rFonts w:ascii="Bookman Old Style" w:hAnsi="Bookman Old Style" w:cs="Arial"/>
          <w:bCs/>
          <w:lang w:val="es-CO"/>
        </w:rPr>
        <w:t>a la CREG</w:t>
      </w:r>
      <w:r w:rsidR="00C45D33">
        <w:rPr>
          <w:rFonts w:ascii="Bookman Old Style" w:hAnsi="Bookman Old Style" w:cs="Arial"/>
          <w:bCs/>
          <w:lang w:val="es-CO"/>
        </w:rPr>
        <w:t>,</w:t>
      </w:r>
      <w:r w:rsidR="000F4C4A">
        <w:rPr>
          <w:rFonts w:ascii="Bookman Old Style" w:hAnsi="Bookman Old Style" w:cs="Arial"/>
          <w:bCs/>
          <w:lang w:val="es-CO"/>
        </w:rPr>
        <w:t xml:space="preserve"> </w:t>
      </w:r>
      <w:r w:rsidR="00974D36">
        <w:rPr>
          <w:rFonts w:ascii="Bookman Old Style" w:hAnsi="Bookman Old Style" w:cs="Arial"/>
          <w:bCs/>
          <w:lang w:val="es-CO"/>
        </w:rPr>
        <w:t xml:space="preserve">en un plazo máximo de cuatro meses </w:t>
      </w:r>
      <w:r w:rsidR="00F96C88">
        <w:rPr>
          <w:rFonts w:ascii="Bookman Old Style" w:hAnsi="Bookman Old Style" w:cs="Arial"/>
          <w:bCs/>
          <w:lang w:val="es-CO"/>
        </w:rPr>
        <w:t>contados a partir de la fecha de vigencia de la presente resolución</w:t>
      </w:r>
      <w:r w:rsidR="000F4C4A">
        <w:rPr>
          <w:rFonts w:ascii="Bookman Old Style" w:hAnsi="Bookman Old Style" w:cs="Arial"/>
          <w:bCs/>
          <w:lang w:val="es-CO"/>
        </w:rPr>
        <w:t>.</w:t>
      </w:r>
    </w:p>
    <w:p w14:paraId="04F3B442" w14:textId="67411BE4" w:rsidR="00D32119" w:rsidRDefault="00D32119" w:rsidP="00BD2E1F">
      <w:pPr>
        <w:widowControl w:val="0"/>
        <w:spacing w:before="200" w:after="200"/>
        <w:ind w:left="709" w:right="47"/>
        <w:jc w:val="both"/>
        <w:rPr>
          <w:rFonts w:ascii="Bookman Old Style" w:hAnsi="Bookman Old Style" w:cs="Arial"/>
          <w:bCs/>
          <w:lang w:val="es-CO"/>
        </w:rPr>
      </w:pPr>
      <w:r>
        <w:rPr>
          <w:rFonts w:ascii="Bookman Old Style" w:hAnsi="Bookman Old Style" w:cs="Arial"/>
          <w:bCs/>
          <w:lang w:val="es-CO"/>
        </w:rPr>
        <w:t xml:space="preserve">El máximo valor </w:t>
      </w:r>
      <w:r w:rsidR="007B00C1">
        <w:rPr>
          <w:rFonts w:ascii="Bookman Old Style" w:hAnsi="Bookman Old Style" w:cs="Arial"/>
          <w:bCs/>
          <w:lang w:val="es-CO"/>
        </w:rPr>
        <w:t>del saldo</w:t>
      </w:r>
      <w:r w:rsidR="00B32673">
        <w:rPr>
          <w:rFonts w:ascii="Bookman Old Style" w:hAnsi="Bookman Old Style" w:cs="Arial"/>
          <w:bCs/>
          <w:lang w:val="es-CO"/>
        </w:rPr>
        <w:t>, p</w:t>
      </w:r>
      <w:r w:rsidR="00B32673" w:rsidRPr="00BD2E1F">
        <w:rPr>
          <w:rFonts w:ascii="Bookman Old Style" w:hAnsi="Bookman Old Style" w:cs="Arial"/>
          <w:bCs/>
          <w:lang w:val="es-CO"/>
        </w:rPr>
        <w:t>ara su reconocimiento</w:t>
      </w:r>
      <w:r w:rsidR="00B32673">
        <w:rPr>
          <w:rFonts w:ascii="Bookman Old Style" w:hAnsi="Bookman Old Style" w:cs="Arial"/>
          <w:bCs/>
          <w:lang w:val="es-CO"/>
        </w:rPr>
        <w:t xml:space="preserve"> y aplicación,</w:t>
      </w:r>
      <w:r w:rsidR="007B00C1">
        <w:rPr>
          <w:rFonts w:ascii="Bookman Old Style" w:hAnsi="Bookman Old Style" w:cs="Arial"/>
          <w:bCs/>
          <w:lang w:val="es-CO"/>
        </w:rPr>
        <w:t xml:space="preserve"> es el</w:t>
      </w:r>
      <w:r w:rsidR="006D4F7C" w:rsidRPr="006D4F7C">
        <w:rPr>
          <w:rFonts w:ascii="Bookman Old Style" w:hAnsi="Bookman Old Style" w:cs="Arial"/>
          <w:bCs/>
          <w:lang w:val="es-CO"/>
        </w:rPr>
        <w:t xml:space="preserve"> reportado en SUI a la fecha de aceptación del mutuo acuerdo por parte de un comercializador </w:t>
      </w:r>
      <w:r>
        <w:rPr>
          <w:rFonts w:ascii="Bookman Old Style" w:hAnsi="Bookman Old Style" w:cs="Arial"/>
          <w:bCs/>
          <w:lang w:val="es-CO"/>
        </w:rPr>
        <w:t>y puede ser inferior en caso de que el prestador así lo considere.</w:t>
      </w:r>
    </w:p>
    <w:p w14:paraId="702A8ADB" w14:textId="703E9B4D" w:rsidR="009162C4" w:rsidRDefault="00BD2E1F" w:rsidP="001500FB">
      <w:pPr>
        <w:pStyle w:val="Ttulo2"/>
      </w:pPr>
      <w:bookmarkStart w:id="5" w:name="_Ref152333833"/>
      <w:r w:rsidRPr="00BD2E1F">
        <w:t xml:space="preserve">Tasa </w:t>
      </w:r>
      <w:r w:rsidR="00717063" w:rsidRPr="00717063">
        <w:t>para recuperación del saldo de la opción tarifaria</w:t>
      </w:r>
      <w:bookmarkEnd w:id="5"/>
      <w:r w:rsidR="004D6980">
        <w:t xml:space="preserve"> </w:t>
      </w:r>
    </w:p>
    <w:p w14:paraId="687BC750" w14:textId="5628D0F7" w:rsidR="001954CC" w:rsidRDefault="001954CC" w:rsidP="00BD2E1F">
      <w:pPr>
        <w:widowControl w:val="0"/>
        <w:spacing w:before="200" w:after="200"/>
        <w:ind w:left="709" w:right="47"/>
        <w:jc w:val="both"/>
        <w:rPr>
          <w:rFonts w:ascii="Bookman Old Style" w:hAnsi="Bookman Old Style" w:cs="Arial"/>
          <w:bCs/>
          <w:lang w:val="es-CO"/>
        </w:rPr>
      </w:pPr>
      <w:r w:rsidRPr="001954CC">
        <w:rPr>
          <w:rFonts w:ascii="Bookman Old Style" w:hAnsi="Bookman Old Style" w:cs="Arial"/>
          <w:bCs/>
          <w:lang w:val="es-CO"/>
        </w:rPr>
        <w:t>Tasa mensual para calcular el valor para la recuperación del saldo de la opción tarifaria</w:t>
      </w:r>
    </w:p>
    <w:p w14:paraId="50E96548" w14:textId="7082E443" w:rsidR="00BD2E1F" w:rsidRDefault="00BD2E1F" w:rsidP="00BD2E1F">
      <w:pPr>
        <w:widowControl w:val="0"/>
        <w:spacing w:before="200" w:after="200"/>
        <w:ind w:left="709" w:right="47"/>
        <w:jc w:val="both"/>
        <w:rPr>
          <w:rFonts w:ascii="Bookman Old Style" w:hAnsi="Bookman Old Style" w:cs="Arial"/>
          <w:bCs/>
          <w:lang w:val="es-CO"/>
        </w:rPr>
      </w:pPr>
      <w:r w:rsidRPr="00BD2E1F">
        <w:rPr>
          <w:rFonts w:ascii="Bookman Old Style" w:hAnsi="Bookman Old Style" w:cs="Arial"/>
          <w:bCs/>
          <w:lang w:val="es-CO"/>
        </w:rPr>
        <w:t xml:space="preserve">La tasa para determinar el cargo asociado con el saldo de la opción tarifaria se calcula </w:t>
      </w:r>
      <w:r w:rsidR="00475366">
        <w:rPr>
          <w:rFonts w:ascii="Bookman Old Style" w:hAnsi="Bookman Old Style" w:cs="Arial"/>
          <w:bCs/>
          <w:lang w:val="es-CO"/>
        </w:rPr>
        <w:t>de la siguiente manera</w:t>
      </w:r>
      <w:r w:rsidRPr="00BD2E1F">
        <w:rPr>
          <w:rFonts w:ascii="Bookman Old Style" w:hAnsi="Bookman Old Style" w:cs="Arial"/>
          <w:bCs/>
          <w:lang w:val="es-CO"/>
        </w:rPr>
        <w:t>:</w:t>
      </w:r>
    </w:p>
    <w:p w14:paraId="0572B06E" w14:textId="60CEAF48" w:rsidR="003A5DDB" w:rsidRDefault="00E723DB" w:rsidP="003A5DDB">
      <w:pPr>
        <w:widowControl w:val="0"/>
        <w:spacing w:before="200" w:after="200"/>
        <w:ind w:left="2127" w:right="47" w:hanging="1418"/>
        <w:jc w:val="both"/>
        <w:rPr>
          <w:rFonts w:ascii="Bookman Old Style" w:hAnsi="Bookman Old Style" w:cs="Arial"/>
          <w:bCs/>
          <w:lang w:val="es-CO"/>
        </w:rPr>
      </w:pPr>
      <w:proofErr w:type="spellStart"/>
      <w:proofErr w:type="gramStart"/>
      <w:r w:rsidRPr="00113D19">
        <w:rPr>
          <w:rFonts w:ascii="Bookman Old Style" w:hAnsi="Bookman Old Style" w:cs="Arial"/>
          <w:bCs/>
          <w:i/>
          <w:iCs/>
          <w:lang w:val="es-CO"/>
        </w:rPr>
        <w:t>r</w:t>
      </w:r>
      <w:r>
        <w:rPr>
          <w:rFonts w:ascii="Bookman Old Style" w:hAnsi="Bookman Old Style" w:cs="Arial"/>
          <w:bCs/>
          <w:i/>
          <w:iCs/>
          <w:lang w:val="es-CO"/>
        </w:rPr>
        <w:t>OT</w:t>
      </w:r>
      <w:r w:rsidR="00E42EBD" w:rsidRPr="00243BA1">
        <w:rPr>
          <w:rFonts w:ascii="Bookman Old Style" w:hAnsi="Bookman Old Style" w:cs="Arial"/>
          <w:bCs/>
          <w:i/>
          <w:iCs/>
          <w:vertAlign w:val="subscript"/>
          <w:lang w:val="es-CO"/>
        </w:rPr>
        <w:t>m,</w:t>
      </w:r>
      <w:r w:rsidRPr="00113D19">
        <w:rPr>
          <w:rFonts w:ascii="Bookman Old Style" w:hAnsi="Bookman Old Style" w:cs="Arial"/>
          <w:bCs/>
          <w:i/>
          <w:iCs/>
          <w:vertAlign w:val="subscript"/>
          <w:lang w:val="es-CO"/>
        </w:rPr>
        <w:t>i</w:t>
      </w:r>
      <w:proofErr w:type="gramEnd"/>
      <w:r w:rsidRPr="00113D19">
        <w:rPr>
          <w:rFonts w:ascii="Bookman Old Style" w:hAnsi="Bookman Old Style" w:cs="Arial"/>
          <w:bCs/>
          <w:i/>
          <w:iCs/>
          <w:vertAlign w:val="subscript"/>
          <w:lang w:val="es-CO"/>
        </w:rPr>
        <w:t>,j</w:t>
      </w:r>
      <w:proofErr w:type="spellEnd"/>
      <w:r w:rsidRPr="004F194D">
        <w:rPr>
          <w:rFonts w:ascii="Bookman Old Style" w:hAnsi="Bookman Old Style" w:cs="Arial"/>
          <w:bCs/>
          <w:lang w:val="es-CO"/>
        </w:rPr>
        <w:t xml:space="preserve">: </w:t>
      </w:r>
      <w:r w:rsidRPr="004F194D">
        <w:rPr>
          <w:rFonts w:ascii="Bookman Old Style" w:hAnsi="Bookman Old Style" w:cs="Arial"/>
          <w:bCs/>
          <w:lang w:val="es-CO"/>
        </w:rPr>
        <w:tab/>
      </w:r>
      <w:r w:rsidR="00F821DC" w:rsidRPr="004F194D">
        <w:rPr>
          <w:rFonts w:ascii="Bookman Old Style" w:hAnsi="Bookman Old Style" w:cs="Arial"/>
          <w:bCs/>
          <w:lang w:val="es-CO"/>
        </w:rPr>
        <w:t xml:space="preserve">Tasa </w:t>
      </w:r>
      <w:r w:rsidR="00F821DC">
        <w:rPr>
          <w:rFonts w:ascii="Bookman Old Style" w:hAnsi="Bookman Old Style" w:cs="Arial"/>
          <w:bCs/>
          <w:lang w:val="es-CO"/>
        </w:rPr>
        <w:t xml:space="preserve">mensual ponderada </w:t>
      </w:r>
      <w:r w:rsidR="005679FF">
        <w:rPr>
          <w:rFonts w:ascii="Bookman Old Style" w:hAnsi="Bookman Old Style" w:cs="Arial"/>
          <w:bCs/>
          <w:lang w:val="es-CO"/>
        </w:rPr>
        <w:t xml:space="preserve">por el saldo pendiente </w:t>
      </w:r>
      <w:r w:rsidR="00F821DC">
        <w:rPr>
          <w:rFonts w:ascii="Bookman Old Style" w:hAnsi="Bookman Old Style" w:cs="Arial"/>
          <w:bCs/>
          <w:lang w:val="es-CO"/>
        </w:rPr>
        <w:t xml:space="preserve">de los créditos obtenidos por el comercializador </w:t>
      </w:r>
      <w:r w:rsidR="00F821DC" w:rsidRPr="004B072E">
        <w:rPr>
          <w:rFonts w:ascii="Bookman Old Style" w:hAnsi="Bookman Old Style" w:cs="Arial"/>
          <w:bCs/>
          <w:i/>
          <w:iCs/>
          <w:lang w:val="es-CO"/>
        </w:rPr>
        <w:t>i</w:t>
      </w:r>
      <w:r w:rsidR="00F821DC" w:rsidRPr="004B072E">
        <w:rPr>
          <w:rFonts w:ascii="Bookman Old Style" w:hAnsi="Bookman Old Style" w:cs="Arial"/>
          <w:bCs/>
          <w:lang w:val="es-CO"/>
        </w:rPr>
        <w:t xml:space="preserve"> del mercado de comercialización </w:t>
      </w:r>
      <w:r w:rsidR="00F821DC" w:rsidRPr="004B072E">
        <w:rPr>
          <w:rFonts w:ascii="Bookman Old Style" w:hAnsi="Bookman Old Style" w:cs="Arial"/>
          <w:bCs/>
          <w:i/>
          <w:iCs/>
          <w:lang w:val="es-CO"/>
        </w:rPr>
        <w:t>j</w:t>
      </w:r>
      <w:r w:rsidR="006118CB">
        <w:rPr>
          <w:rFonts w:ascii="Bookman Old Style" w:hAnsi="Bookman Old Style" w:cs="Arial"/>
          <w:bCs/>
          <w:lang w:val="es-CO"/>
        </w:rPr>
        <w:t>,</w:t>
      </w:r>
      <w:r w:rsidR="00B84B08">
        <w:rPr>
          <w:rFonts w:ascii="Bookman Old Style" w:hAnsi="Bookman Old Style" w:cs="Arial"/>
          <w:bCs/>
          <w:lang w:val="es-CO"/>
        </w:rPr>
        <w:t xml:space="preserve"> </w:t>
      </w:r>
      <w:r w:rsidR="0075704D">
        <w:rPr>
          <w:rFonts w:ascii="Bookman Old Style" w:hAnsi="Bookman Old Style" w:cs="Arial"/>
          <w:bCs/>
          <w:lang w:val="es-CO"/>
        </w:rPr>
        <w:t xml:space="preserve">El </w:t>
      </w:r>
      <w:r w:rsidR="009B1373">
        <w:rPr>
          <w:rFonts w:ascii="Bookman Old Style" w:hAnsi="Bookman Old Style" w:cs="Arial"/>
          <w:bCs/>
          <w:lang w:val="es-CO"/>
        </w:rPr>
        <w:t>promedio ponderado</w:t>
      </w:r>
      <w:r w:rsidR="00B84B08" w:rsidRPr="00C70E1C">
        <w:rPr>
          <w:rFonts w:ascii="Bookman Old Style" w:hAnsi="Bookman Old Style" w:cs="Arial"/>
          <w:bCs/>
          <w:lang w:val="es-CO"/>
        </w:rPr>
        <w:t xml:space="preserve"> </w:t>
      </w:r>
      <w:r w:rsidR="00A520FE">
        <w:rPr>
          <w:rFonts w:ascii="Bookman Old Style" w:hAnsi="Bookman Old Style" w:cs="Arial"/>
          <w:bCs/>
          <w:lang w:val="es-CO"/>
        </w:rPr>
        <w:t>obtenido</w:t>
      </w:r>
      <w:r w:rsidR="00AD7379">
        <w:rPr>
          <w:rFonts w:ascii="Bookman Old Style" w:hAnsi="Bookman Old Style" w:cs="Arial"/>
          <w:bCs/>
          <w:lang w:val="es-CO"/>
        </w:rPr>
        <w:t xml:space="preserve"> no puede ser superior a la resultante de la variable </w:t>
      </w:r>
      <w:proofErr w:type="spellStart"/>
      <w:r w:rsidR="00CB72E6" w:rsidRPr="004C118E">
        <w:rPr>
          <w:rFonts w:ascii="Bookman Old Style" w:hAnsi="Bookman Old Style" w:cs="Arial"/>
          <w:bCs/>
          <w:i/>
          <w:iCs/>
          <w:lang w:val="es-CO"/>
        </w:rPr>
        <w:t>rEM</w:t>
      </w:r>
      <w:r w:rsidR="00CB72E6" w:rsidRPr="004C118E">
        <w:rPr>
          <w:rFonts w:ascii="Bookman Old Style" w:hAnsi="Bookman Old Style" w:cs="Arial"/>
          <w:bCs/>
          <w:i/>
          <w:iCs/>
          <w:vertAlign w:val="subscript"/>
          <w:lang w:val="es-CO"/>
        </w:rPr>
        <w:t>m</w:t>
      </w:r>
      <w:proofErr w:type="spellEnd"/>
      <w:r w:rsidR="00524824">
        <w:rPr>
          <w:rFonts w:ascii="Bookman Old Style" w:hAnsi="Bookman Old Style" w:cs="Arial"/>
          <w:bCs/>
          <w:lang w:val="es-CO"/>
        </w:rPr>
        <w:t xml:space="preserve"> definida </w:t>
      </w:r>
      <w:r w:rsidR="00F64149">
        <w:rPr>
          <w:rFonts w:ascii="Bookman Old Style" w:hAnsi="Bookman Old Style" w:cs="Arial"/>
          <w:bCs/>
          <w:lang w:val="es-CO"/>
        </w:rPr>
        <w:t>más adelante.</w:t>
      </w:r>
    </w:p>
    <w:p w14:paraId="0B3F61BD" w14:textId="213338FC" w:rsidR="003A5DDB" w:rsidRPr="00A93AD0" w:rsidRDefault="00276FC0" w:rsidP="00A93AD0">
      <w:pPr>
        <w:widowControl w:val="0"/>
        <w:spacing w:before="200" w:after="200"/>
        <w:ind w:left="2127" w:right="47"/>
        <w:jc w:val="both"/>
        <w:rPr>
          <w:rFonts w:ascii="Bookman Old Style" w:hAnsi="Bookman Old Style" w:cs="Arial"/>
          <w:bCs/>
          <w:lang w:val="es-CO"/>
        </w:rPr>
      </w:pPr>
      <w:r>
        <w:rPr>
          <w:rFonts w:ascii="Bookman Old Style" w:hAnsi="Bookman Old Style" w:cs="Arial"/>
          <w:bCs/>
          <w:lang w:val="es-CO"/>
        </w:rPr>
        <w:t xml:space="preserve">La </w:t>
      </w:r>
      <w:r w:rsidR="00D104DA">
        <w:rPr>
          <w:rFonts w:ascii="Bookman Old Style" w:hAnsi="Bookman Old Style" w:cs="Arial"/>
          <w:bCs/>
          <w:lang w:val="es-CO"/>
        </w:rPr>
        <w:t>t</w:t>
      </w:r>
      <w:r w:rsidR="003A5DDB" w:rsidRPr="00A93AD0">
        <w:rPr>
          <w:rFonts w:ascii="Bookman Old Style" w:hAnsi="Bookman Old Style" w:cs="Arial"/>
          <w:bCs/>
          <w:lang w:val="es-CO"/>
        </w:rPr>
        <w:t xml:space="preserve">asa de interés </w:t>
      </w:r>
      <w:r w:rsidR="00387109">
        <w:rPr>
          <w:rFonts w:ascii="Bookman Old Style" w:hAnsi="Bookman Old Style" w:cs="Arial"/>
          <w:bCs/>
          <w:lang w:val="es-CO"/>
        </w:rPr>
        <w:t>ponderada</w:t>
      </w:r>
      <w:r w:rsidR="003A5DDB" w:rsidRPr="00A93AD0">
        <w:rPr>
          <w:rFonts w:ascii="Bookman Old Style" w:hAnsi="Bookman Old Style" w:cs="Arial"/>
          <w:bCs/>
          <w:lang w:val="es-CO"/>
        </w:rPr>
        <w:t xml:space="preserve"> </w:t>
      </w:r>
      <w:r w:rsidR="009B1373">
        <w:rPr>
          <w:rFonts w:ascii="Bookman Old Style" w:hAnsi="Bookman Old Style" w:cs="Arial"/>
          <w:bCs/>
          <w:lang w:val="es-CO"/>
        </w:rPr>
        <w:t xml:space="preserve">de los créditos </w:t>
      </w:r>
      <w:r w:rsidR="00D104DA">
        <w:rPr>
          <w:rFonts w:ascii="Bookman Old Style" w:hAnsi="Bookman Old Style" w:cs="Arial"/>
          <w:bCs/>
          <w:lang w:val="es-CO"/>
        </w:rPr>
        <w:t xml:space="preserve">para financiar los saldos de la opción tarifaria </w:t>
      </w:r>
      <w:r w:rsidR="003A5DDB" w:rsidRPr="00A93AD0">
        <w:rPr>
          <w:rFonts w:ascii="Bookman Old Style" w:hAnsi="Bookman Old Style" w:cs="Arial"/>
          <w:bCs/>
          <w:lang w:val="es-CO"/>
        </w:rPr>
        <w:t xml:space="preserve">debe ser menor o igual al cálculo del promedio de las tasas de interés preferencial o corporativo, de los créditos comerciales vigentes de las últimas </w:t>
      </w:r>
      <w:r w:rsidR="00EC1656">
        <w:rPr>
          <w:rFonts w:ascii="Bookman Old Style" w:hAnsi="Bookman Old Style" w:cs="Arial"/>
          <w:bCs/>
          <w:lang w:val="es-CO"/>
        </w:rPr>
        <w:t>veintiséis (26)</w:t>
      </w:r>
      <w:r w:rsidR="003A5DDB" w:rsidRPr="00E4644A">
        <w:rPr>
          <w:rFonts w:ascii="Bookman Old Style" w:hAnsi="Bookman Old Style" w:cs="Arial"/>
          <w:bCs/>
          <w:lang w:val="es-CO"/>
        </w:rPr>
        <w:t xml:space="preserve"> </w:t>
      </w:r>
      <w:r w:rsidR="003A5DDB" w:rsidRPr="00A93AD0">
        <w:rPr>
          <w:rFonts w:ascii="Bookman Old Style" w:hAnsi="Bookman Old Style" w:cs="Arial"/>
          <w:bCs/>
          <w:lang w:val="es-CO"/>
        </w:rPr>
        <w:t>semanas previas al del cálculo de la tarifa a aplicar</w:t>
      </w:r>
      <w:r w:rsidR="004E30BC">
        <w:rPr>
          <w:rFonts w:ascii="Bookman Old Style" w:hAnsi="Bookman Old Style" w:cs="Arial"/>
          <w:bCs/>
          <w:lang w:val="es-CO"/>
        </w:rPr>
        <w:t>.</w:t>
      </w:r>
      <w:r w:rsidR="003A5DDB" w:rsidRPr="00A93AD0">
        <w:rPr>
          <w:rFonts w:ascii="Bookman Old Style" w:hAnsi="Bookman Old Style" w:cs="Arial"/>
          <w:bCs/>
          <w:lang w:val="es-CO"/>
        </w:rPr>
        <w:t xml:space="preserve"> </w:t>
      </w:r>
    </w:p>
    <w:p w14:paraId="62B133DB" w14:textId="1B89D666" w:rsidR="009B33B8" w:rsidRDefault="003A5DDB">
      <w:pPr>
        <w:widowControl w:val="0"/>
        <w:spacing w:before="200" w:after="200"/>
        <w:ind w:left="2127" w:right="47" w:hanging="1418"/>
        <w:jc w:val="both"/>
        <w:rPr>
          <w:rFonts w:ascii="Bookman Old Style" w:hAnsi="Bookman Old Style" w:cs="Arial"/>
          <w:bCs/>
          <w:lang w:val="es-CO"/>
        </w:rPr>
      </w:pPr>
      <w:r w:rsidRPr="00A93AD0">
        <w:rPr>
          <w:rFonts w:ascii="Bookman Old Style" w:hAnsi="Bookman Old Style" w:cs="Arial"/>
          <w:bCs/>
          <w:lang w:val="es-CO"/>
        </w:rPr>
        <w:tab/>
        <w:t xml:space="preserve">La fuente de información </w:t>
      </w:r>
      <w:r w:rsidR="004849AA">
        <w:rPr>
          <w:rFonts w:ascii="Bookman Old Style" w:hAnsi="Bookman Old Style" w:cs="Arial"/>
          <w:bCs/>
          <w:lang w:val="es-CO"/>
        </w:rPr>
        <w:t xml:space="preserve">para </w:t>
      </w:r>
      <w:r w:rsidR="004849AA" w:rsidRPr="00C70E1C">
        <w:rPr>
          <w:rFonts w:ascii="Bookman Old Style" w:hAnsi="Bookman Old Style" w:cs="Arial"/>
          <w:bCs/>
          <w:lang w:val="es-CO"/>
        </w:rPr>
        <w:t>las tasas de interés preferencial o corporativo</w:t>
      </w:r>
      <w:r w:rsidR="004849AA" w:rsidRPr="004849AA">
        <w:rPr>
          <w:rFonts w:ascii="Bookman Old Style" w:hAnsi="Bookman Old Style" w:cs="Arial"/>
          <w:bCs/>
          <w:lang w:val="es-CO"/>
        </w:rPr>
        <w:t xml:space="preserve"> </w:t>
      </w:r>
      <w:r w:rsidRPr="00A93AD0">
        <w:rPr>
          <w:rFonts w:ascii="Bookman Old Style" w:hAnsi="Bookman Old Style" w:cs="Arial"/>
          <w:bCs/>
          <w:lang w:val="es-CO"/>
        </w:rPr>
        <w:t>será la publicada por el Banco de la República.</w:t>
      </w:r>
    </w:p>
    <w:p w14:paraId="19953AF9" w14:textId="1FD8FEBC" w:rsidR="003A5DDB" w:rsidRPr="00A93AD0" w:rsidRDefault="003A5DDB" w:rsidP="00A93AD0">
      <w:pPr>
        <w:widowControl w:val="0"/>
        <w:spacing w:before="200" w:after="200"/>
        <w:ind w:left="2127" w:right="47"/>
        <w:jc w:val="both"/>
        <w:rPr>
          <w:rFonts w:ascii="Bookman Old Style" w:hAnsi="Bookman Old Style" w:cs="Arial"/>
          <w:bCs/>
          <w:lang w:val="es-CO"/>
        </w:rPr>
      </w:pPr>
      <w:r w:rsidRPr="00A93AD0">
        <w:rPr>
          <w:rFonts w:ascii="Bookman Old Style" w:hAnsi="Bookman Old Style" w:cs="Arial"/>
          <w:bCs/>
          <w:lang w:val="es-CO"/>
        </w:rPr>
        <w:t>La tasa efectiva anual publicada en la columna “Total establecimientos” deberá calcularse de manera mensual, para su aplicación, utilizando la siguiente expresión.</w:t>
      </w:r>
    </w:p>
    <w:p w14:paraId="0D04157D" w14:textId="77777777" w:rsidR="003A5DDB" w:rsidRDefault="005E00C2" w:rsidP="003A5DDB">
      <w:pPr>
        <w:spacing w:before="240" w:after="240"/>
        <w:ind w:left="2552"/>
        <w:jc w:val="both"/>
        <w:rPr>
          <w:rFonts w:ascii="Bookman Old Style" w:hAnsi="Bookman Old Style"/>
          <w:i/>
          <w:iCs/>
          <w:spacing w:val="-5"/>
          <w:sz w:val="28"/>
        </w:rPr>
      </w:pPr>
      <m:oMathPara>
        <m:oMathParaPr>
          <m:jc m:val="center"/>
        </m:oMathParaPr>
        <m:oMath>
          <m:sSub>
            <m:sSubPr>
              <m:ctrlPr>
                <w:rPr>
                  <w:rFonts w:ascii="Cambria Math" w:hAnsi="Cambria Math"/>
                  <w:i/>
                  <w:iCs/>
                  <w:spacing w:val="-5"/>
                  <w:sz w:val="28"/>
                  <w:szCs w:val="28"/>
                  <w:lang w:eastAsia="es-ES_tradnl"/>
                </w:rPr>
              </m:ctrlPr>
            </m:sSubPr>
            <m:e>
              <m:r>
                <w:rPr>
                  <w:rFonts w:ascii="Cambria Math" w:hAnsi="Cambria Math"/>
                  <w:spacing w:val="-5"/>
                  <w:sz w:val="28"/>
                </w:rPr>
                <m:t>r</m:t>
              </m:r>
            </m:e>
            <m:sub>
              <m:sSub>
                <m:sSubPr>
                  <m:ctrlPr>
                    <w:rPr>
                      <w:rFonts w:ascii="Cambria Math" w:hAnsi="Cambria Math"/>
                      <w:i/>
                      <w:iCs/>
                      <w:spacing w:val="-5"/>
                      <w:sz w:val="28"/>
                      <w:szCs w:val="28"/>
                      <w:lang w:eastAsia="es-ES_tradnl"/>
                    </w:rPr>
                  </m:ctrlPr>
                </m:sSubPr>
                <m:e>
                  <m:r>
                    <w:rPr>
                      <w:rFonts w:ascii="Cambria Math" w:hAnsi="Cambria Math"/>
                      <w:spacing w:val="-5"/>
                      <w:sz w:val="28"/>
                    </w:rPr>
                    <m:t>EM</m:t>
                  </m:r>
                </m:e>
                <m:sub>
                  <m:r>
                    <w:rPr>
                      <w:rFonts w:ascii="Cambria Math" w:hAnsi="Cambria Math"/>
                      <w:spacing w:val="-5"/>
                      <w:sz w:val="28"/>
                    </w:rPr>
                    <m:t>m</m:t>
                  </m:r>
                </m:sub>
              </m:sSub>
            </m:sub>
          </m:sSub>
          <m:r>
            <w:rPr>
              <w:rFonts w:ascii="Cambria Math" w:hAnsi="Cambria Math"/>
              <w:spacing w:val="-5"/>
              <w:sz w:val="28"/>
            </w:rPr>
            <m:t>=</m:t>
          </m:r>
          <m:sSup>
            <m:sSupPr>
              <m:ctrlPr>
                <w:rPr>
                  <w:rFonts w:ascii="Cambria Math" w:hAnsi="Cambria Math"/>
                  <w:i/>
                  <w:iCs/>
                  <w:spacing w:val="-5"/>
                  <w:sz w:val="28"/>
                  <w:szCs w:val="28"/>
                  <w:lang w:eastAsia="es-ES_tradnl"/>
                </w:rPr>
              </m:ctrlPr>
            </m:sSupPr>
            <m:e>
              <m:d>
                <m:dPr>
                  <m:ctrlPr>
                    <w:rPr>
                      <w:rFonts w:ascii="Cambria Math" w:hAnsi="Cambria Math"/>
                      <w:i/>
                      <w:iCs/>
                      <w:spacing w:val="-5"/>
                      <w:sz w:val="28"/>
                      <w:szCs w:val="28"/>
                      <w:lang w:eastAsia="es-ES_tradnl"/>
                    </w:rPr>
                  </m:ctrlPr>
                </m:dPr>
                <m:e>
                  <m:r>
                    <w:rPr>
                      <w:rFonts w:ascii="Cambria Math" w:hAnsi="Cambria Math"/>
                      <w:spacing w:val="-5"/>
                      <w:sz w:val="28"/>
                    </w:rPr>
                    <m:t>1+</m:t>
                  </m:r>
                  <m:sSub>
                    <m:sSubPr>
                      <m:ctrlPr>
                        <w:rPr>
                          <w:rFonts w:ascii="Cambria Math" w:hAnsi="Cambria Math"/>
                          <w:i/>
                          <w:iCs/>
                          <w:spacing w:val="-5"/>
                          <w:sz w:val="28"/>
                          <w:szCs w:val="28"/>
                          <w:lang w:eastAsia="es-ES_tradnl"/>
                        </w:rPr>
                      </m:ctrlPr>
                    </m:sSubPr>
                    <m:e>
                      <m:r>
                        <w:rPr>
                          <w:rFonts w:ascii="Cambria Math" w:hAnsi="Cambria Math"/>
                          <w:spacing w:val="-5"/>
                          <w:sz w:val="28"/>
                        </w:rPr>
                        <m:t>r</m:t>
                      </m:r>
                    </m:e>
                    <m:sub>
                      <m:sSub>
                        <m:sSubPr>
                          <m:ctrlPr>
                            <w:rPr>
                              <w:rFonts w:ascii="Cambria Math" w:hAnsi="Cambria Math"/>
                              <w:i/>
                              <w:iCs/>
                              <w:spacing w:val="-5"/>
                              <w:sz w:val="28"/>
                              <w:szCs w:val="28"/>
                              <w:lang w:eastAsia="es-ES_tradnl"/>
                            </w:rPr>
                          </m:ctrlPr>
                        </m:sSubPr>
                        <m:e>
                          <m:r>
                            <w:rPr>
                              <w:rFonts w:ascii="Cambria Math" w:hAnsi="Cambria Math"/>
                              <w:spacing w:val="-5"/>
                              <w:sz w:val="28"/>
                            </w:rPr>
                            <m:t>EA</m:t>
                          </m:r>
                        </m:e>
                        <m:sub>
                          <m:r>
                            <w:rPr>
                              <w:rFonts w:ascii="Cambria Math" w:hAnsi="Cambria Math"/>
                              <w:spacing w:val="-5"/>
                              <w:sz w:val="28"/>
                            </w:rPr>
                            <m:t>m</m:t>
                          </m:r>
                        </m:sub>
                      </m:sSub>
                    </m:sub>
                  </m:sSub>
                </m:e>
              </m:d>
            </m:e>
            <m:sup>
              <m:f>
                <m:fPr>
                  <m:ctrlPr>
                    <w:rPr>
                      <w:rFonts w:ascii="Cambria Math" w:hAnsi="Cambria Math"/>
                      <w:i/>
                      <w:iCs/>
                      <w:spacing w:val="-5"/>
                      <w:sz w:val="28"/>
                      <w:szCs w:val="28"/>
                      <w:lang w:eastAsia="es-ES_tradnl"/>
                    </w:rPr>
                  </m:ctrlPr>
                </m:fPr>
                <m:num>
                  <m:r>
                    <w:rPr>
                      <w:rFonts w:ascii="Cambria Math" w:hAnsi="Cambria Math"/>
                      <w:spacing w:val="-5"/>
                      <w:sz w:val="28"/>
                    </w:rPr>
                    <m:t>1</m:t>
                  </m:r>
                </m:num>
                <m:den>
                  <m:r>
                    <w:rPr>
                      <w:rFonts w:ascii="Cambria Math" w:hAnsi="Cambria Math"/>
                      <w:spacing w:val="-5"/>
                      <w:sz w:val="28"/>
                    </w:rPr>
                    <m:t>12</m:t>
                  </m:r>
                </m:den>
              </m:f>
            </m:sup>
          </m:sSup>
          <m:r>
            <w:rPr>
              <w:rFonts w:ascii="Cambria Math" w:hAnsi="Cambria Math"/>
              <w:spacing w:val="-5"/>
              <w:sz w:val="28"/>
            </w:rPr>
            <m:t>-1</m:t>
          </m:r>
        </m:oMath>
      </m:oMathPara>
    </w:p>
    <w:p w14:paraId="70B90445" w14:textId="77777777" w:rsidR="003A5DDB" w:rsidRDefault="003A5DDB" w:rsidP="003A5DDB">
      <w:pPr>
        <w:spacing w:before="240" w:after="240"/>
        <w:ind w:left="2552"/>
        <w:jc w:val="both"/>
        <w:rPr>
          <w:rFonts w:ascii="Bookman Old Style" w:hAnsi="Bookman Old Style"/>
          <w:i/>
          <w:iCs/>
          <w:spacing w:val="-5"/>
        </w:rPr>
      </w:pPr>
      <w:r>
        <w:rPr>
          <w:rFonts w:ascii="Bookman Old Style" w:hAnsi="Bookman Old Style"/>
          <w:i/>
          <w:iCs/>
          <w:spacing w:val="-5"/>
        </w:rPr>
        <w:t>Con:</w:t>
      </w:r>
    </w:p>
    <w:p w14:paraId="04E5BD30" w14:textId="77777777" w:rsidR="003A5DDB" w:rsidRDefault="003A5DDB" w:rsidP="003A5DDB">
      <w:pPr>
        <w:spacing w:before="240" w:after="240"/>
        <w:ind w:left="2552"/>
        <w:jc w:val="both"/>
        <w:rPr>
          <w:rFonts w:ascii="Bookman Old Style" w:hAnsi="Bookman Old Style"/>
          <w:i/>
          <w:iCs/>
          <w:spacing w:val="-5"/>
        </w:rPr>
      </w:pPr>
      <w:proofErr w:type="spellStart"/>
      <w:r>
        <w:rPr>
          <w:rFonts w:ascii="Bookman Old Style" w:hAnsi="Bookman Old Style"/>
          <w:i/>
          <w:iCs/>
          <w:spacing w:val="-5"/>
          <w:sz w:val="28"/>
        </w:rPr>
        <w:t>r</w:t>
      </w:r>
      <w:r>
        <w:rPr>
          <w:rFonts w:ascii="Bookman Old Style" w:hAnsi="Bookman Old Style"/>
          <w:i/>
          <w:iCs/>
          <w:spacing w:val="-5"/>
          <w:vertAlign w:val="subscript"/>
        </w:rPr>
        <w:t>EMm</w:t>
      </w:r>
      <w:proofErr w:type="spellEnd"/>
      <w:r>
        <w:rPr>
          <w:rFonts w:ascii="Bookman Old Style" w:hAnsi="Bookman Old Style"/>
          <w:i/>
          <w:iCs/>
          <w:spacing w:val="-5"/>
        </w:rPr>
        <w:t>:</w:t>
      </w:r>
      <w:r>
        <w:rPr>
          <w:rFonts w:ascii="Bookman Old Style" w:hAnsi="Bookman Old Style"/>
          <w:i/>
          <w:iCs/>
          <w:spacing w:val="-5"/>
        </w:rPr>
        <w:tab/>
        <w:t xml:space="preserve">Tasa mensual a aplicar en el mes m. </w:t>
      </w:r>
    </w:p>
    <w:p w14:paraId="531A95B0" w14:textId="7ED9820E" w:rsidR="00101259" w:rsidRPr="00A93AD0" w:rsidRDefault="003A5DDB" w:rsidP="00A93AD0">
      <w:pPr>
        <w:spacing w:before="240" w:after="240"/>
        <w:ind w:left="3536" w:hanging="984"/>
        <w:jc w:val="both"/>
        <w:rPr>
          <w:rFonts w:ascii="Bookman Old Style" w:hAnsi="Bookman Old Style" w:cs="Arial"/>
          <w:bCs/>
        </w:rPr>
      </w:pPr>
      <w:proofErr w:type="spellStart"/>
      <w:r>
        <w:rPr>
          <w:rFonts w:ascii="Bookman Old Style" w:hAnsi="Bookman Old Style"/>
          <w:i/>
          <w:iCs/>
          <w:spacing w:val="-5"/>
          <w:sz w:val="28"/>
        </w:rPr>
        <w:t>r</w:t>
      </w:r>
      <w:r>
        <w:rPr>
          <w:rFonts w:ascii="Bookman Old Style" w:hAnsi="Bookman Old Style"/>
          <w:i/>
          <w:iCs/>
          <w:spacing w:val="-5"/>
          <w:vertAlign w:val="subscript"/>
        </w:rPr>
        <w:t>EAm</w:t>
      </w:r>
      <w:proofErr w:type="spellEnd"/>
      <w:r>
        <w:rPr>
          <w:rFonts w:ascii="Bookman Old Style" w:hAnsi="Bookman Old Style"/>
          <w:i/>
          <w:iCs/>
          <w:spacing w:val="-5"/>
        </w:rPr>
        <w:t>:</w:t>
      </w:r>
      <w:r>
        <w:rPr>
          <w:rFonts w:ascii="Bookman Old Style" w:hAnsi="Bookman Old Style"/>
          <w:i/>
          <w:iCs/>
          <w:spacing w:val="-5"/>
        </w:rPr>
        <w:tab/>
      </w:r>
      <w:r>
        <w:rPr>
          <w:rFonts w:ascii="Bookman Old Style" w:hAnsi="Bookman Old Style"/>
          <w:i/>
          <w:iCs/>
          <w:spacing w:val="-5"/>
        </w:rPr>
        <w:tab/>
        <w:t>Tasa efectiva anual para calcular la tasa mensual a aplicar en el mes m.</w:t>
      </w:r>
    </w:p>
    <w:p w14:paraId="19E64349" w14:textId="3D35F0DA" w:rsidR="008644F8" w:rsidRDefault="008644F8" w:rsidP="001500FB">
      <w:pPr>
        <w:pStyle w:val="Ttulo2"/>
      </w:pPr>
      <w:r>
        <w:t xml:space="preserve">Liquidación de </w:t>
      </w:r>
      <w:r w:rsidR="00D82C2C">
        <w:t xml:space="preserve">ingresos </w:t>
      </w:r>
    </w:p>
    <w:p w14:paraId="24378F56" w14:textId="25781281" w:rsidR="00037748" w:rsidRPr="00C224F1" w:rsidRDefault="00037748" w:rsidP="00037748">
      <w:pPr>
        <w:widowControl w:val="0"/>
        <w:spacing w:before="200" w:after="200"/>
        <w:ind w:left="709" w:right="47"/>
        <w:jc w:val="both"/>
        <w:rPr>
          <w:rFonts w:ascii="Bookman Old Style" w:hAnsi="Bookman Old Style" w:cs="Arial"/>
          <w:bCs/>
        </w:rPr>
      </w:pPr>
      <w:r w:rsidRPr="00C224F1">
        <w:rPr>
          <w:rFonts w:ascii="Bookman Old Style" w:hAnsi="Bookman Old Style" w:cs="Arial"/>
          <w:bCs/>
        </w:rPr>
        <w:t xml:space="preserve">El Comité Asesor de Comercialización, CAC, en un plazo no superior a </w:t>
      </w:r>
      <w:r>
        <w:rPr>
          <w:rFonts w:ascii="Bookman Old Style" w:hAnsi="Bookman Old Style" w:cs="Arial"/>
          <w:bCs/>
        </w:rPr>
        <w:t>veinte</w:t>
      </w:r>
      <w:r w:rsidRPr="00C224F1">
        <w:rPr>
          <w:rFonts w:ascii="Bookman Old Style" w:hAnsi="Bookman Old Style" w:cs="Arial"/>
          <w:bCs/>
        </w:rPr>
        <w:t xml:space="preserve"> (</w:t>
      </w:r>
      <w:r>
        <w:rPr>
          <w:rFonts w:ascii="Bookman Old Style" w:hAnsi="Bookman Old Style" w:cs="Arial"/>
          <w:bCs/>
        </w:rPr>
        <w:t>20</w:t>
      </w:r>
      <w:r w:rsidRPr="00C224F1">
        <w:rPr>
          <w:rFonts w:ascii="Bookman Old Style" w:hAnsi="Bookman Old Style" w:cs="Arial"/>
          <w:bCs/>
        </w:rPr>
        <w:t xml:space="preserve">) días hábiles contados a partir de día siguiente al de publicación de la presente resolución, deberá enviar a la CREG una propuesta de </w:t>
      </w:r>
      <w:r w:rsidR="00BE47BB">
        <w:rPr>
          <w:rFonts w:ascii="Bookman Old Style" w:hAnsi="Bookman Old Style" w:cs="Arial"/>
          <w:bCs/>
        </w:rPr>
        <w:t xml:space="preserve">liquidación y </w:t>
      </w:r>
      <w:r w:rsidR="00BD0E00">
        <w:rPr>
          <w:rFonts w:ascii="Bookman Old Style" w:hAnsi="Bookman Old Style" w:cs="Arial"/>
          <w:bCs/>
        </w:rPr>
        <w:t>distribución</w:t>
      </w:r>
      <w:r w:rsidR="00AF33F6">
        <w:rPr>
          <w:rFonts w:ascii="Bookman Old Style" w:hAnsi="Bookman Old Style" w:cs="Arial"/>
          <w:bCs/>
        </w:rPr>
        <w:t>,</w:t>
      </w:r>
      <w:r w:rsidR="00BD0E00">
        <w:rPr>
          <w:rFonts w:ascii="Bookman Old Style" w:hAnsi="Bookman Old Style" w:cs="Arial"/>
          <w:bCs/>
        </w:rPr>
        <w:t xml:space="preserve"> entre comercializ</w:t>
      </w:r>
      <w:r w:rsidR="00E24D2A">
        <w:rPr>
          <w:rFonts w:ascii="Bookman Old Style" w:hAnsi="Bookman Old Style" w:cs="Arial"/>
          <w:bCs/>
        </w:rPr>
        <w:t>a</w:t>
      </w:r>
      <w:r w:rsidR="00BD0E00">
        <w:rPr>
          <w:rFonts w:ascii="Bookman Old Style" w:hAnsi="Bookman Old Style" w:cs="Arial"/>
          <w:bCs/>
        </w:rPr>
        <w:t>dores</w:t>
      </w:r>
      <w:r w:rsidR="00AF33F6">
        <w:rPr>
          <w:rFonts w:ascii="Bookman Old Style" w:hAnsi="Bookman Old Style" w:cs="Arial"/>
          <w:bCs/>
        </w:rPr>
        <w:t>,</w:t>
      </w:r>
      <w:r w:rsidR="00BD0E00">
        <w:rPr>
          <w:rFonts w:ascii="Bookman Old Style" w:hAnsi="Bookman Old Style" w:cs="Arial"/>
          <w:bCs/>
        </w:rPr>
        <w:t xml:space="preserve"> de </w:t>
      </w:r>
      <w:r w:rsidR="002B091A">
        <w:rPr>
          <w:rFonts w:ascii="Bookman Old Style" w:hAnsi="Bookman Old Style" w:cs="Arial"/>
          <w:bCs/>
        </w:rPr>
        <w:t xml:space="preserve">los </w:t>
      </w:r>
      <w:r w:rsidR="00612C27">
        <w:rPr>
          <w:rFonts w:ascii="Bookman Old Style" w:hAnsi="Bookman Old Style" w:cs="Arial"/>
          <w:bCs/>
        </w:rPr>
        <w:t xml:space="preserve">ingresos </w:t>
      </w:r>
      <w:r w:rsidR="00A6387C">
        <w:rPr>
          <w:rFonts w:ascii="Bookman Old Style" w:hAnsi="Bookman Old Style" w:cs="Arial"/>
          <w:bCs/>
        </w:rPr>
        <w:t xml:space="preserve">obtenidos por concepto de </w:t>
      </w:r>
      <w:r w:rsidRPr="00C224F1">
        <w:rPr>
          <w:rFonts w:ascii="Bookman Old Style" w:hAnsi="Bookman Old Style" w:cs="Arial"/>
          <w:bCs/>
        </w:rPr>
        <w:t xml:space="preserve">la recuperación del saldo de la opción tarifaria </w:t>
      </w:r>
      <w:r w:rsidRPr="00C224F1">
        <w:rPr>
          <w:rFonts w:ascii="Bookman Old Style" w:hAnsi="Bookman Old Style" w:cs="Arial"/>
          <w:bCs/>
        </w:rPr>
        <w:lastRenderedPageBreak/>
        <w:t>en un mercado determinado, con base en los siguientes lineamientos:</w:t>
      </w:r>
    </w:p>
    <w:p w14:paraId="02829BC8" w14:textId="23DB4987" w:rsidR="00037748" w:rsidRDefault="00145386" w:rsidP="00037748">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Pr>
          <w:rFonts w:ascii="Bookman Old Style" w:hAnsi="Bookman Old Style" w:cs="Arial"/>
          <w:bCs/>
          <w:sz w:val="24"/>
          <w:szCs w:val="24"/>
        </w:rPr>
        <w:t>Los saldos deberán ser distribuidos entre los comercializadores en un mismo mercado de comer</w:t>
      </w:r>
      <w:r w:rsidR="00C12F80">
        <w:rPr>
          <w:rFonts w:ascii="Bookman Old Style" w:hAnsi="Bookman Old Style" w:cs="Arial"/>
          <w:bCs/>
          <w:sz w:val="24"/>
          <w:szCs w:val="24"/>
        </w:rPr>
        <w:t>cialización que se hayan acogido a</w:t>
      </w:r>
      <w:r w:rsidR="00DD1A9B">
        <w:rPr>
          <w:rFonts w:ascii="Bookman Old Style" w:hAnsi="Bookman Old Style" w:cs="Arial"/>
          <w:bCs/>
          <w:sz w:val="24"/>
          <w:szCs w:val="24"/>
        </w:rPr>
        <w:t xml:space="preserve">l mutuo acuerdo </w:t>
      </w:r>
      <w:r w:rsidR="00723C95">
        <w:rPr>
          <w:rFonts w:ascii="Bookman Old Style" w:hAnsi="Bookman Old Style" w:cs="Arial"/>
          <w:bCs/>
          <w:sz w:val="24"/>
          <w:szCs w:val="24"/>
        </w:rPr>
        <w:t>en proporción a sus ventas en el mercado regulado.</w:t>
      </w:r>
      <w:r>
        <w:rPr>
          <w:rFonts w:ascii="Bookman Old Style" w:hAnsi="Bookman Old Style" w:cs="Arial"/>
          <w:bCs/>
          <w:sz w:val="24"/>
          <w:szCs w:val="24"/>
        </w:rPr>
        <w:t xml:space="preserve"> </w:t>
      </w:r>
    </w:p>
    <w:p w14:paraId="29517FCD" w14:textId="77777777" w:rsidR="00B02E0A" w:rsidRPr="00C224F1" w:rsidRDefault="00B02E0A" w:rsidP="00B02E0A">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sidRPr="00C224F1">
        <w:rPr>
          <w:rFonts w:ascii="Bookman Old Style" w:hAnsi="Bookman Old Style" w:cs="Arial"/>
          <w:bCs/>
          <w:sz w:val="24"/>
          <w:szCs w:val="24"/>
        </w:rPr>
        <w:t>La metodología deberá ser replicable por los agentes que se hayan acogido al mutuo acuerdo, para lo cual se debe considerar lo pertinente para el intercambio de información que se considere relevante para tal fin.</w:t>
      </w:r>
    </w:p>
    <w:p w14:paraId="59BAC525" w14:textId="2B9555BF" w:rsidR="00723C95" w:rsidRDefault="00957906" w:rsidP="00037748">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Pr>
          <w:rFonts w:ascii="Bookman Old Style" w:hAnsi="Bookman Old Style" w:cs="Arial"/>
          <w:bCs/>
          <w:sz w:val="24"/>
          <w:szCs w:val="24"/>
        </w:rPr>
        <w:t xml:space="preserve">El </w:t>
      </w:r>
      <w:r w:rsidR="001A3598">
        <w:rPr>
          <w:rFonts w:ascii="Bookman Old Style" w:hAnsi="Bookman Old Style" w:cs="Arial"/>
          <w:bCs/>
          <w:sz w:val="24"/>
          <w:szCs w:val="24"/>
        </w:rPr>
        <w:t>grav</w:t>
      </w:r>
      <w:r w:rsidR="00F11D9D">
        <w:rPr>
          <w:rFonts w:ascii="Bookman Old Style" w:hAnsi="Bookman Old Style" w:cs="Arial"/>
          <w:bCs/>
          <w:sz w:val="24"/>
          <w:szCs w:val="24"/>
        </w:rPr>
        <w:t>a</w:t>
      </w:r>
      <w:r w:rsidR="001A3598">
        <w:rPr>
          <w:rFonts w:ascii="Bookman Old Style" w:hAnsi="Bookman Old Style" w:cs="Arial"/>
          <w:bCs/>
          <w:sz w:val="24"/>
          <w:szCs w:val="24"/>
        </w:rPr>
        <w:t xml:space="preserve">men a los </w:t>
      </w:r>
      <w:r w:rsidR="00F11D9D">
        <w:rPr>
          <w:rFonts w:ascii="Bookman Old Style" w:hAnsi="Bookman Old Style" w:cs="Arial"/>
          <w:bCs/>
          <w:sz w:val="24"/>
          <w:szCs w:val="24"/>
        </w:rPr>
        <w:t xml:space="preserve">movimientos financieros </w:t>
      </w:r>
      <w:r w:rsidR="007D2407">
        <w:rPr>
          <w:rFonts w:ascii="Bookman Old Style" w:hAnsi="Bookman Old Style" w:cs="Arial"/>
          <w:bCs/>
          <w:sz w:val="24"/>
          <w:szCs w:val="24"/>
        </w:rPr>
        <w:t xml:space="preserve">que se causen por motivo de transacciones entre comercializadores podrá ser tenido en cuenta como parte de los saldos </w:t>
      </w:r>
      <w:r w:rsidR="00BF58C2">
        <w:rPr>
          <w:rFonts w:ascii="Bookman Old Style" w:hAnsi="Bookman Old Style" w:cs="Arial"/>
          <w:bCs/>
          <w:sz w:val="24"/>
          <w:szCs w:val="24"/>
        </w:rPr>
        <w:t>del comercial</w:t>
      </w:r>
      <w:r w:rsidR="00030D3E">
        <w:rPr>
          <w:rFonts w:ascii="Bookman Old Style" w:hAnsi="Bookman Old Style" w:cs="Arial"/>
          <w:bCs/>
          <w:sz w:val="24"/>
          <w:szCs w:val="24"/>
        </w:rPr>
        <w:t>i</w:t>
      </w:r>
      <w:r w:rsidR="00BF58C2">
        <w:rPr>
          <w:rFonts w:ascii="Bookman Old Style" w:hAnsi="Bookman Old Style" w:cs="Arial"/>
          <w:bCs/>
          <w:sz w:val="24"/>
          <w:szCs w:val="24"/>
        </w:rPr>
        <w:t xml:space="preserve">zador que </w:t>
      </w:r>
      <w:r w:rsidR="00030D3E">
        <w:rPr>
          <w:rFonts w:ascii="Bookman Old Style" w:hAnsi="Bookman Old Style" w:cs="Arial"/>
          <w:bCs/>
          <w:sz w:val="24"/>
          <w:szCs w:val="24"/>
        </w:rPr>
        <w:t>presente la mayor cantidad de meses de recuperación de su saldo.</w:t>
      </w:r>
      <w:r w:rsidR="00C70D84">
        <w:rPr>
          <w:rFonts w:ascii="Bookman Old Style" w:hAnsi="Bookman Old Style" w:cs="Arial"/>
          <w:bCs/>
          <w:sz w:val="24"/>
          <w:szCs w:val="24"/>
        </w:rPr>
        <w:t xml:space="preserve"> </w:t>
      </w:r>
    </w:p>
    <w:p w14:paraId="606DAB11" w14:textId="69424A27" w:rsidR="00030D3E" w:rsidRDefault="004F0F05" w:rsidP="00037748">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Pr>
          <w:rFonts w:ascii="Bookman Old Style" w:hAnsi="Bookman Old Style" w:cs="Arial"/>
          <w:bCs/>
          <w:sz w:val="24"/>
          <w:szCs w:val="24"/>
        </w:rPr>
        <w:t xml:space="preserve">Se deberán considerar liquidaciones periódicas </w:t>
      </w:r>
      <w:r w:rsidR="00523263">
        <w:rPr>
          <w:rFonts w:ascii="Bookman Old Style" w:hAnsi="Bookman Old Style" w:cs="Arial"/>
          <w:bCs/>
          <w:sz w:val="24"/>
          <w:szCs w:val="24"/>
        </w:rPr>
        <w:t xml:space="preserve">para efectos de </w:t>
      </w:r>
      <w:r w:rsidR="00CD5E19">
        <w:rPr>
          <w:rFonts w:ascii="Bookman Old Style" w:hAnsi="Bookman Old Style" w:cs="Arial"/>
          <w:bCs/>
          <w:sz w:val="24"/>
          <w:szCs w:val="24"/>
        </w:rPr>
        <w:t xml:space="preserve">revisar el cumplimiento </w:t>
      </w:r>
      <w:r w:rsidR="007B183C">
        <w:rPr>
          <w:rFonts w:ascii="Bookman Old Style" w:hAnsi="Bookman Old Style" w:cs="Arial"/>
          <w:bCs/>
          <w:sz w:val="24"/>
          <w:szCs w:val="24"/>
        </w:rPr>
        <w:t>de la recuperación del saldo y</w:t>
      </w:r>
      <w:r w:rsidR="00D7380B">
        <w:rPr>
          <w:rFonts w:ascii="Bookman Old Style" w:hAnsi="Bookman Old Style" w:cs="Arial"/>
          <w:bCs/>
          <w:sz w:val="24"/>
          <w:szCs w:val="24"/>
        </w:rPr>
        <w:t xml:space="preserve">, posiblemente, </w:t>
      </w:r>
      <w:r w:rsidR="00523263">
        <w:rPr>
          <w:rFonts w:ascii="Bookman Old Style" w:hAnsi="Bookman Old Style" w:cs="Arial"/>
          <w:bCs/>
          <w:sz w:val="24"/>
          <w:szCs w:val="24"/>
        </w:rPr>
        <w:t xml:space="preserve">ajustar el cálculo del </w:t>
      </w:r>
      <w:proofErr w:type="spellStart"/>
      <w:proofErr w:type="gramStart"/>
      <w:r w:rsidR="00523263" w:rsidRPr="00A93AD0">
        <w:rPr>
          <w:rFonts w:ascii="Bookman Old Style" w:hAnsi="Bookman Old Style" w:cs="Arial"/>
          <w:bCs/>
          <w:i/>
          <w:iCs/>
          <w:sz w:val="24"/>
          <w:szCs w:val="24"/>
        </w:rPr>
        <w:t>SAOT</w:t>
      </w:r>
      <w:r w:rsidR="00CF6639" w:rsidRPr="00A93AD0">
        <w:rPr>
          <w:rFonts w:ascii="Bookman Old Style" w:hAnsi="Bookman Old Style" w:cs="Arial"/>
          <w:bCs/>
          <w:i/>
          <w:iCs/>
          <w:sz w:val="24"/>
          <w:szCs w:val="24"/>
          <w:vertAlign w:val="subscript"/>
        </w:rPr>
        <w:t>i,j</w:t>
      </w:r>
      <w:proofErr w:type="gramEnd"/>
      <w:r w:rsidR="00CF6639" w:rsidRPr="00A93AD0">
        <w:rPr>
          <w:rFonts w:ascii="Bookman Old Style" w:hAnsi="Bookman Old Style" w:cs="Arial"/>
          <w:bCs/>
          <w:i/>
          <w:iCs/>
          <w:sz w:val="24"/>
          <w:szCs w:val="24"/>
          <w:vertAlign w:val="subscript"/>
        </w:rPr>
        <w:t>,m</w:t>
      </w:r>
      <w:proofErr w:type="spellEnd"/>
      <w:r w:rsidR="002E7772" w:rsidRPr="00A93AD0">
        <w:rPr>
          <w:rFonts w:ascii="Bookman Old Style" w:hAnsi="Bookman Old Style" w:cs="Arial"/>
          <w:bCs/>
          <w:i/>
          <w:iCs/>
          <w:sz w:val="24"/>
          <w:szCs w:val="24"/>
        </w:rPr>
        <w:t>,</w:t>
      </w:r>
      <w:r w:rsidR="00CF6639">
        <w:rPr>
          <w:rFonts w:ascii="Bookman Old Style" w:hAnsi="Bookman Old Style" w:cs="Arial"/>
          <w:bCs/>
          <w:sz w:val="24"/>
          <w:szCs w:val="24"/>
        </w:rPr>
        <w:t xml:space="preserve"> </w:t>
      </w:r>
      <w:r w:rsidR="002E7772">
        <w:rPr>
          <w:rFonts w:ascii="Bookman Old Style" w:hAnsi="Bookman Old Style" w:cs="Arial"/>
          <w:bCs/>
          <w:sz w:val="24"/>
          <w:szCs w:val="24"/>
        </w:rPr>
        <w:t>disminuyendo el plazo inicialmente considerado para la recuperación del saldo.</w:t>
      </w:r>
    </w:p>
    <w:p w14:paraId="6F4ACA27" w14:textId="24180BD6" w:rsidR="008B2EAE" w:rsidRDefault="00C20A6E" w:rsidP="00037748">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Pr>
          <w:rFonts w:ascii="Bookman Old Style" w:hAnsi="Bookman Old Style" w:cs="Arial"/>
          <w:bCs/>
          <w:sz w:val="24"/>
          <w:szCs w:val="24"/>
        </w:rPr>
        <w:t>Se debe definir el número de liquidaciones a realizar y su periodicidad, en proporción al número de meses para la recuperación de los saldos</w:t>
      </w:r>
      <w:r w:rsidR="00D87CA8">
        <w:rPr>
          <w:rFonts w:ascii="Bookman Old Style" w:hAnsi="Bookman Old Style" w:cs="Arial"/>
          <w:bCs/>
          <w:sz w:val="24"/>
          <w:szCs w:val="24"/>
        </w:rPr>
        <w:t xml:space="preserve">, donde se debe considerar, </w:t>
      </w:r>
      <w:r w:rsidR="00FD2B09">
        <w:rPr>
          <w:rFonts w:ascii="Bookman Old Style" w:hAnsi="Bookman Old Style" w:cs="Arial"/>
          <w:bCs/>
          <w:sz w:val="24"/>
          <w:szCs w:val="24"/>
        </w:rPr>
        <w:t>incluyendo</w:t>
      </w:r>
      <w:r w:rsidR="00D87CA8">
        <w:rPr>
          <w:rFonts w:ascii="Bookman Old Style" w:hAnsi="Bookman Old Style" w:cs="Arial"/>
          <w:bCs/>
          <w:sz w:val="24"/>
          <w:szCs w:val="24"/>
        </w:rPr>
        <w:t xml:space="preserve"> una liquidación al finalizar el periodo planteado para la recuperación del saldo establecido por el agente</w:t>
      </w:r>
      <w:r>
        <w:rPr>
          <w:rFonts w:ascii="Bookman Old Style" w:hAnsi="Bookman Old Style" w:cs="Arial"/>
          <w:bCs/>
          <w:sz w:val="24"/>
          <w:szCs w:val="24"/>
        </w:rPr>
        <w:t>.</w:t>
      </w:r>
    </w:p>
    <w:p w14:paraId="62B8BEAB" w14:textId="231F1D5C" w:rsidR="00D87CA8" w:rsidRDefault="00D87CA8" w:rsidP="00037748">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Pr>
          <w:rFonts w:ascii="Bookman Old Style" w:hAnsi="Bookman Old Style" w:cs="Arial"/>
          <w:bCs/>
          <w:sz w:val="24"/>
          <w:szCs w:val="24"/>
        </w:rPr>
        <w:t xml:space="preserve">Se podrán diseñar formatos para el reporte de información requerida para los cálculos </w:t>
      </w:r>
      <w:r w:rsidR="00A22602">
        <w:rPr>
          <w:rFonts w:ascii="Bookman Old Style" w:hAnsi="Bookman Old Style" w:cs="Arial"/>
          <w:bCs/>
          <w:sz w:val="24"/>
          <w:szCs w:val="24"/>
        </w:rPr>
        <w:t>asociados.</w:t>
      </w:r>
    </w:p>
    <w:p w14:paraId="5A685938" w14:textId="236D3625" w:rsidR="001860E7" w:rsidRDefault="001860E7" w:rsidP="00037748">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Pr>
          <w:rFonts w:ascii="Bookman Old Style" w:hAnsi="Bookman Old Style" w:cs="Arial"/>
          <w:bCs/>
          <w:sz w:val="24"/>
          <w:szCs w:val="24"/>
        </w:rPr>
        <w:t xml:space="preserve">Se deberán definir las </w:t>
      </w:r>
      <w:r w:rsidRPr="00495420">
        <w:rPr>
          <w:rFonts w:ascii="Bookman Old Style" w:hAnsi="Bookman Old Style" w:cs="Arial"/>
          <w:bCs/>
          <w:sz w:val="24"/>
          <w:szCs w:val="24"/>
        </w:rPr>
        <w:t>responsab</w:t>
      </w:r>
      <w:r>
        <w:rPr>
          <w:rFonts w:ascii="Bookman Old Style" w:hAnsi="Bookman Old Style" w:cs="Arial"/>
          <w:bCs/>
          <w:sz w:val="24"/>
          <w:szCs w:val="24"/>
        </w:rPr>
        <w:t xml:space="preserve">ilidades asociadas con </w:t>
      </w:r>
      <w:r w:rsidRPr="00495420">
        <w:rPr>
          <w:rFonts w:ascii="Bookman Old Style" w:hAnsi="Bookman Old Style" w:cs="Arial"/>
          <w:bCs/>
          <w:sz w:val="24"/>
          <w:szCs w:val="24"/>
        </w:rPr>
        <w:t xml:space="preserve">la </w:t>
      </w:r>
      <w:r>
        <w:rPr>
          <w:rFonts w:ascii="Bookman Old Style" w:hAnsi="Bookman Old Style" w:cs="Arial"/>
          <w:bCs/>
          <w:sz w:val="24"/>
          <w:szCs w:val="24"/>
        </w:rPr>
        <w:t xml:space="preserve">liquidación y </w:t>
      </w:r>
      <w:r w:rsidRPr="00495420">
        <w:rPr>
          <w:rFonts w:ascii="Bookman Old Style" w:hAnsi="Bookman Old Style" w:cs="Arial"/>
          <w:bCs/>
          <w:sz w:val="24"/>
          <w:szCs w:val="24"/>
        </w:rPr>
        <w:t>entrega de recursos, así como la fecha en la que se debe realizar</w:t>
      </w:r>
      <w:r>
        <w:rPr>
          <w:rFonts w:ascii="Bookman Old Style" w:hAnsi="Bookman Old Style" w:cs="Arial"/>
          <w:bCs/>
          <w:sz w:val="24"/>
          <w:szCs w:val="24"/>
        </w:rPr>
        <w:t xml:space="preserve">, considerando los requisitos que correspondan en cada caso para el cumplimiento de los </w:t>
      </w:r>
      <w:r w:rsidRPr="00D74E6D">
        <w:rPr>
          <w:rFonts w:ascii="Bookman Old Style" w:hAnsi="Bookman Old Style" w:cs="Arial"/>
          <w:sz w:val="24"/>
          <w:szCs w:val="24"/>
        </w:rPr>
        <w:t>requisitos</w:t>
      </w:r>
      <w:r>
        <w:rPr>
          <w:rFonts w:ascii="Bookman Old Style" w:hAnsi="Bookman Old Style" w:cs="Arial"/>
          <w:bCs/>
          <w:sz w:val="24"/>
          <w:szCs w:val="24"/>
        </w:rPr>
        <w:t xml:space="preserve"> legales.</w:t>
      </w:r>
    </w:p>
    <w:p w14:paraId="6BC7D604" w14:textId="36F65DF3" w:rsidR="00EB6AC6" w:rsidRDefault="00EB6AC6" w:rsidP="00037748">
      <w:pPr>
        <w:pStyle w:val="Prrafodelista"/>
        <w:widowControl w:val="0"/>
        <w:numPr>
          <w:ilvl w:val="0"/>
          <w:numId w:val="45"/>
        </w:numPr>
        <w:spacing w:before="200" w:after="200"/>
        <w:ind w:left="1134" w:right="47" w:hanging="283"/>
        <w:jc w:val="both"/>
        <w:rPr>
          <w:rFonts w:ascii="Bookman Old Style" w:hAnsi="Bookman Old Style" w:cs="Arial"/>
          <w:bCs/>
          <w:sz w:val="24"/>
          <w:szCs w:val="24"/>
        </w:rPr>
      </w:pPr>
      <w:r>
        <w:rPr>
          <w:rFonts w:ascii="Bookman Old Style" w:hAnsi="Bookman Old Style" w:cs="Arial"/>
          <w:bCs/>
          <w:sz w:val="24"/>
          <w:szCs w:val="24"/>
        </w:rPr>
        <w:t>Al finalizar el segundo mes calendario de cada año, el CAC deberá realizar un informe donde se detalle la evolución del esquema.</w:t>
      </w:r>
    </w:p>
    <w:p w14:paraId="763F5EDA" w14:textId="7DB6C5FE" w:rsidR="00827963" w:rsidRDefault="00827963" w:rsidP="00A93AD0">
      <w:pPr>
        <w:widowControl w:val="0"/>
        <w:spacing w:before="200" w:after="200"/>
        <w:ind w:left="709" w:right="47"/>
        <w:jc w:val="both"/>
        <w:rPr>
          <w:rFonts w:ascii="Bookman Old Style" w:hAnsi="Bookman Old Style" w:cs="Arial"/>
          <w:bCs/>
          <w:lang w:val="es-CO"/>
        </w:rPr>
      </w:pPr>
      <w:r>
        <w:rPr>
          <w:rFonts w:ascii="Bookman Old Style" w:hAnsi="Bookman Old Style"/>
          <w:bCs/>
        </w:rPr>
        <w:t xml:space="preserve">Con base en la propuesta de liquidación y distribución de ingresos </w:t>
      </w:r>
      <w:r w:rsidR="000A46F4">
        <w:rPr>
          <w:rFonts w:ascii="Bookman Old Style" w:hAnsi="Bookman Old Style" w:cs="Arial"/>
          <w:bCs/>
        </w:rPr>
        <w:t xml:space="preserve">obtenidos por concepto de </w:t>
      </w:r>
      <w:r w:rsidR="000A46F4" w:rsidRPr="00C224F1">
        <w:rPr>
          <w:rFonts w:ascii="Bookman Old Style" w:hAnsi="Bookman Old Style" w:cs="Arial"/>
          <w:bCs/>
        </w:rPr>
        <w:t>la recuperación del saldo de la opción tarifaria en un mercado determinado</w:t>
      </w:r>
      <w:r w:rsidR="0051453A">
        <w:rPr>
          <w:rFonts w:ascii="Bookman Old Style" w:hAnsi="Bookman Old Style" w:cs="Arial"/>
          <w:bCs/>
        </w:rPr>
        <w:t xml:space="preserve"> </w:t>
      </w:r>
      <w:r>
        <w:rPr>
          <w:rFonts w:ascii="Bookman Old Style" w:hAnsi="Bookman Old Style"/>
          <w:bCs/>
        </w:rPr>
        <w:t>enviada por el CAC, el Director Ejecutivo de la CREG publicará, mediante circular, el procedimiento aplicable para este efecto</w:t>
      </w:r>
      <w:r w:rsidR="00761382">
        <w:rPr>
          <w:rFonts w:ascii="Bookman Old Style" w:hAnsi="Bookman Old Style"/>
          <w:bCs/>
        </w:rPr>
        <w:t>, previa aprobación del Comité de Expertos</w:t>
      </w:r>
      <w:r>
        <w:rPr>
          <w:rFonts w:ascii="Bookman Old Style" w:hAnsi="Bookman Old Style"/>
          <w:bCs/>
        </w:rPr>
        <w:t>.</w:t>
      </w:r>
    </w:p>
    <w:p w14:paraId="6A6BAD0E" w14:textId="46E34A49" w:rsidR="005E00C2" w:rsidRPr="005E00C2" w:rsidRDefault="005E00C2" w:rsidP="005E00C2">
      <w:pPr>
        <w:widowControl w:val="0"/>
        <w:spacing w:before="200" w:after="200"/>
        <w:ind w:left="2127" w:right="47" w:hanging="1418"/>
        <w:jc w:val="both"/>
        <w:rPr>
          <w:rFonts w:ascii="Bookman Old Style" w:hAnsi="Bookman Old Style"/>
          <w:bCs/>
        </w:rPr>
      </w:pPr>
      <w:r w:rsidRPr="005E00C2">
        <w:rPr>
          <w:rFonts w:ascii="Bookman Old Style" w:hAnsi="Bookman Old Style"/>
          <w:bCs/>
        </w:rPr>
        <w:t xml:space="preserve">Dada en Bogotá, D.C., a los </w:t>
      </w:r>
      <w:r>
        <w:rPr>
          <w:rFonts w:ascii="Bookman Old Style" w:hAnsi="Bookman Old Style"/>
          <w:bCs/>
        </w:rPr>
        <w:t>24</w:t>
      </w:r>
      <w:r w:rsidRPr="005E00C2">
        <w:rPr>
          <w:rFonts w:ascii="Bookman Old Style" w:hAnsi="Bookman Old Style"/>
          <w:bCs/>
        </w:rPr>
        <w:t xml:space="preserve"> días del mes de </w:t>
      </w:r>
      <w:r>
        <w:rPr>
          <w:rFonts w:ascii="Bookman Old Style" w:hAnsi="Bookman Old Style"/>
          <w:bCs/>
        </w:rPr>
        <w:t xml:space="preserve">noviembre </w:t>
      </w:r>
      <w:r w:rsidRPr="005E00C2">
        <w:rPr>
          <w:rFonts w:ascii="Bookman Old Style" w:hAnsi="Bookman Old Style"/>
          <w:bCs/>
        </w:rPr>
        <w:t>de 2023</w:t>
      </w:r>
      <w:r w:rsidRPr="005E00C2">
        <w:rPr>
          <w:rFonts w:ascii="Bookman Old Style" w:hAnsi="Bookman Old Style"/>
          <w:bCs/>
        </w:rPr>
        <w:t>.</w:t>
      </w:r>
    </w:p>
    <w:p w14:paraId="1121A411" w14:textId="77777777" w:rsidR="005859C9" w:rsidRPr="007533E1" w:rsidRDefault="005859C9" w:rsidP="005859C9">
      <w:pPr>
        <w:ind w:left="0"/>
        <w:rPr>
          <w:rFonts w:ascii="Bookman Old Style" w:hAnsi="Bookman Old Style"/>
        </w:rPr>
      </w:pPr>
    </w:p>
    <w:tbl>
      <w:tblPr>
        <w:tblW w:w="10125" w:type="dxa"/>
        <w:jc w:val="center"/>
        <w:tblLayout w:type="fixed"/>
        <w:tblCellMar>
          <w:left w:w="70" w:type="dxa"/>
          <w:right w:w="70" w:type="dxa"/>
        </w:tblCellMar>
        <w:tblLook w:val="04A0" w:firstRow="1" w:lastRow="0" w:firstColumn="1" w:lastColumn="0" w:noHBand="0" w:noVBand="1"/>
      </w:tblPr>
      <w:tblGrid>
        <w:gridCol w:w="4869"/>
        <w:gridCol w:w="198"/>
        <w:gridCol w:w="4429"/>
        <w:gridCol w:w="629"/>
      </w:tblGrid>
      <w:tr w:rsidR="005859C9" w:rsidRPr="007533E1" w14:paraId="6DA9E783" w14:textId="77777777" w:rsidTr="00D74E6D">
        <w:trPr>
          <w:gridAfter w:val="1"/>
          <w:wAfter w:w="629" w:type="dxa"/>
          <w:jc w:val="center"/>
        </w:trPr>
        <w:tc>
          <w:tcPr>
            <w:tcW w:w="5067" w:type="dxa"/>
            <w:gridSpan w:val="2"/>
            <w:hideMark/>
          </w:tcPr>
          <w:p w14:paraId="529FD539" w14:textId="77777777" w:rsidR="005859C9" w:rsidRPr="007533E1" w:rsidRDefault="005859C9" w:rsidP="008E198C">
            <w:pPr>
              <w:tabs>
                <w:tab w:val="left" w:pos="-720"/>
              </w:tabs>
              <w:suppressAutoHyphens/>
              <w:ind w:left="0"/>
              <w:jc w:val="center"/>
              <w:rPr>
                <w:rFonts w:ascii="Bookman Old Style" w:hAnsi="Bookman Old Style" w:cs="Arial"/>
                <w:b/>
                <w:spacing w:val="-3"/>
              </w:rPr>
            </w:pPr>
            <w:r w:rsidRPr="007533E1">
              <w:rPr>
                <w:rFonts w:ascii="Bookman Old Style" w:hAnsi="Bookman Old Style" w:cs="Arial"/>
                <w:b/>
                <w:spacing w:val="-3"/>
              </w:rPr>
              <w:t>OMAR ANDRÉS CAMACHO MORALES</w:t>
            </w:r>
          </w:p>
          <w:p w14:paraId="58C3DC9F" w14:textId="77777777" w:rsidR="005859C9" w:rsidRPr="007533E1" w:rsidRDefault="005859C9" w:rsidP="008E198C">
            <w:pPr>
              <w:tabs>
                <w:tab w:val="left" w:pos="-720"/>
              </w:tabs>
              <w:suppressAutoHyphens/>
              <w:ind w:left="0"/>
              <w:jc w:val="center"/>
            </w:pPr>
            <w:r w:rsidRPr="007533E1">
              <w:rPr>
                <w:rFonts w:ascii="Bookman Old Style" w:hAnsi="Bookman Old Style"/>
              </w:rPr>
              <w:t>Ministro de Minas y Energía</w:t>
            </w:r>
            <w:r w:rsidRPr="007533E1">
              <w:t xml:space="preserve"> </w:t>
            </w:r>
          </w:p>
          <w:p w14:paraId="6CF3B5B2" w14:textId="77777777" w:rsidR="005859C9" w:rsidRPr="007533E1" w:rsidRDefault="005859C9" w:rsidP="008E198C">
            <w:pPr>
              <w:tabs>
                <w:tab w:val="left" w:pos="-720"/>
              </w:tabs>
              <w:suppressAutoHyphens/>
              <w:ind w:left="0"/>
              <w:jc w:val="center"/>
              <w:rPr>
                <w:rFonts w:ascii="Bookman Old Style" w:hAnsi="Bookman Old Style" w:cs="Arial"/>
                <w:b/>
                <w:strike/>
                <w:spacing w:val="-3"/>
              </w:rPr>
            </w:pPr>
            <w:r w:rsidRPr="007533E1">
              <w:rPr>
                <w:rFonts w:ascii="Bookman Old Style" w:hAnsi="Bookman Old Style"/>
              </w:rPr>
              <w:t>Presidente</w:t>
            </w:r>
          </w:p>
        </w:tc>
        <w:tc>
          <w:tcPr>
            <w:tcW w:w="4429" w:type="dxa"/>
            <w:hideMark/>
          </w:tcPr>
          <w:p w14:paraId="5C8E6A1E" w14:textId="77777777" w:rsidR="005859C9" w:rsidRDefault="005859C9" w:rsidP="008E198C">
            <w:pPr>
              <w:tabs>
                <w:tab w:val="left" w:pos="-720"/>
              </w:tabs>
              <w:suppressAutoHyphens/>
              <w:ind w:left="0"/>
              <w:jc w:val="center"/>
              <w:rPr>
                <w:rFonts w:ascii="Bookman Old Style" w:hAnsi="Bookman Old Style" w:cs="Arial"/>
                <w:b/>
              </w:rPr>
            </w:pPr>
            <w:r w:rsidRPr="00323C79">
              <w:rPr>
                <w:rFonts w:ascii="Bookman Old Style" w:hAnsi="Bookman Old Style" w:cs="Arial"/>
                <w:b/>
              </w:rPr>
              <w:t>OMAR FREDDY PR</w:t>
            </w:r>
            <w:r>
              <w:rPr>
                <w:rFonts w:ascii="Bookman Old Style" w:hAnsi="Bookman Old Style" w:cs="Arial"/>
                <w:b/>
              </w:rPr>
              <w:t>I</w:t>
            </w:r>
            <w:r w:rsidRPr="00323C79">
              <w:rPr>
                <w:rFonts w:ascii="Bookman Old Style" w:hAnsi="Bookman Old Style" w:cs="Arial"/>
                <w:b/>
              </w:rPr>
              <w:t>AS CAICEDO</w:t>
            </w:r>
          </w:p>
          <w:p w14:paraId="5E89F5DC" w14:textId="77777777" w:rsidR="005859C9" w:rsidRPr="007533E1" w:rsidRDefault="005859C9" w:rsidP="008E198C">
            <w:pPr>
              <w:tabs>
                <w:tab w:val="left" w:pos="-720"/>
              </w:tabs>
              <w:suppressAutoHyphens/>
              <w:ind w:left="0"/>
              <w:jc w:val="center"/>
              <w:rPr>
                <w:rFonts w:ascii="Bookman Old Style" w:hAnsi="Bookman Old Style" w:cs="Arial"/>
                <w:b/>
                <w:spacing w:val="-3"/>
              </w:rPr>
            </w:pPr>
            <w:r w:rsidRPr="007533E1">
              <w:rPr>
                <w:rFonts w:ascii="Bookman Old Style" w:hAnsi="Bookman Old Style" w:cs="Arial"/>
                <w:spacing w:val="-3"/>
              </w:rPr>
              <w:t>Director Ejecutiv</w:t>
            </w:r>
            <w:r>
              <w:rPr>
                <w:rFonts w:ascii="Bookman Old Style" w:hAnsi="Bookman Old Style" w:cs="Arial"/>
                <w:spacing w:val="-3"/>
              </w:rPr>
              <w:t>o</w:t>
            </w:r>
          </w:p>
        </w:tc>
      </w:tr>
      <w:tr w:rsidR="005859C9" w:rsidRPr="007533E1" w14:paraId="17F54801" w14:textId="77777777" w:rsidTr="00D74E6D">
        <w:tblPrEx>
          <w:jc w:val="right"/>
        </w:tblPrEx>
        <w:trPr>
          <w:jc w:val="right"/>
        </w:trPr>
        <w:tc>
          <w:tcPr>
            <w:tcW w:w="4869" w:type="dxa"/>
          </w:tcPr>
          <w:p w14:paraId="317292C5" w14:textId="77777777" w:rsidR="005859C9" w:rsidRPr="007533E1" w:rsidRDefault="005859C9" w:rsidP="008E198C">
            <w:pPr>
              <w:ind w:left="0"/>
              <w:rPr>
                <w:rFonts w:ascii="Bookman Old Style" w:hAnsi="Bookman Old Style" w:cs="Arial"/>
                <w:spacing w:val="-3"/>
                <w:lang w:val="es-ES_tradnl"/>
              </w:rPr>
            </w:pPr>
          </w:p>
        </w:tc>
        <w:tc>
          <w:tcPr>
            <w:tcW w:w="5256" w:type="dxa"/>
            <w:gridSpan w:val="3"/>
          </w:tcPr>
          <w:p w14:paraId="13755973" w14:textId="77777777" w:rsidR="005859C9" w:rsidRPr="007533E1" w:rsidRDefault="005859C9" w:rsidP="008E198C">
            <w:pPr>
              <w:rPr>
                <w:rFonts w:ascii="Bookman Old Style" w:hAnsi="Bookman Old Style" w:cs="Arial"/>
                <w:spacing w:val="-3"/>
                <w:lang w:val="es-ES_tradnl"/>
              </w:rPr>
            </w:pPr>
          </w:p>
        </w:tc>
      </w:tr>
    </w:tbl>
    <w:p w14:paraId="0CCAF45B" w14:textId="77777777" w:rsidR="005859C9" w:rsidRDefault="005859C9" w:rsidP="00F90754">
      <w:pPr>
        <w:widowControl w:val="0"/>
        <w:spacing w:before="200" w:after="200"/>
        <w:ind w:left="0" w:right="47"/>
        <w:jc w:val="both"/>
        <w:rPr>
          <w:rFonts w:ascii="Bookman Old Style" w:hAnsi="Bookman Old Style" w:cs="Arial"/>
          <w:bCs/>
          <w:lang w:val="es-CO"/>
        </w:rPr>
      </w:pPr>
    </w:p>
    <w:sectPr w:rsidR="005859C9" w:rsidSect="00EB244A">
      <w:headerReference w:type="default" r:id="rId16"/>
      <w:headerReference w:type="first" r:id="rId17"/>
      <w:type w:val="continuous"/>
      <w:pgSz w:w="12242" w:h="18722" w:code="123"/>
      <w:pgMar w:top="1035"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2D1D" w14:textId="77777777" w:rsidR="00861F7F" w:rsidRDefault="00861F7F">
      <w:r>
        <w:separator/>
      </w:r>
    </w:p>
  </w:endnote>
  <w:endnote w:type="continuationSeparator" w:id="0">
    <w:p w14:paraId="1198DCEF" w14:textId="77777777" w:rsidR="00861F7F" w:rsidRDefault="00861F7F">
      <w:r>
        <w:continuationSeparator/>
      </w:r>
    </w:p>
  </w:endnote>
  <w:endnote w:type="continuationNotice" w:id="1">
    <w:p w14:paraId="00D7B398" w14:textId="77777777" w:rsidR="00861F7F" w:rsidRDefault="00861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371F" w14:textId="77777777" w:rsidR="00861F7F" w:rsidRDefault="00861F7F">
      <w:r>
        <w:separator/>
      </w:r>
    </w:p>
  </w:footnote>
  <w:footnote w:type="continuationSeparator" w:id="0">
    <w:p w14:paraId="177C3AB9" w14:textId="77777777" w:rsidR="00861F7F" w:rsidRDefault="00861F7F">
      <w:r>
        <w:continuationSeparator/>
      </w:r>
    </w:p>
  </w:footnote>
  <w:footnote w:type="continuationNotice" w:id="1">
    <w:p w14:paraId="6AA93E29" w14:textId="77777777" w:rsidR="00861F7F" w:rsidRDefault="00861F7F"/>
  </w:footnote>
  <w:footnote w:id="2">
    <w:p w14:paraId="41CD63D0" w14:textId="69879147" w:rsidR="00D6262A" w:rsidRPr="00F22FED" w:rsidRDefault="00D6262A">
      <w:pPr>
        <w:pStyle w:val="Textonotapie"/>
        <w:rPr>
          <w:sz w:val="16"/>
          <w:szCs w:val="16"/>
          <w:lang w:val="es-CO"/>
        </w:rPr>
      </w:pPr>
      <w:r w:rsidRPr="00F22FED">
        <w:rPr>
          <w:rStyle w:val="Refdenotaalpie"/>
          <w:sz w:val="16"/>
          <w:szCs w:val="16"/>
        </w:rPr>
        <w:footnoteRef/>
      </w:r>
      <w:r w:rsidRPr="00F22FED">
        <w:rPr>
          <w:sz w:val="16"/>
          <w:szCs w:val="16"/>
          <w:lang w:val="es-CO"/>
        </w:rPr>
        <w:t xml:space="preserve"> </w:t>
      </w:r>
      <w:r w:rsidR="005E3593" w:rsidRPr="00F22FED">
        <w:rPr>
          <w:sz w:val="16"/>
          <w:szCs w:val="16"/>
          <w:lang w:val="es-CO"/>
        </w:rPr>
        <w:t xml:space="preserve">Como lo pueden ser cambios repentinos en los precios de la </w:t>
      </w:r>
      <w:r w:rsidR="00806B48" w:rsidRPr="00F22FED">
        <w:rPr>
          <w:sz w:val="16"/>
          <w:szCs w:val="16"/>
          <w:lang w:val="es-CO"/>
        </w:rPr>
        <w:t>energía</w:t>
      </w:r>
      <w:r w:rsidR="005E3593" w:rsidRPr="00F22FED">
        <w:rPr>
          <w:sz w:val="16"/>
          <w:szCs w:val="16"/>
          <w:lang w:val="es-CO"/>
        </w:rPr>
        <w:t xml:space="preserve"> en el mercado de energía mayorista, algunas veces relacionados co</w:t>
      </w:r>
      <w:r w:rsidR="00806B48" w:rsidRPr="00F22FED">
        <w:rPr>
          <w:sz w:val="16"/>
          <w:szCs w:val="16"/>
          <w:lang w:val="es-CO"/>
        </w:rPr>
        <w:t>n fenómenos meteorológicos como el fenómeno de</w:t>
      </w:r>
      <w:r w:rsidR="0094755E">
        <w:rPr>
          <w:sz w:val="16"/>
          <w:szCs w:val="16"/>
          <w:lang w:val="es-CO"/>
        </w:rPr>
        <w:t xml:space="preserve"> E</w:t>
      </w:r>
      <w:r w:rsidR="00806B48" w:rsidRPr="00F22FED">
        <w:rPr>
          <w:sz w:val="16"/>
          <w:szCs w:val="16"/>
          <w:lang w:val="es-CO"/>
        </w:rPr>
        <w:t xml:space="preserve">l </w:t>
      </w:r>
      <w:r w:rsidR="0094755E">
        <w:rPr>
          <w:sz w:val="16"/>
          <w:szCs w:val="16"/>
          <w:lang w:val="es-CO"/>
        </w:rPr>
        <w:t>N</w:t>
      </w:r>
      <w:r w:rsidR="0094755E" w:rsidRPr="00F22FED">
        <w:rPr>
          <w:sz w:val="16"/>
          <w:szCs w:val="16"/>
          <w:lang w:val="es-CO"/>
        </w:rPr>
        <w:t>iño</w:t>
      </w:r>
      <w:r w:rsidR="00806B48" w:rsidRPr="00F22FED">
        <w:rPr>
          <w:sz w:val="16"/>
          <w:szCs w:val="16"/>
          <w:lang w:val="es-CO"/>
        </w:rPr>
        <w:t>.</w:t>
      </w:r>
    </w:p>
  </w:footnote>
  <w:footnote w:id="3">
    <w:p w14:paraId="6C4AAD79" w14:textId="194F8FF7" w:rsidR="008C75E9" w:rsidRPr="00F22FED" w:rsidRDefault="008C75E9">
      <w:pPr>
        <w:pStyle w:val="Textonotapie"/>
        <w:rPr>
          <w:sz w:val="16"/>
          <w:szCs w:val="16"/>
          <w:lang w:val="es-CO"/>
        </w:rPr>
      </w:pPr>
      <w:r w:rsidRPr="00F22FED">
        <w:rPr>
          <w:sz w:val="16"/>
          <w:szCs w:val="16"/>
          <w:lang w:val="es-CO"/>
        </w:rPr>
        <w:footnoteRef/>
      </w:r>
      <w:r w:rsidRPr="00F22FED">
        <w:rPr>
          <w:sz w:val="16"/>
          <w:szCs w:val="16"/>
          <w:lang w:val="es-CO"/>
        </w:rPr>
        <w:t xml:space="preserve"> Los costos de distribución y transmisión de energía se </w:t>
      </w:r>
      <w:r w:rsidR="00DC3224" w:rsidRPr="00F22FED">
        <w:rPr>
          <w:sz w:val="16"/>
          <w:szCs w:val="16"/>
          <w:lang w:val="es-CO"/>
        </w:rPr>
        <w:t>calculan</w:t>
      </w:r>
      <w:r w:rsidRPr="00F22FED">
        <w:rPr>
          <w:sz w:val="16"/>
          <w:szCs w:val="16"/>
          <w:lang w:val="es-CO"/>
        </w:rPr>
        <w:t xml:space="preserve"> con base en metodologías que generalmente tienen vigencia por períodos </w:t>
      </w:r>
      <w:r w:rsidR="00DC3224" w:rsidRPr="00F22FED">
        <w:rPr>
          <w:sz w:val="16"/>
          <w:szCs w:val="16"/>
          <w:lang w:val="es-CO"/>
        </w:rPr>
        <w:t>de cinco años por lo que, cuando hay un cambio de metodología, frecuentemente varían los costos de estos componentes de manera importante.</w:t>
      </w:r>
    </w:p>
  </w:footnote>
  <w:footnote w:id="4">
    <w:p w14:paraId="29966B59" w14:textId="1B415CCB" w:rsidR="00CD645F" w:rsidRPr="00F22FED" w:rsidRDefault="00CD645F">
      <w:pPr>
        <w:pStyle w:val="Textonotapie"/>
        <w:rPr>
          <w:lang w:val="es-CO"/>
        </w:rPr>
      </w:pPr>
      <w:r w:rsidRPr="00F22FED">
        <w:rPr>
          <w:rStyle w:val="Refdenotaalpie"/>
          <w:sz w:val="16"/>
          <w:szCs w:val="16"/>
        </w:rPr>
        <w:footnoteRef/>
      </w:r>
      <w:r w:rsidRPr="00F22FED">
        <w:rPr>
          <w:sz w:val="16"/>
          <w:szCs w:val="16"/>
          <w:lang w:val="es-CO"/>
        </w:rPr>
        <w:t xml:space="preserve"> Cuando </w:t>
      </w:r>
      <w:r w:rsidR="00367C6D" w:rsidRPr="00F22FED">
        <w:rPr>
          <w:sz w:val="16"/>
          <w:szCs w:val="16"/>
          <w:lang w:val="es-CO"/>
        </w:rPr>
        <w:t>no se pueden utilizar algunas fracciones del sistema interconectado nacional para transportar energía a todos los rincones del país, bien sea por condiciones de orden público o condiciones operativas del sistema</w:t>
      </w:r>
      <w:r w:rsidR="00200531" w:rsidRPr="00F22FED">
        <w:rPr>
          <w:sz w:val="16"/>
          <w:szCs w:val="16"/>
          <w:lang w:val="es-CO"/>
        </w:rPr>
        <w:t>, se deben utilizar otras fuentes de energía más costosas para mantener la continuidad del servicio, lo que genera cambios en los costos.</w:t>
      </w:r>
    </w:p>
  </w:footnote>
  <w:footnote w:id="5">
    <w:p w14:paraId="6A5EB8F9" w14:textId="147C23B1" w:rsidR="009E3A2C" w:rsidRPr="00F22FED" w:rsidRDefault="009E3A2C" w:rsidP="009E3A2C">
      <w:pPr>
        <w:pStyle w:val="Textonotapie"/>
        <w:rPr>
          <w:lang w:val="es-CO"/>
        </w:rPr>
      </w:pPr>
      <w:r w:rsidRPr="00F22FED">
        <w:rPr>
          <w:rStyle w:val="Refdenotaalpie"/>
          <w:sz w:val="16"/>
          <w:szCs w:val="16"/>
        </w:rPr>
        <w:footnoteRef/>
      </w:r>
      <w:r w:rsidRPr="00F22FED">
        <w:rPr>
          <w:sz w:val="16"/>
          <w:szCs w:val="16"/>
          <w:lang w:val="es-CO"/>
        </w:rPr>
        <w:t xml:space="preserve"> Mediante la Resolución CREG 101-27 de 2022, modificada por la Resolución CREG 101-31 de 2022, la Comisión estableció medidas para que las empresas de manera voluntaria y temporal emplearan índices de ajuste de precios diferentes a los establecidos en la regulación vigente y de esta forma </w:t>
      </w:r>
      <w:r w:rsidR="003316EB">
        <w:rPr>
          <w:sz w:val="16"/>
          <w:szCs w:val="16"/>
          <w:lang w:val="es-CO"/>
        </w:rPr>
        <w:t>se redujera</w:t>
      </w:r>
      <w:r w:rsidRPr="00F22FED">
        <w:rPr>
          <w:sz w:val="16"/>
          <w:szCs w:val="16"/>
          <w:lang w:val="es-CO"/>
        </w:rPr>
        <w:t xml:space="preserve"> el impacto del crecimiento del IPP en el costo unitario de prestación del servicio. En la Resolución CREG 101-27 de 2022, también se ajustaron aspectos relacionados con la aplicación del porcentaje de variación mensual previsto en la metodología de la opción tarifaria definida en la Resolución CREG 012 de 2020.</w:t>
      </w:r>
    </w:p>
  </w:footnote>
  <w:footnote w:id="6">
    <w:p w14:paraId="7B49922B" w14:textId="797201B5" w:rsidR="001A76F3" w:rsidRPr="00F22FED" w:rsidRDefault="001A76F3">
      <w:pPr>
        <w:pStyle w:val="Textonotapie"/>
        <w:rPr>
          <w:sz w:val="16"/>
          <w:szCs w:val="16"/>
          <w:lang w:val="es-CO"/>
        </w:rPr>
      </w:pPr>
      <w:r w:rsidRPr="00F22FED">
        <w:rPr>
          <w:rStyle w:val="Refdenotaalpie"/>
          <w:sz w:val="16"/>
          <w:szCs w:val="16"/>
        </w:rPr>
        <w:footnoteRef/>
      </w:r>
      <w:r w:rsidRPr="00F22FED">
        <w:rPr>
          <w:sz w:val="16"/>
          <w:szCs w:val="16"/>
          <w:lang w:val="es-CO"/>
        </w:rPr>
        <w:t xml:space="preserve"> </w:t>
      </w:r>
      <w:r w:rsidR="00DA4480">
        <w:rPr>
          <w:sz w:val="16"/>
          <w:szCs w:val="16"/>
          <w:lang w:val="es-CO"/>
        </w:rPr>
        <w:t>En relación con las modificaciones por mutuo acuerdo, v</w:t>
      </w:r>
      <w:r w:rsidRPr="00F22FED">
        <w:rPr>
          <w:sz w:val="16"/>
          <w:szCs w:val="16"/>
          <w:lang w:val="es-CO"/>
        </w:rPr>
        <w:t xml:space="preserve">er entre otras, Resolución CREG </w:t>
      </w:r>
      <w:r w:rsidR="00572687" w:rsidRPr="00F22FED">
        <w:rPr>
          <w:sz w:val="16"/>
          <w:szCs w:val="16"/>
          <w:lang w:val="es-CO"/>
        </w:rPr>
        <w:t>023 de 2017</w:t>
      </w:r>
      <w:r w:rsidR="00953258" w:rsidRPr="00F22FED">
        <w:rPr>
          <w:sz w:val="16"/>
          <w:szCs w:val="16"/>
          <w:lang w:val="es-CO"/>
        </w:rPr>
        <w:t xml:space="preserve"> “Por la cual se resuelven las actuaciones administrativas iniciadas en virtud de lo establecido en el artículo 126 de la Ley 142 de 1994 para los cargos regulados establecidos mediante la Resolución CREG 166 de 2015”.</w:t>
      </w:r>
    </w:p>
  </w:footnote>
  <w:footnote w:id="7">
    <w:p w14:paraId="0FBD29BD" w14:textId="75F4A8E3" w:rsidR="00CD0BD9" w:rsidRPr="00DA259B" w:rsidRDefault="00CD0BD9">
      <w:pPr>
        <w:pStyle w:val="Textonotapie"/>
        <w:rPr>
          <w:sz w:val="16"/>
          <w:szCs w:val="16"/>
          <w:lang w:val="es-CO"/>
        </w:rPr>
      </w:pPr>
      <w:r w:rsidRPr="00F22FED">
        <w:rPr>
          <w:rStyle w:val="Refdenotaalpie"/>
          <w:sz w:val="16"/>
          <w:szCs w:val="16"/>
        </w:rPr>
        <w:footnoteRef/>
      </w:r>
      <w:r w:rsidRPr="00F22FED">
        <w:rPr>
          <w:sz w:val="16"/>
          <w:szCs w:val="16"/>
          <w:lang w:val="es-CO"/>
        </w:rPr>
        <w:t xml:space="preserve"> Corte Constitucional, Sentencia C-150 de 2003.</w:t>
      </w:r>
    </w:p>
  </w:footnote>
  <w:footnote w:id="8">
    <w:p w14:paraId="368E74A4" w14:textId="30AFFF69" w:rsidR="0063770E" w:rsidRPr="0063770E" w:rsidRDefault="0063770E">
      <w:pPr>
        <w:pStyle w:val="Textonotapie"/>
        <w:rPr>
          <w:lang w:val="es-CO"/>
        </w:rPr>
      </w:pPr>
      <w:r w:rsidRPr="007659B6">
        <w:rPr>
          <w:sz w:val="16"/>
          <w:szCs w:val="16"/>
          <w:lang w:val="es-CO"/>
        </w:rPr>
        <w:footnoteRef/>
      </w:r>
      <w:r w:rsidRPr="007659B6">
        <w:rPr>
          <w:sz w:val="16"/>
          <w:szCs w:val="16"/>
          <w:lang w:val="es-CO"/>
        </w:rPr>
        <w:t xml:space="preserve"> </w:t>
      </w:r>
      <w:r w:rsidR="00A647C9">
        <w:rPr>
          <w:sz w:val="16"/>
          <w:szCs w:val="16"/>
          <w:lang w:val="es-CO"/>
        </w:rPr>
        <w:t>T</w:t>
      </w:r>
      <w:r w:rsidR="006A6DE0">
        <w:rPr>
          <w:sz w:val="16"/>
          <w:szCs w:val="16"/>
          <w:lang w:val="es-CO"/>
        </w:rPr>
        <w:t>eniendo en cuenta la pérdida de</w:t>
      </w:r>
      <w:r w:rsidRPr="007659B6">
        <w:rPr>
          <w:sz w:val="16"/>
          <w:szCs w:val="16"/>
          <w:lang w:val="es-CO"/>
        </w:rPr>
        <w:t xml:space="preserve"> vigencia </w:t>
      </w:r>
      <w:r w:rsidR="006A6DE0">
        <w:rPr>
          <w:sz w:val="16"/>
          <w:szCs w:val="16"/>
          <w:lang w:val="es-CO"/>
        </w:rPr>
        <w:t xml:space="preserve">en </w:t>
      </w:r>
      <w:r w:rsidRPr="007659B6">
        <w:rPr>
          <w:sz w:val="16"/>
          <w:szCs w:val="16"/>
          <w:lang w:val="es-CO"/>
        </w:rPr>
        <w:t xml:space="preserve">la aplicación de las resoluciones CREG 101 </w:t>
      </w:r>
      <w:r w:rsidR="005B1258" w:rsidRPr="007659B6">
        <w:rPr>
          <w:sz w:val="16"/>
          <w:szCs w:val="16"/>
          <w:lang w:val="es-CO"/>
        </w:rPr>
        <w:t>027 y 031 de 2023</w:t>
      </w:r>
      <w:r w:rsidR="007659B6" w:rsidRPr="007659B6">
        <w:rPr>
          <w:sz w:val="16"/>
          <w:szCs w:val="16"/>
          <w:lang w:val="es-CO"/>
        </w:rPr>
        <w:t>.</w:t>
      </w:r>
    </w:p>
  </w:footnote>
  <w:footnote w:id="9">
    <w:p w14:paraId="3ED847B0" w14:textId="3E36A33A" w:rsidR="00BF2CF3" w:rsidRPr="006C2037" w:rsidRDefault="00BF2CF3">
      <w:pPr>
        <w:pStyle w:val="Textonotapie"/>
        <w:rPr>
          <w:sz w:val="16"/>
          <w:szCs w:val="16"/>
          <w:lang w:val="es-MX"/>
        </w:rPr>
      </w:pPr>
      <w:r>
        <w:rPr>
          <w:rStyle w:val="Refdenotaalpie"/>
        </w:rPr>
        <w:footnoteRef/>
      </w:r>
      <w:r w:rsidRPr="00A93AD0">
        <w:rPr>
          <w:lang w:val="es-CO"/>
        </w:rPr>
        <w:t xml:space="preserve"> </w:t>
      </w:r>
      <w:r w:rsidR="00734DE7">
        <w:rPr>
          <w:sz w:val="16"/>
          <w:szCs w:val="16"/>
          <w:lang w:val="es-CO"/>
        </w:rPr>
        <w:t>C</w:t>
      </w:r>
      <w:r w:rsidR="008C583F" w:rsidRPr="006C2037">
        <w:rPr>
          <w:sz w:val="16"/>
          <w:szCs w:val="16"/>
          <w:lang w:val="es-CO"/>
        </w:rPr>
        <w:t>omo la compra de energía ya sea a través de contratos o de la bolsa de energía, obligaciones de participación en el mercado mayorista (ej. cumplimiento de garantías, capacidad de respaldo, cargo), el pago de los cargos de distribución y/o transmisión que recauda</w:t>
      </w:r>
      <w:r w:rsidR="006C2037">
        <w:rPr>
          <w:sz w:val="16"/>
          <w:szCs w:val="16"/>
          <w:lang w:val="es-CO"/>
        </w:rPr>
        <w:t xml:space="preserve"> y</w:t>
      </w:r>
      <w:r w:rsidR="008C583F" w:rsidRPr="006C2037">
        <w:rPr>
          <w:sz w:val="16"/>
          <w:szCs w:val="16"/>
          <w:lang w:val="es-CO"/>
        </w:rPr>
        <w:t xml:space="preserve"> la remuneración de su </w:t>
      </w:r>
      <w:r w:rsidR="006C2037">
        <w:rPr>
          <w:sz w:val="16"/>
          <w:szCs w:val="16"/>
          <w:lang w:val="es-CO"/>
        </w:rPr>
        <w:t xml:space="preserve">misma </w:t>
      </w:r>
      <w:r w:rsidR="008C583F" w:rsidRPr="006C2037">
        <w:rPr>
          <w:sz w:val="16"/>
          <w:szCs w:val="16"/>
          <w:lang w:val="es-CO"/>
        </w:rPr>
        <w:t>actividad</w:t>
      </w:r>
      <w:r w:rsidR="006C2037">
        <w:rPr>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FB75" w14:textId="77777777" w:rsidR="00A40B2A" w:rsidRDefault="00A40B2A" w:rsidP="00951F79">
    <w:pPr>
      <w:pStyle w:val="Ttulo1"/>
      <w:ind w:right="6"/>
      <w:jc w:val="left"/>
      <w:rPr>
        <w:rFonts w:ascii="Bookman Old Style" w:hAnsi="Bookman Old Style" w:cs="Arial"/>
        <w:b w:val="0"/>
        <w:sz w:val="22"/>
        <w:szCs w:val="22"/>
      </w:rPr>
    </w:pPr>
  </w:p>
  <w:p w14:paraId="568497A3" w14:textId="6CE0E4C3" w:rsidR="00A40B2A" w:rsidRPr="00951F79" w:rsidRDefault="00A40B2A"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r w:rsidR="005E00C2" w:rsidRPr="00654384">
      <w:rPr>
        <w:rFonts w:ascii="Bookman Old Style" w:hAnsi="Bookman Old Style" w:cs="Arial"/>
        <w:b w:val="0"/>
        <w:sz w:val="22"/>
        <w:szCs w:val="22"/>
      </w:rPr>
      <w:t>No.</w:t>
    </w:r>
    <w:r w:rsidR="005E00C2">
      <w:rPr>
        <w:rFonts w:ascii="Bookman Old Style" w:hAnsi="Bookman Old Style" w:cs="Arial"/>
        <w:b w:val="0"/>
        <w:sz w:val="22"/>
        <w:szCs w:val="22"/>
      </w:rPr>
      <w:t xml:space="preserve"> </w:t>
    </w:r>
    <w:r w:rsidR="005E00C2" w:rsidRPr="005E00C2">
      <w:rPr>
        <w:rFonts w:ascii="Bookman Old Style" w:hAnsi="Bookman Old Style" w:cs="Arial"/>
        <w:bCs/>
        <w:sz w:val="22"/>
        <w:szCs w:val="22"/>
        <w:u w:val="single"/>
      </w:rPr>
      <w:t>101 028</w:t>
    </w:r>
    <w:r w:rsidRPr="00654384">
      <w:rPr>
        <w:rFonts w:ascii="Bookman Old Style" w:hAnsi="Bookman Old Style" w:cs="Arial"/>
        <w:b w:val="0"/>
        <w:sz w:val="22"/>
        <w:szCs w:val="22"/>
      </w:rPr>
      <w:tab/>
    </w:r>
    <w:r>
      <w:rPr>
        <w:rFonts w:ascii="Bookman Old Style" w:hAnsi="Bookman Old Style" w:cs="Arial"/>
        <w:b w:val="0"/>
        <w:sz w:val="22"/>
        <w:szCs w:val="22"/>
      </w:rPr>
      <w:t xml:space="preserve">DE </w:t>
    </w:r>
    <w:r w:rsidR="005E00C2">
      <w:rPr>
        <w:rFonts w:ascii="Bookman Old Style" w:hAnsi="Bookman Old Style" w:cs="Arial"/>
        <w:b w:val="0"/>
        <w:sz w:val="22"/>
        <w:szCs w:val="22"/>
      </w:rPr>
      <w:t xml:space="preserve">  </w:t>
    </w:r>
    <w:r w:rsidR="005E00C2" w:rsidRPr="005E00C2">
      <w:rPr>
        <w:rFonts w:ascii="Bookman Old Style" w:hAnsi="Bookman Old Style" w:cs="Arial"/>
        <w:bCs/>
        <w:sz w:val="22"/>
        <w:szCs w:val="22"/>
        <w:u w:val="single"/>
      </w:rPr>
      <w:t>24</w:t>
    </w:r>
    <w:r w:rsidR="005E00C2">
      <w:rPr>
        <w:rFonts w:ascii="Bookman Old Style" w:hAnsi="Bookman Old Style" w:cs="Arial"/>
        <w:bCs/>
        <w:sz w:val="22"/>
        <w:szCs w:val="22"/>
        <w:u w:val="single"/>
      </w:rPr>
      <w:t xml:space="preserve"> </w:t>
    </w:r>
    <w:r w:rsidR="005E00C2" w:rsidRPr="005E00C2">
      <w:rPr>
        <w:rFonts w:ascii="Bookman Old Style" w:hAnsi="Bookman Old Style" w:cs="Arial"/>
        <w:bCs/>
        <w:sz w:val="22"/>
        <w:szCs w:val="22"/>
        <w:u w:val="single"/>
      </w:rPr>
      <w:t>NOV</w:t>
    </w:r>
    <w:r w:rsidR="005E00C2">
      <w:rPr>
        <w:rFonts w:ascii="Bookman Old Style" w:hAnsi="Bookman Old Style" w:cs="Arial"/>
        <w:bCs/>
        <w:sz w:val="22"/>
        <w:szCs w:val="22"/>
        <w:u w:val="single"/>
      </w:rPr>
      <w:t xml:space="preserve"> </w:t>
    </w:r>
    <w:r w:rsidR="005E00C2" w:rsidRPr="005E00C2">
      <w:rPr>
        <w:rFonts w:ascii="Bookman Old Style" w:hAnsi="Bookman Old Style" w:cs="Arial"/>
        <w:bCs/>
        <w:sz w:val="22"/>
        <w:szCs w:val="22"/>
        <w:u w:val="single"/>
      </w:rPr>
      <w:t>.2023</w:t>
    </w:r>
    <w:r>
      <w:rPr>
        <w:rFonts w:ascii="Bookman Old Style" w:hAnsi="Bookman Old Style" w:cs="Arial"/>
        <w:b w:val="0"/>
        <w:sz w:val="22"/>
        <w:szCs w:val="22"/>
      </w:rPr>
      <w:tab/>
    </w:r>
    <w:r w:rsidR="005E00C2">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DE2408">
      <w:rPr>
        <w:rFonts w:ascii="Bookman Old Style" w:hAnsi="Bookman Old Style" w:cs="Arial"/>
        <w:b w:val="0"/>
        <w:noProof/>
        <w:sz w:val="22"/>
        <w:szCs w:val="22"/>
      </w:rPr>
      <w:t>6</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DE2408" w:rsidRPr="00DE2408">
        <w:rPr>
          <w:rFonts w:ascii="Bookman Old Style" w:hAnsi="Bookman Old Style" w:cs="Arial"/>
          <w:b w:val="0"/>
          <w:noProof/>
          <w:sz w:val="22"/>
          <w:szCs w:val="22"/>
        </w:rPr>
        <w:t>6</w:t>
      </w:r>
    </w:fldSimple>
  </w:p>
  <w:p w14:paraId="37BA23C7" w14:textId="77777777" w:rsidR="00A40B2A" w:rsidRDefault="00A40B2A"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8240" behindDoc="0" locked="0" layoutInCell="1" allowOverlap="1" wp14:anchorId="400CA494" wp14:editId="4012A472">
              <wp:simplePos x="0" y="0"/>
              <wp:positionH relativeFrom="column">
                <wp:posOffset>-175260</wp:posOffset>
              </wp:positionH>
              <wp:positionV relativeFrom="paragraph">
                <wp:posOffset>139065</wp:posOffset>
              </wp:positionV>
              <wp:extent cx="6267450" cy="9900920"/>
              <wp:effectExtent l="9525" t="15240" r="952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A240C"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7AFB61C8" w14:textId="1B4C4C9D" w:rsidR="00A40B2A" w:rsidRPr="00C20249" w:rsidRDefault="00C53A2F" w:rsidP="00DA259B">
    <w:pPr>
      <w:pBdr>
        <w:bottom w:val="single" w:sz="4" w:space="11" w:color="auto"/>
      </w:pBdr>
      <w:spacing w:before="120" w:after="120"/>
      <w:ind w:left="142" w:right="147"/>
      <w:jc w:val="center"/>
      <w:rPr>
        <w:rFonts w:ascii="Bookman Old Style" w:hAnsi="Bookman Old Style" w:cs="Arial"/>
        <w:spacing w:val="-3"/>
        <w:sz w:val="22"/>
        <w:szCs w:val="22"/>
        <w:lang w:val="es-ES_tradnl"/>
      </w:rPr>
    </w:pPr>
    <w:r w:rsidRPr="00C53A2F">
      <w:rPr>
        <w:rFonts w:ascii="Bookman Old Style" w:hAnsi="Bookman Old Style"/>
        <w:sz w:val="22"/>
        <w:szCs w:val="22"/>
        <w:lang w:eastAsia="es-CO"/>
      </w:rPr>
      <w:t>Por la cual se modifica la Resolución CREG 119 de 2007 con fundamento en el artículo 126 de la Ley 142 de 1994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A89" w14:textId="77777777" w:rsidR="00A40B2A" w:rsidRDefault="00A40B2A"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3431179E" w14:textId="77777777" w:rsidR="00A40B2A" w:rsidRDefault="00A40B2A">
    <w:pPr>
      <w:pStyle w:val="Encabezado"/>
      <w:jc w:val="center"/>
      <w:rPr>
        <w:rFonts w:ascii="Arial" w:hAnsi="Arial" w:cs="Arial"/>
        <w:spacing w:val="20"/>
        <w:sz w:val="20"/>
      </w:rPr>
    </w:pPr>
  </w:p>
  <w:p w14:paraId="5A63C6D0" w14:textId="77777777" w:rsidR="00A40B2A" w:rsidRDefault="00A40B2A"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263B8BB9" wp14:editId="556BF7AC">
              <wp:simplePos x="0" y="0"/>
              <wp:positionH relativeFrom="column">
                <wp:posOffset>-213360</wp:posOffset>
              </wp:positionH>
              <wp:positionV relativeFrom="paragraph">
                <wp:posOffset>377190</wp:posOffset>
              </wp:positionV>
              <wp:extent cx="6343650" cy="9839325"/>
              <wp:effectExtent l="9525" t="12065" r="9525" b="165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D9528"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BFF"/>
    <w:multiLevelType w:val="multilevel"/>
    <w:tmpl w:val="D16E102A"/>
    <w:lvl w:ilvl="0">
      <w:start w:val="1"/>
      <w:numFmt w:val="decimal"/>
      <w:pStyle w:val="Estilo2"/>
      <w:lvlText w:val="Artículo %1."/>
      <w:lvlJc w:val="left"/>
      <w:pPr>
        <w:tabs>
          <w:tab w:val="num" w:pos="1440"/>
        </w:tabs>
        <w:ind w:left="0" w:firstLine="0"/>
      </w:pPr>
      <w:rPr>
        <w:rFonts w:hint="default"/>
        <w:b/>
        <w:i w:val="0"/>
      </w:rPr>
    </w:lvl>
    <w:lvl w:ilvl="1">
      <w:start w:val="1"/>
      <w:numFmt w:val="lowerLetter"/>
      <w:lvlText w:val="%2)"/>
      <w:lvlJc w:val="left"/>
      <w:pPr>
        <w:ind w:left="-2231" w:hanging="375"/>
      </w:pPr>
      <w:rPr>
        <w:rFonts w:hint="default"/>
      </w:rPr>
    </w:lvl>
    <w:lvl w:ilvl="2" w:tentative="1">
      <w:start w:val="1"/>
      <w:numFmt w:val="lowerRoman"/>
      <w:lvlText w:val="%3."/>
      <w:lvlJc w:val="right"/>
      <w:pPr>
        <w:tabs>
          <w:tab w:val="num" w:pos="-1526"/>
        </w:tabs>
        <w:ind w:left="-1526" w:hanging="180"/>
      </w:pPr>
    </w:lvl>
    <w:lvl w:ilvl="3">
      <w:start w:val="1"/>
      <w:numFmt w:val="decimal"/>
      <w:lvlText w:val="%4."/>
      <w:lvlJc w:val="left"/>
      <w:pPr>
        <w:tabs>
          <w:tab w:val="num" w:pos="-806"/>
        </w:tabs>
        <w:ind w:left="-806" w:hanging="360"/>
      </w:pPr>
    </w:lvl>
    <w:lvl w:ilvl="4" w:tentative="1">
      <w:start w:val="1"/>
      <w:numFmt w:val="lowerLetter"/>
      <w:lvlText w:val="%5."/>
      <w:lvlJc w:val="left"/>
      <w:pPr>
        <w:tabs>
          <w:tab w:val="num" w:pos="-86"/>
        </w:tabs>
        <w:ind w:left="-86" w:hanging="360"/>
      </w:pPr>
    </w:lvl>
    <w:lvl w:ilvl="5" w:tentative="1">
      <w:start w:val="1"/>
      <w:numFmt w:val="lowerRoman"/>
      <w:lvlText w:val="%6."/>
      <w:lvlJc w:val="right"/>
      <w:pPr>
        <w:tabs>
          <w:tab w:val="num" w:pos="634"/>
        </w:tabs>
        <w:ind w:left="634" w:hanging="180"/>
      </w:pPr>
    </w:lvl>
    <w:lvl w:ilvl="6" w:tentative="1">
      <w:start w:val="1"/>
      <w:numFmt w:val="decimal"/>
      <w:lvlText w:val="%7."/>
      <w:lvlJc w:val="left"/>
      <w:pPr>
        <w:tabs>
          <w:tab w:val="num" w:pos="1354"/>
        </w:tabs>
        <w:ind w:left="1354" w:hanging="360"/>
      </w:pPr>
    </w:lvl>
    <w:lvl w:ilvl="7" w:tentative="1">
      <w:start w:val="1"/>
      <w:numFmt w:val="lowerLetter"/>
      <w:lvlText w:val="%8."/>
      <w:lvlJc w:val="left"/>
      <w:pPr>
        <w:tabs>
          <w:tab w:val="num" w:pos="2074"/>
        </w:tabs>
        <w:ind w:left="2074" w:hanging="360"/>
      </w:pPr>
    </w:lvl>
    <w:lvl w:ilvl="8" w:tentative="1">
      <w:start w:val="1"/>
      <w:numFmt w:val="lowerRoman"/>
      <w:lvlText w:val="%9."/>
      <w:lvlJc w:val="right"/>
      <w:pPr>
        <w:tabs>
          <w:tab w:val="num" w:pos="2794"/>
        </w:tabs>
        <w:ind w:left="2794" w:hanging="180"/>
      </w:pPr>
    </w:lvl>
  </w:abstractNum>
  <w:abstractNum w:abstractNumId="1" w15:restartNumberingAfterBreak="0">
    <w:nsid w:val="04846F7B"/>
    <w:multiLevelType w:val="hybridMultilevel"/>
    <w:tmpl w:val="33A0FC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072FEA"/>
    <w:multiLevelType w:val="hybridMultilevel"/>
    <w:tmpl w:val="A2F05800"/>
    <w:lvl w:ilvl="0" w:tplc="6F3CE12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44451D"/>
    <w:multiLevelType w:val="hybridMultilevel"/>
    <w:tmpl w:val="30CA3A72"/>
    <w:lvl w:ilvl="0" w:tplc="7430CB50">
      <w:start w:val="1"/>
      <w:numFmt w:val="lowerRoman"/>
      <w:lvlText w:val="(%1)"/>
      <w:lvlJc w:val="left"/>
      <w:pPr>
        <w:ind w:left="975" w:hanging="720"/>
      </w:pPr>
      <w:rPr>
        <w:rFonts w:hint="default"/>
        <w:sz w:val="20"/>
      </w:rPr>
    </w:lvl>
    <w:lvl w:ilvl="1" w:tplc="240A0019" w:tentative="1">
      <w:start w:val="1"/>
      <w:numFmt w:val="lowerLetter"/>
      <w:lvlText w:val="%2."/>
      <w:lvlJc w:val="left"/>
      <w:pPr>
        <w:ind w:left="1335" w:hanging="360"/>
      </w:pPr>
    </w:lvl>
    <w:lvl w:ilvl="2" w:tplc="240A001B" w:tentative="1">
      <w:start w:val="1"/>
      <w:numFmt w:val="lowerRoman"/>
      <w:lvlText w:val="%3."/>
      <w:lvlJc w:val="right"/>
      <w:pPr>
        <w:ind w:left="2055" w:hanging="180"/>
      </w:pPr>
    </w:lvl>
    <w:lvl w:ilvl="3" w:tplc="240A000F" w:tentative="1">
      <w:start w:val="1"/>
      <w:numFmt w:val="decimal"/>
      <w:lvlText w:val="%4."/>
      <w:lvlJc w:val="left"/>
      <w:pPr>
        <w:ind w:left="2775" w:hanging="360"/>
      </w:pPr>
    </w:lvl>
    <w:lvl w:ilvl="4" w:tplc="240A0019" w:tentative="1">
      <w:start w:val="1"/>
      <w:numFmt w:val="lowerLetter"/>
      <w:lvlText w:val="%5."/>
      <w:lvlJc w:val="left"/>
      <w:pPr>
        <w:ind w:left="3495" w:hanging="360"/>
      </w:pPr>
    </w:lvl>
    <w:lvl w:ilvl="5" w:tplc="240A001B" w:tentative="1">
      <w:start w:val="1"/>
      <w:numFmt w:val="lowerRoman"/>
      <w:lvlText w:val="%6."/>
      <w:lvlJc w:val="right"/>
      <w:pPr>
        <w:ind w:left="4215" w:hanging="180"/>
      </w:pPr>
    </w:lvl>
    <w:lvl w:ilvl="6" w:tplc="240A000F" w:tentative="1">
      <w:start w:val="1"/>
      <w:numFmt w:val="decimal"/>
      <w:lvlText w:val="%7."/>
      <w:lvlJc w:val="left"/>
      <w:pPr>
        <w:ind w:left="4935" w:hanging="360"/>
      </w:pPr>
    </w:lvl>
    <w:lvl w:ilvl="7" w:tplc="240A0019" w:tentative="1">
      <w:start w:val="1"/>
      <w:numFmt w:val="lowerLetter"/>
      <w:lvlText w:val="%8."/>
      <w:lvlJc w:val="left"/>
      <w:pPr>
        <w:ind w:left="5655" w:hanging="360"/>
      </w:pPr>
    </w:lvl>
    <w:lvl w:ilvl="8" w:tplc="240A001B" w:tentative="1">
      <w:start w:val="1"/>
      <w:numFmt w:val="lowerRoman"/>
      <w:lvlText w:val="%9."/>
      <w:lvlJc w:val="right"/>
      <w:pPr>
        <w:ind w:left="6375" w:hanging="180"/>
      </w:pPr>
    </w:lvl>
  </w:abstractNum>
  <w:abstractNum w:abstractNumId="4" w15:restartNumberingAfterBreak="0">
    <w:nsid w:val="0F6F4845"/>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FAB3CF6"/>
    <w:multiLevelType w:val="hybridMultilevel"/>
    <w:tmpl w:val="D122A4D8"/>
    <w:lvl w:ilvl="0" w:tplc="3EFE1AF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05E1BAC"/>
    <w:multiLevelType w:val="hybridMultilevel"/>
    <w:tmpl w:val="91B06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F44159"/>
    <w:multiLevelType w:val="multilevel"/>
    <w:tmpl w:val="3AF06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526398"/>
    <w:multiLevelType w:val="multilevel"/>
    <w:tmpl w:val="9C6205C8"/>
    <w:lvl w:ilvl="0">
      <w:start w:val="1"/>
      <w:numFmt w:val="decimal"/>
      <w:lvlText w:val="ANEXO %1"/>
      <w:lvlJc w:val="left"/>
      <w:pPr>
        <w:ind w:left="360" w:hanging="360"/>
      </w:pPr>
      <w:rPr>
        <w:b/>
        <w:i w:val="0"/>
      </w:rPr>
    </w:lvl>
    <w:lvl w:ilvl="1">
      <w:start w:val="1"/>
      <w:numFmt w:val="decimal"/>
      <w:lvlText w:val="%1.%2"/>
      <w:lvlJc w:val="left"/>
      <w:pPr>
        <w:ind w:left="576" w:hanging="576"/>
      </w:pPr>
      <w:rPr>
        <w:vertAlign w:val="baseline"/>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443ED2"/>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D92B01"/>
    <w:multiLevelType w:val="hybridMultilevel"/>
    <w:tmpl w:val="0116080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D42690F"/>
    <w:multiLevelType w:val="hybridMultilevel"/>
    <w:tmpl w:val="1CA8C008"/>
    <w:lvl w:ilvl="0" w:tplc="333876F0">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EB4569"/>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3" w15:restartNumberingAfterBreak="0">
    <w:nsid w:val="2EE96539"/>
    <w:multiLevelType w:val="hybridMultilevel"/>
    <w:tmpl w:val="1FD4502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300D312D"/>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42115B"/>
    <w:multiLevelType w:val="hybridMultilevel"/>
    <w:tmpl w:val="F268407E"/>
    <w:lvl w:ilvl="0" w:tplc="D1E61F1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8A53D7"/>
    <w:multiLevelType w:val="hybridMultilevel"/>
    <w:tmpl w:val="FF44825C"/>
    <w:lvl w:ilvl="0" w:tplc="9CB2D96E">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330F0F94"/>
    <w:multiLevelType w:val="hybridMultilevel"/>
    <w:tmpl w:val="99A6E576"/>
    <w:lvl w:ilvl="0" w:tplc="691A8B9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952763"/>
    <w:multiLevelType w:val="hybridMultilevel"/>
    <w:tmpl w:val="209076F4"/>
    <w:lvl w:ilvl="0" w:tplc="0C0A0019">
      <w:start w:val="1"/>
      <w:numFmt w:val="lowerLetter"/>
      <w:lvlText w:val="%1."/>
      <w:lvlJc w:val="left"/>
      <w:pPr>
        <w:tabs>
          <w:tab w:val="num" w:pos="360"/>
        </w:tabs>
        <w:ind w:left="360" w:hanging="360"/>
      </w:pPr>
      <w:rPr>
        <w:rFonts w:hint="default"/>
      </w:rPr>
    </w:lvl>
    <w:lvl w:ilvl="1" w:tplc="9DC048D2">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F54621"/>
    <w:multiLevelType w:val="hybridMultilevel"/>
    <w:tmpl w:val="B8B2F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D041EE"/>
    <w:multiLevelType w:val="hybridMultilevel"/>
    <w:tmpl w:val="73C81B8E"/>
    <w:lvl w:ilvl="0" w:tplc="808A9A66">
      <w:start w:val="1"/>
      <w:numFmt w:val="decimal"/>
      <w:lvlText w:val="Artículo %1."/>
      <w:lvlJc w:val="left"/>
      <w:pPr>
        <w:ind w:left="6663" w:firstLine="0"/>
      </w:pPr>
      <w:rPr>
        <w:rFonts w:ascii="Bookman Old Style" w:hAnsi="Bookman Old Styl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BDC15D5"/>
    <w:multiLevelType w:val="hybridMultilevel"/>
    <w:tmpl w:val="E7F4FD7A"/>
    <w:lvl w:ilvl="0" w:tplc="5C8E20AC">
      <w:start w:val="1"/>
      <w:numFmt w:val="upperLetter"/>
      <w:lvlText w:val="%1)"/>
      <w:lvlJc w:val="left"/>
      <w:pPr>
        <w:ind w:left="2487" w:hanging="360"/>
      </w:pPr>
      <w:rPr>
        <w:rFonts w:hint="default"/>
      </w:rPr>
    </w:lvl>
    <w:lvl w:ilvl="1" w:tplc="240A0019" w:tentative="1">
      <w:start w:val="1"/>
      <w:numFmt w:val="lowerLetter"/>
      <w:lvlText w:val="%2."/>
      <w:lvlJc w:val="left"/>
      <w:pPr>
        <w:ind w:left="3207" w:hanging="360"/>
      </w:pPr>
    </w:lvl>
    <w:lvl w:ilvl="2" w:tplc="240A001B" w:tentative="1">
      <w:start w:val="1"/>
      <w:numFmt w:val="lowerRoman"/>
      <w:lvlText w:val="%3."/>
      <w:lvlJc w:val="right"/>
      <w:pPr>
        <w:ind w:left="3927" w:hanging="180"/>
      </w:pPr>
    </w:lvl>
    <w:lvl w:ilvl="3" w:tplc="240A000F" w:tentative="1">
      <w:start w:val="1"/>
      <w:numFmt w:val="decimal"/>
      <w:lvlText w:val="%4."/>
      <w:lvlJc w:val="left"/>
      <w:pPr>
        <w:ind w:left="4647" w:hanging="360"/>
      </w:pPr>
    </w:lvl>
    <w:lvl w:ilvl="4" w:tplc="240A0019" w:tentative="1">
      <w:start w:val="1"/>
      <w:numFmt w:val="lowerLetter"/>
      <w:lvlText w:val="%5."/>
      <w:lvlJc w:val="left"/>
      <w:pPr>
        <w:ind w:left="5367" w:hanging="360"/>
      </w:pPr>
    </w:lvl>
    <w:lvl w:ilvl="5" w:tplc="240A001B" w:tentative="1">
      <w:start w:val="1"/>
      <w:numFmt w:val="lowerRoman"/>
      <w:lvlText w:val="%6."/>
      <w:lvlJc w:val="right"/>
      <w:pPr>
        <w:ind w:left="6087" w:hanging="180"/>
      </w:pPr>
    </w:lvl>
    <w:lvl w:ilvl="6" w:tplc="240A000F" w:tentative="1">
      <w:start w:val="1"/>
      <w:numFmt w:val="decimal"/>
      <w:lvlText w:val="%7."/>
      <w:lvlJc w:val="left"/>
      <w:pPr>
        <w:ind w:left="6807" w:hanging="360"/>
      </w:pPr>
    </w:lvl>
    <w:lvl w:ilvl="7" w:tplc="240A0019" w:tentative="1">
      <w:start w:val="1"/>
      <w:numFmt w:val="lowerLetter"/>
      <w:lvlText w:val="%8."/>
      <w:lvlJc w:val="left"/>
      <w:pPr>
        <w:ind w:left="7527" w:hanging="360"/>
      </w:pPr>
    </w:lvl>
    <w:lvl w:ilvl="8" w:tplc="240A001B" w:tentative="1">
      <w:start w:val="1"/>
      <w:numFmt w:val="lowerRoman"/>
      <w:lvlText w:val="%9."/>
      <w:lvlJc w:val="right"/>
      <w:pPr>
        <w:ind w:left="8247" w:hanging="180"/>
      </w:pPr>
    </w:lvl>
  </w:abstractNum>
  <w:abstractNum w:abstractNumId="22" w15:restartNumberingAfterBreak="0">
    <w:nsid w:val="3DE00C9A"/>
    <w:multiLevelType w:val="hybridMultilevel"/>
    <w:tmpl w:val="ED80EE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4843B8D"/>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4" w15:restartNumberingAfterBreak="0">
    <w:nsid w:val="48A80A2A"/>
    <w:multiLevelType w:val="hybridMultilevel"/>
    <w:tmpl w:val="15A4AF9A"/>
    <w:lvl w:ilvl="0" w:tplc="4B66052E">
      <w:start w:val="1"/>
      <w:numFmt w:val="lowerRoman"/>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1AC68794">
      <w:start w:val="1"/>
      <w:numFmt w:val="lowerLetter"/>
      <w:lvlText w:val="%4."/>
      <w:lvlJc w:val="left"/>
      <w:pPr>
        <w:ind w:left="2880" w:hanging="360"/>
      </w:pPr>
      <w:rPr>
        <w:rFonts w:hint="default"/>
      </w:rPr>
    </w:lvl>
    <w:lvl w:ilvl="4" w:tplc="FE602ECC">
      <w:start w:val="1"/>
      <w:numFmt w:val="lowerLetter"/>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9591974"/>
    <w:multiLevelType w:val="hybridMultilevel"/>
    <w:tmpl w:val="D23AAB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AC0669F"/>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7" w15:restartNumberingAfterBreak="0">
    <w:nsid w:val="4AEA4799"/>
    <w:multiLevelType w:val="hybridMultilevel"/>
    <w:tmpl w:val="11180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B1D6A50"/>
    <w:multiLevelType w:val="hybridMultilevel"/>
    <w:tmpl w:val="A4E80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BDF6C99"/>
    <w:multiLevelType w:val="hybridMultilevel"/>
    <w:tmpl w:val="0DEEA946"/>
    <w:lvl w:ilvl="0" w:tplc="240A0019">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0" w15:restartNumberingAfterBreak="0">
    <w:nsid w:val="4C080D59"/>
    <w:multiLevelType w:val="hybridMultilevel"/>
    <w:tmpl w:val="7DAEE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D2D7296"/>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32" w15:restartNumberingAfterBreak="0">
    <w:nsid w:val="50FE60DF"/>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33" w15:restartNumberingAfterBreak="0">
    <w:nsid w:val="58D4159E"/>
    <w:multiLevelType w:val="hybridMultilevel"/>
    <w:tmpl w:val="0F8CEFEC"/>
    <w:lvl w:ilvl="0" w:tplc="D0283CF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0C328B"/>
    <w:multiLevelType w:val="hybridMultilevel"/>
    <w:tmpl w:val="5B3C87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EE0EE2"/>
    <w:multiLevelType w:val="hybridMultilevel"/>
    <w:tmpl w:val="E5441E4A"/>
    <w:lvl w:ilvl="0" w:tplc="59BE60C8">
      <w:start w:val="1"/>
      <w:numFmt w:val="decimal"/>
      <w:lvlText w:val="%1."/>
      <w:lvlJc w:val="left"/>
      <w:pPr>
        <w:tabs>
          <w:tab w:val="num" w:pos="360"/>
        </w:tabs>
        <w:ind w:left="360" w:hanging="360"/>
      </w:pPr>
      <w:rPr>
        <w:lang w:val="es-C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680731AD"/>
    <w:multiLevelType w:val="hybridMultilevel"/>
    <w:tmpl w:val="3264B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38" w15:restartNumberingAfterBreak="0">
    <w:nsid w:val="70CE69C4"/>
    <w:multiLevelType w:val="hybridMultilevel"/>
    <w:tmpl w:val="2CEE21CE"/>
    <w:lvl w:ilvl="0" w:tplc="8F380362">
      <w:start w:val="1"/>
      <w:numFmt w:val="lowerRoman"/>
      <w:lvlText w:val="%1)"/>
      <w:lvlJc w:val="left"/>
      <w:pPr>
        <w:ind w:left="72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9" w15:restartNumberingAfterBreak="0">
    <w:nsid w:val="715473C2"/>
    <w:multiLevelType w:val="multilevel"/>
    <w:tmpl w:val="2B443A34"/>
    <w:lvl w:ilvl="0">
      <w:start w:val="1"/>
      <w:numFmt w:val="decimal"/>
      <w:pStyle w:val="Ttulo2"/>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0" w15:restartNumberingAfterBreak="0">
    <w:nsid w:val="772763C4"/>
    <w:multiLevelType w:val="hybridMultilevel"/>
    <w:tmpl w:val="87D8F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B9129FC"/>
    <w:multiLevelType w:val="hybridMultilevel"/>
    <w:tmpl w:val="5D9E0A04"/>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C95BE3"/>
    <w:multiLevelType w:val="hybridMultilevel"/>
    <w:tmpl w:val="BBE0F030"/>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num w:numId="1" w16cid:durableId="1263802896">
    <w:abstractNumId w:val="0"/>
  </w:num>
  <w:num w:numId="2" w16cid:durableId="1783300389">
    <w:abstractNumId w:val="37"/>
  </w:num>
  <w:num w:numId="3" w16cid:durableId="1859272959">
    <w:abstractNumId w:val="35"/>
  </w:num>
  <w:num w:numId="4" w16cid:durableId="2101562739">
    <w:abstractNumId w:val="4"/>
  </w:num>
  <w:num w:numId="5" w16cid:durableId="111059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4377136">
    <w:abstractNumId w:val="15"/>
  </w:num>
  <w:num w:numId="7" w16cid:durableId="1324046991">
    <w:abstractNumId w:val="2"/>
  </w:num>
  <w:num w:numId="8" w16cid:durableId="779378360">
    <w:abstractNumId w:val="17"/>
  </w:num>
  <w:num w:numId="9" w16cid:durableId="821234921">
    <w:abstractNumId w:val="33"/>
  </w:num>
  <w:num w:numId="10" w16cid:durableId="1482771715">
    <w:abstractNumId w:val="9"/>
  </w:num>
  <w:num w:numId="11" w16cid:durableId="23870371">
    <w:abstractNumId w:val="0"/>
  </w:num>
  <w:num w:numId="12" w16cid:durableId="1701314796">
    <w:abstractNumId w:val="18"/>
  </w:num>
  <w:num w:numId="13" w16cid:durableId="791944604">
    <w:abstractNumId w:val="14"/>
  </w:num>
  <w:num w:numId="14" w16cid:durableId="728072103">
    <w:abstractNumId w:val="23"/>
  </w:num>
  <w:num w:numId="15" w16cid:durableId="963467412">
    <w:abstractNumId w:val="12"/>
  </w:num>
  <w:num w:numId="16" w16cid:durableId="1388451372">
    <w:abstractNumId w:val="26"/>
  </w:num>
  <w:num w:numId="17" w16cid:durableId="760489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64737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3432771">
    <w:abstractNumId w:val="20"/>
  </w:num>
  <w:num w:numId="20" w16cid:durableId="1022124519">
    <w:abstractNumId w:val="5"/>
  </w:num>
  <w:num w:numId="21" w16cid:durableId="1811902897">
    <w:abstractNumId w:val="3"/>
  </w:num>
  <w:num w:numId="22" w16cid:durableId="1715041715">
    <w:abstractNumId w:val="25"/>
  </w:num>
  <w:num w:numId="23" w16cid:durableId="1095172446">
    <w:abstractNumId w:val="7"/>
  </w:num>
  <w:num w:numId="24" w16cid:durableId="1744831641">
    <w:abstractNumId w:val="22"/>
  </w:num>
  <w:num w:numId="25" w16cid:durableId="731973767">
    <w:abstractNumId w:val="31"/>
  </w:num>
  <w:num w:numId="26" w16cid:durableId="1546720731">
    <w:abstractNumId w:val="16"/>
  </w:num>
  <w:num w:numId="27" w16cid:durableId="1076634827">
    <w:abstractNumId w:val="32"/>
  </w:num>
  <w:num w:numId="28" w16cid:durableId="1841195832">
    <w:abstractNumId w:val="30"/>
  </w:num>
  <w:num w:numId="29" w16cid:durableId="23679335">
    <w:abstractNumId w:val="19"/>
  </w:num>
  <w:num w:numId="30" w16cid:durableId="1892955346">
    <w:abstractNumId w:val="40"/>
  </w:num>
  <w:num w:numId="31" w16cid:durableId="1319458848">
    <w:abstractNumId w:val="24"/>
  </w:num>
  <w:num w:numId="32" w16cid:durableId="505831940">
    <w:abstractNumId w:val="36"/>
  </w:num>
  <w:num w:numId="33" w16cid:durableId="1430736317">
    <w:abstractNumId w:val="28"/>
  </w:num>
  <w:num w:numId="34" w16cid:durableId="150805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7155927">
    <w:abstractNumId w:val="0"/>
  </w:num>
  <w:num w:numId="36" w16cid:durableId="1210847484">
    <w:abstractNumId w:val="39"/>
  </w:num>
  <w:num w:numId="37" w16cid:durableId="1338842974">
    <w:abstractNumId w:val="29"/>
  </w:num>
  <w:num w:numId="38" w16cid:durableId="65807833">
    <w:abstractNumId w:val="11"/>
  </w:num>
  <w:num w:numId="39" w16cid:durableId="1000159274">
    <w:abstractNumId w:val="27"/>
  </w:num>
  <w:num w:numId="40" w16cid:durableId="1410155206">
    <w:abstractNumId w:val="34"/>
  </w:num>
  <w:num w:numId="41" w16cid:durableId="1504198234">
    <w:abstractNumId w:val="1"/>
  </w:num>
  <w:num w:numId="42" w16cid:durableId="1064448497">
    <w:abstractNumId w:val="10"/>
  </w:num>
  <w:num w:numId="43" w16cid:durableId="959989261">
    <w:abstractNumId w:val="21"/>
  </w:num>
  <w:num w:numId="44" w16cid:durableId="17205446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1612243">
    <w:abstractNumId w:val="13"/>
  </w:num>
  <w:num w:numId="46" w16cid:durableId="12200950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8910012">
    <w:abstractNumId w:val="39"/>
  </w:num>
  <w:num w:numId="48" w16cid:durableId="4758733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853364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5452614">
    <w:abstractNumId w:val="42"/>
  </w:num>
  <w:num w:numId="51" w16cid:durableId="2112166656">
    <w:abstractNumId w:val="6"/>
  </w:num>
  <w:num w:numId="52" w16cid:durableId="135005876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0A"/>
    <w:rsid w:val="000000F5"/>
    <w:rsid w:val="00000227"/>
    <w:rsid w:val="00000DA3"/>
    <w:rsid w:val="00000FDF"/>
    <w:rsid w:val="0000119B"/>
    <w:rsid w:val="0000162A"/>
    <w:rsid w:val="00001D90"/>
    <w:rsid w:val="000023B4"/>
    <w:rsid w:val="000023DC"/>
    <w:rsid w:val="00003972"/>
    <w:rsid w:val="00003A49"/>
    <w:rsid w:val="00004333"/>
    <w:rsid w:val="000046FE"/>
    <w:rsid w:val="00004BA4"/>
    <w:rsid w:val="00006281"/>
    <w:rsid w:val="00006AE2"/>
    <w:rsid w:val="0000707D"/>
    <w:rsid w:val="000076A1"/>
    <w:rsid w:val="00010363"/>
    <w:rsid w:val="0001119B"/>
    <w:rsid w:val="000113FD"/>
    <w:rsid w:val="00011E15"/>
    <w:rsid w:val="00012259"/>
    <w:rsid w:val="0001269A"/>
    <w:rsid w:val="00012898"/>
    <w:rsid w:val="0001458D"/>
    <w:rsid w:val="00015222"/>
    <w:rsid w:val="000153F4"/>
    <w:rsid w:val="0001559C"/>
    <w:rsid w:val="000156E3"/>
    <w:rsid w:val="00015E21"/>
    <w:rsid w:val="00016E84"/>
    <w:rsid w:val="000175CD"/>
    <w:rsid w:val="00017636"/>
    <w:rsid w:val="000200D5"/>
    <w:rsid w:val="000204C1"/>
    <w:rsid w:val="00020570"/>
    <w:rsid w:val="00020959"/>
    <w:rsid w:val="00020D8D"/>
    <w:rsid w:val="000210ED"/>
    <w:rsid w:val="000217F8"/>
    <w:rsid w:val="00022157"/>
    <w:rsid w:val="00022275"/>
    <w:rsid w:val="0002232E"/>
    <w:rsid w:val="00022701"/>
    <w:rsid w:val="000231B3"/>
    <w:rsid w:val="00023612"/>
    <w:rsid w:val="000239F4"/>
    <w:rsid w:val="00025383"/>
    <w:rsid w:val="000253B5"/>
    <w:rsid w:val="000253E5"/>
    <w:rsid w:val="00025D43"/>
    <w:rsid w:val="00025F6F"/>
    <w:rsid w:val="00026960"/>
    <w:rsid w:val="0002716B"/>
    <w:rsid w:val="00027694"/>
    <w:rsid w:val="0002779D"/>
    <w:rsid w:val="00027CA0"/>
    <w:rsid w:val="000306DB"/>
    <w:rsid w:val="00030D3E"/>
    <w:rsid w:val="00030FB4"/>
    <w:rsid w:val="00031744"/>
    <w:rsid w:val="00032512"/>
    <w:rsid w:val="00032AB9"/>
    <w:rsid w:val="00032B7B"/>
    <w:rsid w:val="000338AD"/>
    <w:rsid w:val="00034BAC"/>
    <w:rsid w:val="000350B4"/>
    <w:rsid w:val="000357B1"/>
    <w:rsid w:val="00035C6D"/>
    <w:rsid w:val="00035DD0"/>
    <w:rsid w:val="00036AFE"/>
    <w:rsid w:val="00036FD6"/>
    <w:rsid w:val="00037748"/>
    <w:rsid w:val="00037A0F"/>
    <w:rsid w:val="00037C62"/>
    <w:rsid w:val="00040089"/>
    <w:rsid w:val="0004094E"/>
    <w:rsid w:val="00040F69"/>
    <w:rsid w:val="00041740"/>
    <w:rsid w:val="00041C9B"/>
    <w:rsid w:val="00042FA0"/>
    <w:rsid w:val="000430C4"/>
    <w:rsid w:val="000431FA"/>
    <w:rsid w:val="000451F6"/>
    <w:rsid w:val="000452DB"/>
    <w:rsid w:val="000457E9"/>
    <w:rsid w:val="000469EC"/>
    <w:rsid w:val="00047901"/>
    <w:rsid w:val="00047C02"/>
    <w:rsid w:val="00047D61"/>
    <w:rsid w:val="00050ED7"/>
    <w:rsid w:val="00051008"/>
    <w:rsid w:val="0005151B"/>
    <w:rsid w:val="0005175D"/>
    <w:rsid w:val="00051CB5"/>
    <w:rsid w:val="000522BA"/>
    <w:rsid w:val="00052EE1"/>
    <w:rsid w:val="00052F44"/>
    <w:rsid w:val="0005376E"/>
    <w:rsid w:val="00054668"/>
    <w:rsid w:val="00055B4B"/>
    <w:rsid w:val="00056DA1"/>
    <w:rsid w:val="00056FC4"/>
    <w:rsid w:val="000570AE"/>
    <w:rsid w:val="000570CE"/>
    <w:rsid w:val="000570F2"/>
    <w:rsid w:val="00060477"/>
    <w:rsid w:val="0006099C"/>
    <w:rsid w:val="00061781"/>
    <w:rsid w:val="00061EF8"/>
    <w:rsid w:val="00062291"/>
    <w:rsid w:val="00062372"/>
    <w:rsid w:val="00062C94"/>
    <w:rsid w:val="00063657"/>
    <w:rsid w:val="00063A6E"/>
    <w:rsid w:val="00064508"/>
    <w:rsid w:val="000652A5"/>
    <w:rsid w:val="00065FFE"/>
    <w:rsid w:val="000662F6"/>
    <w:rsid w:val="00066740"/>
    <w:rsid w:val="00067061"/>
    <w:rsid w:val="0006750C"/>
    <w:rsid w:val="00067852"/>
    <w:rsid w:val="000679C9"/>
    <w:rsid w:val="00067C70"/>
    <w:rsid w:val="0007096E"/>
    <w:rsid w:val="00070C31"/>
    <w:rsid w:val="00070D3D"/>
    <w:rsid w:val="000710B2"/>
    <w:rsid w:val="00071A69"/>
    <w:rsid w:val="00074072"/>
    <w:rsid w:val="00074534"/>
    <w:rsid w:val="00074987"/>
    <w:rsid w:val="00074A8B"/>
    <w:rsid w:val="00074E20"/>
    <w:rsid w:val="000750AB"/>
    <w:rsid w:val="00075B7B"/>
    <w:rsid w:val="00075DCD"/>
    <w:rsid w:val="00076443"/>
    <w:rsid w:val="00076680"/>
    <w:rsid w:val="00076C5F"/>
    <w:rsid w:val="00077219"/>
    <w:rsid w:val="0007745E"/>
    <w:rsid w:val="000779CB"/>
    <w:rsid w:val="0008073E"/>
    <w:rsid w:val="00080F6E"/>
    <w:rsid w:val="00081FA7"/>
    <w:rsid w:val="00082344"/>
    <w:rsid w:val="000828A0"/>
    <w:rsid w:val="00082962"/>
    <w:rsid w:val="00082998"/>
    <w:rsid w:val="00082F26"/>
    <w:rsid w:val="00083149"/>
    <w:rsid w:val="00083AF9"/>
    <w:rsid w:val="00083B84"/>
    <w:rsid w:val="00083C77"/>
    <w:rsid w:val="00083CE1"/>
    <w:rsid w:val="00083DEF"/>
    <w:rsid w:val="00084430"/>
    <w:rsid w:val="00084472"/>
    <w:rsid w:val="00084AEB"/>
    <w:rsid w:val="00085089"/>
    <w:rsid w:val="000850DD"/>
    <w:rsid w:val="00085C1D"/>
    <w:rsid w:val="00086065"/>
    <w:rsid w:val="000861B2"/>
    <w:rsid w:val="000863AB"/>
    <w:rsid w:val="000864C9"/>
    <w:rsid w:val="00086FEF"/>
    <w:rsid w:val="000874D7"/>
    <w:rsid w:val="000878DD"/>
    <w:rsid w:val="000905C0"/>
    <w:rsid w:val="00091556"/>
    <w:rsid w:val="000918B9"/>
    <w:rsid w:val="00091CDB"/>
    <w:rsid w:val="000925C6"/>
    <w:rsid w:val="00092839"/>
    <w:rsid w:val="00093974"/>
    <w:rsid w:val="00095052"/>
    <w:rsid w:val="00095363"/>
    <w:rsid w:val="00095CBC"/>
    <w:rsid w:val="00095CF0"/>
    <w:rsid w:val="00095EF6"/>
    <w:rsid w:val="000962BD"/>
    <w:rsid w:val="00096331"/>
    <w:rsid w:val="000963D6"/>
    <w:rsid w:val="00096C01"/>
    <w:rsid w:val="00097241"/>
    <w:rsid w:val="000978A5"/>
    <w:rsid w:val="00097B29"/>
    <w:rsid w:val="000A0A51"/>
    <w:rsid w:val="000A1267"/>
    <w:rsid w:val="000A19AC"/>
    <w:rsid w:val="000A1B0B"/>
    <w:rsid w:val="000A1F61"/>
    <w:rsid w:val="000A231E"/>
    <w:rsid w:val="000A2352"/>
    <w:rsid w:val="000A23D5"/>
    <w:rsid w:val="000A29CA"/>
    <w:rsid w:val="000A2BF6"/>
    <w:rsid w:val="000A2CD9"/>
    <w:rsid w:val="000A3342"/>
    <w:rsid w:val="000A34FE"/>
    <w:rsid w:val="000A3A8A"/>
    <w:rsid w:val="000A3FD7"/>
    <w:rsid w:val="000A42F5"/>
    <w:rsid w:val="000A4624"/>
    <w:rsid w:val="000A46F4"/>
    <w:rsid w:val="000A59B2"/>
    <w:rsid w:val="000A6579"/>
    <w:rsid w:val="000A6718"/>
    <w:rsid w:val="000A6CC0"/>
    <w:rsid w:val="000A730D"/>
    <w:rsid w:val="000A787B"/>
    <w:rsid w:val="000A7B12"/>
    <w:rsid w:val="000B0158"/>
    <w:rsid w:val="000B1687"/>
    <w:rsid w:val="000B16C5"/>
    <w:rsid w:val="000B1B3C"/>
    <w:rsid w:val="000B22A2"/>
    <w:rsid w:val="000B22B8"/>
    <w:rsid w:val="000B240E"/>
    <w:rsid w:val="000B33B3"/>
    <w:rsid w:val="000B3563"/>
    <w:rsid w:val="000B3818"/>
    <w:rsid w:val="000B3D76"/>
    <w:rsid w:val="000B3E9E"/>
    <w:rsid w:val="000B460B"/>
    <w:rsid w:val="000B4C79"/>
    <w:rsid w:val="000B4D88"/>
    <w:rsid w:val="000B562A"/>
    <w:rsid w:val="000B5856"/>
    <w:rsid w:val="000B634E"/>
    <w:rsid w:val="000B758C"/>
    <w:rsid w:val="000C0433"/>
    <w:rsid w:val="000C04F8"/>
    <w:rsid w:val="000C0CBA"/>
    <w:rsid w:val="000C2DC9"/>
    <w:rsid w:val="000C35A7"/>
    <w:rsid w:val="000C4182"/>
    <w:rsid w:val="000C4415"/>
    <w:rsid w:val="000C47E8"/>
    <w:rsid w:val="000C48EE"/>
    <w:rsid w:val="000C4BAC"/>
    <w:rsid w:val="000C4DEC"/>
    <w:rsid w:val="000C568D"/>
    <w:rsid w:val="000C57BC"/>
    <w:rsid w:val="000C5B4F"/>
    <w:rsid w:val="000C6292"/>
    <w:rsid w:val="000C63F9"/>
    <w:rsid w:val="000C66BD"/>
    <w:rsid w:val="000C68DB"/>
    <w:rsid w:val="000C68E0"/>
    <w:rsid w:val="000C6B07"/>
    <w:rsid w:val="000C6E73"/>
    <w:rsid w:val="000C7076"/>
    <w:rsid w:val="000C712D"/>
    <w:rsid w:val="000C79BD"/>
    <w:rsid w:val="000C7C69"/>
    <w:rsid w:val="000D0C31"/>
    <w:rsid w:val="000D0DAA"/>
    <w:rsid w:val="000D10EE"/>
    <w:rsid w:val="000D1160"/>
    <w:rsid w:val="000D19FF"/>
    <w:rsid w:val="000D25BF"/>
    <w:rsid w:val="000D2628"/>
    <w:rsid w:val="000D26F8"/>
    <w:rsid w:val="000D2830"/>
    <w:rsid w:val="000D32C6"/>
    <w:rsid w:val="000D36E2"/>
    <w:rsid w:val="000D3BB2"/>
    <w:rsid w:val="000D40AB"/>
    <w:rsid w:val="000D4532"/>
    <w:rsid w:val="000D4E6D"/>
    <w:rsid w:val="000D4F9E"/>
    <w:rsid w:val="000D58EB"/>
    <w:rsid w:val="000D5CA4"/>
    <w:rsid w:val="000D626D"/>
    <w:rsid w:val="000D66A0"/>
    <w:rsid w:val="000D7708"/>
    <w:rsid w:val="000E04AD"/>
    <w:rsid w:val="000E0AB6"/>
    <w:rsid w:val="000E0AE0"/>
    <w:rsid w:val="000E0BB6"/>
    <w:rsid w:val="000E0F07"/>
    <w:rsid w:val="000E1253"/>
    <w:rsid w:val="000E13F1"/>
    <w:rsid w:val="000E1B57"/>
    <w:rsid w:val="000E1F84"/>
    <w:rsid w:val="000E29B4"/>
    <w:rsid w:val="000E3ED0"/>
    <w:rsid w:val="000E4308"/>
    <w:rsid w:val="000E45F3"/>
    <w:rsid w:val="000E5577"/>
    <w:rsid w:val="000E628C"/>
    <w:rsid w:val="000E6745"/>
    <w:rsid w:val="000E7126"/>
    <w:rsid w:val="000E7159"/>
    <w:rsid w:val="000E7ED3"/>
    <w:rsid w:val="000F06D9"/>
    <w:rsid w:val="000F0A49"/>
    <w:rsid w:val="000F0BC6"/>
    <w:rsid w:val="000F28DE"/>
    <w:rsid w:val="000F2CD1"/>
    <w:rsid w:val="000F2F5C"/>
    <w:rsid w:val="000F3734"/>
    <w:rsid w:val="000F3DF8"/>
    <w:rsid w:val="000F3F47"/>
    <w:rsid w:val="000F43C1"/>
    <w:rsid w:val="000F49C2"/>
    <w:rsid w:val="000F4C4A"/>
    <w:rsid w:val="000F5A5D"/>
    <w:rsid w:val="000F5DCC"/>
    <w:rsid w:val="000F5FF3"/>
    <w:rsid w:val="000F61A2"/>
    <w:rsid w:val="000F7B59"/>
    <w:rsid w:val="00100134"/>
    <w:rsid w:val="0010032B"/>
    <w:rsid w:val="0010039E"/>
    <w:rsid w:val="0010068A"/>
    <w:rsid w:val="001009B9"/>
    <w:rsid w:val="00100C8C"/>
    <w:rsid w:val="00100F58"/>
    <w:rsid w:val="001011B7"/>
    <w:rsid w:val="00101259"/>
    <w:rsid w:val="001019AF"/>
    <w:rsid w:val="00101A70"/>
    <w:rsid w:val="00101C7F"/>
    <w:rsid w:val="00101DF3"/>
    <w:rsid w:val="00102476"/>
    <w:rsid w:val="0010260F"/>
    <w:rsid w:val="00102698"/>
    <w:rsid w:val="00102787"/>
    <w:rsid w:val="0010399D"/>
    <w:rsid w:val="00104C7A"/>
    <w:rsid w:val="00105153"/>
    <w:rsid w:val="001054DF"/>
    <w:rsid w:val="00105B5E"/>
    <w:rsid w:val="00105C9D"/>
    <w:rsid w:val="00107120"/>
    <w:rsid w:val="00110391"/>
    <w:rsid w:val="001108C9"/>
    <w:rsid w:val="00111141"/>
    <w:rsid w:val="00111764"/>
    <w:rsid w:val="00111778"/>
    <w:rsid w:val="00111F4C"/>
    <w:rsid w:val="0011205D"/>
    <w:rsid w:val="00112329"/>
    <w:rsid w:val="00112852"/>
    <w:rsid w:val="001128D7"/>
    <w:rsid w:val="00112B4C"/>
    <w:rsid w:val="00112C2D"/>
    <w:rsid w:val="00113A1F"/>
    <w:rsid w:val="00113D19"/>
    <w:rsid w:val="0011402F"/>
    <w:rsid w:val="00114338"/>
    <w:rsid w:val="00114742"/>
    <w:rsid w:val="0011499A"/>
    <w:rsid w:val="00114A5E"/>
    <w:rsid w:val="00114B76"/>
    <w:rsid w:val="00114BD5"/>
    <w:rsid w:val="001151AB"/>
    <w:rsid w:val="001154A5"/>
    <w:rsid w:val="001155C9"/>
    <w:rsid w:val="00115887"/>
    <w:rsid w:val="00116085"/>
    <w:rsid w:val="001167F4"/>
    <w:rsid w:val="00116AB9"/>
    <w:rsid w:val="00116D77"/>
    <w:rsid w:val="001174EA"/>
    <w:rsid w:val="0011772D"/>
    <w:rsid w:val="00117E95"/>
    <w:rsid w:val="001201B9"/>
    <w:rsid w:val="00120244"/>
    <w:rsid w:val="00120430"/>
    <w:rsid w:val="001205A9"/>
    <w:rsid w:val="001205F8"/>
    <w:rsid w:val="001208BA"/>
    <w:rsid w:val="00120D3C"/>
    <w:rsid w:val="00121187"/>
    <w:rsid w:val="00121687"/>
    <w:rsid w:val="00122F55"/>
    <w:rsid w:val="0012352D"/>
    <w:rsid w:val="00123AAC"/>
    <w:rsid w:val="001246BF"/>
    <w:rsid w:val="001249D0"/>
    <w:rsid w:val="00124A7C"/>
    <w:rsid w:val="00125567"/>
    <w:rsid w:val="00125A0E"/>
    <w:rsid w:val="0012653D"/>
    <w:rsid w:val="00127546"/>
    <w:rsid w:val="0012759B"/>
    <w:rsid w:val="00127C93"/>
    <w:rsid w:val="00127E81"/>
    <w:rsid w:val="00130496"/>
    <w:rsid w:val="00130865"/>
    <w:rsid w:val="00131175"/>
    <w:rsid w:val="001317FA"/>
    <w:rsid w:val="00132283"/>
    <w:rsid w:val="00132879"/>
    <w:rsid w:val="00132B01"/>
    <w:rsid w:val="00132FE4"/>
    <w:rsid w:val="0013334F"/>
    <w:rsid w:val="001336DC"/>
    <w:rsid w:val="00133911"/>
    <w:rsid w:val="00133CD5"/>
    <w:rsid w:val="0013494C"/>
    <w:rsid w:val="00134DAB"/>
    <w:rsid w:val="00134E77"/>
    <w:rsid w:val="00134EDC"/>
    <w:rsid w:val="00134F78"/>
    <w:rsid w:val="00135862"/>
    <w:rsid w:val="00135E70"/>
    <w:rsid w:val="00135F76"/>
    <w:rsid w:val="001369F2"/>
    <w:rsid w:val="00136A3B"/>
    <w:rsid w:val="00136AC4"/>
    <w:rsid w:val="00136B90"/>
    <w:rsid w:val="0013780B"/>
    <w:rsid w:val="00140316"/>
    <w:rsid w:val="001405C6"/>
    <w:rsid w:val="00140CBA"/>
    <w:rsid w:val="00140DE3"/>
    <w:rsid w:val="00141013"/>
    <w:rsid w:val="00141A34"/>
    <w:rsid w:val="00141ABE"/>
    <w:rsid w:val="00141D34"/>
    <w:rsid w:val="00141DAC"/>
    <w:rsid w:val="00141DF9"/>
    <w:rsid w:val="001425E9"/>
    <w:rsid w:val="001442A1"/>
    <w:rsid w:val="001444AD"/>
    <w:rsid w:val="0014472D"/>
    <w:rsid w:val="00144DE6"/>
    <w:rsid w:val="00144F7A"/>
    <w:rsid w:val="00144F9B"/>
    <w:rsid w:val="00145386"/>
    <w:rsid w:val="00145769"/>
    <w:rsid w:val="00145BC4"/>
    <w:rsid w:val="00146B9B"/>
    <w:rsid w:val="001471BA"/>
    <w:rsid w:val="001471F1"/>
    <w:rsid w:val="00147770"/>
    <w:rsid w:val="00147AD7"/>
    <w:rsid w:val="00147E68"/>
    <w:rsid w:val="001500FB"/>
    <w:rsid w:val="001503FA"/>
    <w:rsid w:val="001508FD"/>
    <w:rsid w:val="00151331"/>
    <w:rsid w:val="00151A84"/>
    <w:rsid w:val="0015202B"/>
    <w:rsid w:val="0015265B"/>
    <w:rsid w:val="00152C82"/>
    <w:rsid w:val="00153357"/>
    <w:rsid w:val="001536B9"/>
    <w:rsid w:val="00153AA5"/>
    <w:rsid w:val="0015410F"/>
    <w:rsid w:val="0015441A"/>
    <w:rsid w:val="001548A5"/>
    <w:rsid w:val="00154AF5"/>
    <w:rsid w:val="00154B7F"/>
    <w:rsid w:val="00155478"/>
    <w:rsid w:val="001555CF"/>
    <w:rsid w:val="0015609C"/>
    <w:rsid w:val="00156632"/>
    <w:rsid w:val="00156F5C"/>
    <w:rsid w:val="0015751B"/>
    <w:rsid w:val="00157CE2"/>
    <w:rsid w:val="001601C0"/>
    <w:rsid w:val="00160EE9"/>
    <w:rsid w:val="001611FD"/>
    <w:rsid w:val="0016156F"/>
    <w:rsid w:val="001621F7"/>
    <w:rsid w:val="0016257D"/>
    <w:rsid w:val="00162992"/>
    <w:rsid w:val="00162DBF"/>
    <w:rsid w:val="00162DEC"/>
    <w:rsid w:val="001639E4"/>
    <w:rsid w:val="0016493A"/>
    <w:rsid w:val="00164984"/>
    <w:rsid w:val="0016498E"/>
    <w:rsid w:val="001649B6"/>
    <w:rsid w:val="00164AB1"/>
    <w:rsid w:val="00164AF0"/>
    <w:rsid w:val="00164D65"/>
    <w:rsid w:val="00164E3B"/>
    <w:rsid w:val="00164FCB"/>
    <w:rsid w:val="0016549A"/>
    <w:rsid w:val="001654FD"/>
    <w:rsid w:val="001655E4"/>
    <w:rsid w:val="00165C44"/>
    <w:rsid w:val="00165F38"/>
    <w:rsid w:val="00167187"/>
    <w:rsid w:val="001672F6"/>
    <w:rsid w:val="001676BE"/>
    <w:rsid w:val="00167A95"/>
    <w:rsid w:val="0017016B"/>
    <w:rsid w:val="001701A5"/>
    <w:rsid w:val="001718C9"/>
    <w:rsid w:val="00172164"/>
    <w:rsid w:val="001722DE"/>
    <w:rsid w:val="0017235E"/>
    <w:rsid w:val="00172F39"/>
    <w:rsid w:val="00172F5B"/>
    <w:rsid w:val="00173321"/>
    <w:rsid w:val="00173937"/>
    <w:rsid w:val="00173AAF"/>
    <w:rsid w:val="0017477B"/>
    <w:rsid w:val="00174921"/>
    <w:rsid w:val="00174C02"/>
    <w:rsid w:val="0017534F"/>
    <w:rsid w:val="00175E8E"/>
    <w:rsid w:val="00175F02"/>
    <w:rsid w:val="00175FB7"/>
    <w:rsid w:val="00176210"/>
    <w:rsid w:val="0017658C"/>
    <w:rsid w:val="001772E2"/>
    <w:rsid w:val="001776D1"/>
    <w:rsid w:val="001777E3"/>
    <w:rsid w:val="00177AE7"/>
    <w:rsid w:val="00177BB3"/>
    <w:rsid w:val="00177C9B"/>
    <w:rsid w:val="00180819"/>
    <w:rsid w:val="00180850"/>
    <w:rsid w:val="00180E68"/>
    <w:rsid w:val="001817A0"/>
    <w:rsid w:val="001819B4"/>
    <w:rsid w:val="00181AD2"/>
    <w:rsid w:val="00182AC2"/>
    <w:rsid w:val="00182D43"/>
    <w:rsid w:val="00182FA5"/>
    <w:rsid w:val="00184114"/>
    <w:rsid w:val="001843E8"/>
    <w:rsid w:val="00184501"/>
    <w:rsid w:val="0018455D"/>
    <w:rsid w:val="001846BD"/>
    <w:rsid w:val="00184965"/>
    <w:rsid w:val="00186097"/>
    <w:rsid w:val="001860E7"/>
    <w:rsid w:val="001864A9"/>
    <w:rsid w:val="00186D36"/>
    <w:rsid w:val="00186ED0"/>
    <w:rsid w:val="001907C5"/>
    <w:rsid w:val="00191063"/>
    <w:rsid w:val="00191AA2"/>
    <w:rsid w:val="00191C60"/>
    <w:rsid w:val="00191D33"/>
    <w:rsid w:val="00192995"/>
    <w:rsid w:val="001929AB"/>
    <w:rsid w:val="00192C75"/>
    <w:rsid w:val="00192CBF"/>
    <w:rsid w:val="00192FBE"/>
    <w:rsid w:val="00192FF1"/>
    <w:rsid w:val="00193845"/>
    <w:rsid w:val="00194403"/>
    <w:rsid w:val="00194902"/>
    <w:rsid w:val="001954CC"/>
    <w:rsid w:val="001954D9"/>
    <w:rsid w:val="001955AE"/>
    <w:rsid w:val="00195602"/>
    <w:rsid w:val="001959FF"/>
    <w:rsid w:val="00195FD6"/>
    <w:rsid w:val="00196524"/>
    <w:rsid w:val="001967B5"/>
    <w:rsid w:val="00197067"/>
    <w:rsid w:val="0019714A"/>
    <w:rsid w:val="001971C2"/>
    <w:rsid w:val="001972A9"/>
    <w:rsid w:val="0019746A"/>
    <w:rsid w:val="0019798D"/>
    <w:rsid w:val="00197D8A"/>
    <w:rsid w:val="00197F44"/>
    <w:rsid w:val="001A0225"/>
    <w:rsid w:val="001A1689"/>
    <w:rsid w:val="001A1AC7"/>
    <w:rsid w:val="001A1B0B"/>
    <w:rsid w:val="001A1D88"/>
    <w:rsid w:val="001A213F"/>
    <w:rsid w:val="001A2BDB"/>
    <w:rsid w:val="001A3435"/>
    <w:rsid w:val="001A3598"/>
    <w:rsid w:val="001A365C"/>
    <w:rsid w:val="001A3D4E"/>
    <w:rsid w:val="001A4950"/>
    <w:rsid w:val="001A4B4F"/>
    <w:rsid w:val="001A4D66"/>
    <w:rsid w:val="001A4D86"/>
    <w:rsid w:val="001A5715"/>
    <w:rsid w:val="001A5DD6"/>
    <w:rsid w:val="001A5F1B"/>
    <w:rsid w:val="001A6435"/>
    <w:rsid w:val="001A6B56"/>
    <w:rsid w:val="001A6CD5"/>
    <w:rsid w:val="001A70BB"/>
    <w:rsid w:val="001A7587"/>
    <w:rsid w:val="001A7674"/>
    <w:rsid w:val="001A76ED"/>
    <w:rsid w:val="001A76F3"/>
    <w:rsid w:val="001A78EA"/>
    <w:rsid w:val="001A7C76"/>
    <w:rsid w:val="001B1296"/>
    <w:rsid w:val="001B1C22"/>
    <w:rsid w:val="001B34C6"/>
    <w:rsid w:val="001B36D8"/>
    <w:rsid w:val="001B42C8"/>
    <w:rsid w:val="001B5578"/>
    <w:rsid w:val="001B6672"/>
    <w:rsid w:val="001B6A1A"/>
    <w:rsid w:val="001B6FE1"/>
    <w:rsid w:val="001B7009"/>
    <w:rsid w:val="001B7190"/>
    <w:rsid w:val="001B746E"/>
    <w:rsid w:val="001C01B7"/>
    <w:rsid w:val="001C065C"/>
    <w:rsid w:val="001C0A7C"/>
    <w:rsid w:val="001C1490"/>
    <w:rsid w:val="001C223E"/>
    <w:rsid w:val="001C23B8"/>
    <w:rsid w:val="001C2A2E"/>
    <w:rsid w:val="001C359F"/>
    <w:rsid w:val="001C3EC6"/>
    <w:rsid w:val="001C3FF3"/>
    <w:rsid w:val="001C405F"/>
    <w:rsid w:val="001C4093"/>
    <w:rsid w:val="001C467B"/>
    <w:rsid w:val="001C52BE"/>
    <w:rsid w:val="001C5351"/>
    <w:rsid w:val="001C5496"/>
    <w:rsid w:val="001C5AE4"/>
    <w:rsid w:val="001C634F"/>
    <w:rsid w:val="001C6CF3"/>
    <w:rsid w:val="001C6E20"/>
    <w:rsid w:val="001C7329"/>
    <w:rsid w:val="001C74E0"/>
    <w:rsid w:val="001C7801"/>
    <w:rsid w:val="001C7B9D"/>
    <w:rsid w:val="001C7C2F"/>
    <w:rsid w:val="001D0A87"/>
    <w:rsid w:val="001D0FE6"/>
    <w:rsid w:val="001D140D"/>
    <w:rsid w:val="001D1905"/>
    <w:rsid w:val="001D19DE"/>
    <w:rsid w:val="001D2592"/>
    <w:rsid w:val="001D2640"/>
    <w:rsid w:val="001D2A99"/>
    <w:rsid w:val="001D3FD6"/>
    <w:rsid w:val="001D4031"/>
    <w:rsid w:val="001D518F"/>
    <w:rsid w:val="001D5CD5"/>
    <w:rsid w:val="001D606A"/>
    <w:rsid w:val="001D6125"/>
    <w:rsid w:val="001D688E"/>
    <w:rsid w:val="001D6B3B"/>
    <w:rsid w:val="001D72AB"/>
    <w:rsid w:val="001D7832"/>
    <w:rsid w:val="001D7F7F"/>
    <w:rsid w:val="001E0710"/>
    <w:rsid w:val="001E0DE7"/>
    <w:rsid w:val="001E0F36"/>
    <w:rsid w:val="001E1420"/>
    <w:rsid w:val="001E163B"/>
    <w:rsid w:val="001E1ADF"/>
    <w:rsid w:val="001E1BC8"/>
    <w:rsid w:val="001E217D"/>
    <w:rsid w:val="001E2974"/>
    <w:rsid w:val="001E2E9D"/>
    <w:rsid w:val="001E3B05"/>
    <w:rsid w:val="001E3B7C"/>
    <w:rsid w:val="001E3BC9"/>
    <w:rsid w:val="001E4409"/>
    <w:rsid w:val="001E49C6"/>
    <w:rsid w:val="001E5418"/>
    <w:rsid w:val="001E6B2C"/>
    <w:rsid w:val="001E6BF8"/>
    <w:rsid w:val="001E6C85"/>
    <w:rsid w:val="001E6FC8"/>
    <w:rsid w:val="001E754F"/>
    <w:rsid w:val="001E77E6"/>
    <w:rsid w:val="001F0770"/>
    <w:rsid w:val="001F0F39"/>
    <w:rsid w:val="001F0FA5"/>
    <w:rsid w:val="001F1771"/>
    <w:rsid w:val="001F2428"/>
    <w:rsid w:val="001F29B7"/>
    <w:rsid w:val="001F3555"/>
    <w:rsid w:val="001F3D07"/>
    <w:rsid w:val="001F3F3C"/>
    <w:rsid w:val="001F414F"/>
    <w:rsid w:val="001F57FF"/>
    <w:rsid w:val="001F596F"/>
    <w:rsid w:val="001F5A97"/>
    <w:rsid w:val="001F5C9F"/>
    <w:rsid w:val="001F6147"/>
    <w:rsid w:val="001F6DFD"/>
    <w:rsid w:val="0020031C"/>
    <w:rsid w:val="0020039D"/>
    <w:rsid w:val="002004B3"/>
    <w:rsid w:val="00200531"/>
    <w:rsid w:val="0020067C"/>
    <w:rsid w:val="00200969"/>
    <w:rsid w:val="002013B8"/>
    <w:rsid w:val="00201DAF"/>
    <w:rsid w:val="0020210D"/>
    <w:rsid w:val="002022D5"/>
    <w:rsid w:val="002024A9"/>
    <w:rsid w:val="00202A4F"/>
    <w:rsid w:val="00202BFF"/>
    <w:rsid w:val="002039F6"/>
    <w:rsid w:val="0020454D"/>
    <w:rsid w:val="002049D0"/>
    <w:rsid w:val="00204B0C"/>
    <w:rsid w:val="00204BA1"/>
    <w:rsid w:val="00204FA7"/>
    <w:rsid w:val="0020509E"/>
    <w:rsid w:val="0020624B"/>
    <w:rsid w:val="00206915"/>
    <w:rsid w:val="00211A80"/>
    <w:rsid w:val="00211AB6"/>
    <w:rsid w:val="00211D34"/>
    <w:rsid w:val="00211FDD"/>
    <w:rsid w:val="00212A56"/>
    <w:rsid w:val="00212E34"/>
    <w:rsid w:val="00214343"/>
    <w:rsid w:val="00214A7B"/>
    <w:rsid w:val="00214AF6"/>
    <w:rsid w:val="00214C2D"/>
    <w:rsid w:val="00214F04"/>
    <w:rsid w:val="002153B3"/>
    <w:rsid w:val="00215443"/>
    <w:rsid w:val="00215546"/>
    <w:rsid w:val="002158D6"/>
    <w:rsid w:val="002166CE"/>
    <w:rsid w:val="00216A6C"/>
    <w:rsid w:val="0021706F"/>
    <w:rsid w:val="002170F4"/>
    <w:rsid w:val="00217233"/>
    <w:rsid w:val="002174CF"/>
    <w:rsid w:val="00217ADB"/>
    <w:rsid w:val="002205D0"/>
    <w:rsid w:val="00220801"/>
    <w:rsid w:val="0022080B"/>
    <w:rsid w:val="00220862"/>
    <w:rsid w:val="00220E5A"/>
    <w:rsid w:val="002210C4"/>
    <w:rsid w:val="00221218"/>
    <w:rsid w:val="00221277"/>
    <w:rsid w:val="0022248E"/>
    <w:rsid w:val="00222A78"/>
    <w:rsid w:val="00222BF9"/>
    <w:rsid w:val="002232B6"/>
    <w:rsid w:val="00223C74"/>
    <w:rsid w:val="002246AD"/>
    <w:rsid w:val="00224D9D"/>
    <w:rsid w:val="002250AF"/>
    <w:rsid w:val="0022517F"/>
    <w:rsid w:val="002262EB"/>
    <w:rsid w:val="0022654E"/>
    <w:rsid w:val="00226CA7"/>
    <w:rsid w:val="00226F06"/>
    <w:rsid w:val="00227485"/>
    <w:rsid w:val="00227903"/>
    <w:rsid w:val="002304D5"/>
    <w:rsid w:val="00230980"/>
    <w:rsid w:val="00230A14"/>
    <w:rsid w:val="00230D1A"/>
    <w:rsid w:val="002313F1"/>
    <w:rsid w:val="002315E1"/>
    <w:rsid w:val="002316E1"/>
    <w:rsid w:val="00231A84"/>
    <w:rsid w:val="00231A90"/>
    <w:rsid w:val="00232739"/>
    <w:rsid w:val="002329E1"/>
    <w:rsid w:val="00232E6A"/>
    <w:rsid w:val="00232EA2"/>
    <w:rsid w:val="0023320E"/>
    <w:rsid w:val="002337CD"/>
    <w:rsid w:val="00234410"/>
    <w:rsid w:val="00234537"/>
    <w:rsid w:val="00235954"/>
    <w:rsid w:val="002359B9"/>
    <w:rsid w:val="00235A8E"/>
    <w:rsid w:val="00235D01"/>
    <w:rsid w:val="00236FC3"/>
    <w:rsid w:val="0023720C"/>
    <w:rsid w:val="0023736C"/>
    <w:rsid w:val="002379AC"/>
    <w:rsid w:val="00237CB4"/>
    <w:rsid w:val="0024042E"/>
    <w:rsid w:val="0024077B"/>
    <w:rsid w:val="002408C1"/>
    <w:rsid w:val="00240C67"/>
    <w:rsid w:val="00240D34"/>
    <w:rsid w:val="00241070"/>
    <w:rsid w:val="00241B1D"/>
    <w:rsid w:val="00241FEE"/>
    <w:rsid w:val="00242F69"/>
    <w:rsid w:val="002438E8"/>
    <w:rsid w:val="00243BA1"/>
    <w:rsid w:val="00243C4A"/>
    <w:rsid w:val="00244142"/>
    <w:rsid w:val="00244930"/>
    <w:rsid w:val="00244DD2"/>
    <w:rsid w:val="002460D6"/>
    <w:rsid w:val="0024629B"/>
    <w:rsid w:val="00246659"/>
    <w:rsid w:val="002469E1"/>
    <w:rsid w:val="00246BA1"/>
    <w:rsid w:val="00247144"/>
    <w:rsid w:val="00247738"/>
    <w:rsid w:val="00247746"/>
    <w:rsid w:val="00247E65"/>
    <w:rsid w:val="002513E5"/>
    <w:rsid w:val="00251E0B"/>
    <w:rsid w:val="00252145"/>
    <w:rsid w:val="0025232D"/>
    <w:rsid w:val="002527CF"/>
    <w:rsid w:val="002532E8"/>
    <w:rsid w:val="00253752"/>
    <w:rsid w:val="002537A2"/>
    <w:rsid w:val="00253AA0"/>
    <w:rsid w:val="00253D15"/>
    <w:rsid w:val="00253E97"/>
    <w:rsid w:val="002548C0"/>
    <w:rsid w:val="0025493B"/>
    <w:rsid w:val="00255610"/>
    <w:rsid w:val="0025646E"/>
    <w:rsid w:val="00256793"/>
    <w:rsid w:val="002567AC"/>
    <w:rsid w:val="00256C76"/>
    <w:rsid w:val="00257BA4"/>
    <w:rsid w:val="002603EF"/>
    <w:rsid w:val="002603F1"/>
    <w:rsid w:val="00260DE2"/>
    <w:rsid w:val="00261466"/>
    <w:rsid w:val="00261993"/>
    <w:rsid w:val="002622FF"/>
    <w:rsid w:val="0026337E"/>
    <w:rsid w:val="002635D4"/>
    <w:rsid w:val="002643F0"/>
    <w:rsid w:val="0026454C"/>
    <w:rsid w:val="002648C8"/>
    <w:rsid w:val="002658BC"/>
    <w:rsid w:val="00265D92"/>
    <w:rsid w:val="00265E88"/>
    <w:rsid w:val="00266940"/>
    <w:rsid w:val="00266CD6"/>
    <w:rsid w:val="00267647"/>
    <w:rsid w:val="00270033"/>
    <w:rsid w:val="002703D7"/>
    <w:rsid w:val="00270443"/>
    <w:rsid w:val="00270650"/>
    <w:rsid w:val="002710DB"/>
    <w:rsid w:val="0027183F"/>
    <w:rsid w:val="00271A3F"/>
    <w:rsid w:val="00271DB3"/>
    <w:rsid w:val="0027217D"/>
    <w:rsid w:val="002731F0"/>
    <w:rsid w:val="00273D60"/>
    <w:rsid w:val="00274280"/>
    <w:rsid w:val="00274468"/>
    <w:rsid w:val="00274471"/>
    <w:rsid w:val="0027471A"/>
    <w:rsid w:val="00274761"/>
    <w:rsid w:val="002747CA"/>
    <w:rsid w:val="002748EA"/>
    <w:rsid w:val="00274950"/>
    <w:rsid w:val="0027555A"/>
    <w:rsid w:val="00275C11"/>
    <w:rsid w:val="0027644B"/>
    <w:rsid w:val="00276811"/>
    <w:rsid w:val="00276B1D"/>
    <w:rsid w:val="00276FC0"/>
    <w:rsid w:val="00277C32"/>
    <w:rsid w:val="00280A1F"/>
    <w:rsid w:val="002810A9"/>
    <w:rsid w:val="00281280"/>
    <w:rsid w:val="002822D6"/>
    <w:rsid w:val="0028248D"/>
    <w:rsid w:val="002830C3"/>
    <w:rsid w:val="00283C22"/>
    <w:rsid w:val="00283EF7"/>
    <w:rsid w:val="0028434F"/>
    <w:rsid w:val="002848ED"/>
    <w:rsid w:val="00284A90"/>
    <w:rsid w:val="0028544C"/>
    <w:rsid w:val="00285A7D"/>
    <w:rsid w:val="00285C02"/>
    <w:rsid w:val="00285C46"/>
    <w:rsid w:val="00285F07"/>
    <w:rsid w:val="00286A2D"/>
    <w:rsid w:val="002877DA"/>
    <w:rsid w:val="00287A4F"/>
    <w:rsid w:val="0029066E"/>
    <w:rsid w:val="00290F97"/>
    <w:rsid w:val="0029122F"/>
    <w:rsid w:val="0029333F"/>
    <w:rsid w:val="00293503"/>
    <w:rsid w:val="00293831"/>
    <w:rsid w:val="00294134"/>
    <w:rsid w:val="00294DB5"/>
    <w:rsid w:val="00294E92"/>
    <w:rsid w:val="0029530D"/>
    <w:rsid w:val="002953A1"/>
    <w:rsid w:val="00295E01"/>
    <w:rsid w:val="00296145"/>
    <w:rsid w:val="002964CF"/>
    <w:rsid w:val="00296D97"/>
    <w:rsid w:val="002974E3"/>
    <w:rsid w:val="002979F9"/>
    <w:rsid w:val="002A02C0"/>
    <w:rsid w:val="002A0782"/>
    <w:rsid w:val="002A0AA2"/>
    <w:rsid w:val="002A0DC7"/>
    <w:rsid w:val="002A32FE"/>
    <w:rsid w:val="002A3538"/>
    <w:rsid w:val="002A4513"/>
    <w:rsid w:val="002A4BC9"/>
    <w:rsid w:val="002A4BF5"/>
    <w:rsid w:val="002A5144"/>
    <w:rsid w:val="002A5355"/>
    <w:rsid w:val="002A5816"/>
    <w:rsid w:val="002A596F"/>
    <w:rsid w:val="002A5C52"/>
    <w:rsid w:val="002A6A5B"/>
    <w:rsid w:val="002A6AB0"/>
    <w:rsid w:val="002A734A"/>
    <w:rsid w:val="002A76CC"/>
    <w:rsid w:val="002B091A"/>
    <w:rsid w:val="002B0EC1"/>
    <w:rsid w:val="002B1035"/>
    <w:rsid w:val="002B11E2"/>
    <w:rsid w:val="002B14A6"/>
    <w:rsid w:val="002B19AD"/>
    <w:rsid w:val="002B1CC3"/>
    <w:rsid w:val="002B1EB5"/>
    <w:rsid w:val="002B24B8"/>
    <w:rsid w:val="002B283F"/>
    <w:rsid w:val="002B2CE0"/>
    <w:rsid w:val="002B3128"/>
    <w:rsid w:val="002B3288"/>
    <w:rsid w:val="002B421E"/>
    <w:rsid w:val="002B4C18"/>
    <w:rsid w:val="002B577A"/>
    <w:rsid w:val="002B5FA4"/>
    <w:rsid w:val="002B5FC0"/>
    <w:rsid w:val="002B6841"/>
    <w:rsid w:val="002B71E0"/>
    <w:rsid w:val="002B7491"/>
    <w:rsid w:val="002C039D"/>
    <w:rsid w:val="002C1A34"/>
    <w:rsid w:val="002C1A89"/>
    <w:rsid w:val="002C1F3B"/>
    <w:rsid w:val="002C206D"/>
    <w:rsid w:val="002C2207"/>
    <w:rsid w:val="002C22C7"/>
    <w:rsid w:val="002C24CB"/>
    <w:rsid w:val="002C345B"/>
    <w:rsid w:val="002C34C6"/>
    <w:rsid w:val="002C3644"/>
    <w:rsid w:val="002C3D42"/>
    <w:rsid w:val="002C3DD5"/>
    <w:rsid w:val="002C3FEA"/>
    <w:rsid w:val="002C4D9F"/>
    <w:rsid w:val="002C4E91"/>
    <w:rsid w:val="002C556D"/>
    <w:rsid w:val="002C5729"/>
    <w:rsid w:val="002C6B73"/>
    <w:rsid w:val="002C7C12"/>
    <w:rsid w:val="002D02F0"/>
    <w:rsid w:val="002D1C28"/>
    <w:rsid w:val="002D1CB1"/>
    <w:rsid w:val="002D2345"/>
    <w:rsid w:val="002D26C8"/>
    <w:rsid w:val="002D27D1"/>
    <w:rsid w:val="002D2B49"/>
    <w:rsid w:val="002D3884"/>
    <w:rsid w:val="002D3AE9"/>
    <w:rsid w:val="002D3E08"/>
    <w:rsid w:val="002D4480"/>
    <w:rsid w:val="002D5ADA"/>
    <w:rsid w:val="002D5EDB"/>
    <w:rsid w:val="002D6029"/>
    <w:rsid w:val="002D6D02"/>
    <w:rsid w:val="002D6F69"/>
    <w:rsid w:val="002E0305"/>
    <w:rsid w:val="002E0F89"/>
    <w:rsid w:val="002E1789"/>
    <w:rsid w:val="002E1C46"/>
    <w:rsid w:val="002E1CAF"/>
    <w:rsid w:val="002E2BAB"/>
    <w:rsid w:val="002E2E83"/>
    <w:rsid w:val="002E3914"/>
    <w:rsid w:val="002E4083"/>
    <w:rsid w:val="002E4A33"/>
    <w:rsid w:val="002E75AE"/>
    <w:rsid w:val="002E7772"/>
    <w:rsid w:val="002E789F"/>
    <w:rsid w:val="002E7A1F"/>
    <w:rsid w:val="002E7D43"/>
    <w:rsid w:val="002F0036"/>
    <w:rsid w:val="002F0734"/>
    <w:rsid w:val="002F0A02"/>
    <w:rsid w:val="002F0C18"/>
    <w:rsid w:val="002F0D8F"/>
    <w:rsid w:val="002F185D"/>
    <w:rsid w:val="002F1898"/>
    <w:rsid w:val="002F18E9"/>
    <w:rsid w:val="002F1F59"/>
    <w:rsid w:val="002F2252"/>
    <w:rsid w:val="002F2461"/>
    <w:rsid w:val="002F2F4A"/>
    <w:rsid w:val="002F325D"/>
    <w:rsid w:val="002F34C3"/>
    <w:rsid w:val="002F3E60"/>
    <w:rsid w:val="002F46E7"/>
    <w:rsid w:val="002F4842"/>
    <w:rsid w:val="002F51BA"/>
    <w:rsid w:val="002F5B92"/>
    <w:rsid w:val="002F6124"/>
    <w:rsid w:val="002F6428"/>
    <w:rsid w:val="002F66C1"/>
    <w:rsid w:val="002F68AD"/>
    <w:rsid w:val="002F6C10"/>
    <w:rsid w:val="002F6C2E"/>
    <w:rsid w:val="002F7CC7"/>
    <w:rsid w:val="002F7FC7"/>
    <w:rsid w:val="00300A83"/>
    <w:rsid w:val="00300FB6"/>
    <w:rsid w:val="0030159C"/>
    <w:rsid w:val="00301955"/>
    <w:rsid w:val="00301A19"/>
    <w:rsid w:val="00301F53"/>
    <w:rsid w:val="0030296C"/>
    <w:rsid w:val="003039D7"/>
    <w:rsid w:val="0030415E"/>
    <w:rsid w:val="00305093"/>
    <w:rsid w:val="0030517B"/>
    <w:rsid w:val="00305C18"/>
    <w:rsid w:val="003061C1"/>
    <w:rsid w:val="00306558"/>
    <w:rsid w:val="00307254"/>
    <w:rsid w:val="0030785C"/>
    <w:rsid w:val="00310132"/>
    <w:rsid w:val="003101B1"/>
    <w:rsid w:val="003101DA"/>
    <w:rsid w:val="00310672"/>
    <w:rsid w:val="00310A1C"/>
    <w:rsid w:val="00310F7B"/>
    <w:rsid w:val="0031123A"/>
    <w:rsid w:val="00311757"/>
    <w:rsid w:val="0031211D"/>
    <w:rsid w:val="00312A3F"/>
    <w:rsid w:val="00312D6B"/>
    <w:rsid w:val="0031303F"/>
    <w:rsid w:val="0031321F"/>
    <w:rsid w:val="00313CFF"/>
    <w:rsid w:val="003140FB"/>
    <w:rsid w:val="003142FC"/>
    <w:rsid w:val="00314757"/>
    <w:rsid w:val="0031483B"/>
    <w:rsid w:val="003149DC"/>
    <w:rsid w:val="003167F7"/>
    <w:rsid w:val="003173E6"/>
    <w:rsid w:val="00320005"/>
    <w:rsid w:val="0032067D"/>
    <w:rsid w:val="003211CE"/>
    <w:rsid w:val="0032127E"/>
    <w:rsid w:val="003214B2"/>
    <w:rsid w:val="00321A75"/>
    <w:rsid w:val="00321A8A"/>
    <w:rsid w:val="00321DA4"/>
    <w:rsid w:val="00321E08"/>
    <w:rsid w:val="003224C7"/>
    <w:rsid w:val="00323252"/>
    <w:rsid w:val="003244B2"/>
    <w:rsid w:val="00324A69"/>
    <w:rsid w:val="003252ED"/>
    <w:rsid w:val="003254C8"/>
    <w:rsid w:val="00325559"/>
    <w:rsid w:val="00325A05"/>
    <w:rsid w:val="00325A1E"/>
    <w:rsid w:val="00326720"/>
    <w:rsid w:val="00327126"/>
    <w:rsid w:val="0032712F"/>
    <w:rsid w:val="0032765E"/>
    <w:rsid w:val="00327B96"/>
    <w:rsid w:val="00330809"/>
    <w:rsid w:val="003310B6"/>
    <w:rsid w:val="003314B1"/>
    <w:rsid w:val="003316EB"/>
    <w:rsid w:val="00331922"/>
    <w:rsid w:val="0033199D"/>
    <w:rsid w:val="00332391"/>
    <w:rsid w:val="00332711"/>
    <w:rsid w:val="003334D4"/>
    <w:rsid w:val="00333A4F"/>
    <w:rsid w:val="00333E56"/>
    <w:rsid w:val="00333EBF"/>
    <w:rsid w:val="003343C1"/>
    <w:rsid w:val="003344CC"/>
    <w:rsid w:val="003345BD"/>
    <w:rsid w:val="0033464F"/>
    <w:rsid w:val="003347B0"/>
    <w:rsid w:val="00334CEE"/>
    <w:rsid w:val="0033516F"/>
    <w:rsid w:val="00335342"/>
    <w:rsid w:val="003355DB"/>
    <w:rsid w:val="003360F8"/>
    <w:rsid w:val="003364ED"/>
    <w:rsid w:val="0033673D"/>
    <w:rsid w:val="003369BE"/>
    <w:rsid w:val="00336E75"/>
    <w:rsid w:val="00336F42"/>
    <w:rsid w:val="00337690"/>
    <w:rsid w:val="003376B0"/>
    <w:rsid w:val="00337894"/>
    <w:rsid w:val="00337EB6"/>
    <w:rsid w:val="00337F30"/>
    <w:rsid w:val="0034007B"/>
    <w:rsid w:val="00340B7A"/>
    <w:rsid w:val="00340E5D"/>
    <w:rsid w:val="0034180F"/>
    <w:rsid w:val="00341A96"/>
    <w:rsid w:val="00341BBF"/>
    <w:rsid w:val="003420A6"/>
    <w:rsid w:val="0034217D"/>
    <w:rsid w:val="0034235E"/>
    <w:rsid w:val="00342B0F"/>
    <w:rsid w:val="00344651"/>
    <w:rsid w:val="0034476F"/>
    <w:rsid w:val="00344B1B"/>
    <w:rsid w:val="00345017"/>
    <w:rsid w:val="0034504C"/>
    <w:rsid w:val="003451EB"/>
    <w:rsid w:val="00345460"/>
    <w:rsid w:val="00345ECA"/>
    <w:rsid w:val="00346675"/>
    <w:rsid w:val="00346F5B"/>
    <w:rsid w:val="003474E1"/>
    <w:rsid w:val="00347AE5"/>
    <w:rsid w:val="003500AC"/>
    <w:rsid w:val="003502F6"/>
    <w:rsid w:val="003507C9"/>
    <w:rsid w:val="00350B54"/>
    <w:rsid w:val="00350C9D"/>
    <w:rsid w:val="00351022"/>
    <w:rsid w:val="0035106B"/>
    <w:rsid w:val="0035143B"/>
    <w:rsid w:val="003514CE"/>
    <w:rsid w:val="00352670"/>
    <w:rsid w:val="00352724"/>
    <w:rsid w:val="003529FD"/>
    <w:rsid w:val="00352B66"/>
    <w:rsid w:val="0035321E"/>
    <w:rsid w:val="00353665"/>
    <w:rsid w:val="0035381A"/>
    <w:rsid w:val="00353F29"/>
    <w:rsid w:val="0035403A"/>
    <w:rsid w:val="003544CE"/>
    <w:rsid w:val="00354C07"/>
    <w:rsid w:val="00354C1A"/>
    <w:rsid w:val="003554F5"/>
    <w:rsid w:val="0035570F"/>
    <w:rsid w:val="003564A5"/>
    <w:rsid w:val="00356723"/>
    <w:rsid w:val="00356AB1"/>
    <w:rsid w:val="00356F3D"/>
    <w:rsid w:val="00357020"/>
    <w:rsid w:val="003576FB"/>
    <w:rsid w:val="003578CD"/>
    <w:rsid w:val="00357B92"/>
    <w:rsid w:val="00360975"/>
    <w:rsid w:val="00360A69"/>
    <w:rsid w:val="00361C9E"/>
    <w:rsid w:val="003624C2"/>
    <w:rsid w:val="00362CFB"/>
    <w:rsid w:val="00363371"/>
    <w:rsid w:val="00363700"/>
    <w:rsid w:val="00363920"/>
    <w:rsid w:val="0036394B"/>
    <w:rsid w:val="003649A5"/>
    <w:rsid w:val="003657E2"/>
    <w:rsid w:val="003660BB"/>
    <w:rsid w:val="0036694B"/>
    <w:rsid w:val="003675D5"/>
    <w:rsid w:val="00367C6B"/>
    <w:rsid w:val="00367C6D"/>
    <w:rsid w:val="003709B5"/>
    <w:rsid w:val="00370D00"/>
    <w:rsid w:val="0037201F"/>
    <w:rsid w:val="003729C8"/>
    <w:rsid w:val="00373BD0"/>
    <w:rsid w:val="00373FFD"/>
    <w:rsid w:val="00374A6C"/>
    <w:rsid w:val="00374F25"/>
    <w:rsid w:val="00375577"/>
    <w:rsid w:val="00375660"/>
    <w:rsid w:val="003759C2"/>
    <w:rsid w:val="00376306"/>
    <w:rsid w:val="0037634F"/>
    <w:rsid w:val="00377B57"/>
    <w:rsid w:val="0038027D"/>
    <w:rsid w:val="0038035B"/>
    <w:rsid w:val="00380520"/>
    <w:rsid w:val="00380A35"/>
    <w:rsid w:val="0038198C"/>
    <w:rsid w:val="00381A21"/>
    <w:rsid w:val="00381A72"/>
    <w:rsid w:val="00381AAD"/>
    <w:rsid w:val="0038200A"/>
    <w:rsid w:val="00382CA0"/>
    <w:rsid w:val="003835E3"/>
    <w:rsid w:val="00384BD0"/>
    <w:rsid w:val="00384FB6"/>
    <w:rsid w:val="0038554B"/>
    <w:rsid w:val="00385594"/>
    <w:rsid w:val="00385603"/>
    <w:rsid w:val="00386B14"/>
    <w:rsid w:val="00387109"/>
    <w:rsid w:val="00387402"/>
    <w:rsid w:val="003907D4"/>
    <w:rsid w:val="0039130D"/>
    <w:rsid w:val="00391514"/>
    <w:rsid w:val="00392B88"/>
    <w:rsid w:val="00392F78"/>
    <w:rsid w:val="003932A8"/>
    <w:rsid w:val="00393F3A"/>
    <w:rsid w:val="0039427C"/>
    <w:rsid w:val="00395544"/>
    <w:rsid w:val="00396111"/>
    <w:rsid w:val="00396194"/>
    <w:rsid w:val="003972A9"/>
    <w:rsid w:val="00397365"/>
    <w:rsid w:val="00397F58"/>
    <w:rsid w:val="003A00C2"/>
    <w:rsid w:val="003A07A9"/>
    <w:rsid w:val="003A086F"/>
    <w:rsid w:val="003A127B"/>
    <w:rsid w:val="003A1ABF"/>
    <w:rsid w:val="003A1FC1"/>
    <w:rsid w:val="003A2FDA"/>
    <w:rsid w:val="003A3067"/>
    <w:rsid w:val="003A31F6"/>
    <w:rsid w:val="003A3D14"/>
    <w:rsid w:val="003A42CF"/>
    <w:rsid w:val="003A4534"/>
    <w:rsid w:val="003A4B7B"/>
    <w:rsid w:val="003A5BE5"/>
    <w:rsid w:val="003A5BF4"/>
    <w:rsid w:val="003A5DDB"/>
    <w:rsid w:val="003A67EC"/>
    <w:rsid w:val="003A6C11"/>
    <w:rsid w:val="003A6ED1"/>
    <w:rsid w:val="003A7C80"/>
    <w:rsid w:val="003B02AE"/>
    <w:rsid w:val="003B02D0"/>
    <w:rsid w:val="003B03EB"/>
    <w:rsid w:val="003B0474"/>
    <w:rsid w:val="003B0EC7"/>
    <w:rsid w:val="003B16F0"/>
    <w:rsid w:val="003B1F50"/>
    <w:rsid w:val="003B236C"/>
    <w:rsid w:val="003B2EAE"/>
    <w:rsid w:val="003B2FA4"/>
    <w:rsid w:val="003B3DE5"/>
    <w:rsid w:val="003B3FA8"/>
    <w:rsid w:val="003B41F5"/>
    <w:rsid w:val="003B4746"/>
    <w:rsid w:val="003B48C7"/>
    <w:rsid w:val="003B5132"/>
    <w:rsid w:val="003B530A"/>
    <w:rsid w:val="003B57CC"/>
    <w:rsid w:val="003B5B98"/>
    <w:rsid w:val="003B5BE6"/>
    <w:rsid w:val="003B5CF8"/>
    <w:rsid w:val="003B716E"/>
    <w:rsid w:val="003B7418"/>
    <w:rsid w:val="003B7A7F"/>
    <w:rsid w:val="003C00E2"/>
    <w:rsid w:val="003C0213"/>
    <w:rsid w:val="003C0DD2"/>
    <w:rsid w:val="003C0E3D"/>
    <w:rsid w:val="003C1407"/>
    <w:rsid w:val="003C14B7"/>
    <w:rsid w:val="003C2141"/>
    <w:rsid w:val="003C265D"/>
    <w:rsid w:val="003C2756"/>
    <w:rsid w:val="003C28CE"/>
    <w:rsid w:val="003C2DD7"/>
    <w:rsid w:val="003C30BE"/>
    <w:rsid w:val="003C311F"/>
    <w:rsid w:val="003C3282"/>
    <w:rsid w:val="003C3447"/>
    <w:rsid w:val="003C3D0A"/>
    <w:rsid w:val="003C3F8A"/>
    <w:rsid w:val="003C45B9"/>
    <w:rsid w:val="003C4C33"/>
    <w:rsid w:val="003C4E58"/>
    <w:rsid w:val="003C5EDD"/>
    <w:rsid w:val="003C64B0"/>
    <w:rsid w:val="003C6664"/>
    <w:rsid w:val="003C6F9D"/>
    <w:rsid w:val="003C791B"/>
    <w:rsid w:val="003C7A49"/>
    <w:rsid w:val="003C7C25"/>
    <w:rsid w:val="003C7DC2"/>
    <w:rsid w:val="003C7F3C"/>
    <w:rsid w:val="003C7F7F"/>
    <w:rsid w:val="003D0173"/>
    <w:rsid w:val="003D057F"/>
    <w:rsid w:val="003D076C"/>
    <w:rsid w:val="003D0792"/>
    <w:rsid w:val="003D0794"/>
    <w:rsid w:val="003D191C"/>
    <w:rsid w:val="003D198D"/>
    <w:rsid w:val="003D2764"/>
    <w:rsid w:val="003D2868"/>
    <w:rsid w:val="003D2E3D"/>
    <w:rsid w:val="003D2F51"/>
    <w:rsid w:val="003D4BDB"/>
    <w:rsid w:val="003D5BEF"/>
    <w:rsid w:val="003D5CD2"/>
    <w:rsid w:val="003D62A8"/>
    <w:rsid w:val="003D6380"/>
    <w:rsid w:val="003D7BA1"/>
    <w:rsid w:val="003D7C36"/>
    <w:rsid w:val="003D7F1F"/>
    <w:rsid w:val="003E04F2"/>
    <w:rsid w:val="003E0B20"/>
    <w:rsid w:val="003E23C5"/>
    <w:rsid w:val="003E2A8A"/>
    <w:rsid w:val="003E2E4C"/>
    <w:rsid w:val="003E4327"/>
    <w:rsid w:val="003E43A8"/>
    <w:rsid w:val="003E5D11"/>
    <w:rsid w:val="003E63ED"/>
    <w:rsid w:val="003E65E4"/>
    <w:rsid w:val="003E6F56"/>
    <w:rsid w:val="003E736B"/>
    <w:rsid w:val="003F09BC"/>
    <w:rsid w:val="003F18C7"/>
    <w:rsid w:val="003F1B5E"/>
    <w:rsid w:val="003F2943"/>
    <w:rsid w:val="003F367D"/>
    <w:rsid w:val="003F3D9D"/>
    <w:rsid w:val="003F4354"/>
    <w:rsid w:val="003F4518"/>
    <w:rsid w:val="003F5D23"/>
    <w:rsid w:val="003F5DBD"/>
    <w:rsid w:val="003F6023"/>
    <w:rsid w:val="003F6BC6"/>
    <w:rsid w:val="003F71C5"/>
    <w:rsid w:val="003F7264"/>
    <w:rsid w:val="003F757A"/>
    <w:rsid w:val="003F7AAE"/>
    <w:rsid w:val="003F7C9F"/>
    <w:rsid w:val="00400278"/>
    <w:rsid w:val="00400B37"/>
    <w:rsid w:val="00400D59"/>
    <w:rsid w:val="00401197"/>
    <w:rsid w:val="00401234"/>
    <w:rsid w:val="004019EF"/>
    <w:rsid w:val="00401A0E"/>
    <w:rsid w:val="004022E2"/>
    <w:rsid w:val="00402C1E"/>
    <w:rsid w:val="00402D14"/>
    <w:rsid w:val="00402ED9"/>
    <w:rsid w:val="00403AAE"/>
    <w:rsid w:val="00403C51"/>
    <w:rsid w:val="00404505"/>
    <w:rsid w:val="00404994"/>
    <w:rsid w:val="004053F2"/>
    <w:rsid w:val="004055E5"/>
    <w:rsid w:val="0040560B"/>
    <w:rsid w:val="00405B07"/>
    <w:rsid w:val="00406CB8"/>
    <w:rsid w:val="00407868"/>
    <w:rsid w:val="0041009E"/>
    <w:rsid w:val="004105E0"/>
    <w:rsid w:val="00410668"/>
    <w:rsid w:val="0041142F"/>
    <w:rsid w:val="00412AB9"/>
    <w:rsid w:val="0041309A"/>
    <w:rsid w:val="00413627"/>
    <w:rsid w:val="00413851"/>
    <w:rsid w:val="0041463E"/>
    <w:rsid w:val="00414871"/>
    <w:rsid w:val="004149C2"/>
    <w:rsid w:val="004153FE"/>
    <w:rsid w:val="004158FF"/>
    <w:rsid w:val="00415900"/>
    <w:rsid w:val="00415BAB"/>
    <w:rsid w:val="00415D90"/>
    <w:rsid w:val="00415ED2"/>
    <w:rsid w:val="00416213"/>
    <w:rsid w:val="0041672B"/>
    <w:rsid w:val="00416C56"/>
    <w:rsid w:val="00417121"/>
    <w:rsid w:val="00417562"/>
    <w:rsid w:val="004176E5"/>
    <w:rsid w:val="00417B2A"/>
    <w:rsid w:val="00417DD3"/>
    <w:rsid w:val="0042068C"/>
    <w:rsid w:val="004211BA"/>
    <w:rsid w:val="00421A7B"/>
    <w:rsid w:val="00422EDE"/>
    <w:rsid w:val="004232AB"/>
    <w:rsid w:val="0042332F"/>
    <w:rsid w:val="004233C1"/>
    <w:rsid w:val="0042344D"/>
    <w:rsid w:val="0042392B"/>
    <w:rsid w:val="00423E75"/>
    <w:rsid w:val="00424484"/>
    <w:rsid w:val="00424C27"/>
    <w:rsid w:val="00424EEC"/>
    <w:rsid w:val="0042527D"/>
    <w:rsid w:val="00425A4A"/>
    <w:rsid w:val="00425C1A"/>
    <w:rsid w:val="00426544"/>
    <w:rsid w:val="0043037D"/>
    <w:rsid w:val="00430BF2"/>
    <w:rsid w:val="004310B5"/>
    <w:rsid w:val="0043172C"/>
    <w:rsid w:val="00431759"/>
    <w:rsid w:val="004318E7"/>
    <w:rsid w:val="00431C6C"/>
    <w:rsid w:val="0043200D"/>
    <w:rsid w:val="004325F9"/>
    <w:rsid w:val="00432C21"/>
    <w:rsid w:val="004339A9"/>
    <w:rsid w:val="004345C6"/>
    <w:rsid w:val="004348AC"/>
    <w:rsid w:val="00434E5F"/>
    <w:rsid w:val="00435635"/>
    <w:rsid w:val="00435C80"/>
    <w:rsid w:val="00435E4D"/>
    <w:rsid w:val="00436229"/>
    <w:rsid w:val="0043622D"/>
    <w:rsid w:val="00436676"/>
    <w:rsid w:val="00436D71"/>
    <w:rsid w:val="00437AAD"/>
    <w:rsid w:val="00437D44"/>
    <w:rsid w:val="00440558"/>
    <w:rsid w:val="00441A32"/>
    <w:rsid w:val="00442591"/>
    <w:rsid w:val="004433CD"/>
    <w:rsid w:val="004436EF"/>
    <w:rsid w:val="00443A24"/>
    <w:rsid w:val="0044422F"/>
    <w:rsid w:val="00444AD1"/>
    <w:rsid w:val="004451EB"/>
    <w:rsid w:val="00446335"/>
    <w:rsid w:val="004466BC"/>
    <w:rsid w:val="004469D8"/>
    <w:rsid w:val="00446C21"/>
    <w:rsid w:val="00447762"/>
    <w:rsid w:val="00447771"/>
    <w:rsid w:val="004477F3"/>
    <w:rsid w:val="00447A7C"/>
    <w:rsid w:val="004500D9"/>
    <w:rsid w:val="0045045F"/>
    <w:rsid w:val="004510F6"/>
    <w:rsid w:val="004512CA"/>
    <w:rsid w:val="0045175B"/>
    <w:rsid w:val="00451874"/>
    <w:rsid w:val="004520AB"/>
    <w:rsid w:val="004527B4"/>
    <w:rsid w:val="00452EAA"/>
    <w:rsid w:val="00452EFC"/>
    <w:rsid w:val="00453905"/>
    <w:rsid w:val="00453EC7"/>
    <w:rsid w:val="00454716"/>
    <w:rsid w:val="00454AB9"/>
    <w:rsid w:val="00454BE0"/>
    <w:rsid w:val="00454BEC"/>
    <w:rsid w:val="00454CEA"/>
    <w:rsid w:val="00454E0E"/>
    <w:rsid w:val="0045504A"/>
    <w:rsid w:val="00457137"/>
    <w:rsid w:val="0045775A"/>
    <w:rsid w:val="004577D4"/>
    <w:rsid w:val="00460060"/>
    <w:rsid w:val="004600D8"/>
    <w:rsid w:val="00460FC4"/>
    <w:rsid w:val="0046197C"/>
    <w:rsid w:val="00461C41"/>
    <w:rsid w:val="00462D5D"/>
    <w:rsid w:val="004634D0"/>
    <w:rsid w:val="00463BCA"/>
    <w:rsid w:val="00463E9D"/>
    <w:rsid w:val="0046461D"/>
    <w:rsid w:val="0046499E"/>
    <w:rsid w:val="004649A3"/>
    <w:rsid w:val="00464E05"/>
    <w:rsid w:val="00465CCA"/>
    <w:rsid w:val="00465DDE"/>
    <w:rsid w:val="00465E9F"/>
    <w:rsid w:val="0046632A"/>
    <w:rsid w:val="004664A5"/>
    <w:rsid w:val="00466FA4"/>
    <w:rsid w:val="004675D1"/>
    <w:rsid w:val="004677BC"/>
    <w:rsid w:val="00467A94"/>
    <w:rsid w:val="00470185"/>
    <w:rsid w:val="00470328"/>
    <w:rsid w:val="00471113"/>
    <w:rsid w:val="004711C5"/>
    <w:rsid w:val="0047122B"/>
    <w:rsid w:val="00471BBF"/>
    <w:rsid w:val="00471ECC"/>
    <w:rsid w:val="00471F4F"/>
    <w:rsid w:val="00472328"/>
    <w:rsid w:val="00472934"/>
    <w:rsid w:val="00473105"/>
    <w:rsid w:val="0047362F"/>
    <w:rsid w:val="00473915"/>
    <w:rsid w:val="00473B7A"/>
    <w:rsid w:val="00473DBA"/>
    <w:rsid w:val="004743E1"/>
    <w:rsid w:val="00474AD9"/>
    <w:rsid w:val="00474B63"/>
    <w:rsid w:val="00474BBD"/>
    <w:rsid w:val="00475366"/>
    <w:rsid w:val="0047557A"/>
    <w:rsid w:val="0047587D"/>
    <w:rsid w:val="00475AA5"/>
    <w:rsid w:val="00475EE2"/>
    <w:rsid w:val="004764CA"/>
    <w:rsid w:val="004767DD"/>
    <w:rsid w:val="0047688D"/>
    <w:rsid w:val="00477372"/>
    <w:rsid w:val="00477E1A"/>
    <w:rsid w:val="00480838"/>
    <w:rsid w:val="0048102C"/>
    <w:rsid w:val="004812C3"/>
    <w:rsid w:val="004813D2"/>
    <w:rsid w:val="004821B4"/>
    <w:rsid w:val="004822F5"/>
    <w:rsid w:val="00482859"/>
    <w:rsid w:val="00482C62"/>
    <w:rsid w:val="004832BE"/>
    <w:rsid w:val="0048334E"/>
    <w:rsid w:val="00483756"/>
    <w:rsid w:val="004837AB"/>
    <w:rsid w:val="004838E3"/>
    <w:rsid w:val="004838F7"/>
    <w:rsid w:val="00483979"/>
    <w:rsid w:val="00483990"/>
    <w:rsid w:val="0048431A"/>
    <w:rsid w:val="004847B0"/>
    <w:rsid w:val="004849AA"/>
    <w:rsid w:val="00484D9E"/>
    <w:rsid w:val="004850D2"/>
    <w:rsid w:val="004851A6"/>
    <w:rsid w:val="004853C4"/>
    <w:rsid w:val="004856BE"/>
    <w:rsid w:val="0048590F"/>
    <w:rsid w:val="00486D52"/>
    <w:rsid w:val="004876DD"/>
    <w:rsid w:val="00487D2B"/>
    <w:rsid w:val="0049012E"/>
    <w:rsid w:val="0049081C"/>
    <w:rsid w:val="00490BA6"/>
    <w:rsid w:val="00490D48"/>
    <w:rsid w:val="004912A3"/>
    <w:rsid w:val="0049148A"/>
    <w:rsid w:val="0049242A"/>
    <w:rsid w:val="00492834"/>
    <w:rsid w:val="00492C22"/>
    <w:rsid w:val="00492D82"/>
    <w:rsid w:val="00493021"/>
    <w:rsid w:val="00493AA2"/>
    <w:rsid w:val="0049483B"/>
    <w:rsid w:val="0049488E"/>
    <w:rsid w:val="00494A1D"/>
    <w:rsid w:val="00495243"/>
    <w:rsid w:val="00495420"/>
    <w:rsid w:val="0049548B"/>
    <w:rsid w:val="00495BE7"/>
    <w:rsid w:val="004960E9"/>
    <w:rsid w:val="00496C3A"/>
    <w:rsid w:val="004A0586"/>
    <w:rsid w:val="004A1ADD"/>
    <w:rsid w:val="004A1E27"/>
    <w:rsid w:val="004A215F"/>
    <w:rsid w:val="004A2E88"/>
    <w:rsid w:val="004A34ED"/>
    <w:rsid w:val="004A3C68"/>
    <w:rsid w:val="004A3D39"/>
    <w:rsid w:val="004A419E"/>
    <w:rsid w:val="004A4285"/>
    <w:rsid w:val="004A4CE5"/>
    <w:rsid w:val="004A4E18"/>
    <w:rsid w:val="004A5305"/>
    <w:rsid w:val="004A61FD"/>
    <w:rsid w:val="004A6DE3"/>
    <w:rsid w:val="004A7B76"/>
    <w:rsid w:val="004B0400"/>
    <w:rsid w:val="004B0648"/>
    <w:rsid w:val="004B072E"/>
    <w:rsid w:val="004B11CA"/>
    <w:rsid w:val="004B1848"/>
    <w:rsid w:val="004B1C2F"/>
    <w:rsid w:val="004B1DF2"/>
    <w:rsid w:val="004B1E2C"/>
    <w:rsid w:val="004B2B4C"/>
    <w:rsid w:val="004B2D05"/>
    <w:rsid w:val="004B300E"/>
    <w:rsid w:val="004B358C"/>
    <w:rsid w:val="004B366B"/>
    <w:rsid w:val="004B4009"/>
    <w:rsid w:val="004B446E"/>
    <w:rsid w:val="004B4D7F"/>
    <w:rsid w:val="004B56DD"/>
    <w:rsid w:val="004B5A24"/>
    <w:rsid w:val="004B6016"/>
    <w:rsid w:val="004B649A"/>
    <w:rsid w:val="004B64A6"/>
    <w:rsid w:val="004B709E"/>
    <w:rsid w:val="004B76D4"/>
    <w:rsid w:val="004B7E9F"/>
    <w:rsid w:val="004C0980"/>
    <w:rsid w:val="004C0AF3"/>
    <w:rsid w:val="004C0C49"/>
    <w:rsid w:val="004C118E"/>
    <w:rsid w:val="004C155E"/>
    <w:rsid w:val="004C210F"/>
    <w:rsid w:val="004C2450"/>
    <w:rsid w:val="004C2464"/>
    <w:rsid w:val="004C2C6A"/>
    <w:rsid w:val="004C4229"/>
    <w:rsid w:val="004C53E9"/>
    <w:rsid w:val="004C57CA"/>
    <w:rsid w:val="004C580D"/>
    <w:rsid w:val="004C62A1"/>
    <w:rsid w:val="004C6B16"/>
    <w:rsid w:val="004C708A"/>
    <w:rsid w:val="004C763E"/>
    <w:rsid w:val="004D0116"/>
    <w:rsid w:val="004D064B"/>
    <w:rsid w:val="004D06C3"/>
    <w:rsid w:val="004D082D"/>
    <w:rsid w:val="004D0869"/>
    <w:rsid w:val="004D1077"/>
    <w:rsid w:val="004D11D1"/>
    <w:rsid w:val="004D1241"/>
    <w:rsid w:val="004D180C"/>
    <w:rsid w:val="004D1BFE"/>
    <w:rsid w:val="004D234B"/>
    <w:rsid w:val="004D2425"/>
    <w:rsid w:val="004D2AEF"/>
    <w:rsid w:val="004D3B13"/>
    <w:rsid w:val="004D4386"/>
    <w:rsid w:val="004D48D2"/>
    <w:rsid w:val="004D4B15"/>
    <w:rsid w:val="004D4B76"/>
    <w:rsid w:val="004D5655"/>
    <w:rsid w:val="004D5768"/>
    <w:rsid w:val="004D6980"/>
    <w:rsid w:val="004D6A34"/>
    <w:rsid w:val="004D6E9F"/>
    <w:rsid w:val="004D7634"/>
    <w:rsid w:val="004E0129"/>
    <w:rsid w:val="004E06AF"/>
    <w:rsid w:val="004E0C00"/>
    <w:rsid w:val="004E0E7A"/>
    <w:rsid w:val="004E119B"/>
    <w:rsid w:val="004E2286"/>
    <w:rsid w:val="004E28B6"/>
    <w:rsid w:val="004E2DC2"/>
    <w:rsid w:val="004E30BC"/>
    <w:rsid w:val="004E32E3"/>
    <w:rsid w:val="004E54A7"/>
    <w:rsid w:val="004E578F"/>
    <w:rsid w:val="004E64FA"/>
    <w:rsid w:val="004E7455"/>
    <w:rsid w:val="004E7BC0"/>
    <w:rsid w:val="004E7CBB"/>
    <w:rsid w:val="004F070D"/>
    <w:rsid w:val="004F0F05"/>
    <w:rsid w:val="004F1174"/>
    <w:rsid w:val="004F194D"/>
    <w:rsid w:val="004F247E"/>
    <w:rsid w:val="004F2577"/>
    <w:rsid w:val="004F336E"/>
    <w:rsid w:val="004F44F9"/>
    <w:rsid w:val="004F4EBF"/>
    <w:rsid w:val="004F5289"/>
    <w:rsid w:val="004F5820"/>
    <w:rsid w:val="004F598B"/>
    <w:rsid w:val="004F5F9C"/>
    <w:rsid w:val="004F60E8"/>
    <w:rsid w:val="004F6B4B"/>
    <w:rsid w:val="004F6E8F"/>
    <w:rsid w:val="004F74F6"/>
    <w:rsid w:val="004F7861"/>
    <w:rsid w:val="004F7E7E"/>
    <w:rsid w:val="00500136"/>
    <w:rsid w:val="005001CB"/>
    <w:rsid w:val="00500464"/>
    <w:rsid w:val="005009A5"/>
    <w:rsid w:val="00500B23"/>
    <w:rsid w:val="00501C23"/>
    <w:rsid w:val="00501DB1"/>
    <w:rsid w:val="005022FC"/>
    <w:rsid w:val="00502676"/>
    <w:rsid w:val="00502B2E"/>
    <w:rsid w:val="00504493"/>
    <w:rsid w:val="00504CEF"/>
    <w:rsid w:val="00505717"/>
    <w:rsid w:val="0050587A"/>
    <w:rsid w:val="00506321"/>
    <w:rsid w:val="00506B1C"/>
    <w:rsid w:val="00507728"/>
    <w:rsid w:val="005079C4"/>
    <w:rsid w:val="00510D80"/>
    <w:rsid w:val="00511026"/>
    <w:rsid w:val="00511364"/>
    <w:rsid w:val="0051145C"/>
    <w:rsid w:val="00511579"/>
    <w:rsid w:val="005115BD"/>
    <w:rsid w:val="005116D6"/>
    <w:rsid w:val="0051250A"/>
    <w:rsid w:val="005128E8"/>
    <w:rsid w:val="0051304E"/>
    <w:rsid w:val="00513809"/>
    <w:rsid w:val="00513D03"/>
    <w:rsid w:val="00513E74"/>
    <w:rsid w:val="0051453A"/>
    <w:rsid w:val="00514770"/>
    <w:rsid w:val="00515715"/>
    <w:rsid w:val="00515B3F"/>
    <w:rsid w:val="00515C53"/>
    <w:rsid w:val="00516469"/>
    <w:rsid w:val="00516505"/>
    <w:rsid w:val="00517140"/>
    <w:rsid w:val="00517C0D"/>
    <w:rsid w:val="00521811"/>
    <w:rsid w:val="00521D48"/>
    <w:rsid w:val="00521E1D"/>
    <w:rsid w:val="0052222A"/>
    <w:rsid w:val="00522548"/>
    <w:rsid w:val="005227C3"/>
    <w:rsid w:val="0052322E"/>
    <w:rsid w:val="00523263"/>
    <w:rsid w:val="005234ED"/>
    <w:rsid w:val="005237AD"/>
    <w:rsid w:val="00523EBD"/>
    <w:rsid w:val="00524824"/>
    <w:rsid w:val="00524883"/>
    <w:rsid w:val="00524991"/>
    <w:rsid w:val="00525FA7"/>
    <w:rsid w:val="0052627D"/>
    <w:rsid w:val="0052672F"/>
    <w:rsid w:val="00526C2F"/>
    <w:rsid w:val="00526D39"/>
    <w:rsid w:val="00527AAD"/>
    <w:rsid w:val="005300D3"/>
    <w:rsid w:val="005301C2"/>
    <w:rsid w:val="0053024A"/>
    <w:rsid w:val="00530CFA"/>
    <w:rsid w:val="00530E21"/>
    <w:rsid w:val="00530F58"/>
    <w:rsid w:val="00531D1D"/>
    <w:rsid w:val="00532343"/>
    <w:rsid w:val="00532520"/>
    <w:rsid w:val="00533426"/>
    <w:rsid w:val="00533BD1"/>
    <w:rsid w:val="00533BFB"/>
    <w:rsid w:val="00534587"/>
    <w:rsid w:val="0053476A"/>
    <w:rsid w:val="0053484A"/>
    <w:rsid w:val="0053495D"/>
    <w:rsid w:val="00534CC3"/>
    <w:rsid w:val="00535222"/>
    <w:rsid w:val="005356E2"/>
    <w:rsid w:val="005360D1"/>
    <w:rsid w:val="005361ED"/>
    <w:rsid w:val="00536273"/>
    <w:rsid w:val="0053651C"/>
    <w:rsid w:val="005365FC"/>
    <w:rsid w:val="0053672A"/>
    <w:rsid w:val="00536DF7"/>
    <w:rsid w:val="0053705D"/>
    <w:rsid w:val="00537352"/>
    <w:rsid w:val="0053756D"/>
    <w:rsid w:val="00537C1B"/>
    <w:rsid w:val="00537E4C"/>
    <w:rsid w:val="00540B35"/>
    <w:rsid w:val="00540D80"/>
    <w:rsid w:val="00541DE2"/>
    <w:rsid w:val="005420EE"/>
    <w:rsid w:val="00542A3A"/>
    <w:rsid w:val="00543E38"/>
    <w:rsid w:val="0054407E"/>
    <w:rsid w:val="005444D0"/>
    <w:rsid w:val="005449A4"/>
    <w:rsid w:val="00544F82"/>
    <w:rsid w:val="005450BF"/>
    <w:rsid w:val="005463B3"/>
    <w:rsid w:val="005471EC"/>
    <w:rsid w:val="00547919"/>
    <w:rsid w:val="00550892"/>
    <w:rsid w:val="0055128F"/>
    <w:rsid w:val="00551A25"/>
    <w:rsid w:val="00553810"/>
    <w:rsid w:val="00553BF5"/>
    <w:rsid w:val="00553DEE"/>
    <w:rsid w:val="00554D3E"/>
    <w:rsid w:val="00554F7D"/>
    <w:rsid w:val="0055544A"/>
    <w:rsid w:val="005554D6"/>
    <w:rsid w:val="00555933"/>
    <w:rsid w:val="0055593F"/>
    <w:rsid w:val="00555D9F"/>
    <w:rsid w:val="005563F5"/>
    <w:rsid w:val="00557278"/>
    <w:rsid w:val="00560007"/>
    <w:rsid w:val="0056080D"/>
    <w:rsid w:val="00560C24"/>
    <w:rsid w:val="005612BD"/>
    <w:rsid w:val="005615F5"/>
    <w:rsid w:val="00561CF6"/>
    <w:rsid w:val="0056202C"/>
    <w:rsid w:val="00562052"/>
    <w:rsid w:val="00562482"/>
    <w:rsid w:val="00562B10"/>
    <w:rsid w:val="00562E8C"/>
    <w:rsid w:val="00563188"/>
    <w:rsid w:val="00563297"/>
    <w:rsid w:val="00563842"/>
    <w:rsid w:val="005639A8"/>
    <w:rsid w:val="0056408C"/>
    <w:rsid w:val="005649C0"/>
    <w:rsid w:val="00565294"/>
    <w:rsid w:val="00565A80"/>
    <w:rsid w:val="005660D7"/>
    <w:rsid w:val="00567015"/>
    <w:rsid w:val="005671FB"/>
    <w:rsid w:val="00567295"/>
    <w:rsid w:val="00567423"/>
    <w:rsid w:val="00567889"/>
    <w:rsid w:val="005679FF"/>
    <w:rsid w:val="00567AA2"/>
    <w:rsid w:val="00567BC6"/>
    <w:rsid w:val="00567F1B"/>
    <w:rsid w:val="00567F2D"/>
    <w:rsid w:val="00570695"/>
    <w:rsid w:val="00570780"/>
    <w:rsid w:val="00570F90"/>
    <w:rsid w:val="0057135F"/>
    <w:rsid w:val="005713DE"/>
    <w:rsid w:val="00572599"/>
    <w:rsid w:val="00572687"/>
    <w:rsid w:val="00572E44"/>
    <w:rsid w:val="0057328E"/>
    <w:rsid w:val="00573533"/>
    <w:rsid w:val="005735DB"/>
    <w:rsid w:val="00574171"/>
    <w:rsid w:val="00574B28"/>
    <w:rsid w:val="0057618F"/>
    <w:rsid w:val="00576B1E"/>
    <w:rsid w:val="00576E6E"/>
    <w:rsid w:val="00577210"/>
    <w:rsid w:val="005778BC"/>
    <w:rsid w:val="00577B21"/>
    <w:rsid w:val="0058011C"/>
    <w:rsid w:val="005801B3"/>
    <w:rsid w:val="00580233"/>
    <w:rsid w:val="00580972"/>
    <w:rsid w:val="005813AC"/>
    <w:rsid w:val="00581AF2"/>
    <w:rsid w:val="0058247E"/>
    <w:rsid w:val="00582E6D"/>
    <w:rsid w:val="00582EDF"/>
    <w:rsid w:val="00583040"/>
    <w:rsid w:val="00583431"/>
    <w:rsid w:val="0058386E"/>
    <w:rsid w:val="00583F99"/>
    <w:rsid w:val="00584FB3"/>
    <w:rsid w:val="00584FD6"/>
    <w:rsid w:val="005859C9"/>
    <w:rsid w:val="005865C9"/>
    <w:rsid w:val="00586B3B"/>
    <w:rsid w:val="00586BBD"/>
    <w:rsid w:val="00586D78"/>
    <w:rsid w:val="00586DD7"/>
    <w:rsid w:val="005878B1"/>
    <w:rsid w:val="00590DBE"/>
    <w:rsid w:val="00591282"/>
    <w:rsid w:val="00591362"/>
    <w:rsid w:val="005914E9"/>
    <w:rsid w:val="005917A6"/>
    <w:rsid w:val="005923AD"/>
    <w:rsid w:val="00592E63"/>
    <w:rsid w:val="00592E77"/>
    <w:rsid w:val="00593945"/>
    <w:rsid w:val="00593A87"/>
    <w:rsid w:val="00593BBF"/>
    <w:rsid w:val="00593C4F"/>
    <w:rsid w:val="0059434C"/>
    <w:rsid w:val="0059467C"/>
    <w:rsid w:val="005946A8"/>
    <w:rsid w:val="005950FF"/>
    <w:rsid w:val="00595D59"/>
    <w:rsid w:val="0059672B"/>
    <w:rsid w:val="00596BE1"/>
    <w:rsid w:val="00597AF3"/>
    <w:rsid w:val="00597CC2"/>
    <w:rsid w:val="005A0872"/>
    <w:rsid w:val="005A0C10"/>
    <w:rsid w:val="005A0C72"/>
    <w:rsid w:val="005A0FBC"/>
    <w:rsid w:val="005A100A"/>
    <w:rsid w:val="005A10DD"/>
    <w:rsid w:val="005A11B0"/>
    <w:rsid w:val="005A14F4"/>
    <w:rsid w:val="005A2869"/>
    <w:rsid w:val="005A3B16"/>
    <w:rsid w:val="005A3ECA"/>
    <w:rsid w:val="005A3ECF"/>
    <w:rsid w:val="005A4269"/>
    <w:rsid w:val="005A4395"/>
    <w:rsid w:val="005A4407"/>
    <w:rsid w:val="005A45B4"/>
    <w:rsid w:val="005A4EFD"/>
    <w:rsid w:val="005A553F"/>
    <w:rsid w:val="005A59EF"/>
    <w:rsid w:val="005A5D2E"/>
    <w:rsid w:val="005A64A2"/>
    <w:rsid w:val="005A6899"/>
    <w:rsid w:val="005A6BBB"/>
    <w:rsid w:val="005A738A"/>
    <w:rsid w:val="005A76E2"/>
    <w:rsid w:val="005A78B4"/>
    <w:rsid w:val="005B0483"/>
    <w:rsid w:val="005B1258"/>
    <w:rsid w:val="005B2871"/>
    <w:rsid w:val="005B370D"/>
    <w:rsid w:val="005B3A13"/>
    <w:rsid w:val="005B3BB8"/>
    <w:rsid w:val="005B3D27"/>
    <w:rsid w:val="005B4133"/>
    <w:rsid w:val="005B44AF"/>
    <w:rsid w:val="005B500A"/>
    <w:rsid w:val="005B5F36"/>
    <w:rsid w:val="005B6E19"/>
    <w:rsid w:val="005B6E27"/>
    <w:rsid w:val="005B7B2A"/>
    <w:rsid w:val="005B7BA9"/>
    <w:rsid w:val="005B7C7C"/>
    <w:rsid w:val="005B7F0E"/>
    <w:rsid w:val="005C0157"/>
    <w:rsid w:val="005C0A5B"/>
    <w:rsid w:val="005C1699"/>
    <w:rsid w:val="005C2065"/>
    <w:rsid w:val="005C20AB"/>
    <w:rsid w:val="005C2434"/>
    <w:rsid w:val="005C3076"/>
    <w:rsid w:val="005C372F"/>
    <w:rsid w:val="005C3EAB"/>
    <w:rsid w:val="005C42F7"/>
    <w:rsid w:val="005C51C5"/>
    <w:rsid w:val="005C596C"/>
    <w:rsid w:val="005C5987"/>
    <w:rsid w:val="005C6125"/>
    <w:rsid w:val="005C69E8"/>
    <w:rsid w:val="005C7727"/>
    <w:rsid w:val="005C7776"/>
    <w:rsid w:val="005D00DB"/>
    <w:rsid w:val="005D087E"/>
    <w:rsid w:val="005D11F4"/>
    <w:rsid w:val="005D13CE"/>
    <w:rsid w:val="005D1F37"/>
    <w:rsid w:val="005D27BE"/>
    <w:rsid w:val="005D292A"/>
    <w:rsid w:val="005D2DE3"/>
    <w:rsid w:val="005D37DF"/>
    <w:rsid w:val="005D394D"/>
    <w:rsid w:val="005D39A3"/>
    <w:rsid w:val="005D449D"/>
    <w:rsid w:val="005D4B78"/>
    <w:rsid w:val="005D5D4C"/>
    <w:rsid w:val="005D64E0"/>
    <w:rsid w:val="005E00C2"/>
    <w:rsid w:val="005E0132"/>
    <w:rsid w:val="005E12F7"/>
    <w:rsid w:val="005E182F"/>
    <w:rsid w:val="005E2B8F"/>
    <w:rsid w:val="005E3593"/>
    <w:rsid w:val="005E4323"/>
    <w:rsid w:val="005E535E"/>
    <w:rsid w:val="005E631E"/>
    <w:rsid w:val="005E7671"/>
    <w:rsid w:val="005E796B"/>
    <w:rsid w:val="005E7A64"/>
    <w:rsid w:val="005E7EDB"/>
    <w:rsid w:val="005F0405"/>
    <w:rsid w:val="005F0441"/>
    <w:rsid w:val="005F05BA"/>
    <w:rsid w:val="005F0A42"/>
    <w:rsid w:val="005F0D1F"/>
    <w:rsid w:val="005F0E67"/>
    <w:rsid w:val="005F1F78"/>
    <w:rsid w:val="005F3C3A"/>
    <w:rsid w:val="005F4358"/>
    <w:rsid w:val="005F439A"/>
    <w:rsid w:val="005F4563"/>
    <w:rsid w:val="005F4772"/>
    <w:rsid w:val="005F4D89"/>
    <w:rsid w:val="005F56F6"/>
    <w:rsid w:val="005F57B5"/>
    <w:rsid w:val="005F5817"/>
    <w:rsid w:val="005F5F57"/>
    <w:rsid w:val="005F5F5D"/>
    <w:rsid w:val="005F6550"/>
    <w:rsid w:val="005F6E5E"/>
    <w:rsid w:val="005F6E76"/>
    <w:rsid w:val="005F72D6"/>
    <w:rsid w:val="005F76CB"/>
    <w:rsid w:val="005F7DC6"/>
    <w:rsid w:val="0060016D"/>
    <w:rsid w:val="00601688"/>
    <w:rsid w:val="00601F2B"/>
    <w:rsid w:val="00603286"/>
    <w:rsid w:val="0060392A"/>
    <w:rsid w:val="00604F85"/>
    <w:rsid w:val="00605512"/>
    <w:rsid w:val="006055C8"/>
    <w:rsid w:val="006057F1"/>
    <w:rsid w:val="00605F4B"/>
    <w:rsid w:val="006068C1"/>
    <w:rsid w:val="00606AEC"/>
    <w:rsid w:val="00606F21"/>
    <w:rsid w:val="006076D0"/>
    <w:rsid w:val="00607DD2"/>
    <w:rsid w:val="006118CB"/>
    <w:rsid w:val="00612C27"/>
    <w:rsid w:val="00612DAF"/>
    <w:rsid w:val="006132A5"/>
    <w:rsid w:val="0061345F"/>
    <w:rsid w:val="006134FD"/>
    <w:rsid w:val="006135D5"/>
    <w:rsid w:val="00614359"/>
    <w:rsid w:val="006147BA"/>
    <w:rsid w:val="00614826"/>
    <w:rsid w:val="00614A82"/>
    <w:rsid w:val="00614EBE"/>
    <w:rsid w:val="00614FAD"/>
    <w:rsid w:val="00615861"/>
    <w:rsid w:val="006158CB"/>
    <w:rsid w:val="006167DE"/>
    <w:rsid w:val="00620A81"/>
    <w:rsid w:val="00623242"/>
    <w:rsid w:val="00624285"/>
    <w:rsid w:val="006242D6"/>
    <w:rsid w:val="0062435B"/>
    <w:rsid w:val="0062451D"/>
    <w:rsid w:val="00624FA5"/>
    <w:rsid w:val="0062585D"/>
    <w:rsid w:val="00625DC6"/>
    <w:rsid w:val="00626164"/>
    <w:rsid w:val="006261EF"/>
    <w:rsid w:val="00626755"/>
    <w:rsid w:val="00626FF8"/>
    <w:rsid w:val="0062758B"/>
    <w:rsid w:val="00627B1B"/>
    <w:rsid w:val="00630560"/>
    <w:rsid w:val="00631E99"/>
    <w:rsid w:val="00632EB9"/>
    <w:rsid w:val="0063374E"/>
    <w:rsid w:val="00633801"/>
    <w:rsid w:val="00633F9E"/>
    <w:rsid w:val="006342CC"/>
    <w:rsid w:val="0063441A"/>
    <w:rsid w:val="00634C5D"/>
    <w:rsid w:val="006356F1"/>
    <w:rsid w:val="006362BE"/>
    <w:rsid w:val="006368D4"/>
    <w:rsid w:val="00636A0E"/>
    <w:rsid w:val="00636AC6"/>
    <w:rsid w:val="006370A7"/>
    <w:rsid w:val="0063723A"/>
    <w:rsid w:val="0063770E"/>
    <w:rsid w:val="00640663"/>
    <w:rsid w:val="00640E81"/>
    <w:rsid w:val="00641A0D"/>
    <w:rsid w:val="00641EA3"/>
    <w:rsid w:val="00642296"/>
    <w:rsid w:val="00642575"/>
    <w:rsid w:val="006428D3"/>
    <w:rsid w:val="00642958"/>
    <w:rsid w:val="006429FD"/>
    <w:rsid w:val="00642F45"/>
    <w:rsid w:val="00642F7B"/>
    <w:rsid w:val="006430D5"/>
    <w:rsid w:val="00643B18"/>
    <w:rsid w:val="00643FFA"/>
    <w:rsid w:val="0064409D"/>
    <w:rsid w:val="0064423F"/>
    <w:rsid w:val="00644A3D"/>
    <w:rsid w:val="00645A75"/>
    <w:rsid w:val="00645AC3"/>
    <w:rsid w:val="00645B75"/>
    <w:rsid w:val="00646FB7"/>
    <w:rsid w:val="00647BDC"/>
    <w:rsid w:val="006505FE"/>
    <w:rsid w:val="00650B2E"/>
    <w:rsid w:val="0065173D"/>
    <w:rsid w:val="00651821"/>
    <w:rsid w:val="0065185E"/>
    <w:rsid w:val="00651B1A"/>
    <w:rsid w:val="00652007"/>
    <w:rsid w:val="00652896"/>
    <w:rsid w:val="00652BAB"/>
    <w:rsid w:val="00653F6D"/>
    <w:rsid w:val="00654384"/>
    <w:rsid w:val="006543A4"/>
    <w:rsid w:val="006546AE"/>
    <w:rsid w:val="006546DA"/>
    <w:rsid w:val="00654713"/>
    <w:rsid w:val="006547A2"/>
    <w:rsid w:val="00654A90"/>
    <w:rsid w:val="00654C92"/>
    <w:rsid w:val="00655394"/>
    <w:rsid w:val="00655764"/>
    <w:rsid w:val="006561FA"/>
    <w:rsid w:val="00656227"/>
    <w:rsid w:val="006564D8"/>
    <w:rsid w:val="0065675A"/>
    <w:rsid w:val="00656F1D"/>
    <w:rsid w:val="006572AC"/>
    <w:rsid w:val="00657782"/>
    <w:rsid w:val="00657A3E"/>
    <w:rsid w:val="00657C2E"/>
    <w:rsid w:val="0066001A"/>
    <w:rsid w:val="006615B1"/>
    <w:rsid w:val="00661751"/>
    <w:rsid w:val="00661EBA"/>
    <w:rsid w:val="00661F09"/>
    <w:rsid w:val="00661FB8"/>
    <w:rsid w:val="00662DE8"/>
    <w:rsid w:val="0066358F"/>
    <w:rsid w:val="00663D60"/>
    <w:rsid w:val="00664150"/>
    <w:rsid w:val="006648AD"/>
    <w:rsid w:val="00664F2C"/>
    <w:rsid w:val="00664F78"/>
    <w:rsid w:val="00666971"/>
    <w:rsid w:val="0066723B"/>
    <w:rsid w:val="006672BE"/>
    <w:rsid w:val="006674E0"/>
    <w:rsid w:val="006675CD"/>
    <w:rsid w:val="006702C0"/>
    <w:rsid w:val="00670662"/>
    <w:rsid w:val="0067095D"/>
    <w:rsid w:val="00670A65"/>
    <w:rsid w:val="006711C4"/>
    <w:rsid w:val="0067345E"/>
    <w:rsid w:val="0067365C"/>
    <w:rsid w:val="00674AA2"/>
    <w:rsid w:val="00674CF3"/>
    <w:rsid w:val="0067605E"/>
    <w:rsid w:val="00676CB6"/>
    <w:rsid w:val="00676CDB"/>
    <w:rsid w:val="00676DEE"/>
    <w:rsid w:val="006772DB"/>
    <w:rsid w:val="00677315"/>
    <w:rsid w:val="006773D9"/>
    <w:rsid w:val="00677668"/>
    <w:rsid w:val="00677856"/>
    <w:rsid w:val="00677A74"/>
    <w:rsid w:val="00677B50"/>
    <w:rsid w:val="0068009A"/>
    <w:rsid w:val="006804CD"/>
    <w:rsid w:val="00680800"/>
    <w:rsid w:val="0068267F"/>
    <w:rsid w:val="00682A52"/>
    <w:rsid w:val="00682E25"/>
    <w:rsid w:val="00682E95"/>
    <w:rsid w:val="006833C9"/>
    <w:rsid w:val="00683770"/>
    <w:rsid w:val="0068378F"/>
    <w:rsid w:val="00683DA3"/>
    <w:rsid w:val="00684D9B"/>
    <w:rsid w:val="00685B02"/>
    <w:rsid w:val="00686609"/>
    <w:rsid w:val="00687100"/>
    <w:rsid w:val="0068764C"/>
    <w:rsid w:val="0069142C"/>
    <w:rsid w:val="006917D7"/>
    <w:rsid w:val="00692349"/>
    <w:rsid w:val="006924D8"/>
    <w:rsid w:val="00692E5A"/>
    <w:rsid w:val="00693156"/>
    <w:rsid w:val="0069342F"/>
    <w:rsid w:val="006936B5"/>
    <w:rsid w:val="00693D99"/>
    <w:rsid w:val="00693DA3"/>
    <w:rsid w:val="00693F57"/>
    <w:rsid w:val="0069439A"/>
    <w:rsid w:val="00695215"/>
    <w:rsid w:val="00695C4C"/>
    <w:rsid w:val="0069615B"/>
    <w:rsid w:val="00696B68"/>
    <w:rsid w:val="00697556"/>
    <w:rsid w:val="00697F47"/>
    <w:rsid w:val="006A06B2"/>
    <w:rsid w:val="006A0843"/>
    <w:rsid w:val="006A0D0B"/>
    <w:rsid w:val="006A1023"/>
    <w:rsid w:val="006A23C4"/>
    <w:rsid w:val="006A3714"/>
    <w:rsid w:val="006A399E"/>
    <w:rsid w:val="006A3CD2"/>
    <w:rsid w:val="006A43CD"/>
    <w:rsid w:val="006A49C9"/>
    <w:rsid w:val="006A4C5E"/>
    <w:rsid w:val="006A50FB"/>
    <w:rsid w:val="006A5853"/>
    <w:rsid w:val="006A5CE1"/>
    <w:rsid w:val="006A6C11"/>
    <w:rsid w:val="006A6DE0"/>
    <w:rsid w:val="006A7581"/>
    <w:rsid w:val="006A759D"/>
    <w:rsid w:val="006A7951"/>
    <w:rsid w:val="006A7A43"/>
    <w:rsid w:val="006A7C6D"/>
    <w:rsid w:val="006B0AE8"/>
    <w:rsid w:val="006B0DA1"/>
    <w:rsid w:val="006B16E9"/>
    <w:rsid w:val="006B17AF"/>
    <w:rsid w:val="006B2318"/>
    <w:rsid w:val="006B380B"/>
    <w:rsid w:val="006B3DF9"/>
    <w:rsid w:val="006B44A0"/>
    <w:rsid w:val="006B4C2B"/>
    <w:rsid w:val="006B556D"/>
    <w:rsid w:val="006B5C8E"/>
    <w:rsid w:val="006B5DE5"/>
    <w:rsid w:val="006B623A"/>
    <w:rsid w:val="006B6D05"/>
    <w:rsid w:val="006B6D47"/>
    <w:rsid w:val="006B7158"/>
    <w:rsid w:val="006B7513"/>
    <w:rsid w:val="006B77B5"/>
    <w:rsid w:val="006B7A41"/>
    <w:rsid w:val="006C074B"/>
    <w:rsid w:val="006C1561"/>
    <w:rsid w:val="006C1847"/>
    <w:rsid w:val="006C2037"/>
    <w:rsid w:val="006C27A9"/>
    <w:rsid w:val="006C2AD1"/>
    <w:rsid w:val="006C3529"/>
    <w:rsid w:val="006C4295"/>
    <w:rsid w:val="006C4809"/>
    <w:rsid w:val="006C4A64"/>
    <w:rsid w:val="006C4AC3"/>
    <w:rsid w:val="006C4EE6"/>
    <w:rsid w:val="006C5478"/>
    <w:rsid w:val="006C5EA4"/>
    <w:rsid w:val="006C6267"/>
    <w:rsid w:val="006C6F79"/>
    <w:rsid w:val="006C6F82"/>
    <w:rsid w:val="006D09A9"/>
    <w:rsid w:val="006D09D1"/>
    <w:rsid w:val="006D0ADA"/>
    <w:rsid w:val="006D1B6A"/>
    <w:rsid w:val="006D1EF7"/>
    <w:rsid w:val="006D1EFF"/>
    <w:rsid w:val="006D24EF"/>
    <w:rsid w:val="006D3274"/>
    <w:rsid w:val="006D3A82"/>
    <w:rsid w:val="006D3F6F"/>
    <w:rsid w:val="006D45E4"/>
    <w:rsid w:val="006D470C"/>
    <w:rsid w:val="006D4753"/>
    <w:rsid w:val="006D4A50"/>
    <w:rsid w:val="006D4E55"/>
    <w:rsid w:val="006D4F7C"/>
    <w:rsid w:val="006D5693"/>
    <w:rsid w:val="006D59F9"/>
    <w:rsid w:val="006D6935"/>
    <w:rsid w:val="006D6A86"/>
    <w:rsid w:val="006D6FF4"/>
    <w:rsid w:val="006D72CC"/>
    <w:rsid w:val="006D73C9"/>
    <w:rsid w:val="006D7CBC"/>
    <w:rsid w:val="006E0A88"/>
    <w:rsid w:val="006E0BD2"/>
    <w:rsid w:val="006E124D"/>
    <w:rsid w:val="006E28A4"/>
    <w:rsid w:val="006E2B21"/>
    <w:rsid w:val="006E2DBB"/>
    <w:rsid w:val="006E3661"/>
    <w:rsid w:val="006E3AC3"/>
    <w:rsid w:val="006E4C4F"/>
    <w:rsid w:val="006E516C"/>
    <w:rsid w:val="006E518E"/>
    <w:rsid w:val="006E6107"/>
    <w:rsid w:val="006E622E"/>
    <w:rsid w:val="006E627C"/>
    <w:rsid w:val="006E6AA8"/>
    <w:rsid w:val="006E707C"/>
    <w:rsid w:val="006E7273"/>
    <w:rsid w:val="006E77FE"/>
    <w:rsid w:val="006F07BD"/>
    <w:rsid w:val="006F0D15"/>
    <w:rsid w:val="006F0F8C"/>
    <w:rsid w:val="006F1072"/>
    <w:rsid w:val="006F1851"/>
    <w:rsid w:val="006F1F3D"/>
    <w:rsid w:val="006F28BA"/>
    <w:rsid w:val="006F3361"/>
    <w:rsid w:val="006F374F"/>
    <w:rsid w:val="006F3863"/>
    <w:rsid w:val="006F3C99"/>
    <w:rsid w:val="006F3D11"/>
    <w:rsid w:val="006F3D85"/>
    <w:rsid w:val="006F4081"/>
    <w:rsid w:val="006F41D7"/>
    <w:rsid w:val="006F51F1"/>
    <w:rsid w:val="006F5598"/>
    <w:rsid w:val="006F56D4"/>
    <w:rsid w:val="006F5968"/>
    <w:rsid w:val="006F59E9"/>
    <w:rsid w:val="006F6420"/>
    <w:rsid w:val="006F6425"/>
    <w:rsid w:val="006F652C"/>
    <w:rsid w:val="006F6D95"/>
    <w:rsid w:val="006F7106"/>
    <w:rsid w:val="006F7A8C"/>
    <w:rsid w:val="0070022F"/>
    <w:rsid w:val="00700E0C"/>
    <w:rsid w:val="00701249"/>
    <w:rsid w:val="00701673"/>
    <w:rsid w:val="00701861"/>
    <w:rsid w:val="00701C63"/>
    <w:rsid w:val="00701E25"/>
    <w:rsid w:val="00702369"/>
    <w:rsid w:val="00702BCC"/>
    <w:rsid w:val="00702C18"/>
    <w:rsid w:val="00702EB5"/>
    <w:rsid w:val="00703B1C"/>
    <w:rsid w:val="00704B9D"/>
    <w:rsid w:val="00704F1A"/>
    <w:rsid w:val="0070548C"/>
    <w:rsid w:val="00705EAE"/>
    <w:rsid w:val="0070638F"/>
    <w:rsid w:val="007068D8"/>
    <w:rsid w:val="00706F13"/>
    <w:rsid w:val="00706F67"/>
    <w:rsid w:val="007072E8"/>
    <w:rsid w:val="007074D1"/>
    <w:rsid w:val="007079DF"/>
    <w:rsid w:val="00707B0A"/>
    <w:rsid w:val="00710263"/>
    <w:rsid w:val="007103D8"/>
    <w:rsid w:val="00710BD7"/>
    <w:rsid w:val="00710C32"/>
    <w:rsid w:val="007116C9"/>
    <w:rsid w:val="0071191E"/>
    <w:rsid w:val="00711C8A"/>
    <w:rsid w:val="007124B4"/>
    <w:rsid w:val="0071291F"/>
    <w:rsid w:val="0071314C"/>
    <w:rsid w:val="0071353C"/>
    <w:rsid w:val="007135FA"/>
    <w:rsid w:val="00713AF0"/>
    <w:rsid w:val="00713B08"/>
    <w:rsid w:val="00714290"/>
    <w:rsid w:val="00714323"/>
    <w:rsid w:val="007151DE"/>
    <w:rsid w:val="00715577"/>
    <w:rsid w:val="0071618D"/>
    <w:rsid w:val="0071645F"/>
    <w:rsid w:val="00716A6B"/>
    <w:rsid w:val="00717063"/>
    <w:rsid w:val="00717CD0"/>
    <w:rsid w:val="00720E33"/>
    <w:rsid w:val="00720FA4"/>
    <w:rsid w:val="007214C6"/>
    <w:rsid w:val="00722B6F"/>
    <w:rsid w:val="0072322F"/>
    <w:rsid w:val="00723C95"/>
    <w:rsid w:val="00723F2E"/>
    <w:rsid w:val="00723FE9"/>
    <w:rsid w:val="00724117"/>
    <w:rsid w:val="007248ED"/>
    <w:rsid w:val="0072517F"/>
    <w:rsid w:val="007259A9"/>
    <w:rsid w:val="00725A44"/>
    <w:rsid w:val="00725FA4"/>
    <w:rsid w:val="00726A15"/>
    <w:rsid w:val="00726B84"/>
    <w:rsid w:val="00726EDE"/>
    <w:rsid w:val="00726FA7"/>
    <w:rsid w:val="00730383"/>
    <w:rsid w:val="00730790"/>
    <w:rsid w:val="00730DB5"/>
    <w:rsid w:val="007313C5"/>
    <w:rsid w:val="007316ED"/>
    <w:rsid w:val="00731B57"/>
    <w:rsid w:val="007321AD"/>
    <w:rsid w:val="00732485"/>
    <w:rsid w:val="007324D8"/>
    <w:rsid w:val="00732521"/>
    <w:rsid w:val="007331F3"/>
    <w:rsid w:val="007335D4"/>
    <w:rsid w:val="007337D4"/>
    <w:rsid w:val="00733DF1"/>
    <w:rsid w:val="007341D0"/>
    <w:rsid w:val="0073438F"/>
    <w:rsid w:val="00734420"/>
    <w:rsid w:val="00734DE7"/>
    <w:rsid w:val="00734E20"/>
    <w:rsid w:val="00735933"/>
    <w:rsid w:val="00735D2A"/>
    <w:rsid w:val="00736483"/>
    <w:rsid w:val="00740446"/>
    <w:rsid w:val="00740577"/>
    <w:rsid w:val="00740B75"/>
    <w:rsid w:val="00741092"/>
    <w:rsid w:val="00741814"/>
    <w:rsid w:val="00741D23"/>
    <w:rsid w:val="00741F8A"/>
    <w:rsid w:val="00742619"/>
    <w:rsid w:val="00742827"/>
    <w:rsid w:val="00742A06"/>
    <w:rsid w:val="00742AAE"/>
    <w:rsid w:val="00742E9B"/>
    <w:rsid w:val="00742F88"/>
    <w:rsid w:val="0074378B"/>
    <w:rsid w:val="007438A9"/>
    <w:rsid w:val="0074445D"/>
    <w:rsid w:val="007446B6"/>
    <w:rsid w:val="007446FB"/>
    <w:rsid w:val="0074491E"/>
    <w:rsid w:val="00745A50"/>
    <w:rsid w:val="00746089"/>
    <w:rsid w:val="007473B7"/>
    <w:rsid w:val="00750DCB"/>
    <w:rsid w:val="0075285B"/>
    <w:rsid w:val="007533FC"/>
    <w:rsid w:val="00754A04"/>
    <w:rsid w:val="00754C8D"/>
    <w:rsid w:val="007552CA"/>
    <w:rsid w:val="007554FD"/>
    <w:rsid w:val="00755B9E"/>
    <w:rsid w:val="00755D14"/>
    <w:rsid w:val="00755F59"/>
    <w:rsid w:val="0075613B"/>
    <w:rsid w:val="00756A49"/>
    <w:rsid w:val="00756BAD"/>
    <w:rsid w:val="0075704D"/>
    <w:rsid w:val="007575D0"/>
    <w:rsid w:val="007575EF"/>
    <w:rsid w:val="0076057B"/>
    <w:rsid w:val="00760DA5"/>
    <w:rsid w:val="00761382"/>
    <w:rsid w:val="007614E9"/>
    <w:rsid w:val="00761589"/>
    <w:rsid w:val="00761AEF"/>
    <w:rsid w:val="00761BAE"/>
    <w:rsid w:val="007620C9"/>
    <w:rsid w:val="007628FA"/>
    <w:rsid w:val="00762CB1"/>
    <w:rsid w:val="00763EE4"/>
    <w:rsid w:val="00763FA5"/>
    <w:rsid w:val="00764035"/>
    <w:rsid w:val="00764D01"/>
    <w:rsid w:val="007659B6"/>
    <w:rsid w:val="007659EE"/>
    <w:rsid w:val="00765CC8"/>
    <w:rsid w:val="007668B6"/>
    <w:rsid w:val="007670E5"/>
    <w:rsid w:val="00767555"/>
    <w:rsid w:val="007679C0"/>
    <w:rsid w:val="007679ED"/>
    <w:rsid w:val="00767AE3"/>
    <w:rsid w:val="007709CE"/>
    <w:rsid w:val="00771877"/>
    <w:rsid w:val="00772DDC"/>
    <w:rsid w:val="00772F3F"/>
    <w:rsid w:val="00773A5C"/>
    <w:rsid w:val="00773D53"/>
    <w:rsid w:val="00773F9C"/>
    <w:rsid w:val="00775964"/>
    <w:rsid w:val="00775C57"/>
    <w:rsid w:val="00775DC5"/>
    <w:rsid w:val="007761B9"/>
    <w:rsid w:val="007761E0"/>
    <w:rsid w:val="00776302"/>
    <w:rsid w:val="0077630B"/>
    <w:rsid w:val="0077690F"/>
    <w:rsid w:val="0077707E"/>
    <w:rsid w:val="007771C1"/>
    <w:rsid w:val="007777F4"/>
    <w:rsid w:val="00777A83"/>
    <w:rsid w:val="00777D63"/>
    <w:rsid w:val="007805AF"/>
    <w:rsid w:val="00781365"/>
    <w:rsid w:val="0078223B"/>
    <w:rsid w:val="007826AC"/>
    <w:rsid w:val="00782A7C"/>
    <w:rsid w:val="00782FAA"/>
    <w:rsid w:val="007830D4"/>
    <w:rsid w:val="007836EF"/>
    <w:rsid w:val="007846AE"/>
    <w:rsid w:val="00784B01"/>
    <w:rsid w:val="00786BA3"/>
    <w:rsid w:val="00786CA4"/>
    <w:rsid w:val="00787120"/>
    <w:rsid w:val="0078768F"/>
    <w:rsid w:val="00787A1C"/>
    <w:rsid w:val="00787DB4"/>
    <w:rsid w:val="007905BC"/>
    <w:rsid w:val="007916FB"/>
    <w:rsid w:val="00791AC9"/>
    <w:rsid w:val="00791B34"/>
    <w:rsid w:val="00791CB1"/>
    <w:rsid w:val="007934F3"/>
    <w:rsid w:val="00793D5A"/>
    <w:rsid w:val="00793F39"/>
    <w:rsid w:val="007944C7"/>
    <w:rsid w:val="007947D4"/>
    <w:rsid w:val="007959E0"/>
    <w:rsid w:val="00795BFB"/>
    <w:rsid w:val="00795C61"/>
    <w:rsid w:val="00796032"/>
    <w:rsid w:val="0079624D"/>
    <w:rsid w:val="00796591"/>
    <w:rsid w:val="00796619"/>
    <w:rsid w:val="00796DE4"/>
    <w:rsid w:val="00796FCE"/>
    <w:rsid w:val="0079725E"/>
    <w:rsid w:val="00797759"/>
    <w:rsid w:val="00797A06"/>
    <w:rsid w:val="007A0779"/>
    <w:rsid w:val="007A0C93"/>
    <w:rsid w:val="007A0D2F"/>
    <w:rsid w:val="007A12E1"/>
    <w:rsid w:val="007A1AD8"/>
    <w:rsid w:val="007A1B13"/>
    <w:rsid w:val="007A2A40"/>
    <w:rsid w:val="007A2EE4"/>
    <w:rsid w:val="007A2F63"/>
    <w:rsid w:val="007A3656"/>
    <w:rsid w:val="007A3763"/>
    <w:rsid w:val="007A3815"/>
    <w:rsid w:val="007A3E4C"/>
    <w:rsid w:val="007A466E"/>
    <w:rsid w:val="007A4CDB"/>
    <w:rsid w:val="007A4D21"/>
    <w:rsid w:val="007A4E2A"/>
    <w:rsid w:val="007A4ED3"/>
    <w:rsid w:val="007A58F4"/>
    <w:rsid w:val="007A67DE"/>
    <w:rsid w:val="007A6BD4"/>
    <w:rsid w:val="007A6D4C"/>
    <w:rsid w:val="007A6E12"/>
    <w:rsid w:val="007A7EAC"/>
    <w:rsid w:val="007B00C1"/>
    <w:rsid w:val="007B00C8"/>
    <w:rsid w:val="007B0C13"/>
    <w:rsid w:val="007B1360"/>
    <w:rsid w:val="007B183C"/>
    <w:rsid w:val="007B19DC"/>
    <w:rsid w:val="007B23E3"/>
    <w:rsid w:val="007B2760"/>
    <w:rsid w:val="007B2AC6"/>
    <w:rsid w:val="007B2B7E"/>
    <w:rsid w:val="007B3797"/>
    <w:rsid w:val="007B3944"/>
    <w:rsid w:val="007B3B48"/>
    <w:rsid w:val="007B4275"/>
    <w:rsid w:val="007B4603"/>
    <w:rsid w:val="007B4BE9"/>
    <w:rsid w:val="007B4FE4"/>
    <w:rsid w:val="007B53CE"/>
    <w:rsid w:val="007B5923"/>
    <w:rsid w:val="007B5A15"/>
    <w:rsid w:val="007B5CD7"/>
    <w:rsid w:val="007B6473"/>
    <w:rsid w:val="007B658B"/>
    <w:rsid w:val="007B6F9C"/>
    <w:rsid w:val="007B7BF8"/>
    <w:rsid w:val="007B7DDB"/>
    <w:rsid w:val="007C011A"/>
    <w:rsid w:val="007C0153"/>
    <w:rsid w:val="007C1097"/>
    <w:rsid w:val="007C1941"/>
    <w:rsid w:val="007C2667"/>
    <w:rsid w:val="007C30F2"/>
    <w:rsid w:val="007C3127"/>
    <w:rsid w:val="007C387E"/>
    <w:rsid w:val="007C3CA7"/>
    <w:rsid w:val="007C4B74"/>
    <w:rsid w:val="007C50A2"/>
    <w:rsid w:val="007C5A0B"/>
    <w:rsid w:val="007C60C0"/>
    <w:rsid w:val="007C68E7"/>
    <w:rsid w:val="007C7633"/>
    <w:rsid w:val="007C78D0"/>
    <w:rsid w:val="007D02CC"/>
    <w:rsid w:val="007D0718"/>
    <w:rsid w:val="007D0BB3"/>
    <w:rsid w:val="007D1FA3"/>
    <w:rsid w:val="007D215F"/>
    <w:rsid w:val="007D2407"/>
    <w:rsid w:val="007D263C"/>
    <w:rsid w:val="007D2680"/>
    <w:rsid w:val="007D2A4E"/>
    <w:rsid w:val="007D2CD1"/>
    <w:rsid w:val="007D3E40"/>
    <w:rsid w:val="007D41A3"/>
    <w:rsid w:val="007D4A5D"/>
    <w:rsid w:val="007D4C1E"/>
    <w:rsid w:val="007D531B"/>
    <w:rsid w:val="007D5BE8"/>
    <w:rsid w:val="007D5EA2"/>
    <w:rsid w:val="007D711F"/>
    <w:rsid w:val="007D7332"/>
    <w:rsid w:val="007D75F8"/>
    <w:rsid w:val="007D7633"/>
    <w:rsid w:val="007D7977"/>
    <w:rsid w:val="007E0088"/>
    <w:rsid w:val="007E0AC9"/>
    <w:rsid w:val="007E0D22"/>
    <w:rsid w:val="007E1464"/>
    <w:rsid w:val="007E19EF"/>
    <w:rsid w:val="007E1D1A"/>
    <w:rsid w:val="007E21D4"/>
    <w:rsid w:val="007E21FB"/>
    <w:rsid w:val="007E23E1"/>
    <w:rsid w:val="007E25E4"/>
    <w:rsid w:val="007E291C"/>
    <w:rsid w:val="007E2D40"/>
    <w:rsid w:val="007E3A1B"/>
    <w:rsid w:val="007E3B31"/>
    <w:rsid w:val="007E48F7"/>
    <w:rsid w:val="007E49A8"/>
    <w:rsid w:val="007E5319"/>
    <w:rsid w:val="007E531E"/>
    <w:rsid w:val="007E57B4"/>
    <w:rsid w:val="007E670E"/>
    <w:rsid w:val="007E680A"/>
    <w:rsid w:val="007E707D"/>
    <w:rsid w:val="007E720C"/>
    <w:rsid w:val="007E742C"/>
    <w:rsid w:val="007E7C33"/>
    <w:rsid w:val="007F03EE"/>
    <w:rsid w:val="007F05BC"/>
    <w:rsid w:val="007F060B"/>
    <w:rsid w:val="007F0EDE"/>
    <w:rsid w:val="007F1CC7"/>
    <w:rsid w:val="007F1D08"/>
    <w:rsid w:val="007F1DFE"/>
    <w:rsid w:val="007F2494"/>
    <w:rsid w:val="007F2722"/>
    <w:rsid w:val="007F3725"/>
    <w:rsid w:val="007F3879"/>
    <w:rsid w:val="007F3B4B"/>
    <w:rsid w:val="007F3C7C"/>
    <w:rsid w:val="007F4293"/>
    <w:rsid w:val="007F4302"/>
    <w:rsid w:val="007F4854"/>
    <w:rsid w:val="007F4A70"/>
    <w:rsid w:val="007F4B46"/>
    <w:rsid w:val="007F4F66"/>
    <w:rsid w:val="007F50E7"/>
    <w:rsid w:val="007F5715"/>
    <w:rsid w:val="007F5B94"/>
    <w:rsid w:val="007F5CD3"/>
    <w:rsid w:val="007F6D6F"/>
    <w:rsid w:val="007F6FD2"/>
    <w:rsid w:val="007F700F"/>
    <w:rsid w:val="007F7081"/>
    <w:rsid w:val="007F716C"/>
    <w:rsid w:val="007F73AD"/>
    <w:rsid w:val="007F78D0"/>
    <w:rsid w:val="007F7AFD"/>
    <w:rsid w:val="0080015B"/>
    <w:rsid w:val="00800285"/>
    <w:rsid w:val="008008D7"/>
    <w:rsid w:val="00800940"/>
    <w:rsid w:val="00800C10"/>
    <w:rsid w:val="008018D7"/>
    <w:rsid w:val="00802F1E"/>
    <w:rsid w:val="00803088"/>
    <w:rsid w:val="0080311A"/>
    <w:rsid w:val="00804633"/>
    <w:rsid w:val="008051BC"/>
    <w:rsid w:val="00805CC1"/>
    <w:rsid w:val="00806565"/>
    <w:rsid w:val="00806B48"/>
    <w:rsid w:val="00806C01"/>
    <w:rsid w:val="00807A87"/>
    <w:rsid w:val="00807E28"/>
    <w:rsid w:val="0081004B"/>
    <w:rsid w:val="00810CE7"/>
    <w:rsid w:val="008115E9"/>
    <w:rsid w:val="00811B3B"/>
    <w:rsid w:val="008125D2"/>
    <w:rsid w:val="00813D1C"/>
    <w:rsid w:val="008147A9"/>
    <w:rsid w:val="008148C3"/>
    <w:rsid w:val="008148CC"/>
    <w:rsid w:val="00814B39"/>
    <w:rsid w:val="0081508E"/>
    <w:rsid w:val="0081586A"/>
    <w:rsid w:val="00815D1A"/>
    <w:rsid w:val="00816C2B"/>
    <w:rsid w:val="008170FD"/>
    <w:rsid w:val="0081752A"/>
    <w:rsid w:val="00817700"/>
    <w:rsid w:val="008211A4"/>
    <w:rsid w:val="00821722"/>
    <w:rsid w:val="00821B89"/>
    <w:rsid w:val="00821C2A"/>
    <w:rsid w:val="00821E24"/>
    <w:rsid w:val="00822D5B"/>
    <w:rsid w:val="00823924"/>
    <w:rsid w:val="00824315"/>
    <w:rsid w:val="00824669"/>
    <w:rsid w:val="00824C77"/>
    <w:rsid w:val="008255E8"/>
    <w:rsid w:val="00825A86"/>
    <w:rsid w:val="00826D29"/>
    <w:rsid w:val="00827227"/>
    <w:rsid w:val="00827420"/>
    <w:rsid w:val="00827863"/>
    <w:rsid w:val="00827963"/>
    <w:rsid w:val="008279D9"/>
    <w:rsid w:val="00827A73"/>
    <w:rsid w:val="00830450"/>
    <w:rsid w:val="00830502"/>
    <w:rsid w:val="008310E5"/>
    <w:rsid w:val="008319D0"/>
    <w:rsid w:val="00831D71"/>
    <w:rsid w:val="00832DEA"/>
    <w:rsid w:val="008335A0"/>
    <w:rsid w:val="0083373A"/>
    <w:rsid w:val="00833840"/>
    <w:rsid w:val="008342A2"/>
    <w:rsid w:val="0083498D"/>
    <w:rsid w:val="00835AC2"/>
    <w:rsid w:val="00835D06"/>
    <w:rsid w:val="00835D84"/>
    <w:rsid w:val="00835EAE"/>
    <w:rsid w:val="0083654B"/>
    <w:rsid w:val="0083682C"/>
    <w:rsid w:val="0083712A"/>
    <w:rsid w:val="00837AE8"/>
    <w:rsid w:val="00837DE5"/>
    <w:rsid w:val="00837E00"/>
    <w:rsid w:val="00840E49"/>
    <w:rsid w:val="0084140B"/>
    <w:rsid w:val="008419DA"/>
    <w:rsid w:val="00841F85"/>
    <w:rsid w:val="00842560"/>
    <w:rsid w:val="00842A85"/>
    <w:rsid w:val="008443F2"/>
    <w:rsid w:val="008451D9"/>
    <w:rsid w:val="008452AF"/>
    <w:rsid w:val="008456A0"/>
    <w:rsid w:val="008457DF"/>
    <w:rsid w:val="00845A85"/>
    <w:rsid w:val="00846104"/>
    <w:rsid w:val="0084698D"/>
    <w:rsid w:val="00846AE1"/>
    <w:rsid w:val="008471AA"/>
    <w:rsid w:val="008476D4"/>
    <w:rsid w:val="008478F4"/>
    <w:rsid w:val="00851637"/>
    <w:rsid w:val="008518FD"/>
    <w:rsid w:val="0085270E"/>
    <w:rsid w:val="00852775"/>
    <w:rsid w:val="00854401"/>
    <w:rsid w:val="00854D7A"/>
    <w:rsid w:val="00855559"/>
    <w:rsid w:val="00855F3E"/>
    <w:rsid w:val="0085642B"/>
    <w:rsid w:val="008570C8"/>
    <w:rsid w:val="0085764A"/>
    <w:rsid w:val="00860048"/>
    <w:rsid w:val="00860838"/>
    <w:rsid w:val="00860882"/>
    <w:rsid w:val="00860C35"/>
    <w:rsid w:val="008614AC"/>
    <w:rsid w:val="00861F7F"/>
    <w:rsid w:val="00862359"/>
    <w:rsid w:val="00862634"/>
    <w:rsid w:val="00862DC2"/>
    <w:rsid w:val="0086306D"/>
    <w:rsid w:val="00863A90"/>
    <w:rsid w:val="00863E8E"/>
    <w:rsid w:val="008644F8"/>
    <w:rsid w:val="00865EE7"/>
    <w:rsid w:val="00865F0B"/>
    <w:rsid w:val="00865F7C"/>
    <w:rsid w:val="00866341"/>
    <w:rsid w:val="0086649D"/>
    <w:rsid w:val="0086679F"/>
    <w:rsid w:val="008667DC"/>
    <w:rsid w:val="00866C87"/>
    <w:rsid w:val="008670FD"/>
    <w:rsid w:val="008671BB"/>
    <w:rsid w:val="008677FE"/>
    <w:rsid w:val="00867B0B"/>
    <w:rsid w:val="00867B6B"/>
    <w:rsid w:val="00867DFA"/>
    <w:rsid w:val="00867F3A"/>
    <w:rsid w:val="00867F94"/>
    <w:rsid w:val="00870778"/>
    <w:rsid w:val="008708AD"/>
    <w:rsid w:val="00870B04"/>
    <w:rsid w:val="008714F2"/>
    <w:rsid w:val="00871ED9"/>
    <w:rsid w:val="00872165"/>
    <w:rsid w:val="0087298C"/>
    <w:rsid w:val="00872AD6"/>
    <w:rsid w:val="00873150"/>
    <w:rsid w:val="00873632"/>
    <w:rsid w:val="00874691"/>
    <w:rsid w:val="00875395"/>
    <w:rsid w:val="00876208"/>
    <w:rsid w:val="00876308"/>
    <w:rsid w:val="0087657D"/>
    <w:rsid w:val="00876688"/>
    <w:rsid w:val="00880181"/>
    <w:rsid w:val="00880337"/>
    <w:rsid w:val="008807D5"/>
    <w:rsid w:val="00880832"/>
    <w:rsid w:val="00880926"/>
    <w:rsid w:val="00880C6D"/>
    <w:rsid w:val="00880C98"/>
    <w:rsid w:val="008812AE"/>
    <w:rsid w:val="00881321"/>
    <w:rsid w:val="00882A37"/>
    <w:rsid w:val="00882ABC"/>
    <w:rsid w:val="00883BCD"/>
    <w:rsid w:val="00883C59"/>
    <w:rsid w:val="0088579D"/>
    <w:rsid w:val="00885FA6"/>
    <w:rsid w:val="00886299"/>
    <w:rsid w:val="008864AF"/>
    <w:rsid w:val="008865C9"/>
    <w:rsid w:val="008866A3"/>
    <w:rsid w:val="00886EE1"/>
    <w:rsid w:val="0088727D"/>
    <w:rsid w:val="00887636"/>
    <w:rsid w:val="00887724"/>
    <w:rsid w:val="00890F29"/>
    <w:rsid w:val="0089169C"/>
    <w:rsid w:val="0089195C"/>
    <w:rsid w:val="008924EA"/>
    <w:rsid w:val="00892ABE"/>
    <w:rsid w:val="00893B78"/>
    <w:rsid w:val="00894C9A"/>
    <w:rsid w:val="0089636C"/>
    <w:rsid w:val="008966D9"/>
    <w:rsid w:val="00896854"/>
    <w:rsid w:val="00896C1A"/>
    <w:rsid w:val="00896E91"/>
    <w:rsid w:val="00897C75"/>
    <w:rsid w:val="00897DA2"/>
    <w:rsid w:val="008A0752"/>
    <w:rsid w:val="008A1054"/>
    <w:rsid w:val="008A1415"/>
    <w:rsid w:val="008A197E"/>
    <w:rsid w:val="008A1BC1"/>
    <w:rsid w:val="008A1D35"/>
    <w:rsid w:val="008A223F"/>
    <w:rsid w:val="008A2B22"/>
    <w:rsid w:val="008A2CD1"/>
    <w:rsid w:val="008A33B7"/>
    <w:rsid w:val="008A4076"/>
    <w:rsid w:val="008A47FB"/>
    <w:rsid w:val="008A58A5"/>
    <w:rsid w:val="008A5B35"/>
    <w:rsid w:val="008A60BB"/>
    <w:rsid w:val="008A6627"/>
    <w:rsid w:val="008A6969"/>
    <w:rsid w:val="008A6B0D"/>
    <w:rsid w:val="008A6CB0"/>
    <w:rsid w:val="008A6D89"/>
    <w:rsid w:val="008A7070"/>
    <w:rsid w:val="008B08FF"/>
    <w:rsid w:val="008B0C62"/>
    <w:rsid w:val="008B112D"/>
    <w:rsid w:val="008B1842"/>
    <w:rsid w:val="008B19F0"/>
    <w:rsid w:val="008B20BE"/>
    <w:rsid w:val="008B2757"/>
    <w:rsid w:val="008B294C"/>
    <w:rsid w:val="008B2EAE"/>
    <w:rsid w:val="008B30C0"/>
    <w:rsid w:val="008B366D"/>
    <w:rsid w:val="008B4013"/>
    <w:rsid w:val="008B4A02"/>
    <w:rsid w:val="008B4F6B"/>
    <w:rsid w:val="008B50FA"/>
    <w:rsid w:val="008B521B"/>
    <w:rsid w:val="008B66EB"/>
    <w:rsid w:val="008B7258"/>
    <w:rsid w:val="008B7E3D"/>
    <w:rsid w:val="008B7F96"/>
    <w:rsid w:val="008C0A74"/>
    <w:rsid w:val="008C1130"/>
    <w:rsid w:val="008C1136"/>
    <w:rsid w:val="008C17DF"/>
    <w:rsid w:val="008C1993"/>
    <w:rsid w:val="008C1AE0"/>
    <w:rsid w:val="008C1D92"/>
    <w:rsid w:val="008C23FB"/>
    <w:rsid w:val="008C28CA"/>
    <w:rsid w:val="008C2F16"/>
    <w:rsid w:val="008C369A"/>
    <w:rsid w:val="008C3735"/>
    <w:rsid w:val="008C3A17"/>
    <w:rsid w:val="008C3B83"/>
    <w:rsid w:val="008C41A1"/>
    <w:rsid w:val="008C463F"/>
    <w:rsid w:val="008C47D5"/>
    <w:rsid w:val="008C583F"/>
    <w:rsid w:val="008C6175"/>
    <w:rsid w:val="008C62C0"/>
    <w:rsid w:val="008C6543"/>
    <w:rsid w:val="008C75E9"/>
    <w:rsid w:val="008D081A"/>
    <w:rsid w:val="008D09BC"/>
    <w:rsid w:val="008D112E"/>
    <w:rsid w:val="008D1251"/>
    <w:rsid w:val="008D1803"/>
    <w:rsid w:val="008D18E6"/>
    <w:rsid w:val="008D1FE9"/>
    <w:rsid w:val="008D266B"/>
    <w:rsid w:val="008D2C57"/>
    <w:rsid w:val="008D3497"/>
    <w:rsid w:val="008D412A"/>
    <w:rsid w:val="008D4838"/>
    <w:rsid w:val="008D6B2B"/>
    <w:rsid w:val="008D6D28"/>
    <w:rsid w:val="008D6F4E"/>
    <w:rsid w:val="008D72C8"/>
    <w:rsid w:val="008D73FE"/>
    <w:rsid w:val="008D7A9B"/>
    <w:rsid w:val="008E016C"/>
    <w:rsid w:val="008E01BB"/>
    <w:rsid w:val="008E1204"/>
    <w:rsid w:val="008E1CA1"/>
    <w:rsid w:val="008E2A6E"/>
    <w:rsid w:val="008E39C6"/>
    <w:rsid w:val="008E3E24"/>
    <w:rsid w:val="008E45FD"/>
    <w:rsid w:val="008E4C03"/>
    <w:rsid w:val="008E6410"/>
    <w:rsid w:val="008E656F"/>
    <w:rsid w:val="008E6CD1"/>
    <w:rsid w:val="008E76AC"/>
    <w:rsid w:val="008E771A"/>
    <w:rsid w:val="008E7778"/>
    <w:rsid w:val="008E7BB6"/>
    <w:rsid w:val="008F07DD"/>
    <w:rsid w:val="008F1075"/>
    <w:rsid w:val="008F12CD"/>
    <w:rsid w:val="008F212B"/>
    <w:rsid w:val="008F21F6"/>
    <w:rsid w:val="008F2762"/>
    <w:rsid w:val="008F2C39"/>
    <w:rsid w:val="008F2D82"/>
    <w:rsid w:val="008F379E"/>
    <w:rsid w:val="008F37E8"/>
    <w:rsid w:val="008F3AD1"/>
    <w:rsid w:val="008F4824"/>
    <w:rsid w:val="008F6AB6"/>
    <w:rsid w:val="008F6B1B"/>
    <w:rsid w:val="008F6C57"/>
    <w:rsid w:val="008F739D"/>
    <w:rsid w:val="008F7B99"/>
    <w:rsid w:val="008F7DF8"/>
    <w:rsid w:val="009000D3"/>
    <w:rsid w:val="00900C25"/>
    <w:rsid w:val="00901488"/>
    <w:rsid w:val="00901BA1"/>
    <w:rsid w:val="00901C9E"/>
    <w:rsid w:val="009020FC"/>
    <w:rsid w:val="009028DE"/>
    <w:rsid w:val="00902AC5"/>
    <w:rsid w:val="00902DBC"/>
    <w:rsid w:val="0090333C"/>
    <w:rsid w:val="0090387E"/>
    <w:rsid w:val="009039F2"/>
    <w:rsid w:val="00904263"/>
    <w:rsid w:val="0090451C"/>
    <w:rsid w:val="00905C7D"/>
    <w:rsid w:val="009060E9"/>
    <w:rsid w:val="00906935"/>
    <w:rsid w:val="00906984"/>
    <w:rsid w:val="009076C8"/>
    <w:rsid w:val="00907F6E"/>
    <w:rsid w:val="00907F99"/>
    <w:rsid w:val="00910996"/>
    <w:rsid w:val="00910B98"/>
    <w:rsid w:val="00910ED3"/>
    <w:rsid w:val="009112CF"/>
    <w:rsid w:val="0091156D"/>
    <w:rsid w:val="00911E2A"/>
    <w:rsid w:val="009120C5"/>
    <w:rsid w:val="009123A7"/>
    <w:rsid w:val="00912DBE"/>
    <w:rsid w:val="0091320A"/>
    <w:rsid w:val="009132DA"/>
    <w:rsid w:val="00914673"/>
    <w:rsid w:val="00916044"/>
    <w:rsid w:val="009162C4"/>
    <w:rsid w:val="00916835"/>
    <w:rsid w:val="009172F6"/>
    <w:rsid w:val="00920DAD"/>
    <w:rsid w:val="009224BC"/>
    <w:rsid w:val="00922630"/>
    <w:rsid w:val="00922DF2"/>
    <w:rsid w:val="0092365D"/>
    <w:rsid w:val="0092368C"/>
    <w:rsid w:val="00923D79"/>
    <w:rsid w:val="00924D42"/>
    <w:rsid w:val="009253E4"/>
    <w:rsid w:val="00925521"/>
    <w:rsid w:val="009255B9"/>
    <w:rsid w:val="009255F3"/>
    <w:rsid w:val="00925662"/>
    <w:rsid w:val="00926064"/>
    <w:rsid w:val="009268E9"/>
    <w:rsid w:val="00927623"/>
    <w:rsid w:val="00927ACA"/>
    <w:rsid w:val="00930134"/>
    <w:rsid w:val="009308B4"/>
    <w:rsid w:val="0093096D"/>
    <w:rsid w:val="0093138E"/>
    <w:rsid w:val="0093139A"/>
    <w:rsid w:val="00931F57"/>
    <w:rsid w:val="0093237A"/>
    <w:rsid w:val="009323D2"/>
    <w:rsid w:val="00932497"/>
    <w:rsid w:val="00932ABA"/>
    <w:rsid w:val="009331F6"/>
    <w:rsid w:val="009342EC"/>
    <w:rsid w:val="00934A4C"/>
    <w:rsid w:val="00934C1C"/>
    <w:rsid w:val="00934E2D"/>
    <w:rsid w:val="009354A4"/>
    <w:rsid w:val="00935BBB"/>
    <w:rsid w:val="0093634F"/>
    <w:rsid w:val="009367B8"/>
    <w:rsid w:val="00937115"/>
    <w:rsid w:val="009403CE"/>
    <w:rsid w:val="00940956"/>
    <w:rsid w:val="00940B40"/>
    <w:rsid w:val="00940E52"/>
    <w:rsid w:val="00940E83"/>
    <w:rsid w:val="00941E02"/>
    <w:rsid w:val="00942169"/>
    <w:rsid w:val="00942C2A"/>
    <w:rsid w:val="00943DFF"/>
    <w:rsid w:val="00944978"/>
    <w:rsid w:val="009452D5"/>
    <w:rsid w:val="009456C0"/>
    <w:rsid w:val="009459DF"/>
    <w:rsid w:val="009466D2"/>
    <w:rsid w:val="00946D79"/>
    <w:rsid w:val="0094755E"/>
    <w:rsid w:val="009476A4"/>
    <w:rsid w:val="00947BD1"/>
    <w:rsid w:val="00950874"/>
    <w:rsid w:val="009509AB"/>
    <w:rsid w:val="009518A4"/>
    <w:rsid w:val="00951F79"/>
    <w:rsid w:val="009526D8"/>
    <w:rsid w:val="00953258"/>
    <w:rsid w:val="009533DE"/>
    <w:rsid w:val="009534DB"/>
    <w:rsid w:val="00953F54"/>
    <w:rsid w:val="00954779"/>
    <w:rsid w:val="009551C5"/>
    <w:rsid w:val="0095552B"/>
    <w:rsid w:val="00955829"/>
    <w:rsid w:val="00955F25"/>
    <w:rsid w:val="009566C7"/>
    <w:rsid w:val="00956F03"/>
    <w:rsid w:val="00957906"/>
    <w:rsid w:val="00957EEB"/>
    <w:rsid w:val="00960480"/>
    <w:rsid w:val="00960ED9"/>
    <w:rsid w:val="009612F5"/>
    <w:rsid w:val="0096199E"/>
    <w:rsid w:val="00961B14"/>
    <w:rsid w:val="00961B80"/>
    <w:rsid w:val="00961D8B"/>
    <w:rsid w:val="009624C2"/>
    <w:rsid w:val="00962709"/>
    <w:rsid w:val="00962A82"/>
    <w:rsid w:val="00963F52"/>
    <w:rsid w:val="009648DD"/>
    <w:rsid w:val="00964CE3"/>
    <w:rsid w:val="0096558E"/>
    <w:rsid w:val="00965B0B"/>
    <w:rsid w:val="00967569"/>
    <w:rsid w:val="00967AF2"/>
    <w:rsid w:val="00967DBE"/>
    <w:rsid w:val="00967E26"/>
    <w:rsid w:val="0097019D"/>
    <w:rsid w:val="009712C7"/>
    <w:rsid w:val="009717CD"/>
    <w:rsid w:val="00971921"/>
    <w:rsid w:val="009721D0"/>
    <w:rsid w:val="009722EE"/>
    <w:rsid w:val="00972A31"/>
    <w:rsid w:val="00973C8D"/>
    <w:rsid w:val="00973FB9"/>
    <w:rsid w:val="00974053"/>
    <w:rsid w:val="00974AB5"/>
    <w:rsid w:val="00974B60"/>
    <w:rsid w:val="00974BFF"/>
    <w:rsid w:val="00974CE6"/>
    <w:rsid w:val="00974D36"/>
    <w:rsid w:val="009763B9"/>
    <w:rsid w:val="00976BE1"/>
    <w:rsid w:val="00976E39"/>
    <w:rsid w:val="00976E5B"/>
    <w:rsid w:val="00977E9C"/>
    <w:rsid w:val="0098082D"/>
    <w:rsid w:val="00982BA3"/>
    <w:rsid w:val="00983880"/>
    <w:rsid w:val="0098388A"/>
    <w:rsid w:val="00983A36"/>
    <w:rsid w:val="00985821"/>
    <w:rsid w:val="0098591F"/>
    <w:rsid w:val="00986078"/>
    <w:rsid w:val="00986778"/>
    <w:rsid w:val="00986DBD"/>
    <w:rsid w:val="0098706D"/>
    <w:rsid w:val="009872AC"/>
    <w:rsid w:val="00987336"/>
    <w:rsid w:val="009878DB"/>
    <w:rsid w:val="00990023"/>
    <w:rsid w:val="009904A1"/>
    <w:rsid w:val="00990561"/>
    <w:rsid w:val="00990786"/>
    <w:rsid w:val="00990A64"/>
    <w:rsid w:val="00990EA7"/>
    <w:rsid w:val="009916E2"/>
    <w:rsid w:val="00992F89"/>
    <w:rsid w:val="00993007"/>
    <w:rsid w:val="009933B7"/>
    <w:rsid w:val="009935FB"/>
    <w:rsid w:val="00993977"/>
    <w:rsid w:val="0099397F"/>
    <w:rsid w:val="00993A95"/>
    <w:rsid w:val="00993CE4"/>
    <w:rsid w:val="00993D88"/>
    <w:rsid w:val="0099407E"/>
    <w:rsid w:val="009943EA"/>
    <w:rsid w:val="009947F3"/>
    <w:rsid w:val="00994AB6"/>
    <w:rsid w:val="00994DCB"/>
    <w:rsid w:val="009955A0"/>
    <w:rsid w:val="0099570B"/>
    <w:rsid w:val="0099583D"/>
    <w:rsid w:val="00995F0E"/>
    <w:rsid w:val="00996A59"/>
    <w:rsid w:val="00996C73"/>
    <w:rsid w:val="00996EF4"/>
    <w:rsid w:val="00997A82"/>
    <w:rsid w:val="00997C31"/>
    <w:rsid w:val="00997E2A"/>
    <w:rsid w:val="00997EB8"/>
    <w:rsid w:val="00997EF8"/>
    <w:rsid w:val="009A0AD4"/>
    <w:rsid w:val="009A10E7"/>
    <w:rsid w:val="009A150B"/>
    <w:rsid w:val="009A2341"/>
    <w:rsid w:val="009A2470"/>
    <w:rsid w:val="009A3088"/>
    <w:rsid w:val="009A3748"/>
    <w:rsid w:val="009A4299"/>
    <w:rsid w:val="009A4815"/>
    <w:rsid w:val="009A4E76"/>
    <w:rsid w:val="009A59BA"/>
    <w:rsid w:val="009A5D3D"/>
    <w:rsid w:val="009A5FE2"/>
    <w:rsid w:val="009A6F35"/>
    <w:rsid w:val="009B0098"/>
    <w:rsid w:val="009B068E"/>
    <w:rsid w:val="009B0E3B"/>
    <w:rsid w:val="009B1315"/>
    <w:rsid w:val="009B1373"/>
    <w:rsid w:val="009B142D"/>
    <w:rsid w:val="009B15FF"/>
    <w:rsid w:val="009B16EE"/>
    <w:rsid w:val="009B1A45"/>
    <w:rsid w:val="009B2367"/>
    <w:rsid w:val="009B2653"/>
    <w:rsid w:val="009B28B0"/>
    <w:rsid w:val="009B2F5A"/>
    <w:rsid w:val="009B33B8"/>
    <w:rsid w:val="009B3D08"/>
    <w:rsid w:val="009B41D1"/>
    <w:rsid w:val="009B45C2"/>
    <w:rsid w:val="009B4937"/>
    <w:rsid w:val="009B4AEF"/>
    <w:rsid w:val="009B4FD6"/>
    <w:rsid w:val="009B559C"/>
    <w:rsid w:val="009B5722"/>
    <w:rsid w:val="009B57BC"/>
    <w:rsid w:val="009B5AEE"/>
    <w:rsid w:val="009B7251"/>
    <w:rsid w:val="009C02A3"/>
    <w:rsid w:val="009C097E"/>
    <w:rsid w:val="009C0D07"/>
    <w:rsid w:val="009C115D"/>
    <w:rsid w:val="009C1B70"/>
    <w:rsid w:val="009C2A06"/>
    <w:rsid w:val="009C2C79"/>
    <w:rsid w:val="009C2CC9"/>
    <w:rsid w:val="009C2D5C"/>
    <w:rsid w:val="009C2EF5"/>
    <w:rsid w:val="009C30EF"/>
    <w:rsid w:val="009C37F4"/>
    <w:rsid w:val="009C3CA6"/>
    <w:rsid w:val="009C3FA2"/>
    <w:rsid w:val="009C4723"/>
    <w:rsid w:val="009C4AC9"/>
    <w:rsid w:val="009C4E3D"/>
    <w:rsid w:val="009C5955"/>
    <w:rsid w:val="009C65DF"/>
    <w:rsid w:val="009C6A02"/>
    <w:rsid w:val="009C6EA7"/>
    <w:rsid w:val="009C706B"/>
    <w:rsid w:val="009C70EE"/>
    <w:rsid w:val="009C7574"/>
    <w:rsid w:val="009C75BB"/>
    <w:rsid w:val="009C7697"/>
    <w:rsid w:val="009C7DC6"/>
    <w:rsid w:val="009D0857"/>
    <w:rsid w:val="009D0960"/>
    <w:rsid w:val="009D14D6"/>
    <w:rsid w:val="009D155A"/>
    <w:rsid w:val="009D17DF"/>
    <w:rsid w:val="009D22BA"/>
    <w:rsid w:val="009D26EF"/>
    <w:rsid w:val="009D4226"/>
    <w:rsid w:val="009D48B9"/>
    <w:rsid w:val="009D4933"/>
    <w:rsid w:val="009D4C49"/>
    <w:rsid w:val="009D5B37"/>
    <w:rsid w:val="009D5C41"/>
    <w:rsid w:val="009D5F49"/>
    <w:rsid w:val="009D6167"/>
    <w:rsid w:val="009D6FE4"/>
    <w:rsid w:val="009D7CCE"/>
    <w:rsid w:val="009D7DAA"/>
    <w:rsid w:val="009E02CB"/>
    <w:rsid w:val="009E0824"/>
    <w:rsid w:val="009E13C5"/>
    <w:rsid w:val="009E1671"/>
    <w:rsid w:val="009E190A"/>
    <w:rsid w:val="009E2240"/>
    <w:rsid w:val="009E2357"/>
    <w:rsid w:val="009E30F3"/>
    <w:rsid w:val="009E3A00"/>
    <w:rsid w:val="009E3A2C"/>
    <w:rsid w:val="009E3B68"/>
    <w:rsid w:val="009E3CA1"/>
    <w:rsid w:val="009E4819"/>
    <w:rsid w:val="009E4D58"/>
    <w:rsid w:val="009E5C71"/>
    <w:rsid w:val="009E5D97"/>
    <w:rsid w:val="009E6002"/>
    <w:rsid w:val="009E670D"/>
    <w:rsid w:val="009E6E78"/>
    <w:rsid w:val="009E72E3"/>
    <w:rsid w:val="009E772E"/>
    <w:rsid w:val="009E7B47"/>
    <w:rsid w:val="009F0A14"/>
    <w:rsid w:val="009F0D17"/>
    <w:rsid w:val="009F0E2E"/>
    <w:rsid w:val="009F0E4A"/>
    <w:rsid w:val="009F15D7"/>
    <w:rsid w:val="009F1789"/>
    <w:rsid w:val="009F23CB"/>
    <w:rsid w:val="009F267C"/>
    <w:rsid w:val="009F3875"/>
    <w:rsid w:val="009F3F5D"/>
    <w:rsid w:val="009F4668"/>
    <w:rsid w:val="009F4A54"/>
    <w:rsid w:val="009F4BEC"/>
    <w:rsid w:val="009F5251"/>
    <w:rsid w:val="009F5507"/>
    <w:rsid w:val="009F56D1"/>
    <w:rsid w:val="009F637B"/>
    <w:rsid w:val="009F653D"/>
    <w:rsid w:val="009F65D7"/>
    <w:rsid w:val="009F6805"/>
    <w:rsid w:val="009F6C7E"/>
    <w:rsid w:val="009F7867"/>
    <w:rsid w:val="009F7D57"/>
    <w:rsid w:val="009F7D74"/>
    <w:rsid w:val="009F7DD8"/>
    <w:rsid w:val="00A001C5"/>
    <w:rsid w:val="00A00552"/>
    <w:rsid w:val="00A008A9"/>
    <w:rsid w:val="00A015B6"/>
    <w:rsid w:val="00A0218D"/>
    <w:rsid w:val="00A0243A"/>
    <w:rsid w:val="00A024D2"/>
    <w:rsid w:val="00A02645"/>
    <w:rsid w:val="00A02A21"/>
    <w:rsid w:val="00A02C78"/>
    <w:rsid w:val="00A0310B"/>
    <w:rsid w:val="00A03233"/>
    <w:rsid w:val="00A0384D"/>
    <w:rsid w:val="00A03D95"/>
    <w:rsid w:val="00A04566"/>
    <w:rsid w:val="00A04B9D"/>
    <w:rsid w:val="00A054EA"/>
    <w:rsid w:val="00A06350"/>
    <w:rsid w:val="00A06AAB"/>
    <w:rsid w:val="00A07603"/>
    <w:rsid w:val="00A0784B"/>
    <w:rsid w:val="00A0790D"/>
    <w:rsid w:val="00A07A42"/>
    <w:rsid w:val="00A07C27"/>
    <w:rsid w:val="00A07C55"/>
    <w:rsid w:val="00A07F47"/>
    <w:rsid w:val="00A1027F"/>
    <w:rsid w:val="00A107E4"/>
    <w:rsid w:val="00A10B78"/>
    <w:rsid w:val="00A13CBD"/>
    <w:rsid w:val="00A1417F"/>
    <w:rsid w:val="00A14415"/>
    <w:rsid w:val="00A14EDE"/>
    <w:rsid w:val="00A14F45"/>
    <w:rsid w:val="00A1548D"/>
    <w:rsid w:val="00A1563E"/>
    <w:rsid w:val="00A156A7"/>
    <w:rsid w:val="00A1661E"/>
    <w:rsid w:val="00A169A4"/>
    <w:rsid w:val="00A16B43"/>
    <w:rsid w:val="00A16D87"/>
    <w:rsid w:val="00A16F1D"/>
    <w:rsid w:val="00A16F22"/>
    <w:rsid w:val="00A174C6"/>
    <w:rsid w:val="00A179D9"/>
    <w:rsid w:val="00A2025D"/>
    <w:rsid w:val="00A2056E"/>
    <w:rsid w:val="00A20BF8"/>
    <w:rsid w:val="00A210AD"/>
    <w:rsid w:val="00A21B91"/>
    <w:rsid w:val="00A22602"/>
    <w:rsid w:val="00A22611"/>
    <w:rsid w:val="00A22C01"/>
    <w:rsid w:val="00A232EC"/>
    <w:rsid w:val="00A236BF"/>
    <w:rsid w:val="00A23D97"/>
    <w:rsid w:val="00A24143"/>
    <w:rsid w:val="00A2456A"/>
    <w:rsid w:val="00A2461E"/>
    <w:rsid w:val="00A251AF"/>
    <w:rsid w:val="00A256D7"/>
    <w:rsid w:val="00A25FD7"/>
    <w:rsid w:val="00A2633C"/>
    <w:rsid w:val="00A26A77"/>
    <w:rsid w:val="00A26D3F"/>
    <w:rsid w:val="00A27E59"/>
    <w:rsid w:val="00A30923"/>
    <w:rsid w:val="00A312A8"/>
    <w:rsid w:val="00A31E88"/>
    <w:rsid w:val="00A31EDE"/>
    <w:rsid w:val="00A32157"/>
    <w:rsid w:val="00A32EB1"/>
    <w:rsid w:val="00A33B64"/>
    <w:rsid w:val="00A33C94"/>
    <w:rsid w:val="00A33F8E"/>
    <w:rsid w:val="00A34273"/>
    <w:rsid w:val="00A34644"/>
    <w:rsid w:val="00A34E3D"/>
    <w:rsid w:val="00A34F5E"/>
    <w:rsid w:val="00A35441"/>
    <w:rsid w:val="00A357B5"/>
    <w:rsid w:val="00A358AB"/>
    <w:rsid w:val="00A359B3"/>
    <w:rsid w:val="00A35C72"/>
    <w:rsid w:val="00A36D73"/>
    <w:rsid w:val="00A36F88"/>
    <w:rsid w:val="00A37257"/>
    <w:rsid w:val="00A402E3"/>
    <w:rsid w:val="00A404B7"/>
    <w:rsid w:val="00A407DC"/>
    <w:rsid w:val="00A40B2A"/>
    <w:rsid w:val="00A4160D"/>
    <w:rsid w:val="00A417CA"/>
    <w:rsid w:val="00A42C8A"/>
    <w:rsid w:val="00A430B0"/>
    <w:rsid w:val="00A4373B"/>
    <w:rsid w:val="00A43AFF"/>
    <w:rsid w:val="00A44BAA"/>
    <w:rsid w:val="00A44C34"/>
    <w:rsid w:val="00A44D86"/>
    <w:rsid w:val="00A44E16"/>
    <w:rsid w:val="00A45626"/>
    <w:rsid w:val="00A45656"/>
    <w:rsid w:val="00A461D0"/>
    <w:rsid w:val="00A46D6A"/>
    <w:rsid w:val="00A47379"/>
    <w:rsid w:val="00A47453"/>
    <w:rsid w:val="00A477A6"/>
    <w:rsid w:val="00A478CC"/>
    <w:rsid w:val="00A47EC6"/>
    <w:rsid w:val="00A5046C"/>
    <w:rsid w:val="00A50E70"/>
    <w:rsid w:val="00A5118A"/>
    <w:rsid w:val="00A5133F"/>
    <w:rsid w:val="00A519D6"/>
    <w:rsid w:val="00A51E70"/>
    <w:rsid w:val="00A51EB8"/>
    <w:rsid w:val="00A51F37"/>
    <w:rsid w:val="00A520FE"/>
    <w:rsid w:val="00A523D2"/>
    <w:rsid w:val="00A5250E"/>
    <w:rsid w:val="00A5259F"/>
    <w:rsid w:val="00A52D2C"/>
    <w:rsid w:val="00A53AFD"/>
    <w:rsid w:val="00A5402A"/>
    <w:rsid w:val="00A546E3"/>
    <w:rsid w:val="00A54C89"/>
    <w:rsid w:val="00A54D46"/>
    <w:rsid w:val="00A54E96"/>
    <w:rsid w:val="00A5625B"/>
    <w:rsid w:val="00A56375"/>
    <w:rsid w:val="00A56620"/>
    <w:rsid w:val="00A567B1"/>
    <w:rsid w:val="00A56D6E"/>
    <w:rsid w:val="00A572C2"/>
    <w:rsid w:val="00A579A1"/>
    <w:rsid w:val="00A57E21"/>
    <w:rsid w:val="00A602AB"/>
    <w:rsid w:val="00A60457"/>
    <w:rsid w:val="00A60DB0"/>
    <w:rsid w:val="00A60E24"/>
    <w:rsid w:val="00A60F37"/>
    <w:rsid w:val="00A622EA"/>
    <w:rsid w:val="00A628E1"/>
    <w:rsid w:val="00A62CA1"/>
    <w:rsid w:val="00A6387C"/>
    <w:rsid w:val="00A642FE"/>
    <w:rsid w:val="00A645A9"/>
    <w:rsid w:val="00A647C9"/>
    <w:rsid w:val="00A649DC"/>
    <w:rsid w:val="00A64A0D"/>
    <w:rsid w:val="00A6515B"/>
    <w:rsid w:val="00A659AD"/>
    <w:rsid w:val="00A659DD"/>
    <w:rsid w:val="00A66BF1"/>
    <w:rsid w:val="00A67EE0"/>
    <w:rsid w:val="00A70017"/>
    <w:rsid w:val="00A7035B"/>
    <w:rsid w:val="00A7064D"/>
    <w:rsid w:val="00A707FD"/>
    <w:rsid w:val="00A70C2E"/>
    <w:rsid w:val="00A70D0C"/>
    <w:rsid w:val="00A71D87"/>
    <w:rsid w:val="00A721EE"/>
    <w:rsid w:val="00A724E1"/>
    <w:rsid w:val="00A72859"/>
    <w:rsid w:val="00A72AD7"/>
    <w:rsid w:val="00A731C9"/>
    <w:rsid w:val="00A73D50"/>
    <w:rsid w:val="00A7401E"/>
    <w:rsid w:val="00A75545"/>
    <w:rsid w:val="00A75DDC"/>
    <w:rsid w:val="00A76425"/>
    <w:rsid w:val="00A7722A"/>
    <w:rsid w:val="00A7732E"/>
    <w:rsid w:val="00A7793A"/>
    <w:rsid w:val="00A779EB"/>
    <w:rsid w:val="00A80362"/>
    <w:rsid w:val="00A805F3"/>
    <w:rsid w:val="00A807BA"/>
    <w:rsid w:val="00A808AF"/>
    <w:rsid w:val="00A80C67"/>
    <w:rsid w:val="00A80ED0"/>
    <w:rsid w:val="00A8111C"/>
    <w:rsid w:val="00A817C8"/>
    <w:rsid w:val="00A817E8"/>
    <w:rsid w:val="00A81F00"/>
    <w:rsid w:val="00A822C0"/>
    <w:rsid w:val="00A827E0"/>
    <w:rsid w:val="00A8315C"/>
    <w:rsid w:val="00A83A0E"/>
    <w:rsid w:val="00A83B2F"/>
    <w:rsid w:val="00A852AD"/>
    <w:rsid w:val="00A85530"/>
    <w:rsid w:val="00A8566A"/>
    <w:rsid w:val="00A85716"/>
    <w:rsid w:val="00A85CFF"/>
    <w:rsid w:val="00A85DFC"/>
    <w:rsid w:val="00A86DD5"/>
    <w:rsid w:val="00A871C1"/>
    <w:rsid w:val="00A87321"/>
    <w:rsid w:val="00A8776A"/>
    <w:rsid w:val="00A907CE"/>
    <w:rsid w:val="00A90959"/>
    <w:rsid w:val="00A910BB"/>
    <w:rsid w:val="00A915B2"/>
    <w:rsid w:val="00A92FE5"/>
    <w:rsid w:val="00A93073"/>
    <w:rsid w:val="00A93507"/>
    <w:rsid w:val="00A93646"/>
    <w:rsid w:val="00A93732"/>
    <w:rsid w:val="00A938BD"/>
    <w:rsid w:val="00A93AD0"/>
    <w:rsid w:val="00A93B80"/>
    <w:rsid w:val="00A93C3B"/>
    <w:rsid w:val="00A94278"/>
    <w:rsid w:val="00A94448"/>
    <w:rsid w:val="00A94487"/>
    <w:rsid w:val="00A946B0"/>
    <w:rsid w:val="00A94C56"/>
    <w:rsid w:val="00A95339"/>
    <w:rsid w:val="00A95624"/>
    <w:rsid w:val="00A95668"/>
    <w:rsid w:val="00A95A6D"/>
    <w:rsid w:val="00A976CC"/>
    <w:rsid w:val="00A97BD1"/>
    <w:rsid w:val="00A97C8D"/>
    <w:rsid w:val="00AA0359"/>
    <w:rsid w:val="00AA0468"/>
    <w:rsid w:val="00AA07CC"/>
    <w:rsid w:val="00AA0DBA"/>
    <w:rsid w:val="00AA15A0"/>
    <w:rsid w:val="00AA1A86"/>
    <w:rsid w:val="00AA1CCC"/>
    <w:rsid w:val="00AA295E"/>
    <w:rsid w:val="00AA2C28"/>
    <w:rsid w:val="00AA321C"/>
    <w:rsid w:val="00AA325A"/>
    <w:rsid w:val="00AA3462"/>
    <w:rsid w:val="00AA4D10"/>
    <w:rsid w:val="00AA52FA"/>
    <w:rsid w:val="00AA5A04"/>
    <w:rsid w:val="00AA5D4B"/>
    <w:rsid w:val="00AA5E30"/>
    <w:rsid w:val="00AA5FE5"/>
    <w:rsid w:val="00AA6476"/>
    <w:rsid w:val="00AA6583"/>
    <w:rsid w:val="00AA6E58"/>
    <w:rsid w:val="00AA71B4"/>
    <w:rsid w:val="00AA7CC0"/>
    <w:rsid w:val="00AB0AFA"/>
    <w:rsid w:val="00AB0CB6"/>
    <w:rsid w:val="00AB16D9"/>
    <w:rsid w:val="00AB3276"/>
    <w:rsid w:val="00AB3AC2"/>
    <w:rsid w:val="00AB41C9"/>
    <w:rsid w:val="00AB4228"/>
    <w:rsid w:val="00AB4594"/>
    <w:rsid w:val="00AB4A60"/>
    <w:rsid w:val="00AB4CED"/>
    <w:rsid w:val="00AB4F5D"/>
    <w:rsid w:val="00AB5564"/>
    <w:rsid w:val="00AB58B2"/>
    <w:rsid w:val="00AB59ED"/>
    <w:rsid w:val="00AB5AD4"/>
    <w:rsid w:val="00AB61CE"/>
    <w:rsid w:val="00AB6295"/>
    <w:rsid w:val="00AB6AF9"/>
    <w:rsid w:val="00AB6CA7"/>
    <w:rsid w:val="00AB72F9"/>
    <w:rsid w:val="00AB7369"/>
    <w:rsid w:val="00AC04E9"/>
    <w:rsid w:val="00AC07B5"/>
    <w:rsid w:val="00AC0A1E"/>
    <w:rsid w:val="00AC10DD"/>
    <w:rsid w:val="00AC128E"/>
    <w:rsid w:val="00AC1520"/>
    <w:rsid w:val="00AC233C"/>
    <w:rsid w:val="00AC2B14"/>
    <w:rsid w:val="00AC2E09"/>
    <w:rsid w:val="00AC33F3"/>
    <w:rsid w:val="00AC3791"/>
    <w:rsid w:val="00AC3834"/>
    <w:rsid w:val="00AC389E"/>
    <w:rsid w:val="00AC3EC7"/>
    <w:rsid w:val="00AC43C9"/>
    <w:rsid w:val="00AC4851"/>
    <w:rsid w:val="00AC50B2"/>
    <w:rsid w:val="00AC5E03"/>
    <w:rsid w:val="00AC5ECF"/>
    <w:rsid w:val="00AC6916"/>
    <w:rsid w:val="00AC7098"/>
    <w:rsid w:val="00AC777D"/>
    <w:rsid w:val="00AC7D46"/>
    <w:rsid w:val="00AC7D4D"/>
    <w:rsid w:val="00AC7DEB"/>
    <w:rsid w:val="00AD01E4"/>
    <w:rsid w:val="00AD0619"/>
    <w:rsid w:val="00AD0858"/>
    <w:rsid w:val="00AD17F8"/>
    <w:rsid w:val="00AD1855"/>
    <w:rsid w:val="00AD1C0D"/>
    <w:rsid w:val="00AD1EE0"/>
    <w:rsid w:val="00AD1FF3"/>
    <w:rsid w:val="00AD33BF"/>
    <w:rsid w:val="00AD376B"/>
    <w:rsid w:val="00AD3BC4"/>
    <w:rsid w:val="00AD3C95"/>
    <w:rsid w:val="00AD3F1D"/>
    <w:rsid w:val="00AD40BE"/>
    <w:rsid w:val="00AD42E5"/>
    <w:rsid w:val="00AD47BA"/>
    <w:rsid w:val="00AD4E28"/>
    <w:rsid w:val="00AD7379"/>
    <w:rsid w:val="00AD78A2"/>
    <w:rsid w:val="00AE14D3"/>
    <w:rsid w:val="00AE1DCF"/>
    <w:rsid w:val="00AE23FB"/>
    <w:rsid w:val="00AE2919"/>
    <w:rsid w:val="00AE3844"/>
    <w:rsid w:val="00AE3999"/>
    <w:rsid w:val="00AE3A1C"/>
    <w:rsid w:val="00AE3C57"/>
    <w:rsid w:val="00AE41F8"/>
    <w:rsid w:val="00AE4442"/>
    <w:rsid w:val="00AE46E2"/>
    <w:rsid w:val="00AE4D25"/>
    <w:rsid w:val="00AE4FB2"/>
    <w:rsid w:val="00AE51E1"/>
    <w:rsid w:val="00AE53B8"/>
    <w:rsid w:val="00AE567D"/>
    <w:rsid w:val="00AE604D"/>
    <w:rsid w:val="00AE63ED"/>
    <w:rsid w:val="00AE7340"/>
    <w:rsid w:val="00AF005F"/>
    <w:rsid w:val="00AF0AFF"/>
    <w:rsid w:val="00AF1BBD"/>
    <w:rsid w:val="00AF1FA0"/>
    <w:rsid w:val="00AF222A"/>
    <w:rsid w:val="00AF23B6"/>
    <w:rsid w:val="00AF2E5C"/>
    <w:rsid w:val="00AF2F45"/>
    <w:rsid w:val="00AF3186"/>
    <w:rsid w:val="00AF33F6"/>
    <w:rsid w:val="00AF3445"/>
    <w:rsid w:val="00AF3769"/>
    <w:rsid w:val="00AF3B95"/>
    <w:rsid w:val="00AF3F12"/>
    <w:rsid w:val="00AF4267"/>
    <w:rsid w:val="00AF4790"/>
    <w:rsid w:val="00AF4D39"/>
    <w:rsid w:val="00AF52A0"/>
    <w:rsid w:val="00AF5B07"/>
    <w:rsid w:val="00AF5BE6"/>
    <w:rsid w:val="00AF6573"/>
    <w:rsid w:val="00AF75FD"/>
    <w:rsid w:val="00AF7633"/>
    <w:rsid w:val="00AF7952"/>
    <w:rsid w:val="00AF7A04"/>
    <w:rsid w:val="00AF7DF3"/>
    <w:rsid w:val="00B000BE"/>
    <w:rsid w:val="00B0014F"/>
    <w:rsid w:val="00B00225"/>
    <w:rsid w:val="00B00247"/>
    <w:rsid w:val="00B00299"/>
    <w:rsid w:val="00B00E64"/>
    <w:rsid w:val="00B00EFE"/>
    <w:rsid w:val="00B010B1"/>
    <w:rsid w:val="00B0111F"/>
    <w:rsid w:val="00B0123C"/>
    <w:rsid w:val="00B01D33"/>
    <w:rsid w:val="00B02DA1"/>
    <w:rsid w:val="00B02E0A"/>
    <w:rsid w:val="00B039A8"/>
    <w:rsid w:val="00B04719"/>
    <w:rsid w:val="00B04AAE"/>
    <w:rsid w:val="00B04C7E"/>
    <w:rsid w:val="00B061AF"/>
    <w:rsid w:val="00B06429"/>
    <w:rsid w:val="00B06430"/>
    <w:rsid w:val="00B064FB"/>
    <w:rsid w:val="00B06526"/>
    <w:rsid w:val="00B06545"/>
    <w:rsid w:val="00B0735F"/>
    <w:rsid w:val="00B07A01"/>
    <w:rsid w:val="00B07D9F"/>
    <w:rsid w:val="00B10207"/>
    <w:rsid w:val="00B109D9"/>
    <w:rsid w:val="00B11640"/>
    <w:rsid w:val="00B133D8"/>
    <w:rsid w:val="00B134B4"/>
    <w:rsid w:val="00B13A74"/>
    <w:rsid w:val="00B13BB9"/>
    <w:rsid w:val="00B141E7"/>
    <w:rsid w:val="00B142C5"/>
    <w:rsid w:val="00B14620"/>
    <w:rsid w:val="00B14F04"/>
    <w:rsid w:val="00B15C69"/>
    <w:rsid w:val="00B16C5C"/>
    <w:rsid w:val="00B17022"/>
    <w:rsid w:val="00B216B4"/>
    <w:rsid w:val="00B21767"/>
    <w:rsid w:val="00B21AC0"/>
    <w:rsid w:val="00B2239D"/>
    <w:rsid w:val="00B23002"/>
    <w:rsid w:val="00B235A2"/>
    <w:rsid w:val="00B23FA8"/>
    <w:rsid w:val="00B24A82"/>
    <w:rsid w:val="00B24FA7"/>
    <w:rsid w:val="00B25528"/>
    <w:rsid w:val="00B257B5"/>
    <w:rsid w:val="00B27695"/>
    <w:rsid w:val="00B3000E"/>
    <w:rsid w:val="00B30147"/>
    <w:rsid w:val="00B305D3"/>
    <w:rsid w:val="00B3072B"/>
    <w:rsid w:val="00B30935"/>
    <w:rsid w:val="00B31351"/>
    <w:rsid w:val="00B31452"/>
    <w:rsid w:val="00B316E3"/>
    <w:rsid w:val="00B32673"/>
    <w:rsid w:val="00B329AA"/>
    <w:rsid w:val="00B32F19"/>
    <w:rsid w:val="00B33847"/>
    <w:rsid w:val="00B33880"/>
    <w:rsid w:val="00B33CF2"/>
    <w:rsid w:val="00B33EF4"/>
    <w:rsid w:val="00B34DF9"/>
    <w:rsid w:val="00B351B4"/>
    <w:rsid w:val="00B35438"/>
    <w:rsid w:val="00B35BC4"/>
    <w:rsid w:val="00B35D75"/>
    <w:rsid w:val="00B36C9D"/>
    <w:rsid w:val="00B373BD"/>
    <w:rsid w:val="00B375BC"/>
    <w:rsid w:val="00B37994"/>
    <w:rsid w:val="00B4045F"/>
    <w:rsid w:val="00B40B4F"/>
    <w:rsid w:val="00B41266"/>
    <w:rsid w:val="00B41407"/>
    <w:rsid w:val="00B415D5"/>
    <w:rsid w:val="00B416EB"/>
    <w:rsid w:val="00B41ADF"/>
    <w:rsid w:val="00B4209E"/>
    <w:rsid w:val="00B420A7"/>
    <w:rsid w:val="00B427F0"/>
    <w:rsid w:val="00B436BA"/>
    <w:rsid w:val="00B46BCA"/>
    <w:rsid w:val="00B474FC"/>
    <w:rsid w:val="00B47C31"/>
    <w:rsid w:val="00B50055"/>
    <w:rsid w:val="00B50556"/>
    <w:rsid w:val="00B507A7"/>
    <w:rsid w:val="00B511DC"/>
    <w:rsid w:val="00B51BF3"/>
    <w:rsid w:val="00B51E0C"/>
    <w:rsid w:val="00B523CF"/>
    <w:rsid w:val="00B5243F"/>
    <w:rsid w:val="00B52B7F"/>
    <w:rsid w:val="00B534BB"/>
    <w:rsid w:val="00B537B5"/>
    <w:rsid w:val="00B54182"/>
    <w:rsid w:val="00B54287"/>
    <w:rsid w:val="00B54475"/>
    <w:rsid w:val="00B547B8"/>
    <w:rsid w:val="00B54987"/>
    <w:rsid w:val="00B54B7B"/>
    <w:rsid w:val="00B54D8D"/>
    <w:rsid w:val="00B55022"/>
    <w:rsid w:val="00B5549E"/>
    <w:rsid w:val="00B55CFF"/>
    <w:rsid w:val="00B55D67"/>
    <w:rsid w:val="00B55DD5"/>
    <w:rsid w:val="00B56008"/>
    <w:rsid w:val="00B561E3"/>
    <w:rsid w:val="00B562A9"/>
    <w:rsid w:val="00B562DA"/>
    <w:rsid w:val="00B57057"/>
    <w:rsid w:val="00B5708C"/>
    <w:rsid w:val="00B571DD"/>
    <w:rsid w:val="00B6012F"/>
    <w:rsid w:val="00B60181"/>
    <w:rsid w:val="00B601BE"/>
    <w:rsid w:val="00B60305"/>
    <w:rsid w:val="00B60BDD"/>
    <w:rsid w:val="00B60EE5"/>
    <w:rsid w:val="00B6110A"/>
    <w:rsid w:val="00B61258"/>
    <w:rsid w:val="00B6131E"/>
    <w:rsid w:val="00B6144A"/>
    <w:rsid w:val="00B61D4C"/>
    <w:rsid w:val="00B61ED1"/>
    <w:rsid w:val="00B62BF0"/>
    <w:rsid w:val="00B62EBE"/>
    <w:rsid w:val="00B6392B"/>
    <w:rsid w:val="00B63D60"/>
    <w:rsid w:val="00B63F74"/>
    <w:rsid w:val="00B64152"/>
    <w:rsid w:val="00B64AEB"/>
    <w:rsid w:val="00B64C08"/>
    <w:rsid w:val="00B64EB6"/>
    <w:rsid w:val="00B6535F"/>
    <w:rsid w:val="00B656A3"/>
    <w:rsid w:val="00B65723"/>
    <w:rsid w:val="00B65944"/>
    <w:rsid w:val="00B6620F"/>
    <w:rsid w:val="00B66693"/>
    <w:rsid w:val="00B6690E"/>
    <w:rsid w:val="00B669C5"/>
    <w:rsid w:val="00B669EE"/>
    <w:rsid w:val="00B671AF"/>
    <w:rsid w:val="00B6722E"/>
    <w:rsid w:val="00B676BC"/>
    <w:rsid w:val="00B67AE3"/>
    <w:rsid w:val="00B67D94"/>
    <w:rsid w:val="00B70023"/>
    <w:rsid w:val="00B70075"/>
    <w:rsid w:val="00B70171"/>
    <w:rsid w:val="00B703BD"/>
    <w:rsid w:val="00B707E7"/>
    <w:rsid w:val="00B71AEF"/>
    <w:rsid w:val="00B71B11"/>
    <w:rsid w:val="00B72522"/>
    <w:rsid w:val="00B72A68"/>
    <w:rsid w:val="00B72BC2"/>
    <w:rsid w:val="00B72EB3"/>
    <w:rsid w:val="00B73AE6"/>
    <w:rsid w:val="00B747A2"/>
    <w:rsid w:val="00B74B84"/>
    <w:rsid w:val="00B74D04"/>
    <w:rsid w:val="00B761E0"/>
    <w:rsid w:val="00B765DE"/>
    <w:rsid w:val="00B774C9"/>
    <w:rsid w:val="00B77956"/>
    <w:rsid w:val="00B7799D"/>
    <w:rsid w:val="00B77D62"/>
    <w:rsid w:val="00B81291"/>
    <w:rsid w:val="00B8154D"/>
    <w:rsid w:val="00B81594"/>
    <w:rsid w:val="00B81A24"/>
    <w:rsid w:val="00B81D75"/>
    <w:rsid w:val="00B82719"/>
    <w:rsid w:val="00B82A82"/>
    <w:rsid w:val="00B838AF"/>
    <w:rsid w:val="00B83F21"/>
    <w:rsid w:val="00B84648"/>
    <w:rsid w:val="00B84B08"/>
    <w:rsid w:val="00B84B31"/>
    <w:rsid w:val="00B84B70"/>
    <w:rsid w:val="00B851FD"/>
    <w:rsid w:val="00B85297"/>
    <w:rsid w:val="00B85428"/>
    <w:rsid w:val="00B855BE"/>
    <w:rsid w:val="00B868A0"/>
    <w:rsid w:val="00B86D6F"/>
    <w:rsid w:val="00B87129"/>
    <w:rsid w:val="00B87806"/>
    <w:rsid w:val="00B87911"/>
    <w:rsid w:val="00B87C5C"/>
    <w:rsid w:val="00B87CA3"/>
    <w:rsid w:val="00B87EC9"/>
    <w:rsid w:val="00B90989"/>
    <w:rsid w:val="00B90E68"/>
    <w:rsid w:val="00B9132C"/>
    <w:rsid w:val="00B919E8"/>
    <w:rsid w:val="00B91ECA"/>
    <w:rsid w:val="00B92DD1"/>
    <w:rsid w:val="00B92E34"/>
    <w:rsid w:val="00B92EAC"/>
    <w:rsid w:val="00B9347F"/>
    <w:rsid w:val="00B9383A"/>
    <w:rsid w:val="00B93D7D"/>
    <w:rsid w:val="00B94077"/>
    <w:rsid w:val="00B9409B"/>
    <w:rsid w:val="00B94F05"/>
    <w:rsid w:val="00B94F9D"/>
    <w:rsid w:val="00B9504B"/>
    <w:rsid w:val="00B959DF"/>
    <w:rsid w:val="00B95A21"/>
    <w:rsid w:val="00B95B2C"/>
    <w:rsid w:val="00B96060"/>
    <w:rsid w:val="00B9649A"/>
    <w:rsid w:val="00B96AA6"/>
    <w:rsid w:val="00B96B05"/>
    <w:rsid w:val="00B97257"/>
    <w:rsid w:val="00B974E7"/>
    <w:rsid w:val="00B97F90"/>
    <w:rsid w:val="00BA0A71"/>
    <w:rsid w:val="00BA3752"/>
    <w:rsid w:val="00BA423E"/>
    <w:rsid w:val="00BA4414"/>
    <w:rsid w:val="00BA4891"/>
    <w:rsid w:val="00BA4D75"/>
    <w:rsid w:val="00BA537C"/>
    <w:rsid w:val="00BA6899"/>
    <w:rsid w:val="00BA6901"/>
    <w:rsid w:val="00BA6F79"/>
    <w:rsid w:val="00BA7149"/>
    <w:rsid w:val="00BA77C9"/>
    <w:rsid w:val="00BA7B41"/>
    <w:rsid w:val="00BA7CF3"/>
    <w:rsid w:val="00BB1448"/>
    <w:rsid w:val="00BB1A92"/>
    <w:rsid w:val="00BB1ED6"/>
    <w:rsid w:val="00BB1EF6"/>
    <w:rsid w:val="00BB21D6"/>
    <w:rsid w:val="00BB25B7"/>
    <w:rsid w:val="00BB4623"/>
    <w:rsid w:val="00BB4679"/>
    <w:rsid w:val="00BB46BC"/>
    <w:rsid w:val="00BB48C6"/>
    <w:rsid w:val="00BB4BD0"/>
    <w:rsid w:val="00BB5058"/>
    <w:rsid w:val="00BB66A9"/>
    <w:rsid w:val="00BB66EF"/>
    <w:rsid w:val="00BB699A"/>
    <w:rsid w:val="00BB6B23"/>
    <w:rsid w:val="00BB6DF9"/>
    <w:rsid w:val="00BB6FBC"/>
    <w:rsid w:val="00BC0E2B"/>
    <w:rsid w:val="00BC13CD"/>
    <w:rsid w:val="00BC161D"/>
    <w:rsid w:val="00BC18F3"/>
    <w:rsid w:val="00BC197F"/>
    <w:rsid w:val="00BC1B55"/>
    <w:rsid w:val="00BC2971"/>
    <w:rsid w:val="00BC38FD"/>
    <w:rsid w:val="00BC3F83"/>
    <w:rsid w:val="00BC43B1"/>
    <w:rsid w:val="00BC53B2"/>
    <w:rsid w:val="00BC5B67"/>
    <w:rsid w:val="00BC64FA"/>
    <w:rsid w:val="00BC6E9E"/>
    <w:rsid w:val="00BC7C8E"/>
    <w:rsid w:val="00BD0139"/>
    <w:rsid w:val="00BD028C"/>
    <w:rsid w:val="00BD094C"/>
    <w:rsid w:val="00BD0E00"/>
    <w:rsid w:val="00BD0F13"/>
    <w:rsid w:val="00BD1689"/>
    <w:rsid w:val="00BD16E7"/>
    <w:rsid w:val="00BD222D"/>
    <w:rsid w:val="00BD2E1F"/>
    <w:rsid w:val="00BD3196"/>
    <w:rsid w:val="00BD3306"/>
    <w:rsid w:val="00BD397D"/>
    <w:rsid w:val="00BD4554"/>
    <w:rsid w:val="00BD4C14"/>
    <w:rsid w:val="00BD5292"/>
    <w:rsid w:val="00BD5690"/>
    <w:rsid w:val="00BD6E6B"/>
    <w:rsid w:val="00BE0E42"/>
    <w:rsid w:val="00BE0F43"/>
    <w:rsid w:val="00BE1286"/>
    <w:rsid w:val="00BE168A"/>
    <w:rsid w:val="00BE1A74"/>
    <w:rsid w:val="00BE26BF"/>
    <w:rsid w:val="00BE2E50"/>
    <w:rsid w:val="00BE30C1"/>
    <w:rsid w:val="00BE3481"/>
    <w:rsid w:val="00BE34AA"/>
    <w:rsid w:val="00BE3BEB"/>
    <w:rsid w:val="00BE47BB"/>
    <w:rsid w:val="00BE61AE"/>
    <w:rsid w:val="00BE69A3"/>
    <w:rsid w:val="00BE6B1F"/>
    <w:rsid w:val="00BE6FA5"/>
    <w:rsid w:val="00BE7133"/>
    <w:rsid w:val="00BE74B3"/>
    <w:rsid w:val="00BF0D33"/>
    <w:rsid w:val="00BF130D"/>
    <w:rsid w:val="00BF14EE"/>
    <w:rsid w:val="00BF1A07"/>
    <w:rsid w:val="00BF2C75"/>
    <w:rsid w:val="00BF2CF3"/>
    <w:rsid w:val="00BF336D"/>
    <w:rsid w:val="00BF3A2C"/>
    <w:rsid w:val="00BF3BD0"/>
    <w:rsid w:val="00BF4723"/>
    <w:rsid w:val="00BF58C2"/>
    <w:rsid w:val="00BF5D9E"/>
    <w:rsid w:val="00BF5DAA"/>
    <w:rsid w:val="00BF62A2"/>
    <w:rsid w:val="00BF6515"/>
    <w:rsid w:val="00BF6AFC"/>
    <w:rsid w:val="00BF6B1D"/>
    <w:rsid w:val="00BF73A8"/>
    <w:rsid w:val="00BF7D67"/>
    <w:rsid w:val="00C00229"/>
    <w:rsid w:val="00C00A50"/>
    <w:rsid w:val="00C00DC6"/>
    <w:rsid w:val="00C018FA"/>
    <w:rsid w:val="00C0252C"/>
    <w:rsid w:val="00C02A65"/>
    <w:rsid w:val="00C034CB"/>
    <w:rsid w:val="00C0399D"/>
    <w:rsid w:val="00C03BE5"/>
    <w:rsid w:val="00C04E66"/>
    <w:rsid w:val="00C04FB3"/>
    <w:rsid w:val="00C0501E"/>
    <w:rsid w:val="00C051A8"/>
    <w:rsid w:val="00C054BC"/>
    <w:rsid w:val="00C058FB"/>
    <w:rsid w:val="00C05A43"/>
    <w:rsid w:val="00C06A66"/>
    <w:rsid w:val="00C06B0A"/>
    <w:rsid w:val="00C071DA"/>
    <w:rsid w:val="00C07470"/>
    <w:rsid w:val="00C07E24"/>
    <w:rsid w:val="00C07F8F"/>
    <w:rsid w:val="00C10082"/>
    <w:rsid w:val="00C100A6"/>
    <w:rsid w:val="00C1017F"/>
    <w:rsid w:val="00C10890"/>
    <w:rsid w:val="00C113F1"/>
    <w:rsid w:val="00C11846"/>
    <w:rsid w:val="00C123D9"/>
    <w:rsid w:val="00C124B3"/>
    <w:rsid w:val="00C12AD7"/>
    <w:rsid w:val="00C12D90"/>
    <w:rsid w:val="00C12DAE"/>
    <w:rsid w:val="00C12EB4"/>
    <w:rsid w:val="00C12F80"/>
    <w:rsid w:val="00C130C2"/>
    <w:rsid w:val="00C13711"/>
    <w:rsid w:val="00C14433"/>
    <w:rsid w:val="00C1462D"/>
    <w:rsid w:val="00C14C10"/>
    <w:rsid w:val="00C15CC7"/>
    <w:rsid w:val="00C1657F"/>
    <w:rsid w:val="00C16B49"/>
    <w:rsid w:val="00C175FF"/>
    <w:rsid w:val="00C17897"/>
    <w:rsid w:val="00C20249"/>
    <w:rsid w:val="00C20A6E"/>
    <w:rsid w:val="00C20D62"/>
    <w:rsid w:val="00C21042"/>
    <w:rsid w:val="00C21578"/>
    <w:rsid w:val="00C21A97"/>
    <w:rsid w:val="00C224F1"/>
    <w:rsid w:val="00C22EB6"/>
    <w:rsid w:val="00C23481"/>
    <w:rsid w:val="00C2358B"/>
    <w:rsid w:val="00C23DDC"/>
    <w:rsid w:val="00C24E2C"/>
    <w:rsid w:val="00C25071"/>
    <w:rsid w:val="00C25B0A"/>
    <w:rsid w:val="00C25CBF"/>
    <w:rsid w:val="00C263E7"/>
    <w:rsid w:val="00C2671F"/>
    <w:rsid w:val="00C3007B"/>
    <w:rsid w:val="00C30089"/>
    <w:rsid w:val="00C30E16"/>
    <w:rsid w:val="00C31233"/>
    <w:rsid w:val="00C316CF"/>
    <w:rsid w:val="00C319AD"/>
    <w:rsid w:val="00C31B36"/>
    <w:rsid w:val="00C31FCD"/>
    <w:rsid w:val="00C33C8F"/>
    <w:rsid w:val="00C34EB4"/>
    <w:rsid w:val="00C34EC5"/>
    <w:rsid w:val="00C35159"/>
    <w:rsid w:val="00C352B5"/>
    <w:rsid w:val="00C3538C"/>
    <w:rsid w:val="00C36DC4"/>
    <w:rsid w:val="00C374D7"/>
    <w:rsid w:val="00C37E05"/>
    <w:rsid w:val="00C403B3"/>
    <w:rsid w:val="00C409D5"/>
    <w:rsid w:val="00C40A7B"/>
    <w:rsid w:val="00C40C0C"/>
    <w:rsid w:val="00C41B76"/>
    <w:rsid w:val="00C434A5"/>
    <w:rsid w:val="00C43948"/>
    <w:rsid w:val="00C43994"/>
    <w:rsid w:val="00C439D7"/>
    <w:rsid w:val="00C43ED9"/>
    <w:rsid w:val="00C44636"/>
    <w:rsid w:val="00C44666"/>
    <w:rsid w:val="00C44D02"/>
    <w:rsid w:val="00C44DD9"/>
    <w:rsid w:val="00C45A4F"/>
    <w:rsid w:val="00C45AFD"/>
    <w:rsid w:val="00C45D33"/>
    <w:rsid w:val="00C460E4"/>
    <w:rsid w:val="00C46AEC"/>
    <w:rsid w:val="00C46B8B"/>
    <w:rsid w:val="00C46F2C"/>
    <w:rsid w:val="00C47203"/>
    <w:rsid w:val="00C47716"/>
    <w:rsid w:val="00C47FCD"/>
    <w:rsid w:val="00C503CC"/>
    <w:rsid w:val="00C509CE"/>
    <w:rsid w:val="00C51C69"/>
    <w:rsid w:val="00C522AC"/>
    <w:rsid w:val="00C52BF6"/>
    <w:rsid w:val="00C52FC7"/>
    <w:rsid w:val="00C5377D"/>
    <w:rsid w:val="00C53A2F"/>
    <w:rsid w:val="00C53A71"/>
    <w:rsid w:val="00C53E25"/>
    <w:rsid w:val="00C54012"/>
    <w:rsid w:val="00C5450E"/>
    <w:rsid w:val="00C5511A"/>
    <w:rsid w:val="00C5587D"/>
    <w:rsid w:val="00C55B01"/>
    <w:rsid w:val="00C5633D"/>
    <w:rsid w:val="00C56593"/>
    <w:rsid w:val="00C565A9"/>
    <w:rsid w:val="00C566FB"/>
    <w:rsid w:val="00C577D8"/>
    <w:rsid w:val="00C577EB"/>
    <w:rsid w:val="00C5781A"/>
    <w:rsid w:val="00C60406"/>
    <w:rsid w:val="00C60945"/>
    <w:rsid w:val="00C61018"/>
    <w:rsid w:val="00C61241"/>
    <w:rsid w:val="00C61599"/>
    <w:rsid w:val="00C61BCF"/>
    <w:rsid w:val="00C6234B"/>
    <w:rsid w:val="00C62D2B"/>
    <w:rsid w:val="00C62E44"/>
    <w:rsid w:val="00C62EEE"/>
    <w:rsid w:val="00C63827"/>
    <w:rsid w:val="00C63ADA"/>
    <w:rsid w:val="00C63B75"/>
    <w:rsid w:val="00C63EAE"/>
    <w:rsid w:val="00C64847"/>
    <w:rsid w:val="00C64858"/>
    <w:rsid w:val="00C64EAB"/>
    <w:rsid w:val="00C65304"/>
    <w:rsid w:val="00C65AAC"/>
    <w:rsid w:val="00C65D28"/>
    <w:rsid w:val="00C6642B"/>
    <w:rsid w:val="00C67605"/>
    <w:rsid w:val="00C7019E"/>
    <w:rsid w:val="00C706B1"/>
    <w:rsid w:val="00C706BC"/>
    <w:rsid w:val="00C70AE0"/>
    <w:rsid w:val="00C70D84"/>
    <w:rsid w:val="00C710B2"/>
    <w:rsid w:val="00C71635"/>
    <w:rsid w:val="00C71D0B"/>
    <w:rsid w:val="00C7279F"/>
    <w:rsid w:val="00C72BF2"/>
    <w:rsid w:val="00C72C95"/>
    <w:rsid w:val="00C72E62"/>
    <w:rsid w:val="00C72FCB"/>
    <w:rsid w:val="00C73A57"/>
    <w:rsid w:val="00C745F6"/>
    <w:rsid w:val="00C74AA6"/>
    <w:rsid w:val="00C74DBC"/>
    <w:rsid w:val="00C74E8D"/>
    <w:rsid w:val="00C7567A"/>
    <w:rsid w:val="00C75720"/>
    <w:rsid w:val="00C7629F"/>
    <w:rsid w:val="00C762C5"/>
    <w:rsid w:val="00C763B5"/>
    <w:rsid w:val="00C76456"/>
    <w:rsid w:val="00C764F9"/>
    <w:rsid w:val="00C76AA0"/>
    <w:rsid w:val="00C76C0B"/>
    <w:rsid w:val="00C770E7"/>
    <w:rsid w:val="00C7761C"/>
    <w:rsid w:val="00C7767E"/>
    <w:rsid w:val="00C777D7"/>
    <w:rsid w:val="00C80810"/>
    <w:rsid w:val="00C808D8"/>
    <w:rsid w:val="00C80D52"/>
    <w:rsid w:val="00C81104"/>
    <w:rsid w:val="00C8167F"/>
    <w:rsid w:val="00C81AA6"/>
    <w:rsid w:val="00C81CCB"/>
    <w:rsid w:val="00C82063"/>
    <w:rsid w:val="00C82391"/>
    <w:rsid w:val="00C8335F"/>
    <w:rsid w:val="00C8375B"/>
    <w:rsid w:val="00C8400C"/>
    <w:rsid w:val="00C8414B"/>
    <w:rsid w:val="00C843FC"/>
    <w:rsid w:val="00C84E90"/>
    <w:rsid w:val="00C85045"/>
    <w:rsid w:val="00C856A0"/>
    <w:rsid w:val="00C85AF7"/>
    <w:rsid w:val="00C8661B"/>
    <w:rsid w:val="00C8661E"/>
    <w:rsid w:val="00C86AF3"/>
    <w:rsid w:val="00C90083"/>
    <w:rsid w:val="00C90D71"/>
    <w:rsid w:val="00C90E29"/>
    <w:rsid w:val="00C90E4F"/>
    <w:rsid w:val="00C90EDD"/>
    <w:rsid w:val="00C9104A"/>
    <w:rsid w:val="00C91628"/>
    <w:rsid w:val="00C9268A"/>
    <w:rsid w:val="00C9347D"/>
    <w:rsid w:val="00C940F4"/>
    <w:rsid w:val="00C9413A"/>
    <w:rsid w:val="00C94720"/>
    <w:rsid w:val="00C94881"/>
    <w:rsid w:val="00C94C62"/>
    <w:rsid w:val="00C95370"/>
    <w:rsid w:val="00C95747"/>
    <w:rsid w:val="00C961ED"/>
    <w:rsid w:val="00C97A99"/>
    <w:rsid w:val="00C97E49"/>
    <w:rsid w:val="00C97F1C"/>
    <w:rsid w:val="00C97F56"/>
    <w:rsid w:val="00CA0EC4"/>
    <w:rsid w:val="00CA139A"/>
    <w:rsid w:val="00CA1970"/>
    <w:rsid w:val="00CA2375"/>
    <w:rsid w:val="00CA2769"/>
    <w:rsid w:val="00CA2899"/>
    <w:rsid w:val="00CA2A0B"/>
    <w:rsid w:val="00CA2C0B"/>
    <w:rsid w:val="00CA381D"/>
    <w:rsid w:val="00CA394E"/>
    <w:rsid w:val="00CA414F"/>
    <w:rsid w:val="00CA553E"/>
    <w:rsid w:val="00CA5916"/>
    <w:rsid w:val="00CA69BA"/>
    <w:rsid w:val="00CA6C26"/>
    <w:rsid w:val="00CA6E8D"/>
    <w:rsid w:val="00CA6F36"/>
    <w:rsid w:val="00CA6FF6"/>
    <w:rsid w:val="00CA73A4"/>
    <w:rsid w:val="00CA7569"/>
    <w:rsid w:val="00CA7683"/>
    <w:rsid w:val="00CA77CD"/>
    <w:rsid w:val="00CA77FB"/>
    <w:rsid w:val="00CB039D"/>
    <w:rsid w:val="00CB0615"/>
    <w:rsid w:val="00CB1036"/>
    <w:rsid w:val="00CB11D3"/>
    <w:rsid w:val="00CB1251"/>
    <w:rsid w:val="00CB1558"/>
    <w:rsid w:val="00CB1918"/>
    <w:rsid w:val="00CB1DB4"/>
    <w:rsid w:val="00CB219C"/>
    <w:rsid w:val="00CB24F6"/>
    <w:rsid w:val="00CB2618"/>
    <w:rsid w:val="00CB357B"/>
    <w:rsid w:val="00CB379B"/>
    <w:rsid w:val="00CB3D58"/>
    <w:rsid w:val="00CB4FF4"/>
    <w:rsid w:val="00CB5DD0"/>
    <w:rsid w:val="00CB60A9"/>
    <w:rsid w:val="00CB6723"/>
    <w:rsid w:val="00CB6779"/>
    <w:rsid w:val="00CB68CF"/>
    <w:rsid w:val="00CB6C6A"/>
    <w:rsid w:val="00CB7289"/>
    <w:rsid w:val="00CB72E6"/>
    <w:rsid w:val="00CB7C51"/>
    <w:rsid w:val="00CB7EE3"/>
    <w:rsid w:val="00CC035B"/>
    <w:rsid w:val="00CC10E0"/>
    <w:rsid w:val="00CC2766"/>
    <w:rsid w:val="00CC27F0"/>
    <w:rsid w:val="00CC2839"/>
    <w:rsid w:val="00CC28FA"/>
    <w:rsid w:val="00CC2E37"/>
    <w:rsid w:val="00CC3647"/>
    <w:rsid w:val="00CC3678"/>
    <w:rsid w:val="00CC42BD"/>
    <w:rsid w:val="00CC51D4"/>
    <w:rsid w:val="00CC540D"/>
    <w:rsid w:val="00CC65DA"/>
    <w:rsid w:val="00CC6CB7"/>
    <w:rsid w:val="00CC71B9"/>
    <w:rsid w:val="00CC7E85"/>
    <w:rsid w:val="00CD00FC"/>
    <w:rsid w:val="00CD06D7"/>
    <w:rsid w:val="00CD0BD9"/>
    <w:rsid w:val="00CD1560"/>
    <w:rsid w:val="00CD189B"/>
    <w:rsid w:val="00CD18DB"/>
    <w:rsid w:val="00CD217D"/>
    <w:rsid w:val="00CD21C3"/>
    <w:rsid w:val="00CD2B30"/>
    <w:rsid w:val="00CD2E47"/>
    <w:rsid w:val="00CD2F8F"/>
    <w:rsid w:val="00CD312B"/>
    <w:rsid w:val="00CD314F"/>
    <w:rsid w:val="00CD3875"/>
    <w:rsid w:val="00CD3EA6"/>
    <w:rsid w:val="00CD42E5"/>
    <w:rsid w:val="00CD43A1"/>
    <w:rsid w:val="00CD4B2B"/>
    <w:rsid w:val="00CD54F9"/>
    <w:rsid w:val="00CD5E19"/>
    <w:rsid w:val="00CD645F"/>
    <w:rsid w:val="00CD7F20"/>
    <w:rsid w:val="00CE06BD"/>
    <w:rsid w:val="00CE0813"/>
    <w:rsid w:val="00CE0BBD"/>
    <w:rsid w:val="00CE18AF"/>
    <w:rsid w:val="00CE1A0B"/>
    <w:rsid w:val="00CE2D94"/>
    <w:rsid w:val="00CE307B"/>
    <w:rsid w:val="00CE362E"/>
    <w:rsid w:val="00CE3691"/>
    <w:rsid w:val="00CE39F7"/>
    <w:rsid w:val="00CE3C73"/>
    <w:rsid w:val="00CE4301"/>
    <w:rsid w:val="00CE4354"/>
    <w:rsid w:val="00CE464A"/>
    <w:rsid w:val="00CE4D9C"/>
    <w:rsid w:val="00CE5D11"/>
    <w:rsid w:val="00CE6139"/>
    <w:rsid w:val="00CE6538"/>
    <w:rsid w:val="00CE6E60"/>
    <w:rsid w:val="00CE7586"/>
    <w:rsid w:val="00CE7727"/>
    <w:rsid w:val="00CE78DB"/>
    <w:rsid w:val="00CE7AA2"/>
    <w:rsid w:val="00CF123A"/>
    <w:rsid w:val="00CF126A"/>
    <w:rsid w:val="00CF12E7"/>
    <w:rsid w:val="00CF1BBB"/>
    <w:rsid w:val="00CF2080"/>
    <w:rsid w:val="00CF20E9"/>
    <w:rsid w:val="00CF21B9"/>
    <w:rsid w:val="00CF2E1F"/>
    <w:rsid w:val="00CF2E9A"/>
    <w:rsid w:val="00CF2F2C"/>
    <w:rsid w:val="00CF3661"/>
    <w:rsid w:val="00CF3795"/>
    <w:rsid w:val="00CF3B1F"/>
    <w:rsid w:val="00CF49F2"/>
    <w:rsid w:val="00CF4F5D"/>
    <w:rsid w:val="00CF5184"/>
    <w:rsid w:val="00CF58AC"/>
    <w:rsid w:val="00CF6133"/>
    <w:rsid w:val="00CF6639"/>
    <w:rsid w:val="00CF667F"/>
    <w:rsid w:val="00CF6BF9"/>
    <w:rsid w:val="00D00283"/>
    <w:rsid w:val="00D0051D"/>
    <w:rsid w:val="00D00539"/>
    <w:rsid w:val="00D00734"/>
    <w:rsid w:val="00D008A8"/>
    <w:rsid w:val="00D011D5"/>
    <w:rsid w:val="00D017CB"/>
    <w:rsid w:val="00D01F35"/>
    <w:rsid w:val="00D02EFE"/>
    <w:rsid w:val="00D02F63"/>
    <w:rsid w:val="00D030DE"/>
    <w:rsid w:val="00D03511"/>
    <w:rsid w:val="00D03800"/>
    <w:rsid w:val="00D038C4"/>
    <w:rsid w:val="00D03C5A"/>
    <w:rsid w:val="00D04565"/>
    <w:rsid w:val="00D0462C"/>
    <w:rsid w:val="00D04E28"/>
    <w:rsid w:val="00D04EF2"/>
    <w:rsid w:val="00D05519"/>
    <w:rsid w:val="00D065D3"/>
    <w:rsid w:val="00D069F0"/>
    <w:rsid w:val="00D06B74"/>
    <w:rsid w:val="00D06CE2"/>
    <w:rsid w:val="00D07531"/>
    <w:rsid w:val="00D07C9E"/>
    <w:rsid w:val="00D07CE6"/>
    <w:rsid w:val="00D07D95"/>
    <w:rsid w:val="00D104DA"/>
    <w:rsid w:val="00D10634"/>
    <w:rsid w:val="00D10716"/>
    <w:rsid w:val="00D10732"/>
    <w:rsid w:val="00D10878"/>
    <w:rsid w:val="00D10C02"/>
    <w:rsid w:val="00D10C46"/>
    <w:rsid w:val="00D12777"/>
    <w:rsid w:val="00D12C66"/>
    <w:rsid w:val="00D131EE"/>
    <w:rsid w:val="00D13341"/>
    <w:rsid w:val="00D1383C"/>
    <w:rsid w:val="00D144B8"/>
    <w:rsid w:val="00D14537"/>
    <w:rsid w:val="00D14C94"/>
    <w:rsid w:val="00D1514C"/>
    <w:rsid w:val="00D15442"/>
    <w:rsid w:val="00D162DC"/>
    <w:rsid w:val="00D165CC"/>
    <w:rsid w:val="00D1682F"/>
    <w:rsid w:val="00D16860"/>
    <w:rsid w:val="00D16D08"/>
    <w:rsid w:val="00D20851"/>
    <w:rsid w:val="00D21475"/>
    <w:rsid w:val="00D218E9"/>
    <w:rsid w:val="00D21E2F"/>
    <w:rsid w:val="00D225CF"/>
    <w:rsid w:val="00D226F9"/>
    <w:rsid w:val="00D22C02"/>
    <w:rsid w:val="00D22ED1"/>
    <w:rsid w:val="00D231F9"/>
    <w:rsid w:val="00D234DC"/>
    <w:rsid w:val="00D23583"/>
    <w:rsid w:val="00D237DE"/>
    <w:rsid w:val="00D25431"/>
    <w:rsid w:val="00D254BE"/>
    <w:rsid w:val="00D26255"/>
    <w:rsid w:val="00D272F8"/>
    <w:rsid w:val="00D27739"/>
    <w:rsid w:val="00D2778B"/>
    <w:rsid w:val="00D30055"/>
    <w:rsid w:val="00D3143C"/>
    <w:rsid w:val="00D317D2"/>
    <w:rsid w:val="00D31BF7"/>
    <w:rsid w:val="00D32085"/>
    <w:rsid w:val="00D32119"/>
    <w:rsid w:val="00D321DF"/>
    <w:rsid w:val="00D323F5"/>
    <w:rsid w:val="00D3260F"/>
    <w:rsid w:val="00D32821"/>
    <w:rsid w:val="00D337D4"/>
    <w:rsid w:val="00D3423C"/>
    <w:rsid w:val="00D342A6"/>
    <w:rsid w:val="00D34913"/>
    <w:rsid w:val="00D34E3A"/>
    <w:rsid w:val="00D3539A"/>
    <w:rsid w:val="00D36196"/>
    <w:rsid w:val="00D365D0"/>
    <w:rsid w:val="00D3756C"/>
    <w:rsid w:val="00D400BC"/>
    <w:rsid w:val="00D4033F"/>
    <w:rsid w:val="00D4069E"/>
    <w:rsid w:val="00D40F90"/>
    <w:rsid w:val="00D41379"/>
    <w:rsid w:val="00D41B53"/>
    <w:rsid w:val="00D4234C"/>
    <w:rsid w:val="00D4254B"/>
    <w:rsid w:val="00D4266E"/>
    <w:rsid w:val="00D42694"/>
    <w:rsid w:val="00D433C9"/>
    <w:rsid w:val="00D434FB"/>
    <w:rsid w:val="00D439D0"/>
    <w:rsid w:val="00D43B93"/>
    <w:rsid w:val="00D43D03"/>
    <w:rsid w:val="00D4428E"/>
    <w:rsid w:val="00D442AB"/>
    <w:rsid w:val="00D44AE4"/>
    <w:rsid w:val="00D45C95"/>
    <w:rsid w:val="00D45F71"/>
    <w:rsid w:val="00D464BF"/>
    <w:rsid w:val="00D4655A"/>
    <w:rsid w:val="00D46EC1"/>
    <w:rsid w:val="00D471B4"/>
    <w:rsid w:val="00D475D5"/>
    <w:rsid w:val="00D47D72"/>
    <w:rsid w:val="00D5009F"/>
    <w:rsid w:val="00D5010A"/>
    <w:rsid w:val="00D5032E"/>
    <w:rsid w:val="00D503E2"/>
    <w:rsid w:val="00D50525"/>
    <w:rsid w:val="00D50623"/>
    <w:rsid w:val="00D50C5D"/>
    <w:rsid w:val="00D50D88"/>
    <w:rsid w:val="00D530D4"/>
    <w:rsid w:val="00D537FA"/>
    <w:rsid w:val="00D53E26"/>
    <w:rsid w:val="00D53F92"/>
    <w:rsid w:val="00D542D4"/>
    <w:rsid w:val="00D549E8"/>
    <w:rsid w:val="00D54C51"/>
    <w:rsid w:val="00D55B52"/>
    <w:rsid w:val="00D56C9B"/>
    <w:rsid w:val="00D60313"/>
    <w:rsid w:val="00D60E14"/>
    <w:rsid w:val="00D60E66"/>
    <w:rsid w:val="00D617EE"/>
    <w:rsid w:val="00D61D81"/>
    <w:rsid w:val="00D62375"/>
    <w:rsid w:val="00D6262A"/>
    <w:rsid w:val="00D62692"/>
    <w:rsid w:val="00D629B3"/>
    <w:rsid w:val="00D63423"/>
    <w:rsid w:val="00D6486A"/>
    <w:rsid w:val="00D64A38"/>
    <w:rsid w:val="00D64AFA"/>
    <w:rsid w:val="00D64B07"/>
    <w:rsid w:val="00D64F60"/>
    <w:rsid w:val="00D65761"/>
    <w:rsid w:val="00D65935"/>
    <w:rsid w:val="00D66BE3"/>
    <w:rsid w:val="00D71257"/>
    <w:rsid w:val="00D725E2"/>
    <w:rsid w:val="00D72F48"/>
    <w:rsid w:val="00D7308C"/>
    <w:rsid w:val="00D73328"/>
    <w:rsid w:val="00D7380B"/>
    <w:rsid w:val="00D73F15"/>
    <w:rsid w:val="00D742B2"/>
    <w:rsid w:val="00D74871"/>
    <w:rsid w:val="00D74BD7"/>
    <w:rsid w:val="00D74E6D"/>
    <w:rsid w:val="00D75759"/>
    <w:rsid w:val="00D76D14"/>
    <w:rsid w:val="00D77CC1"/>
    <w:rsid w:val="00D80023"/>
    <w:rsid w:val="00D80661"/>
    <w:rsid w:val="00D81CA0"/>
    <w:rsid w:val="00D81CB9"/>
    <w:rsid w:val="00D82231"/>
    <w:rsid w:val="00D8227E"/>
    <w:rsid w:val="00D82439"/>
    <w:rsid w:val="00D82C2C"/>
    <w:rsid w:val="00D82DA9"/>
    <w:rsid w:val="00D832D0"/>
    <w:rsid w:val="00D83423"/>
    <w:rsid w:val="00D83EBD"/>
    <w:rsid w:val="00D84794"/>
    <w:rsid w:val="00D84D7A"/>
    <w:rsid w:val="00D85612"/>
    <w:rsid w:val="00D85AA0"/>
    <w:rsid w:val="00D85CE5"/>
    <w:rsid w:val="00D8618F"/>
    <w:rsid w:val="00D86FB4"/>
    <w:rsid w:val="00D87240"/>
    <w:rsid w:val="00D8748C"/>
    <w:rsid w:val="00D875AF"/>
    <w:rsid w:val="00D87A0E"/>
    <w:rsid w:val="00D87CA8"/>
    <w:rsid w:val="00D87F2E"/>
    <w:rsid w:val="00D906A8"/>
    <w:rsid w:val="00D90726"/>
    <w:rsid w:val="00D9086A"/>
    <w:rsid w:val="00D90D51"/>
    <w:rsid w:val="00D90F43"/>
    <w:rsid w:val="00D9102B"/>
    <w:rsid w:val="00D918EE"/>
    <w:rsid w:val="00D91AAF"/>
    <w:rsid w:val="00D92B07"/>
    <w:rsid w:val="00D92D62"/>
    <w:rsid w:val="00D92EBB"/>
    <w:rsid w:val="00D932FF"/>
    <w:rsid w:val="00D93985"/>
    <w:rsid w:val="00D93B81"/>
    <w:rsid w:val="00D941E6"/>
    <w:rsid w:val="00D953FB"/>
    <w:rsid w:val="00D954DF"/>
    <w:rsid w:val="00D96097"/>
    <w:rsid w:val="00D96830"/>
    <w:rsid w:val="00D96DCB"/>
    <w:rsid w:val="00D96E8E"/>
    <w:rsid w:val="00DA04AF"/>
    <w:rsid w:val="00DA05E5"/>
    <w:rsid w:val="00DA07AC"/>
    <w:rsid w:val="00DA07C4"/>
    <w:rsid w:val="00DA0A6F"/>
    <w:rsid w:val="00DA15AD"/>
    <w:rsid w:val="00DA18AB"/>
    <w:rsid w:val="00DA1CAE"/>
    <w:rsid w:val="00DA1FC0"/>
    <w:rsid w:val="00DA2339"/>
    <w:rsid w:val="00DA259B"/>
    <w:rsid w:val="00DA2666"/>
    <w:rsid w:val="00DA29A3"/>
    <w:rsid w:val="00DA2DAA"/>
    <w:rsid w:val="00DA2FDC"/>
    <w:rsid w:val="00DA320E"/>
    <w:rsid w:val="00DA3CC4"/>
    <w:rsid w:val="00DA3F8B"/>
    <w:rsid w:val="00DA4480"/>
    <w:rsid w:val="00DA46A7"/>
    <w:rsid w:val="00DA48CE"/>
    <w:rsid w:val="00DA50FB"/>
    <w:rsid w:val="00DA56CF"/>
    <w:rsid w:val="00DA5A63"/>
    <w:rsid w:val="00DA5C4B"/>
    <w:rsid w:val="00DA6167"/>
    <w:rsid w:val="00DA64C5"/>
    <w:rsid w:val="00DA64F1"/>
    <w:rsid w:val="00DA7D7B"/>
    <w:rsid w:val="00DB0E4C"/>
    <w:rsid w:val="00DB13D3"/>
    <w:rsid w:val="00DB18FB"/>
    <w:rsid w:val="00DB1BFB"/>
    <w:rsid w:val="00DB2378"/>
    <w:rsid w:val="00DB2447"/>
    <w:rsid w:val="00DB34FA"/>
    <w:rsid w:val="00DB35CB"/>
    <w:rsid w:val="00DB3B84"/>
    <w:rsid w:val="00DB4362"/>
    <w:rsid w:val="00DB43C6"/>
    <w:rsid w:val="00DB48E6"/>
    <w:rsid w:val="00DB4E9D"/>
    <w:rsid w:val="00DB655C"/>
    <w:rsid w:val="00DB7342"/>
    <w:rsid w:val="00DB745A"/>
    <w:rsid w:val="00DB75F7"/>
    <w:rsid w:val="00DB77F9"/>
    <w:rsid w:val="00DB7BB1"/>
    <w:rsid w:val="00DC047E"/>
    <w:rsid w:val="00DC0919"/>
    <w:rsid w:val="00DC0A02"/>
    <w:rsid w:val="00DC2127"/>
    <w:rsid w:val="00DC2608"/>
    <w:rsid w:val="00DC2BAF"/>
    <w:rsid w:val="00DC3224"/>
    <w:rsid w:val="00DC3B87"/>
    <w:rsid w:val="00DC3E76"/>
    <w:rsid w:val="00DC43D0"/>
    <w:rsid w:val="00DC4B78"/>
    <w:rsid w:val="00DC4C76"/>
    <w:rsid w:val="00DC4D79"/>
    <w:rsid w:val="00DC4E63"/>
    <w:rsid w:val="00DC556A"/>
    <w:rsid w:val="00DC5B75"/>
    <w:rsid w:val="00DC5E06"/>
    <w:rsid w:val="00DC63AB"/>
    <w:rsid w:val="00DC663C"/>
    <w:rsid w:val="00DC6A3D"/>
    <w:rsid w:val="00DC702C"/>
    <w:rsid w:val="00DC7B4A"/>
    <w:rsid w:val="00DC7C91"/>
    <w:rsid w:val="00DD068E"/>
    <w:rsid w:val="00DD0770"/>
    <w:rsid w:val="00DD09AC"/>
    <w:rsid w:val="00DD0FB8"/>
    <w:rsid w:val="00DD10A8"/>
    <w:rsid w:val="00DD1A9B"/>
    <w:rsid w:val="00DD1BD0"/>
    <w:rsid w:val="00DD2658"/>
    <w:rsid w:val="00DD3256"/>
    <w:rsid w:val="00DD3BC2"/>
    <w:rsid w:val="00DD3C49"/>
    <w:rsid w:val="00DD3EBD"/>
    <w:rsid w:val="00DD4058"/>
    <w:rsid w:val="00DD4558"/>
    <w:rsid w:val="00DD4F0E"/>
    <w:rsid w:val="00DD58F3"/>
    <w:rsid w:val="00DD5E44"/>
    <w:rsid w:val="00DD61A7"/>
    <w:rsid w:val="00DD63AF"/>
    <w:rsid w:val="00DD6B4B"/>
    <w:rsid w:val="00DD764F"/>
    <w:rsid w:val="00DD78FF"/>
    <w:rsid w:val="00DD7B6D"/>
    <w:rsid w:val="00DD7B93"/>
    <w:rsid w:val="00DD7C7C"/>
    <w:rsid w:val="00DE0C2B"/>
    <w:rsid w:val="00DE0D32"/>
    <w:rsid w:val="00DE1F2C"/>
    <w:rsid w:val="00DE2227"/>
    <w:rsid w:val="00DE237E"/>
    <w:rsid w:val="00DE2408"/>
    <w:rsid w:val="00DE287C"/>
    <w:rsid w:val="00DE2B8F"/>
    <w:rsid w:val="00DE2BB2"/>
    <w:rsid w:val="00DE3266"/>
    <w:rsid w:val="00DE32AF"/>
    <w:rsid w:val="00DE450E"/>
    <w:rsid w:val="00DE46E0"/>
    <w:rsid w:val="00DE5C10"/>
    <w:rsid w:val="00DE659D"/>
    <w:rsid w:val="00DE66D8"/>
    <w:rsid w:val="00DE6FFB"/>
    <w:rsid w:val="00DE7729"/>
    <w:rsid w:val="00DE7FAA"/>
    <w:rsid w:val="00DF0BE4"/>
    <w:rsid w:val="00DF0E01"/>
    <w:rsid w:val="00DF0EA3"/>
    <w:rsid w:val="00DF14BC"/>
    <w:rsid w:val="00DF17F9"/>
    <w:rsid w:val="00DF20AA"/>
    <w:rsid w:val="00DF20B6"/>
    <w:rsid w:val="00DF2C9B"/>
    <w:rsid w:val="00DF3BB8"/>
    <w:rsid w:val="00DF4665"/>
    <w:rsid w:val="00DF496D"/>
    <w:rsid w:val="00DF4B43"/>
    <w:rsid w:val="00DF4BA5"/>
    <w:rsid w:val="00DF544C"/>
    <w:rsid w:val="00DF5A04"/>
    <w:rsid w:val="00DF5A30"/>
    <w:rsid w:val="00DF62C6"/>
    <w:rsid w:val="00DF6ADF"/>
    <w:rsid w:val="00DF71A1"/>
    <w:rsid w:val="00DF7759"/>
    <w:rsid w:val="00DF78A1"/>
    <w:rsid w:val="00E005EE"/>
    <w:rsid w:val="00E0062B"/>
    <w:rsid w:val="00E01E14"/>
    <w:rsid w:val="00E0209F"/>
    <w:rsid w:val="00E040BF"/>
    <w:rsid w:val="00E047C3"/>
    <w:rsid w:val="00E04D73"/>
    <w:rsid w:val="00E04EB4"/>
    <w:rsid w:val="00E050B7"/>
    <w:rsid w:val="00E0552C"/>
    <w:rsid w:val="00E057A4"/>
    <w:rsid w:val="00E05B45"/>
    <w:rsid w:val="00E05CD6"/>
    <w:rsid w:val="00E05E0A"/>
    <w:rsid w:val="00E05ED9"/>
    <w:rsid w:val="00E0670C"/>
    <w:rsid w:val="00E069BC"/>
    <w:rsid w:val="00E076B8"/>
    <w:rsid w:val="00E07BBE"/>
    <w:rsid w:val="00E10E5B"/>
    <w:rsid w:val="00E1111F"/>
    <w:rsid w:val="00E11971"/>
    <w:rsid w:val="00E11BFD"/>
    <w:rsid w:val="00E11D29"/>
    <w:rsid w:val="00E11EAB"/>
    <w:rsid w:val="00E12884"/>
    <w:rsid w:val="00E12F45"/>
    <w:rsid w:val="00E13ADC"/>
    <w:rsid w:val="00E1485C"/>
    <w:rsid w:val="00E14907"/>
    <w:rsid w:val="00E15545"/>
    <w:rsid w:val="00E15F89"/>
    <w:rsid w:val="00E16083"/>
    <w:rsid w:val="00E16215"/>
    <w:rsid w:val="00E201AA"/>
    <w:rsid w:val="00E212DA"/>
    <w:rsid w:val="00E214AA"/>
    <w:rsid w:val="00E2179F"/>
    <w:rsid w:val="00E226ED"/>
    <w:rsid w:val="00E22938"/>
    <w:rsid w:val="00E236A5"/>
    <w:rsid w:val="00E236F5"/>
    <w:rsid w:val="00E23924"/>
    <w:rsid w:val="00E2395E"/>
    <w:rsid w:val="00E23BAA"/>
    <w:rsid w:val="00E23D9C"/>
    <w:rsid w:val="00E23E8A"/>
    <w:rsid w:val="00E24041"/>
    <w:rsid w:val="00E248DF"/>
    <w:rsid w:val="00E24B12"/>
    <w:rsid w:val="00E24D2A"/>
    <w:rsid w:val="00E25A44"/>
    <w:rsid w:val="00E25AB3"/>
    <w:rsid w:val="00E25C69"/>
    <w:rsid w:val="00E25E37"/>
    <w:rsid w:val="00E25EBA"/>
    <w:rsid w:val="00E2643F"/>
    <w:rsid w:val="00E268A4"/>
    <w:rsid w:val="00E2701A"/>
    <w:rsid w:val="00E273C5"/>
    <w:rsid w:val="00E27A30"/>
    <w:rsid w:val="00E27EBA"/>
    <w:rsid w:val="00E3029E"/>
    <w:rsid w:val="00E3081A"/>
    <w:rsid w:val="00E30B5E"/>
    <w:rsid w:val="00E30EE7"/>
    <w:rsid w:val="00E314B8"/>
    <w:rsid w:val="00E32313"/>
    <w:rsid w:val="00E32A9C"/>
    <w:rsid w:val="00E33830"/>
    <w:rsid w:val="00E34862"/>
    <w:rsid w:val="00E3491E"/>
    <w:rsid w:val="00E34A99"/>
    <w:rsid w:val="00E3526B"/>
    <w:rsid w:val="00E35316"/>
    <w:rsid w:val="00E353A4"/>
    <w:rsid w:val="00E35928"/>
    <w:rsid w:val="00E35AA0"/>
    <w:rsid w:val="00E35D0A"/>
    <w:rsid w:val="00E37240"/>
    <w:rsid w:val="00E37FF1"/>
    <w:rsid w:val="00E401C0"/>
    <w:rsid w:val="00E402BA"/>
    <w:rsid w:val="00E40554"/>
    <w:rsid w:val="00E411A1"/>
    <w:rsid w:val="00E417C7"/>
    <w:rsid w:val="00E42A71"/>
    <w:rsid w:val="00E42EBD"/>
    <w:rsid w:val="00E438CA"/>
    <w:rsid w:val="00E43DD9"/>
    <w:rsid w:val="00E43E5B"/>
    <w:rsid w:val="00E43F59"/>
    <w:rsid w:val="00E4431D"/>
    <w:rsid w:val="00E44837"/>
    <w:rsid w:val="00E449FB"/>
    <w:rsid w:val="00E44DEB"/>
    <w:rsid w:val="00E450A9"/>
    <w:rsid w:val="00E4512F"/>
    <w:rsid w:val="00E4585B"/>
    <w:rsid w:val="00E458A9"/>
    <w:rsid w:val="00E459F7"/>
    <w:rsid w:val="00E4644A"/>
    <w:rsid w:val="00E46A53"/>
    <w:rsid w:val="00E46CF2"/>
    <w:rsid w:val="00E47466"/>
    <w:rsid w:val="00E4784F"/>
    <w:rsid w:val="00E479FA"/>
    <w:rsid w:val="00E47CCA"/>
    <w:rsid w:val="00E47D5B"/>
    <w:rsid w:val="00E50D3D"/>
    <w:rsid w:val="00E51747"/>
    <w:rsid w:val="00E51907"/>
    <w:rsid w:val="00E51C66"/>
    <w:rsid w:val="00E51E9D"/>
    <w:rsid w:val="00E5274D"/>
    <w:rsid w:val="00E52973"/>
    <w:rsid w:val="00E529B3"/>
    <w:rsid w:val="00E530B9"/>
    <w:rsid w:val="00E5340D"/>
    <w:rsid w:val="00E534CF"/>
    <w:rsid w:val="00E53594"/>
    <w:rsid w:val="00E53D9F"/>
    <w:rsid w:val="00E53F19"/>
    <w:rsid w:val="00E54CC1"/>
    <w:rsid w:val="00E54F9C"/>
    <w:rsid w:val="00E55460"/>
    <w:rsid w:val="00E555B1"/>
    <w:rsid w:val="00E55705"/>
    <w:rsid w:val="00E561F7"/>
    <w:rsid w:val="00E56C6E"/>
    <w:rsid w:val="00E56F8A"/>
    <w:rsid w:val="00E6031A"/>
    <w:rsid w:val="00E60324"/>
    <w:rsid w:val="00E60668"/>
    <w:rsid w:val="00E60684"/>
    <w:rsid w:val="00E60695"/>
    <w:rsid w:val="00E61781"/>
    <w:rsid w:val="00E61E0A"/>
    <w:rsid w:val="00E62D11"/>
    <w:rsid w:val="00E62D70"/>
    <w:rsid w:val="00E62E05"/>
    <w:rsid w:val="00E63BBD"/>
    <w:rsid w:val="00E642E2"/>
    <w:rsid w:val="00E6463B"/>
    <w:rsid w:val="00E64B8B"/>
    <w:rsid w:val="00E659BD"/>
    <w:rsid w:val="00E65AB3"/>
    <w:rsid w:val="00E667EE"/>
    <w:rsid w:val="00E67267"/>
    <w:rsid w:val="00E677CF"/>
    <w:rsid w:val="00E70007"/>
    <w:rsid w:val="00E70041"/>
    <w:rsid w:val="00E70B41"/>
    <w:rsid w:val="00E71392"/>
    <w:rsid w:val="00E71B45"/>
    <w:rsid w:val="00E71E7D"/>
    <w:rsid w:val="00E722DD"/>
    <w:rsid w:val="00E723A2"/>
    <w:rsid w:val="00E723DB"/>
    <w:rsid w:val="00E7392D"/>
    <w:rsid w:val="00E73A4B"/>
    <w:rsid w:val="00E73CD0"/>
    <w:rsid w:val="00E740F2"/>
    <w:rsid w:val="00E75CB2"/>
    <w:rsid w:val="00E75D3D"/>
    <w:rsid w:val="00E77109"/>
    <w:rsid w:val="00E7744C"/>
    <w:rsid w:val="00E7781C"/>
    <w:rsid w:val="00E77C7F"/>
    <w:rsid w:val="00E77E54"/>
    <w:rsid w:val="00E80751"/>
    <w:rsid w:val="00E815DD"/>
    <w:rsid w:val="00E8186A"/>
    <w:rsid w:val="00E81CB4"/>
    <w:rsid w:val="00E82CC1"/>
    <w:rsid w:val="00E83227"/>
    <w:rsid w:val="00E83690"/>
    <w:rsid w:val="00E8389D"/>
    <w:rsid w:val="00E840C2"/>
    <w:rsid w:val="00E84364"/>
    <w:rsid w:val="00E84DFD"/>
    <w:rsid w:val="00E85622"/>
    <w:rsid w:val="00E8585B"/>
    <w:rsid w:val="00E85D52"/>
    <w:rsid w:val="00E85DA8"/>
    <w:rsid w:val="00E863D6"/>
    <w:rsid w:val="00E8703E"/>
    <w:rsid w:val="00E8714A"/>
    <w:rsid w:val="00E906C8"/>
    <w:rsid w:val="00E90E9C"/>
    <w:rsid w:val="00E915D1"/>
    <w:rsid w:val="00E92669"/>
    <w:rsid w:val="00E9271D"/>
    <w:rsid w:val="00E927A0"/>
    <w:rsid w:val="00E947BC"/>
    <w:rsid w:val="00E94C8D"/>
    <w:rsid w:val="00E95010"/>
    <w:rsid w:val="00E958BE"/>
    <w:rsid w:val="00E95BCD"/>
    <w:rsid w:val="00E95FFE"/>
    <w:rsid w:val="00E96339"/>
    <w:rsid w:val="00E96399"/>
    <w:rsid w:val="00E963B3"/>
    <w:rsid w:val="00E96704"/>
    <w:rsid w:val="00E96776"/>
    <w:rsid w:val="00E9751E"/>
    <w:rsid w:val="00E9784C"/>
    <w:rsid w:val="00E97A2D"/>
    <w:rsid w:val="00E97CC7"/>
    <w:rsid w:val="00E97E44"/>
    <w:rsid w:val="00EA031C"/>
    <w:rsid w:val="00EA07BF"/>
    <w:rsid w:val="00EA09E7"/>
    <w:rsid w:val="00EA0F58"/>
    <w:rsid w:val="00EA17A5"/>
    <w:rsid w:val="00EA1AD5"/>
    <w:rsid w:val="00EA1D19"/>
    <w:rsid w:val="00EA1E1F"/>
    <w:rsid w:val="00EA3010"/>
    <w:rsid w:val="00EA3BE0"/>
    <w:rsid w:val="00EA3C32"/>
    <w:rsid w:val="00EA3F15"/>
    <w:rsid w:val="00EA48C9"/>
    <w:rsid w:val="00EA5DC6"/>
    <w:rsid w:val="00EA6102"/>
    <w:rsid w:val="00EA6478"/>
    <w:rsid w:val="00EA6A2D"/>
    <w:rsid w:val="00EA6F7F"/>
    <w:rsid w:val="00EA707E"/>
    <w:rsid w:val="00EA7301"/>
    <w:rsid w:val="00EA7818"/>
    <w:rsid w:val="00EA7847"/>
    <w:rsid w:val="00EA797A"/>
    <w:rsid w:val="00EB11AB"/>
    <w:rsid w:val="00EB17F3"/>
    <w:rsid w:val="00EB1951"/>
    <w:rsid w:val="00EB212A"/>
    <w:rsid w:val="00EB244A"/>
    <w:rsid w:val="00EB28C3"/>
    <w:rsid w:val="00EB2D49"/>
    <w:rsid w:val="00EB2EF0"/>
    <w:rsid w:val="00EB3077"/>
    <w:rsid w:val="00EB321D"/>
    <w:rsid w:val="00EB3BFA"/>
    <w:rsid w:val="00EB4198"/>
    <w:rsid w:val="00EB41BE"/>
    <w:rsid w:val="00EB4396"/>
    <w:rsid w:val="00EB4707"/>
    <w:rsid w:val="00EB490D"/>
    <w:rsid w:val="00EB4E1F"/>
    <w:rsid w:val="00EB5C73"/>
    <w:rsid w:val="00EB697E"/>
    <w:rsid w:val="00EB6AC6"/>
    <w:rsid w:val="00EB7B7C"/>
    <w:rsid w:val="00EC1656"/>
    <w:rsid w:val="00EC1707"/>
    <w:rsid w:val="00EC1D10"/>
    <w:rsid w:val="00EC22F0"/>
    <w:rsid w:val="00EC2A4A"/>
    <w:rsid w:val="00EC2BD7"/>
    <w:rsid w:val="00EC2C47"/>
    <w:rsid w:val="00EC2E11"/>
    <w:rsid w:val="00EC3312"/>
    <w:rsid w:val="00EC3459"/>
    <w:rsid w:val="00EC3DBE"/>
    <w:rsid w:val="00EC4806"/>
    <w:rsid w:val="00EC4B53"/>
    <w:rsid w:val="00EC53EC"/>
    <w:rsid w:val="00EC53FB"/>
    <w:rsid w:val="00EC56CB"/>
    <w:rsid w:val="00EC60D2"/>
    <w:rsid w:val="00EC6B7C"/>
    <w:rsid w:val="00EC7FCB"/>
    <w:rsid w:val="00ED009F"/>
    <w:rsid w:val="00ED087F"/>
    <w:rsid w:val="00ED0D64"/>
    <w:rsid w:val="00ED0EEB"/>
    <w:rsid w:val="00ED1468"/>
    <w:rsid w:val="00ED15F7"/>
    <w:rsid w:val="00ED1705"/>
    <w:rsid w:val="00ED2F66"/>
    <w:rsid w:val="00ED3313"/>
    <w:rsid w:val="00ED4654"/>
    <w:rsid w:val="00ED4A9C"/>
    <w:rsid w:val="00ED51F1"/>
    <w:rsid w:val="00ED5D46"/>
    <w:rsid w:val="00ED5ECC"/>
    <w:rsid w:val="00ED6374"/>
    <w:rsid w:val="00ED63A6"/>
    <w:rsid w:val="00ED63BA"/>
    <w:rsid w:val="00ED6D6B"/>
    <w:rsid w:val="00ED6D8C"/>
    <w:rsid w:val="00ED7378"/>
    <w:rsid w:val="00ED7399"/>
    <w:rsid w:val="00ED73F9"/>
    <w:rsid w:val="00ED740D"/>
    <w:rsid w:val="00ED7942"/>
    <w:rsid w:val="00ED79AB"/>
    <w:rsid w:val="00ED7F6D"/>
    <w:rsid w:val="00ED7FD9"/>
    <w:rsid w:val="00EE066E"/>
    <w:rsid w:val="00EE06FA"/>
    <w:rsid w:val="00EE0A34"/>
    <w:rsid w:val="00EE0E9B"/>
    <w:rsid w:val="00EE17D8"/>
    <w:rsid w:val="00EE195A"/>
    <w:rsid w:val="00EE2E5C"/>
    <w:rsid w:val="00EE2E6E"/>
    <w:rsid w:val="00EE2FE8"/>
    <w:rsid w:val="00EE3394"/>
    <w:rsid w:val="00EE3C00"/>
    <w:rsid w:val="00EE41CD"/>
    <w:rsid w:val="00EE4AD8"/>
    <w:rsid w:val="00EE4B5E"/>
    <w:rsid w:val="00EE4C12"/>
    <w:rsid w:val="00EE4CB0"/>
    <w:rsid w:val="00EE5980"/>
    <w:rsid w:val="00EE5A7B"/>
    <w:rsid w:val="00EE5C41"/>
    <w:rsid w:val="00EE6079"/>
    <w:rsid w:val="00EE618C"/>
    <w:rsid w:val="00EE7375"/>
    <w:rsid w:val="00EE7455"/>
    <w:rsid w:val="00EE7918"/>
    <w:rsid w:val="00EE7F5C"/>
    <w:rsid w:val="00EF027C"/>
    <w:rsid w:val="00EF09EF"/>
    <w:rsid w:val="00EF0A8E"/>
    <w:rsid w:val="00EF0AD2"/>
    <w:rsid w:val="00EF0D5F"/>
    <w:rsid w:val="00EF0E54"/>
    <w:rsid w:val="00EF0FED"/>
    <w:rsid w:val="00EF14CA"/>
    <w:rsid w:val="00EF1719"/>
    <w:rsid w:val="00EF1C5A"/>
    <w:rsid w:val="00EF202B"/>
    <w:rsid w:val="00EF2CE6"/>
    <w:rsid w:val="00EF2F96"/>
    <w:rsid w:val="00EF3255"/>
    <w:rsid w:val="00EF332E"/>
    <w:rsid w:val="00EF3A10"/>
    <w:rsid w:val="00EF4DAC"/>
    <w:rsid w:val="00EF518E"/>
    <w:rsid w:val="00EF5307"/>
    <w:rsid w:val="00EF57EE"/>
    <w:rsid w:val="00EF5A1A"/>
    <w:rsid w:val="00EF62D2"/>
    <w:rsid w:val="00EF72B5"/>
    <w:rsid w:val="00EF74DC"/>
    <w:rsid w:val="00EF78DF"/>
    <w:rsid w:val="00F001AD"/>
    <w:rsid w:val="00F0043A"/>
    <w:rsid w:val="00F00FBA"/>
    <w:rsid w:val="00F01402"/>
    <w:rsid w:val="00F016F1"/>
    <w:rsid w:val="00F01F24"/>
    <w:rsid w:val="00F01F4B"/>
    <w:rsid w:val="00F02296"/>
    <w:rsid w:val="00F041BE"/>
    <w:rsid w:val="00F0428B"/>
    <w:rsid w:val="00F0494E"/>
    <w:rsid w:val="00F06E0E"/>
    <w:rsid w:val="00F070B6"/>
    <w:rsid w:val="00F0759E"/>
    <w:rsid w:val="00F076E5"/>
    <w:rsid w:val="00F0775C"/>
    <w:rsid w:val="00F10338"/>
    <w:rsid w:val="00F10CE4"/>
    <w:rsid w:val="00F1133E"/>
    <w:rsid w:val="00F11977"/>
    <w:rsid w:val="00F11A6F"/>
    <w:rsid w:val="00F11D9D"/>
    <w:rsid w:val="00F122D2"/>
    <w:rsid w:val="00F13605"/>
    <w:rsid w:val="00F139B8"/>
    <w:rsid w:val="00F13AE8"/>
    <w:rsid w:val="00F156F7"/>
    <w:rsid w:val="00F15AA7"/>
    <w:rsid w:val="00F16799"/>
    <w:rsid w:val="00F16AA3"/>
    <w:rsid w:val="00F16CBC"/>
    <w:rsid w:val="00F200E7"/>
    <w:rsid w:val="00F2080D"/>
    <w:rsid w:val="00F209B7"/>
    <w:rsid w:val="00F2202D"/>
    <w:rsid w:val="00F22533"/>
    <w:rsid w:val="00F227E7"/>
    <w:rsid w:val="00F22FED"/>
    <w:rsid w:val="00F2335B"/>
    <w:rsid w:val="00F23520"/>
    <w:rsid w:val="00F238E1"/>
    <w:rsid w:val="00F23988"/>
    <w:rsid w:val="00F239EE"/>
    <w:rsid w:val="00F23DB3"/>
    <w:rsid w:val="00F2521D"/>
    <w:rsid w:val="00F25270"/>
    <w:rsid w:val="00F25452"/>
    <w:rsid w:val="00F25839"/>
    <w:rsid w:val="00F25892"/>
    <w:rsid w:val="00F261FE"/>
    <w:rsid w:val="00F26230"/>
    <w:rsid w:val="00F264F7"/>
    <w:rsid w:val="00F27149"/>
    <w:rsid w:val="00F30139"/>
    <w:rsid w:val="00F304B6"/>
    <w:rsid w:val="00F30C17"/>
    <w:rsid w:val="00F314CF"/>
    <w:rsid w:val="00F31934"/>
    <w:rsid w:val="00F31B64"/>
    <w:rsid w:val="00F33A10"/>
    <w:rsid w:val="00F33CDC"/>
    <w:rsid w:val="00F34348"/>
    <w:rsid w:val="00F34450"/>
    <w:rsid w:val="00F34C93"/>
    <w:rsid w:val="00F34E2C"/>
    <w:rsid w:val="00F3637C"/>
    <w:rsid w:val="00F36497"/>
    <w:rsid w:val="00F367E5"/>
    <w:rsid w:val="00F36A80"/>
    <w:rsid w:val="00F36D29"/>
    <w:rsid w:val="00F36E2D"/>
    <w:rsid w:val="00F37070"/>
    <w:rsid w:val="00F37454"/>
    <w:rsid w:val="00F377E6"/>
    <w:rsid w:val="00F37868"/>
    <w:rsid w:val="00F4014E"/>
    <w:rsid w:val="00F403BD"/>
    <w:rsid w:val="00F40B5F"/>
    <w:rsid w:val="00F4109A"/>
    <w:rsid w:val="00F416FB"/>
    <w:rsid w:val="00F41FA8"/>
    <w:rsid w:val="00F420F3"/>
    <w:rsid w:val="00F4392C"/>
    <w:rsid w:val="00F43B4A"/>
    <w:rsid w:val="00F43F66"/>
    <w:rsid w:val="00F44694"/>
    <w:rsid w:val="00F44F32"/>
    <w:rsid w:val="00F454FC"/>
    <w:rsid w:val="00F4610E"/>
    <w:rsid w:val="00F47364"/>
    <w:rsid w:val="00F47682"/>
    <w:rsid w:val="00F47BAD"/>
    <w:rsid w:val="00F506A2"/>
    <w:rsid w:val="00F509E2"/>
    <w:rsid w:val="00F50AEA"/>
    <w:rsid w:val="00F50D6A"/>
    <w:rsid w:val="00F510BC"/>
    <w:rsid w:val="00F51401"/>
    <w:rsid w:val="00F5221D"/>
    <w:rsid w:val="00F5228C"/>
    <w:rsid w:val="00F527CF"/>
    <w:rsid w:val="00F52839"/>
    <w:rsid w:val="00F52917"/>
    <w:rsid w:val="00F52C28"/>
    <w:rsid w:val="00F52E19"/>
    <w:rsid w:val="00F5380C"/>
    <w:rsid w:val="00F538A3"/>
    <w:rsid w:val="00F542BD"/>
    <w:rsid w:val="00F5498B"/>
    <w:rsid w:val="00F555FF"/>
    <w:rsid w:val="00F55B78"/>
    <w:rsid w:val="00F55BEF"/>
    <w:rsid w:val="00F55EB4"/>
    <w:rsid w:val="00F5686A"/>
    <w:rsid w:val="00F57804"/>
    <w:rsid w:val="00F61864"/>
    <w:rsid w:val="00F64149"/>
    <w:rsid w:val="00F6421C"/>
    <w:rsid w:val="00F64DBB"/>
    <w:rsid w:val="00F6593D"/>
    <w:rsid w:val="00F66208"/>
    <w:rsid w:val="00F665F4"/>
    <w:rsid w:val="00F66E2B"/>
    <w:rsid w:val="00F67A6B"/>
    <w:rsid w:val="00F70C1A"/>
    <w:rsid w:val="00F71387"/>
    <w:rsid w:val="00F7147F"/>
    <w:rsid w:val="00F71C8F"/>
    <w:rsid w:val="00F72290"/>
    <w:rsid w:val="00F72CE0"/>
    <w:rsid w:val="00F7328E"/>
    <w:rsid w:val="00F73623"/>
    <w:rsid w:val="00F7369B"/>
    <w:rsid w:val="00F7498D"/>
    <w:rsid w:val="00F74DA4"/>
    <w:rsid w:val="00F75948"/>
    <w:rsid w:val="00F7604C"/>
    <w:rsid w:val="00F77505"/>
    <w:rsid w:val="00F77C64"/>
    <w:rsid w:val="00F77D4B"/>
    <w:rsid w:val="00F80FC0"/>
    <w:rsid w:val="00F81461"/>
    <w:rsid w:val="00F81D08"/>
    <w:rsid w:val="00F82098"/>
    <w:rsid w:val="00F821A3"/>
    <w:rsid w:val="00F821DC"/>
    <w:rsid w:val="00F82760"/>
    <w:rsid w:val="00F827A0"/>
    <w:rsid w:val="00F83417"/>
    <w:rsid w:val="00F835DC"/>
    <w:rsid w:val="00F841F5"/>
    <w:rsid w:val="00F845F2"/>
    <w:rsid w:val="00F8512D"/>
    <w:rsid w:val="00F852BB"/>
    <w:rsid w:val="00F857D1"/>
    <w:rsid w:val="00F8759C"/>
    <w:rsid w:val="00F87BF3"/>
    <w:rsid w:val="00F90754"/>
    <w:rsid w:val="00F908FD"/>
    <w:rsid w:val="00F9166B"/>
    <w:rsid w:val="00F91705"/>
    <w:rsid w:val="00F9283F"/>
    <w:rsid w:val="00F9314A"/>
    <w:rsid w:val="00F932A9"/>
    <w:rsid w:val="00F9389E"/>
    <w:rsid w:val="00F94866"/>
    <w:rsid w:val="00F951EB"/>
    <w:rsid w:val="00F9543D"/>
    <w:rsid w:val="00F96652"/>
    <w:rsid w:val="00F96C88"/>
    <w:rsid w:val="00FA0592"/>
    <w:rsid w:val="00FA14AC"/>
    <w:rsid w:val="00FA1D88"/>
    <w:rsid w:val="00FA234B"/>
    <w:rsid w:val="00FA238A"/>
    <w:rsid w:val="00FA25BE"/>
    <w:rsid w:val="00FA2A5E"/>
    <w:rsid w:val="00FA2D0D"/>
    <w:rsid w:val="00FA2E6E"/>
    <w:rsid w:val="00FA2F79"/>
    <w:rsid w:val="00FA30FF"/>
    <w:rsid w:val="00FA378F"/>
    <w:rsid w:val="00FA3B4E"/>
    <w:rsid w:val="00FA402B"/>
    <w:rsid w:val="00FA4898"/>
    <w:rsid w:val="00FA5303"/>
    <w:rsid w:val="00FA5318"/>
    <w:rsid w:val="00FA54E8"/>
    <w:rsid w:val="00FA5BB6"/>
    <w:rsid w:val="00FA5BF9"/>
    <w:rsid w:val="00FA642E"/>
    <w:rsid w:val="00FA645B"/>
    <w:rsid w:val="00FA6C43"/>
    <w:rsid w:val="00FA6EC7"/>
    <w:rsid w:val="00FA703B"/>
    <w:rsid w:val="00FB0268"/>
    <w:rsid w:val="00FB0E3A"/>
    <w:rsid w:val="00FB169C"/>
    <w:rsid w:val="00FB177E"/>
    <w:rsid w:val="00FB198C"/>
    <w:rsid w:val="00FB2318"/>
    <w:rsid w:val="00FB2584"/>
    <w:rsid w:val="00FB3201"/>
    <w:rsid w:val="00FB53D4"/>
    <w:rsid w:val="00FB57BA"/>
    <w:rsid w:val="00FB667A"/>
    <w:rsid w:val="00FB7672"/>
    <w:rsid w:val="00FB7689"/>
    <w:rsid w:val="00FC0070"/>
    <w:rsid w:val="00FC03F5"/>
    <w:rsid w:val="00FC03FA"/>
    <w:rsid w:val="00FC045B"/>
    <w:rsid w:val="00FC08A6"/>
    <w:rsid w:val="00FC094F"/>
    <w:rsid w:val="00FC0C0F"/>
    <w:rsid w:val="00FC1748"/>
    <w:rsid w:val="00FC1BB4"/>
    <w:rsid w:val="00FC1F37"/>
    <w:rsid w:val="00FC206F"/>
    <w:rsid w:val="00FC25DC"/>
    <w:rsid w:val="00FC2E5C"/>
    <w:rsid w:val="00FC3747"/>
    <w:rsid w:val="00FC3B47"/>
    <w:rsid w:val="00FC550E"/>
    <w:rsid w:val="00FC58EF"/>
    <w:rsid w:val="00FC592A"/>
    <w:rsid w:val="00FC5B5C"/>
    <w:rsid w:val="00FC5F3C"/>
    <w:rsid w:val="00FC656A"/>
    <w:rsid w:val="00FC78D7"/>
    <w:rsid w:val="00FC7B0D"/>
    <w:rsid w:val="00FD0291"/>
    <w:rsid w:val="00FD141B"/>
    <w:rsid w:val="00FD18B3"/>
    <w:rsid w:val="00FD20DB"/>
    <w:rsid w:val="00FD24E1"/>
    <w:rsid w:val="00FD2B09"/>
    <w:rsid w:val="00FD33DF"/>
    <w:rsid w:val="00FD3AD2"/>
    <w:rsid w:val="00FD4765"/>
    <w:rsid w:val="00FD5511"/>
    <w:rsid w:val="00FD5B65"/>
    <w:rsid w:val="00FD6697"/>
    <w:rsid w:val="00FD6ACD"/>
    <w:rsid w:val="00FD71B7"/>
    <w:rsid w:val="00FD7676"/>
    <w:rsid w:val="00FD7FF1"/>
    <w:rsid w:val="00FE0162"/>
    <w:rsid w:val="00FE10E4"/>
    <w:rsid w:val="00FE14F6"/>
    <w:rsid w:val="00FE1768"/>
    <w:rsid w:val="00FE18F4"/>
    <w:rsid w:val="00FE19C3"/>
    <w:rsid w:val="00FE20AB"/>
    <w:rsid w:val="00FE2824"/>
    <w:rsid w:val="00FE2D3E"/>
    <w:rsid w:val="00FE31AC"/>
    <w:rsid w:val="00FE35D5"/>
    <w:rsid w:val="00FE3776"/>
    <w:rsid w:val="00FE39D7"/>
    <w:rsid w:val="00FE3E0D"/>
    <w:rsid w:val="00FE465F"/>
    <w:rsid w:val="00FE5661"/>
    <w:rsid w:val="00FE5A0E"/>
    <w:rsid w:val="00FE5A5D"/>
    <w:rsid w:val="00FE6211"/>
    <w:rsid w:val="00FE6DFE"/>
    <w:rsid w:val="00FE720C"/>
    <w:rsid w:val="00FE7358"/>
    <w:rsid w:val="00FE7941"/>
    <w:rsid w:val="00FE7F98"/>
    <w:rsid w:val="00FF05D6"/>
    <w:rsid w:val="00FF060C"/>
    <w:rsid w:val="00FF1067"/>
    <w:rsid w:val="00FF121E"/>
    <w:rsid w:val="00FF15B1"/>
    <w:rsid w:val="00FF1AAE"/>
    <w:rsid w:val="00FF22F7"/>
    <w:rsid w:val="00FF2BBC"/>
    <w:rsid w:val="00FF355D"/>
    <w:rsid w:val="00FF3569"/>
    <w:rsid w:val="00FF3FBC"/>
    <w:rsid w:val="00FF41B7"/>
    <w:rsid w:val="00FF56A7"/>
    <w:rsid w:val="00FF5B96"/>
    <w:rsid w:val="00FF5C0F"/>
    <w:rsid w:val="00FF6192"/>
    <w:rsid w:val="00FF6406"/>
    <w:rsid w:val="00FF67D4"/>
    <w:rsid w:val="00FF6C5F"/>
    <w:rsid w:val="00FF6EC1"/>
    <w:rsid w:val="00FF7D12"/>
    <w:rsid w:val="2DE72B6C"/>
    <w:rsid w:val="5639A22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BE550D"/>
  <w15:docId w15:val="{478CFD38-FB56-4444-8DDA-AEFA59FE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975"/>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nhideWhenUsed/>
    <w:qFormat/>
    <w:rsid w:val="001500FB"/>
    <w:pPr>
      <w:keepNext/>
      <w:numPr>
        <w:numId w:val="36"/>
      </w:numPr>
      <w:spacing w:before="240" w:after="60"/>
      <w:outlineLvl w:val="1"/>
    </w:pPr>
    <w:rPr>
      <w:rFonts w:ascii="Bookman Old Style" w:hAnsi="Bookman Old Style"/>
      <w:b/>
      <w:bCs/>
      <w:i/>
      <w:iCs/>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C20249"/>
    <w:pPr>
      <w:spacing w:before="240" w:after="60"/>
      <w:ind w:left="0"/>
      <w:outlineLvl w:val="6"/>
    </w:pPr>
    <w:rPr>
      <w:rFonts w:ascii="Calibri" w:hAnsi="Calibri"/>
    </w:rPr>
  </w:style>
  <w:style w:type="paragraph" w:styleId="Ttulo8">
    <w:name w:val="heading 8"/>
    <w:basedOn w:val="Normal"/>
    <w:next w:val="Normal"/>
    <w:link w:val="Ttulo8Car"/>
    <w:qFormat/>
    <w:rsid w:val="00C00DC6"/>
    <w:pPr>
      <w:tabs>
        <w:tab w:val="num" w:pos="1440"/>
      </w:tabs>
      <w:spacing w:before="240" w:after="60"/>
      <w:ind w:left="1440" w:hanging="1440"/>
      <w:jc w:val="both"/>
      <w:outlineLvl w:val="7"/>
    </w:pPr>
    <w:rPr>
      <w:rFonts w:ascii="Arial" w:hAnsi="Arial"/>
      <w:i/>
      <w:sz w:val="20"/>
      <w:szCs w:val="20"/>
      <w:lang w:val="es-ES_tradnl"/>
    </w:rPr>
  </w:style>
  <w:style w:type="paragraph" w:styleId="Ttulo9">
    <w:name w:val="heading 9"/>
    <w:basedOn w:val="Normal"/>
    <w:next w:val="Normal"/>
    <w:link w:val="Ttulo9Car"/>
    <w:qFormat/>
    <w:rsid w:val="00C00DC6"/>
    <w:pPr>
      <w:tabs>
        <w:tab w:val="num" w:pos="1584"/>
      </w:tabs>
      <w:spacing w:before="240" w:after="60"/>
      <w:ind w:left="1584" w:hanging="1584"/>
      <w:jc w:val="both"/>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titulo 3,Liste 1,Bullets,References,Lista vistosa - Énfasis 11,Bolita,BOLA,BOLADEF,Antes de enumeración,Párrafo de lista2,Suntítulo 4,Bullet,lista numerada,Subtítulo 4,titulo 4,Fluvial1,Párrafo numerado,Titulo 4,lp1"/>
    <w:basedOn w:val="Normal"/>
    <w:link w:val="PrrafodelistaCar"/>
    <w:qFormat/>
    <w:rsid w:val="001405C6"/>
    <w:pPr>
      <w:ind w:left="708"/>
    </w:pPr>
    <w:rPr>
      <w:sz w:val="20"/>
      <w:szCs w:val="20"/>
      <w:lang w:val="es-CO"/>
    </w:rPr>
  </w:style>
  <w:style w:type="character" w:customStyle="1" w:styleId="PrrafodelistaCar">
    <w:name w:val="Párrafo de lista Car"/>
    <w:aliases w:val="titulo 3 Car,Liste 1 Car,Bullets Car,References Car,Lista vistosa - Énfasis 11 Car,Bolita Car,BOLA Car,BOLADEF Car,Antes de enumeración Car,Párrafo de lista2 Car,Suntítulo 4 Car,Bullet Car,lista numerada Car,Subtítulo 4 Car,lp1 Car"/>
    <w:link w:val="Prrafodelista"/>
    <w:qFormat/>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Descripci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1"/>
      </w:numPr>
      <w:shd w:val="clear" w:color="auto" w:fill="auto"/>
      <w:adjustRightInd w:val="0"/>
      <w:jc w:val="both"/>
      <w:textAlignment w:val="baseline"/>
      <w:outlineLvl w:val="0"/>
    </w:pPr>
    <w:rPr>
      <w:rFonts w:ascii="Bookman Old Style" w:hAnsi="Bookman Old Style"/>
      <w:b/>
      <w:bCs/>
      <w:color w:val="auto"/>
      <w:sz w:val="24"/>
      <w:szCs w:val="24"/>
      <w:lang w:val="es-ES" w:eastAsia="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stilo2Car">
    <w:name w:val="Estilo2 Car"/>
    <w:link w:val="Estilo2"/>
    <w:rsid w:val="00D34E3A"/>
    <w:rPr>
      <w:rFonts w:ascii="Bookman Old Style" w:hAnsi="Bookman Old Style"/>
      <w:b/>
      <w:bCs/>
      <w:sz w:val="24"/>
      <w:szCs w:val="24"/>
      <w:lang w:val="es-ES" w:eastAsia="ar-SA"/>
    </w:rPr>
  </w:style>
  <w:style w:type="paragraph" w:styleId="Mapadeldocumento">
    <w:name w:val="Document Map"/>
    <w:basedOn w:val="Normal"/>
    <w:link w:val="MapadeldocumentoCar"/>
    <w:uiPriority w:val="99"/>
    <w:semiHidden/>
    <w:unhideWhenUsed/>
    <w:rsid w:val="00D34E3A"/>
    <w:rPr>
      <w:rFonts w:ascii="Tahoma" w:hAnsi="Tahoma" w:cs="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unhideWhenUsed/>
    <w:rsid w:val="002C4E91"/>
    <w:rPr>
      <w:sz w:val="20"/>
      <w:szCs w:val="20"/>
    </w:rPr>
  </w:style>
  <w:style w:type="character" w:customStyle="1" w:styleId="TextocomentarioCar">
    <w:name w:val="Texto comentario Car"/>
    <w:link w:val="Textocomentario"/>
    <w:uiPriority w:val="99"/>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2"/>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styleId="Revisin">
    <w:name w:val="Revision"/>
    <w:hidden/>
    <w:uiPriority w:val="99"/>
    <w:semiHidden/>
    <w:rsid w:val="00DA29A3"/>
    <w:rPr>
      <w:sz w:val="24"/>
      <w:szCs w:val="24"/>
      <w:lang w:val="es-ES" w:eastAsia="es-ES"/>
    </w:rPr>
  </w:style>
  <w:style w:type="character" w:customStyle="1" w:styleId="Ttulo2Car">
    <w:name w:val="Título 2 Car"/>
    <w:link w:val="Ttulo2"/>
    <w:rsid w:val="001500FB"/>
    <w:rPr>
      <w:rFonts w:ascii="Bookman Old Style" w:hAnsi="Bookman Old Style"/>
      <w:b/>
      <w:bCs/>
      <w:i/>
      <w:iCs/>
      <w:sz w:val="24"/>
      <w:szCs w:val="24"/>
      <w:lang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 w:type="character" w:customStyle="1" w:styleId="Ttulo7Car">
    <w:name w:val="Título 7 Car"/>
    <w:link w:val="Ttulo7"/>
    <w:uiPriority w:val="9"/>
    <w:semiHidden/>
    <w:rsid w:val="00C20249"/>
    <w:rPr>
      <w:rFonts w:ascii="Calibri" w:hAnsi="Calibri"/>
      <w:sz w:val="24"/>
      <w:szCs w:val="24"/>
    </w:rPr>
  </w:style>
  <w:style w:type="character" w:styleId="Textodelmarcadordeposicin">
    <w:name w:val="Placeholder Text"/>
    <w:basedOn w:val="Fuentedeprrafopredeter"/>
    <w:uiPriority w:val="99"/>
    <w:semiHidden/>
    <w:rsid w:val="00C05A43"/>
    <w:rPr>
      <w:color w:val="808080"/>
    </w:rPr>
  </w:style>
  <w:style w:type="character" w:styleId="Hipervnculo">
    <w:name w:val="Hyperlink"/>
    <w:basedOn w:val="Fuentedeprrafopredeter"/>
    <w:uiPriority w:val="99"/>
    <w:unhideWhenUsed/>
    <w:rsid w:val="00715577"/>
    <w:rPr>
      <w:color w:val="0000FF"/>
      <w:u w:val="single"/>
    </w:rPr>
  </w:style>
  <w:style w:type="character" w:styleId="Hipervnculovisitado">
    <w:name w:val="FollowedHyperlink"/>
    <w:basedOn w:val="Fuentedeprrafopredeter"/>
    <w:uiPriority w:val="99"/>
    <w:semiHidden/>
    <w:unhideWhenUsed/>
    <w:rsid w:val="0093237A"/>
    <w:rPr>
      <w:color w:val="800080" w:themeColor="followedHyperlink"/>
      <w:u w:val="single"/>
    </w:rPr>
  </w:style>
  <w:style w:type="character" w:customStyle="1" w:styleId="Ttulo8Car">
    <w:name w:val="Título 8 Car"/>
    <w:basedOn w:val="Fuentedeprrafopredeter"/>
    <w:link w:val="Ttulo8"/>
    <w:rsid w:val="00C00DC6"/>
    <w:rPr>
      <w:rFonts w:ascii="Arial" w:hAnsi="Arial"/>
      <w:i/>
      <w:lang w:val="es-ES_tradnl" w:eastAsia="es-ES"/>
    </w:rPr>
  </w:style>
  <w:style w:type="character" w:customStyle="1" w:styleId="Ttulo9Car">
    <w:name w:val="Título 9 Car"/>
    <w:basedOn w:val="Fuentedeprrafopredeter"/>
    <w:link w:val="Ttulo9"/>
    <w:rsid w:val="00C00DC6"/>
    <w:rPr>
      <w:rFonts w:ascii="Arial" w:hAnsi="Arial"/>
      <w:b/>
      <w:i/>
      <w:sz w:val="18"/>
      <w:lang w:val="es-ES_tradnl" w:eastAsia="es-ES"/>
    </w:rPr>
  </w:style>
  <w:style w:type="character" w:styleId="Mencinsinresolver">
    <w:name w:val="Unresolved Mention"/>
    <w:basedOn w:val="Fuentedeprrafopredeter"/>
    <w:uiPriority w:val="99"/>
    <w:semiHidden/>
    <w:unhideWhenUsed/>
    <w:rsid w:val="00BB21D6"/>
    <w:rPr>
      <w:color w:val="605E5C"/>
      <w:shd w:val="clear" w:color="auto" w:fill="E1DFDD"/>
    </w:rPr>
  </w:style>
  <w:style w:type="character" w:styleId="Mencionar">
    <w:name w:val="Mention"/>
    <w:basedOn w:val="Fuentedeprrafopredeter"/>
    <w:uiPriority w:val="99"/>
    <w:unhideWhenUsed/>
    <w:rsid w:val="00191A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3195">
      <w:bodyDiv w:val="1"/>
      <w:marLeft w:val="0"/>
      <w:marRight w:val="0"/>
      <w:marTop w:val="0"/>
      <w:marBottom w:val="0"/>
      <w:divBdr>
        <w:top w:val="none" w:sz="0" w:space="0" w:color="auto"/>
        <w:left w:val="none" w:sz="0" w:space="0" w:color="auto"/>
        <w:bottom w:val="none" w:sz="0" w:space="0" w:color="auto"/>
        <w:right w:val="none" w:sz="0" w:space="0" w:color="auto"/>
      </w:divBdr>
    </w:div>
    <w:div w:id="279143558">
      <w:bodyDiv w:val="1"/>
      <w:marLeft w:val="0"/>
      <w:marRight w:val="0"/>
      <w:marTop w:val="0"/>
      <w:marBottom w:val="0"/>
      <w:divBdr>
        <w:top w:val="none" w:sz="0" w:space="0" w:color="auto"/>
        <w:left w:val="none" w:sz="0" w:space="0" w:color="auto"/>
        <w:bottom w:val="none" w:sz="0" w:space="0" w:color="auto"/>
        <w:right w:val="none" w:sz="0" w:space="0" w:color="auto"/>
      </w:divBdr>
    </w:div>
    <w:div w:id="390618280">
      <w:bodyDiv w:val="1"/>
      <w:marLeft w:val="0"/>
      <w:marRight w:val="0"/>
      <w:marTop w:val="0"/>
      <w:marBottom w:val="0"/>
      <w:divBdr>
        <w:top w:val="none" w:sz="0" w:space="0" w:color="auto"/>
        <w:left w:val="none" w:sz="0" w:space="0" w:color="auto"/>
        <w:bottom w:val="none" w:sz="0" w:space="0" w:color="auto"/>
        <w:right w:val="none" w:sz="0" w:space="0" w:color="auto"/>
      </w:divBdr>
    </w:div>
    <w:div w:id="420294298">
      <w:bodyDiv w:val="1"/>
      <w:marLeft w:val="0"/>
      <w:marRight w:val="0"/>
      <w:marTop w:val="0"/>
      <w:marBottom w:val="0"/>
      <w:divBdr>
        <w:top w:val="none" w:sz="0" w:space="0" w:color="auto"/>
        <w:left w:val="none" w:sz="0" w:space="0" w:color="auto"/>
        <w:bottom w:val="none" w:sz="0" w:space="0" w:color="auto"/>
        <w:right w:val="none" w:sz="0" w:space="0" w:color="auto"/>
      </w:divBdr>
    </w:div>
    <w:div w:id="622342862">
      <w:bodyDiv w:val="1"/>
      <w:marLeft w:val="0"/>
      <w:marRight w:val="0"/>
      <w:marTop w:val="0"/>
      <w:marBottom w:val="0"/>
      <w:divBdr>
        <w:top w:val="none" w:sz="0" w:space="0" w:color="auto"/>
        <w:left w:val="none" w:sz="0" w:space="0" w:color="auto"/>
        <w:bottom w:val="none" w:sz="0" w:space="0" w:color="auto"/>
        <w:right w:val="none" w:sz="0" w:space="0" w:color="auto"/>
      </w:divBdr>
    </w:div>
    <w:div w:id="632911409">
      <w:bodyDiv w:val="1"/>
      <w:marLeft w:val="0"/>
      <w:marRight w:val="0"/>
      <w:marTop w:val="0"/>
      <w:marBottom w:val="0"/>
      <w:divBdr>
        <w:top w:val="none" w:sz="0" w:space="0" w:color="auto"/>
        <w:left w:val="none" w:sz="0" w:space="0" w:color="auto"/>
        <w:bottom w:val="none" w:sz="0" w:space="0" w:color="auto"/>
        <w:right w:val="none" w:sz="0" w:space="0" w:color="auto"/>
      </w:divBdr>
    </w:div>
    <w:div w:id="664279910">
      <w:bodyDiv w:val="1"/>
      <w:marLeft w:val="0"/>
      <w:marRight w:val="0"/>
      <w:marTop w:val="0"/>
      <w:marBottom w:val="0"/>
      <w:divBdr>
        <w:top w:val="none" w:sz="0" w:space="0" w:color="auto"/>
        <w:left w:val="none" w:sz="0" w:space="0" w:color="auto"/>
        <w:bottom w:val="none" w:sz="0" w:space="0" w:color="auto"/>
        <w:right w:val="none" w:sz="0" w:space="0" w:color="auto"/>
      </w:divBdr>
    </w:div>
    <w:div w:id="969868952">
      <w:bodyDiv w:val="1"/>
      <w:marLeft w:val="0"/>
      <w:marRight w:val="0"/>
      <w:marTop w:val="0"/>
      <w:marBottom w:val="0"/>
      <w:divBdr>
        <w:top w:val="none" w:sz="0" w:space="0" w:color="auto"/>
        <w:left w:val="none" w:sz="0" w:space="0" w:color="auto"/>
        <w:bottom w:val="none" w:sz="0" w:space="0" w:color="auto"/>
        <w:right w:val="none" w:sz="0" w:space="0" w:color="auto"/>
      </w:divBdr>
    </w:div>
    <w:div w:id="1064134450">
      <w:bodyDiv w:val="1"/>
      <w:marLeft w:val="0"/>
      <w:marRight w:val="0"/>
      <w:marTop w:val="0"/>
      <w:marBottom w:val="0"/>
      <w:divBdr>
        <w:top w:val="none" w:sz="0" w:space="0" w:color="auto"/>
        <w:left w:val="none" w:sz="0" w:space="0" w:color="auto"/>
        <w:bottom w:val="none" w:sz="0" w:space="0" w:color="auto"/>
        <w:right w:val="none" w:sz="0" w:space="0" w:color="auto"/>
      </w:divBdr>
    </w:div>
    <w:div w:id="1234468529">
      <w:bodyDiv w:val="1"/>
      <w:marLeft w:val="0"/>
      <w:marRight w:val="0"/>
      <w:marTop w:val="0"/>
      <w:marBottom w:val="0"/>
      <w:divBdr>
        <w:top w:val="none" w:sz="0" w:space="0" w:color="auto"/>
        <w:left w:val="none" w:sz="0" w:space="0" w:color="auto"/>
        <w:bottom w:val="none" w:sz="0" w:space="0" w:color="auto"/>
        <w:right w:val="none" w:sz="0" w:space="0" w:color="auto"/>
      </w:divBdr>
    </w:div>
    <w:div w:id="1269436118">
      <w:bodyDiv w:val="1"/>
      <w:marLeft w:val="0"/>
      <w:marRight w:val="0"/>
      <w:marTop w:val="0"/>
      <w:marBottom w:val="0"/>
      <w:divBdr>
        <w:top w:val="none" w:sz="0" w:space="0" w:color="auto"/>
        <w:left w:val="none" w:sz="0" w:space="0" w:color="auto"/>
        <w:bottom w:val="none" w:sz="0" w:space="0" w:color="auto"/>
        <w:right w:val="none" w:sz="0" w:space="0" w:color="auto"/>
      </w:divBdr>
    </w:div>
    <w:div w:id="1274167391">
      <w:bodyDiv w:val="1"/>
      <w:marLeft w:val="0"/>
      <w:marRight w:val="0"/>
      <w:marTop w:val="0"/>
      <w:marBottom w:val="0"/>
      <w:divBdr>
        <w:top w:val="none" w:sz="0" w:space="0" w:color="auto"/>
        <w:left w:val="none" w:sz="0" w:space="0" w:color="auto"/>
        <w:bottom w:val="none" w:sz="0" w:space="0" w:color="auto"/>
        <w:right w:val="none" w:sz="0" w:space="0" w:color="auto"/>
      </w:divBdr>
    </w:div>
    <w:div w:id="1295867071">
      <w:bodyDiv w:val="1"/>
      <w:marLeft w:val="0"/>
      <w:marRight w:val="0"/>
      <w:marTop w:val="0"/>
      <w:marBottom w:val="0"/>
      <w:divBdr>
        <w:top w:val="none" w:sz="0" w:space="0" w:color="auto"/>
        <w:left w:val="none" w:sz="0" w:space="0" w:color="auto"/>
        <w:bottom w:val="none" w:sz="0" w:space="0" w:color="auto"/>
        <w:right w:val="none" w:sz="0" w:space="0" w:color="auto"/>
      </w:divBdr>
    </w:div>
    <w:div w:id="1348948210">
      <w:bodyDiv w:val="1"/>
      <w:marLeft w:val="0"/>
      <w:marRight w:val="0"/>
      <w:marTop w:val="0"/>
      <w:marBottom w:val="0"/>
      <w:divBdr>
        <w:top w:val="none" w:sz="0" w:space="0" w:color="auto"/>
        <w:left w:val="none" w:sz="0" w:space="0" w:color="auto"/>
        <w:bottom w:val="none" w:sz="0" w:space="0" w:color="auto"/>
        <w:right w:val="none" w:sz="0" w:space="0" w:color="auto"/>
      </w:divBdr>
    </w:div>
    <w:div w:id="1362054870">
      <w:bodyDiv w:val="1"/>
      <w:marLeft w:val="0"/>
      <w:marRight w:val="0"/>
      <w:marTop w:val="0"/>
      <w:marBottom w:val="0"/>
      <w:divBdr>
        <w:top w:val="none" w:sz="0" w:space="0" w:color="auto"/>
        <w:left w:val="none" w:sz="0" w:space="0" w:color="auto"/>
        <w:bottom w:val="none" w:sz="0" w:space="0" w:color="auto"/>
        <w:right w:val="none" w:sz="0" w:space="0" w:color="auto"/>
      </w:divBdr>
    </w:div>
    <w:div w:id="1384253145">
      <w:bodyDiv w:val="1"/>
      <w:marLeft w:val="0"/>
      <w:marRight w:val="0"/>
      <w:marTop w:val="0"/>
      <w:marBottom w:val="0"/>
      <w:divBdr>
        <w:top w:val="none" w:sz="0" w:space="0" w:color="auto"/>
        <w:left w:val="none" w:sz="0" w:space="0" w:color="auto"/>
        <w:bottom w:val="none" w:sz="0" w:space="0" w:color="auto"/>
        <w:right w:val="none" w:sz="0" w:space="0" w:color="auto"/>
      </w:divBdr>
    </w:div>
    <w:div w:id="1395276832">
      <w:bodyDiv w:val="1"/>
      <w:marLeft w:val="0"/>
      <w:marRight w:val="0"/>
      <w:marTop w:val="0"/>
      <w:marBottom w:val="0"/>
      <w:divBdr>
        <w:top w:val="none" w:sz="0" w:space="0" w:color="auto"/>
        <w:left w:val="none" w:sz="0" w:space="0" w:color="auto"/>
        <w:bottom w:val="none" w:sz="0" w:space="0" w:color="auto"/>
        <w:right w:val="none" w:sz="0" w:space="0" w:color="auto"/>
      </w:divBdr>
    </w:div>
    <w:div w:id="1561287393">
      <w:bodyDiv w:val="1"/>
      <w:marLeft w:val="0"/>
      <w:marRight w:val="0"/>
      <w:marTop w:val="0"/>
      <w:marBottom w:val="0"/>
      <w:divBdr>
        <w:top w:val="none" w:sz="0" w:space="0" w:color="auto"/>
        <w:left w:val="none" w:sz="0" w:space="0" w:color="auto"/>
        <w:bottom w:val="none" w:sz="0" w:space="0" w:color="auto"/>
        <w:right w:val="none" w:sz="0" w:space="0" w:color="auto"/>
      </w:divBdr>
    </w:div>
    <w:div w:id="1601985912">
      <w:bodyDiv w:val="1"/>
      <w:marLeft w:val="0"/>
      <w:marRight w:val="0"/>
      <w:marTop w:val="0"/>
      <w:marBottom w:val="0"/>
      <w:divBdr>
        <w:top w:val="none" w:sz="0" w:space="0" w:color="auto"/>
        <w:left w:val="none" w:sz="0" w:space="0" w:color="auto"/>
        <w:bottom w:val="none" w:sz="0" w:space="0" w:color="auto"/>
        <w:right w:val="none" w:sz="0" w:space="0" w:color="auto"/>
      </w:divBdr>
      <w:divsChild>
        <w:div w:id="594481309">
          <w:marLeft w:val="547"/>
          <w:marRight w:val="0"/>
          <w:marTop w:val="115"/>
          <w:marBottom w:val="0"/>
          <w:divBdr>
            <w:top w:val="none" w:sz="0" w:space="0" w:color="auto"/>
            <w:left w:val="none" w:sz="0" w:space="0" w:color="auto"/>
            <w:bottom w:val="none" w:sz="0" w:space="0" w:color="auto"/>
            <w:right w:val="none" w:sz="0" w:space="0" w:color="auto"/>
          </w:divBdr>
        </w:div>
      </w:divsChild>
    </w:div>
    <w:div w:id="1666856730">
      <w:bodyDiv w:val="1"/>
      <w:marLeft w:val="0"/>
      <w:marRight w:val="0"/>
      <w:marTop w:val="0"/>
      <w:marBottom w:val="0"/>
      <w:divBdr>
        <w:top w:val="none" w:sz="0" w:space="0" w:color="auto"/>
        <w:left w:val="none" w:sz="0" w:space="0" w:color="auto"/>
        <w:bottom w:val="none" w:sz="0" w:space="0" w:color="auto"/>
        <w:right w:val="none" w:sz="0" w:space="0" w:color="auto"/>
      </w:divBdr>
    </w:div>
    <w:div w:id="18835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stornormativo.creg.gov.co/gestor/entorno/docs/resolucion_creg_0039_2017.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ornormativo.creg.gov.co/gestor/entorno/docs/resolucion_creg_0039_201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RMACION_CREG\INFORMACI&#211;N\PLANTILLAS\PLANTILLA%20RESOLUCI&#211;N%20AG-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B03D-85C1-4F65-99E9-B643C304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9E9FD-F676-4364-AE93-5CB0A2667BC0}">
  <ds:schemaRefs>
    <ds:schemaRef ds:uri="http://schemas.microsoft.com/sharepoint/v3/contenttype/forms"/>
  </ds:schemaRefs>
</ds:datastoreItem>
</file>

<file path=customXml/itemProps3.xml><?xml version="1.0" encoding="utf-8"?>
<ds:datastoreItem xmlns:ds="http://schemas.openxmlformats.org/officeDocument/2006/customXml" ds:itemID="{16E0C084-FC80-4965-AB20-B5AC7D1B27A5}">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4.xml><?xml version="1.0" encoding="utf-8"?>
<ds:datastoreItem xmlns:ds="http://schemas.openxmlformats.org/officeDocument/2006/customXml" ds:itemID="{2F23745A-7673-4C20-9730-AAEDC26B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RESOLUCIÓN AG-1</Template>
  <TotalTime>10</TotalTime>
  <Pages>23</Pages>
  <Words>9383</Words>
  <Characters>50493</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59757</CharactersWithSpaces>
  <SharedDoc>false</SharedDoc>
  <HLinks>
    <vt:vector size="12" baseType="variant">
      <vt:variant>
        <vt:i4>1310821</vt:i4>
      </vt:variant>
      <vt:variant>
        <vt:i4>9</vt:i4>
      </vt:variant>
      <vt:variant>
        <vt:i4>0</vt:i4>
      </vt:variant>
      <vt:variant>
        <vt:i4>5</vt:i4>
      </vt:variant>
      <vt:variant>
        <vt:lpwstr>https://gestornormativo.creg.gov.co/gestor/entorno/docs/resolucion_creg_0039_2017.htm</vt:lpwstr>
      </vt:variant>
      <vt:variant>
        <vt:lpwstr>36</vt:lpwstr>
      </vt:variant>
      <vt:variant>
        <vt:i4>1507429</vt:i4>
      </vt:variant>
      <vt:variant>
        <vt:i4>6</vt:i4>
      </vt:variant>
      <vt:variant>
        <vt:i4>0</vt:i4>
      </vt:variant>
      <vt:variant>
        <vt:i4>5</vt:i4>
      </vt:variant>
      <vt:variant>
        <vt:lpwstr>https://gestornormativo.creg.gov.co/gestor/entorno/docs/resolucion_creg_0039_2017.htm</vt:lpwstr>
      </vt:variant>
      <vt:variant>
        <vt:lpwstr>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mpecheverri</dc:creator>
  <cp:keywords/>
  <cp:lastModifiedBy>Eliana Rodriguez Fonseca</cp:lastModifiedBy>
  <cp:revision>2</cp:revision>
  <cp:lastPrinted>2015-01-21T02:30:00Z</cp:lastPrinted>
  <dcterms:created xsi:type="dcterms:W3CDTF">2023-12-04T13:30:00Z</dcterms:created>
  <dcterms:modified xsi:type="dcterms:W3CDTF">2023-12-04T13:30:00Z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