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D5BB50" w14:textId="145D5BCA" w:rsidR="00020441" w:rsidRPr="00061307" w:rsidRDefault="00020441" w:rsidP="00162479">
      <w:pPr>
        <w:pStyle w:val="TDC1"/>
      </w:pPr>
    </w:p>
    <w:p w14:paraId="677FAE72" w14:textId="77777777" w:rsidR="00020441" w:rsidRPr="00061307" w:rsidRDefault="00020441">
      <w:pPr>
        <w:rPr>
          <w:spacing w:val="-5"/>
        </w:rPr>
      </w:pPr>
    </w:p>
    <w:p w14:paraId="28544912" w14:textId="6DABBE6B" w:rsidR="00020441" w:rsidRPr="00061307" w:rsidRDefault="003A1CB1">
      <w:pPr>
        <w:rPr>
          <w:spacing w:val="-5"/>
        </w:rPr>
      </w:pPr>
      <w:r w:rsidRPr="00061307">
        <w:rPr>
          <w:noProof/>
          <w:spacing w:val="-5"/>
          <w:sz w:val="20"/>
          <w:lang w:val="en-US" w:eastAsia="en-US"/>
        </w:rPr>
        <w:drawing>
          <wp:anchor distT="0" distB="0" distL="114300" distR="114300" simplePos="0" relativeHeight="251658240" behindDoc="0" locked="0" layoutInCell="1" allowOverlap="1" wp14:anchorId="698763D7" wp14:editId="205F1380">
            <wp:simplePos x="0" y="0"/>
            <wp:positionH relativeFrom="column">
              <wp:posOffset>1714500</wp:posOffset>
            </wp:positionH>
            <wp:positionV relativeFrom="paragraph">
              <wp:posOffset>215265</wp:posOffset>
            </wp:positionV>
            <wp:extent cx="2377440" cy="1092835"/>
            <wp:effectExtent l="0" t="0" r="0" b="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7440" cy="1092835"/>
                    </a:xfrm>
                    <a:prstGeom prst="rect">
                      <a:avLst/>
                    </a:prstGeom>
                    <a:noFill/>
                  </pic:spPr>
                </pic:pic>
              </a:graphicData>
            </a:graphic>
            <wp14:sizeRelH relativeFrom="page">
              <wp14:pctWidth>0</wp14:pctWidth>
            </wp14:sizeRelH>
            <wp14:sizeRelV relativeFrom="page">
              <wp14:pctHeight>0</wp14:pctHeight>
            </wp14:sizeRelV>
          </wp:anchor>
        </w:drawing>
      </w:r>
    </w:p>
    <w:p w14:paraId="28F60225" w14:textId="77777777" w:rsidR="00020441" w:rsidRPr="00061307" w:rsidRDefault="00020441" w:rsidP="00162479">
      <w:pPr>
        <w:pStyle w:val="TDC1"/>
      </w:pPr>
    </w:p>
    <w:p w14:paraId="71D3456C" w14:textId="77777777" w:rsidR="00020441" w:rsidRPr="00061307" w:rsidRDefault="00020441">
      <w:pPr>
        <w:rPr>
          <w:spacing w:val="-5"/>
        </w:rPr>
      </w:pPr>
    </w:p>
    <w:p w14:paraId="2084A1BD" w14:textId="77777777" w:rsidR="00362784" w:rsidRDefault="00362784">
      <w:pPr>
        <w:rPr>
          <w:spacing w:val="-5"/>
        </w:rPr>
      </w:pPr>
    </w:p>
    <w:p w14:paraId="24A58751" w14:textId="77777777" w:rsidR="00362784" w:rsidRDefault="00362784">
      <w:pPr>
        <w:rPr>
          <w:spacing w:val="-5"/>
        </w:rPr>
      </w:pPr>
    </w:p>
    <w:p w14:paraId="1A732935" w14:textId="2337237D" w:rsidR="00020441" w:rsidRPr="00061307" w:rsidRDefault="00C85F0B" w:rsidP="00E32035">
      <w:pPr>
        <w:pStyle w:val="Textoindependiente"/>
        <w:rPr>
          <w:bCs/>
          <w:spacing w:val="-5"/>
          <w:sz w:val="32"/>
        </w:rPr>
      </w:pPr>
      <w:bookmarkStart w:id="0" w:name="_Hlk43392427"/>
      <w:r>
        <w:rPr>
          <w:spacing w:val="-5"/>
          <w:sz w:val="40"/>
        </w:rPr>
        <w:t>RECUPERACIÓN</w:t>
      </w:r>
      <w:r w:rsidR="00E140C3">
        <w:rPr>
          <w:spacing w:val="-5"/>
          <w:sz w:val="40"/>
        </w:rPr>
        <w:t xml:space="preserve"> DE LOS SALDOS </w:t>
      </w:r>
      <w:r w:rsidR="00261DFB">
        <w:rPr>
          <w:spacing w:val="-5"/>
          <w:sz w:val="40"/>
        </w:rPr>
        <w:t xml:space="preserve">ACUMULADOS </w:t>
      </w:r>
      <w:r w:rsidR="00E140C3">
        <w:rPr>
          <w:spacing w:val="-5"/>
          <w:sz w:val="40"/>
        </w:rPr>
        <w:t xml:space="preserve">DE LA </w:t>
      </w:r>
      <w:r w:rsidR="00577356">
        <w:rPr>
          <w:spacing w:val="-5"/>
          <w:sz w:val="40"/>
        </w:rPr>
        <w:t xml:space="preserve">OPCIÓN TARIFARIA EN ENERGÍA </w:t>
      </w:r>
      <w:r w:rsidR="002C4AFC">
        <w:rPr>
          <w:spacing w:val="-5"/>
          <w:sz w:val="40"/>
        </w:rPr>
        <w:t>ELÉCTRICA</w:t>
      </w:r>
    </w:p>
    <w:bookmarkEnd w:id="0"/>
    <w:p w14:paraId="4F0094BE" w14:textId="77777777" w:rsidR="00020441" w:rsidRPr="00061307" w:rsidRDefault="00020441" w:rsidP="00162479">
      <w:pPr>
        <w:pStyle w:val="TDC1"/>
      </w:pPr>
    </w:p>
    <w:p w14:paraId="64572998" w14:textId="77777777" w:rsidR="00020441" w:rsidRPr="00061307" w:rsidRDefault="00020441">
      <w:pPr>
        <w:rPr>
          <w:spacing w:val="-5"/>
        </w:rPr>
      </w:pPr>
    </w:p>
    <w:p w14:paraId="7EE38D9F" w14:textId="77777777" w:rsidR="00020441" w:rsidRPr="00061307" w:rsidRDefault="00020441">
      <w:pPr>
        <w:rPr>
          <w:spacing w:val="-5"/>
        </w:rPr>
      </w:pPr>
    </w:p>
    <w:p w14:paraId="7ABD120E" w14:textId="77777777" w:rsidR="00020441" w:rsidRPr="00061307" w:rsidRDefault="00020441">
      <w:pPr>
        <w:rPr>
          <w:spacing w:val="-5"/>
        </w:rPr>
      </w:pPr>
    </w:p>
    <w:p w14:paraId="724FDBBD" w14:textId="77777777" w:rsidR="00FF6485" w:rsidRDefault="00FF6485">
      <w:pPr>
        <w:rPr>
          <w:spacing w:val="-5"/>
        </w:rPr>
      </w:pPr>
    </w:p>
    <w:p w14:paraId="426AA8AF" w14:textId="00FE8A6C" w:rsidR="00020441" w:rsidRPr="00061307" w:rsidRDefault="006A69BF">
      <w:pPr>
        <w:rPr>
          <w:spacing w:val="-5"/>
        </w:rPr>
      </w:pPr>
      <w:r>
        <w:rPr>
          <w:spacing w:val="-5"/>
        </w:rPr>
        <w:tab/>
      </w:r>
    </w:p>
    <w:p w14:paraId="10D61652" w14:textId="77777777" w:rsidR="00020441" w:rsidRPr="00061307" w:rsidRDefault="00020441">
      <w:pPr>
        <w:rPr>
          <w:spacing w:val="-5"/>
        </w:rPr>
      </w:pPr>
    </w:p>
    <w:p w14:paraId="00230BFA" w14:textId="252B5C50" w:rsidR="00020441" w:rsidRPr="001424E5" w:rsidRDefault="00020441">
      <w:pPr>
        <w:rPr>
          <w:b/>
          <w:caps/>
          <w:spacing w:val="-5"/>
          <w:sz w:val="36"/>
        </w:rPr>
      </w:pPr>
      <w:r w:rsidRPr="001424E5">
        <w:rPr>
          <w:b/>
          <w:caps/>
          <w:spacing w:val="-5"/>
          <w:sz w:val="28"/>
        </w:rPr>
        <w:t xml:space="preserve">DOCUMENTO </w:t>
      </w:r>
      <w:r w:rsidRPr="00EA736B">
        <w:rPr>
          <w:b/>
          <w:caps/>
          <w:spacing w:val="-5"/>
          <w:sz w:val="40"/>
        </w:rPr>
        <w:t>CREG</w:t>
      </w:r>
      <w:r w:rsidR="002D3811">
        <w:rPr>
          <w:b/>
          <w:caps/>
          <w:spacing w:val="-5"/>
          <w:sz w:val="40"/>
        </w:rPr>
        <w:t xml:space="preserve"> </w:t>
      </w:r>
      <w:r w:rsidR="00E140C3">
        <w:rPr>
          <w:b/>
          <w:caps/>
          <w:spacing w:val="-5"/>
          <w:sz w:val="40"/>
        </w:rPr>
        <w:t>901</w:t>
      </w:r>
      <w:r w:rsidR="002D3811">
        <w:rPr>
          <w:b/>
          <w:caps/>
          <w:spacing w:val="-5"/>
          <w:sz w:val="40"/>
        </w:rPr>
        <w:t xml:space="preserve"> </w:t>
      </w:r>
      <w:r w:rsidR="00E140C3">
        <w:rPr>
          <w:b/>
          <w:caps/>
          <w:spacing w:val="-5"/>
          <w:sz w:val="40"/>
        </w:rPr>
        <w:t>037</w:t>
      </w:r>
    </w:p>
    <w:p w14:paraId="6A5B6FDB" w14:textId="17DBD733" w:rsidR="002D3811" w:rsidRDefault="0046755B">
      <w:pPr>
        <w:tabs>
          <w:tab w:val="left" w:pos="9142"/>
        </w:tabs>
        <w:jc w:val="left"/>
        <w:rPr>
          <w:b/>
          <w:caps/>
          <w:spacing w:val="-5"/>
          <w:sz w:val="28"/>
        </w:rPr>
      </w:pPr>
      <w:r>
        <w:rPr>
          <w:b/>
          <w:caps/>
          <w:spacing w:val="-5"/>
          <w:sz w:val="28"/>
        </w:rPr>
        <w:t>2</w:t>
      </w:r>
      <w:r w:rsidR="00987EDC">
        <w:rPr>
          <w:b/>
          <w:caps/>
          <w:spacing w:val="-5"/>
          <w:sz w:val="28"/>
        </w:rPr>
        <w:t>4</w:t>
      </w:r>
      <w:r w:rsidR="002D3811">
        <w:rPr>
          <w:b/>
          <w:caps/>
          <w:spacing w:val="-5"/>
          <w:sz w:val="28"/>
        </w:rPr>
        <w:t xml:space="preserve"> de noviembre de </w:t>
      </w:r>
      <w:r w:rsidR="00F91CED" w:rsidRPr="001424E5">
        <w:rPr>
          <w:b/>
          <w:caps/>
          <w:spacing w:val="-5"/>
          <w:sz w:val="28"/>
        </w:rPr>
        <w:t>2</w:t>
      </w:r>
      <w:r w:rsidR="002D3811">
        <w:rPr>
          <w:b/>
          <w:caps/>
          <w:spacing w:val="-5"/>
          <w:sz w:val="28"/>
        </w:rPr>
        <w:t>02</w:t>
      </w:r>
      <w:r w:rsidR="00A00277">
        <w:rPr>
          <w:b/>
          <w:caps/>
          <w:spacing w:val="-5"/>
          <w:sz w:val="28"/>
        </w:rPr>
        <w:t>3</w:t>
      </w:r>
    </w:p>
    <w:p w14:paraId="1BF4E187" w14:textId="77777777" w:rsidR="002D3811" w:rsidRDefault="002D3811" w:rsidP="002D3811">
      <w:pPr>
        <w:tabs>
          <w:tab w:val="left" w:pos="9142"/>
        </w:tabs>
        <w:jc w:val="right"/>
        <w:rPr>
          <w:b/>
          <w:caps/>
          <w:spacing w:val="-5"/>
          <w:sz w:val="28"/>
        </w:rPr>
      </w:pPr>
    </w:p>
    <w:p w14:paraId="0D5CC579" w14:textId="5FCAB775" w:rsidR="002D3811" w:rsidRPr="002D3811" w:rsidRDefault="002D3811" w:rsidP="002D3811">
      <w:pPr>
        <w:tabs>
          <w:tab w:val="left" w:pos="9142"/>
        </w:tabs>
        <w:jc w:val="left"/>
        <w:rPr>
          <w:b/>
          <w:caps/>
          <w:spacing w:val="-5"/>
          <w:sz w:val="20"/>
        </w:rPr>
      </w:pPr>
      <w:r>
        <w:rPr>
          <w:b/>
          <w:caps/>
          <w:spacing w:val="-5"/>
          <w:sz w:val="20"/>
        </w:rPr>
        <w:t xml:space="preserve">                                                                                                                        </w:t>
      </w:r>
      <w:r w:rsidRPr="002D3811">
        <w:rPr>
          <w:b/>
          <w:caps/>
          <w:spacing w:val="-5"/>
          <w:sz w:val="20"/>
        </w:rPr>
        <w:t>CIRCULACIÓN:</w:t>
      </w:r>
    </w:p>
    <w:p w14:paraId="53E5A442" w14:textId="77777777" w:rsidR="002D3811" w:rsidRDefault="002D3811" w:rsidP="002D3811">
      <w:pPr>
        <w:tabs>
          <w:tab w:val="left" w:pos="9142"/>
        </w:tabs>
        <w:jc w:val="right"/>
        <w:rPr>
          <w:b/>
          <w:caps/>
          <w:spacing w:val="-5"/>
          <w:sz w:val="20"/>
        </w:rPr>
      </w:pPr>
      <w:r w:rsidRPr="002D3811">
        <w:rPr>
          <w:b/>
          <w:caps/>
          <w:spacing w:val="-5"/>
          <w:sz w:val="20"/>
        </w:rPr>
        <w:t xml:space="preserve">MIEMBROS DE LA COMISIÓN </w:t>
      </w:r>
    </w:p>
    <w:p w14:paraId="00503554" w14:textId="29E5DB72" w:rsidR="002D3811" w:rsidRPr="002D3811" w:rsidRDefault="002D3811" w:rsidP="002D3811">
      <w:pPr>
        <w:tabs>
          <w:tab w:val="left" w:pos="9142"/>
        </w:tabs>
        <w:jc w:val="center"/>
        <w:rPr>
          <w:b/>
          <w:caps/>
          <w:spacing w:val="-5"/>
          <w:sz w:val="20"/>
        </w:rPr>
      </w:pPr>
      <w:r>
        <w:rPr>
          <w:b/>
          <w:caps/>
          <w:spacing w:val="-5"/>
          <w:sz w:val="20"/>
        </w:rPr>
        <w:t xml:space="preserve">                                                                                                          </w:t>
      </w:r>
      <w:r w:rsidRPr="002D3811">
        <w:rPr>
          <w:b/>
          <w:caps/>
          <w:spacing w:val="-5"/>
          <w:sz w:val="20"/>
        </w:rPr>
        <w:t>DE REGULACIÓN DE</w:t>
      </w:r>
    </w:p>
    <w:p w14:paraId="3E44546D" w14:textId="1FC80C1E" w:rsidR="002D3811" w:rsidRPr="002D3811" w:rsidRDefault="002D3811" w:rsidP="002D3811">
      <w:pPr>
        <w:tabs>
          <w:tab w:val="left" w:pos="9142"/>
        </w:tabs>
        <w:jc w:val="center"/>
        <w:rPr>
          <w:b/>
          <w:caps/>
          <w:spacing w:val="-5"/>
          <w:sz w:val="20"/>
        </w:rPr>
      </w:pPr>
      <w:r>
        <w:rPr>
          <w:b/>
          <w:caps/>
          <w:spacing w:val="-5"/>
          <w:sz w:val="20"/>
        </w:rPr>
        <w:t xml:space="preserve">                                                                                                  </w:t>
      </w:r>
      <w:r w:rsidRPr="002D3811">
        <w:rPr>
          <w:b/>
          <w:caps/>
          <w:spacing w:val="-5"/>
          <w:sz w:val="20"/>
        </w:rPr>
        <w:t>ENERGÍA Y GAS</w:t>
      </w:r>
    </w:p>
    <w:p w14:paraId="4BB1DD7B" w14:textId="77777777" w:rsidR="002D3811" w:rsidRDefault="002D3811">
      <w:pPr>
        <w:tabs>
          <w:tab w:val="left" w:pos="9142"/>
        </w:tabs>
        <w:jc w:val="left"/>
        <w:rPr>
          <w:b/>
          <w:caps/>
          <w:spacing w:val="-5"/>
          <w:sz w:val="28"/>
        </w:rPr>
      </w:pPr>
    </w:p>
    <w:p w14:paraId="3AA4A2DF" w14:textId="77777777" w:rsidR="002D3811" w:rsidRPr="002D3811" w:rsidRDefault="002D3811">
      <w:pPr>
        <w:tabs>
          <w:tab w:val="left" w:pos="9142"/>
        </w:tabs>
        <w:jc w:val="left"/>
        <w:rPr>
          <w:b/>
          <w:caps/>
          <w:spacing w:val="-5"/>
          <w:sz w:val="28"/>
        </w:rPr>
      </w:pPr>
    </w:p>
    <w:p w14:paraId="1FDF46E3" w14:textId="77777777" w:rsidR="00020441" w:rsidRDefault="00020441" w:rsidP="00162479">
      <w:pPr>
        <w:pStyle w:val="TDC1"/>
      </w:pPr>
      <w:r w:rsidRPr="00061307">
        <w:tab/>
      </w:r>
    </w:p>
    <w:p w14:paraId="4D3F3659" w14:textId="77777777" w:rsidR="002D3811" w:rsidRPr="002D3811" w:rsidRDefault="002D3811" w:rsidP="002D3811"/>
    <w:sdt>
      <w:sdtPr>
        <w:rPr>
          <w:rFonts w:ascii="Arial" w:hAnsi="Arial"/>
          <w:color w:val="auto"/>
          <w:spacing w:val="-5"/>
          <w:sz w:val="24"/>
          <w:szCs w:val="20"/>
          <w:lang w:val="es-ES" w:eastAsia="es-ES"/>
        </w:rPr>
        <w:id w:val="1793015304"/>
        <w:docPartObj>
          <w:docPartGallery w:val="Table of Contents"/>
          <w:docPartUnique/>
        </w:docPartObj>
      </w:sdtPr>
      <w:sdtEndPr>
        <w:rPr>
          <w:b/>
          <w:bCs/>
          <w:sz w:val="22"/>
          <w:lang w:val="es-CO" w:eastAsia="es-CO"/>
        </w:rPr>
      </w:sdtEndPr>
      <w:sdtContent>
        <w:p w14:paraId="2374582E" w14:textId="0D833377" w:rsidR="00F7753C" w:rsidRPr="001424E5" w:rsidRDefault="00530DD2" w:rsidP="00932A50">
          <w:pPr>
            <w:pStyle w:val="TtuloTDC"/>
            <w:numPr>
              <w:ilvl w:val="0"/>
              <w:numId w:val="0"/>
            </w:numPr>
            <w:jc w:val="center"/>
            <w:rPr>
              <w:rFonts w:ascii="Arial" w:hAnsi="Arial" w:cs="Arial"/>
              <w:bCs/>
              <w:color w:val="auto"/>
              <w:spacing w:val="-5"/>
              <w:sz w:val="24"/>
              <w:szCs w:val="24"/>
              <w:lang w:val="es-ES"/>
            </w:rPr>
          </w:pPr>
          <w:r w:rsidRPr="008E7F2F">
            <w:rPr>
              <w:rFonts w:ascii="Arial" w:hAnsi="Arial" w:cs="Arial"/>
              <w:b/>
              <w:color w:val="auto"/>
              <w:spacing w:val="-5"/>
              <w:sz w:val="24"/>
              <w:szCs w:val="24"/>
              <w:lang w:val="es-ES"/>
            </w:rPr>
            <w:t>TABLA DE CONTENIDO</w:t>
          </w:r>
        </w:p>
        <w:p w14:paraId="39031D24" w14:textId="77777777" w:rsidR="009A225F" w:rsidRPr="00473CB4" w:rsidRDefault="009A225F" w:rsidP="009D5B37">
          <w:pPr>
            <w:rPr>
              <w:spacing w:val="-5"/>
            </w:rPr>
          </w:pPr>
        </w:p>
        <w:p w14:paraId="61E64E60" w14:textId="400AD8B5" w:rsidR="00610873" w:rsidRDefault="009A225F">
          <w:pPr>
            <w:pStyle w:val="TDC1"/>
            <w:rPr>
              <w:rFonts w:asciiTheme="minorHAnsi" w:eastAsiaTheme="minorEastAsia" w:hAnsiTheme="minorHAnsi" w:cstheme="minorBidi"/>
              <w:kern w:val="2"/>
              <w:szCs w:val="22"/>
              <w14:ligatures w14:val="standardContextual"/>
            </w:rPr>
          </w:pPr>
          <w:r w:rsidRPr="00473CB4">
            <w:rPr>
              <w:spacing w:val="-5"/>
            </w:rPr>
            <w:fldChar w:fldCharType="begin"/>
          </w:r>
          <w:r w:rsidRPr="0092467F">
            <w:rPr>
              <w:spacing w:val="-5"/>
            </w:rPr>
            <w:instrText xml:space="preserve"> TOC \o "1-3" \h \z \u </w:instrText>
          </w:r>
          <w:r w:rsidRPr="00473CB4">
            <w:rPr>
              <w:spacing w:val="-5"/>
            </w:rPr>
            <w:fldChar w:fldCharType="separate"/>
          </w:r>
          <w:hyperlink w:anchor="_Toc152921844" w:history="1">
            <w:r w:rsidR="00610873" w:rsidRPr="0012291B">
              <w:rPr>
                <w:rStyle w:val="Hipervnculo"/>
              </w:rPr>
              <w:t>1</w:t>
            </w:r>
            <w:r w:rsidR="00610873">
              <w:rPr>
                <w:rFonts w:asciiTheme="minorHAnsi" w:eastAsiaTheme="minorEastAsia" w:hAnsiTheme="minorHAnsi" w:cstheme="minorBidi"/>
                <w:kern w:val="2"/>
                <w:szCs w:val="22"/>
                <w14:ligatures w14:val="standardContextual"/>
              </w:rPr>
              <w:tab/>
            </w:r>
            <w:r w:rsidR="00610873" w:rsidRPr="0012291B">
              <w:rPr>
                <w:rStyle w:val="Hipervnculo"/>
              </w:rPr>
              <w:t>INTRODUCCIÓN Y ANTECEDENTES</w:t>
            </w:r>
            <w:r w:rsidR="00610873">
              <w:rPr>
                <w:webHidden/>
              </w:rPr>
              <w:tab/>
            </w:r>
            <w:r w:rsidR="00610873">
              <w:rPr>
                <w:webHidden/>
              </w:rPr>
              <w:fldChar w:fldCharType="begin"/>
            </w:r>
            <w:r w:rsidR="00610873">
              <w:rPr>
                <w:webHidden/>
              </w:rPr>
              <w:instrText xml:space="preserve"> PAGEREF _Toc152921844 \h </w:instrText>
            </w:r>
            <w:r w:rsidR="00610873">
              <w:rPr>
                <w:webHidden/>
              </w:rPr>
            </w:r>
            <w:r w:rsidR="00610873">
              <w:rPr>
                <w:webHidden/>
              </w:rPr>
              <w:fldChar w:fldCharType="separate"/>
            </w:r>
            <w:r w:rsidR="00610873">
              <w:rPr>
                <w:webHidden/>
              </w:rPr>
              <w:t>4</w:t>
            </w:r>
            <w:r w:rsidR="00610873">
              <w:rPr>
                <w:webHidden/>
              </w:rPr>
              <w:fldChar w:fldCharType="end"/>
            </w:r>
          </w:hyperlink>
        </w:p>
        <w:p w14:paraId="5B59AD63" w14:textId="73B31CCE" w:rsidR="00610873" w:rsidRDefault="002D3811">
          <w:pPr>
            <w:pStyle w:val="TDC2"/>
            <w:rPr>
              <w:rFonts w:asciiTheme="minorHAnsi" w:eastAsiaTheme="minorEastAsia" w:hAnsiTheme="minorHAnsi" w:cstheme="minorBidi"/>
              <w:kern w:val="2"/>
              <w:szCs w:val="22"/>
              <w14:ligatures w14:val="standardContextual"/>
            </w:rPr>
          </w:pPr>
          <w:hyperlink w:anchor="_Toc152921845" w:history="1">
            <w:r w:rsidR="00610873" w:rsidRPr="0012291B">
              <w:rPr>
                <w:rStyle w:val="Hipervnculo"/>
              </w:rPr>
              <w:t>1.1</w:t>
            </w:r>
            <w:r w:rsidR="00610873">
              <w:rPr>
                <w:rFonts w:asciiTheme="minorHAnsi" w:eastAsiaTheme="minorEastAsia" w:hAnsiTheme="minorHAnsi" w:cstheme="minorBidi"/>
                <w:kern w:val="2"/>
                <w:szCs w:val="22"/>
                <w14:ligatures w14:val="standardContextual"/>
              </w:rPr>
              <w:tab/>
            </w:r>
            <w:r w:rsidR="00610873" w:rsidRPr="0012291B">
              <w:rPr>
                <w:rStyle w:val="Hipervnculo"/>
              </w:rPr>
              <w:t>Antecedentes legales</w:t>
            </w:r>
            <w:r w:rsidR="00610873">
              <w:rPr>
                <w:webHidden/>
              </w:rPr>
              <w:tab/>
            </w:r>
            <w:r w:rsidR="00610873">
              <w:rPr>
                <w:webHidden/>
              </w:rPr>
              <w:fldChar w:fldCharType="begin"/>
            </w:r>
            <w:r w:rsidR="00610873">
              <w:rPr>
                <w:webHidden/>
              </w:rPr>
              <w:instrText xml:space="preserve"> PAGEREF _Toc152921845 \h </w:instrText>
            </w:r>
            <w:r w:rsidR="00610873">
              <w:rPr>
                <w:webHidden/>
              </w:rPr>
            </w:r>
            <w:r w:rsidR="00610873">
              <w:rPr>
                <w:webHidden/>
              </w:rPr>
              <w:fldChar w:fldCharType="separate"/>
            </w:r>
            <w:r w:rsidR="00610873">
              <w:rPr>
                <w:webHidden/>
              </w:rPr>
              <w:t>7</w:t>
            </w:r>
            <w:r w:rsidR="00610873">
              <w:rPr>
                <w:webHidden/>
              </w:rPr>
              <w:fldChar w:fldCharType="end"/>
            </w:r>
          </w:hyperlink>
        </w:p>
        <w:p w14:paraId="1A5D9A1D" w14:textId="6836CA61" w:rsidR="00610873" w:rsidRDefault="002D3811">
          <w:pPr>
            <w:pStyle w:val="TDC2"/>
            <w:rPr>
              <w:rFonts w:asciiTheme="minorHAnsi" w:eastAsiaTheme="minorEastAsia" w:hAnsiTheme="minorHAnsi" w:cstheme="minorBidi"/>
              <w:kern w:val="2"/>
              <w:szCs w:val="22"/>
              <w14:ligatures w14:val="standardContextual"/>
            </w:rPr>
          </w:pPr>
          <w:hyperlink w:anchor="_Toc152921846" w:history="1">
            <w:r w:rsidR="00610873" w:rsidRPr="0012291B">
              <w:rPr>
                <w:rStyle w:val="Hipervnculo"/>
              </w:rPr>
              <w:t>1.2</w:t>
            </w:r>
            <w:r w:rsidR="00610873">
              <w:rPr>
                <w:rFonts w:asciiTheme="minorHAnsi" w:eastAsiaTheme="minorEastAsia" w:hAnsiTheme="minorHAnsi" w:cstheme="minorBidi"/>
                <w:kern w:val="2"/>
                <w:szCs w:val="22"/>
                <w14:ligatures w14:val="standardContextual"/>
              </w:rPr>
              <w:tab/>
            </w:r>
            <w:r w:rsidR="00610873" w:rsidRPr="0012291B">
              <w:rPr>
                <w:rStyle w:val="Hipervnculo"/>
              </w:rPr>
              <w:t>Definición y aplicación de la opción tarifaria actual</w:t>
            </w:r>
            <w:r w:rsidR="00610873">
              <w:rPr>
                <w:webHidden/>
              </w:rPr>
              <w:tab/>
            </w:r>
            <w:r w:rsidR="00610873">
              <w:rPr>
                <w:webHidden/>
              </w:rPr>
              <w:fldChar w:fldCharType="begin"/>
            </w:r>
            <w:r w:rsidR="00610873">
              <w:rPr>
                <w:webHidden/>
              </w:rPr>
              <w:instrText xml:space="preserve"> PAGEREF _Toc152921846 \h </w:instrText>
            </w:r>
            <w:r w:rsidR="00610873">
              <w:rPr>
                <w:webHidden/>
              </w:rPr>
            </w:r>
            <w:r w:rsidR="00610873">
              <w:rPr>
                <w:webHidden/>
              </w:rPr>
              <w:fldChar w:fldCharType="separate"/>
            </w:r>
            <w:r w:rsidR="00610873">
              <w:rPr>
                <w:webHidden/>
              </w:rPr>
              <w:t>7</w:t>
            </w:r>
            <w:r w:rsidR="00610873">
              <w:rPr>
                <w:webHidden/>
              </w:rPr>
              <w:fldChar w:fldCharType="end"/>
            </w:r>
          </w:hyperlink>
        </w:p>
        <w:p w14:paraId="13EE1AA3" w14:textId="3B81D0F8" w:rsidR="00610873" w:rsidRDefault="002D3811">
          <w:pPr>
            <w:pStyle w:val="TDC3"/>
            <w:rPr>
              <w:rFonts w:asciiTheme="minorHAnsi" w:eastAsiaTheme="minorEastAsia" w:hAnsiTheme="minorHAnsi" w:cstheme="minorBidi"/>
              <w:noProof/>
              <w:kern w:val="2"/>
              <w:szCs w:val="22"/>
              <w14:ligatures w14:val="standardContextual"/>
            </w:rPr>
          </w:pPr>
          <w:hyperlink w:anchor="_Toc152921847" w:history="1">
            <w:r w:rsidR="00610873" w:rsidRPr="0012291B">
              <w:rPr>
                <w:rStyle w:val="Hipervnculo"/>
                <w:noProof/>
              </w:rPr>
              <w:t>1.2.1</w:t>
            </w:r>
            <w:r w:rsidR="00610873">
              <w:rPr>
                <w:rFonts w:asciiTheme="minorHAnsi" w:eastAsiaTheme="minorEastAsia" w:hAnsiTheme="minorHAnsi" w:cstheme="minorBidi"/>
                <w:noProof/>
                <w:kern w:val="2"/>
                <w:szCs w:val="22"/>
                <w14:ligatures w14:val="standardContextual"/>
              </w:rPr>
              <w:tab/>
            </w:r>
            <w:r w:rsidR="00610873" w:rsidRPr="0012291B">
              <w:rPr>
                <w:rStyle w:val="Hipervnculo"/>
                <w:noProof/>
              </w:rPr>
              <w:t>Contexto jurídico</w:t>
            </w:r>
            <w:r w:rsidR="00610873">
              <w:rPr>
                <w:noProof/>
                <w:webHidden/>
              </w:rPr>
              <w:tab/>
            </w:r>
            <w:r w:rsidR="00610873">
              <w:rPr>
                <w:noProof/>
                <w:webHidden/>
              </w:rPr>
              <w:fldChar w:fldCharType="begin"/>
            </w:r>
            <w:r w:rsidR="00610873">
              <w:rPr>
                <w:noProof/>
                <w:webHidden/>
              </w:rPr>
              <w:instrText xml:space="preserve"> PAGEREF _Toc152921847 \h </w:instrText>
            </w:r>
            <w:r w:rsidR="00610873">
              <w:rPr>
                <w:noProof/>
                <w:webHidden/>
              </w:rPr>
            </w:r>
            <w:r w:rsidR="00610873">
              <w:rPr>
                <w:noProof/>
                <w:webHidden/>
              </w:rPr>
              <w:fldChar w:fldCharType="separate"/>
            </w:r>
            <w:r w:rsidR="00610873">
              <w:rPr>
                <w:noProof/>
                <w:webHidden/>
              </w:rPr>
              <w:t>8</w:t>
            </w:r>
            <w:r w:rsidR="00610873">
              <w:rPr>
                <w:noProof/>
                <w:webHidden/>
              </w:rPr>
              <w:fldChar w:fldCharType="end"/>
            </w:r>
          </w:hyperlink>
        </w:p>
        <w:p w14:paraId="3080995C" w14:textId="0485BA6D" w:rsidR="00610873" w:rsidRDefault="002D3811">
          <w:pPr>
            <w:pStyle w:val="TDC2"/>
            <w:rPr>
              <w:rFonts w:asciiTheme="minorHAnsi" w:eastAsiaTheme="minorEastAsia" w:hAnsiTheme="minorHAnsi" w:cstheme="minorBidi"/>
              <w:kern w:val="2"/>
              <w:szCs w:val="22"/>
              <w14:ligatures w14:val="standardContextual"/>
            </w:rPr>
          </w:pPr>
          <w:hyperlink w:anchor="_Toc152921848" w:history="1">
            <w:r w:rsidR="00610873" w:rsidRPr="0012291B">
              <w:rPr>
                <w:rStyle w:val="Hipervnculo"/>
              </w:rPr>
              <w:t>1.3</w:t>
            </w:r>
            <w:r w:rsidR="00610873">
              <w:rPr>
                <w:rFonts w:asciiTheme="minorHAnsi" w:eastAsiaTheme="minorEastAsia" w:hAnsiTheme="minorHAnsi" w:cstheme="minorBidi"/>
                <w:kern w:val="2"/>
                <w:szCs w:val="22"/>
                <w14:ligatures w14:val="standardContextual"/>
              </w:rPr>
              <w:tab/>
            </w:r>
            <w:r w:rsidR="00610873" w:rsidRPr="0012291B">
              <w:rPr>
                <w:rStyle w:val="Hipervnculo"/>
              </w:rPr>
              <w:t>Situaciones presentadas</w:t>
            </w:r>
            <w:r w:rsidR="00610873">
              <w:rPr>
                <w:webHidden/>
              </w:rPr>
              <w:tab/>
            </w:r>
            <w:r w:rsidR="00610873">
              <w:rPr>
                <w:webHidden/>
              </w:rPr>
              <w:fldChar w:fldCharType="begin"/>
            </w:r>
            <w:r w:rsidR="00610873">
              <w:rPr>
                <w:webHidden/>
              </w:rPr>
              <w:instrText xml:space="preserve"> PAGEREF _Toc152921848 \h </w:instrText>
            </w:r>
            <w:r w:rsidR="00610873">
              <w:rPr>
                <w:webHidden/>
              </w:rPr>
            </w:r>
            <w:r w:rsidR="00610873">
              <w:rPr>
                <w:webHidden/>
              </w:rPr>
              <w:fldChar w:fldCharType="separate"/>
            </w:r>
            <w:r w:rsidR="00610873">
              <w:rPr>
                <w:webHidden/>
              </w:rPr>
              <w:t>12</w:t>
            </w:r>
            <w:r w:rsidR="00610873">
              <w:rPr>
                <w:webHidden/>
              </w:rPr>
              <w:fldChar w:fldCharType="end"/>
            </w:r>
          </w:hyperlink>
        </w:p>
        <w:p w14:paraId="50883676" w14:textId="63DC23B8" w:rsidR="00610873" w:rsidRDefault="002D3811">
          <w:pPr>
            <w:pStyle w:val="TDC3"/>
            <w:rPr>
              <w:rFonts w:asciiTheme="minorHAnsi" w:eastAsiaTheme="minorEastAsia" w:hAnsiTheme="minorHAnsi" w:cstheme="minorBidi"/>
              <w:noProof/>
              <w:kern w:val="2"/>
              <w:szCs w:val="22"/>
              <w14:ligatures w14:val="standardContextual"/>
            </w:rPr>
          </w:pPr>
          <w:hyperlink w:anchor="_Toc152921849" w:history="1">
            <w:r w:rsidR="00610873" w:rsidRPr="0012291B">
              <w:rPr>
                <w:rStyle w:val="Hipervnculo"/>
                <w:noProof/>
              </w:rPr>
              <w:t>1.3.1</w:t>
            </w:r>
            <w:r w:rsidR="00610873">
              <w:rPr>
                <w:rFonts w:asciiTheme="minorHAnsi" w:eastAsiaTheme="minorEastAsia" w:hAnsiTheme="minorHAnsi" w:cstheme="minorBidi"/>
                <w:noProof/>
                <w:kern w:val="2"/>
                <w:szCs w:val="22"/>
                <w14:ligatures w14:val="standardContextual"/>
              </w:rPr>
              <w:tab/>
            </w:r>
            <w:r w:rsidR="00610873" w:rsidRPr="0012291B">
              <w:rPr>
                <w:rStyle w:val="Hipervnculo"/>
                <w:noProof/>
              </w:rPr>
              <w:t>COVID – 19</w:t>
            </w:r>
            <w:r w:rsidR="00610873">
              <w:rPr>
                <w:noProof/>
                <w:webHidden/>
              </w:rPr>
              <w:tab/>
            </w:r>
            <w:r w:rsidR="00610873">
              <w:rPr>
                <w:noProof/>
                <w:webHidden/>
              </w:rPr>
              <w:fldChar w:fldCharType="begin"/>
            </w:r>
            <w:r w:rsidR="00610873">
              <w:rPr>
                <w:noProof/>
                <w:webHidden/>
              </w:rPr>
              <w:instrText xml:space="preserve"> PAGEREF _Toc152921849 \h </w:instrText>
            </w:r>
            <w:r w:rsidR="00610873">
              <w:rPr>
                <w:noProof/>
                <w:webHidden/>
              </w:rPr>
            </w:r>
            <w:r w:rsidR="00610873">
              <w:rPr>
                <w:noProof/>
                <w:webHidden/>
              </w:rPr>
              <w:fldChar w:fldCharType="separate"/>
            </w:r>
            <w:r w:rsidR="00610873">
              <w:rPr>
                <w:noProof/>
                <w:webHidden/>
              </w:rPr>
              <w:t>12</w:t>
            </w:r>
            <w:r w:rsidR="00610873">
              <w:rPr>
                <w:noProof/>
                <w:webHidden/>
              </w:rPr>
              <w:fldChar w:fldCharType="end"/>
            </w:r>
          </w:hyperlink>
        </w:p>
        <w:p w14:paraId="149E371E" w14:textId="14B8E4D8" w:rsidR="00610873" w:rsidRDefault="002D3811">
          <w:pPr>
            <w:pStyle w:val="TDC3"/>
            <w:rPr>
              <w:rFonts w:asciiTheme="minorHAnsi" w:eastAsiaTheme="minorEastAsia" w:hAnsiTheme="minorHAnsi" w:cstheme="minorBidi"/>
              <w:noProof/>
              <w:kern w:val="2"/>
              <w:szCs w:val="22"/>
              <w14:ligatures w14:val="standardContextual"/>
            </w:rPr>
          </w:pPr>
          <w:hyperlink w:anchor="_Toc152921850" w:history="1">
            <w:r w:rsidR="00610873" w:rsidRPr="0012291B">
              <w:rPr>
                <w:rStyle w:val="Hipervnculo"/>
                <w:noProof/>
              </w:rPr>
              <w:t>1.3.2</w:t>
            </w:r>
            <w:r w:rsidR="00610873">
              <w:rPr>
                <w:rFonts w:asciiTheme="minorHAnsi" w:eastAsiaTheme="minorEastAsia" w:hAnsiTheme="minorHAnsi" w:cstheme="minorBidi"/>
                <w:noProof/>
                <w:kern w:val="2"/>
                <w:szCs w:val="22"/>
                <w14:ligatures w14:val="standardContextual"/>
              </w:rPr>
              <w:tab/>
            </w:r>
            <w:r w:rsidR="00610873" w:rsidRPr="0012291B">
              <w:rPr>
                <w:rStyle w:val="Hipervnculo"/>
                <w:noProof/>
              </w:rPr>
              <w:t>Comportamiento de los índices de precios</w:t>
            </w:r>
            <w:r w:rsidR="00610873">
              <w:rPr>
                <w:noProof/>
                <w:webHidden/>
              </w:rPr>
              <w:tab/>
            </w:r>
            <w:r w:rsidR="00610873">
              <w:rPr>
                <w:noProof/>
                <w:webHidden/>
              </w:rPr>
              <w:fldChar w:fldCharType="begin"/>
            </w:r>
            <w:r w:rsidR="00610873">
              <w:rPr>
                <w:noProof/>
                <w:webHidden/>
              </w:rPr>
              <w:instrText xml:space="preserve"> PAGEREF _Toc152921850 \h </w:instrText>
            </w:r>
            <w:r w:rsidR="00610873">
              <w:rPr>
                <w:noProof/>
                <w:webHidden/>
              </w:rPr>
            </w:r>
            <w:r w:rsidR="00610873">
              <w:rPr>
                <w:noProof/>
                <w:webHidden/>
              </w:rPr>
              <w:fldChar w:fldCharType="separate"/>
            </w:r>
            <w:r w:rsidR="00610873">
              <w:rPr>
                <w:noProof/>
                <w:webHidden/>
              </w:rPr>
              <w:t>12</w:t>
            </w:r>
            <w:r w:rsidR="00610873">
              <w:rPr>
                <w:noProof/>
                <w:webHidden/>
              </w:rPr>
              <w:fldChar w:fldCharType="end"/>
            </w:r>
          </w:hyperlink>
        </w:p>
        <w:p w14:paraId="14B5431B" w14:textId="06A447A8" w:rsidR="00610873" w:rsidRDefault="002D3811">
          <w:pPr>
            <w:pStyle w:val="TDC3"/>
            <w:rPr>
              <w:rFonts w:asciiTheme="minorHAnsi" w:eastAsiaTheme="minorEastAsia" w:hAnsiTheme="minorHAnsi" w:cstheme="minorBidi"/>
              <w:noProof/>
              <w:kern w:val="2"/>
              <w:szCs w:val="22"/>
              <w14:ligatures w14:val="standardContextual"/>
            </w:rPr>
          </w:pPr>
          <w:hyperlink w:anchor="_Toc152921851" w:history="1">
            <w:r w:rsidR="00610873" w:rsidRPr="0012291B">
              <w:rPr>
                <w:rStyle w:val="Hipervnculo"/>
                <w:noProof/>
              </w:rPr>
              <w:t>1.3.3</w:t>
            </w:r>
            <w:r w:rsidR="00610873">
              <w:rPr>
                <w:rFonts w:asciiTheme="minorHAnsi" w:eastAsiaTheme="minorEastAsia" w:hAnsiTheme="minorHAnsi" w:cstheme="minorBidi"/>
                <w:noProof/>
                <w:kern w:val="2"/>
                <w:szCs w:val="22"/>
                <w14:ligatures w14:val="standardContextual"/>
              </w:rPr>
              <w:tab/>
            </w:r>
            <w:r w:rsidR="00610873" w:rsidRPr="0012291B">
              <w:rPr>
                <w:rStyle w:val="Hipervnculo"/>
                <w:noProof/>
              </w:rPr>
              <w:t>Régimen transitorio especial para la región Caribe</w:t>
            </w:r>
            <w:r w:rsidR="00610873">
              <w:rPr>
                <w:noProof/>
                <w:webHidden/>
              </w:rPr>
              <w:tab/>
            </w:r>
            <w:r w:rsidR="00610873">
              <w:rPr>
                <w:noProof/>
                <w:webHidden/>
              </w:rPr>
              <w:fldChar w:fldCharType="begin"/>
            </w:r>
            <w:r w:rsidR="00610873">
              <w:rPr>
                <w:noProof/>
                <w:webHidden/>
              </w:rPr>
              <w:instrText xml:space="preserve"> PAGEREF _Toc152921851 \h </w:instrText>
            </w:r>
            <w:r w:rsidR="00610873">
              <w:rPr>
                <w:noProof/>
                <w:webHidden/>
              </w:rPr>
            </w:r>
            <w:r w:rsidR="00610873">
              <w:rPr>
                <w:noProof/>
                <w:webHidden/>
              </w:rPr>
              <w:fldChar w:fldCharType="separate"/>
            </w:r>
            <w:r w:rsidR="00610873">
              <w:rPr>
                <w:noProof/>
                <w:webHidden/>
              </w:rPr>
              <w:t>13</w:t>
            </w:r>
            <w:r w:rsidR="00610873">
              <w:rPr>
                <w:noProof/>
                <w:webHidden/>
              </w:rPr>
              <w:fldChar w:fldCharType="end"/>
            </w:r>
          </w:hyperlink>
        </w:p>
        <w:p w14:paraId="08DC280C" w14:textId="48F3E7BC" w:rsidR="00610873" w:rsidRDefault="002D3811">
          <w:pPr>
            <w:pStyle w:val="TDC3"/>
            <w:rPr>
              <w:rFonts w:asciiTheme="minorHAnsi" w:eastAsiaTheme="minorEastAsia" w:hAnsiTheme="minorHAnsi" w:cstheme="minorBidi"/>
              <w:noProof/>
              <w:kern w:val="2"/>
              <w:szCs w:val="22"/>
              <w14:ligatures w14:val="standardContextual"/>
            </w:rPr>
          </w:pPr>
          <w:hyperlink w:anchor="_Toc152921852" w:history="1">
            <w:r w:rsidR="00610873" w:rsidRPr="0012291B">
              <w:rPr>
                <w:rStyle w:val="Hipervnculo"/>
                <w:noProof/>
              </w:rPr>
              <w:t>1.3.4</w:t>
            </w:r>
            <w:r w:rsidR="00610873">
              <w:rPr>
                <w:rFonts w:asciiTheme="minorHAnsi" w:eastAsiaTheme="minorEastAsia" w:hAnsiTheme="minorHAnsi" w:cstheme="minorBidi"/>
                <w:noProof/>
                <w:kern w:val="2"/>
                <w:szCs w:val="22"/>
                <w14:ligatures w14:val="standardContextual"/>
              </w:rPr>
              <w:tab/>
            </w:r>
            <w:r w:rsidR="00610873" w:rsidRPr="0012291B">
              <w:rPr>
                <w:rStyle w:val="Hipervnculo"/>
                <w:noProof/>
              </w:rPr>
              <w:t>Ingresos de distribución para el OR Celsia Tolima</w:t>
            </w:r>
            <w:r w:rsidR="00610873">
              <w:rPr>
                <w:noProof/>
                <w:webHidden/>
              </w:rPr>
              <w:tab/>
            </w:r>
            <w:r w:rsidR="00610873">
              <w:rPr>
                <w:noProof/>
                <w:webHidden/>
              </w:rPr>
              <w:fldChar w:fldCharType="begin"/>
            </w:r>
            <w:r w:rsidR="00610873">
              <w:rPr>
                <w:noProof/>
                <w:webHidden/>
              </w:rPr>
              <w:instrText xml:space="preserve"> PAGEREF _Toc152921852 \h </w:instrText>
            </w:r>
            <w:r w:rsidR="00610873">
              <w:rPr>
                <w:noProof/>
                <w:webHidden/>
              </w:rPr>
            </w:r>
            <w:r w:rsidR="00610873">
              <w:rPr>
                <w:noProof/>
                <w:webHidden/>
              </w:rPr>
              <w:fldChar w:fldCharType="separate"/>
            </w:r>
            <w:r w:rsidR="00610873">
              <w:rPr>
                <w:noProof/>
                <w:webHidden/>
              </w:rPr>
              <w:t>14</w:t>
            </w:r>
            <w:r w:rsidR="00610873">
              <w:rPr>
                <w:noProof/>
                <w:webHidden/>
              </w:rPr>
              <w:fldChar w:fldCharType="end"/>
            </w:r>
          </w:hyperlink>
        </w:p>
        <w:p w14:paraId="00F9018C" w14:textId="6472A237" w:rsidR="00610873" w:rsidRDefault="002D3811">
          <w:pPr>
            <w:pStyle w:val="TDC2"/>
            <w:rPr>
              <w:rFonts w:asciiTheme="minorHAnsi" w:eastAsiaTheme="minorEastAsia" w:hAnsiTheme="minorHAnsi" w:cstheme="minorBidi"/>
              <w:kern w:val="2"/>
              <w:szCs w:val="22"/>
              <w14:ligatures w14:val="standardContextual"/>
            </w:rPr>
          </w:pPr>
          <w:hyperlink w:anchor="_Toc152921853" w:history="1">
            <w:r w:rsidR="00610873" w:rsidRPr="0012291B">
              <w:rPr>
                <w:rStyle w:val="Hipervnculo"/>
                <w:spacing w:val="-5"/>
              </w:rPr>
              <w:t>1.4</w:t>
            </w:r>
            <w:r w:rsidR="00610873">
              <w:rPr>
                <w:rFonts w:asciiTheme="minorHAnsi" w:eastAsiaTheme="minorEastAsia" w:hAnsiTheme="minorHAnsi" w:cstheme="minorBidi"/>
                <w:kern w:val="2"/>
                <w:szCs w:val="22"/>
                <w14:ligatures w14:val="standardContextual"/>
              </w:rPr>
              <w:tab/>
            </w:r>
            <w:r w:rsidR="00610873" w:rsidRPr="0012291B">
              <w:rPr>
                <w:rStyle w:val="Hipervnculo"/>
              </w:rPr>
              <w:t>Evolución del costo unitario de prestación del servicio</w:t>
            </w:r>
            <w:r w:rsidR="00610873">
              <w:rPr>
                <w:webHidden/>
              </w:rPr>
              <w:tab/>
            </w:r>
            <w:r w:rsidR="00610873">
              <w:rPr>
                <w:webHidden/>
              </w:rPr>
              <w:fldChar w:fldCharType="begin"/>
            </w:r>
            <w:r w:rsidR="00610873">
              <w:rPr>
                <w:webHidden/>
              </w:rPr>
              <w:instrText xml:space="preserve"> PAGEREF _Toc152921853 \h </w:instrText>
            </w:r>
            <w:r w:rsidR="00610873">
              <w:rPr>
                <w:webHidden/>
              </w:rPr>
            </w:r>
            <w:r w:rsidR="00610873">
              <w:rPr>
                <w:webHidden/>
              </w:rPr>
              <w:fldChar w:fldCharType="separate"/>
            </w:r>
            <w:r w:rsidR="00610873">
              <w:rPr>
                <w:webHidden/>
              </w:rPr>
              <w:t>14</w:t>
            </w:r>
            <w:r w:rsidR="00610873">
              <w:rPr>
                <w:webHidden/>
              </w:rPr>
              <w:fldChar w:fldCharType="end"/>
            </w:r>
          </w:hyperlink>
        </w:p>
        <w:p w14:paraId="6BBCF946" w14:textId="647AE905" w:rsidR="00610873" w:rsidRDefault="002D3811">
          <w:pPr>
            <w:pStyle w:val="TDC2"/>
            <w:rPr>
              <w:rFonts w:asciiTheme="minorHAnsi" w:eastAsiaTheme="minorEastAsia" w:hAnsiTheme="minorHAnsi" w:cstheme="minorBidi"/>
              <w:kern w:val="2"/>
              <w:szCs w:val="22"/>
              <w14:ligatures w14:val="standardContextual"/>
            </w:rPr>
          </w:pPr>
          <w:hyperlink w:anchor="_Toc152921854" w:history="1">
            <w:r w:rsidR="00610873" w:rsidRPr="0012291B">
              <w:rPr>
                <w:rStyle w:val="Hipervnculo"/>
              </w:rPr>
              <w:t>1.5</w:t>
            </w:r>
            <w:r w:rsidR="00610873">
              <w:rPr>
                <w:rFonts w:asciiTheme="minorHAnsi" w:eastAsiaTheme="minorEastAsia" w:hAnsiTheme="minorHAnsi" w:cstheme="minorBidi"/>
                <w:kern w:val="2"/>
                <w:szCs w:val="22"/>
                <w14:ligatures w14:val="standardContextual"/>
              </w:rPr>
              <w:tab/>
            </w:r>
            <w:r w:rsidR="00610873" w:rsidRPr="0012291B">
              <w:rPr>
                <w:rStyle w:val="Hipervnculo"/>
              </w:rPr>
              <w:t>Comunicaciones de los agentes</w:t>
            </w:r>
            <w:r w:rsidR="00610873">
              <w:rPr>
                <w:webHidden/>
              </w:rPr>
              <w:tab/>
            </w:r>
            <w:r w:rsidR="00610873">
              <w:rPr>
                <w:webHidden/>
              </w:rPr>
              <w:fldChar w:fldCharType="begin"/>
            </w:r>
            <w:r w:rsidR="00610873">
              <w:rPr>
                <w:webHidden/>
              </w:rPr>
              <w:instrText xml:space="preserve"> PAGEREF _Toc152921854 \h </w:instrText>
            </w:r>
            <w:r w:rsidR="00610873">
              <w:rPr>
                <w:webHidden/>
              </w:rPr>
            </w:r>
            <w:r w:rsidR="00610873">
              <w:rPr>
                <w:webHidden/>
              </w:rPr>
              <w:fldChar w:fldCharType="separate"/>
            </w:r>
            <w:r w:rsidR="00610873">
              <w:rPr>
                <w:webHidden/>
              </w:rPr>
              <w:t>18</w:t>
            </w:r>
            <w:r w:rsidR="00610873">
              <w:rPr>
                <w:webHidden/>
              </w:rPr>
              <w:fldChar w:fldCharType="end"/>
            </w:r>
          </w:hyperlink>
        </w:p>
        <w:p w14:paraId="4BB3F315" w14:textId="1AFE00E3" w:rsidR="00610873" w:rsidRDefault="002D3811">
          <w:pPr>
            <w:pStyle w:val="TDC2"/>
            <w:rPr>
              <w:rFonts w:asciiTheme="minorHAnsi" w:eastAsiaTheme="minorEastAsia" w:hAnsiTheme="minorHAnsi" w:cstheme="minorBidi"/>
              <w:kern w:val="2"/>
              <w:szCs w:val="22"/>
              <w14:ligatures w14:val="standardContextual"/>
            </w:rPr>
          </w:pPr>
          <w:hyperlink w:anchor="_Toc152921855" w:history="1">
            <w:r w:rsidR="00610873" w:rsidRPr="0012291B">
              <w:rPr>
                <w:rStyle w:val="Hipervnculo"/>
              </w:rPr>
              <w:t>1.6</w:t>
            </w:r>
            <w:r w:rsidR="00610873">
              <w:rPr>
                <w:rFonts w:asciiTheme="minorHAnsi" w:eastAsiaTheme="minorEastAsia" w:hAnsiTheme="minorHAnsi" w:cstheme="minorBidi"/>
                <w:kern w:val="2"/>
                <w:szCs w:val="22"/>
                <w14:ligatures w14:val="standardContextual"/>
              </w:rPr>
              <w:tab/>
            </w:r>
            <w:r w:rsidR="00610873" w:rsidRPr="0012291B">
              <w:rPr>
                <w:rStyle w:val="Hipervnculo"/>
              </w:rPr>
              <w:t>Revisión CREG</w:t>
            </w:r>
            <w:r w:rsidR="00610873">
              <w:rPr>
                <w:webHidden/>
              </w:rPr>
              <w:tab/>
            </w:r>
            <w:r w:rsidR="00610873">
              <w:rPr>
                <w:webHidden/>
              </w:rPr>
              <w:fldChar w:fldCharType="begin"/>
            </w:r>
            <w:r w:rsidR="00610873">
              <w:rPr>
                <w:webHidden/>
              </w:rPr>
              <w:instrText xml:space="preserve"> PAGEREF _Toc152921855 \h </w:instrText>
            </w:r>
            <w:r w:rsidR="00610873">
              <w:rPr>
                <w:webHidden/>
              </w:rPr>
            </w:r>
            <w:r w:rsidR="00610873">
              <w:rPr>
                <w:webHidden/>
              </w:rPr>
              <w:fldChar w:fldCharType="separate"/>
            </w:r>
            <w:r w:rsidR="00610873">
              <w:rPr>
                <w:webHidden/>
              </w:rPr>
              <w:t>19</w:t>
            </w:r>
            <w:r w:rsidR="00610873">
              <w:rPr>
                <w:webHidden/>
              </w:rPr>
              <w:fldChar w:fldCharType="end"/>
            </w:r>
          </w:hyperlink>
        </w:p>
        <w:p w14:paraId="51814D5C" w14:textId="5266C56C" w:rsidR="00610873" w:rsidRDefault="002D3811">
          <w:pPr>
            <w:pStyle w:val="TDC1"/>
            <w:rPr>
              <w:rFonts w:asciiTheme="minorHAnsi" w:eastAsiaTheme="minorEastAsia" w:hAnsiTheme="minorHAnsi" w:cstheme="minorBidi"/>
              <w:kern w:val="2"/>
              <w:szCs w:val="22"/>
              <w14:ligatures w14:val="standardContextual"/>
            </w:rPr>
          </w:pPr>
          <w:hyperlink w:anchor="_Toc152921856" w:history="1">
            <w:r w:rsidR="00610873" w:rsidRPr="0012291B">
              <w:rPr>
                <w:rStyle w:val="Hipervnculo"/>
              </w:rPr>
              <w:t>2</w:t>
            </w:r>
            <w:r w:rsidR="00610873">
              <w:rPr>
                <w:rFonts w:asciiTheme="minorHAnsi" w:eastAsiaTheme="minorEastAsia" w:hAnsiTheme="minorHAnsi" w:cstheme="minorBidi"/>
                <w:kern w:val="2"/>
                <w:szCs w:val="22"/>
                <w14:ligatures w14:val="standardContextual"/>
              </w:rPr>
              <w:tab/>
            </w:r>
            <w:r w:rsidR="00610873" w:rsidRPr="0012291B">
              <w:rPr>
                <w:rStyle w:val="Hipervnculo"/>
              </w:rPr>
              <w:t>PROBLEMÁTICA REGULATORIA</w:t>
            </w:r>
            <w:r w:rsidR="00610873">
              <w:rPr>
                <w:webHidden/>
              </w:rPr>
              <w:tab/>
            </w:r>
            <w:r w:rsidR="00610873">
              <w:rPr>
                <w:webHidden/>
              </w:rPr>
              <w:fldChar w:fldCharType="begin"/>
            </w:r>
            <w:r w:rsidR="00610873">
              <w:rPr>
                <w:webHidden/>
              </w:rPr>
              <w:instrText xml:space="preserve"> PAGEREF _Toc152921856 \h </w:instrText>
            </w:r>
            <w:r w:rsidR="00610873">
              <w:rPr>
                <w:webHidden/>
              </w:rPr>
            </w:r>
            <w:r w:rsidR="00610873">
              <w:rPr>
                <w:webHidden/>
              </w:rPr>
              <w:fldChar w:fldCharType="separate"/>
            </w:r>
            <w:r w:rsidR="00610873">
              <w:rPr>
                <w:webHidden/>
              </w:rPr>
              <w:t>20</w:t>
            </w:r>
            <w:r w:rsidR="00610873">
              <w:rPr>
                <w:webHidden/>
              </w:rPr>
              <w:fldChar w:fldCharType="end"/>
            </w:r>
          </w:hyperlink>
        </w:p>
        <w:p w14:paraId="6881AF5E" w14:textId="44E67450" w:rsidR="00610873" w:rsidRDefault="002D3811">
          <w:pPr>
            <w:pStyle w:val="TDC1"/>
            <w:rPr>
              <w:rFonts w:asciiTheme="minorHAnsi" w:eastAsiaTheme="minorEastAsia" w:hAnsiTheme="minorHAnsi" w:cstheme="minorBidi"/>
              <w:kern w:val="2"/>
              <w:szCs w:val="22"/>
              <w14:ligatures w14:val="standardContextual"/>
            </w:rPr>
          </w:pPr>
          <w:hyperlink w:anchor="_Toc152921857" w:history="1">
            <w:r w:rsidR="00610873" w:rsidRPr="0012291B">
              <w:rPr>
                <w:rStyle w:val="Hipervnculo"/>
              </w:rPr>
              <w:t>3</w:t>
            </w:r>
            <w:r w:rsidR="00610873">
              <w:rPr>
                <w:rFonts w:asciiTheme="minorHAnsi" w:eastAsiaTheme="minorEastAsia" w:hAnsiTheme="minorHAnsi" w:cstheme="minorBidi"/>
                <w:kern w:val="2"/>
                <w:szCs w:val="22"/>
                <w14:ligatures w14:val="standardContextual"/>
              </w:rPr>
              <w:tab/>
            </w:r>
            <w:r w:rsidR="00610873" w:rsidRPr="0012291B">
              <w:rPr>
                <w:rStyle w:val="Hipervnculo"/>
              </w:rPr>
              <w:t>OBJETIVOS</w:t>
            </w:r>
            <w:r w:rsidR="00610873">
              <w:rPr>
                <w:webHidden/>
              </w:rPr>
              <w:tab/>
            </w:r>
            <w:r w:rsidR="00610873">
              <w:rPr>
                <w:webHidden/>
              </w:rPr>
              <w:fldChar w:fldCharType="begin"/>
            </w:r>
            <w:r w:rsidR="00610873">
              <w:rPr>
                <w:webHidden/>
              </w:rPr>
              <w:instrText xml:space="preserve"> PAGEREF _Toc152921857 \h </w:instrText>
            </w:r>
            <w:r w:rsidR="00610873">
              <w:rPr>
                <w:webHidden/>
              </w:rPr>
            </w:r>
            <w:r w:rsidR="00610873">
              <w:rPr>
                <w:webHidden/>
              </w:rPr>
              <w:fldChar w:fldCharType="separate"/>
            </w:r>
            <w:r w:rsidR="00610873">
              <w:rPr>
                <w:webHidden/>
              </w:rPr>
              <w:t>20</w:t>
            </w:r>
            <w:r w:rsidR="00610873">
              <w:rPr>
                <w:webHidden/>
              </w:rPr>
              <w:fldChar w:fldCharType="end"/>
            </w:r>
          </w:hyperlink>
        </w:p>
        <w:p w14:paraId="52318708" w14:textId="786CB7C8" w:rsidR="00610873" w:rsidRDefault="002D3811">
          <w:pPr>
            <w:pStyle w:val="TDC1"/>
            <w:rPr>
              <w:rFonts w:asciiTheme="minorHAnsi" w:eastAsiaTheme="minorEastAsia" w:hAnsiTheme="minorHAnsi" w:cstheme="minorBidi"/>
              <w:kern w:val="2"/>
              <w:szCs w:val="22"/>
              <w14:ligatures w14:val="standardContextual"/>
            </w:rPr>
          </w:pPr>
          <w:hyperlink w:anchor="_Toc152921858" w:history="1">
            <w:r w:rsidR="00610873" w:rsidRPr="0012291B">
              <w:rPr>
                <w:rStyle w:val="Hipervnculo"/>
              </w:rPr>
              <w:t>4</w:t>
            </w:r>
            <w:r w:rsidR="00610873">
              <w:rPr>
                <w:rFonts w:asciiTheme="minorHAnsi" w:eastAsiaTheme="minorEastAsia" w:hAnsiTheme="minorHAnsi" w:cstheme="minorBidi"/>
                <w:kern w:val="2"/>
                <w:szCs w:val="22"/>
                <w14:ligatures w14:val="standardContextual"/>
              </w:rPr>
              <w:tab/>
            </w:r>
            <w:r w:rsidR="00610873" w:rsidRPr="0012291B">
              <w:rPr>
                <w:rStyle w:val="Hipervnculo"/>
              </w:rPr>
              <w:t>ESQUEMAS DE IMPLEMENTACIÓN</w:t>
            </w:r>
            <w:r w:rsidR="00610873">
              <w:rPr>
                <w:webHidden/>
              </w:rPr>
              <w:tab/>
            </w:r>
            <w:r w:rsidR="00610873">
              <w:rPr>
                <w:webHidden/>
              </w:rPr>
              <w:fldChar w:fldCharType="begin"/>
            </w:r>
            <w:r w:rsidR="00610873">
              <w:rPr>
                <w:webHidden/>
              </w:rPr>
              <w:instrText xml:space="preserve"> PAGEREF _Toc152921858 \h </w:instrText>
            </w:r>
            <w:r w:rsidR="00610873">
              <w:rPr>
                <w:webHidden/>
              </w:rPr>
            </w:r>
            <w:r w:rsidR="00610873">
              <w:rPr>
                <w:webHidden/>
              </w:rPr>
              <w:fldChar w:fldCharType="separate"/>
            </w:r>
            <w:r w:rsidR="00610873">
              <w:rPr>
                <w:webHidden/>
              </w:rPr>
              <w:t>21</w:t>
            </w:r>
            <w:r w:rsidR="00610873">
              <w:rPr>
                <w:webHidden/>
              </w:rPr>
              <w:fldChar w:fldCharType="end"/>
            </w:r>
          </w:hyperlink>
        </w:p>
        <w:p w14:paraId="51162E99" w14:textId="6B53B00A" w:rsidR="00610873" w:rsidRDefault="002D3811">
          <w:pPr>
            <w:pStyle w:val="TDC2"/>
            <w:rPr>
              <w:rFonts w:asciiTheme="minorHAnsi" w:eastAsiaTheme="minorEastAsia" w:hAnsiTheme="minorHAnsi" w:cstheme="minorBidi"/>
              <w:kern w:val="2"/>
              <w:szCs w:val="22"/>
              <w14:ligatures w14:val="standardContextual"/>
            </w:rPr>
          </w:pPr>
          <w:hyperlink w:anchor="_Toc152921859" w:history="1">
            <w:r w:rsidR="00610873" w:rsidRPr="0012291B">
              <w:rPr>
                <w:rStyle w:val="Hipervnculo"/>
              </w:rPr>
              <w:t>4.1</w:t>
            </w:r>
            <w:r w:rsidR="00610873">
              <w:rPr>
                <w:rFonts w:asciiTheme="minorHAnsi" w:eastAsiaTheme="minorEastAsia" w:hAnsiTheme="minorHAnsi" w:cstheme="minorBidi"/>
                <w:kern w:val="2"/>
                <w:szCs w:val="22"/>
                <w14:ligatures w14:val="standardContextual"/>
              </w:rPr>
              <w:tab/>
            </w:r>
            <w:r w:rsidR="00610873" w:rsidRPr="0012291B">
              <w:rPr>
                <w:rStyle w:val="Hipervnculo"/>
              </w:rPr>
              <w:t>No modificar la regulación vigente</w:t>
            </w:r>
            <w:r w:rsidR="00610873">
              <w:rPr>
                <w:webHidden/>
              </w:rPr>
              <w:tab/>
            </w:r>
            <w:r w:rsidR="00610873">
              <w:rPr>
                <w:webHidden/>
              </w:rPr>
              <w:fldChar w:fldCharType="begin"/>
            </w:r>
            <w:r w:rsidR="00610873">
              <w:rPr>
                <w:webHidden/>
              </w:rPr>
              <w:instrText xml:space="preserve"> PAGEREF _Toc152921859 \h </w:instrText>
            </w:r>
            <w:r w:rsidR="00610873">
              <w:rPr>
                <w:webHidden/>
              </w:rPr>
            </w:r>
            <w:r w:rsidR="00610873">
              <w:rPr>
                <w:webHidden/>
              </w:rPr>
              <w:fldChar w:fldCharType="separate"/>
            </w:r>
            <w:r w:rsidR="00610873">
              <w:rPr>
                <w:webHidden/>
              </w:rPr>
              <w:t>21</w:t>
            </w:r>
            <w:r w:rsidR="00610873">
              <w:rPr>
                <w:webHidden/>
              </w:rPr>
              <w:fldChar w:fldCharType="end"/>
            </w:r>
          </w:hyperlink>
        </w:p>
        <w:p w14:paraId="5B06849D" w14:textId="55A369EF" w:rsidR="00610873" w:rsidRDefault="002D3811">
          <w:pPr>
            <w:pStyle w:val="TDC2"/>
            <w:rPr>
              <w:rFonts w:asciiTheme="minorHAnsi" w:eastAsiaTheme="minorEastAsia" w:hAnsiTheme="minorHAnsi" w:cstheme="minorBidi"/>
              <w:kern w:val="2"/>
              <w:szCs w:val="22"/>
              <w14:ligatures w14:val="standardContextual"/>
            </w:rPr>
          </w:pPr>
          <w:hyperlink w:anchor="_Toc152921860" w:history="1">
            <w:r w:rsidR="00610873" w:rsidRPr="0012291B">
              <w:rPr>
                <w:rStyle w:val="Hipervnculo"/>
              </w:rPr>
              <w:t>4.2</w:t>
            </w:r>
            <w:r w:rsidR="00610873">
              <w:rPr>
                <w:rFonts w:asciiTheme="minorHAnsi" w:eastAsiaTheme="minorEastAsia" w:hAnsiTheme="minorHAnsi" w:cstheme="minorBidi"/>
                <w:kern w:val="2"/>
                <w:szCs w:val="22"/>
                <w14:ligatures w14:val="standardContextual"/>
              </w:rPr>
              <w:tab/>
            </w:r>
            <w:r w:rsidR="00610873" w:rsidRPr="0012291B">
              <w:rPr>
                <w:rStyle w:val="Hipervnculo"/>
                <w:rFonts w:eastAsiaTheme="minorHAnsi"/>
              </w:rPr>
              <w:t>Individualización de saldos</w:t>
            </w:r>
            <w:r w:rsidR="00610873">
              <w:rPr>
                <w:webHidden/>
              </w:rPr>
              <w:tab/>
            </w:r>
            <w:r w:rsidR="00610873">
              <w:rPr>
                <w:webHidden/>
              </w:rPr>
              <w:fldChar w:fldCharType="begin"/>
            </w:r>
            <w:r w:rsidR="00610873">
              <w:rPr>
                <w:webHidden/>
              </w:rPr>
              <w:instrText xml:space="preserve"> PAGEREF _Toc152921860 \h </w:instrText>
            </w:r>
            <w:r w:rsidR="00610873">
              <w:rPr>
                <w:webHidden/>
              </w:rPr>
            </w:r>
            <w:r w:rsidR="00610873">
              <w:rPr>
                <w:webHidden/>
              </w:rPr>
              <w:fldChar w:fldCharType="separate"/>
            </w:r>
            <w:r w:rsidR="00610873">
              <w:rPr>
                <w:webHidden/>
              </w:rPr>
              <w:t>22</w:t>
            </w:r>
            <w:r w:rsidR="00610873">
              <w:rPr>
                <w:webHidden/>
              </w:rPr>
              <w:fldChar w:fldCharType="end"/>
            </w:r>
          </w:hyperlink>
        </w:p>
        <w:p w14:paraId="241A5D7E" w14:textId="2CB4ABC2" w:rsidR="00610873" w:rsidRDefault="002D3811">
          <w:pPr>
            <w:pStyle w:val="TDC2"/>
            <w:rPr>
              <w:rFonts w:asciiTheme="minorHAnsi" w:eastAsiaTheme="minorEastAsia" w:hAnsiTheme="minorHAnsi" w:cstheme="minorBidi"/>
              <w:kern w:val="2"/>
              <w:szCs w:val="22"/>
              <w14:ligatures w14:val="standardContextual"/>
            </w:rPr>
          </w:pPr>
          <w:hyperlink w:anchor="_Toc152921861" w:history="1">
            <w:r w:rsidR="00610873" w:rsidRPr="0012291B">
              <w:rPr>
                <w:rStyle w:val="Hipervnculo"/>
                <w:rFonts w:cs="Arial"/>
                <w:spacing w:val="-5"/>
              </w:rPr>
              <w:t>4.3</w:t>
            </w:r>
            <w:r w:rsidR="00610873">
              <w:rPr>
                <w:rFonts w:asciiTheme="minorHAnsi" w:eastAsiaTheme="minorEastAsia" w:hAnsiTheme="minorHAnsi" w:cstheme="minorBidi"/>
                <w:kern w:val="2"/>
                <w:szCs w:val="22"/>
                <w14:ligatures w14:val="standardContextual"/>
              </w:rPr>
              <w:tab/>
            </w:r>
            <w:r w:rsidR="00610873" w:rsidRPr="0012291B">
              <w:rPr>
                <w:rStyle w:val="Hipervnculo"/>
              </w:rPr>
              <w:t>Creación temporal de un cargo de mercado</w:t>
            </w:r>
            <w:r w:rsidR="00610873">
              <w:rPr>
                <w:webHidden/>
              </w:rPr>
              <w:tab/>
            </w:r>
            <w:r w:rsidR="00610873">
              <w:rPr>
                <w:webHidden/>
              </w:rPr>
              <w:fldChar w:fldCharType="begin"/>
            </w:r>
            <w:r w:rsidR="00610873">
              <w:rPr>
                <w:webHidden/>
              </w:rPr>
              <w:instrText xml:space="preserve"> PAGEREF _Toc152921861 \h </w:instrText>
            </w:r>
            <w:r w:rsidR="00610873">
              <w:rPr>
                <w:webHidden/>
              </w:rPr>
            </w:r>
            <w:r w:rsidR="00610873">
              <w:rPr>
                <w:webHidden/>
              </w:rPr>
              <w:fldChar w:fldCharType="separate"/>
            </w:r>
            <w:r w:rsidR="00610873">
              <w:rPr>
                <w:webHidden/>
              </w:rPr>
              <w:t>23</w:t>
            </w:r>
            <w:r w:rsidR="00610873">
              <w:rPr>
                <w:webHidden/>
              </w:rPr>
              <w:fldChar w:fldCharType="end"/>
            </w:r>
          </w:hyperlink>
        </w:p>
        <w:p w14:paraId="2281782D" w14:textId="4DF4BA36" w:rsidR="00610873" w:rsidRDefault="002D3811">
          <w:pPr>
            <w:pStyle w:val="TDC2"/>
            <w:rPr>
              <w:rFonts w:asciiTheme="minorHAnsi" w:eastAsiaTheme="minorEastAsia" w:hAnsiTheme="minorHAnsi" w:cstheme="minorBidi"/>
              <w:kern w:val="2"/>
              <w:szCs w:val="22"/>
              <w14:ligatures w14:val="standardContextual"/>
            </w:rPr>
          </w:pPr>
          <w:hyperlink w:anchor="_Toc152921862" w:history="1">
            <w:r w:rsidR="00610873" w:rsidRPr="0012291B">
              <w:rPr>
                <w:rStyle w:val="Hipervnculo"/>
                <w:rFonts w:cs="Arial"/>
                <w:spacing w:val="-5"/>
              </w:rPr>
              <w:t>4.4</w:t>
            </w:r>
            <w:r w:rsidR="00610873">
              <w:rPr>
                <w:rFonts w:asciiTheme="minorHAnsi" w:eastAsiaTheme="minorEastAsia" w:hAnsiTheme="minorHAnsi" w:cstheme="minorBidi"/>
                <w:kern w:val="2"/>
                <w:szCs w:val="22"/>
                <w14:ligatures w14:val="standardContextual"/>
              </w:rPr>
              <w:tab/>
            </w:r>
            <w:r w:rsidR="00610873" w:rsidRPr="0012291B">
              <w:rPr>
                <w:rStyle w:val="Hipervnculo"/>
              </w:rPr>
              <w:t>Análisis jurídico comparativo de las alternativas</w:t>
            </w:r>
            <w:r w:rsidR="00610873">
              <w:rPr>
                <w:webHidden/>
              </w:rPr>
              <w:tab/>
            </w:r>
            <w:r w:rsidR="00610873">
              <w:rPr>
                <w:webHidden/>
              </w:rPr>
              <w:fldChar w:fldCharType="begin"/>
            </w:r>
            <w:r w:rsidR="00610873">
              <w:rPr>
                <w:webHidden/>
              </w:rPr>
              <w:instrText xml:space="preserve"> PAGEREF _Toc152921862 \h </w:instrText>
            </w:r>
            <w:r w:rsidR="00610873">
              <w:rPr>
                <w:webHidden/>
              </w:rPr>
            </w:r>
            <w:r w:rsidR="00610873">
              <w:rPr>
                <w:webHidden/>
              </w:rPr>
              <w:fldChar w:fldCharType="separate"/>
            </w:r>
            <w:r w:rsidR="00610873">
              <w:rPr>
                <w:webHidden/>
              </w:rPr>
              <w:t>25</w:t>
            </w:r>
            <w:r w:rsidR="00610873">
              <w:rPr>
                <w:webHidden/>
              </w:rPr>
              <w:fldChar w:fldCharType="end"/>
            </w:r>
          </w:hyperlink>
        </w:p>
        <w:p w14:paraId="5BEC222C" w14:textId="0FB2D472" w:rsidR="00610873" w:rsidRDefault="002D3811">
          <w:pPr>
            <w:pStyle w:val="TDC3"/>
            <w:rPr>
              <w:rFonts w:asciiTheme="minorHAnsi" w:eastAsiaTheme="minorEastAsia" w:hAnsiTheme="minorHAnsi" w:cstheme="minorBidi"/>
              <w:noProof/>
              <w:kern w:val="2"/>
              <w:szCs w:val="22"/>
              <w14:ligatures w14:val="standardContextual"/>
            </w:rPr>
          </w:pPr>
          <w:hyperlink w:anchor="_Toc152921863" w:history="1">
            <w:r w:rsidR="00610873" w:rsidRPr="0012291B">
              <w:rPr>
                <w:rStyle w:val="Hipervnculo"/>
                <w:noProof/>
              </w:rPr>
              <w:t>4.4.1</w:t>
            </w:r>
            <w:r w:rsidR="00610873">
              <w:rPr>
                <w:rFonts w:asciiTheme="minorHAnsi" w:eastAsiaTheme="minorEastAsia" w:hAnsiTheme="minorHAnsi" w:cstheme="minorBidi"/>
                <w:noProof/>
                <w:kern w:val="2"/>
                <w:szCs w:val="22"/>
                <w14:ligatures w14:val="standardContextual"/>
              </w:rPr>
              <w:tab/>
            </w:r>
            <w:r w:rsidR="00610873" w:rsidRPr="0012291B">
              <w:rPr>
                <w:rStyle w:val="Hipervnculo"/>
                <w:noProof/>
              </w:rPr>
              <w:t>No modificar la regulación vigente</w:t>
            </w:r>
            <w:r w:rsidR="00610873">
              <w:rPr>
                <w:noProof/>
                <w:webHidden/>
              </w:rPr>
              <w:tab/>
            </w:r>
            <w:r w:rsidR="00610873">
              <w:rPr>
                <w:noProof/>
                <w:webHidden/>
              </w:rPr>
              <w:fldChar w:fldCharType="begin"/>
            </w:r>
            <w:r w:rsidR="00610873">
              <w:rPr>
                <w:noProof/>
                <w:webHidden/>
              </w:rPr>
              <w:instrText xml:space="preserve"> PAGEREF _Toc152921863 \h </w:instrText>
            </w:r>
            <w:r w:rsidR="00610873">
              <w:rPr>
                <w:noProof/>
                <w:webHidden/>
              </w:rPr>
            </w:r>
            <w:r w:rsidR="00610873">
              <w:rPr>
                <w:noProof/>
                <w:webHidden/>
              </w:rPr>
              <w:fldChar w:fldCharType="separate"/>
            </w:r>
            <w:r w:rsidR="00610873">
              <w:rPr>
                <w:noProof/>
                <w:webHidden/>
              </w:rPr>
              <w:t>25</w:t>
            </w:r>
            <w:r w:rsidR="00610873">
              <w:rPr>
                <w:noProof/>
                <w:webHidden/>
              </w:rPr>
              <w:fldChar w:fldCharType="end"/>
            </w:r>
          </w:hyperlink>
        </w:p>
        <w:p w14:paraId="0CE7EB4C" w14:textId="2A01115C" w:rsidR="00610873" w:rsidRDefault="002D3811">
          <w:pPr>
            <w:pStyle w:val="TDC3"/>
            <w:rPr>
              <w:rFonts w:asciiTheme="minorHAnsi" w:eastAsiaTheme="minorEastAsia" w:hAnsiTheme="minorHAnsi" w:cstheme="minorBidi"/>
              <w:noProof/>
              <w:kern w:val="2"/>
              <w:szCs w:val="22"/>
              <w14:ligatures w14:val="standardContextual"/>
            </w:rPr>
          </w:pPr>
          <w:hyperlink w:anchor="_Toc152921864" w:history="1">
            <w:r w:rsidR="00610873" w:rsidRPr="0012291B">
              <w:rPr>
                <w:rStyle w:val="Hipervnculo"/>
                <w:noProof/>
              </w:rPr>
              <w:t>4.4.2</w:t>
            </w:r>
            <w:r w:rsidR="00610873">
              <w:rPr>
                <w:rFonts w:asciiTheme="minorHAnsi" w:eastAsiaTheme="minorEastAsia" w:hAnsiTheme="minorHAnsi" w:cstheme="minorBidi"/>
                <w:noProof/>
                <w:kern w:val="2"/>
                <w:szCs w:val="22"/>
                <w14:ligatures w14:val="standardContextual"/>
              </w:rPr>
              <w:tab/>
            </w:r>
            <w:r w:rsidR="00610873" w:rsidRPr="0012291B">
              <w:rPr>
                <w:rStyle w:val="Hipervnculo"/>
                <w:noProof/>
              </w:rPr>
              <w:t>Individualización de saldos</w:t>
            </w:r>
            <w:r w:rsidR="00610873">
              <w:rPr>
                <w:noProof/>
                <w:webHidden/>
              </w:rPr>
              <w:tab/>
            </w:r>
            <w:r w:rsidR="00610873">
              <w:rPr>
                <w:noProof/>
                <w:webHidden/>
              </w:rPr>
              <w:fldChar w:fldCharType="begin"/>
            </w:r>
            <w:r w:rsidR="00610873">
              <w:rPr>
                <w:noProof/>
                <w:webHidden/>
              </w:rPr>
              <w:instrText xml:space="preserve"> PAGEREF _Toc152921864 \h </w:instrText>
            </w:r>
            <w:r w:rsidR="00610873">
              <w:rPr>
                <w:noProof/>
                <w:webHidden/>
              </w:rPr>
            </w:r>
            <w:r w:rsidR="00610873">
              <w:rPr>
                <w:noProof/>
                <w:webHidden/>
              </w:rPr>
              <w:fldChar w:fldCharType="separate"/>
            </w:r>
            <w:r w:rsidR="00610873">
              <w:rPr>
                <w:noProof/>
                <w:webHidden/>
              </w:rPr>
              <w:t>26</w:t>
            </w:r>
            <w:r w:rsidR="00610873">
              <w:rPr>
                <w:noProof/>
                <w:webHidden/>
              </w:rPr>
              <w:fldChar w:fldCharType="end"/>
            </w:r>
          </w:hyperlink>
        </w:p>
        <w:p w14:paraId="383A7902" w14:textId="1B2C02C3" w:rsidR="00610873" w:rsidRDefault="002D3811">
          <w:pPr>
            <w:pStyle w:val="TDC3"/>
            <w:rPr>
              <w:rFonts w:asciiTheme="minorHAnsi" w:eastAsiaTheme="minorEastAsia" w:hAnsiTheme="minorHAnsi" w:cstheme="minorBidi"/>
              <w:noProof/>
              <w:kern w:val="2"/>
              <w:szCs w:val="22"/>
              <w14:ligatures w14:val="standardContextual"/>
            </w:rPr>
          </w:pPr>
          <w:hyperlink w:anchor="_Toc152921865" w:history="1">
            <w:r w:rsidR="00610873" w:rsidRPr="0012291B">
              <w:rPr>
                <w:rStyle w:val="Hipervnculo"/>
                <w:noProof/>
              </w:rPr>
              <w:t>4.4.3</w:t>
            </w:r>
            <w:r w:rsidR="00610873">
              <w:rPr>
                <w:rFonts w:asciiTheme="minorHAnsi" w:eastAsiaTheme="minorEastAsia" w:hAnsiTheme="minorHAnsi" w:cstheme="minorBidi"/>
                <w:noProof/>
                <w:kern w:val="2"/>
                <w:szCs w:val="22"/>
                <w14:ligatures w14:val="standardContextual"/>
              </w:rPr>
              <w:tab/>
            </w:r>
            <w:r w:rsidR="00610873" w:rsidRPr="0012291B">
              <w:rPr>
                <w:rStyle w:val="Hipervnculo"/>
                <w:noProof/>
              </w:rPr>
              <w:t>Creación de cargo temporal de mercado</w:t>
            </w:r>
            <w:r w:rsidR="00610873">
              <w:rPr>
                <w:noProof/>
                <w:webHidden/>
              </w:rPr>
              <w:tab/>
            </w:r>
            <w:r w:rsidR="00610873">
              <w:rPr>
                <w:noProof/>
                <w:webHidden/>
              </w:rPr>
              <w:fldChar w:fldCharType="begin"/>
            </w:r>
            <w:r w:rsidR="00610873">
              <w:rPr>
                <w:noProof/>
                <w:webHidden/>
              </w:rPr>
              <w:instrText xml:space="preserve"> PAGEREF _Toc152921865 \h </w:instrText>
            </w:r>
            <w:r w:rsidR="00610873">
              <w:rPr>
                <w:noProof/>
                <w:webHidden/>
              </w:rPr>
            </w:r>
            <w:r w:rsidR="00610873">
              <w:rPr>
                <w:noProof/>
                <w:webHidden/>
              </w:rPr>
              <w:fldChar w:fldCharType="separate"/>
            </w:r>
            <w:r w:rsidR="00610873">
              <w:rPr>
                <w:noProof/>
                <w:webHidden/>
              </w:rPr>
              <w:t>28</w:t>
            </w:r>
            <w:r w:rsidR="00610873">
              <w:rPr>
                <w:noProof/>
                <w:webHidden/>
              </w:rPr>
              <w:fldChar w:fldCharType="end"/>
            </w:r>
          </w:hyperlink>
        </w:p>
        <w:p w14:paraId="3641169F" w14:textId="42971DED" w:rsidR="00610873" w:rsidRDefault="002D3811">
          <w:pPr>
            <w:pStyle w:val="TDC3"/>
            <w:rPr>
              <w:rFonts w:asciiTheme="minorHAnsi" w:eastAsiaTheme="minorEastAsia" w:hAnsiTheme="minorHAnsi" w:cstheme="minorBidi"/>
              <w:noProof/>
              <w:kern w:val="2"/>
              <w:szCs w:val="22"/>
              <w14:ligatures w14:val="standardContextual"/>
            </w:rPr>
          </w:pPr>
          <w:hyperlink w:anchor="_Toc152921866" w:history="1">
            <w:r w:rsidR="00610873" w:rsidRPr="0012291B">
              <w:rPr>
                <w:rStyle w:val="Hipervnculo"/>
                <w:noProof/>
              </w:rPr>
              <w:t>4.4.4</w:t>
            </w:r>
            <w:r w:rsidR="00610873">
              <w:rPr>
                <w:rFonts w:asciiTheme="minorHAnsi" w:eastAsiaTheme="minorEastAsia" w:hAnsiTheme="minorHAnsi" w:cstheme="minorBidi"/>
                <w:noProof/>
                <w:kern w:val="2"/>
                <w:szCs w:val="22"/>
                <w14:ligatures w14:val="standardContextual"/>
              </w:rPr>
              <w:tab/>
            </w:r>
            <w:r w:rsidR="00610873" w:rsidRPr="0012291B">
              <w:rPr>
                <w:rStyle w:val="Hipervnculo"/>
                <w:noProof/>
              </w:rPr>
              <w:t>Comparación de alternativas</w:t>
            </w:r>
            <w:r w:rsidR="00610873">
              <w:rPr>
                <w:noProof/>
                <w:webHidden/>
              </w:rPr>
              <w:tab/>
            </w:r>
            <w:r w:rsidR="00610873">
              <w:rPr>
                <w:noProof/>
                <w:webHidden/>
              </w:rPr>
              <w:fldChar w:fldCharType="begin"/>
            </w:r>
            <w:r w:rsidR="00610873">
              <w:rPr>
                <w:noProof/>
                <w:webHidden/>
              </w:rPr>
              <w:instrText xml:space="preserve"> PAGEREF _Toc152921866 \h </w:instrText>
            </w:r>
            <w:r w:rsidR="00610873">
              <w:rPr>
                <w:noProof/>
                <w:webHidden/>
              </w:rPr>
            </w:r>
            <w:r w:rsidR="00610873">
              <w:rPr>
                <w:noProof/>
                <w:webHidden/>
              </w:rPr>
              <w:fldChar w:fldCharType="separate"/>
            </w:r>
            <w:r w:rsidR="00610873">
              <w:rPr>
                <w:noProof/>
                <w:webHidden/>
              </w:rPr>
              <w:t>28</w:t>
            </w:r>
            <w:r w:rsidR="00610873">
              <w:rPr>
                <w:noProof/>
                <w:webHidden/>
              </w:rPr>
              <w:fldChar w:fldCharType="end"/>
            </w:r>
          </w:hyperlink>
        </w:p>
        <w:p w14:paraId="7A0DA3E1" w14:textId="1823D5B0" w:rsidR="00610873" w:rsidRDefault="002D3811">
          <w:pPr>
            <w:pStyle w:val="TDC2"/>
            <w:rPr>
              <w:rFonts w:asciiTheme="minorHAnsi" w:eastAsiaTheme="minorEastAsia" w:hAnsiTheme="minorHAnsi" w:cstheme="minorBidi"/>
              <w:kern w:val="2"/>
              <w:szCs w:val="22"/>
              <w14:ligatures w14:val="standardContextual"/>
            </w:rPr>
          </w:pPr>
          <w:hyperlink w:anchor="_Toc152921867" w:history="1">
            <w:r w:rsidR="00610873" w:rsidRPr="0012291B">
              <w:rPr>
                <w:rStyle w:val="Hipervnculo"/>
                <w:rFonts w:cs="Arial"/>
                <w:spacing w:val="-5"/>
              </w:rPr>
              <w:t>4.5</w:t>
            </w:r>
            <w:r w:rsidR="00610873">
              <w:rPr>
                <w:rFonts w:asciiTheme="minorHAnsi" w:eastAsiaTheme="minorEastAsia" w:hAnsiTheme="minorHAnsi" w:cstheme="minorBidi"/>
                <w:kern w:val="2"/>
                <w:szCs w:val="22"/>
                <w14:ligatures w14:val="standardContextual"/>
              </w:rPr>
              <w:tab/>
            </w:r>
            <w:r w:rsidR="00610873" w:rsidRPr="0012291B">
              <w:rPr>
                <w:rStyle w:val="Hipervnculo"/>
              </w:rPr>
              <w:t>Análisis multicriterio de las alternativas</w:t>
            </w:r>
            <w:r w:rsidR="00610873">
              <w:rPr>
                <w:webHidden/>
              </w:rPr>
              <w:tab/>
            </w:r>
            <w:r w:rsidR="00610873">
              <w:rPr>
                <w:webHidden/>
              </w:rPr>
              <w:fldChar w:fldCharType="begin"/>
            </w:r>
            <w:r w:rsidR="00610873">
              <w:rPr>
                <w:webHidden/>
              </w:rPr>
              <w:instrText xml:space="preserve"> PAGEREF _Toc152921867 \h </w:instrText>
            </w:r>
            <w:r w:rsidR="00610873">
              <w:rPr>
                <w:webHidden/>
              </w:rPr>
            </w:r>
            <w:r w:rsidR="00610873">
              <w:rPr>
                <w:webHidden/>
              </w:rPr>
              <w:fldChar w:fldCharType="separate"/>
            </w:r>
            <w:r w:rsidR="00610873">
              <w:rPr>
                <w:webHidden/>
              </w:rPr>
              <w:t>29</w:t>
            </w:r>
            <w:r w:rsidR="00610873">
              <w:rPr>
                <w:webHidden/>
              </w:rPr>
              <w:fldChar w:fldCharType="end"/>
            </w:r>
          </w:hyperlink>
        </w:p>
        <w:p w14:paraId="7854F1EF" w14:textId="06A0F3B2" w:rsidR="00610873" w:rsidRDefault="002D3811">
          <w:pPr>
            <w:pStyle w:val="TDC3"/>
            <w:rPr>
              <w:rFonts w:asciiTheme="minorHAnsi" w:eastAsiaTheme="minorEastAsia" w:hAnsiTheme="minorHAnsi" w:cstheme="minorBidi"/>
              <w:noProof/>
              <w:kern w:val="2"/>
              <w:szCs w:val="22"/>
              <w14:ligatures w14:val="standardContextual"/>
            </w:rPr>
          </w:pPr>
          <w:hyperlink w:anchor="_Toc152921868" w:history="1">
            <w:r w:rsidR="00610873" w:rsidRPr="0012291B">
              <w:rPr>
                <w:rStyle w:val="Hipervnculo"/>
                <w:noProof/>
              </w:rPr>
              <w:t>4.5.1</w:t>
            </w:r>
            <w:r w:rsidR="00610873">
              <w:rPr>
                <w:rFonts w:asciiTheme="minorHAnsi" w:eastAsiaTheme="minorEastAsia" w:hAnsiTheme="minorHAnsi" w:cstheme="minorBidi"/>
                <w:noProof/>
                <w:kern w:val="2"/>
                <w:szCs w:val="22"/>
                <w14:ligatures w14:val="standardContextual"/>
              </w:rPr>
              <w:tab/>
            </w:r>
            <w:r w:rsidR="00610873" w:rsidRPr="0012291B">
              <w:rPr>
                <w:rStyle w:val="Hipervnculo"/>
                <w:noProof/>
              </w:rPr>
              <w:t>No modificar normatividad</w:t>
            </w:r>
            <w:r w:rsidR="00610873">
              <w:rPr>
                <w:noProof/>
                <w:webHidden/>
              </w:rPr>
              <w:tab/>
            </w:r>
            <w:r w:rsidR="00610873">
              <w:rPr>
                <w:noProof/>
                <w:webHidden/>
              </w:rPr>
              <w:fldChar w:fldCharType="begin"/>
            </w:r>
            <w:r w:rsidR="00610873">
              <w:rPr>
                <w:noProof/>
                <w:webHidden/>
              </w:rPr>
              <w:instrText xml:space="preserve"> PAGEREF _Toc152921868 \h </w:instrText>
            </w:r>
            <w:r w:rsidR="00610873">
              <w:rPr>
                <w:noProof/>
                <w:webHidden/>
              </w:rPr>
            </w:r>
            <w:r w:rsidR="00610873">
              <w:rPr>
                <w:noProof/>
                <w:webHidden/>
              </w:rPr>
              <w:fldChar w:fldCharType="separate"/>
            </w:r>
            <w:r w:rsidR="00610873">
              <w:rPr>
                <w:noProof/>
                <w:webHidden/>
              </w:rPr>
              <w:t>30</w:t>
            </w:r>
            <w:r w:rsidR="00610873">
              <w:rPr>
                <w:noProof/>
                <w:webHidden/>
              </w:rPr>
              <w:fldChar w:fldCharType="end"/>
            </w:r>
          </w:hyperlink>
        </w:p>
        <w:p w14:paraId="6DD2601F" w14:textId="1D6B9AFC" w:rsidR="00610873" w:rsidRDefault="002D3811">
          <w:pPr>
            <w:pStyle w:val="TDC3"/>
            <w:rPr>
              <w:rFonts w:asciiTheme="minorHAnsi" w:eastAsiaTheme="minorEastAsia" w:hAnsiTheme="minorHAnsi" w:cstheme="minorBidi"/>
              <w:noProof/>
              <w:kern w:val="2"/>
              <w:szCs w:val="22"/>
              <w14:ligatures w14:val="standardContextual"/>
            </w:rPr>
          </w:pPr>
          <w:hyperlink w:anchor="_Toc152921869" w:history="1">
            <w:r w:rsidR="00610873" w:rsidRPr="0012291B">
              <w:rPr>
                <w:rStyle w:val="Hipervnculo"/>
                <w:noProof/>
              </w:rPr>
              <w:t>4.5.2</w:t>
            </w:r>
            <w:r w:rsidR="00610873">
              <w:rPr>
                <w:rFonts w:asciiTheme="minorHAnsi" w:eastAsiaTheme="minorEastAsia" w:hAnsiTheme="minorHAnsi" w:cstheme="minorBidi"/>
                <w:noProof/>
                <w:kern w:val="2"/>
                <w:szCs w:val="22"/>
                <w14:ligatures w14:val="standardContextual"/>
              </w:rPr>
              <w:tab/>
            </w:r>
            <w:r w:rsidR="00610873" w:rsidRPr="0012291B">
              <w:rPr>
                <w:rStyle w:val="Hipervnculo"/>
                <w:noProof/>
              </w:rPr>
              <w:t>Individualización de saldos</w:t>
            </w:r>
            <w:r w:rsidR="00610873">
              <w:rPr>
                <w:noProof/>
                <w:webHidden/>
              </w:rPr>
              <w:tab/>
            </w:r>
            <w:r w:rsidR="00610873">
              <w:rPr>
                <w:noProof/>
                <w:webHidden/>
              </w:rPr>
              <w:fldChar w:fldCharType="begin"/>
            </w:r>
            <w:r w:rsidR="00610873">
              <w:rPr>
                <w:noProof/>
                <w:webHidden/>
              </w:rPr>
              <w:instrText xml:space="preserve"> PAGEREF _Toc152921869 \h </w:instrText>
            </w:r>
            <w:r w:rsidR="00610873">
              <w:rPr>
                <w:noProof/>
                <w:webHidden/>
              </w:rPr>
            </w:r>
            <w:r w:rsidR="00610873">
              <w:rPr>
                <w:noProof/>
                <w:webHidden/>
              </w:rPr>
              <w:fldChar w:fldCharType="separate"/>
            </w:r>
            <w:r w:rsidR="00610873">
              <w:rPr>
                <w:noProof/>
                <w:webHidden/>
              </w:rPr>
              <w:t>30</w:t>
            </w:r>
            <w:r w:rsidR="00610873">
              <w:rPr>
                <w:noProof/>
                <w:webHidden/>
              </w:rPr>
              <w:fldChar w:fldCharType="end"/>
            </w:r>
          </w:hyperlink>
        </w:p>
        <w:p w14:paraId="3ABE80AB" w14:textId="37A755C4" w:rsidR="00610873" w:rsidRDefault="002D3811">
          <w:pPr>
            <w:pStyle w:val="TDC3"/>
            <w:rPr>
              <w:rFonts w:asciiTheme="minorHAnsi" w:eastAsiaTheme="minorEastAsia" w:hAnsiTheme="minorHAnsi" w:cstheme="minorBidi"/>
              <w:noProof/>
              <w:kern w:val="2"/>
              <w:szCs w:val="22"/>
              <w14:ligatures w14:val="standardContextual"/>
            </w:rPr>
          </w:pPr>
          <w:hyperlink w:anchor="_Toc152921870" w:history="1">
            <w:r w:rsidR="00610873" w:rsidRPr="0012291B">
              <w:rPr>
                <w:rStyle w:val="Hipervnculo"/>
                <w:noProof/>
              </w:rPr>
              <w:t>4.5.3</w:t>
            </w:r>
            <w:r w:rsidR="00610873">
              <w:rPr>
                <w:rFonts w:asciiTheme="minorHAnsi" w:eastAsiaTheme="minorEastAsia" w:hAnsiTheme="minorHAnsi" w:cstheme="minorBidi"/>
                <w:noProof/>
                <w:kern w:val="2"/>
                <w:szCs w:val="22"/>
                <w14:ligatures w14:val="standardContextual"/>
              </w:rPr>
              <w:tab/>
            </w:r>
            <w:r w:rsidR="00610873" w:rsidRPr="0012291B">
              <w:rPr>
                <w:rStyle w:val="Hipervnculo"/>
                <w:noProof/>
              </w:rPr>
              <w:t>Creación de costo temporal de mercado</w:t>
            </w:r>
            <w:r w:rsidR="00610873">
              <w:rPr>
                <w:noProof/>
                <w:webHidden/>
              </w:rPr>
              <w:tab/>
            </w:r>
            <w:r w:rsidR="00610873">
              <w:rPr>
                <w:noProof/>
                <w:webHidden/>
              </w:rPr>
              <w:fldChar w:fldCharType="begin"/>
            </w:r>
            <w:r w:rsidR="00610873">
              <w:rPr>
                <w:noProof/>
                <w:webHidden/>
              </w:rPr>
              <w:instrText xml:space="preserve"> PAGEREF _Toc152921870 \h </w:instrText>
            </w:r>
            <w:r w:rsidR="00610873">
              <w:rPr>
                <w:noProof/>
                <w:webHidden/>
              </w:rPr>
            </w:r>
            <w:r w:rsidR="00610873">
              <w:rPr>
                <w:noProof/>
                <w:webHidden/>
              </w:rPr>
              <w:fldChar w:fldCharType="separate"/>
            </w:r>
            <w:r w:rsidR="00610873">
              <w:rPr>
                <w:noProof/>
                <w:webHidden/>
              </w:rPr>
              <w:t>30</w:t>
            </w:r>
            <w:r w:rsidR="00610873">
              <w:rPr>
                <w:noProof/>
                <w:webHidden/>
              </w:rPr>
              <w:fldChar w:fldCharType="end"/>
            </w:r>
          </w:hyperlink>
        </w:p>
        <w:p w14:paraId="395B0041" w14:textId="07DFEB53" w:rsidR="00610873" w:rsidRDefault="002D3811">
          <w:pPr>
            <w:pStyle w:val="TDC1"/>
            <w:rPr>
              <w:rFonts w:asciiTheme="minorHAnsi" w:eastAsiaTheme="minorEastAsia" w:hAnsiTheme="minorHAnsi" w:cstheme="minorBidi"/>
              <w:kern w:val="2"/>
              <w:szCs w:val="22"/>
              <w14:ligatures w14:val="standardContextual"/>
            </w:rPr>
          </w:pPr>
          <w:hyperlink w:anchor="_Toc152921871" w:history="1">
            <w:r w:rsidR="00610873" w:rsidRPr="0012291B">
              <w:rPr>
                <w:rStyle w:val="Hipervnculo"/>
              </w:rPr>
              <w:t>5</w:t>
            </w:r>
            <w:r w:rsidR="00610873">
              <w:rPr>
                <w:rFonts w:asciiTheme="minorHAnsi" w:eastAsiaTheme="minorEastAsia" w:hAnsiTheme="minorHAnsi" w:cstheme="minorBidi"/>
                <w:kern w:val="2"/>
                <w:szCs w:val="22"/>
                <w14:ligatures w14:val="standardContextual"/>
              </w:rPr>
              <w:tab/>
            </w:r>
            <w:r w:rsidR="00610873" w:rsidRPr="0012291B">
              <w:rPr>
                <w:rStyle w:val="Hipervnculo"/>
              </w:rPr>
              <w:t>PROPUESTA REGULATORIA</w:t>
            </w:r>
            <w:r w:rsidR="00610873">
              <w:rPr>
                <w:webHidden/>
              </w:rPr>
              <w:tab/>
            </w:r>
            <w:r w:rsidR="00610873">
              <w:rPr>
                <w:webHidden/>
              </w:rPr>
              <w:fldChar w:fldCharType="begin"/>
            </w:r>
            <w:r w:rsidR="00610873">
              <w:rPr>
                <w:webHidden/>
              </w:rPr>
              <w:instrText xml:space="preserve"> PAGEREF _Toc152921871 \h </w:instrText>
            </w:r>
            <w:r w:rsidR="00610873">
              <w:rPr>
                <w:webHidden/>
              </w:rPr>
            </w:r>
            <w:r w:rsidR="00610873">
              <w:rPr>
                <w:webHidden/>
              </w:rPr>
              <w:fldChar w:fldCharType="separate"/>
            </w:r>
            <w:r w:rsidR="00610873">
              <w:rPr>
                <w:webHidden/>
              </w:rPr>
              <w:t>31</w:t>
            </w:r>
            <w:r w:rsidR="00610873">
              <w:rPr>
                <w:webHidden/>
              </w:rPr>
              <w:fldChar w:fldCharType="end"/>
            </w:r>
          </w:hyperlink>
        </w:p>
        <w:p w14:paraId="7325992C" w14:textId="31A4A54E" w:rsidR="00610873" w:rsidRDefault="002D3811">
          <w:pPr>
            <w:pStyle w:val="TDC2"/>
            <w:rPr>
              <w:rFonts w:asciiTheme="minorHAnsi" w:eastAsiaTheme="minorEastAsia" w:hAnsiTheme="minorHAnsi" w:cstheme="minorBidi"/>
              <w:kern w:val="2"/>
              <w:szCs w:val="22"/>
              <w14:ligatures w14:val="standardContextual"/>
            </w:rPr>
          </w:pPr>
          <w:hyperlink w:anchor="_Toc152921872" w:history="1">
            <w:r w:rsidR="00610873" w:rsidRPr="0012291B">
              <w:rPr>
                <w:rStyle w:val="Hipervnculo"/>
              </w:rPr>
              <w:t>5.1</w:t>
            </w:r>
            <w:r w:rsidR="00610873">
              <w:rPr>
                <w:rFonts w:asciiTheme="minorHAnsi" w:eastAsiaTheme="minorEastAsia" w:hAnsiTheme="minorHAnsi" w:cstheme="minorBidi"/>
                <w:kern w:val="2"/>
                <w:szCs w:val="22"/>
                <w14:ligatures w14:val="standardContextual"/>
              </w:rPr>
              <w:tab/>
            </w:r>
            <w:r w:rsidR="00610873" w:rsidRPr="0012291B">
              <w:rPr>
                <w:rStyle w:val="Hipervnculo"/>
              </w:rPr>
              <w:t>Herramientas jurídicas para implementación de la alternativa propuesta</w:t>
            </w:r>
            <w:r w:rsidR="00610873">
              <w:rPr>
                <w:webHidden/>
              </w:rPr>
              <w:tab/>
            </w:r>
            <w:r w:rsidR="00610873">
              <w:rPr>
                <w:webHidden/>
              </w:rPr>
              <w:fldChar w:fldCharType="begin"/>
            </w:r>
            <w:r w:rsidR="00610873">
              <w:rPr>
                <w:webHidden/>
              </w:rPr>
              <w:instrText xml:space="preserve"> PAGEREF _Toc152921872 \h </w:instrText>
            </w:r>
            <w:r w:rsidR="00610873">
              <w:rPr>
                <w:webHidden/>
              </w:rPr>
            </w:r>
            <w:r w:rsidR="00610873">
              <w:rPr>
                <w:webHidden/>
              </w:rPr>
              <w:fldChar w:fldCharType="separate"/>
            </w:r>
            <w:r w:rsidR="00610873">
              <w:rPr>
                <w:webHidden/>
              </w:rPr>
              <w:t>31</w:t>
            </w:r>
            <w:r w:rsidR="00610873">
              <w:rPr>
                <w:webHidden/>
              </w:rPr>
              <w:fldChar w:fldCharType="end"/>
            </w:r>
          </w:hyperlink>
        </w:p>
        <w:p w14:paraId="04722BD8" w14:textId="0BC1EE3E" w:rsidR="00610873" w:rsidRDefault="002D3811">
          <w:pPr>
            <w:pStyle w:val="TDC1"/>
            <w:rPr>
              <w:rFonts w:asciiTheme="minorHAnsi" w:eastAsiaTheme="minorEastAsia" w:hAnsiTheme="minorHAnsi" w:cstheme="minorBidi"/>
              <w:kern w:val="2"/>
              <w:szCs w:val="22"/>
              <w14:ligatures w14:val="standardContextual"/>
            </w:rPr>
          </w:pPr>
          <w:hyperlink w:anchor="_Toc152921873" w:history="1">
            <w:r w:rsidR="00610873" w:rsidRPr="0012291B">
              <w:rPr>
                <w:rStyle w:val="Hipervnculo"/>
              </w:rPr>
              <w:t>6</w:t>
            </w:r>
            <w:r w:rsidR="00610873">
              <w:rPr>
                <w:rFonts w:asciiTheme="minorHAnsi" w:eastAsiaTheme="minorEastAsia" w:hAnsiTheme="minorHAnsi" w:cstheme="minorBidi"/>
                <w:kern w:val="2"/>
                <w:szCs w:val="22"/>
                <w14:ligatures w14:val="standardContextual"/>
              </w:rPr>
              <w:tab/>
            </w:r>
            <w:r w:rsidR="00610873" w:rsidRPr="0012291B">
              <w:rPr>
                <w:rStyle w:val="Hipervnculo"/>
              </w:rPr>
              <w:t>ANÁLISIS DE IMPACTOS DE LO PROPUESTO EN EL PROYECTO DE RESOLUCIÓN 701 023 DE 2023.</w:t>
            </w:r>
            <w:r w:rsidR="00610873">
              <w:rPr>
                <w:webHidden/>
              </w:rPr>
              <w:tab/>
            </w:r>
            <w:r w:rsidR="00610873">
              <w:rPr>
                <w:webHidden/>
              </w:rPr>
              <w:fldChar w:fldCharType="begin"/>
            </w:r>
            <w:r w:rsidR="00610873">
              <w:rPr>
                <w:webHidden/>
              </w:rPr>
              <w:instrText xml:space="preserve"> PAGEREF _Toc152921873 \h </w:instrText>
            </w:r>
            <w:r w:rsidR="00610873">
              <w:rPr>
                <w:webHidden/>
              </w:rPr>
            </w:r>
            <w:r w:rsidR="00610873">
              <w:rPr>
                <w:webHidden/>
              </w:rPr>
              <w:fldChar w:fldCharType="separate"/>
            </w:r>
            <w:r w:rsidR="00610873">
              <w:rPr>
                <w:webHidden/>
              </w:rPr>
              <w:t>33</w:t>
            </w:r>
            <w:r w:rsidR="00610873">
              <w:rPr>
                <w:webHidden/>
              </w:rPr>
              <w:fldChar w:fldCharType="end"/>
            </w:r>
          </w:hyperlink>
        </w:p>
        <w:p w14:paraId="2B089E84" w14:textId="3F77BDFB" w:rsidR="00610873" w:rsidRDefault="002D3811">
          <w:pPr>
            <w:pStyle w:val="TDC2"/>
            <w:rPr>
              <w:rFonts w:asciiTheme="minorHAnsi" w:eastAsiaTheme="minorEastAsia" w:hAnsiTheme="minorHAnsi" w:cstheme="minorBidi"/>
              <w:kern w:val="2"/>
              <w:szCs w:val="22"/>
              <w14:ligatures w14:val="standardContextual"/>
            </w:rPr>
          </w:pPr>
          <w:hyperlink w:anchor="_Toc152921874" w:history="1">
            <w:r w:rsidR="00610873" w:rsidRPr="0012291B">
              <w:rPr>
                <w:rStyle w:val="Hipervnculo"/>
              </w:rPr>
              <w:t>6.1</w:t>
            </w:r>
            <w:r w:rsidR="00610873">
              <w:rPr>
                <w:rFonts w:asciiTheme="minorHAnsi" w:eastAsiaTheme="minorEastAsia" w:hAnsiTheme="minorHAnsi" w:cstheme="minorBidi"/>
                <w:kern w:val="2"/>
                <w:szCs w:val="22"/>
                <w14:ligatures w14:val="standardContextual"/>
              </w:rPr>
              <w:tab/>
            </w:r>
            <w:r w:rsidR="00610873" w:rsidRPr="0012291B">
              <w:rPr>
                <w:rStyle w:val="Hipervnculo"/>
              </w:rPr>
              <w:t>Impacto opción no hacer nada</w:t>
            </w:r>
            <w:r w:rsidR="00610873">
              <w:rPr>
                <w:webHidden/>
              </w:rPr>
              <w:tab/>
            </w:r>
            <w:r w:rsidR="00610873">
              <w:rPr>
                <w:webHidden/>
              </w:rPr>
              <w:fldChar w:fldCharType="begin"/>
            </w:r>
            <w:r w:rsidR="00610873">
              <w:rPr>
                <w:webHidden/>
              </w:rPr>
              <w:instrText xml:space="preserve"> PAGEREF _Toc152921874 \h </w:instrText>
            </w:r>
            <w:r w:rsidR="00610873">
              <w:rPr>
                <w:webHidden/>
              </w:rPr>
            </w:r>
            <w:r w:rsidR="00610873">
              <w:rPr>
                <w:webHidden/>
              </w:rPr>
              <w:fldChar w:fldCharType="separate"/>
            </w:r>
            <w:r w:rsidR="00610873">
              <w:rPr>
                <w:webHidden/>
              </w:rPr>
              <w:t>33</w:t>
            </w:r>
            <w:r w:rsidR="00610873">
              <w:rPr>
                <w:webHidden/>
              </w:rPr>
              <w:fldChar w:fldCharType="end"/>
            </w:r>
          </w:hyperlink>
        </w:p>
        <w:p w14:paraId="04B5E567" w14:textId="36995C3D" w:rsidR="00610873" w:rsidRDefault="002D3811">
          <w:pPr>
            <w:pStyle w:val="TDC2"/>
            <w:rPr>
              <w:rFonts w:asciiTheme="minorHAnsi" w:eastAsiaTheme="minorEastAsia" w:hAnsiTheme="minorHAnsi" w:cstheme="minorBidi"/>
              <w:kern w:val="2"/>
              <w:szCs w:val="22"/>
              <w14:ligatures w14:val="standardContextual"/>
            </w:rPr>
          </w:pPr>
          <w:hyperlink w:anchor="_Toc152921875" w:history="1">
            <w:r w:rsidR="00610873" w:rsidRPr="0012291B">
              <w:rPr>
                <w:rStyle w:val="Hipervnculo"/>
              </w:rPr>
              <w:t>6.2</w:t>
            </w:r>
            <w:r w:rsidR="00610873">
              <w:rPr>
                <w:rFonts w:asciiTheme="minorHAnsi" w:eastAsiaTheme="minorEastAsia" w:hAnsiTheme="minorHAnsi" w:cstheme="minorBidi"/>
                <w:kern w:val="2"/>
                <w:szCs w:val="22"/>
                <w14:ligatures w14:val="standardContextual"/>
              </w:rPr>
              <w:tab/>
            </w:r>
            <w:r w:rsidR="00610873" w:rsidRPr="0012291B">
              <w:rPr>
                <w:rStyle w:val="Hipervnculo"/>
              </w:rPr>
              <w:t>Impacto opción de individualización de saldo</w:t>
            </w:r>
            <w:r w:rsidR="00610873">
              <w:rPr>
                <w:webHidden/>
              </w:rPr>
              <w:tab/>
            </w:r>
            <w:r w:rsidR="00610873">
              <w:rPr>
                <w:webHidden/>
              </w:rPr>
              <w:fldChar w:fldCharType="begin"/>
            </w:r>
            <w:r w:rsidR="00610873">
              <w:rPr>
                <w:webHidden/>
              </w:rPr>
              <w:instrText xml:space="preserve"> PAGEREF _Toc152921875 \h </w:instrText>
            </w:r>
            <w:r w:rsidR="00610873">
              <w:rPr>
                <w:webHidden/>
              </w:rPr>
            </w:r>
            <w:r w:rsidR="00610873">
              <w:rPr>
                <w:webHidden/>
              </w:rPr>
              <w:fldChar w:fldCharType="separate"/>
            </w:r>
            <w:r w:rsidR="00610873">
              <w:rPr>
                <w:webHidden/>
              </w:rPr>
              <w:t>35</w:t>
            </w:r>
            <w:r w:rsidR="00610873">
              <w:rPr>
                <w:webHidden/>
              </w:rPr>
              <w:fldChar w:fldCharType="end"/>
            </w:r>
          </w:hyperlink>
        </w:p>
        <w:p w14:paraId="512E63C7" w14:textId="4732FFF9" w:rsidR="00610873" w:rsidRDefault="002D3811">
          <w:pPr>
            <w:pStyle w:val="TDC2"/>
            <w:rPr>
              <w:rFonts w:asciiTheme="minorHAnsi" w:eastAsiaTheme="minorEastAsia" w:hAnsiTheme="minorHAnsi" w:cstheme="minorBidi"/>
              <w:kern w:val="2"/>
              <w:szCs w:val="22"/>
              <w14:ligatures w14:val="standardContextual"/>
            </w:rPr>
          </w:pPr>
          <w:hyperlink w:anchor="_Toc152921876" w:history="1">
            <w:r w:rsidR="00610873" w:rsidRPr="0012291B">
              <w:rPr>
                <w:rStyle w:val="Hipervnculo"/>
              </w:rPr>
              <w:t>6.3</w:t>
            </w:r>
            <w:r w:rsidR="00610873">
              <w:rPr>
                <w:rFonts w:asciiTheme="minorHAnsi" w:eastAsiaTheme="minorEastAsia" w:hAnsiTheme="minorHAnsi" w:cstheme="minorBidi"/>
                <w:kern w:val="2"/>
                <w:szCs w:val="22"/>
                <w14:ligatures w14:val="standardContextual"/>
              </w:rPr>
              <w:tab/>
            </w:r>
            <w:r w:rsidR="00610873" w:rsidRPr="0012291B">
              <w:rPr>
                <w:rStyle w:val="Hipervnculo"/>
              </w:rPr>
              <w:t>Impacto opción de cargo por mercado</w:t>
            </w:r>
            <w:r w:rsidR="00610873">
              <w:rPr>
                <w:webHidden/>
              </w:rPr>
              <w:tab/>
            </w:r>
            <w:r w:rsidR="00610873">
              <w:rPr>
                <w:webHidden/>
              </w:rPr>
              <w:fldChar w:fldCharType="begin"/>
            </w:r>
            <w:r w:rsidR="00610873">
              <w:rPr>
                <w:webHidden/>
              </w:rPr>
              <w:instrText xml:space="preserve"> PAGEREF _Toc152921876 \h </w:instrText>
            </w:r>
            <w:r w:rsidR="00610873">
              <w:rPr>
                <w:webHidden/>
              </w:rPr>
            </w:r>
            <w:r w:rsidR="00610873">
              <w:rPr>
                <w:webHidden/>
              </w:rPr>
              <w:fldChar w:fldCharType="separate"/>
            </w:r>
            <w:r w:rsidR="00610873">
              <w:rPr>
                <w:webHidden/>
              </w:rPr>
              <w:t>36</w:t>
            </w:r>
            <w:r w:rsidR="00610873">
              <w:rPr>
                <w:webHidden/>
              </w:rPr>
              <w:fldChar w:fldCharType="end"/>
            </w:r>
          </w:hyperlink>
        </w:p>
        <w:p w14:paraId="7BB6AE71" w14:textId="2EC0320A" w:rsidR="00610873" w:rsidRDefault="002D3811">
          <w:pPr>
            <w:pStyle w:val="TDC1"/>
            <w:rPr>
              <w:rFonts w:asciiTheme="minorHAnsi" w:eastAsiaTheme="minorEastAsia" w:hAnsiTheme="minorHAnsi" w:cstheme="minorBidi"/>
              <w:kern w:val="2"/>
              <w:szCs w:val="22"/>
              <w14:ligatures w14:val="standardContextual"/>
            </w:rPr>
          </w:pPr>
          <w:hyperlink w:anchor="_Toc152921877" w:history="1">
            <w:r w:rsidR="00610873" w:rsidRPr="0012291B">
              <w:rPr>
                <w:rStyle w:val="Hipervnculo"/>
              </w:rPr>
              <w:t>7</w:t>
            </w:r>
            <w:r w:rsidR="00610873">
              <w:rPr>
                <w:rFonts w:asciiTheme="minorHAnsi" w:eastAsiaTheme="minorEastAsia" w:hAnsiTheme="minorHAnsi" w:cstheme="minorBidi"/>
                <w:kern w:val="2"/>
                <w:szCs w:val="22"/>
                <w14:ligatures w14:val="standardContextual"/>
              </w:rPr>
              <w:tab/>
            </w:r>
            <w:r w:rsidR="00610873" w:rsidRPr="0012291B">
              <w:rPr>
                <w:rStyle w:val="Hipervnculo"/>
              </w:rPr>
              <w:t>CONSULTA PÚBLICA</w:t>
            </w:r>
            <w:r w:rsidR="00610873">
              <w:rPr>
                <w:webHidden/>
              </w:rPr>
              <w:tab/>
            </w:r>
            <w:r w:rsidR="00610873">
              <w:rPr>
                <w:webHidden/>
              </w:rPr>
              <w:fldChar w:fldCharType="begin"/>
            </w:r>
            <w:r w:rsidR="00610873">
              <w:rPr>
                <w:webHidden/>
              </w:rPr>
              <w:instrText xml:space="preserve"> PAGEREF _Toc152921877 \h </w:instrText>
            </w:r>
            <w:r w:rsidR="00610873">
              <w:rPr>
                <w:webHidden/>
              </w:rPr>
            </w:r>
            <w:r w:rsidR="00610873">
              <w:rPr>
                <w:webHidden/>
              </w:rPr>
              <w:fldChar w:fldCharType="separate"/>
            </w:r>
            <w:r w:rsidR="00610873">
              <w:rPr>
                <w:webHidden/>
              </w:rPr>
              <w:t>38</w:t>
            </w:r>
            <w:r w:rsidR="00610873">
              <w:rPr>
                <w:webHidden/>
              </w:rPr>
              <w:fldChar w:fldCharType="end"/>
            </w:r>
          </w:hyperlink>
        </w:p>
        <w:p w14:paraId="2A4F2D7F" w14:textId="72354952" w:rsidR="00610873" w:rsidRDefault="002D3811">
          <w:pPr>
            <w:pStyle w:val="TDC1"/>
            <w:rPr>
              <w:rFonts w:asciiTheme="minorHAnsi" w:eastAsiaTheme="minorEastAsia" w:hAnsiTheme="minorHAnsi" w:cstheme="minorBidi"/>
              <w:kern w:val="2"/>
              <w:szCs w:val="22"/>
              <w14:ligatures w14:val="standardContextual"/>
            </w:rPr>
          </w:pPr>
          <w:hyperlink w:anchor="_Toc152921878" w:history="1">
            <w:r w:rsidR="00610873" w:rsidRPr="0012291B">
              <w:rPr>
                <w:rStyle w:val="Hipervnculo"/>
              </w:rPr>
              <w:t>8</w:t>
            </w:r>
            <w:r w:rsidR="00610873">
              <w:rPr>
                <w:rFonts w:asciiTheme="minorHAnsi" w:eastAsiaTheme="minorEastAsia" w:hAnsiTheme="minorHAnsi" w:cstheme="minorBidi"/>
                <w:kern w:val="2"/>
                <w:szCs w:val="22"/>
                <w14:ligatures w14:val="standardContextual"/>
              </w:rPr>
              <w:tab/>
            </w:r>
            <w:r w:rsidR="00610873" w:rsidRPr="0012291B">
              <w:rPr>
                <w:rStyle w:val="Hipervnculo"/>
              </w:rPr>
              <w:t>ANÁLISIS DE COMENTARIOS Y MODIFICACIONES REALIZADAS</w:t>
            </w:r>
            <w:r w:rsidR="00610873">
              <w:rPr>
                <w:webHidden/>
              </w:rPr>
              <w:tab/>
            </w:r>
            <w:r w:rsidR="00610873">
              <w:rPr>
                <w:webHidden/>
              </w:rPr>
              <w:fldChar w:fldCharType="begin"/>
            </w:r>
            <w:r w:rsidR="00610873">
              <w:rPr>
                <w:webHidden/>
              </w:rPr>
              <w:instrText xml:space="preserve"> PAGEREF _Toc152921878 \h </w:instrText>
            </w:r>
            <w:r w:rsidR="00610873">
              <w:rPr>
                <w:webHidden/>
              </w:rPr>
            </w:r>
            <w:r w:rsidR="00610873">
              <w:rPr>
                <w:webHidden/>
              </w:rPr>
              <w:fldChar w:fldCharType="separate"/>
            </w:r>
            <w:r w:rsidR="00610873">
              <w:rPr>
                <w:webHidden/>
              </w:rPr>
              <w:t>40</w:t>
            </w:r>
            <w:r w:rsidR="00610873">
              <w:rPr>
                <w:webHidden/>
              </w:rPr>
              <w:fldChar w:fldCharType="end"/>
            </w:r>
          </w:hyperlink>
        </w:p>
        <w:p w14:paraId="3A913223" w14:textId="1048A22A" w:rsidR="00610873" w:rsidRDefault="002D3811">
          <w:pPr>
            <w:pStyle w:val="TDC1"/>
            <w:rPr>
              <w:rFonts w:asciiTheme="minorHAnsi" w:eastAsiaTheme="minorEastAsia" w:hAnsiTheme="minorHAnsi" w:cstheme="minorBidi"/>
              <w:kern w:val="2"/>
              <w:szCs w:val="22"/>
              <w14:ligatures w14:val="standardContextual"/>
            </w:rPr>
          </w:pPr>
          <w:hyperlink w:anchor="_Toc152921879" w:history="1">
            <w:r w:rsidR="00610873" w:rsidRPr="0012291B">
              <w:rPr>
                <w:rStyle w:val="Hipervnculo"/>
                <w:bCs/>
                <w:spacing w:val="-5"/>
                <w:lang w:val="es-ES" w:eastAsia="es-ES"/>
              </w:rPr>
              <w:t>ANEXO 1. MATRIZ COMENTARIOS AGENTES</w:t>
            </w:r>
            <w:r w:rsidR="00610873">
              <w:rPr>
                <w:webHidden/>
              </w:rPr>
              <w:tab/>
            </w:r>
            <w:r w:rsidR="00610873">
              <w:rPr>
                <w:webHidden/>
              </w:rPr>
              <w:fldChar w:fldCharType="begin"/>
            </w:r>
            <w:r w:rsidR="00610873">
              <w:rPr>
                <w:webHidden/>
              </w:rPr>
              <w:instrText xml:space="preserve"> PAGEREF _Toc152921879 \h </w:instrText>
            </w:r>
            <w:r w:rsidR="00610873">
              <w:rPr>
                <w:webHidden/>
              </w:rPr>
            </w:r>
            <w:r w:rsidR="00610873">
              <w:rPr>
                <w:webHidden/>
              </w:rPr>
              <w:fldChar w:fldCharType="separate"/>
            </w:r>
            <w:r w:rsidR="00610873">
              <w:rPr>
                <w:webHidden/>
              </w:rPr>
              <w:t>46</w:t>
            </w:r>
            <w:r w:rsidR="00610873">
              <w:rPr>
                <w:webHidden/>
              </w:rPr>
              <w:fldChar w:fldCharType="end"/>
            </w:r>
          </w:hyperlink>
        </w:p>
        <w:p w14:paraId="6F3D29C0" w14:textId="3AB917A1" w:rsidR="00610873" w:rsidRDefault="002D3811">
          <w:pPr>
            <w:pStyle w:val="TDC1"/>
            <w:rPr>
              <w:rFonts w:asciiTheme="minorHAnsi" w:eastAsiaTheme="minorEastAsia" w:hAnsiTheme="minorHAnsi" w:cstheme="minorBidi"/>
              <w:kern w:val="2"/>
              <w:szCs w:val="22"/>
              <w14:ligatures w14:val="standardContextual"/>
            </w:rPr>
          </w:pPr>
          <w:hyperlink w:anchor="_Toc152921880" w:history="1">
            <w:r w:rsidR="00610873" w:rsidRPr="0012291B">
              <w:rPr>
                <w:rStyle w:val="Hipervnculo"/>
                <w:bCs/>
                <w:spacing w:val="-5"/>
                <w:lang w:val="es-ES" w:eastAsia="es-ES"/>
              </w:rPr>
              <w:t>En esta sección se presentan, de manera resumida, los comentarios recibidos en la Comisión y su respectiva respuesta.</w:t>
            </w:r>
            <w:r w:rsidR="00610873">
              <w:rPr>
                <w:webHidden/>
              </w:rPr>
              <w:tab/>
            </w:r>
            <w:r w:rsidR="00610873">
              <w:rPr>
                <w:webHidden/>
              </w:rPr>
              <w:fldChar w:fldCharType="begin"/>
            </w:r>
            <w:r w:rsidR="00610873">
              <w:rPr>
                <w:webHidden/>
              </w:rPr>
              <w:instrText xml:space="preserve"> PAGEREF _Toc152921880 \h </w:instrText>
            </w:r>
            <w:r w:rsidR="00610873">
              <w:rPr>
                <w:webHidden/>
              </w:rPr>
            </w:r>
            <w:r w:rsidR="00610873">
              <w:rPr>
                <w:webHidden/>
              </w:rPr>
              <w:fldChar w:fldCharType="separate"/>
            </w:r>
            <w:r w:rsidR="00610873">
              <w:rPr>
                <w:webHidden/>
              </w:rPr>
              <w:t>46</w:t>
            </w:r>
            <w:r w:rsidR="00610873">
              <w:rPr>
                <w:webHidden/>
              </w:rPr>
              <w:fldChar w:fldCharType="end"/>
            </w:r>
          </w:hyperlink>
        </w:p>
        <w:p w14:paraId="18779E11" w14:textId="7C6D32C2" w:rsidR="00610873" w:rsidRDefault="002D3811">
          <w:pPr>
            <w:pStyle w:val="TDC1"/>
            <w:rPr>
              <w:rFonts w:asciiTheme="minorHAnsi" w:eastAsiaTheme="minorEastAsia" w:hAnsiTheme="minorHAnsi" w:cstheme="minorBidi"/>
              <w:kern w:val="2"/>
              <w:szCs w:val="22"/>
              <w14:ligatures w14:val="standardContextual"/>
            </w:rPr>
          </w:pPr>
          <w:hyperlink w:anchor="_Toc152921881" w:history="1">
            <w:r w:rsidR="00610873" w:rsidRPr="0012291B">
              <w:rPr>
                <w:rStyle w:val="Hipervnculo"/>
                <w:bCs/>
                <w:spacing w:val="-5"/>
                <w:lang w:val="es-ES" w:eastAsia="es-ES"/>
              </w:rPr>
              <w:t>ANEXO 2. CUESTIONARIO DE LA ABOGACÍA DE LA COMPETENCIA</w:t>
            </w:r>
            <w:r w:rsidR="00610873">
              <w:rPr>
                <w:webHidden/>
              </w:rPr>
              <w:tab/>
            </w:r>
            <w:r w:rsidR="00610873">
              <w:rPr>
                <w:webHidden/>
              </w:rPr>
              <w:fldChar w:fldCharType="begin"/>
            </w:r>
            <w:r w:rsidR="00610873">
              <w:rPr>
                <w:webHidden/>
              </w:rPr>
              <w:instrText xml:space="preserve"> PAGEREF _Toc152921881 \h </w:instrText>
            </w:r>
            <w:r w:rsidR="00610873">
              <w:rPr>
                <w:webHidden/>
              </w:rPr>
            </w:r>
            <w:r w:rsidR="00610873">
              <w:rPr>
                <w:webHidden/>
              </w:rPr>
              <w:fldChar w:fldCharType="separate"/>
            </w:r>
            <w:r w:rsidR="00610873">
              <w:rPr>
                <w:webHidden/>
              </w:rPr>
              <w:t>72</w:t>
            </w:r>
            <w:r w:rsidR="00610873">
              <w:rPr>
                <w:webHidden/>
              </w:rPr>
              <w:fldChar w:fldCharType="end"/>
            </w:r>
          </w:hyperlink>
        </w:p>
        <w:p w14:paraId="3FF7BAA2" w14:textId="69568120" w:rsidR="00610873" w:rsidRDefault="002D3811">
          <w:pPr>
            <w:pStyle w:val="TDC1"/>
            <w:rPr>
              <w:rFonts w:asciiTheme="minorHAnsi" w:eastAsiaTheme="minorEastAsia" w:hAnsiTheme="minorHAnsi" w:cstheme="minorBidi"/>
              <w:kern w:val="2"/>
              <w:szCs w:val="22"/>
              <w14:ligatures w14:val="standardContextual"/>
            </w:rPr>
          </w:pPr>
          <w:hyperlink w:anchor="_Toc152921882" w:history="1">
            <w:r w:rsidR="00610873" w:rsidRPr="0012291B">
              <w:rPr>
                <w:rStyle w:val="Hipervnculo"/>
                <w:bCs/>
                <w:spacing w:val="-5"/>
                <w:lang w:val="es-ES" w:eastAsia="es-ES"/>
              </w:rPr>
              <w:t>FORMULARIO COMPETENCIA SIC</w:t>
            </w:r>
            <w:r w:rsidR="00610873">
              <w:rPr>
                <w:webHidden/>
              </w:rPr>
              <w:tab/>
            </w:r>
            <w:r w:rsidR="00610873">
              <w:rPr>
                <w:webHidden/>
              </w:rPr>
              <w:fldChar w:fldCharType="begin"/>
            </w:r>
            <w:r w:rsidR="00610873">
              <w:rPr>
                <w:webHidden/>
              </w:rPr>
              <w:instrText xml:space="preserve"> PAGEREF _Toc152921882 \h </w:instrText>
            </w:r>
            <w:r w:rsidR="00610873">
              <w:rPr>
                <w:webHidden/>
              </w:rPr>
            </w:r>
            <w:r w:rsidR="00610873">
              <w:rPr>
                <w:webHidden/>
              </w:rPr>
              <w:fldChar w:fldCharType="separate"/>
            </w:r>
            <w:r w:rsidR="00610873">
              <w:rPr>
                <w:webHidden/>
              </w:rPr>
              <w:t>72</w:t>
            </w:r>
            <w:r w:rsidR="00610873">
              <w:rPr>
                <w:webHidden/>
              </w:rPr>
              <w:fldChar w:fldCharType="end"/>
            </w:r>
          </w:hyperlink>
        </w:p>
        <w:p w14:paraId="43815026" w14:textId="1DBFA522" w:rsidR="00362784" w:rsidRPr="00190C8F" w:rsidRDefault="009A225F" w:rsidP="00D820DA">
          <w:pPr>
            <w:rPr>
              <w:b/>
              <w:bCs/>
              <w:spacing w:val="-5"/>
            </w:rPr>
          </w:pPr>
          <w:r w:rsidRPr="00473CB4">
            <w:rPr>
              <w:spacing w:val="-5"/>
            </w:rPr>
            <w:fldChar w:fldCharType="end"/>
          </w:r>
        </w:p>
      </w:sdtContent>
    </w:sdt>
    <w:p w14:paraId="59140688" w14:textId="77777777" w:rsidR="00D820DA" w:rsidRDefault="00D820DA">
      <w:pPr>
        <w:jc w:val="left"/>
        <w:rPr>
          <w:b/>
          <w:spacing w:val="-5"/>
        </w:rPr>
      </w:pPr>
      <w:bookmarkStart w:id="1" w:name="_Toc58169270"/>
      <w:bookmarkStart w:id="2" w:name="_Toc58169360"/>
      <w:bookmarkStart w:id="3" w:name="_Toc58169453"/>
      <w:bookmarkStart w:id="4" w:name="_Toc58169541"/>
      <w:bookmarkStart w:id="5" w:name="_Toc58222873"/>
      <w:bookmarkStart w:id="6" w:name="_Toc58169272"/>
      <w:bookmarkStart w:id="7" w:name="_Toc58169362"/>
      <w:bookmarkStart w:id="8" w:name="_Toc58169455"/>
      <w:bookmarkStart w:id="9" w:name="_Toc58169543"/>
      <w:bookmarkStart w:id="10" w:name="_Toc58222875"/>
      <w:bookmarkStart w:id="11" w:name="_Toc57991335"/>
      <w:bookmarkStart w:id="12" w:name="_Toc57991531"/>
      <w:bookmarkStart w:id="13" w:name="_Toc57991576"/>
      <w:bookmarkStart w:id="14" w:name="_Toc57991621"/>
      <w:bookmarkStart w:id="15" w:name="_Toc57992590"/>
      <w:bookmarkStart w:id="16" w:name="_Toc57993427"/>
      <w:bookmarkStart w:id="17" w:name="_Toc57993485"/>
      <w:bookmarkStart w:id="18" w:name="_Toc57995594"/>
      <w:bookmarkStart w:id="19" w:name="_Toc57995652"/>
      <w:bookmarkStart w:id="20" w:name="_Toc58068847"/>
      <w:bookmarkStart w:id="21" w:name="_Toc58068915"/>
      <w:bookmarkStart w:id="22" w:name="_Toc58069034"/>
      <w:bookmarkStart w:id="23" w:name="_Toc58069294"/>
      <w:bookmarkStart w:id="24" w:name="_Toc58069347"/>
      <w:bookmarkStart w:id="25" w:name="_Toc58087318"/>
      <w:bookmarkStart w:id="26" w:name="_Toc58169285"/>
      <w:bookmarkStart w:id="27" w:name="_Toc58169376"/>
      <w:bookmarkStart w:id="28" w:name="_Toc58169469"/>
      <w:bookmarkStart w:id="29" w:name="_Toc58169557"/>
      <w:bookmarkStart w:id="30" w:name="_Toc58222889"/>
      <w:bookmarkStart w:id="31" w:name="_Toc58169287"/>
      <w:bookmarkStart w:id="32" w:name="_Toc58169378"/>
      <w:bookmarkStart w:id="33" w:name="_Toc58169471"/>
      <w:bookmarkStart w:id="34" w:name="_Toc58169559"/>
      <w:bookmarkStart w:id="35" w:name="_Toc58222891"/>
      <w:bookmarkStart w:id="36" w:name="_Toc58169289"/>
      <w:bookmarkStart w:id="37" w:name="_Toc58169380"/>
      <w:bookmarkStart w:id="38" w:name="_Toc58169473"/>
      <w:bookmarkStart w:id="39" w:name="_Toc58169561"/>
      <w:bookmarkStart w:id="40" w:name="_Toc58222893"/>
      <w:bookmarkStart w:id="41" w:name="_Toc58169292"/>
      <w:bookmarkStart w:id="42" w:name="_Toc58169383"/>
      <w:bookmarkStart w:id="43" w:name="_Toc58169476"/>
      <w:bookmarkStart w:id="44" w:name="_Toc58169564"/>
      <w:bookmarkStart w:id="45" w:name="_Toc58222896"/>
      <w:bookmarkStart w:id="46" w:name="_Toc58169385"/>
      <w:bookmarkStart w:id="47" w:name="_Toc58169478"/>
      <w:bookmarkStart w:id="48" w:name="_Toc58169566"/>
      <w:bookmarkStart w:id="49" w:name="_Toc58222898"/>
      <w:bookmarkStart w:id="50" w:name="_Toc58169296"/>
      <w:bookmarkStart w:id="51" w:name="_Toc58169387"/>
      <w:bookmarkStart w:id="52" w:name="_Toc58169480"/>
      <w:bookmarkStart w:id="53" w:name="_Toc58169568"/>
      <w:bookmarkStart w:id="54" w:name="_Toc5822290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r>
        <w:rPr>
          <w:spacing w:val="-5"/>
        </w:rPr>
        <w:br w:type="page"/>
      </w:r>
    </w:p>
    <w:p w14:paraId="63C72EF7" w14:textId="7FDE55C1" w:rsidR="007E2BD1" w:rsidRPr="00061307" w:rsidRDefault="00C85F0B" w:rsidP="007E2BD1">
      <w:pPr>
        <w:pStyle w:val="Ttulo"/>
        <w:rPr>
          <w:spacing w:val="-5"/>
        </w:rPr>
      </w:pPr>
      <w:r w:rsidRPr="00C85F0B">
        <w:rPr>
          <w:spacing w:val="-5"/>
        </w:rPr>
        <w:lastRenderedPageBreak/>
        <w:t>RECUPERACIÓN DE LOS SALDOS ACUMULADOS DE LA OPCIÓN TARIFARIA EN ENERGÍA ELÉCTRICA</w:t>
      </w:r>
    </w:p>
    <w:p w14:paraId="7CFF3B5E" w14:textId="15E7067F" w:rsidR="007E2BD1" w:rsidRPr="00061307" w:rsidRDefault="002545BB" w:rsidP="00ED4190">
      <w:pPr>
        <w:pStyle w:val="Ttulo1"/>
      </w:pPr>
      <w:bookmarkStart w:id="55" w:name="_Toc58087310"/>
      <w:bookmarkStart w:id="56" w:name="_Toc58246265"/>
      <w:bookmarkStart w:id="57" w:name="_Toc58312324"/>
      <w:bookmarkStart w:id="58" w:name="_Toc58405801"/>
      <w:bookmarkStart w:id="59" w:name="_Toc152921844"/>
      <w:r>
        <w:t xml:space="preserve">INTRODUCCIÓN Y </w:t>
      </w:r>
      <w:r w:rsidR="007E2BD1" w:rsidRPr="00061307">
        <w:t>ANTECEDENTES</w:t>
      </w:r>
      <w:bookmarkEnd w:id="55"/>
      <w:bookmarkEnd w:id="56"/>
      <w:bookmarkEnd w:id="57"/>
      <w:bookmarkEnd w:id="58"/>
      <w:bookmarkEnd w:id="59"/>
    </w:p>
    <w:p w14:paraId="1BAEB53B" w14:textId="16ED461F" w:rsidR="0014536D" w:rsidRDefault="005E22C1" w:rsidP="00863A52">
      <w:r>
        <w:t xml:space="preserve">Mediante la </w:t>
      </w:r>
      <w:r w:rsidR="00C35BFB">
        <w:t>Resolución CREG 119 de 2007</w:t>
      </w:r>
      <w:r>
        <w:t xml:space="preserve"> se estableció </w:t>
      </w:r>
      <w:r w:rsidR="00104967">
        <w:t xml:space="preserve">la metodología para </w:t>
      </w:r>
      <w:r w:rsidR="00C35BFB">
        <w:t xml:space="preserve">el </w:t>
      </w:r>
      <w:r w:rsidR="00104967">
        <w:t xml:space="preserve">cálculo del </w:t>
      </w:r>
      <w:r>
        <w:t xml:space="preserve">Costo Unitario </w:t>
      </w:r>
      <w:r w:rsidR="00C35BFB">
        <w:t xml:space="preserve">de </w:t>
      </w:r>
      <w:r w:rsidR="009325E3">
        <w:t xml:space="preserve">Prestación </w:t>
      </w:r>
      <w:r w:rsidR="00C35BFB">
        <w:t xml:space="preserve">del </w:t>
      </w:r>
      <w:r w:rsidR="009325E3">
        <w:t>Servicio</w:t>
      </w:r>
      <w:r w:rsidR="00104967">
        <w:t xml:space="preserve"> como</w:t>
      </w:r>
      <w:r w:rsidR="0014536D" w:rsidRPr="0014536D">
        <w:t xml:space="preserve"> un costo económico eficiente que resulta de agregar los costos de las actividades de Generación, Transmisión, Distribución y Comercialización.</w:t>
      </w:r>
    </w:p>
    <w:p w14:paraId="17063A37" w14:textId="77777777" w:rsidR="00811256" w:rsidRDefault="002D38BC" w:rsidP="00ED4190">
      <w:r>
        <w:t xml:space="preserve">Las tarifas del servicio son el resultado de la aplicación del esquema de </w:t>
      </w:r>
      <w:r w:rsidR="00B6607D">
        <w:t xml:space="preserve">solidaridad y </w:t>
      </w:r>
      <w:r w:rsidR="00563842">
        <w:t xml:space="preserve">redistribución del ingreso </w:t>
      </w:r>
      <w:r w:rsidR="009B0861">
        <w:t xml:space="preserve">de que trata el artículo 89 de la Ley 142 de 1994, </w:t>
      </w:r>
      <w:r w:rsidR="00B6607D">
        <w:t>sobre el costo del servicio (</w:t>
      </w:r>
      <w:r w:rsidR="009B0861">
        <w:t>Costo Unitario de Prestación del Servicio, en adelante CU)</w:t>
      </w:r>
      <w:r w:rsidR="00811256">
        <w:t>.</w:t>
      </w:r>
    </w:p>
    <w:p w14:paraId="5535AA2A" w14:textId="6D8340EB" w:rsidR="002D38BC" w:rsidRDefault="00811256" w:rsidP="00ED4190">
      <w:r>
        <w:t xml:space="preserve">Así, las tarifas de los usuarios residenciales de estratos 1, 2 y 3, que según la Ley 142 de 1994 son usuarios de menores ingresos, </w:t>
      </w:r>
      <w:r w:rsidR="002B09B7">
        <w:t>tiene</w:t>
      </w:r>
      <w:r w:rsidR="000D583A">
        <w:t>n</w:t>
      </w:r>
      <w:r w:rsidR="002B09B7">
        <w:t xml:space="preserve"> un segmento de consumo en el cual los usuarios no pagan el costo del servicio sino que pagan un monto inferior, es decir, son subsidiados</w:t>
      </w:r>
      <w:r w:rsidR="00270DEB">
        <w:t>;</w:t>
      </w:r>
      <w:r w:rsidR="002B09B7">
        <w:t xml:space="preserve"> mientras que, </w:t>
      </w:r>
      <w:r w:rsidR="00270DEB">
        <w:t xml:space="preserve">las tarifas de los usuarios </w:t>
      </w:r>
      <w:r w:rsidR="002B09B7">
        <w:t>residenciales de estratos 5 y 6</w:t>
      </w:r>
      <w:r w:rsidR="005931D1">
        <w:t>,</w:t>
      </w:r>
      <w:r w:rsidR="002B09B7">
        <w:t xml:space="preserve"> así como los usuarios comerciales</w:t>
      </w:r>
      <w:r w:rsidR="005931D1">
        <w:t>,</w:t>
      </w:r>
      <w:r w:rsidR="002B09B7">
        <w:t xml:space="preserve"> </w:t>
      </w:r>
      <w:r w:rsidR="00257AE0">
        <w:t>pagan un 20% adicional al costo del servicio para cubrir parte de los subsidios asignados a los usuarios de menores ingresos.</w:t>
      </w:r>
    </w:p>
    <w:p w14:paraId="12945AD1" w14:textId="026A2DF9" w:rsidR="00257AE0" w:rsidRDefault="005931D1" w:rsidP="00ED4190">
      <w:r>
        <w:t xml:space="preserve">De esta manera, se observa que la determinación del CU es </w:t>
      </w:r>
      <w:r w:rsidR="00DE3C46">
        <w:t>la base fundamental del cálculo de las tarifas del servicio.</w:t>
      </w:r>
    </w:p>
    <w:p w14:paraId="34275E72" w14:textId="11AFF1F1" w:rsidR="00BE7BAF" w:rsidRDefault="00DE3C46" w:rsidP="007F54EB">
      <w:r>
        <w:t>Ahora bien, al observar la fórmula del</w:t>
      </w:r>
      <w:r w:rsidR="008D1512">
        <w:t xml:space="preserve"> </w:t>
      </w:r>
      <w:r w:rsidR="008D1512" w:rsidRPr="008D1512">
        <w:rPr>
          <w:i/>
          <w:iCs/>
        </w:rPr>
        <w:t xml:space="preserve">CU </w:t>
      </w:r>
      <w:r>
        <w:t xml:space="preserve">y de cada uno de sus componentes se </w:t>
      </w:r>
      <w:r w:rsidR="00B81AF1">
        <w:t>encuentra</w:t>
      </w:r>
      <w:r>
        <w:t xml:space="preserve"> </w:t>
      </w:r>
      <w:r w:rsidR="009F0806">
        <w:t xml:space="preserve">que dicho costo unitario </w:t>
      </w:r>
      <w:r w:rsidR="00AE5C7A">
        <w:t xml:space="preserve">puede </w:t>
      </w:r>
      <w:r w:rsidR="00821C01">
        <w:t>cambiar</w:t>
      </w:r>
      <w:r w:rsidR="00A10C7F">
        <w:t xml:space="preserve">, mensualmente, </w:t>
      </w:r>
      <w:r w:rsidR="00AE5C7A">
        <w:t>de acuerdo con la variación de uno o más de sus seis componentes de costo</w:t>
      </w:r>
      <w:r w:rsidR="00BE7BAF">
        <w:t>, como se presenta a continuación:</w:t>
      </w:r>
    </w:p>
    <w:p w14:paraId="50DA5EC0" w14:textId="6702A27A" w:rsidR="00F124D4" w:rsidRPr="0014536D" w:rsidRDefault="00F124D4" w:rsidP="00863A52">
      <w:pPr>
        <w:spacing w:before="240" w:after="240"/>
        <w:jc w:val="center"/>
        <w:rPr>
          <w:spacing w:val="-5"/>
        </w:rPr>
      </w:pPr>
      <w:proofErr w:type="gramStart"/>
      <w:r w:rsidRPr="0014536D">
        <w:rPr>
          <w:rFonts w:ascii="Cambria Math" w:hAnsi="Cambria Math" w:cs="Cambria Math"/>
          <w:spacing w:val="-5"/>
        </w:rPr>
        <w:t>𝐶𝑈𝑣</w:t>
      </w:r>
      <w:r w:rsidRPr="0014536D">
        <w:rPr>
          <w:rFonts w:ascii="Cambria Math" w:hAnsi="Cambria Math" w:cs="Cambria Math"/>
          <w:spacing w:val="-5"/>
          <w:vertAlign w:val="subscript"/>
        </w:rPr>
        <w:t>𝑛</w:t>
      </w:r>
      <w:r w:rsidRPr="0014536D">
        <w:rPr>
          <w:spacing w:val="-5"/>
          <w:vertAlign w:val="subscript"/>
        </w:rPr>
        <w:t>,</w:t>
      </w:r>
      <w:r w:rsidRPr="0014536D">
        <w:rPr>
          <w:rFonts w:ascii="Cambria Math" w:hAnsi="Cambria Math" w:cs="Cambria Math"/>
          <w:spacing w:val="-5"/>
          <w:vertAlign w:val="subscript"/>
        </w:rPr>
        <w:t>𝑚</w:t>
      </w:r>
      <w:proofErr w:type="gramEnd"/>
      <w:r w:rsidRPr="0014536D">
        <w:rPr>
          <w:spacing w:val="-5"/>
          <w:vertAlign w:val="subscript"/>
        </w:rPr>
        <w:t>,</w:t>
      </w:r>
      <w:r w:rsidRPr="0014536D">
        <w:rPr>
          <w:rFonts w:ascii="Cambria Math" w:hAnsi="Cambria Math" w:cs="Cambria Math"/>
          <w:spacing w:val="-5"/>
          <w:vertAlign w:val="subscript"/>
        </w:rPr>
        <w:t>𝑖</w:t>
      </w:r>
      <w:r w:rsidRPr="0014536D">
        <w:rPr>
          <w:spacing w:val="-5"/>
          <w:vertAlign w:val="subscript"/>
        </w:rPr>
        <w:t>,</w:t>
      </w:r>
      <w:r w:rsidRPr="0014536D">
        <w:rPr>
          <w:rFonts w:ascii="Cambria Math" w:hAnsi="Cambria Math" w:cs="Cambria Math"/>
          <w:spacing w:val="-5"/>
          <w:vertAlign w:val="subscript"/>
        </w:rPr>
        <w:t>𝑗</w:t>
      </w:r>
      <w:r w:rsidRPr="0014536D">
        <w:rPr>
          <w:spacing w:val="-5"/>
        </w:rPr>
        <w:t xml:space="preserve"> = </w:t>
      </w:r>
      <w:r w:rsidRPr="0014536D">
        <w:rPr>
          <w:rFonts w:ascii="Cambria Math" w:hAnsi="Cambria Math" w:cs="Cambria Math"/>
          <w:spacing w:val="-5"/>
        </w:rPr>
        <w:t>𝐺</w:t>
      </w:r>
      <w:r w:rsidRPr="0014536D">
        <w:rPr>
          <w:rFonts w:ascii="Cambria Math" w:hAnsi="Cambria Math" w:cs="Cambria Math"/>
          <w:spacing w:val="-5"/>
          <w:vertAlign w:val="subscript"/>
        </w:rPr>
        <w:t>𝑚</w:t>
      </w:r>
      <w:r w:rsidRPr="0014536D">
        <w:rPr>
          <w:spacing w:val="-5"/>
          <w:vertAlign w:val="subscript"/>
        </w:rPr>
        <w:t>,</w:t>
      </w:r>
      <w:r w:rsidRPr="0014536D">
        <w:rPr>
          <w:rFonts w:ascii="Cambria Math" w:hAnsi="Cambria Math" w:cs="Cambria Math"/>
          <w:spacing w:val="-5"/>
          <w:vertAlign w:val="subscript"/>
        </w:rPr>
        <w:t>𝑖</w:t>
      </w:r>
      <w:r w:rsidRPr="0014536D">
        <w:rPr>
          <w:spacing w:val="-5"/>
          <w:vertAlign w:val="subscript"/>
        </w:rPr>
        <w:t>,</w:t>
      </w:r>
      <w:r w:rsidRPr="0014536D">
        <w:rPr>
          <w:rFonts w:ascii="Cambria Math" w:hAnsi="Cambria Math" w:cs="Cambria Math"/>
          <w:spacing w:val="-5"/>
          <w:vertAlign w:val="subscript"/>
        </w:rPr>
        <w:t>𝑗</w:t>
      </w:r>
      <w:r w:rsidRPr="0014536D">
        <w:rPr>
          <w:spacing w:val="-5"/>
        </w:rPr>
        <w:t xml:space="preserve"> + </w:t>
      </w:r>
      <w:r w:rsidRPr="0014536D">
        <w:rPr>
          <w:rFonts w:ascii="Cambria Math" w:hAnsi="Cambria Math" w:cs="Cambria Math"/>
          <w:spacing w:val="-5"/>
        </w:rPr>
        <w:t>𝑇</w:t>
      </w:r>
      <w:r w:rsidRPr="0014536D">
        <w:rPr>
          <w:rFonts w:ascii="Cambria Math" w:hAnsi="Cambria Math" w:cs="Cambria Math"/>
          <w:spacing w:val="-5"/>
          <w:vertAlign w:val="subscript"/>
        </w:rPr>
        <w:t>𝑚</w:t>
      </w:r>
      <w:r w:rsidRPr="0014536D">
        <w:rPr>
          <w:spacing w:val="-5"/>
        </w:rPr>
        <w:t xml:space="preserve"> + </w:t>
      </w:r>
      <w:r w:rsidRPr="0014536D">
        <w:rPr>
          <w:rFonts w:ascii="Cambria Math" w:hAnsi="Cambria Math" w:cs="Cambria Math"/>
          <w:spacing w:val="-5"/>
        </w:rPr>
        <w:t>𝐷</w:t>
      </w:r>
      <w:r w:rsidRPr="0014536D">
        <w:rPr>
          <w:rFonts w:ascii="Cambria Math" w:hAnsi="Cambria Math" w:cs="Cambria Math"/>
          <w:spacing w:val="-5"/>
          <w:vertAlign w:val="subscript"/>
        </w:rPr>
        <w:t>𝑛</w:t>
      </w:r>
      <w:r w:rsidRPr="0014536D">
        <w:rPr>
          <w:spacing w:val="-5"/>
          <w:vertAlign w:val="subscript"/>
        </w:rPr>
        <w:t>,</w:t>
      </w:r>
      <w:r w:rsidRPr="0014536D">
        <w:rPr>
          <w:rFonts w:ascii="Cambria Math" w:hAnsi="Cambria Math" w:cs="Cambria Math"/>
          <w:spacing w:val="-5"/>
          <w:vertAlign w:val="subscript"/>
        </w:rPr>
        <w:t>𝑚</w:t>
      </w:r>
      <w:r w:rsidRPr="0014536D">
        <w:rPr>
          <w:spacing w:val="-5"/>
        </w:rPr>
        <w:t xml:space="preserve"> + </w:t>
      </w:r>
      <w:r w:rsidRPr="0014536D">
        <w:rPr>
          <w:rFonts w:ascii="Cambria Math" w:hAnsi="Cambria Math" w:cs="Cambria Math"/>
          <w:spacing w:val="-5"/>
        </w:rPr>
        <w:t>𝐶𝑣</w:t>
      </w:r>
      <w:r w:rsidRPr="0014536D">
        <w:rPr>
          <w:rFonts w:ascii="Cambria Math" w:hAnsi="Cambria Math" w:cs="Cambria Math"/>
          <w:spacing w:val="-5"/>
          <w:vertAlign w:val="subscript"/>
        </w:rPr>
        <w:t>𝑚</w:t>
      </w:r>
      <w:r w:rsidRPr="0014536D">
        <w:rPr>
          <w:spacing w:val="-5"/>
          <w:vertAlign w:val="subscript"/>
        </w:rPr>
        <w:t>,</w:t>
      </w:r>
      <w:r w:rsidRPr="0014536D">
        <w:rPr>
          <w:rFonts w:ascii="Cambria Math" w:hAnsi="Cambria Math" w:cs="Cambria Math"/>
          <w:spacing w:val="-5"/>
          <w:vertAlign w:val="subscript"/>
        </w:rPr>
        <w:t>𝑖</w:t>
      </w:r>
      <w:r w:rsidRPr="0014536D">
        <w:rPr>
          <w:spacing w:val="-5"/>
          <w:vertAlign w:val="subscript"/>
        </w:rPr>
        <w:t>,</w:t>
      </w:r>
      <w:r w:rsidRPr="0014536D">
        <w:rPr>
          <w:rFonts w:ascii="Cambria Math" w:hAnsi="Cambria Math" w:cs="Cambria Math"/>
          <w:spacing w:val="-5"/>
          <w:vertAlign w:val="subscript"/>
        </w:rPr>
        <w:t>𝑗</w:t>
      </w:r>
      <w:r w:rsidRPr="0014536D">
        <w:rPr>
          <w:spacing w:val="-5"/>
        </w:rPr>
        <w:t xml:space="preserve"> + </w:t>
      </w:r>
      <w:r w:rsidRPr="0014536D">
        <w:rPr>
          <w:rFonts w:ascii="Cambria Math" w:hAnsi="Cambria Math" w:cs="Cambria Math"/>
          <w:spacing w:val="-5"/>
        </w:rPr>
        <w:t>𝑃𝑅</w:t>
      </w:r>
      <w:r w:rsidRPr="0014536D">
        <w:rPr>
          <w:rFonts w:ascii="Cambria Math" w:hAnsi="Cambria Math" w:cs="Cambria Math"/>
          <w:spacing w:val="-5"/>
          <w:vertAlign w:val="subscript"/>
        </w:rPr>
        <w:t>𝑛</w:t>
      </w:r>
      <w:r w:rsidRPr="0014536D">
        <w:rPr>
          <w:spacing w:val="-5"/>
          <w:vertAlign w:val="subscript"/>
        </w:rPr>
        <w:t>,</w:t>
      </w:r>
      <w:r w:rsidRPr="0014536D">
        <w:rPr>
          <w:rFonts w:ascii="Cambria Math" w:hAnsi="Cambria Math" w:cs="Cambria Math"/>
          <w:spacing w:val="-5"/>
          <w:vertAlign w:val="subscript"/>
        </w:rPr>
        <w:t>𝑚</w:t>
      </w:r>
      <w:r w:rsidRPr="0014536D">
        <w:rPr>
          <w:spacing w:val="-5"/>
          <w:vertAlign w:val="subscript"/>
        </w:rPr>
        <w:t>,</w:t>
      </w:r>
      <w:r w:rsidRPr="0014536D">
        <w:rPr>
          <w:rFonts w:ascii="Cambria Math" w:hAnsi="Cambria Math" w:cs="Cambria Math"/>
          <w:spacing w:val="-5"/>
          <w:vertAlign w:val="subscript"/>
        </w:rPr>
        <w:t>𝑖</w:t>
      </w:r>
      <w:r w:rsidRPr="0014536D">
        <w:rPr>
          <w:spacing w:val="-5"/>
          <w:vertAlign w:val="subscript"/>
        </w:rPr>
        <w:t>,</w:t>
      </w:r>
      <w:r w:rsidRPr="0014536D">
        <w:rPr>
          <w:rFonts w:ascii="Cambria Math" w:hAnsi="Cambria Math" w:cs="Cambria Math"/>
          <w:spacing w:val="-5"/>
          <w:vertAlign w:val="subscript"/>
        </w:rPr>
        <w:t>𝑗</w:t>
      </w:r>
      <w:r w:rsidRPr="0014536D">
        <w:rPr>
          <w:spacing w:val="-5"/>
        </w:rPr>
        <w:t xml:space="preserve"> + </w:t>
      </w:r>
      <w:r w:rsidRPr="0014536D">
        <w:rPr>
          <w:rFonts w:ascii="Cambria Math" w:hAnsi="Cambria Math" w:cs="Cambria Math"/>
          <w:spacing w:val="-5"/>
        </w:rPr>
        <w:t>𝑅</w:t>
      </w:r>
      <w:r w:rsidRPr="0014536D">
        <w:rPr>
          <w:rFonts w:ascii="Cambria Math" w:hAnsi="Cambria Math" w:cs="Cambria Math"/>
          <w:spacing w:val="-5"/>
          <w:vertAlign w:val="subscript"/>
        </w:rPr>
        <w:t>𝑚</w:t>
      </w:r>
      <w:r w:rsidRPr="0014536D">
        <w:rPr>
          <w:spacing w:val="-5"/>
          <w:vertAlign w:val="subscript"/>
        </w:rPr>
        <w:t>,</w:t>
      </w:r>
      <w:r w:rsidRPr="0014536D">
        <w:rPr>
          <w:rFonts w:ascii="Cambria Math" w:hAnsi="Cambria Math" w:cs="Cambria Math"/>
          <w:spacing w:val="-5"/>
          <w:vertAlign w:val="subscript"/>
        </w:rPr>
        <w:t>𝑖</w:t>
      </w:r>
    </w:p>
    <w:p w14:paraId="70450500" w14:textId="65FADDF2" w:rsidR="00F124D4" w:rsidRPr="00B81AF1" w:rsidRDefault="00B81AF1" w:rsidP="007F54EB">
      <w:r w:rsidRPr="00B81AF1">
        <w:t>El componente</w:t>
      </w:r>
      <w:r w:rsidR="008D1512">
        <w:t xml:space="preserve"> </w:t>
      </w:r>
      <w:r w:rsidR="008D1512" w:rsidRPr="008D1512">
        <w:rPr>
          <w:i/>
          <w:iCs/>
        </w:rPr>
        <w:t>G</w:t>
      </w:r>
      <w:r w:rsidRPr="00B81AF1">
        <w:t xml:space="preserve"> </w:t>
      </w:r>
      <w:r w:rsidR="00914430">
        <w:t>que refleja el c</w:t>
      </w:r>
      <w:r w:rsidR="00914430" w:rsidRPr="00914430">
        <w:t>osto de</w:t>
      </w:r>
      <w:r w:rsidR="00914430">
        <w:t xml:space="preserve"> </w:t>
      </w:r>
      <w:r w:rsidR="00914430" w:rsidRPr="00914430">
        <w:t>compra de</w:t>
      </w:r>
      <w:r w:rsidR="00914430">
        <w:t xml:space="preserve"> </w:t>
      </w:r>
      <w:r w:rsidR="00914430" w:rsidRPr="00914430">
        <w:t xml:space="preserve">energía </w:t>
      </w:r>
      <w:r w:rsidR="00F61525">
        <w:t xml:space="preserve">por parte del </w:t>
      </w:r>
      <w:r w:rsidR="00914430" w:rsidRPr="00914430">
        <w:t>Comercializador</w:t>
      </w:r>
      <w:r w:rsidR="00F61525">
        <w:t xml:space="preserve"> </w:t>
      </w:r>
      <w:r w:rsidR="00914430" w:rsidRPr="00914430">
        <w:t>Minorista</w:t>
      </w:r>
      <w:r w:rsidR="00F61525">
        <w:t xml:space="preserve"> para su traslado al usuario final, puede cambiar mensualmente </w:t>
      </w:r>
      <w:r w:rsidR="00991812">
        <w:t>por cambios en l</w:t>
      </w:r>
      <w:r w:rsidR="00991812" w:rsidRPr="00991812">
        <w:t>os contratos de</w:t>
      </w:r>
      <w:r w:rsidR="00991812">
        <w:t xml:space="preserve"> </w:t>
      </w:r>
      <w:r w:rsidR="00991812" w:rsidRPr="00991812">
        <w:t>energía a largo</w:t>
      </w:r>
      <w:r w:rsidR="00991812">
        <w:t xml:space="preserve"> </w:t>
      </w:r>
      <w:r w:rsidR="00991812" w:rsidRPr="00991812">
        <w:t>plazo</w:t>
      </w:r>
      <w:r w:rsidR="00AF3BC4">
        <w:t xml:space="preserve"> los cuales </w:t>
      </w:r>
      <w:r w:rsidR="00991812" w:rsidRPr="00991812">
        <w:t>usualmente se</w:t>
      </w:r>
      <w:r w:rsidR="00D973C3">
        <w:t xml:space="preserve"> </w:t>
      </w:r>
      <w:r w:rsidR="00991812" w:rsidRPr="00991812">
        <w:t>indexan utilizando</w:t>
      </w:r>
      <w:r w:rsidR="00AF3BC4">
        <w:t xml:space="preserve"> </w:t>
      </w:r>
      <w:r w:rsidR="00991812" w:rsidRPr="00991812">
        <w:t>el Índice de Precios</w:t>
      </w:r>
      <w:r w:rsidR="00AF3BC4">
        <w:t xml:space="preserve"> </w:t>
      </w:r>
      <w:r w:rsidR="00991812" w:rsidRPr="00991812">
        <w:t>al Consumidor -</w:t>
      </w:r>
      <w:r w:rsidR="00AF3BC4">
        <w:t xml:space="preserve"> </w:t>
      </w:r>
      <w:r w:rsidR="00991812" w:rsidRPr="00991812">
        <w:t>IP</w:t>
      </w:r>
      <w:r w:rsidR="0016540C">
        <w:t>P</w:t>
      </w:r>
      <w:r w:rsidR="00991812" w:rsidRPr="00991812">
        <w:t>.</w:t>
      </w:r>
      <w:r w:rsidR="00F61525">
        <w:t xml:space="preserve"> </w:t>
      </w:r>
      <w:r w:rsidR="00FF3061">
        <w:t xml:space="preserve">Otro factor de variación frecuente está relacionado con la </w:t>
      </w:r>
      <w:r w:rsidR="00B63F0A">
        <w:t>variación del precio de bolsa de energía</w:t>
      </w:r>
      <w:r w:rsidR="00FF3061" w:rsidRPr="00FF3061">
        <w:t>, de</w:t>
      </w:r>
      <w:r w:rsidR="00B63F0A">
        <w:t xml:space="preserve"> </w:t>
      </w:r>
      <w:r w:rsidR="00FF3061" w:rsidRPr="00FF3061">
        <w:t>acuerdo con las</w:t>
      </w:r>
      <w:r w:rsidR="00B63F0A">
        <w:t xml:space="preserve"> </w:t>
      </w:r>
      <w:r w:rsidR="00FF3061" w:rsidRPr="00FF3061">
        <w:t>condiciones del</w:t>
      </w:r>
      <w:r w:rsidR="00B63F0A">
        <w:t xml:space="preserve"> </w:t>
      </w:r>
      <w:r w:rsidR="00FF3061" w:rsidRPr="00FF3061">
        <w:t>mercado de</w:t>
      </w:r>
      <w:r w:rsidR="00B63F0A">
        <w:t xml:space="preserve"> </w:t>
      </w:r>
      <w:r w:rsidR="00FF3061" w:rsidRPr="00FF3061">
        <w:t>generación.</w:t>
      </w:r>
      <w:r w:rsidRPr="00B81AF1">
        <w:t xml:space="preserve"> </w:t>
      </w:r>
    </w:p>
    <w:p w14:paraId="414D6D55" w14:textId="0A2E23E4" w:rsidR="00976815" w:rsidRDefault="00DF0710" w:rsidP="007F54EB">
      <w:r>
        <w:t>El componente</w:t>
      </w:r>
      <w:r w:rsidR="00446538">
        <w:t xml:space="preserve"> </w:t>
      </w:r>
      <w:r w:rsidR="00446538" w:rsidRPr="00446538">
        <w:rPr>
          <w:i/>
          <w:iCs/>
        </w:rPr>
        <w:t>T</w:t>
      </w:r>
      <w:r w:rsidR="00070E98">
        <w:t>,</w:t>
      </w:r>
      <w:r>
        <w:t xml:space="preserve"> que refleja los costos </w:t>
      </w:r>
      <w:r w:rsidR="00105ABE">
        <w:t xml:space="preserve">por el uso del Sistema de Transmisión Nacional con </w:t>
      </w:r>
      <w:r w:rsidR="00105ABE" w:rsidRPr="00105ABE">
        <w:t>el</w:t>
      </w:r>
      <w:r w:rsidR="00105ABE">
        <w:t xml:space="preserve"> </w:t>
      </w:r>
      <w:r w:rsidR="00105ABE" w:rsidRPr="00105ABE">
        <w:t>cual se paga el transporte de</w:t>
      </w:r>
      <w:r w:rsidR="00105ABE">
        <w:t xml:space="preserve"> </w:t>
      </w:r>
      <w:r w:rsidR="00105ABE" w:rsidRPr="00105ABE">
        <w:t>energía desde las plantas de</w:t>
      </w:r>
      <w:r w:rsidR="00105ABE">
        <w:t xml:space="preserve"> </w:t>
      </w:r>
      <w:r w:rsidR="00105ABE" w:rsidRPr="00105ABE">
        <w:t>generación hasta las Redes de</w:t>
      </w:r>
      <w:r w:rsidR="00105ABE">
        <w:t xml:space="preserve"> </w:t>
      </w:r>
      <w:r w:rsidR="00105ABE" w:rsidRPr="00105ABE">
        <w:t>Transmisión Regional (STR)</w:t>
      </w:r>
      <w:r w:rsidR="00E20929">
        <w:t xml:space="preserve"> y Distribución Local (SDL)</w:t>
      </w:r>
      <w:r w:rsidR="00070E98">
        <w:t>,</w:t>
      </w:r>
      <w:r w:rsidR="000B3508">
        <w:t xml:space="preserve"> puede variar por la entrada en operación de nuevos proyectos o </w:t>
      </w:r>
      <w:r w:rsidR="00976815">
        <w:t>por los cambios del Índice de Precios al Productor</w:t>
      </w:r>
      <w:r w:rsidR="007A373E">
        <w:t>, IPP, con base en el cual se actualiza</w:t>
      </w:r>
      <w:r w:rsidR="00070E98">
        <w:t xml:space="preserve"> mensualmente</w:t>
      </w:r>
      <w:r w:rsidR="007A373E">
        <w:t>.</w:t>
      </w:r>
    </w:p>
    <w:p w14:paraId="0DBE99AC" w14:textId="4BE898DC" w:rsidR="003F38B6" w:rsidRPr="001930B7" w:rsidRDefault="001059F0" w:rsidP="007F54EB">
      <w:r>
        <w:t>El componente</w:t>
      </w:r>
      <w:r w:rsidR="00446538">
        <w:t xml:space="preserve"> </w:t>
      </w:r>
      <w:r w:rsidR="00446538" w:rsidRPr="00446538">
        <w:rPr>
          <w:i/>
          <w:iCs/>
        </w:rPr>
        <w:t>D</w:t>
      </w:r>
      <w:r>
        <w:t xml:space="preserve"> refleja </w:t>
      </w:r>
      <w:r w:rsidR="00F662C0">
        <w:t>el c</w:t>
      </w:r>
      <w:r w:rsidR="00F662C0" w:rsidRPr="00F662C0">
        <w:t>osto por uso de</w:t>
      </w:r>
      <w:r w:rsidR="00CC757D">
        <w:t>l S</w:t>
      </w:r>
      <w:r w:rsidR="00CC757D" w:rsidRPr="00F662C0">
        <w:t xml:space="preserve">istema </w:t>
      </w:r>
      <w:r w:rsidR="00F662C0" w:rsidRPr="00F662C0">
        <w:t>de</w:t>
      </w:r>
      <w:r w:rsidR="00CC757D">
        <w:t xml:space="preserve"> </w:t>
      </w:r>
      <w:r w:rsidR="00F662C0" w:rsidRPr="00F662C0">
        <w:t>Distribución</w:t>
      </w:r>
      <w:r w:rsidR="00CC757D">
        <w:t xml:space="preserve"> </w:t>
      </w:r>
      <w:r w:rsidR="009D3C06">
        <w:t>c</w:t>
      </w:r>
      <w:r w:rsidR="009D3C06" w:rsidRPr="009D3C06">
        <w:t>orresponde al valor que se paga</w:t>
      </w:r>
      <w:r w:rsidR="009D3C06">
        <w:t xml:space="preserve"> </w:t>
      </w:r>
      <w:r w:rsidR="009D3C06" w:rsidRPr="009D3C06">
        <w:t>por transportar la energía desde el</w:t>
      </w:r>
      <w:r w:rsidR="009D3C06">
        <w:t xml:space="preserve"> </w:t>
      </w:r>
      <w:r w:rsidR="009D3C06" w:rsidRPr="009D3C06">
        <w:t>Sistema de Transmisión Nacional</w:t>
      </w:r>
      <w:r w:rsidR="009D3C06">
        <w:t xml:space="preserve"> </w:t>
      </w:r>
      <w:r w:rsidR="009D3C06" w:rsidRPr="009D3C06">
        <w:t>hasta el usuario final, a través de los</w:t>
      </w:r>
      <w:r w:rsidR="009D3C06">
        <w:t xml:space="preserve"> </w:t>
      </w:r>
      <w:r w:rsidR="009D3C06" w:rsidRPr="009D3C06">
        <w:t>Sistemas de Transmisión Regional</w:t>
      </w:r>
      <w:r w:rsidR="009D3C06">
        <w:t xml:space="preserve"> </w:t>
      </w:r>
      <w:r w:rsidR="009D3C06" w:rsidRPr="009D3C06">
        <w:t>y de Distribución Local.</w:t>
      </w:r>
      <w:r w:rsidR="001930B7">
        <w:t xml:space="preserve"> Estos valores cambian </w:t>
      </w:r>
      <w:r w:rsidR="00737507">
        <w:t>mensualmente</w:t>
      </w:r>
      <m:oMath>
        <m:r>
          <w:rPr>
            <w:rFonts w:ascii="Cambria Math" w:hAnsi="Cambria Math"/>
          </w:rPr>
          <m:t xml:space="preserve"> </m:t>
        </m:r>
      </m:oMath>
      <w:r w:rsidR="001930B7">
        <w:t>por efecto de la variación del IPP</w:t>
      </w:r>
      <w:r w:rsidR="003F38B6">
        <w:t>, por efecto de cambios en el consumo de los usuarios conectados a un mismo sistema</w:t>
      </w:r>
      <w:r w:rsidR="00C10314">
        <w:t>, conectados a una misma ADD</w:t>
      </w:r>
      <w:r w:rsidR="003F38B6">
        <w:t xml:space="preserve"> o por cambios en la normatividad</w:t>
      </w:r>
      <w:r w:rsidR="00CE7C3B">
        <w:t xml:space="preserve"> de remuneración, entre otros.</w:t>
      </w:r>
      <w:r w:rsidR="003F38B6">
        <w:t xml:space="preserve"> </w:t>
      </w:r>
      <w:r w:rsidR="001930B7">
        <w:t xml:space="preserve"> </w:t>
      </w:r>
    </w:p>
    <w:p w14:paraId="2C808901" w14:textId="386A986E" w:rsidR="00DA2E59" w:rsidRDefault="00496452" w:rsidP="007F54EB">
      <w:r>
        <w:t>El componente</w:t>
      </w:r>
      <w:r w:rsidR="00446538">
        <w:t xml:space="preserve"> </w:t>
      </w:r>
      <w:r w:rsidR="00446538" w:rsidRPr="00446538">
        <w:rPr>
          <w:i/>
          <w:iCs/>
        </w:rPr>
        <w:t>C</w:t>
      </w:r>
      <w:r>
        <w:t xml:space="preserve"> que refleja el </w:t>
      </w:r>
      <w:r w:rsidR="002B30FA">
        <w:t xml:space="preserve">costo </w:t>
      </w:r>
      <w:r w:rsidRPr="00496452">
        <w:t>de</w:t>
      </w:r>
      <w:r>
        <w:t xml:space="preserve"> </w:t>
      </w:r>
      <w:r w:rsidRPr="00496452">
        <w:t>Comercialización</w:t>
      </w:r>
      <w:r>
        <w:t xml:space="preserve"> </w:t>
      </w:r>
      <w:r w:rsidR="009C15E6">
        <w:t>y r</w:t>
      </w:r>
      <w:r w:rsidR="009C15E6" w:rsidRPr="009C15E6">
        <w:t>emunera los costos variables</w:t>
      </w:r>
      <w:r w:rsidR="009C15E6">
        <w:t xml:space="preserve"> </w:t>
      </w:r>
      <w:r w:rsidR="009C15E6" w:rsidRPr="009C15E6">
        <w:t>asociados con la comercialización</w:t>
      </w:r>
      <w:r w:rsidR="009C15E6">
        <w:t xml:space="preserve"> </w:t>
      </w:r>
      <w:r w:rsidR="009C15E6" w:rsidRPr="009C15E6">
        <w:t>de la energía, tales</w:t>
      </w:r>
      <w:r w:rsidR="0086020F">
        <w:t xml:space="preserve"> como</w:t>
      </w:r>
      <w:r w:rsidR="009C15E6" w:rsidRPr="009C15E6">
        <w:t xml:space="preserve"> los costos de</w:t>
      </w:r>
      <w:r w:rsidR="009C15E6">
        <w:t xml:space="preserve"> </w:t>
      </w:r>
      <w:r w:rsidR="009C15E6" w:rsidRPr="009C15E6">
        <w:t>atención comercial del usuario</w:t>
      </w:r>
      <w:r w:rsidR="00536D11">
        <w:t xml:space="preserve">, </w:t>
      </w:r>
      <w:r w:rsidR="002360D8">
        <w:t xml:space="preserve">el </w:t>
      </w:r>
      <w:r w:rsidR="0086020F" w:rsidRPr="009C15E6">
        <w:t>riesgo de cartera,</w:t>
      </w:r>
      <w:r w:rsidR="0086020F">
        <w:t xml:space="preserve"> </w:t>
      </w:r>
      <w:r w:rsidR="0086020F" w:rsidRPr="009C15E6">
        <w:t>pagos al administrador del mercado</w:t>
      </w:r>
      <w:r w:rsidR="0086020F">
        <w:t xml:space="preserve"> </w:t>
      </w:r>
      <w:r w:rsidR="0086020F" w:rsidRPr="009C15E6">
        <w:t xml:space="preserve">y al centro </w:t>
      </w:r>
      <w:r w:rsidR="0086020F" w:rsidRPr="009C15E6">
        <w:lastRenderedPageBreak/>
        <w:t xml:space="preserve">nacional de </w:t>
      </w:r>
      <w:proofErr w:type="gramStart"/>
      <w:r w:rsidR="0086020F" w:rsidRPr="009C15E6">
        <w:t>despacho</w:t>
      </w:r>
      <w:proofErr w:type="gramEnd"/>
      <w:r w:rsidR="0086020F">
        <w:t xml:space="preserve"> </w:t>
      </w:r>
      <w:r w:rsidR="0086020F" w:rsidRPr="009C15E6">
        <w:t xml:space="preserve">así como las </w:t>
      </w:r>
      <w:r w:rsidR="0086020F">
        <w:t>c</w:t>
      </w:r>
      <w:r w:rsidR="0086020F" w:rsidRPr="009C15E6">
        <w:t>ontribuciones a la</w:t>
      </w:r>
      <w:r w:rsidR="0086020F">
        <w:t xml:space="preserve"> </w:t>
      </w:r>
      <w:r w:rsidR="0086020F" w:rsidRPr="009C15E6">
        <w:t xml:space="preserve">CREG y a la SSPD y </w:t>
      </w:r>
      <w:r w:rsidR="002360D8" w:rsidRPr="009C15E6">
        <w:t>el margen</w:t>
      </w:r>
      <w:r w:rsidR="002360D8">
        <w:t xml:space="preserve"> </w:t>
      </w:r>
      <w:r w:rsidR="002360D8" w:rsidRPr="009C15E6">
        <w:t>de la actividad</w:t>
      </w:r>
      <w:r w:rsidR="002360D8">
        <w:t>. P</w:t>
      </w:r>
      <w:r w:rsidR="00536D11">
        <w:t>uede variar por efecto de variaciones en el IPC</w:t>
      </w:r>
      <w:r w:rsidR="00C1443C">
        <w:t>, mensualmente,</w:t>
      </w:r>
      <w:r w:rsidR="00536D11">
        <w:t xml:space="preserve"> </w:t>
      </w:r>
      <w:r w:rsidR="00AF4B45">
        <w:t xml:space="preserve">por cambios en los otros componentes de costo del CU </w:t>
      </w:r>
      <w:r w:rsidR="00536D11">
        <w:t xml:space="preserve">o por cambios </w:t>
      </w:r>
      <w:r w:rsidR="00C1443C">
        <w:t xml:space="preserve">ocasionales </w:t>
      </w:r>
      <w:r w:rsidR="00536D11">
        <w:t>en la normatividad</w:t>
      </w:r>
      <w:r w:rsidR="009C15E6" w:rsidRPr="009C15E6">
        <w:t>.</w:t>
      </w:r>
    </w:p>
    <w:p w14:paraId="6EF6D5D7" w14:textId="7848A5C9" w:rsidR="00DA20C1" w:rsidRPr="00DA20C1" w:rsidRDefault="00E42A66" w:rsidP="007F54EB">
      <w:r>
        <w:t>El componente</w:t>
      </w:r>
      <w:r w:rsidR="00446538">
        <w:t xml:space="preserve"> </w:t>
      </w:r>
      <w:r w:rsidR="00446538" w:rsidRPr="00446538">
        <w:rPr>
          <w:i/>
          <w:iCs/>
        </w:rPr>
        <w:t>R</w:t>
      </w:r>
      <w:r>
        <w:t xml:space="preserve"> es el </w:t>
      </w:r>
      <w:r w:rsidRPr="00E42A66">
        <w:t>costo de</w:t>
      </w:r>
      <w:r>
        <w:t xml:space="preserve"> </w:t>
      </w:r>
      <w:r w:rsidRPr="00E42A66">
        <w:t>restricciones y</w:t>
      </w:r>
      <w:r>
        <w:t xml:space="preserve"> </w:t>
      </w:r>
      <w:r w:rsidRPr="00E42A66">
        <w:t>de servicios</w:t>
      </w:r>
      <w:r>
        <w:t xml:space="preserve"> </w:t>
      </w:r>
      <w:r w:rsidRPr="00E42A66">
        <w:t>asociados con</w:t>
      </w:r>
      <w:r>
        <w:t xml:space="preserve"> la </w:t>
      </w:r>
      <w:r w:rsidRPr="00E42A66">
        <w:t>generación</w:t>
      </w:r>
      <w:r>
        <w:t xml:space="preserve"> de energía </w:t>
      </w:r>
      <w:r w:rsidR="00752195">
        <w:t xml:space="preserve">y </w:t>
      </w:r>
      <w:r w:rsidR="00EB4FA3">
        <w:t xml:space="preserve">remunera, principalmente, </w:t>
      </w:r>
      <w:r w:rsidR="00EB4FA3" w:rsidRPr="00EB4FA3">
        <w:t xml:space="preserve">los costos </w:t>
      </w:r>
      <w:r w:rsidR="00BE3952">
        <w:t xml:space="preserve">diferenciales </w:t>
      </w:r>
      <w:r w:rsidR="00EB4FA3" w:rsidRPr="00EB4FA3">
        <w:t>de la</w:t>
      </w:r>
      <w:r w:rsidR="00EB4FA3">
        <w:t xml:space="preserve"> </w:t>
      </w:r>
      <w:r w:rsidR="00EB4FA3" w:rsidRPr="00EB4FA3">
        <w:t>generación más costosa</w:t>
      </w:r>
      <w:r w:rsidR="00D03843">
        <w:t xml:space="preserve"> </w:t>
      </w:r>
      <w:r w:rsidR="00EB4FA3" w:rsidRPr="00EB4FA3">
        <w:t>que debió</w:t>
      </w:r>
      <w:r w:rsidR="00EB4FA3">
        <w:t xml:space="preserve"> </w:t>
      </w:r>
      <w:r w:rsidR="00EB4FA3" w:rsidRPr="00EB4FA3">
        <w:t>utilizarse para que el Sistema de</w:t>
      </w:r>
      <w:r w:rsidR="00EB4FA3">
        <w:t xml:space="preserve"> </w:t>
      </w:r>
      <w:r w:rsidR="00EB4FA3" w:rsidRPr="00EB4FA3">
        <w:t>Transmisión Nacional oper</w:t>
      </w:r>
      <w:r w:rsidR="00826D53">
        <w:t>ara</w:t>
      </w:r>
      <w:r w:rsidR="00EB4FA3" w:rsidRPr="00EB4FA3">
        <w:t xml:space="preserve"> de</w:t>
      </w:r>
      <w:r w:rsidR="00EB4FA3">
        <w:t xml:space="preserve"> </w:t>
      </w:r>
      <w:r w:rsidR="00EB4FA3" w:rsidRPr="00EB4FA3">
        <w:t>manera segura y/o por las</w:t>
      </w:r>
      <w:r w:rsidR="00EB4FA3">
        <w:t xml:space="preserve"> </w:t>
      </w:r>
      <w:r w:rsidR="00EB4FA3" w:rsidRPr="00EB4FA3">
        <w:t>limitaciones de su red.</w:t>
      </w:r>
      <w:r w:rsidR="00BE3952">
        <w:t xml:space="preserve"> </w:t>
      </w:r>
      <w:r w:rsidR="00DA20C1">
        <w:t xml:space="preserve">Es </w:t>
      </w:r>
      <w:r w:rsidR="00DA20C1" w:rsidRPr="00DA20C1">
        <w:t>variable por</w:t>
      </w:r>
      <w:r w:rsidR="00DA20C1">
        <w:t xml:space="preserve"> </w:t>
      </w:r>
      <w:r w:rsidR="00DA20C1" w:rsidRPr="00DA20C1">
        <w:t>cuanto depende</w:t>
      </w:r>
      <w:r w:rsidR="00DA20C1">
        <w:t xml:space="preserve"> </w:t>
      </w:r>
      <w:r w:rsidR="00DA20C1" w:rsidRPr="00DA20C1">
        <w:t>principalmente de la</w:t>
      </w:r>
      <w:r w:rsidR="00DA20C1">
        <w:t xml:space="preserve"> </w:t>
      </w:r>
      <w:r w:rsidR="00DA20C1" w:rsidRPr="00DA20C1">
        <w:t>magnitud de la</w:t>
      </w:r>
      <w:r w:rsidR="006F0547">
        <w:t xml:space="preserve"> </w:t>
      </w:r>
      <w:r w:rsidR="00DA20C1" w:rsidRPr="00DA20C1">
        <w:t>indisponibilidad de</w:t>
      </w:r>
      <w:r w:rsidR="00DA20C1">
        <w:t xml:space="preserve"> </w:t>
      </w:r>
      <w:r w:rsidR="00DA20C1" w:rsidRPr="00DA20C1">
        <w:t>los activos de</w:t>
      </w:r>
      <w:r w:rsidR="00DA20C1">
        <w:t xml:space="preserve"> </w:t>
      </w:r>
      <w:r w:rsidR="00DA20C1" w:rsidRPr="00DA20C1">
        <w:t>transmisión y de las</w:t>
      </w:r>
      <w:r w:rsidR="00DA20C1">
        <w:t xml:space="preserve"> </w:t>
      </w:r>
      <w:r w:rsidR="00DA20C1" w:rsidRPr="00DA20C1">
        <w:t>condiciones</w:t>
      </w:r>
      <w:r w:rsidR="00DA20C1">
        <w:t xml:space="preserve"> </w:t>
      </w:r>
      <w:r w:rsidR="00DA20C1" w:rsidRPr="00DA20C1">
        <w:t>operativas del</w:t>
      </w:r>
      <w:r w:rsidR="00DA20C1">
        <w:t xml:space="preserve"> </w:t>
      </w:r>
      <w:r w:rsidR="00DA20C1" w:rsidRPr="00DA20C1">
        <w:t>sistema, así como</w:t>
      </w:r>
      <w:r w:rsidR="00DA20C1">
        <w:t xml:space="preserve"> </w:t>
      </w:r>
      <w:r w:rsidR="00DA20C1" w:rsidRPr="00DA20C1">
        <w:t>del despacho de</w:t>
      </w:r>
      <w:r w:rsidR="00DA20C1">
        <w:t xml:space="preserve"> </w:t>
      </w:r>
      <w:r w:rsidR="00DA20C1" w:rsidRPr="00DA20C1">
        <w:t>generación.</w:t>
      </w:r>
    </w:p>
    <w:p w14:paraId="5E34AA46" w14:textId="3AE7455B" w:rsidR="00DA20C1" w:rsidRDefault="00DA20C1" w:rsidP="007F54EB">
      <w:r>
        <w:t>El componente</w:t>
      </w:r>
      <w:r w:rsidR="00446538">
        <w:t xml:space="preserve"> </w:t>
      </w:r>
      <w:r w:rsidR="00446538" w:rsidRPr="00446538">
        <w:rPr>
          <w:i/>
          <w:iCs/>
        </w:rPr>
        <w:t>PR</w:t>
      </w:r>
      <w:r w:rsidR="00F14532">
        <w:t xml:space="preserve"> c</w:t>
      </w:r>
      <w:r w:rsidR="00F14532" w:rsidRPr="00F14532">
        <w:t>orresponde al costo reconocido de</w:t>
      </w:r>
      <w:r w:rsidR="00F14532">
        <w:t xml:space="preserve"> </w:t>
      </w:r>
      <w:r w:rsidR="00F14532" w:rsidRPr="00F14532">
        <w:t>pérdidas de energía que</w:t>
      </w:r>
      <w:r w:rsidR="00B855EC">
        <w:t>,</w:t>
      </w:r>
      <w:r w:rsidR="00F14532" w:rsidRPr="00F14532">
        <w:t xml:space="preserve"> por</w:t>
      </w:r>
      <w:r w:rsidR="006F0547">
        <w:t xml:space="preserve"> </w:t>
      </w:r>
      <w:r w:rsidR="00F14532" w:rsidRPr="00F14532">
        <w:t>razones técnicas o no técnicas, se</w:t>
      </w:r>
      <w:r w:rsidR="00F14532">
        <w:t xml:space="preserve"> </w:t>
      </w:r>
      <w:r w:rsidR="00F14532" w:rsidRPr="00F14532">
        <w:t>causan, tanto en el Sistema de</w:t>
      </w:r>
      <w:r w:rsidR="00F14532">
        <w:t xml:space="preserve"> </w:t>
      </w:r>
      <w:r w:rsidR="00F14532" w:rsidRPr="00F14532">
        <w:t>Transmisión Nacional como en los</w:t>
      </w:r>
      <w:r w:rsidR="00F14532">
        <w:t xml:space="preserve"> </w:t>
      </w:r>
      <w:r w:rsidR="00F14532" w:rsidRPr="00F14532">
        <w:t>Sistemas de Transmisión Regional</w:t>
      </w:r>
      <w:r w:rsidR="00F14532">
        <w:t xml:space="preserve"> </w:t>
      </w:r>
      <w:r w:rsidR="00F14532" w:rsidRPr="00F14532">
        <w:t>y Distribución Local. Incluye los</w:t>
      </w:r>
      <w:r w:rsidR="00F14532">
        <w:t xml:space="preserve"> </w:t>
      </w:r>
      <w:r w:rsidR="00F14532" w:rsidRPr="00F14532">
        <w:t>costos de los programas de</w:t>
      </w:r>
      <w:r w:rsidR="00F14532">
        <w:t xml:space="preserve"> </w:t>
      </w:r>
      <w:r w:rsidR="00F14532" w:rsidRPr="00F14532">
        <w:t>reducción de pérdidas no técnicas</w:t>
      </w:r>
      <w:r w:rsidR="00F14532">
        <w:t xml:space="preserve"> </w:t>
      </w:r>
      <w:r w:rsidR="00F14532" w:rsidRPr="00F14532">
        <w:t xml:space="preserve">que se realicen por </w:t>
      </w:r>
      <w:r w:rsidR="007B44CA">
        <w:t>m</w:t>
      </w:r>
      <w:r w:rsidR="00F14532" w:rsidRPr="00F14532">
        <w:t>ercado de</w:t>
      </w:r>
      <w:r w:rsidR="00F14532">
        <w:t xml:space="preserve"> </w:t>
      </w:r>
      <w:r w:rsidR="007B44CA">
        <w:t>c</w:t>
      </w:r>
      <w:r w:rsidR="00F14532" w:rsidRPr="00F14532">
        <w:t>omercialización</w:t>
      </w:r>
      <w:r w:rsidR="00F14532">
        <w:t xml:space="preserve"> y puede variar </w:t>
      </w:r>
      <w:r w:rsidR="00584D34">
        <w:t>por cada empresa en función de los costos particulares de generación o de</w:t>
      </w:r>
      <w:r w:rsidR="00A36067">
        <w:t xml:space="preserve">l costo del programa de gestión de pérdidas </w:t>
      </w:r>
      <w:r w:rsidR="00584D34">
        <w:t>aprobado</w:t>
      </w:r>
      <w:r w:rsidR="00F14532" w:rsidRPr="00F14532">
        <w:t>.</w:t>
      </w:r>
    </w:p>
    <w:p w14:paraId="528047E7" w14:textId="7B417777" w:rsidR="00034405" w:rsidRDefault="00D973C3" w:rsidP="00ED4190">
      <w:r>
        <w:t xml:space="preserve">Como se observa, el CU es susceptible de variaciones por varias circunstancias dentro de las que resaltan </w:t>
      </w:r>
      <w:r w:rsidR="000525CB">
        <w:t>a</w:t>
      </w:r>
      <w:r w:rsidR="00201CBB">
        <w:t>lgunas causadas</w:t>
      </w:r>
      <w:r w:rsidR="000525CB">
        <w:t>,</w:t>
      </w:r>
      <w:r w:rsidR="00201CBB">
        <w:t xml:space="preserve"> </w:t>
      </w:r>
      <w:r w:rsidR="00837D1B">
        <w:t>principalmente</w:t>
      </w:r>
      <w:r w:rsidR="000525CB">
        <w:t>,</w:t>
      </w:r>
      <w:r w:rsidR="00837D1B">
        <w:t xml:space="preserve"> </w:t>
      </w:r>
      <w:r w:rsidR="00201CBB">
        <w:t xml:space="preserve">por cambios </w:t>
      </w:r>
      <w:r w:rsidR="00AB2F04">
        <w:t>en la hidrología</w:t>
      </w:r>
      <w:r w:rsidR="00034405">
        <w:t>,</w:t>
      </w:r>
      <w:r w:rsidR="00AB2F04">
        <w:t xml:space="preserve"> características </w:t>
      </w:r>
      <w:r w:rsidR="00187664">
        <w:t>del mercado</w:t>
      </w:r>
      <w:r w:rsidR="008E42C2">
        <w:t>,</w:t>
      </w:r>
      <w:r w:rsidR="004F2607">
        <w:t xml:space="preserve"> cambios </w:t>
      </w:r>
      <w:r w:rsidR="00201CBB">
        <w:t xml:space="preserve">en la reglamentación de los </w:t>
      </w:r>
      <w:r w:rsidR="00837D1B">
        <w:t>componentes de costo regulados</w:t>
      </w:r>
      <w:r w:rsidR="008E42C2">
        <w:t xml:space="preserve"> o cambio en los índices de precios</w:t>
      </w:r>
      <w:r w:rsidR="002515E3">
        <w:t xml:space="preserve"> (IPP, IPC)</w:t>
      </w:r>
      <w:r w:rsidR="0084643D">
        <w:t>.</w:t>
      </w:r>
      <w:r w:rsidR="00034405">
        <w:t xml:space="preserve"> </w:t>
      </w:r>
    </w:p>
    <w:p w14:paraId="635AF70C" w14:textId="3AE0690A" w:rsidR="00D038AC" w:rsidRDefault="00D038AC" w:rsidP="00ED4190">
      <w:r>
        <w:t>De esta manera, el comercializador de energía, que es el agente responsable del cálculo mensual tanto del costo unitario de prestación del servicio como de las tarifas para el cobro del servicio a los usuarios</w:t>
      </w:r>
      <w:r w:rsidR="0084643D">
        <w:t xml:space="preserve">, </w:t>
      </w:r>
      <w:r w:rsidR="000C5C36">
        <w:t xml:space="preserve">en situaciones de importantes variaciones del CU </w:t>
      </w:r>
      <w:r w:rsidR="0084643D">
        <w:t xml:space="preserve">debe enfrentarse </w:t>
      </w:r>
      <w:r w:rsidR="00BC702B">
        <w:t xml:space="preserve">a las posibles </w:t>
      </w:r>
      <w:r w:rsidR="000C5C36" w:rsidRPr="000C5C36">
        <w:t xml:space="preserve">incomodidades en los usuarios o </w:t>
      </w:r>
      <w:r w:rsidR="00BC702B">
        <w:t xml:space="preserve">a las </w:t>
      </w:r>
      <w:r w:rsidR="000C5C36" w:rsidRPr="000C5C36">
        <w:t>repercu</w:t>
      </w:r>
      <w:r w:rsidR="00BC702B">
        <w:t>siones</w:t>
      </w:r>
      <w:r w:rsidR="000C5C36" w:rsidRPr="000C5C36">
        <w:t xml:space="preserve"> en el recaudo de los ingresos necesarios para la operación del sistema</w:t>
      </w:r>
      <w:r w:rsidR="00BC702B">
        <w:t xml:space="preserve"> por este efecto</w:t>
      </w:r>
      <w:r w:rsidR="000C5C36" w:rsidRPr="000C5C36">
        <w:t>.</w:t>
      </w:r>
    </w:p>
    <w:p w14:paraId="66746BB3" w14:textId="1910BE8D" w:rsidR="009C55E6" w:rsidRDefault="007B44CA" w:rsidP="00ED4190">
      <w:r>
        <w:t>L</w:t>
      </w:r>
      <w:r w:rsidR="00D038AC">
        <w:t>a CREG, de conformidad con sus funciones de ley</w:t>
      </w:r>
      <w:r w:rsidR="00235217">
        <w:t xml:space="preserve"> que le permiten establecer cambios graduales en las tarifas para minimizar el impacto de fuertes variaciones, </w:t>
      </w:r>
      <w:r w:rsidR="00990956">
        <w:t xml:space="preserve">estableció una </w:t>
      </w:r>
      <w:r w:rsidR="00F22945">
        <w:t>“o</w:t>
      </w:r>
      <w:r w:rsidR="00990956">
        <w:t xml:space="preserve">pción </w:t>
      </w:r>
      <w:r w:rsidR="00F22945">
        <w:t>t</w:t>
      </w:r>
      <w:r w:rsidR="00990956">
        <w:t>arifaria</w:t>
      </w:r>
      <w:r w:rsidR="00F22945">
        <w:t>”</w:t>
      </w:r>
      <w:r w:rsidR="00990956">
        <w:t xml:space="preserve"> que consiste en permitir que un comercializador </w:t>
      </w:r>
      <w:r w:rsidR="00D540FC">
        <w:t>modere las variaciones en las tarifas a los usuarios del mercado de comercialización en el que desarrolla su actividad</w:t>
      </w:r>
      <w:r w:rsidR="000B6283">
        <w:t xml:space="preserve"> </w:t>
      </w:r>
      <w:r w:rsidR="00941C2E">
        <w:t>trasladando</w:t>
      </w:r>
      <w:r w:rsidR="00A10834">
        <w:t>,</w:t>
      </w:r>
      <w:r w:rsidR="00941C2E">
        <w:t xml:space="preserve"> de manera controlada</w:t>
      </w:r>
      <w:r w:rsidR="00A10834">
        <w:t>,</w:t>
      </w:r>
      <w:r w:rsidR="00941C2E">
        <w:t xml:space="preserve"> los aumentos en el CU. Bajo este esquema el comercializador </w:t>
      </w:r>
      <w:r w:rsidR="00465D65">
        <w:t xml:space="preserve">va </w:t>
      </w:r>
      <w:r w:rsidR="00DE2972">
        <w:t xml:space="preserve">“prestando” al conjunto de usuarios </w:t>
      </w:r>
      <w:r w:rsidR="00941C2E">
        <w:t xml:space="preserve">del mercado </w:t>
      </w:r>
      <w:r w:rsidR="00DE2972">
        <w:t xml:space="preserve">la diferencia entre lo que se encuentra autorizado a cobrar y </w:t>
      </w:r>
      <w:r w:rsidR="00034D24">
        <w:t>el</w:t>
      </w:r>
      <w:r w:rsidR="00DE2972">
        <w:t xml:space="preserve"> valor inferior</w:t>
      </w:r>
      <w:r w:rsidR="00034D24">
        <w:t xml:space="preserve"> cobrado</w:t>
      </w:r>
      <w:r w:rsidR="001358C7">
        <w:t>.</w:t>
      </w:r>
    </w:p>
    <w:p w14:paraId="1E103F2D" w14:textId="5A96CBAC" w:rsidR="001358C7" w:rsidRDefault="001358C7" w:rsidP="00ED4190">
      <w:r>
        <w:t>Así, cada mes</w:t>
      </w:r>
      <w:r w:rsidR="0037533B">
        <w:t xml:space="preserve">, en la medida que el costo unitario calculado con base en la Resolución CREG 119 de 2007 </w:t>
      </w:r>
      <w:r w:rsidR="004E2D07">
        <w:t xml:space="preserve">sea igual o superior al </w:t>
      </w:r>
      <w:r w:rsidR="00A14F4F">
        <w:t>costo aplicado en las tarifas</w:t>
      </w:r>
      <w:r w:rsidR="00913729">
        <w:t xml:space="preserve"> (CU de la opción tarifaria)</w:t>
      </w:r>
      <w:r w:rsidR="00A14F4F">
        <w:t xml:space="preserve">, el </w:t>
      </w:r>
      <w:r w:rsidR="00967BC0">
        <w:t xml:space="preserve">saldo del mes </w:t>
      </w:r>
      <w:r w:rsidR="004E2D07">
        <w:t>anterior</w:t>
      </w:r>
      <w:r w:rsidR="00967BC0">
        <w:t xml:space="preserve"> crecerá hasta que la situación descrita cambie, es decir, que el CU calculado con base en la Resolución CREG 119 de 2007</w:t>
      </w:r>
      <w:r w:rsidR="00D5512F">
        <w:t xml:space="preserve"> sea </w:t>
      </w:r>
      <w:r w:rsidR="00420EF0">
        <w:t xml:space="preserve">inferior al CU </w:t>
      </w:r>
      <w:r w:rsidR="00E574B6">
        <w:t xml:space="preserve">de la opción tarifaria, momento en el cual se comienza a disminuir el saldo acumulado. </w:t>
      </w:r>
    </w:p>
    <w:p w14:paraId="5F3888A0" w14:textId="6125AFC6" w:rsidR="00095238" w:rsidRDefault="00642257" w:rsidP="00ED4190">
      <w:r w:rsidRPr="00B26138">
        <w:t xml:space="preserve">Esta opción tarifaria viene funcionando desde el 2008 (Resolución CREG 168 de 2008) </w:t>
      </w:r>
      <w:r w:rsidR="004673AA">
        <w:t>de manera voluntaria</w:t>
      </w:r>
      <w:r w:rsidR="00797E91">
        <w:t>,</w:t>
      </w:r>
      <w:r w:rsidR="004673AA">
        <w:t xml:space="preserve"> por parte de los comercializadores de energía</w:t>
      </w:r>
      <w:r w:rsidR="00797E91">
        <w:t>,</w:t>
      </w:r>
      <w:r w:rsidR="004673AA">
        <w:t xml:space="preserve"> </w:t>
      </w:r>
      <w:r w:rsidR="00797E91">
        <w:t xml:space="preserve">sin que </w:t>
      </w:r>
      <w:proofErr w:type="gramStart"/>
      <w:r w:rsidR="00846FAB">
        <w:t>anteriormente a</w:t>
      </w:r>
      <w:proofErr w:type="gramEnd"/>
      <w:r w:rsidR="00846FAB">
        <w:t xml:space="preserve"> la presente revisión </w:t>
      </w:r>
      <w:r w:rsidR="00797E91">
        <w:t xml:space="preserve">existiese ninguna </w:t>
      </w:r>
      <w:r w:rsidR="00475FA2">
        <w:t>situación que requiriese de modificación de la norma</w:t>
      </w:r>
      <w:r w:rsidR="00CB7953">
        <w:t>.</w:t>
      </w:r>
      <w:r w:rsidR="00095238">
        <w:t xml:space="preserve"> </w:t>
      </w:r>
    </w:p>
    <w:p w14:paraId="5A1DE795" w14:textId="0CB5FD0A" w:rsidR="00D60FB5" w:rsidRDefault="007B2020" w:rsidP="00ED4190">
      <w:r>
        <w:t>E</w:t>
      </w:r>
      <w:r w:rsidR="00860972">
        <w:t xml:space="preserve">n </w:t>
      </w:r>
      <w:r>
        <w:t xml:space="preserve">febrero de </w:t>
      </w:r>
      <w:r w:rsidR="00860972">
        <w:t>2020</w:t>
      </w:r>
      <w:r w:rsidR="00437927">
        <w:t xml:space="preserve">, mediante la resolución </w:t>
      </w:r>
      <w:r w:rsidR="00665D19">
        <w:t xml:space="preserve">CREG </w:t>
      </w:r>
      <w:r w:rsidR="00A01044">
        <w:t>012 de 2020</w:t>
      </w:r>
      <w:r w:rsidR="006506C7">
        <w:t xml:space="preserve">, </w:t>
      </w:r>
      <w:r w:rsidR="003E2BE6">
        <w:t xml:space="preserve">se </w:t>
      </w:r>
      <w:r w:rsidR="006506C7">
        <w:t>realiz</w:t>
      </w:r>
      <w:r w:rsidR="003E2BE6">
        <w:t>aron</w:t>
      </w:r>
      <w:r w:rsidR="006506C7">
        <w:t xml:space="preserve"> varios ajustes </w:t>
      </w:r>
      <w:r w:rsidR="00FB6D7B">
        <w:t xml:space="preserve">a la normatividad, </w:t>
      </w:r>
      <w:r w:rsidR="00CD73C8">
        <w:t xml:space="preserve">con el fin de permitir una transición para que a partir del 2022 </w:t>
      </w:r>
      <w:r w:rsidR="00E454E4">
        <w:t xml:space="preserve">cada usuario tuviese la oportunidad de </w:t>
      </w:r>
      <w:r w:rsidR="00D60FB5">
        <w:t xml:space="preserve">decidir si se acoge a una </w:t>
      </w:r>
      <w:r w:rsidR="00CD73C8">
        <w:t xml:space="preserve">opción </w:t>
      </w:r>
      <w:r w:rsidR="00D60FB5">
        <w:t xml:space="preserve">ofrecida por el comercializador </w:t>
      </w:r>
      <w:r w:rsidR="00E858A4">
        <w:t>y</w:t>
      </w:r>
      <w:r w:rsidR="00470A4C">
        <w:t xml:space="preserve"> conservando la esencia del esquema anterior</w:t>
      </w:r>
      <w:r w:rsidR="00D60FB5">
        <w:t>.</w:t>
      </w:r>
    </w:p>
    <w:p w14:paraId="6BD5A589" w14:textId="13FB3DC6" w:rsidR="007E1B22" w:rsidRDefault="00E858A4" w:rsidP="00ED4190">
      <w:r>
        <w:t>A pesar de</w:t>
      </w:r>
      <w:r w:rsidR="004F2807">
        <w:t xml:space="preserve"> que la opción tarifaria se </w:t>
      </w:r>
      <w:r w:rsidR="00C22EEC">
        <w:t>implementó como voluntaria por parte de los comercializadores d</w:t>
      </w:r>
      <w:r w:rsidR="00A83D45">
        <w:t>e</w:t>
      </w:r>
      <w:r w:rsidR="00C22EEC">
        <w:t xml:space="preserve">l servicio, </w:t>
      </w:r>
      <w:r w:rsidR="000C10B6">
        <w:t>desde la resolución CREG 168 de 2008</w:t>
      </w:r>
      <w:r w:rsidR="00C22EEC">
        <w:t xml:space="preserve">, en las condiciones </w:t>
      </w:r>
      <w:r w:rsidR="00C22EEC">
        <w:lastRenderedPageBreak/>
        <w:t>que se resumen en el numeral</w:t>
      </w:r>
      <w:r w:rsidR="00437028">
        <w:t xml:space="preserve"> </w:t>
      </w:r>
      <w:r w:rsidR="00844D32">
        <w:fldChar w:fldCharType="begin"/>
      </w:r>
      <w:r w:rsidR="00844D32">
        <w:instrText xml:space="preserve"> REF _Ref108770273 \r \h </w:instrText>
      </w:r>
      <w:r w:rsidR="00844D32">
        <w:fldChar w:fldCharType="separate"/>
      </w:r>
      <w:r w:rsidR="00CF6C85">
        <w:t>1.2</w:t>
      </w:r>
      <w:r w:rsidR="00844D32">
        <w:fldChar w:fldCharType="end"/>
      </w:r>
      <w:r w:rsidR="00A83D45">
        <w:t>, durante la pandemia causada por el COVID-19</w:t>
      </w:r>
      <w:r w:rsidR="00997289">
        <w:t xml:space="preserve">, mediante la Resolución CREG 058 de 2020, </w:t>
      </w:r>
      <w:r w:rsidR="00A83D45">
        <w:t>se determinó que</w:t>
      </w:r>
      <w:r w:rsidR="00B9326C">
        <w:t xml:space="preserve">, para mitigar los posibles efectos en variaciones de tarifas, </w:t>
      </w:r>
      <w:r w:rsidR="00893D5E">
        <w:t xml:space="preserve">dicha herramienta </w:t>
      </w:r>
      <w:r w:rsidR="00A83D45">
        <w:t>se debía aplicar de manera obligatoria durante un periodo de 8 meses</w:t>
      </w:r>
      <w:r w:rsidR="00EA331E">
        <w:t>.</w:t>
      </w:r>
    </w:p>
    <w:p w14:paraId="510943D2" w14:textId="3118719F" w:rsidR="00395890" w:rsidRDefault="009B7B73" w:rsidP="00ED4190">
      <w:r>
        <w:t xml:space="preserve">Si bien durante el año 2020 y comienzos del 2021 </w:t>
      </w:r>
      <w:r w:rsidR="00395890">
        <w:t xml:space="preserve">el incremento de los precios fue bajo, </w:t>
      </w:r>
      <w:r>
        <w:t xml:space="preserve">a partir del segundo semestre de 2021 se </w:t>
      </w:r>
      <w:r w:rsidR="00CE2DA7">
        <w:t>incrementaron de manera importante y sostenida los índices de precios, dentro de los cuales se encuentra el IPP</w:t>
      </w:r>
      <w:r w:rsidR="00395890">
        <w:t>. A</w:t>
      </w:r>
      <w:r w:rsidR="00CE2DA7">
        <w:t>l ser este el indexador utilizado para la actualización de la mayoría de los componentes del costo unitario de prestación del servicio</w:t>
      </w:r>
      <w:r w:rsidR="00395890">
        <w:t xml:space="preserve">, </w:t>
      </w:r>
      <w:r w:rsidR="009D67ED">
        <w:t xml:space="preserve">(alrededor del 88% del </w:t>
      </w:r>
      <w:r w:rsidR="00395890">
        <w:t>CU</w:t>
      </w:r>
      <w:r w:rsidR="009D67ED">
        <w:t>)</w:t>
      </w:r>
      <w:r w:rsidR="00395890">
        <w:t xml:space="preserve">, </w:t>
      </w:r>
      <w:r w:rsidR="00CE2DA7">
        <w:t xml:space="preserve">se </w:t>
      </w:r>
      <w:r w:rsidR="007B61D6">
        <w:t xml:space="preserve">presentó un </w:t>
      </w:r>
      <w:r w:rsidR="00CE2DA7">
        <w:t xml:space="preserve">aumento importante </w:t>
      </w:r>
      <w:r w:rsidR="007B61D6">
        <w:t xml:space="preserve">del </w:t>
      </w:r>
      <w:r w:rsidR="00395890">
        <w:t>mismo, con</w:t>
      </w:r>
      <w:r w:rsidR="00800A17">
        <w:t xml:space="preserve"> lo cual, la brecha o diferencia entre el CU calculado y el CU aplicado se amplió en </w:t>
      </w:r>
      <w:r w:rsidR="00731F1F">
        <w:t xml:space="preserve">algunos </w:t>
      </w:r>
      <w:r w:rsidR="00800A17">
        <w:t xml:space="preserve">mercados </w:t>
      </w:r>
      <w:r w:rsidR="00AE3070">
        <w:t>generando un incremento de los saldos acumulados por la opción tarifaria</w:t>
      </w:r>
      <w:r w:rsidR="00395890">
        <w:t xml:space="preserve">. </w:t>
      </w:r>
    </w:p>
    <w:p w14:paraId="2D5E5A81" w14:textId="01FB64B1" w:rsidR="00AC5D54" w:rsidRDefault="009F155A" w:rsidP="00AC5D54">
      <w:r>
        <w:t xml:space="preserve">Como producto de las altas variaciones del IPP, </w:t>
      </w:r>
      <w:r w:rsidR="00AC5D54">
        <w:t>se expidieron las resoluciones CREG  101 027 de 2022, 101 028 de 2022, 101 029 de 2022 y 101 031 de 2022; mediante las cuales se permit</w:t>
      </w:r>
      <w:r>
        <w:t>ió</w:t>
      </w:r>
      <w:r w:rsidR="00AC5D54">
        <w:t xml:space="preserve">  el cambio de IPP para el cálculo de componentes del costo unitario de prestación del servicio de energía eléctrica, se adoptan medidas transitorias para ajustar los precios e indexadores de contratos de energía de largo plazo y diferir las obligaciones de pago de los comercializadores</w:t>
      </w:r>
      <w:r w:rsidR="00A34413">
        <w:t xml:space="preserve"> </w:t>
      </w:r>
      <w:r w:rsidR="00AC5D54">
        <w:t>y se dicta</w:t>
      </w:r>
      <w:r w:rsidR="00A34413">
        <w:t>ron</w:t>
      </w:r>
      <w:r w:rsidR="00AC5D54">
        <w:t xml:space="preserve"> otras disposiciones asociadas con la disminución de las tarifas del servicio de energía eléctrica</w:t>
      </w:r>
      <w:r w:rsidR="00A34413">
        <w:t xml:space="preserve"> pero también con el incremento máximo de las mismas, lo que nuevamente generó aumentos en los saldos.</w:t>
      </w:r>
    </w:p>
    <w:p w14:paraId="6750390E" w14:textId="36897261" w:rsidR="00731F1F" w:rsidRDefault="001B5260" w:rsidP="00ED4190">
      <w:r>
        <w:t>La</w:t>
      </w:r>
      <w:r w:rsidR="00A34413">
        <w:t>s</w:t>
      </w:r>
      <w:r>
        <w:t xml:space="preserve"> situaci</w:t>
      </w:r>
      <w:r w:rsidR="00A34413">
        <w:t>ones</w:t>
      </w:r>
      <w:r>
        <w:t xml:space="preserve"> descrita</w:t>
      </w:r>
      <w:r w:rsidR="00A34413">
        <w:t>s</w:t>
      </w:r>
      <w:r>
        <w:t xml:space="preserve"> anteriormente </w:t>
      </w:r>
      <w:r w:rsidR="00731F1F">
        <w:t>ha</w:t>
      </w:r>
      <w:r w:rsidR="00A34413">
        <w:t>n</w:t>
      </w:r>
      <w:r w:rsidR="00731F1F">
        <w:t xml:space="preserve"> generado </w:t>
      </w:r>
      <w:r>
        <w:t xml:space="preserve">que algunos mercados de comercialización tengan saldos acumulados </w:t>
      </w:r>
      <w:r w:rsidR="00F8439E">
        <w:t xml:space="preserve">(que a agosto de 2023 sumaban alrededor de </w:t>
      </w:r>
      <w:r w:rsidR="00F07068">
        <w:t xml:space="preserve">4,7 billones de pesos en </w:t>
      </w:r>
      <w:r w:rsidR="00906AFB">
        <w:t>el nivel de tensión</w:t>
      </w:r>
      <w:r w:rsidR="00010F79">
        <w:t xml:space="preserve"> </w:t>
      </w:r>
      <w:r w:rsidR="00906AFB">
        <w:t>1)</w:t>
      </w:r>
      <w:r w:rsidR="00F8439E">
        <w:t xml:space="preserve"> </w:t>
      </w:r>
      <w:r w:rsidR="00E16364">
        <w:t xml:space="preserve">que podrían afectar la sostenibilidad de los comercializadores y por un lado y la capacidad de pago de los usuarios al mantener las condiciones de la </w:t>
      </w:r>
      <w:r w:rsidR="00EA0A88">
        <w:t>recuperación del saldo previstas en la Resolución CREG 012 de 2020.</w:t>
      </w:r>
    </w:p>
    <w:p w14:paraId="20ACBC4B" w14:textId="182C1985" w:rsidR="00493546" w:rsidRDefault="00CC2575" w:rsidP="00493546">
      <w:r>
        <w:t>Para permitir financiación de estos saldos, e</w:t>
      </w:r>
      <w:r w:rsidR="00493546">
        <w:t>l artículo 5 de la Ley 2299 de 2023, “por la cual se adiciona y efectúan unas modificaciones al presupuesto general de la nación de la vigencia fiscal de 2023”, expresa que la Financiera de Desarrollo Territorial S A. - FINDETER estructurará otorga</w:t>
      </w:r>
      <w:r>
        <w:t xml:space="preserve">mientos de </w:t>
      </w:r>
      <w:r w:rsidR="00493546">
        <w:t>crédito directo, con o sin tasa compensada, a las empresas de distribución y comercialización de energía eléctrica de naturaleza oficial, mixta y/o privada, que hayan aplicado a la opción tarifaria regulatoria establecida por la Comisión de Regulación de Energía y Gas-CREG.</w:t>
      </w:r>
    </w:p>
    <w:p w14:paraId="40370E93" w14:textId="1DC043D8" w:rsidR="00906AFB" w:rsidRDefault="00493546" w:rsidP="00493546">
      <w:r>
        <w:t>Al respecto, el Ministerio de Hacienda y Crédito público expidió el 8 de septiembre de 2023, para comentarios, una propuesta de decreto “Por el cual se adiciona el Capítulo 12 al Título 7 de la Parte 6 del Libro 2 del Decreto 1068 de 2015, Único Reglamentario del Sector Hacienda y Crédito Público, para la creación de una línea de crédito directo con tasa compensada de la Financiera de Desarrollo Territorial S.A.-Findeter, destinada a irrigar recursos de capital de trabajo y/o liquidez a las empresas distribuidoras y comercializadoras de energía eléctrica de naturaleza oficial, mixta y/o privada, que hayan aplicado a la opción tarifaria regulatoria establecida por la Comisión de Regulación de Energía y Gas-CREG, de conformidad con lo establecido en el artículo 5º de la Ley 2299 de 2023”</w:t>
      </w:r>
    </w:p>
    <w:p w14:paraId="6C3F9E10" w14:textId="1D4F16E3" w:rsidR="00AA4DD0" w:rsidRDefault="00AA4DD0">
      <w:pPr>
        <w:spacing w:before="0" w:after="0"/>
        <w:jc w:val="left"/>
      </w:pPr>
      <w:r>
        <w:br w:type="page"/>
      </w:r>
    </w:p>
    <w:p w14:paraId="7E2B7F7C" w14:textId="77777777" w:rsidR="007E2BD1" w:rsidRDefault="007E2BD1" w:rsidP="00DB3094">
      <w:pPr>
        <w:pStyle w:val="Ttulo2"/>
      </w:pPr>
      <w:bookmarkStart w:id="60" w:name="_Toc58087311"/>
      <w:bookmarkStart w:id="61" w:name="_Toc58246266"/>
      <w:bookmarkStart w:id="62" w:name="_Toc58312325"/>
      <w:bookmarkStart w:id="63" w:name="_Toc58405802"/>
      <w:bookmarkStart w:id="64" w:name="_Toc152921845"/>
      <w:r>
        <w:lastRenderedPageBreak/>
        <w:t>Antecedentes legales</w:t>
      </w:r>
      <w:bookmarkEnd w:id="60"/>
      <w:bookmarkEnd w:id="61"/>
      <w:bookmarkEnd w:id="62"/>
      <w:bookmarkEnd w:id="63"/>
      <w:bookmarkEnd w:id="64"/>
    </w:p>
    <w:p w14:paraId="65C6A584" w14:textId="24E66CE0" w:rsidR="007E2BD1" w:rsidRPr="00061307" w:rsidRDefault="007E2BD1" w:rsidP="00ED4190">
      <w:r w:rsidRPr="00061307">
        <w:t xml:space="preserve">La expedición de la </w:t>
      </w:r>
      <w:r w:rsidR="00EA2E99">
        <w:t>normatividad</w:t>
      </w:r>
      <w:r w:rsidRPr="00061307">
        <w:t xml:space="preserve"> </w:t>
      </w:r>
      <w:r w:rsidR="006206F5">
        <w:t xml:space="preserve">asociada con la opción tarifaria </w:t>
      </w:r>
      <w:r w:rsidRPr="00061307">
        <w:t>se sustenta con base en las siguientes disposiciones:</w:t>
      </w:r>
    </w:p>
    <w:p w14:paraId="44B26FC3" w14:textId="3C72A8CD" w:rsidR="00504577" w:rsidRDefault="007E2BD1">
      <w:pPr>
        <w:pStyle w:val="Prrafodelista"/>
        <w:numPr>
          <w:ilvl w:val="0"/>
          <w:numId w:val="2"/>
        </w:numPr>
      </w:pPr>
      <w:r w:rsidRPr="00ED4190">
        <w:rPr>
          <w:b/>
        </w:rPr>
        <w:t xml:space="preserve">Ley 142 de 1994. </w:t>
      </w:r>
      <w:r w:rsidR="00504577" w:rsidRPr="00214817">
        <w:t>Según lo establecido en el Artículo 73.11,</w:t>
      </w:r>
      <w:r w:rsidR="00504577" w:rsidRPr="00ED4190">
        <w:rPr>
          <w:b/>
        </w:rPr>
        <w:t xml:space="preserve"> </w:t>
      </w:r>
      <w:r w:rsidR="00000789" w:rsidRPr="00ED4190">
        <w:rPr>
          <w:bCs/>
        </w:rPr>
        <w:t>la</w:t>
      </w:r>
      <w:r w:rsidRPr="00061307">
        <w:t xml:space="preserve"> CREG es la entidad encargada de </w:t>
      </w:r>
      <w:r w:rsidR="00504577" w:rsidRPr="00504577">
        <w:t>establecer las fórmulas para la fijación de las tarifas del servicio público domiciliario de energía eléctrica</w:t>
      </w:r>
      <w:r w:rsidR="00214817">
        <w:t xml:space="preserve"> </w:t>
      </w:r>
      <w:r w:rsidR="001D4AC3">
        <w:t xml:space="preserve">que, a su vez, de acuerdo con el artículo 88.1 podrán estar sujetas </w:t>
      </w:r>
      <w:r w:rsidR="001B55A7">
        <w:t xml:space="preserve">a topes máximos y mínimos. </w:t>
      </w:r>
      <w:r w:rsidR="00844A46">
        <w:t xml:space="preserve">Por otra parte, el artículo </w:t>
      </w:r>
      <w:r w:rsidR="00CE0BBA">
        <w:t xml:space="preserve">90 de la misma Ley </w:t>
      </w:r>
      <w:r w:rsidR="00BB6FF3">
        <w:t xml:space="preserve">dispone que la CREG, </w:t>
      </w:r>
      <w:r w:rsidR="00BB6FF3" w:rsidRPr="00BB6FF3">
        <w:t>al definir sus tarifas</w:t>
      </w:r>
      <w:r w:rsidR="00BB6FF3">
        <w:t>,</w:t>
      </w:r>
      <w:r w:rsidR="00BB6FF3" w:rsidRPr="00BB6FF3">
        <w:t xml:space="preserve"> puede establecer varias alternativas y siempre podrá diseñar y hacer públicas diversas opciones tarifarias que tomen en cuenta diseños óptimos de tarifas</w:t>
      </w:r>
      <w:r w:rsidR="008E0EED">
        <w:t>.</w:t>
      </w:r>
    </w:p>
    <w:p w14:paraId="37A2D94D" w14:textId="75A98539" w:rsidR="00504577" w:rsidRDefault="005B5F0C">
      <w:pPr>
        <w:pStyle w:val="Prrafodelista"/>
        <w:numPr>
          <w:ilvl w:val="0"/>
          <w:numId w:val="2"/>
        </w:numPr>
      </w:pPr>
      <w:r w:rsidRPr="00ED4190">
        <w:rPr>
          <w:b/>
        </w:rPr>
        <w:t xml:space="preserve">Ley 143 de 1994. </w:t>
      </w:r>
      <w:r w:rsidR="0034041C">
        <w:t xml:space="preserve">El artículo 23 asignó a la CREG </w:t>
      </w:r>
      <w:r w:rsidR="00C042F4" w:rsidRPr="00C042F4">
        <w:t>la función de aprobar las fórmulas tarifarias y las metodologías para el cálculo de las tarifas aplicables a los usuarios regulados del servicio de energía eléctrica</w:t>
      </w:r>
      <w:r w:rsidR="00593FCA">
        <w:t xml:space="preserve"> reiterando, en su artículo 46, que se </w:t>
      </w:r>
      <w:r w:rsidR="00593FCA" w:rsidRPr="00593FCA">
        <w:t>podrá</w:t>
      </w:r>
      <w:r w:rsidR="00593FCA">
        <w:t>n</w:t>
      </w:r>
      <w:r w:rsidR="00593FCA" w:rsidRPr="00593FCA">
        <w:t xml:space="preserve"> diseñar y hacer públicas diversas opciones tarifarias.</w:t>
      </w:r>
    </w:p>
    <w:p w14:paraId="2F83A39E" w14:textId="41BDBE53" w:rsidR="00187AE5" w:rsidRDefault="00187AE5">
      <w:pPr>
        <w:pStyle w:val="Prrafodelista"/>
        <w:numPr>
          <w:ilvl w:val="0"/>
          <w:numId w:val="2"/>
        </w:numPr>
      </w:pPr>
      <w:r w:rsidRPr="00ED4190">
        <w:rPr>
          <w:b/>
        </w:rPr>
        <w:t xml:space="preserve">Ley </w:t>
      </w:r>
      <w:r w:rsidR="00367A77" w:rsidRPr="00ED4190">
        <w:rPr>
          <w:b/>
        </w:rPr>
        <w:t>1955 de 2019.</w:t>
      </w:r>
      <w:r w:rsidR="00367A77">
        <w:t xml:space="preserve"> </w:t>
      </w:r>
      <w:r w:rsidR="001E1598">
        <w:t>Por medio de la cual se expidió el Plan Nacional de Desarrollo 2018-2022 donde, en su artículo</w:t>
      </w:r>
      <w:r w:rsidR="009C557A">
        <w:t xml:space="preserve"> 318 se determinó la expedici</w:t>
      </w:r>
      <w:r w:rsidR="000500E0">
        <w:t xml:space="preserve">ón de </w:t>
      </w:r>
      <w:r w:rsidR="009C557A" w:rsidRPr="009C557A">
        <w:t xml:space="preserve">un régimen transitorio especial en materia tarifaria para las actividades de distribución y comercialización del mercado de Electrificadora del Caribe S.A. E.S.P. </w:t>
      </w:r>
    </w:p>
    <w:p w14:paraId="633864CF" w14:textId="1EF4C704" w:rsidR="00504577" w:rsidRDefault="0003595E">
      <w:pPr>
        <w:pStyle w:val="Prrafodelista"/>
        <w:numPr>
          <w:ilvl w:val="0"/>
          <w:numId w:val="2"/>
        </w:numPr>
      </w:pPr>
      <w:r w:rsidRPr="00ED4190">
        <w:rPr>
          <w:b/>
        </w:rPr>
        <w:t xml:space="preserve">Resolución CREG </w:t>
      </w:r>
      <w:r w:rsidR="000E5EAC" w:rsidRPr="00ED4190">
        <w:rPr>
          <w:b/>
        </w:rPr>
        <w:t>119 de 2007.</w:t>
      </w:r>
      <w:r w:rsidR="000E5EAC">
        <w:t xml:space="preserve"> </w:t>
      </w:r>
      <w:r w:rsidR="0069433D">
        <w:t xml:space="preserve">Mediante la cual </w:t>
      </w:r>
      <w:r w:rsidR="0069433D" w:rsidRPr="0069433D">
        <w:t>se aprobó la fórmula general que permite a los comercializadores de electricidad establecer los costos de prestación del servicio a usuarios regulados en el Sistema Interconectado Nacional</w:t>
      </w:r>
      <w:r w:rsidR="0069433D">
        <w:t>, como base de cálculo de las tarifas finales</w:t>
      </w:r>
      <w:r w:rsidR="0069433D" w:rsidRPr="0069433D">
        <w:t>.</w:t>
      </w:r>
    </w:p>
    <w:p w14:paraId="1181E484" w14:textId="6FA16D8E" w:rsidR="0069433D" w:rsidRDefault="00C15EF5">
      <w:pPr>
        <w:pStyle w:val="Prrafodelista"/>
        <w:numPr>
          <w:ilvl w:val="0"/>
          <w:numId w:val="2"/>
        </w:numPr>
      </w:pPr>
      <w:r w:rsidRPr="00ED4190">
        <w:rPr>
          <w:b/>
        </w:rPr>
        <w:t>Resolución CREG 168 de 2008.</w:t>
      </w:r>
      <w:r w:rsidR="000C7269">
        <w:t xml:space="preserve"> Donde se</w:t>
      </w:r>
      <w:r>
        <w:t xml:space="preserve"> </w:t>
      </w:r>
      <w:r w:rsidR="000C7269" w:rsidRPr="000C7269">
        <w:t xml:space="preserve">estableció </w:t>
      </w:r>
      <w:r w:rsidR="000C7269">
        <w:t xml:space="preserve">la </w:t>
      </w:r>
      <w:r w:rsidR="00187AE5">
        <w:t>primera opción tarifaria</w:t>
      </w:r>
      <w:r w:rsidR="000C7269" w:rsidRPr="000C7269">
        <w:t>, la cual permitía moderar incrementos abruptos en la tarifa mediante la acumulación de saldos que son pagados por el usuario con posterioridad, a lo largo de un mayor período de tiempo.</w:t>
      </w:r>
      <w:r w:rsidR="000C7269">
        <w:t xml:space="preserve"> Esta </w:t>
      </w:r>
      <w:r w:rsidR="00EF20A5">
        <w:t xml:space="preserve">resolución tuvo una aplicación en un periodo determinado de tiempo que, posteriormente, fue ampliado mediante las resoluciones CREG 057 de 2014, </w:t>
      </w:r>
      <w:r w:rsidR="004747BB">
        <w:t>158 de 2015 y 044 de 2017.</w:t>
      </w:r>
    </w:p>
    <w:p w14:paraId="4D1770D6" w14:textId="59479AA2" w:rsidR="00B13F64" w:rsidRDefault="00B13F64" w:rsidP="00DB3094">
      <w:pPr>
        <w:pStyle w:val="Ttulo2"/>
      </w:pPr>
      <w:bookmarkStart w:id="65" w:name="_Ref108770273"/>
      <w:bookmarkStart w:id="66" w:name="_Toc152921846"/>
      <w:r>
        <w:t>Definición y aplicación de la opción tarifaria actual</w:t>
      </w:r>
      <w:bookmarkEnd w:id="65"/>
      <w:bookmarkEnd w:id="66"/>
    </w:p>
    <w:p w14:paraId="6B174A1E" w14:textId="4CE150E9" w:rsidR="00DF5C72" w:rsidRDefault="006B211C" w:rsidP="00ED4190">
      <w:r>
        <w:t xml:space="preserve">La </w:t>
      </w:r>
      <w:r w:rsidR="00854D68">
        <w:t xml:space="preserve">reglamentación vigente </w:t>
      </w:r>
      <w:r w:rsidR="005E41B3">
        <w:t xml:space="preserve">que </w:t>
      </w:r>
      <w:r w:rsidR="006164B2">
        <w:t xml:space="preserve">permite, </w:t>
      </w:r>
      <w:r w:rsidR="00D22304">
        <w:t xml:space="preserve">ante cambios importantes en el costo unitario de prestación </w:t>
      </w:r>
      <w:r w:rsidR="00DF5C72">
        <w:t>del servicio,</w:t>
      </w:r>
      <w:r w:rsidR="00854D68">
        <w:t xml:space="preserve"> </w:t>
      </w:r>
      <w:r w:rsidR="00D22304">
        <w:t xml:space="preserve">tener variaciones moderadas </w:t>
      </w:r>
      <w:r w:rsidR="00DF5C72">
        <w:t xml:space="preserve">y graduales en las tarifas se ha denominado opción tarifaria y se encuentra establecida mediante la Resolución CREG 012 de 2020 con </w:t>
      </w:r>
      <w:r w:rsidR="00384414">
        <w:t xml:space="preserve">base en </w:t>
      </w:r>
      <w:r w:rsidR="00DF5C72">
        <w:t>los siguientes elementos:</w:t>
      </w:r>
    </w:p>
    <w:p w14:paraId="05D7526E" w14:textId="65B8D925" w:rsidR="00DF5C72" w:rsidRPr="00A7510B" w:rsidRDefault="00D561F1">
      <w:pPr>
        <w:pStyle w:val="Prrafodelista"/>
        <w:numPr>
          <w:ilvl w:val="0"/>
          <w:numId w:val="3"/>
        </w:numPr>
      </w:pPr>
      <w:r>
        <w:t>Se p</w:t>
      </w:r>
      <w:r w:rsidR="00DF5C72" w:rsidRPr="00A7510B">
        <w:t xml:space="preserve">ermite diferir </w:t>
      </w:r>
      <w:r w:rsidR="005D5DEF" w:rsidRPr="00A7510B">
        <w:t>l</w:t>
      </w:r>
      <w:r w:rsidR="00E53216" w:rsidRPr="00A7510B">
        <w:t>as</w:t>
      </w:r>
      <w:r w:rsidR="005D5DEF" w:rsidRPr="00A7510B">
        <w:t xml:space="preserve"> </w:t>
      </w:r>
      <w:r w:rsidR="00E53216" w:rsidRPr="00A7510B">
        <w:t xml:space="preserve">variaciones </w:t>
      </w:r>
      <w:r w:rsidR="005D5DEF" w:rsidRPr="00A7510B">
        <w:t>considerables en el CU</w:t>
      </w:r>
      <w:r w:rsidR="00033E9F" w:rsidRPr="00A7510B">
        <w:t>,</w:t>
      </w:r>
      <w:r w:rsidR="005D5DEF" w:rsidRPr="00A7510B">
        <w:t xml:space="preserve"> en varios periodos</w:t>
      </w:r>
      <w:r w:rsidR="00033E9F" w:rsidRPr="00A7510B">
        <w:t>,</w:t>
      </w:r>
      <w:r w:rsidR="00E53216" w:rsidRPr="00A7510B">
        <w:t xml:space="preserve"> con variaciones graduales</w:t>
      </w:r>
      <w:r w:rsidR="00033E9F" w:rsidRPr="00A7510B">
        <w:t>.</w:t>
      </w:r>
    </w:p>
    <w:p w14:paraId="70D9CEC3" w14:textId="3A99AB30" w:rsidR="00B5216E" w:rsidRPr="00A7510B" w:rsidRDefault="00B5216E">
      <w:pPr>
        <w:pStyle w:val="Prrafodelista"/>
        <w:numPr>
          <w:ilvl w:val="0"/>
          <w:numId w:val="3"/>
        </w:numPr>
      </w:pPr>
      <w:r w:rsidRPr="00A7510B">
        <w:t>Para las opciones tarifarias que iniciaron con anterioridad a enero de 2022, e</w:t>
      </w:r>
      <w:r w:rsidR="002D5157" w:rsidRPr="00A7510B">
        <w:t xml:space="preserve">l comercializador podrá optar por </w:t>
      </w:r>
      <w:r w:rsidRPr="00A7510B">
        <w:t>establecer las tarifas del mercado de comercialización que atiende con base en las fórmulas de la Resolución CREG 119 de 2007 o con base en la gradualidad establecida en la opción tarifaria. Con esto, los usuarios no pueden “escoger” si se acogen o no a la opción tarifaria.</w:t>
      </w:r>
    </w:p>
    <w:p w14:paraId="168CE6A7" w14:textId="0FDCB95A" w:rsidR="00631BE0" w:rsidRPr="00A7510B" w:rsidRDefault="00C079AF">
      <w:pPr>
        <w:pStyle w:val="Prrafodelista"/>
        <w:numPr>
          <w:ilvl w:val="0"/>
          <w:numId w:val="3"/>
        </w:numPr>
      </w:pPr>
      <w:r w:rsidRPr="00A7510B">
        <w:t xml:space="preserve">En este caso, si un comercializador se acoge a la opción tarifaria, dicha gradualidad se aplica, de manera general, a todos los usuarios regulados de un mismo mercado de </w:t>
      </w:r>
      <w:r w:rsidRPr="00A7510B">
        <w:lastRenderedPageBreak/>
        <w:t>comercialización</w:t>
      </w:r>
      <w:r w:rsidR="00CD1398">
        <w:t xml:space="preserve"> atendidos por un mismo comercializador</w:t>
      </w:r>
      <w:r w:rsidR="00631BE0" w:rsidRPr="00A7510B">
        <w:t>, con base en la siguiente expresión:</w:t>
      </w:r>
    </w:p>
    <w:p w14:paraId="4B0F9910" w14:textId="0C0438D6" w:rsidR="002E008B" w:rsidRPr="00A7510B" w:rsidRDefault="002D3811" w:rsidP="00A7510B">
      <w:pPr>
        <w:rPr>
          <w:spacing w:val="-5"/>
          <w:szCs w:val="22"/>
        </w:rPr>
      </w:pPr>
      <m:oMathPara>
        <m:oMathParaPr>
          <m:jc m:val="center"/>
        </m:oMathParaPr>
        <m:oMath>
          <m:sSub>
            <m:sSubPr>
              <m:ctrlPr>
                <w:rPr>
                  <w:rFonts w:ascii="Cambria Math" w:hAnsi="Cambria Math"/>
                  <w:i/>
                </w:rPr>
              </m:ctrlPr>
            </m:sSubPr>
            <m:e>
              <m:r>
                <w:rPr>
                  <w:rFonts w:ascii="Cambria Math" w:hAnsi="Cambria Math"/>
                </w:rPr>
                <m:t>CUv</m:t>
              </m:r>
            </m:e>
            <m:sub>
              <m:r>
                <w:rPr>
                  <w:rFonts w:ascii="Cambria Math" w:hAnsi="Cambria Math"/>
                </w:rPr>
                <m:t>n,m,i,j</m:t>
              </m:r>
            </m:sub>
          </m:sSub>
          <m:r>
            <w:rPr>
              <w:rFonts w:ascii="Cambria Math" w:hAnsi="Cambria Math"/>
            </w:rPr>
            <m:t>=</m:t>
          </m:r>
          <m:func>
            <m:funcPr>
              <m:ctrlPr>
                <w:rPr>
                  <w:rFonts w:ascii="Cambria Math" w:hAnsi="Cambria Math"/>
                  <w:i/>
                </w:rPr>
              </m:ctrlPr>
            </m:funcPr>
            <m:fName>
              <m:r>
                <m:rPr>
                  <m:sty m:val="p"/>
                </m:rPr>
                <w:rPr>
                  <w:rFonts w:ascii="Cambria Math" w:hAnsi="Cambria Math"/>
                </w:rPr>
                <m:t>min</m:t>
              </m:r>
            </m:fName>
            <m:e>
              <m:d>
                <m:dPr>
                  <m:begChr m:val="["/>
                  <m:endChr m:val="]"/>
                  <m:ctrlPr>
                    <w:rPr>
                      <w:rFonts w:ascii="Cambria Math" w:hAnsi="Cambria Math"/>
                    </w:rPr>
                  </m:ctrlPr>
                </m:dPr>
                <m:e>
                  <m:d>
                    <m:dPr>
                      <m:ctrlPr>
                        <w:rPr>
                          <w:rFonts w:ascii="Cambria Math" w:hAnsi="Cambria Math"/>
                          <w:i/>
                        </w:rPr>
                      </m:ctrlPr>
                    </m:dPr>
                    <m:e>
                      <m:sSub>
                        <m:sSubPr>
                          <m:ctrlPr>
                            <w:rPr>
                              <w:rFonts w:ascii="Cambria Math" w:hAnsi="Cambria Math"/>
                              <w:i/>
                            </w:rPr>
                          </m:ctrlPr>
                        </m:sSubPr>
                        <m:e>
                          <m:r>
                            <w:rPr>
                              <w:rFonts w:ascii="Cambria Math" w:hAnsi="Cambria Math"/>
                            </w:rPr>
                            <m:t>CUv</m:t>
                          </m:r>
                        </m:e>
                        <m:sub>
                          <m:r>
                            <w:rPr>
                              <w:rFonts w:ascii="Cambria Math" w:hAnsi="Cambria Math"/>
                            </w:rPr>
                            <m:t>n,m-1,i,j</m:t>
                          </m:r>
                        </m:sub>
                      </m:sSub>
                      <m:r>
                        <w:rPr>
                          <w:rFonts w:ascii="Cambria Math" w:hAnsi="Cambria Math"/>
                        </w:rPr>
                        <m:t>*</m:t>
                      </m:r>
                      <m:d>
                        <m:dPr>
                          <m:ctrlPr>
                            <w:rPr>
                              <w:rFonts w:ascii="Cambria Math" w:hAnsi="Cambria Math"/>
                              <w:i/>
                            </w:rPr>
                          </m:ctrlPr>
                        </m:dPr>
                        <m:e>
                          <m:r>
                            <w:rPr>
                              <w:rFonts w:ascii="Cambria Math" w:hAnsi="Cambria Math"/>
                            </w:rPr>
                            <m:t>1+PV</m:t>
                          </m:r>
                        </m:e>
                      </m:d>
                    </m:e>
                  </m:d>
                  <m:r>
                    <w:rPr>
                      <w:rFonts w:ascii="Cambria Math" w:hAnsi="Cambria Math"/>
                    </w:rPr>
                    <m:t xml:space="preserve">, </m:t>
                  </m:r>
                  <m:sSub>
                    <m:sSubPr>
                      <m:ctrlPr>
                        <w:rPr>
                          <w:rFonts w:ascii="Cambria Math" w:hAnsi="Cambria Math"/>
                          <w:i/>
                        </w:rPr>
                      </m:ctrlPr>
                    </m:sSubPr>
                    <m:e>
                      <m:sSub>
                        <m:sSubPr>
                          <m:ctrlPr>
                            <w:rPr>
                              <w:rFonts w:ascii="Cambria Math" w:hAnsi="Cambria Math"/>
                              <w:i/>
                            </w:rPr>
                          </m:ctrlPr>
                        </m:sSubPr>
                        <m:e>
                          <m:r>
                            <w:rPr>
                              <w:rFonts w:ascii="Cambria Math" w:hAnsi="Cambria Math"/>
                            </w:rPr>
                            <m:t>CU</m:t>
                          </m:r>
                        </m:e>
                        <m:sub>
                          <m:sSup>
                            <m:sSupPr>
                              <m:ctrlPr>
                                <w:rPr>
                                  <w:rFonts w:ascii="Cambria Math" w:hAnsi="Cambria Math"/>
                                  <w:i/>
                                </w:rPr>
                              </m:ctrlPr>
                            </m:sSupPr>
                            <m:e>
                              <m:r>
                                <w:rPr>
                                  <w:rFonts w:ascii="Cambria Math" w:hAnsi="Cambria Math"/>
                                </w:rPr>
                                <m:t>V</m:t>
                              </m:r>
                            </m:e>
                            <m:sup>
                              <m:r>
                                <w:rPr>
                                  <w:rFonts w:ascii="Cambria Math" w:hAnsi="Cambria Math"/>
                                </w:rPr>
                                <m:t>C</m:t>
                              </m:r>
                            </m:sup>
                          </m:sSup>
                        </m:sub>
                      </m:sSub>
                    </m:e>
                    <m:sub>
                      <m:r>
                        <w:rPr>
                          <w:rFonts w:ascii="Cambria Math" w:hAnsi="Cambria Math"/>
                        </w:rPr>
                        <m:t>n,m,i,j</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SA</m:t>
                          </m:r>
                        </m:e>
                        <m:sub>
                          <m:r>
                            <w:rPr>
                              <w:rFonts w:ascii="Cambria Math" w:hAnsi="Cambria Math"/>
                            </w:rPr>
                            <m:t>n,m-1,i,j</m:t>
                          </m:r>
                        </m:sub>
                      </m:sSub>
                    </m:num>
                    <m:den>
                      <m:sSub>
                        <m:sSubPr>
                          <m:ctrlPr>
                            <w:rPr>
                              <w:rFonts w:ascii="Cambria Math" w:hAnsi="Cambria Math"/>
                              <w:i/>
                            </w:rPr>
                          </m:ctrlPr>
                        </m:sSubPr>
                        <m:e>
                          <m:r>
                            <w:rPr>
                              <w:rFonts w:ascii="Cambria Math" w:hAnsi="Cambria Math"/>
                            </w:rPr>
                            <m:t>VR</m:t>
                          </m:r>
                        </m:e>
                        <m:sub>
                          <m:r>
                            <w:rPr>
                              <w:rFonts w:ascii="Cambria Math" w:hAnsi="Cambria Math"/>
                            </w:rPr>
                            <m:t>n,t-1,i,j</m:t>
                          </m:r>
                        </m:sub>
                      </m:sSub>
                    </m:den>
                  </m:f>
                </m:e>
              </m:d>
            </m:e>
          </m:func>
        </m:oMath>
      </m:oMathPara>
    </w:p>
    <w:p w14:paraId="3713E071" w14:textId="17588A90" w:rsidR="00845CFF" w:rsidRPr="00A7510B" w:rsidRDefault="002D5157">
      <w:pPr>
        <w:pStyle w:val="Prrafodelista"/>
        <w:numPr>
          <w:ilvl w:val="0"/>
          <w:numId w:val="3"/>
        </w:numPr>
        <w:rPr>
          <w:spacing w:val="-5"/>
          <w:szCs w:val="22"/>
        </w:rPr>
      </w:pPr>
      <w:r w:rsidRPr="00A7510B">
        <w:rPr>
          <w:spacing w:val="-5"/>
          <w:szCs w:val="22"/>
        </w:rPr>
        <w:t xml:space="preserve">Cuando en un periodo determinado se </w:t>
      </w:r>
      <w:r w:rsidR="00845CFF" w:rsidRPr="00A7510B">
        <w:rPr>
          <w:spacing w:val="-5"/>
          <w:szCs w:val="22"/>
        </w:rPr>
        <w:t xml:space="preserve">inicia el cobro a </w:t>
      </w:r>
      <w:r w:rsidRPr="00A7510B">
        <w:rPr>
          <w:spacing w:val="-5"/>
          <w:szCs w:val="22"/>
        </w:rPr>
        <w:t>los usuarios</w:t>
      </w:r>
      <w:r w:rsidR="00845CFF" w:rsidRPr="00A7510B">
        <w:rPr>
          <w:spacing w:val="-5"/>
          <w:szCs w:val="22"/>
        </w:rPr>
        <w:t xml:space="preserve"> con base en la tarifa resultante de la opción tarifaria, que es inferior a la tarifa resultante de la</w:t>
      </w:r>
      <w:r w:rsidR="003D3D21">
        <w:rPr>
          <w:spacing w:val="-5"/>
          <w:szCs w:val="22"/>
        </w:rPr>
        <w:t xml:space="preserve"> aplicación de la</w:t>
      </w:r>
      <w:r w:rsidR="00845CFF" w:rsidRPr="00A7510B">
        <w:rPr>
          <w:spacing w:val="-5"/>
          <w:szCs w:val="22"/>
        </w:rPr>
        <w:t xml:space="preserve"> Resolución CREG 119 de 2007, se genera un “saldo por pagar” </w:t>
      </w:r>
      <w:r w:rsidR="003A2948" w:rsidRPr="00A7510B">
        <w:rPr>
          <w:spacing w:val="-5"/>
          <w:szCs w:val="22"/>
        </w:rPr>
        <w:t xml:space="preserve">el cual podrá ser recuperado teniendo en </w:t>
      </w:r>
      <w:r w:rsidR="003A2948" w:rsidRPr="00ED4190">
        <w:t>cuenta</w:t>
      </w:r>
      <w:r w:rsidR="003A2948" w:rsidRPr="00A7510B">
        <w:rPr>
          <w:spacing w:val="-5"/>
          <w:szCs w:val="22"/>
        </w:rPr>
        <w:t xml:space="preserve"> una tasa máxima determinada</w:t>
      </w:r>
      <w:r w:rsidR="00B43FD8" w:rsidRPr="00A7510B">
        <w:rPr>
          <w:spacing w:val="-5"/>
          <w:szCs w:val="22"/>
        </w:rPr>
        <w:t xml:space="preserve"> en la norma</w:t>
      </w:r>
      <w:r w:rsidR="00985550" w:rsidRPr="00A7510B">
        <w:rPr>
          <w:spacing w:val="-5"/>
          <w:szCs w:val="22"/>
        </w:rPr>
        <w:t>, según la expresión que se presenta adelante:</w:t>
      </w:r>
    </w:p>
    <w:p w14:paraId="4788EA7C" w14:textId="29F54BA3" w:rsidR="00E90574" w:rsidRPr="00A7510B" w:rsidRDefault="002D3811" w:rsidP="00A7510B">
      <w:pPr>
        <w:rPr>
          <w:spacing w:val="-5"/>
          <w:szCs w:val="22"/>
        </w:rPr>
      </w:pPr>
      <m:oMathPara>
        <m:oMathParaPr>
          <m:jc m:val="center"/>
        </m:oMathParaPr>
        <m:oMath>
          <m:sSub>
            <m:sSubPr>
              <m:ctrlPr>
                <w:rPr>
                  <w:rFonts w:ascii="Cambria Math" w:hAnsi="Cambria Math"/>
                  <w:i/>
                </w:rPr>
              </m:ctrlPr>
            </m:sSubPr>
            <m:e>
              <m:r>
                <w:rPr>
                  <w:rFonts w:ascii="Cambria Math" w:hAnsi="Cambria Math"/>
                </w:rPr>
                <m:t>SA</m:t>
              </m:r>
            </m:e>
            <m:sub>
              <m:r>
                <w:rPr>
                  <w:rFonts w:ascii="Cambria Math" w:hAnsi="Cambria Math"/>
                </w:rPr>
                <m:t>n,m,i,j</m:t>
              </m:r>
            </m:sub>
          </m:sSub>
          <m:r>
            <w:rPr>
              <w:rFonts w:ascii="Cambria Math" w:hAnsi="Cambria Math"/>
            </w:rPr>
            <m:t>=</m:t>
          </m:r>
          <m:d>
            <m:dPr>
              <m:begChr m:val="["/>
              <m:endChr m:val="]"/>
              <m:ctrlPr>
                <w:rPr>
                  <w:rFonts w:ascii="Cambria Math" w:hAnsi="Cambria Math"/>
                </w:rPr>
              </m:ctrlPr>
            </m:dPr>
            <m:e>
              <m:sSub>
                <m:sSubPr>
                  <m:ctrlPr>
                    <w:rPr>
                      <w:rFonts w:ascii="Cambria Math" w:hAnsi="Cambria Math"/>
                      <w:i/>
                    </w:rPr>
                  </m:ctrlPr>
                </m:sSubPr>
                <m:e>
                  <m:r>
                    <w:rPr>
                      <w:rFonts w:ascii="Cambria Math" w:hAnsi="Cambria Math"/>
                    </w:rPr>
                    <m:t>SA</m:t>
                  </m:r>
                </m:e>
                <m:sub>
                  <m:r>
                    <w:rPr>
                      <w:rFonts w:ascii="Cambria Math" w:hAnsi="Cambria Math"/>
                    </w:rPr>
                    <m:t>n,m-1,i,j</m:t>
                  </m:r>
                </m:sub>
              </m:sSub>
              <m:r>
                <w:rPr>
                  <w:rFonts w:ascii="Cambria Math" w:hAnsi="Cambria Math"/>
                </w:rPr>
                <m:t>+</m:t>
              </m:r>
              <m:d>
                <m:dPr>
                  <m:ctrlPr>
                    <w:rPr>
                      <w:rFonts w:ascii="Cambria Math" w:hAnsi="Cambria Math"/>
                      <w:i/>
                    </w:rPr>
                  </m:ctrlPr>
                </m:dPr>
                <m:e>
                  <m:sSub>
                    <m:sSubPr>
                      <m:ctrlPr>
                        <w:rPr>
                          <w:rFonts w:ascii="Cambria Math" w:hAnsi="Cambria Math"/>
                          <w:i/>
                        </w:rPr>
                      </m:ctrlPr>
                    </m:sSubPr>
                    <m:e>
                      <m:sSub>
                        <m:sSubPr>
                          <m:ctrlPr>
                            <w:rPr>
                              <w:rFonts w:ascii="Cambria Math" w:hAnsi="Cambria Math"/>
                              <w:i/>
                            </w:rPr>
                          </m:ctrlPr>
                        </m:sSubPr>
                        <m:e>
                          <m:sSub>
                            <m:sSubPr>
                              <m:ctrlPr>
                                <w:rPr>
                                  <w:rFonts w:ascii="Cambria Math" w:hAnsi="Cambria Math"/>
                                  <w:i/>
                                </w:rPr>
                              </m:ctrlPr>
                            </m:sSubPr>
                            <m:e>
                              <m:r>
                                <w:rPr>
                                  <w:rFonts w:ascii="Cambria Math" w:hAnsi="Cambria Math"/>
                                </w:rPr>
                                <m:t>CU</m:t>
                              </m:r>
                            </m:e>
                            <m:sub>
                              <m:sSup>
                                <m:sSupPr>
                                  <m:ctrlPr>
                                    <w:rPr>
                                      <w:rFonts w:ascii="Cambria Math" w:hAnsi="Cambria Math"/>
                                      <w:i/>
                                    </w:rPr>
                                  </m:ctrlPr>
                                </m:sSupPr>
                                <m:e>
                                  <m:r>
                                    <w:rPr>
                                      <w:rFonts w:ascii="Cambria Math" w:hAnsi="Cambria Math"/>
                                    </w:rPr>
                                    <m:t>V</m:t>
                                  </m:r>
                                </m:e>
                                <m:sup>
                                  <m:r>
                                    <w:rPr>
                                      <w:rFonts w:ascii="Cambria Math" w:hAnsi="Cambria Math"/>
                                    </w:rPr>
                                    <m:t>C</m:t>
                                  </m:r>
                                </m:sup>
                              </m:sSup>
                            </m:sub>
                          </m:sSub>
                        </m:e>
                        <m:sub>
                          <m:r>
                            <w:rPr>
                              <w:rFonts w:ascii="Cambria Math" w:hAnsi="Cambria Math"/>
                            </w:rPr>
                            <m:t>n,m,i,j</m:t>
                          </m:r>
                        </m:sub>
                      </m:sSub>
                      <m:r>
                        <w:rPr>
                          <w:rFonts w:ascii="Cambria Math" w:hAnsi="Cambria Math"/>
                        </w:rPr>
                        <m:t>-CUv</m:t>
                      </m:r>
                    </m:e>
                    <m:sub>
                      <m:r>
                        <w:rPr>
                          <w:rFonts w:ascii="Cambria Math" w:hAnsi="Cambria Math"/>
                        </w:rPr>
                        <m:t>n,m,i,j</m:t>
                      </m:r>
                    </m:sub>
                  </m:sSub>
                </m:e>
              </m:d>
              <m:r>
                <w:rPr>
                  <w:rFonts w:ascii="Cambria Math" w:hAnsi="Cambria Math"/>
                </w:rPr>
                <m:t xml:space="preserve">* </m:t>
              </m:r>
              <m:sSub>
                <m:sSubPr>
                  <m:ctrlPr>
                    <w:rPr>
                      <w:rFonts w:ascii="Cambria Math" w:hAnsi="Cambria Math"/>
                      <w:i/>
                    </w:rPr>
                  </m:ctrlPr>
                </m:sSubPr>
                <m:e>
                  <m:r>
                    <w:rPr>
                      <w:rFonts w:ascii="Cambria Math" w:hAnsi="Cambria Math"/>
                    </w:rPr>
                    <m:t>VR</m:t>
                  </m:r>
                </m:e>
                <m:sub>
                  <m:r>
                    <w:rPr>
                      <w:rFonts w:ascii="Cambria Math" w:hAnsi="Cambria Math"/>
                    </w:rPr>
                    <m:t>n,m-1,i,j</m:t>
                  </m:r>
                </m:sub>
              </m:sSub>
            </m:e>
          </m:d>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r</m:t>
                  </m:r>
                </m:e>
                <m:sub>
                  <m:sSub>
                    <m:sSubPr>
                      <m:ctrlPr>
                        <w:rPr>
                          <w:rFonts w:ascii="Cambria Math" w:hAnsi="Cambria Math"/>
                          <w:i/>
                        </w:rPr>
                      </m:ctrlPr>
                    </m:sSubPr>
                    <m:e>
                      <m:r>
                        <w:rPr>
                          <w:rFonts w:ascii="Cambria Math" w:hAnsi="Cambria Math"/>
                        </w:rPr>
                        <m:t>EM</m:t>
                      </m:r>
                    </m:e>
                    <m:sub>
                      <m:r>
                        <w:rPr>
                          <w:rFonts w:ascii="Cambria Math" w:hAnsi="Cambria Math"/>
                        </w:rPr>
                        <m:t>m</m:t>
                      </m:r>
                    </m:sub>
                  </m:sSub>
                </m:sub>
              </m:sSub>
            </m:e>
          </m:d>
        </m:oMath>
      </m:oMathPara>
    </w:p>
    <w:p w14:paraId="2FF09958" w14:textId="77777777" w:rsidR="00C079AF" w:rsidRPr="00A7510B" w:rsidRDefault="00C079AF">
      <w:pPr>
        <w:pStyle w:val="Prrafodelista"/>
        <w:numPr>
          <w:ilvl w:val="0"/>
          <w:numId w:val="3"/>
        </w:numPr>
        <w:rPr>
          <w:spacing w:val="-5"/>
          <w:szCs w:val="22"/>
        </w:rPr>
      </w:pPr>
      <w:r w:rsidRPr="00A7510B">
        <w:rPr>
          <w:spacing w:val="-5"/>
          <w:szCs w:val="22"/>
        </w:rPr>
        <w:t>Para las opciones tarifarias que inicien a partir de enero de 2022, el usuario podrá optar por pagar con base en la tarifa gradual de la opción tarifaria o con base en la tarifa resultante de la Resolución CREG 119 de 2007, es decir sin gradualidad alguna.</w:t>
      </w:r>
    </w:p>
    <w:p w14:paraId="5CA3DCA3" w14:textId="5BB8146A" w:rsidR="008771ED" w:rsidRDefault="00125CC3" w:rsidP="00ED4190">
      <w:r>
        <w:t xml:space="preserve">Los detalles de la normatividad se presentan en la Resolución CREG 012 de 2020 disponible para </w:t>
      </w:r>
      <w:r w:rsidR="00DE5F17">
        <w:t xml:space="preserve">consulta en el gestor normativo Alejandría que se encuentra en la página web </w:t>
      </w:r>
      <w:hyperlink r:id="rId14" w:history="1">
        <w:r w:rsidR="00DE5F17" w:rsidRPr="003F18FE">
          <w:rPr>
            <w:rStyle w:val="Hipervnculo"/>
            <w:spacing w:val="-5"/>
            <w:szCs w:val="22"/>
          </w:rPr>
          <w:t>www.creg.gov.co</w:t>
        </w:r>
      </w:hyperlink>
      <w:r w:rsidR="00DE5F17">
        <w:t xml:space="preserve">. </w:t>
      </w:r>
    </w:p>
    <w:p w14:paraId="73965093" w14:textId="6A140C63" w:rsidR="00033E9F" w:rsidRDefault="00DE5F17" w:rsidP="00ED4190">
      <w:r>
        <w:t xml:space="preserve">En el numeral </w:t>
      </w:r>
      <w:r w:rsidR="00B47702">
        <w:rPr>
          <w:highlight w:val="yellow"/>
        </w:rPr>
        <w:fldChar w:fldCharType="begin"/>
      </w:r>
      <w:r w:rsidR="00B47702">
        <w:instrText xml:space="preserve"> REF _Ref108790294 \r \h </w:instrText>
      </w:r>
      <w:r w:rsidR="00B47702">
        <w:rPr>
          <w:highlight w:val="yellow"/>
        </w:rPr>
      </w:r>
      <w:r w:rsidR="00B47702">
        <w:rPr>
          <w:highlight w:val="yellow"/>
        </w:rPr>
        <w:fldChar w:fldCharType="separate"/>
      </w:r>
      <w:r w:rsidR="00CF6C85">
        <w:t>1.4</w:t>
      </w:r>
      <w:r w:rsidR="00B47702">
        <w:rPr>
          <w:highlight w:val="yellow"/>
        </w:rPr>
        <w:fldChar w:fldCharType="end"/>
      </w:r>
      <w:r w:rsidR="00B7462D" w:rsidRPr="00B47702">
        <w:t xml:space="preserve"> y en el </w:t>
      </w:r>
      <w:r w:rsidR="00233D9D" w:rsidRPr="00B47702">
        <w:t xml:space="preserve">Anexo </w:t>
      </w:r>
      <w:r w:rsidR="00B7462D">
        <w:t xml:space="preserve">se presentan los </w:t>
      </w:r>
      <w:r w:rsidR="00340B70">
        <w:t>análisis sobre</w:t>
      </w:r>
      <w:r w:rsidR="00B7462D">
        <w:t xml:space="preserve"> la aplicación </w:t>
      </w:r>
      <w:r w:rsidR="009E4F70">
        <w:t>de la opción tarifaria desde</w:t>
      </w:r>
      <w:r w:rsidR="00B7462D">
        <w:t xml:space="preserve"> 2020 </w:t>
      </w:r>
      <w:r w:rsidR="009E4F70">
        <w:t>a nivel país y de manera detallada por cada mercado de comercialización respectivamente.</w:t>
      </w:r>
    </w:p>
    <w:p w14:paraId="7D306B88" w14:textId="2687B87C" w:rsidR="008E12A7" w:rsidRDefault="008E12A7" w:rsidP="00ED4190">
      <w:pPr>
        <w:pStyle w:val="Ttulo3"/>
      </w:pPr>
      <w:bookmarkStart w:id="67" w:name="_Toc152921847"/>
      <w:r>
        <w:t>Contexto</w:t>
      </w:r>
      <w:r w:rsidR="00D231E3">
        <w:t xml:space="preserve"> jurídico</w:t>
      </w:r>
      <w:bookmarkEnd w:id="67"/>
    </w:p>
    <w:p w14:paraId="49DE5025" w14:textId="77777777" w:rsidR="008E12A7" w:rsidRDefault="008E12A7" w:rsidP="00ED4190">
      <w:r>
        <w:t xml:space="preserve">La Ley 142 de 1994 en su artículo </w:t>
      </w:r>
      <w:r w:rsidRPr="00675D1A">
        <w:t>90</w:t>
      </w:r>
      <w:r>
        <w:t xml:space="preserve"> establece que</w:t>
      </w:r>
      <w:r w:rsidRPr="00675D1A">
        <w:t xml:space="preserve"> las Comisiones de Regulación al definir sus tarifas pueden establecer varias alternativas y siempre podrán diseñar y hacer públicas diversas opciones tarifarias que tomen en cuenta diseños óptimos de tarifas.</w:t>
      </w:r>
    </w:p>
    <w:p w14:paraId="7D4FB217" w14:textId="3B34C1D8" w:rsidR="008E12A7" w:rsidRDefault="008E12A7" w:rsidP="00D60415">
      <w:r>
        <w:t>De acuerdo con lo anterior, para el servicio público domiciliario de energía eléctrica y en ejercicio de dicha atribución</w:t>
      </w:r>
      <w:r w:rsidR="00D551E0">
        <w:t>, la Comisión</w:t>
      </w:r>
      <w:r>
        <w:t xml:space="preserve"> ha expedido una serie de normas, como es el caso de las resoluciones CREG 168 de 2008 y 012 de 2020, en las que se buscaba otorgar alternativas a los agentes comercializadores frente al cobro de las tarifas por los incrementos o aumentos que se pudieran presenta</w:t>
      </w:r>
      <w:r w:rsidR="00763D54">
        <w:t>r</w:t>
      </w:r>
      <w:r>
        <w:t>. Lo anterior, teniendo como propósito “evitar el incremento abrupto de las tarifas” o “</w:t>
      </w:r>
      <w:r w:rsidRPr="00BA00BD">
        <w:t>reducir el impacto para los usuarios de esos posibles incrementos</w:t>
      </w:r>
      <w:r>
        <w:t>”.</w:t>
      </w:r>
    </w:p>
    <w:p w14:paraId="4F556310" w14:textId="5B5F8790" w:rsidR="008A22E2" w:rsidRDefault="008E12A7" w:rsidP="00D60415">
      <w:r>
        <w:t xml:space="preserve">Dentro de las principales características de este mecanismo son: </w:t>
      </w:r>
    </w:p>
    <w:p w14:paraId="720B9824" w14:textId="7AE07B52" w:rsidR="008A22E2" w:rsidRDefault="008E12A7" w:rsidP="00E32035">
      <w:pPr>
        <w:pStyle w:val="Prrafodelista"/>
        <w:numPr>
          <w:ilvl w:val="0"/>
          <w:numId w:val="32"/>
        </w:numPr>
      </w:pPr>
      <w:r>
        <w:t xml:space="preserve">la posibilidad de acogerse a este mecanismo se hace por parte del comercializador; </w:t>
      </w:r>
    </w:p>
    <w:p w14:paraId="6C3E5B4D" w14:textId="10E7FB18" w:rsidR="008A22E2" w:rsidRDefault="008E12A7" w:rsidP="008A22E2">
      <w:pPr>
        <w:pStyle w:val="Prrafodelista"/>
        <w:numPr>
          <w:ilvl w:val="0"/>
          <w:numId w:val="32"/>
        </w:numPr>
      </w:pPr>
      <w:r>
        <w:t xml:space="preserve">la </w:t>
      </w:r>
      <w:r w:rsidRPr="00591E58">
        <w:t xml:space="preserve">aplicación de la opción y el saldo acumulado es llevada a cabo por parte de los comercializadores </w:t>
      </w:r>
      <w:r>
        <w:t xml:space="preserve">en el plazo que este último establezca, toda vez que dicho agente es el que cuenta con mejor información frente al nivel de incremento que se le puede llevar a cabo al usuario; </w:t>
      </w:r>
    </w:p>
    <w:p w14:paraId="07E95E08" w14:textId="2E987667" w:rsidR="008A22E2" w:rsidRDefault="008E12A7" w:rsidP="008A22E2">
      <w:pPr>
        <w:pStyle w:val="Prrafodelista"/>
        <w:numPr>
          <w:ilvl w:val="0"/>
          <w:numId w:val="32"/>
        </w:numPr>
      </w:pPr>
      <w:r>
        <w:t>la aplicación de la opción implica una formula donde se destaca la existencia de un saldo acumulado por mercado de comercialización, un porcentaje de variación y el financiamiento de parte de la tarifa a través del reconocimiento de una t</w:t>
      </w:r>
      <w:r w:rsidRPr="00AE4C8A">
        <w:t xml:space="preserve">asa de interés al </w:t>
      </w:r>
      <w:r>
        <w:t>c</w:t>
      </w:r>
      <w:r w:rsidRPr="00AE4C8A">
        <w:t>omercializador</w:t>
      </w:r>
      <w:r>
        <w:t xml:space="preserve"> y; </w:t>
      </w:r>
    </w:p>
    <w:p w14:paraId="6971A6C8" w14:textId="2A03071D" w:rsidR="008E12A7" w:rsidRDefault="008E12A7" w:rsidP="00E32035">
      <w:pPr>
        <w:pStyle w:val="Prrafodelista"/>
        <w:numPr>
          <w:ilvl w:val="0"/>
          <w:numId w:val="32"/>
        </w:numPr>
      </w:pPr>
      <w:r>
        <w:lastRenderedPageBreak/>
        <w:t>la aplicación de una transición para que las opciones que se dieran a partir del año 2022, el usuario de manera individual contara con la posibilidad de que no se le aplicara la opción tarifaria pagando la tarifa plena del servicio</w:t>
      </w:r>
      <w:r>
        <w:rPr>
          <w:rStyle w:val="Refdenotaalpie"/>
          <w:spacing w:val="-5"/>
        </w:rPr>
        <w:footnoteReference w:id="2"/>
      </w:r>
      <w:r>
        <w:t>.</w:t>
      </w:r>
    </w:p>
    <w:p w14:paraId="6127B3DC" w14:textId="5B113A76" w:rsidR="008E12A7" w:rsidRDefault="008E12A7" w:rsidP="00ED4190">
      <w:r w:rsidRPr="00D42126">
        <w:t>Posteriormente y como resultado de las decisiones adoptadas en el marco de la emergencia económica y social, en este caso del Decreto Legislativo 517 de 2020, la Comisión expidió la Resolución CREG 058 de 2020, “Por la cual se adoptan medidas transitorias para el pago de las facturas del servicio de energía eléctrica”</w:t>
      </w:r>
      <w:r w:rsidR="00C823C9" w:rsidRPr="00D42126">
        <w:t xml:space="preserve"> donde se estableció la aplicación obligatoria de la opción tarifaria para permitir la estabilidad de las tarifas del servicio con el fin de enfrentar l</w:t>
      </w:r>
      <w:r w:rsidR="00D42126" w:rsidRPr="00D42126">
        <w:t>as consecuencias derivadas de la pandemia.</w:t>
      </w:r>
      <w:r>
        <w:t xml:space="preserve"> </w:t>
      </w:r>
    </w:p>
    <w:p w14:paraId="6C6C7F68" w14:textId="352715E6" w:rsidR="008E12A7" w:rsidRDefault="008E12A7" w:rsidP="00ED4190">
      <w:r>
        <w:t>Dicha opción tarifaria tiene unas condiciones específicas, diferentes de las prevista</w:t>
      </w:r>
      <w:r w:rsidR="00D42126">
        <w:t>s</w:t>
      </w:r>
      <w:r>
        <w:t xml:space="preserve"> inicialmente en la Resolución CREG 012 de 2020, principalmente relacionadas con el nivel imperativo de aplicación de la misma por parte de las empresas comercializadoras</w:t>
      </w:r>
      <w:r w:rsidRPr="00AE1B6F">
        <w:t xml:space="preserve"> cuando se present</w:t>
      </w:r>
      <w:r>
        <w:t>ará</w:t>
      </w:r>
      <w:r w:rsidRPr="00AE1B6F">
        <w:t xml:space="preserve"> un incremento superior al 3% en el costo unitario de prestación del servicio</w:t>
      </w:r>
      <w:r>
        <w:t>, con la finalidad de evitar un cobro completo del costo unitario de la prestación del servicio de energía, ante los impactos económicos y sociales derivados de la pandemia del COVID-19 y la imposibilidad de que los usuarios pudiesen sufragar el costo del servicio, como lo plantea el Decreto 517, por lo que dicha norma en sus considerandos expone que:</w:t>
      </w:r>
    </w:p>
    <w:p w14:paraId="044DCBA1" w14:textId="22CECB8E" w:rsidR="008E12A7" w:rsidRPr="00C22009" w:rsidRDefault="008E12A7" w:rsidP="00532FED">
      <w:pPr>
        <w:ind w:left="284" w:right="335"/>
        <w:rPr>
          <w:i/>
          <w:iCs/>
          <w:spacing w:val="-5"/>
          <w:szCs w:val="22"/>
        </w:rPr>
      </w:pPr>
      <w:r w:rsidRPr="00C22009">
        <w:rPr>
          <w:i/>
          <w:iCs/>
          <w:spacing w:val="-5"/>
          <w:szCs w:val="22"/>
        </w:rPr>
        <w:t xml:space="preserve">“Que en el precitado Decreto 417 de 2020. declaratorio del Estado de Emergencia Económica. Social y Ecológica, se indicó que: "(...) el 42,4% de los trabajadores en Colombia trabajan por cuenta propia y 56,4% no son asalariados, Los ingresos de este tipo de trabajadores y sus dependientes dependen de su trabajo diario y esta actividad se ha visto repentina y sorprendentemente restringida por las medidas necesarias para controlar el escalamiento de la pandemia. Adicionalmente, estos hogares son vulnerables al no contar con mecanismos para reemplazar los ingresos que dejarán de percibir por causa de las medidas sanitarias. Que las medidas sanitarias resultan en una reducción de los flujos de caja de personas y empresas. </w:t>
      </w:r>
      <w:r w:rsidRPr="00C22009">
        <w:rPr>
          <w:b/>
          <w:bCs/>
          <w:i/>
          <w:iCs/>
          <w:spacing w:val="-5"/>
          <w:szCs w:val="22"/>
          <w:u w:val="single"/>
        </w:rPr>
        <w:t>Los menores flujos de conllevan a posibles incumplimientos de pagos y obligaciones, rompiendo relaciones de largo plazo entre deudores y acreedores que se basan en la confianza y pueden tomar períodos largos en volver a desarrollarse</w:t>
      </w:r>
      <w:r w:rsidRPr="00C22009">
        <w:rPr>
          <w:i/>
          <w:iCs/>
          <w:spacing w:val="-5"/>
          <w:szCs w:val="22"/>
        </w:rPr>
        <w:t>.</w:t>
      </w:r>
    </w:p>
    <w:p w14:paraId="3789852E" w14:textId="77777777" w:rsidR="008E12A7" w:rsidRPr="007808F0" w:rsidRDefault="008E12A7" w:rsidP="00532FED">
      <w:pPr>
        <w:ind w:left="284" w:right="335"/>
        <w:rPr>
          <w:spacing w:val="-5"/>
        </w:rPr>
      </w:pPr>
      <w:r w:rsidRPr="00C22009">
        <w:rPr>
          <w:b/>
          <w:bCs/>
          <w:i/>
          <w:iCs/>
          <w:spacing w:val="-5"/>
          <w:szCs w:val="22"/>
          <w:u w:val="single"/>
        </w:rPr>
        <w:t xml:space="preserve">Que por lo anterior, se hace necesario establecer facultades legales que permitan establecer medidas vinculantes en términos de facturación por parte de las empresas de servicios públicos domiciliarios, en la medida en que para estas, no resulta obligatorio que el pago de los servicios prestados se pueda diferir; lo cual </w:t>
      </w:r>
      <w:r w:rsidRPr="00C22009">
        <w:rPr>
          <w:b/>
          <w:bCs/>
          <w:i/>
          <w:iCs/>
          <w:spacing w:val="-5"/>
          <w:szCs w:val="22"/>
          <w:u w:val="single"/>
        </w:rPr>
        <w:lastRenderedPageBreak/>
        <w:t>permitirá aliviar la carga económica de los usuarios finales y, por ende dar continuidad a la prestación de los servicios públicos de energía eléctrica y gas combustible por redes</w:t>
      </w:r>
      <w:r w:rsidRPr="00C22009">
        <w:rPr>
          <w:i/>
          <w:iCs/>
          <w:spacing w:val="-5"/>
          <w:szCs w:val="22"/>
        </w:rPr>
        <w:t>.” (Resaltado fuera de texto)</w:t>
      </w:r>
    </w:p>
    <w:p w14:paraId="39062FED" w14:textId="23E6FC24" w:rsidR="008E12A7" w:rsidRDefault="008E12A7" w:rsidP="00863A52">
      <w:r>
        <w:t xml:space="preserve">La </w:t>
      </w:r>
      <w:r w:rsidR="0084068F">
        <w:t>R</w:t>
      </w:r>
      <w:r>
        <w:t xml:space="preserve">esolución </w:t>
      </w:r>
      <w:r w:rsidR="0084068F">
        <w:t xml:space="preserve">CREG </w:t>
      </w:r>
      <w:r>
        <w:t xml:space="preserve">058 </w:t>
      </w:r>
      <w:r w:rsidR="0084068F">
        <w:t xml:space="preserve">de 2020 </w:t>
      </w:r>
      <w:r>
        <w:t>en su artículo 12 establece</w:t>
      </w:r>
      <w:r w:rsidR="00770F43">
        <w:t>,</w:t>
      </w:r>
      <w:r>
        <w:t xml:space="preserve"> con respecto a la</w:t>
      </w:r>
      <w:r w:rsidRPr="00993268">
        <w:t xml:space="preserve"> </w:t>
      </w:r>
      <w:r>
        <w:t>a</w:t>
      </w:r>
      <w:r w:rsidRPr="00993268">
        <w:t>plicación de la opción tarifaria</w:t>
      </w:r>
      <w:r>
        <w:t xml:space="preserve"> que,</w:t>
      </w:r>
      <w:r w:rsidRPr="00993268">
        <w:t xml:space="preserve"> </w:t>
      </w:r>
      <w:r>
        <w:t>a</w:t>
      </w:r>
      <w:r w:rsidRPr="00993268">
        <w:t xml:space="preserve"> partir de la expedición de la presente resolución y hasta dos (2) meses después del 30 de mayo de 2020, fecha en la cual finaliza el estado de emergencia sanitaria declarado en la Resolución 385 de 2020 del Ministerio de Salud y Protección Social, los comercializadores deben aplicar la opción tarifaria definida en la Resolución CREG 012 de 2020 cuando se presente un incremento superior al 3% en el Costo Unitario de Prestación del Servicio o en cualquiera de sus componentes. Para la aplicación de la opción tarifaria se debe utilizar la variable PV igual a cero (0) durante el período indicado en el párrafo anterior.</w:t>
      </w:r>
    </w:p>
    <w:p w14:paraId="108BDF75" w14:textId="77777777" w:rsidR="008E12A7" w:rsidRPr="00A37189" w:rsidRDefault="008E12A7" w:rsidP="00863A52">
      <w:pPr>
        <w:rPr>
          <w:i/>
        </w:rPr>
      </w:pPr>
      <w:r>
        <w:t>En concordancia con dicha remisión, el artículo 2 de la Resolución CREG 012 de 2020 “</w:t>
      </w:r>
      <w:r w:rsidRPr="00F77FA2">
        <w:t>Por la cual se establece una opción tarifaria para definir los costos máximos de prestación del servicio que podrán ser trasladados a los usuarios regulados del servicio público de energía eléctrica en el Sistema Interconectado Nacional</w:t>
      </w:r>
      <w:r>
        <w:t>” cuando define la opción y dentro de las variables de la fórmula consignadas en el numeral 5o, se encuentra la variable “</w:t>
      </w:r>
      <w:proofErr w:type="spellStart"/>
      <w:r w:rsidRPr="00A37189">
        <w:rPr>
          <w:i/>
        </w:rPr>
        <w:t>SAn,m,i,j</w:t>
      </w:r>
      <w:proofErr w:type="spellEnd"/>
      <w:r w:rsidRPr="00A37189">
        <w:rPr>
          <w:i/>
        </w:rPr>
        <w:t xml:space="preserve">”, definida como el  Saldo Acumulado, expresado en $, del Comercializador i para el mes m en el nivel de tensión n del mercado de comercialización j, por las diferencias entre el CU calculado </w:t>
      </w:r>
      <w:proofErr w:type="spellStart"/>
      <w:r w:rsidRPr="00A37189">
        <w:rPr>
          <w:i/>
        </w:rPr>
        <w:t>CUvcn,m,i,j</w:t>
      </w:r>
      <w:proofErr w:type="spellEnd"/>
      <w:r w:rsidRPr="00A37189">
        <w:rPr>
          <w:i/>
        </w:rPr>
        <w:t xml:space="preserve"> y el CU aplicado </w:t>
      </w:r>
      <w:proofErr w:type="spellStart"/>
      <w:r w:rsidRPr="00A37189">
        <w:rPr>
          <w:i/>
        </w:rPr>
        <w:t>CUvn,m,i,j</w:t>
      </w:r>
      <w:proofErr w:type="spellEnd"/>
      <w:r w:rsidRPr="00A37189">
        <w:rPr>
          <w:i/>
        </w:rPr>
        <w:t>.”</w:t>
      </w:r>
    </w:p>
    <w:p w14:paraId="1713F5F3" w14:textId="31DE8B0C" w:rsidR="008E12A7" w:rsidRPr="005979E5" w:rsidRDefault="008E12A7" w:rsidP="00ED4190">
      <w:r>
        <w:t xml:space="preserve">En relación con esto, se debe tener en cuenta que la Resolución CREG 058 de 2020 fue objeto de control automático de legalidad por parte del H. Consejo de Estado, el cual mediante </w:t>
      </w:r>
      <w:r w:rsidRPr="005979E5">
        <w:t>Sentencia de 26 de marzo de 2021</w:t>
      </w:r>
      <w:r>
        <w:t xml:space="preserve"> de la </w:t>
      </w:r>
      <w:r w:rsidRPr="005979E5">
        <w:t xml:space="preserve">sala especial de decisión </w:t>
      </w:r>
      <w:r>
        <w:t>No</w:t>
      </w:r>
      <w:r w:rsidRPr="005979E5">
        <w:t xml:space="preserve"> 26, </w:t>
      </w:r>
      <w:r>
        <w:t xml:space="preserve">con ponencia del </w:t>
      </w:r>
      <w:r w:rsidR="00FA3747">
        <w:t>c</w:t>
      </w:r>
      <w:r w:rsidRPr="005979E5">
        <w:t>onsejero Guillermo Sánchez, Radicación 2020-01743</w:t>
      </w:r>
      <w:r>
        <w:t>, aval</w:t>
      </w:r>
      <w:r w:rsidR="00703D05">
        <w:t>ó</w:t>
      </w:r>
      <w:r>
        <w:t xml:space="preserve"> la legalidad del artículo 12 donde de manera particular expuso dicho fallo:</w:t>
      </w:r>
    </w:p>
    <w:p w14:paraId="6DAA6EF6" w14:textId="77777777" w:rsidR="008E12A7" w:rsidRPr="006F4798" w:rsidRDefault="008E12A7" w:rsidP="00532FED">
      <w:pPr>
        <w:ind w:left="284" w:right="335"/>
        <w:rPr>
          <w:i/>
          <w:iCs/>
          <w:spacing w:val="-5"/>
          <w:szCs w:val="22"/>
        </w:rPr>
      </w:pPr>
      <w:r w:rsidRPr="006F4798">
        <w:rPr>
          <w:i/>
          <w:iCs/>
          <w:spacing w:val="-5"/>
          <w:szCs w:val="22"/>
        </w:rPr>
        <w:t xml:space="preserve">“De modo que la aplicación de un menor valor al aprobado para la remuneración de las actividades de transmisión, distribución y comercialización (art. 11 Res. CREG 058) y la aplicación obligatoria de opciones tarifarias, (art. 12 Res. CREG 058, art. 3 Res. CREG 108 y art. 3 Res. CREG 152), </w:t>
      </w:r>
      <w:r w:rsidRPr="006F4798">
        <w:rPr>
          <w:b/>
          <w:bCs/>
          <w:i/>
          <w:iCs/>
          <w:spacing w:val="-5"/>
          <w:szCs w:val="22"/>
          <w:u w:val="single"/>
        </w:rPr>
        <w:t>corresponden a medidas acordes no solo a las facultades que la Ley 142 de 1994 asigna a la CREG y sino a las potestades establecidas en la norma de excepción. De ahí que, esas medidas administrativas se tomaron dentro del marco de competencia de la autoridad.</w:t>
      </w:r>
    </w:p>
    <w:p w14:paraId="6153EDF5" w14:textId="77777777" w:rsidR="008E12A7" w:rsidRPr="006F4798" w:rsidRDefault="008E12A7" w:rsidP="00532FED">
      <w:pPr>
        <w:ind w:left="284" w:right="335"/>
        <w:rPr>
          <w:i/>
          <w:iCs/>
          <w:spacing w:val="-5"/>
          <w:szCs w:val="22"/>
        </w:rPr>
      </w:pPr>
      <w:r w:rsidRPr="006F4798">
        <w:rPr>
          <w:i/>
          <w:iCs/>
          <w:spacing w:val="-5"/>
          <w:szCs w:val="22"/>
        </w:rPr>
        <w:t>(…)</w:t>
      </w:r>
    </w:p>
    <w:p w14:paraId="6BDCCD6E" w14:textId="77777777" w:rsidR="008E12A7" w:rsidRPr="006F4798" w:rsidRDefault="008E12A7" w:rsidP="00532FED">
      <w:pPr>
        <w:ind w:left="284" w:right="335"/>
        <w:rPr>
          <w:i/>
          <w:iCs/>
          <w:spacing w:val="-5"/>
          <w:szCs w:val="22"/>
        </w:rPr>
      </w:pPr>
      <w:r w:rsidRPr="006F4798">
        <w:rPr>
          <w:i/>
          <w:iCs/>
          <w:spacing w:val="-5"/>
          <w:szCs w:val="22"/>
        </w:rPr>
        <w:t xml:space="preserve">20.3 El cobro que pueden hacer, los prestadores de las actividades de transmisión, distribución y comercialización de energía eléctrica, de un valor menor al máximo aprobado para la remuneración de sus respectivas actividades (art. 11 Res. CREG 058) </w:t>
      </w:r>
      <w:r w:rsidRPr="006F4798">
        <w:rPr>
          <w:b/>
          <w:bCs/>
          <w:i/>
          <w:iCs/>
          <w:spacing w:val="-5"/>
          <w:szCs w:val="22"/>
          <w:u w:val="single"/>
        </w:rPr>
        <w:t>y la aplicación obligatoria de la opción tarifaria de la Resolución CREG 012 de 2020 cuando se presente un incremento superior al 3% en el costo unitario de prestación del servicio</w:t>
      </w:r>
      <w:r w:rsidRPr="006F4798">
        <w:rPr>
          <w:i/>
          <w:iCs/>
          <w:spacing w:val="-5"/>
          <w:szCs w:val="22"/>
        </w:rPr>
        <w:t xml:space="preserve"> (art. 12 Res. CREG 058, art. 3 Res. CREG 108, art. 3 Res. CREG 152), </w:t>
      </w:r>
      <w:r w:rsidRPr="006F4798">
        <w:rPr>
          <w:b/>
          <w:bCs/>
          <w:i/>
          <w:iCs/>
          <w:spacing w:val="-5"/>
          <w:szCs w:val="22"/>
          <w:u w:val="single"/>
        </w:rPr>
        <w:t>tienen como objeto reducir el impacto económico en el sistema ocasionado por la emergencia sanitaria. Por ello, son adecuadas al hecho que pretenden conjurar, pues las medidas persiguen ajustar el esquema financiero alterado por la pandemia que obligó a emitir regulaciones que permitan opciones de pago diferido a los usuarios del servicio</w:t>
      </w:r>
      <w:r w:rsidRPr="006F4798">
        <w:rPr>
          <w:i/>
          <w:iCs/>
          <w:spacing w:val="-5"/>
          <w:szCs w:val="22"/>
        </w:rPr>
        <w:t>.” (Resaltado fuera de texto)</w:t>
      </w:r>
    </w:p>
    <w:p w14:paraId="7C48D99B" w14:textId="16FBBD4D" w:rsidR="008E12A7" w:rsidRDefault="008E12A7" w:rsidP="00ED4190">
      <w:r>
        <w:t xml:space="preserve">Ahora, como se expone dentro del presente documento, las </w:t>
      </w:r>
      <w:r w:rsidR="00FE6D66">
        <w:t xml:space="preserve">principales </w:t>
      </w:r>
      <w:r>
        <w:t xml:space="preserve">causas que motivan la problemática actual se han presentado con posterioridad a la Resolución CREG 058 de </w:t>
      </w:r>
      <w:r>
        <w:lastRenderedPageBreak/>
        <w:t xml:space="preserve">2020 y dentro del período de aplicación de la opción tarifaria, las cuales han afectado su aplicación con respecto a la dinámica inicial, principalmente en relación con la forma en que se viene incrementando el saldo acumulado. </w:t>
      </w:r>
    </w:p>
    <w:p w14:paraId="1986E635" w14:textId="77777777" w:rsidR="008E12A7" w:rsidRDefault="008E12A7" w:rsidP="00863A52">
      <w:r>
        <w:t xml:space="preserve">En este sentido, de continuar con la aplicación de la opción en las mismas condiciones actuales, sus efectos terminan afectando la </w:t>
      </w:r>
      <w:r w:rsidRPr="00DD421C">
        <w:t>convergencia</w:t>
      </w:r>
      <w:r>
        <w:t xml:space="preserve"> que se busca </w:t>
      </w:r>
      <w:r w:rsidRPr="00DD421C">
        <w:t>entre los intereses colectivos que persigue la prestación de los servicios públicos</w:t>
      </w:r>
      <w:r>
        <w:t xml:space="preserve"> en relación con los usuarios,</w:t>
      </w:r>
      <w:r w:rsidRPr="00DD421C">
        <w:t xml:space="preserve"> </w:t>
      </w:r>
      <w:r>
        <w:t>con el</w:t>
      </w:r>
      <w:r w:rsidRPr="00DD421C">
        <w:t xml:space="preserve"> interés de las empresas en relación </w:t>
      </w:r>
      <w:r>
        <w:t xml:space="preserve">la libertad económica, así como la correcta y suficiente remuneración del servicio en condiciones de eficiencia. Esto puede poner en riesgo la continuidad en la prestación del servicio desde el punto de vista económico, en relación con la capacidad financiera de los agentes comercializadores frente a la forma en que se vienen asumiendo el saldo, como posteriormente los impactos en las tarifas que se presenten para los usuarios y la capacidad de asumir dichos incrementos en el momento en que el saldo se deje de acumular.  </w:t>
      </w:r>
    </w:p>
    <w:p w14:paraId="41B87F13" w14:textId="77777777" w:rsidR="008E12A7" w:rsidRDefault="008E12A7" w:rsidP="00ED4190">
      <w:r>
        <w:t>En relación con esto último, la imposibilidad de pago de los usuarios o de asumir los incrementos en la tarifa, lo cual individualmente considerado puede ser un evento aislado o particular, de presentarse de manera masiva o sistémica, ya no tendría un efecto específico dentro de una situación particular contractual, sino que el mismo puede, al tener ese carácter general o sistémico, lo cual pone en riesgo la prestación del servicio en relación con la suficiencia financiera de la empresa por el no pago de la tarifa.</w:t>
      </w:r>
    </w:p>
    <w:p w14:paraId="56AAF764" w14:textId="77777777" w:rsidR="008E12A7" w:rsidRPr="003B295B" w:rsidRDefault="008E12A7" w:rsidP="00ED4190">
      <w:r>
        <w:t xml:space="preserve">Adicionalmente, desde el lado de las empresas comercializadoras, la aplicación de dichos incrementos de manera general puede ver afectadas las condiciones de prestación del servicio en mercados con condiciones específicas, no por el no pago del servicio, sino por el retiro o disminución de la demanda que, de manera masiva, puede llevar a una inviabilidad en la prestación del servicio desde el punto de vista financiero. Esto se presenta a través de lo que se puede denominar como una “competencia artificial” donde se presente el retiro de demanda en un mercado de comercialización en la medida que un usuario busque ser atendido por otro comercializador y que en su momento no sufrague el pago del </w:t>
      </w:r>
      <w:r w:rsidRPr="003B295B">
        <w:t>saldo acumulado en el mercado que era atendido.</w:t>
      </w:r>
    </w:p>
    <w:p w14:paraId="24400826" w14:textId="77777777" w:rsidR="008E12A7" w:rsidRDefault="008E12A7" w:rsidP="00ED4190">
      <w:r w:rsidRPr="003B295B">
        <w:t>De acuerdo con lo expuesto, la situación actual justifica el ejercicio de la actividad regulatoria interviniendo la opción tarifaria actual, con el fin de identificar una alternativa regulatoria que permita, en la medida de lo posible, la regulación ha de propender por hacer compatibles los intereses privados, que actúan como motor de la actividad económica, con la satisfacción de las necesidades colectivas, buscando garantizar la efectividad de los principios sociales que rigen la prestación de los servicios públicos domiciliarios, así como el adecuado funcionamiento del mercado, en el marco de la continua y eficiente prestación del servicio.</w:t>
      </w:r>
      <w:r>
        <w:t xml:space="preserve"> </w:t>
      </w:r>
    </w:p>
    <w:p w14:paraId="613A4615" w14:textId="5134B821" w:rsidR="008E12A7" w:rsidRDefault="008E12A7" w:rsidP="00ED4190">
      <w:r>
        <w:t xml:space="preserve">Es por esto </w:t>
      </w:r>
      <w:r w:rsidR="003B295B">
        <w:t>por lo que</w:t>
      </w:r>
      <w:r>
        <w:t xml:space="preserve"> para la definición de las alternativas regulatorias se considera relevante tener en cuenta los siguientes elementos:</w:t>
      </w:r>
    </w:p>
    <w:p w14:paraId="6A7BB51F" w14:textId="7829D1E0" w:rsidR="008E12A7" w:rsidRPr="00B47702" w:rsidRDefault="008E12A7" w:rsidP="003B4A16">
      <w:pPr>
        <w:pStyle w:val="Prrafodelista"/>
        <w:numPr>
          <w:ilvl w:val="0"/>
          <w:numId w:val="19"/>
        </w:numPr>
      </w:pPr>
      <w:r w:rsidRPr="00B47702">
        <w:t>La aplicación de la regulación actual y su afectación por los eventos presentados con posterioridad a su definición no permiten resolver el problema actual en relación con la forma en que se viene incrementando el saldo acumulado. Así mismo, el problema resuelto en la Resolución CREG 058 de 2020 es diferente al actualmente presentado;</w:t>
      </w:r>
    </w:p>
    <w:p w14:paraId="38C6F84E" w14:textId="77777777" w:rsidR="00B47702" w:rsidRPr="00B47702" w:rsidRDefault="00B47702" w:rsidP="003B4A16">
      <w:pPr>
        <w:pStyle w:val="Prrafodelista"/>
        <w:numPr>
          <w:ilvl w:val="0"/>
          <w:numId w:val="19"/>
        </w:numPr>
      </w:pPr>
      <w:r w:rsidRPr="00B47702">
        <w:t>Se deben identificar los riesgos jurídicos asociados con las alternativas que se presenten, en la medida que la misma interviene la aplicación de una opción que se viene realizando actualmente. Para esto, los lineamientos jurisprudenciales pueden aportar elementos importantes a la Comisión.</w:t>
      </w:r>
    </w:p>
    <w:p w14:paraId="0964B96A" w14:textId="1DF574CC" w:rsidR="00B47702" w:rsidRDefault="00B47702" w:rsidP="003B4A16">
      <w:pPr>
        <w:pStyle w:val="Prrafodelista"/>
        <w:numPr>
          <w:ilvl w:val="0"/>
          <w:numId w:val="19"/>
        </w:numPr>
      </w:pPr>
      <w:r>
        <w:lastRenderedPageBreak/>
        <w:t>Entiende la Comisión que el saldo acumulado es una consecuencia de la aplicación de la regulación</w:t>
      </w:r>
      <w:r w:rsidR="00846290">
        <w:t>, principalmente causado</w:t>
      </w:r>
      <w:r>
        <w:t xml:space="preserve"> como parte de las medidas en el marco de la emergencia económica y social frente a la cual se ha declarado su legalidad.</w:t>
      </w:r>
    </w:p>
    <w:p w14:paraId="515D1528" w14:textId="3888429D" w:rsidR="00B47702" w:rsidRPr="00B47702" w:rsidRDefault="00B47702" w:rsidP="003B4A16">
      <w:pPr>
        <w:pStyle w:val="Prrafodelista"/>
        <w:numPr>
          <w:ilvl w:val="0"/>
          <w:numId w:val="19"/>
        </w:numPr>
      </w:pPr>
      <w:r>
        <w:t xml:space="preserve">La opción tarifaria actual pretende un fin jurídicamente relevante, el cual hace relación a </w:t>
      </w:r>
      <w:r w:rsidRPr="007A2AFD">
        <w:t>reducir el impacto económico en el sistema ocasionado por la emergencia sanitaria</w:t>
      </w:r>
      <w:r>
        <w:t xml:space="preserve">, ajustando el esquema de financiación y el mecanismo utilizado a través de la financiación se considera valido como una herramienta </w:t>
      </w:r>
      <w:r w:rsidRPr="00ED0EEB">
        <w:t>para aminorar los efectos en los incrementos de las tarifas y permite garantizar el pago oportuno del servicio público”</w:t>
      </w:r>
      <w:r>
        <w:t>.</w:t>
      </w:r>
    </w:p>
    <w:p w14:paraId="509F6309" w14:textId="4A56AF5C" w:rsidR="00F217A0" w:rsidRDefault="00F217A0" w:rsidP="00DB3094">
      <w:pPr>
        <w:pStyle w:val="Ttulo2"/>
      </w:pPr>
      <w:bookmarkStart w:id="68" w:name="_Toc152921848"/>
      <w:r>
        <w:t>Situaciones presentadas</w:t>
      </w:r>
      <w:bookmarkEnd w:id="68"/>
    </w:p>
    <w:p w14:paraId="25FA91FB" w14:textId="1F722B43" w:rsidR="002A0EDC" w:rsidRPr="00475451" w:rsidRDefault="002C3DB7" w:rsidP="00ED4190">
      <w:r w:rsidRPr="00475451">
        <w:t xml:space="preserve">Durante </w:t>
      </w:r>
      <w:r w:rsidR="00A60017" w:rsidRPr="00475451">
        <w:t>el periodo 2020 – 202</w:t>
      </w:r>
      <w:r w:rsidR="00183EED">
        <w:t>3</w:t>
      </w:r>
      <w:r w:rsidR="00A60017" w:rsidRPr="00475451">
        <w:t xml:space="preserve"> </w:t>
      </w:r>
      <w:r w:rsidR="00183EED">
        <w:t xml:space="preserve">se han presentado diferentes </w:t>
      </w:r>
      <w:r w:rsidR="00985D18" w:rsidRPr="00475451">
        <w:t xml:space="preserve">situaciones que </w:t>
      </w:r>
      <w:r w:rsidR="00F868DD">
        <w:t xml:space="preserve">han llevado a un incremento importante en </w:t>
      </w:r>
      <w:r w:rsidR="005D466E" w:rsidRPr="00475451">
        <w:t xml:space="preserve">el costo unitario de prestación del servicio en algunos mercados de comercialización del país, como se </w:t>
      </w:r>
      <w:r w:rsidR="00F868DD">
        <w:t xml:space="preserve">señala </w:t>
      </w:r>
      <w:r w:rsidR="005D466E" w:rsidRPr="00475451">
        <w:t>a continuación:</w:t>
      </w:r>
    </w:p>
    <w:p w14:paraId="1CE51A53" w14:textId="0C8F86A0" w:rsidR="00FA0A8C" w:rsidRDefault="00186525" w:rsidP="00ED4190">
      <w:pPr>
        <w:pStyle w:val="Ttulo3"/>
      </w:pPr>
      <w:bookmarkStart w:id="69" w:name="_Toc152921849"/>
      <w:r>
        <w:t>C</w:t>
      </w:r>
      <w:r w:rsidR="00F3612F">
        <w:t>OVID</w:t>
      </w:r>
      <w:r>
        <w:t xml:space="preserve"> – 19</w:t>
      </w:r>
      <w:bookmarkEnd w:id="69"/>
      <w:r>
        <w:t xml:space="preserve"> </w:t>
      </w:r>
    </w:p>
    <w:p w14:paraId="07A9AB0F" w14:textId="6E7735D9" w:rsidR="00475451" w:rsidRDefault="00475451" w:rsidP="00ED4190">
      <w:r>
        <w:t xml:space="preserve">En el periodo comprendido entre la fecha de expedición de la Resolución CREG 012 de 2020 (febrero de 2020) y el inicio de la pandemia generada por el COVID-19, </w:t>
      </w:r>
      <w:r w:rsidR="00B52A43">
        <w:t xml:space="preserve">solo un </w:t>
      </w:r>
      <w:r>
        <w:t>comercializador de energía se encontraba utilizando la figura de opción tarifaria.</w:t>
      </w:r>
    </w:p>
    <w:p w14:paraId="06258A12" w14:textId="77777777" w:rsidR="00475451" w:rsidRDefault="00475451" w:rsidP="00ED4190">
      <w:r>
        <w:t>Con la llegada de la pandemia, la CREG expidió una serie de normas encaminadas a enfrentar los efectos económicos adversos producto de la mencionada pandemia, para los usuarios del servicio público domiciliario de energía eléctrica, dentro de las que se encuentra la expedición de la Resolución CREG 058 de 2020 que permitió, entre otros, lo siguiente:</w:t>
      </w:r>
    </w:p>
    <w:p w14:paraId="3BD993F5" w14:textId="105AD126" w:rsidR="00475451" w:rsidRPr="00227371" w:rsidRDefault="00475451">
      <w:pPr>
        <w:pStyle w:val="Prrafodelista"/>
        <w:numPr>
          <w:ilvl w:val="0"/>
          <w:numId w:val="4"/>
        </w:numPr>
      </w:pPr>
      <w:r w:rsidRPr="00227371">
        <w:t xml:space="preserve">Que durante algunos meses </w:t>
      </w:r>
      <w:r>
        <w:t xml:space="preserve">un usuario pudiera </w:t>
      </w:r>
      <w:r w:rsidRPr="00227371">
        <w:t>recibi</w:t>
      </w:r>
      <w:r>
        <w:t>r</w:t>
      </w:r>
      <w:r w:rsidRPr="00227371">
        <w:t xml:space="preserve"> el servicio </w:t>
      </w:r>
      <w:r>
        <w:t xml:space="preserve">sin que tuviese que pagar la factura correspondiente. El valor por pagar correspondiente podía </w:t>
      </w:r>
      <w:r w:rsidRPr="00227371">
        <w:t>ser diferid</w:t>
      </w:r>
      <w:r>
        <w:t>o</w:t>
      </w:r>
      <w:r w:rsidRPr="00227371">
        <w:t xml:space="preserve"> en </w:t>
      </w:r>
      <w:r>
        <w:t xml:space="preserve">un periodo de </w:t>
      </w:r>
      <w:r w:rsidRPr="00227371">
        <w:t>tres años.</w:t>
      </w:r>
      <w:r>
        <w:t xml:space="preserve"> De esta manera, el usuario podía optar por acogerse a este beneficio o pagar la factura de manera normal.</w:t>
      </w:r>
    </w:p>
    <w:p w14:paraId="247C848C" w14:textId="77777777" w:rsidR="00475451" w:rsidRPr="00227371" w:rsidRDefault="00475451">
      <w:pPr>
        <w:pStyle w:val="Prrafodelista"/>
        <w:numPr>
          <w:ilvl w:val="0"/>
          <w:numId w:val="4"/>
        </w:numPr>
      </w:pPr>
      <w:r w:rsidRPr="00227371">
        <w:t>Que</w:t>
      </w:r>
      <w:r>
        <w:t xml:space="preserve">, aunque el costo unitario de prestación del servicio calculado con base en la Resolución 119 de 2007 aumentara, </w:t>
      </w:r>
      <w:r w:rsidRPr="00227371">
        <w:t xml:space="preserve">las tarifas del servicio no se modificaran, </w:t>
      </w:r>
      <w:r>
        <w:t xml:space="preserve">lo que implicaba </w:t>
      </w:r>
      <w:r w:rsidRPr="00227371">
        <w:t>utiliza</w:t>
      </w:r>
      <w:r>
        <w:t xml:space="preserve">r </w:t>
      </w:r>
      <w:r w:rsidRPr="00227371">
        <w:t>la figura de la opción tarifaria</w:t>
      </w:r>
      <w:r>
        <w:t xml:space="preserve"> </w:t>
      </w:r>
      <w:r w:rsidRPr="00227371">
        <w:t>de manera obligatoria</w:t>
      </w:r>
      <w:r>
        <w:t>.</w:t>
      </w:r>
    </w:p>
    <w:p w14:paraId="084FCD2A" w14:textId="00D95670" w:rsidR="00475451" w:rsidRDefault="00475451" w:rsidP="00ED4190">
      <w:r>
        <w:t xml:space="preserve">Estas disposiciones efectivamente permitieron enfrentar los efectos de </w:t>
      </w:r>
      <w:r w:rsidR="00433535">
        <w:t>pandemia</w:t>
      </w:r>
      <w:r w:rsidR="00740B08">
        <w:t>,</w:t>
      </w:r>
      <w:r w:rsidR="00433535">
        <w:t xml:space="preserve"> </w:t>
      </w:r>
      <w:r w:rsidR="00740B08">
        <w:t xml:space="preserve">en ejercicio de </w:t>
      </w:r>
      <w:r>
        <w:t>las medidas sanitarias ordenadas por el Gobierno Nacional, generando unas obligaciones futuras, producto de los saldos a raíz de las diferencias entre las tarifas de opción tarifarias y las normales.</w:t>
      </w:r>
    </w:p>
    <w:p w14:paraId="75D65638" w14:textId="0832E98D" w:rsidR="00FA0A8C" w:rsidRDefault="003C1FE1" w:rsidP="00ED4190">
      <w:pPr>
        <w:pStyle w:val="Ttulo3"/>
      </w:pPr>
      <w:bookmarkStart w:id="70" w:name="_Toc152921850"/>
      <w:r>
        <w:t xml:space="preserve">Comportamiento de los índices </w:t>
      </w:r>
      <w:r w:rsidR="00863A52">
        <w:t>de precios</w:t>
      </w:r>
      <w:bookmarkEnd w:id="70"/>
      <w:r w:rsidR="00863A52">
        <w:t xml:space="preserve"> </w:t>
      </w:r>
    </w:p>
    <w:p w14:paraId="19278271" w14:textId="1DF4536E" w:rsidR="00266C44" w:rsidRDefault="00CD1EC2" w:rsidP="00ED4190">
      <w:r>
        <w:t xml:space="preserve">Acorde con lo establecido en la Resolución CREG 119 de 2007, </w:t>
      </w:r>
      <w:r w:rsidR="00F073FA">
        <w:t xml:space="preserve">de </w:t>
      </w:r>
      <w:r>
        <w:t>las seis variables que componen el costo unitario de prestación del servicio</w:t>
      </w:r>
      <w:r w:rsidR="00F073FA">
        <w:t>, cinco</w:t>
      </w:r>
      <w:r w:rsidR="0067742D">
        <w:t xml:space="preserve"> varían de manera directa</w:t>
      </w:r>
      <w:r w:rsidR="00A108C4">
        <w:t xml:space="preserve"> o indirectamente con el</w:t>
      </w:r>
      <w:r w:rsidR="0067742D">
        <w:t xml:space="preserve"> IPP mientras que una de ellas (C) varía </w:t>
      </w:r>
      <w:r w:rsidR="008B167F">
        <w:t xml:space="preserve">principalmente </w:t>
      </w:r>
      <w:r w:rsidR="0067742D">
        <w:t>con el</w:t>
      </w:r>
      <w:r w:rsidR="008B167F">
        <w:t xml:space="preserve"> </w:t>
      </w:r>
      <w:r w:rsidR="0067742D">
        <w:t>IPC</w:t>
      </w:r>
      <w:r w:rsidR="00E73C8D">
        <w:t>.</w:t>
      </w:r>
      <w:r w:rsidR="0067742D">
        <w:t xml:space="preserve"> </w:t>
      </w:r>
    </w:p>
    <w:p w14:paraId="1F9604A7" w14:textId="3B6467C1" w:rsidR="00266C44" w:rsidRDefault="00826522" w:rsidP="00ED4190">
      <w:r>
        <w:t>A</w:t>
      </w:r>
      <w:r w:rsidR="00E73D9D">
        <w:t xml:space="preserve"> continuación</w:t>
      </w:r>
      <w:r w:rsidR="00340B70">
        <w:t>,</w:t>
      </w:r>
      <w:r w:rsidR="00E73D9D">
        <w:t xml:space="preserve"> se </w:t>
      </w:r>
      <w:r w:rsidR="00340B70">
        <w:t>presenta</w:t>
      </w:r>
      <w:r w:rsidR="00E73D9D">
        <w:t xml:space="preserve"> la variaci</w:t>
      </w:r>
      <w:r w:rsidR="00062C05">
        <w:t>ón</w:t>
      </w:r>
      <w:r w:rsidR="00E73D9D">
        <w:t xml:space="preserve"> del índice </w:t>
      </w:r>
      <w:r w:rsidR="00EC08F5">
        <w:t xml:space="preserve">de precios </w:t>
      </w:r>
      <w:r w:rsidR="00027797">
        <w:t>de</w:t>
      </w:r>
      <w:r w:rsidR="00EC08F5">
        <w:t>l productor</w:t>
      </w:r>
      <w:r w:rsidR="00DB34E0">
        <w:t xml:space="preserve">, del índice de precios </w:t>
      </w:r>
      <w:r w:rsidR="00027797">
        <w:t>al</w:t>
      </w:r>
      <w:r w:rsidR="00E432E0">
        <w:t xml:space="preserve"> consumido</w:t>
      </w:r>
      <w:r w:rsidR="00027797">
        <w:t>r y el costo unitario de prestación del servicio</w:t>
      </w:r>
      <w:r w:rsidR="009E153B">
        <w:t xml:space="preserve"> del nivel de tensión 1, CU,</w:t>
      </w:r>
      <w:r w:rsidR="00027797">
        <w:t xml:space="preserve"> </w:t>
      </w:r>
      <w:r w:rsidR="00664DAA">
        <w:t xml:space="preserve">entre </w:t>
      </w:r>
      <w:r w:rsidR="00F341FC">
        <w:t xml:space="preserve">diciembre </w:t>
      </w:r>
      <w:r w:rsidR="00664DAA">
        <w:t>de 20</w:t>
      </w:r>
      <w:r w:rsidR="00F341FC">
        <w:t>20</w:t>
      </w:r>
      <w:r w:rsidR="00664DAA">
        <w:t xml:space="preserve"> y </w:t>
      </w:r>
      <w:r w:rsidR="00F341FC">
        <w:t>julio de 2023</w:t>
      </w:r>
      <w:r w:rsidR="00FB2E48">
        <w:t>.</w:t>
      </w:r>
    </w:p>
    <w:p w14:paraId="43F2E670" w14:textId="0081F2C2" w:rsidR="009F04BD" w:rsidRDefault="0026768E" w:rsidP="0026768E">
      <w:pPr>
        <w:pStyle w:val="Descripcin"/>
        <w:jc w:val="center"/>
      </w:pPr>
      <w:r w:rsidRPr="00A96083">
        <w:lastRenderedPageBreak/>
        <w:t xml:space="preserve">Gráfica  </w:t>
      </w:r>
      <w:fldSimple w:instr=" SEQ Gráfica \* ARABIC ">
        <w:r w:rsidR="00152BAE" w:rsidRPr="00A96083">
          <w:rPr>
            <w:noProof/>
          </w:rPr>
          <w:t>1</w:t>
        </w:r>
      </w:fldSimple>
      <w:r w:rsidRPr="00A96083">
        <w:t xml:space="preserve"> Evolución del </w:t>
      </w:r>
      <w:r w:rsidR="008F1A4C" w:rsidRPr="00A96083">
        <w:t>IPP</w:t>
      </w:r>
      <w:r w:rsidR="00F341FC" w:rsidRPr="00A96083">
        <w:t xml:space="preserve">, IPC y CU </w:t>
      </w:r>
      <w:r w:rsidR="00F65CC9" w:rsidRPr="00A96083">
        <w:t xml:space="preserve">simulado </w:t>
      </w:r>
      <w:r w:rsidR="0095780F" w:rsidRPr="00A96083">
        <w:t xml:space="preserve">– </w:t>
      </w:r>
      <w:r w:rsidR="00F65CC9" w:rsidRPr="00A96083">
        <w:t>enero</w:t>
      </w:r>
      <w:r w:rsidR="0095780F" w:rsidRPr="00A96083">
        <w:t xml:space="preserve"> 2020 – julio 2023</w:t>
      </w:r>
    </w:p>
    <w:p w14:paraId="42A4F9D9" w14:textId="0A98CA2D" w:rsidR="0026768E" w:rsidRDefault="00F341FC" w:rsidP="00FC7931">
      <w:pPr>
        <w:jc w:val="center"/>
      </w:pPr>
      <w:r>
        <w:rPr>
          <w:rFonts w:cs="Arial"/>
          <w:b/>
          <w:noProof/>
        </w:rPr>
        <w:drawing>
          <wp:inline distT="0" distB="0" distL="0" distR="0" wp14:anchorId="2290E0B7" wp14:editId="092FE0F2">
            <wp:extent cx="4039324" cy="2930838"/>
            <wp:effectExtent l="0" t="0" r="0" b="3175"/>
            <wp:docPr id="1414510299" name="Gráfico 1414510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510299" name="Imagen 1414510299"/>
                    <pic:cNvPicPr>
                      <a:picLocks noChangeAspect="1" noChangeArrowheads="1"/>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bwMode="auto">
                    <a:xfrm>
                      <a:off x="0" y="0"/>
                      <a:ext cx="4039324" cy="2930838"/>
                    </a:xfrm>
                    <a:prstGeom prst="rect">
                      <a:avLst/>
                    </a:prstGeom>
                  </pic:spPr>
                </pic:pic>
              </a:graphicData>
            </a:graphic>
          </wp:inline>
        </w:drawing>
      </w:r>
    </w:p>
    <w:p w14:paraId="6DDCE21D" w14:textId="19FA0DDC" w:rsidR="00C90C64" w:rsidRDefault="0026768E" w:rsidP="008B167F">
      <w:r>
        <w:t>E</w:t>
      </w:r>
      <w:r w:rsidR="007E6242">
        <w:t xml:space="preserve">n la </w:t>
      </w:r>
      <w:r>
        <w:t xml:space="preserve">gráfica </w:t>
      </w:r>
      <w:r w:rsidR="007E6242">
        <w:t xml:space="preserve">anterior, </w:t>
      </w:r>
      <w:r w:rsidR="00233340">
        <w:t xml:space="preserve">se observa que </w:t>
      </w:r>
      <w:r w:rsidR="009D230A">
        <w:t xml:space="preserve">la variación acumulada del IPC entre </w:t>
      </w:r>
      <w:r w:rsidR="00440204">
        <w:t>enero</w:t>
      </w:r>
      <w:r w:rsidR="0095780F">
        <w:t xml:space="preserve"> </w:t>
      </w:r>
      <w:r w:rsidR="009D230A">
        <w:t xml:space="preserve">de 2020 y </w:t>
      </w:r>
      <w:r w:rsidR="0095780F">
        <w:t>julio</w:t>
      </w:r>
      <w:r w:rsidR="00A35ADE">
        <w:t xml:space="preserve"> de 202</w:t>
      </w:r>
      <w:r w:rsidR="0095780F">
        <w:t>3</w:t>
      </w:r>
      <w:r w:rsidR="00A30731">
        <w:t xml:space="preserve"> fue del 2</w:t>
      </w:r>
      <w:r w:rsidR="00996CFF">
        <w:t>9</w:t>
      </w:r>
      <w:r w:rsidR="00A30731">
        <w:t>%</w:t>
      </w:r>
      <w:r w:rsidR="007D750E">
        <w:t>, la del IPP (serie oferta interna) de</w:t>
      </w:r>
      <w:r w:rsidR="009D230A">
        <w:t xml:space="preserve"> </w:t>
      </w:r>
      <w:r w:rsidR="00E64BE7">
        <w:t>4</w:t>
      </w:r>
      <w:r w:rsidR="00CC154D">
        <w:t>4</w:t>
      </w:r>
      <w:r w:rsidR="00354E8E">
        <w:t>%</w:t>
      </w:r>
      <w:r w:rsidR="007D750E">
        <w:t xml:space="preserve"> y el CU </w:t>
      </w:r>
      <w:r w:rsidR="00CC154D">
        <w:t xml:space="preserve">de nivel de tensión 1 </w:t>
      </w:r>
      <w:r w:rsidR="007D750E">
        <w:t xml:space="preserve">ponderado a nivel nacional </w:t>
      </w:r>
      <w:r w:rsidR="00194B76">
        <w:t>4</w:t>
      </w:r>
      <w:r w:rsidR="00CC154D">
        <w:t>7</w:t>
      </w:r>
      <w:r w:rsidR="00194B76">
        <w:t>%</w:t>
      </w:r>
      <w:r w:rsidR="00C90C64">
        <w:t>.</w:t>
      </w:r>
    </w:p>
    <w:p w14:paraId="18706CF8" w14:textId="25DA6FE0" w:rsidR="00FA0A8C" w:rsidRDefault="00E970BD" w:rsidP="008B167F">
      <w:pPr>
        <w:pStyle w:val="Ttulo3"/>
      </w:pPr>
      <w:bookmarkStart w:id="71" w:name="_Toc152921851"/>
      <w:r>
        <w:t>R</w:t>
      </w:r>
      <w:r w:rsidRPr="00E970BD">
        <w:t>égimen transitorio especial para la región Caribe</w:t>
      </w:r>
      <w:bookmarkEnd w:id="71"/>
    </w:p>
    <w:p w14:paraId="63D9DB9E" w14:textId="1DF72DD7" w:rsidR="00E743E7" w:rsidRPr="00E743E7" w:rsidRDefault="00B46E70" w:rsidP="00AA1E49">
      <w:r w:rsidRPr="008B167F">
        <w:t xml:space="preserve">El artículo </w:t>
      </w:r>
      <w:r w:rsidR="00B43F4A" w:rsidRPr="008B167F">
        <w:t xml:space="preserve">318 de la Ley 1955 de 2019 </w:t>
      </w:r>
      <w:r w:rsidR="00E743E7" w:rsidRPr="008B167F">
        <w:t xml:space="preserve">autorizó al Gobierno Nacional para que estableciera un régimen transitorio especial en materia tarifaria para las actividades de distribución y comercialización de energía eléctrica en el mercado </w:t>
      </w:r>
      <w:r w:rsidR="009B34DD" w:rsidRPr="008B167F">
        <w:t xml:space="preserve">que era atendido por la </w:t>
      </w:r>
      <w:r w:rsidR="00E743E7" w:rsidRPr="008B167F">
        <w:t>Electrificadora del Caribe S.</w:t>
      </w:r>
      <w:r w:rsidR="00E743E7" w:rsidRPr="00E743E7">
        <w:t xml:space="preserve"> A. E.S.P.</w:t>
      </w:r>
      <w:r w:rsidR="000B558A">
        <w:t xml:space="preserve"> en la fecha de expedición de dicha Ley.</w:t>
      </w:r>
    </w:p>
    <w:p w14:paraId="715D0407" w14:textId="4AF0A894" w:rsidR="00FA0A8C" w:rsidRDefault="00E94704" w:rsidP="00AA1E49">
      <w:r>
        <w:t xml:space="preserve">Esta determinación fue </w:t>
      </w:r>
      <w:r w:rsidR="005E255A">
        <w:t xml:space="preserve">reglamentada mediante el </w:t>
      </w:r>
      <w:r w:rsidR="00E743E7" w:rsidRPr="00E743E7">
        <w:t xml:space="preserve">Decreto 1645 de 2019 y se delegó en la Comisión de Regulación de Energía y Gas la función de establecer </w:t>
      </w:r>
      <w:r w:rsidR="005E255A">
        <w:t xml:space="preserve">dicho </w:t>
      </w:r>
      <w:r w:rsidR="00E743E7" w:rsidRPr="00E743E7">
        <w:t>régimen transitorio especial en materia tarifaria para asegurar la sostenibilidad de la prestación eficiente del servicio público domiciliario de energía eléctrica en la región Caribe, conforme a los lineamientos allí dispuestos.</w:t>
      </w:r>
    </w:p>
    <w:p w14:paraId="441EC200" w14:textId="09B6669C" w:rsidR="004F17F9" w:rsidRDefault="002A6E91" w:rsidP="00AA1E49">
      <w:r>
        <w:t xml:space="preserve">Con base en dichas </w:t>
      </w:r>
      <w:r w:rsidR="008303D7">
        <w:t>normas</w:t>
      </w:r>
      <w:r>
        <w:t xml:space="preserve">, se </w:t>
      </w:r>
      <w:r w:rsidR="008303D7">
        <w:t>aprobaron</w:t>
      </w:r>
      <w:r w:rsidR="00FA7E1E">
        <w:t xml:space="preserve"> ajustes</w:t>
      </w:r>
      <w:r w:rsidR="00F416D9">
        <w:t>, principalmente,</w:t>
      </w:r>
      <w:r w:rsidR="00FA7E1E">
        <w:t xml:space="preserve"> en </w:t>
      </w:r>
      <w:r w:rsidR="008303D7">
        <w:t>l</w:t>
      </w:r>
      <w:r w:rsidR="00FA7E1E">
        <w:t>os siguientes aspectos</w:t>
      </w:r>
      <w:r w:rsidR="008303D7">
        <w:t>:</w:t>
      </w:r>
    </w:p>
    <w:p w14:paraId="34374C03" w14:textId="5E612260" w:rsidR="003F7634" w:rsidRPr="000C5258" w:rsidRDefault="003F7634">
      <w:pPr>
        <w:pStyle w:val="Prrafodelista"/>
        <w:numPr>
          <w:ilvl w:val="0"/>
          <w:numId w:val="5"/>
        </w:numPr>
      </w:pPr>
      <w:r w:rsidRPr="000C5258">
        <w:t>Resolución MME 40272 de 2020</w:t>
      </w:r>
      <w:r w:rsidR="0048534D" w:rsidRPr="000C5258">
        <w:t xml:space="preserve"> - Ajuste de riesgo de cartera</w:t>
      </w:r>
    </w:p>
    <w:p w14:paraId="6EFFB4EF" w14:textId="16B23309" w:rsidR="008303D7" w:rsidRPr="000C5258" w:rsidRDefault="00353738">
      <w:pPr>
        <w:pStyle w:val="Prrafodelista"/>
        <w:numPr>
          <w:ilvl w:val="0"/>
          <w:numId w:val="5"/>
        </w:numPr>
      </w:pPr>
      <w:r w:rsidRPr="000C5258">
        <w:t xml:space="preserve">Resolución CREG 188 </w:t>
      </w:r>
      <w:r w:rsidR="00B56765" w:rsidRPr="000C5258">
        <w:t>de 2020</w:t>
      </w:r>
      <w:r w:rsidR="00AA1E49">
        <w:t xml:space="preserve"> </w:t>
      </w:r>
      <w:r w:rsidR="0048534D" w:rsidRPr="000C5258">
        <w:t>- Ajuste de Costo base de comercialización</w:t>
      </w:r>
    </w:p>
    <w:p w14:paraId="5D546D09" w14:textId="40F1B726" w:rsidR="00835FFA" w:rsidRDefault="0048534D">
      <w:pPr>
        <w:pStyle w:val="Prrafodelista"/>
        <w:numPr>
          <w:ilvl w:val="0"/>
          <w:numId w:val="5"/>
        </w:numPr>
      </w:pPr>
      <w:r w:rsidRPr="000C5258">
        <w:t>Resolución CREG 010 de 2020</w:t>
      </w:r>
      <w:r w:rsidR="00AA1E49">
        <w:t xml:space="preserve"> </w:t>
      </w:r>
      <w:r w:rsidRPr="000C5258">
        <w:t xml:space="preserve">- </w:t>
      </w:r>
      <w:r w:rsidR="00B56765" w:rsidRPr="000C5258">
        <w:t xml:space="preserve">Ajuste </w:t>
      </w:r>
      <w:r w:rsidR="003A287B" w:rsidRPr="000C5258">
        <w:t xml:space="preserve">en reconocimiento de pérdidas de energía </w:t>
      </w:r>
      <w:r w:rsidR="000C5258" w:rsidRPr="000C5258">
        <w:t>d</w:t>
      </w:r>
      <w:r w:rsidR="00835FFA" w:rsidRPr="000C5258">
        <w:t>esde la presentación de la solicitud de ingresos</w:t>
      </w:r>
      <w:r w:rsidR="000C5258" w:rsidRPr="000C5258">
        <w:t xml:space="preserve">, </w:t>
      </w:r>
      <w:r w:rsidR="000C5258">
        <w:t>a</w:t>
      </w:r>
      <w:r w:rsidR="00835FFA" w:rsidRPr="000C5258">
        <w:t>juste en el reconocimiento de AOM</w:t>
      </w:r>
      <w:r w:rsidR="00E85A87">
        <w:t xml:space="preserve"> y ajuste en el reconocimiento de inversiones</w:t>
      </w:r>
      <w:r w:rsidR="009C5209">
        <w:t>.</w:t>
      </w:r>
      <w:r w:rsidR="00835FFA" w:rsidRPr="000C5258">
        <w:t xml:space="preserve"> </w:t>
      </w:r>
    </w:p>
    <w:p w14:paraId="720E0703" w14:textId="7B7D98E9" w:rsidR="00835FFA" w:rsidRDefault="000E33A1" w:rsidP="00AA1E49">
      <w:r>
        <w:t>Lo anterior viene siendo objeto de aplicación por parte de los prestadores del servicio en el Mercado Caribe</w:t>
      </w:r>
      <w:r w:rsidR="006442ED">
        <w:t>, generando importantes diferencias como se mostrará adelante.</w:t>
      </w:r>
    </w:p>
    <w:p w14:paraId="64E6096F" w14:textId="3B6D3318" w:rsidR="00FA0A8C" w:rsidRDefault="00FD470D" w:rsidP="00AA1E49">
      <w:pPr>
        <w:pStyle w:val="Ttulo3"/>
      </w:pPr>
      <w:bookmarkStart w:id="72" w:name="_Toc152921852"/>
      <w:r>
        <w:lastRenderedPageBreak/>
        <w:t xml:space="preserve">Ingresos de distribución </w:t>
      </w:r>
      <w:r w:rsidR="002760A1">
        <w:t>para el OR Celsia Tolima</w:t>
      </w:r>
      <w:bookmarkEnd w:id="72"/>
      <w:r w:rsidR="002760A1">
        <w:t xml:space="preserve"> </w:t>
      </w:r>
    </w:p>
    <w:p w14:paraId="03230140" w14:textId="4260DB5C" w:rsidR="009E6D3B" w:rsidRDefault="00C55AAE" w:rsidP="00AA1E49">
      <w:r>
        <w:t>Mediante la Resol</w:t>
      </w:r>
      <w:r w:rsidR="000F11E4">
        <w:t xml:space="preserve">ución CREG 001 de 2020 la CREG aprobó </w:t>
      </w:r>
      <w:r w:rsidR="005A1475" w:rsidRPr="005A1475">
        <w:t>las variables necesarias para calcular los ingresos y cargos asociados con la actividad de distribución de energía eléctrica para el mercado de comercialización atendido por Celsia Tolima S. A. E.S.P.</w:t>
      </w:r>
      <w:r w:rsidR="005A1475">
        <w:t xml:space="preserve">, con base en la metodología establecida en la </w:t>
      </w:r>
      <w:r w:rsidR="00CE3F8C">
        <w:t>Resolución</w:t>
      </w:r>
      <w:r w:rsidR="009E6D3B">
        <w:t xml:space="preserve"> CREG 015 de 2018.</w:t>
      </w:r>
    </w:p>
    <w:p w14:paraId="6A2A431C" w14:textId="3D893229" w:rsidR="00CE3F8C" w:rsidRDefault="00CE3F8C" w:rsidP="00AA1E49">
      <w:r>
        <w:t>La particularidad presentada durante esta actuación administrativa está relacionada con un aumento súbito de activos por parte del operador de red</w:t>
      </w:r>
      <w:r w:rsidR="00B244EA">
        <w:t>, respecto de los activos que venían siendo remunerados con metodologías anteriores.</w:t>
      </w:r>
    </w:p>
    <w:p w14:paraId="37757D58" w14:textId="4AA05863" w:rsidR="005E48AA" w:rsidRDefault="00B244EA" w:rsidP="00AA1E49">
      <w:r>
        <w:t xml:space="preserve">Dado lo anterior, </w:t>
      </w:r>
      <w:r w:rsidR="00132206">
        <w:t>el cargo de distribución aument</w:t>
      </w:r>
      <w:r w:rsidR="007F4E4D">
        <w:t>ó</w:t>
      </w:r>
      <w:r w:rsidR="00132206">
        <w:t xml:space="preserve"> de </w:t>
      </w:r>
      <w:r w:rsidR="007F4E4D">
        <w:t>manera importante</w:t>
      </w:r>
      <w:r w:rsidR="00132206">
        <w:t xml:space="preserve"> por cuenta de</w:t>
      </w:r>
      <w:r w:rsidR="0041622F">
        <w:t xml:space="preserve"> la incorporación de </w:t>
      </w:r>
      <w:r w:rsidR="005A6A42">
        <w:t>activos q</w:t>
      </w:r>
      <w:r w:rsidR="00132206">
        <w:t xml:space="preserve">ue están siendo utilizados en la prestación del servicio pero que, </w:t>
      </w:r>
      <w:r w:rsidR="005A6A42">
        <w:t xml:space="preserve">en razón a </w:t>
      </w:r>
      <w:r w:rsidR="005E48AA">
        <w:t xml:space="preserve">que el </w:t>
      </w:r>
      <w:r w:rsidR="005A6A42">
        <w:t>operador de red</w:t>
      </w:r>
      <w:r w:rsidR="005E48AA">
        <w:t xml:space="preserve"> no los reportaba anteriormente,</w:t>
      </w:r>
      <w:r w:rsidR="00132206">
        <w:t xml:space="preserve"> no venían siendo </w:t>
      </w:r>
      <w:r w:rsidR="005E48AA">
        <w:t xml:space="preserve">objeto de remuneración </w:t>
      </w:r>
      <w:r w:rsidR="005A6A42">
        <w:t>mediante la aplicación de</w:t>
      </w:r>
      <w:r w:rsidR="005E48AA">
        <w:t xml:space="preserve"> metodologías anteriores.</w:t>
      </w:r>
    </w:p>
    <w:p w14:paraId="1808A364" w14:textId="75D9629E" w:rsidR="005E0D1E" w:rsidRPr="002F5703" w:rsidRDefault="00536DA4" w:rsidP="00AA1E49">
      <w:r w:rsidRPr="00355225">
        <w:t xml:space="preserve">En Resolución MME </w:t>
      </w:r>
      <w:r w:rsidR="00CC3B9D" w:rsidRPr="00355225">
        <w:t>4 0227 de 2022</w:t>
      </w:r>
      <w:r w:rsidRPr="00355225">
        <w:t xml:space="preserve"> se incorporó el mercado de comercialización de Tolima en </w:t>
      </w:r>
      <w:r w:rsidR="00C1018C" w:rsidRPr="00355225">
        <w:t xml:space="preserve">el </w:t>
      </w:r>
      <w:r w:rsidR="005E0D1E" w:rsidRPr="00355225">
        <w:t xml:space="preserve">ADD </w:t>
      </w:r>
      <w:r w:rsidR="00C1018C" w:rsidRPr="00355225">
        <w:t xml:space="preserve">Oriente, lo cual condujo a una reducción del orden de </w:t>
      </w:r>
      <w:r w:rsidR="00355225" w:rsidRPr="00355225">
        <w:t xml:space="preserve">226 </w:t>
      </w:r>
      <w:r w:rsidR="00C1018C" w:rsidRPr="00355225">
        <w:t>pesos</w:t>
      </w:r>
      <w:r w:rsidR="00355225" w:rsidRPr="00355225">
        <w:t xml:space="preserve"> por cada kWh</w:t>
      </w:r>
      <w:r w:rsidR="00C1018C" w:rsidRPr="00355225">
        <w:t xml:space="preserve"> en el cargo de distribución del mercado de Tolima, que es compensada con un incremento </w:t>
      </w:r>
      <w:r w:rsidR="00C1018C" w:rsidRPr="002F5703">
        <w:t>en los demás mercados del ADD Oriente.</w:t>
      </w:r>
    </w:p>
    <w:p w14:paraId="50595223" w14:textId="73E114CD" w:rsidR="00645DF3" w:rsidRPr="002F5703" w:rsidRDefault="008D2059" w:rsidP="00DB3094">
      <w:pPr>
        <w:pStyle w:val="Ttulo2"/>
        <w:rPr>
          <w:spacing w:val="-5"/>
          <w:szCs w:val="22"/>
        </w:rPr>
      </w:pPr>
      <w:bookmarkStart w:id="73" w:name="_Ref108790294"/>
      <w:bookmarkStart w:id="74" w:name="_Toc152921853"/>
      <w:bookmarkStart w:id="75" w:name="_Ref102577517"/>
      <w:r w:rsidRPr="002F5703">
        <w:t>Evolución del costo unitario de prestación del servicio</w:t>
      </w:r>
      <w:bookmarkEnd w:id="73"/>
      <w:bookmarkEnd w:id="74"/>
    </w:p>
    <w:p w14:paraId="496A6528" w14:textId="03E1223A" w:rsidR="008D2059" w:rsidRPr="002F5703" w:rsidRDefault="00331703" w:rsidP="00AA1E49">
      <w:r w:rsidRPr="002F5703">
        <w:t xml:space="preserve">En la </w:t>
      </w:r>
      <w:r w:rsidR="00D17DB8" w:rsidRPr="002F5703">
        <w:fldChar w:fldCharType="begin"/>
      </w:r>
      <w:r w:rsidR="00D17DB8" w:rsidRPr="002F5703">
        <w:instrText xml:space="preserve"> REF _Ref108683124 \h </w:instrText>
      </w:r>
      <w:r w:rsidR="00F67751" w:rsidRPr="002F5703">
        <w:instrText xml:space="preserve"> \* MERGEFORMAT </w:instrText>
      </w:r>
      <w:r w:rsidR="00D17DB8" w:rsidRPr="002F5703">
        <w:fldChar w:fldCharType="separate"/>
      </w:r>
      <w:r w:rsidR="00CF6C85" w:rsidRPr="002F5703">
        <w:t xml:space="preserve">Gráfica </w:t>
      </w:r>
      <w:r w:rsidR="00116784" w:rsidRPr="002F5703">
        <w:t>2</w:t>
      </w:r>
      <w:r w:rsidR="00D17DB8" w:rsidRPr="002F5703">
        <w:fldChar w:fldCharType="end"/>
      </w:r>
      <w:r w:rsidR="00D17DB8" w:rsidRPr="002F5703">
        <w:t xml:space="preserve"> </w:t>
      </w:r>
      <w:r w:rsidRPr="002F5703">
        <w:t xml:space="preserve">se presenta la evolución del Costo Unitario de Prestación del servicio, CU, </w:t>
      </w:r>
      <w:r w:rsidR="00E5166B" w:rsidRPr="002F5703">
        <w:t xml:space="preserve">de nivel de tensión 1 </w:t>
      </w:r>
      <w:r w:rsidR="00DD2DC5" w:rsidRPr="002F5703">
        <w:t>del país</w:t>
      </w:r>
      <w:r w:rsidR="005722C2" w:rsidRPr="002F5703">
        <w:rPr>
          <w:rStyle w:val="Refdenotaalpie"/>
        </w:rPr>
        <w:footnoteReference w:id="3"/>
      </w:r>
      <w:r w:rsidR="00DD2DC5" w:rsidRPr="002F5703">
        <w:t xml:space="preserve"> </w:t>
      </w:r>
      <w:r w:rsidR="0017636C" w:rsidRPr="002F5703">
        <w:t xml:space="preserve">para </w:t>
      </w:r>
      <w:r w:rsidR="00665D41" w:rsidRPr="002F5703">
        <w:t xml:space="preserve">el periodo enero de 2020 a </w:t>
      </w:r>
      <w:r w:rsidR="00116784" w:rsidRPr="002F5703">
        <w:t>julio</w:t>
      </w:r>
      <w:r w:rsidR="00487B64" w:rsidRPr="002F5703">
        <w:t xml:space="preserve"> </w:t>
      </w:r>
      <w:r w:rsidR="00665D41" w:rsidRPr="002F5703">
        <w:t>de 202</w:t>
      </w:r>
      <w:r w:rsidR="00487B64" w:rsidRPr="002F5703">
        <w:t>3</w:t>
      </w:r>
      <w:r w:rsidR="00665D41" w:rsidRPr="002F5703">
        <w:t xml:space="preserve">. </w:t>
      </w:r>
      <w:r w:rsidR="00CD5432" w:rsidRPr="002F5703">
        <w:t xml:space="preserve">La serie </w:t>
      </w:r>
      <w:r w:rsidR="00CD5432" w:rsidRPr="002F5703">
        <w:rPr>
          <w:i/>
          <w:iCs/>
        </w:rPr>
        <w:t>CU calculado</w:t>
      </w:r>
      <w:r w:rsidR="00CD5432" w:rsidRPr="002F5703">
        <w:t xml:space="preserve"> corresponde a la estimada a partir del CU </w:t>
      </w:r>
      <w:r w:rsidR="00A33F24" w:rsidRPr="002F5703">
        <w:t xml:space="preserve">determinado con base en la metodología definida en la Resolución CREG 119 de 2007, mientras que la serie </w:t>
      </w:r>
      <w:r w:rsidR="00A33F24" w:rsidRPr="002F5703">
        <w:rPr>
          <w:i/>
          <w:iCs/>
        </w:rPr>
        <w:t>CU aplicado</w:t>
      </w:r>
      <w:r w:rsidR="00A33F24" w:rsidRPr="002F5703">
        <w:t xml:space="preserve"> corresponde al CU </w:t>
      </w:r>
      <w:r w:rsidR="00EB0A52" w:rsidRPr="002F5703">
        <w:t xml:space="preserve">cobrado a los usuarios </w:t>
      </w:r>
      <w:r w:rsidR="0097168B" w:rsidRPr="002F5703">
        <w:t>en aplicación de la opción tarifaria.</w:t>
      </w:r>
    </w:p>
    <w:p w14:paraId="1B621A04" w14:textId="58F29764" w:rsidR="0097168B" w:rsidRDefault="0097168B" w:rsidP="00AA1E49">
      <w:r w:rsidRPr="002F5703">
        <w:t xml:space="preserve">Se observa </w:t>
      </w:r>
      <w:r w:rsidR="008A3827" w:rsidRPr="002F5703">
        <w:t xml:space="preserve">en el periodo enero de 2020 a diciembre de 2022 </w:t>
      </w:r>
      <w:r w:rsidRPr="002F5703">
        <w:t xml:space="preserve">un incremento del orden del </w:t>
      </w:r>
      <w:r w:rsidR="00160F69" w:rsidRPr="002F5703">
        <w:t xml:space="preserve">47% en el </w:t>
      </w:r>
      <w:r w:rsidR="00160F69" w:rsidRPr="002F5703">
        <w:rPr>
          <w:i/>
          <w:iCs/>
        </w:rPr>
        <w:t>CU calculado</w:t>
      </w:r>
      <w:r w:rsidR="00160F69" w:rsidRPr="002F5703">
        <w:t xml:space="preserve"> y un 41% del </w:t>
      </w:r>
      <w:r w:rsidR="00160F69" w:rsidRPr="002F5703">
        <w:rPr>
          <w:i/>
          <w:iCs/>
        </w:rPr>
        <w:t>CU aplicado</w:t>
      </w:r>
      <w:r w:rsidR="00160F69" w:rsidRPr="002F5703">
        <w:t>, no obstante</w:t>
      </w:r>
      <w:r w:rsidR="008A3827" w:rsidRPr="002F5703">
        <w:t>,</w:t>
      </w:r>
      <w:r w:rsidR="00160F69" w:rsidRPr="002F5703">
        <w:t xml:space="preserve"> en </w:t>
      </w:r>
      <w:r w:rsidR="00882654" w:rsidRPr="002F5703">
        <w:t>términos reales, descontando la inflación</w:t>
      </w:r>
      <w:r w:rsidR="008A3827" w:rsidRPr="002F5703">
        <w:t xml:space="preserve"> del periodo</w:t>
      </w:r>
      <w:r w:rsidR="008C716D" w:rsidRPr="002F5703">
        <w:t>,</w:t>
      </w:r>
      <w:r w:rsidR="00882654" w:rsidRPr="002F5703">
        <w:t xml:space="preserve"> el incremento </w:t>
      </w:r>
      <w:r w:rsidR="008C716D" w:rsidRPr="002F5703">
        <w:t xml:space="preserve">fue del orden </w:t>
      </w:r>
      <w:r w:rsidR="00882654" w:rsidRPr="002F5703">
        <w:t xml:space="preserve">del </w:t>
      </w:r>
      <w:r w:rsidR="008C716D" w:rsidRPr="002F5703">
        <w:t>25%.</w:t>
      </w:r>
      <w:r w:rsidR="00E9398B">
        <w:t xml:space="preserve"> </w:t>
      </w:r>
      <w:r w:rsidR="00BC0EF2">
        <w:t xml:space="preserve"> </w:t>
      </w:r>
      <w:r>
        <w:t xml:space="preserve"> </w:t>
      </w:r>
    </w:p>
    <w:p w14:paraId="7127149F" w14:textId="0F7799EA" w:rsidR="00270460" w:rsidRDefault="00270460" w:rsidP="00270460">
      <w:r>
        <w:t xml:space="preserve">A finales del año 2022 se observa una reducción de la diferencia entre el </w:t>
      </w:r>
      <w:r w:rsidRPr="00152BAE">
        <w:rPr>
          <w:i/>
          <w:iCs/>
        </w:rPr>
        <w:t>CU calculado</w:t>
      </w:r>
      <w:r>
        <w:t xml:space="preserve"> y el </w:t>
      </w:r>
      <w:r w:rsidRPr="00152BAE">
        <w:rPr>
          <w:i/>
          <w:iCs/>
        </w:rPr>
        <w:t>CU aplicado</w:t>
      </w:r>
      <w:r>
        <w:t xml:space="preserve"> (a nivel ponderado), no obstante, en el año 2023 </w:t>
      </w:r>
      <w:r w:rsidR="00682C78">
        <w:t>se ha mantenido variable</w:t>
      </w:r>
      <w:r w:rsidR="009D4CB9">
        <w:t xml:space="preserve">, </w:t>
      </w:r>
      <w:r w:rsidR="00A61CA8">
        <w:t xml:space="preserve">se observa que la brecha se mantiene uniforme </w:t>
      </w:r>
      <w:r w:rsidR="00E41E11">
        <w:t xml:space="preserve">hasta mayo de 2023, producto en buena medida de las </w:t>
      </w:r>
      <w:r>
        <w:t xml:space="preserve">medidas de incremento controlado del </w:t>
      </w:r>
      <w:r w:rsidRPr="00152BAE">
        <w:rPr>
          <w:i/>
          <w:iCs/>
        </w:rPr>
        <w:t>CU aplicado</w:t>
      </w:r>
      <w:r>
        <w:t xml:space="preserve"> tomadas en la Resolución CREG 101-0</w:t>
      </w:r>
      <w:r w:rsidR="00E41E11">
        <w:t>31</w:t>
      </w:r>
      <w:r>
        <w:t xml:space="preserve"> de 2022 y las medidas de </w:t>
      </w:r>
      <w:r w:rsidR="00152BAE">
        <w:t xml:space="preserve">crecimiento limitado </w:t>
      </w:r>
      <w:r>
        <w:t xml:space="preserve">del </w:t>
      </w:r>
      <w:r w:rsidRPr="00152BAE">
        <w:rPr>
          <w:i/>
          <w:iCs/>
        </w:rPr>
        <w:t>CU aplicado</w:t>
      </w:r>
      <w:r w:rsidR="00152BAE">
        <w:rPr>
          <w:i/>
          <w:iCs/>
        </w:rPr>
        <w:t>.</w:t>
      </w:r>
      <w:r>
        <w:t xml:space="preserve"> </w:t>
      </w:r>
    </w:p>
    <w:p w14:paraId="0328E8AB" w14:textId="50A20D3B" w:rsidR="00F348B0" w:rsidRDefault="00E878F8" w:rsidP="00972BD0">
      <w:pPr>
        <w:pStyle w:val="Descripcin"/>
        <w:spacing w:before="240" w:after="240"/>
        <w:jc w:val="center"/>
      </w:pPr>
      <w:bookmarkStart w:id="76" w:name="_Ref108683124"/>
      <w:r w:rsidRPr="00A96083">
        <w:lastRenderedPageBreak/>
        <w:t xml:space="preserve">Gráfica </w:t>
      </w:r>
      <w:fldSimple w:instr=" SEQ Gráfica \* ARABIC ">
        <w:r w:rsidR="005C62A4" w:rsidRPr="00A96083">
          <w:rPr>
            <w:noProof/>
          </w:rPr>
          <w:t>2</w:t>
        </w:r>
      </w:fldSimple>
      <w:bookmarkEnd w:id="76"/>
      <w:r w:rsidR="00715D4E" w:rsidRPr="00A96083">
        <w:t xml:space="preserve"> Evolución del CU</w:t>
      </w:r>
      <w:r w:rsidR="00972BD0" w:rsidRPr="00A96083">
        <w:t xml:space="preserve"> calculado y aplicado 2020 - 202</w:t>
      </w:r>
      <w:r w:rsidR="0068055C" w:rsidRPr="00A96083">
        <w:t>3</w:t>
      </w:r>
    </w:p>
    <w:p w14:paraId="2161DD78" w14:textId="0D1E163A" w:rsidR="00F348B0" w:rsidRDefault="00334323" w:rsidP="00AA1E49">
      <w:pPr>
        <w:jc w:val="center"/>
      </w:pPr>
      <w:r w:rsidRPr="00334323">
        <w:rPr>
          <w:noProof/>
        </w:rPr>
        <w:drawing>
          <wp:inline distT="0" distB="0" distL="0" distR="0" wp14:anchorId="567A3381" wp14:editId="46E224FD">
            <wp:extent cx="4418367" cy="2068172"/>
            <wp:effectExtent l="0" t="0" r="1270" b="8890"/>
            <wp:docPr id="1553559963" name="Gráfico 1553559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559963" name="Imagen 1553559963"/>
                    <pic:cNvPicPr>
                      <a:picLocks noChangeAspect="1" noChangeArrowheads="1"/>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bwMode="auto">
                    <a:xfrm>
                      <a:off x="0" y="0"/>
                      <a:ext cx="4418367" cy="2068172"/>
                    </a:xfrm>
                    <a:prstGeom prst="rect">
                      <a:avLst/>
                    </a:prstGeom>
                  </pic:spPr>
                </pic:pic>
              </a:graphicData>
            </a:graphic>
          </wp:inline>
        </w:drawing>
      </w:r>
    </w:p>
    <w:p w14:paraId="328A60C6" w14:textId="7EB92531" w:rsidR="00334323" w:rsidRDefault="0048527E" w:rsidP="00AA1E49">
      <w:r>
        <w:t xml:space="preserve">Como se </w:t>
      </w:r>
      <w:r w:rsidR="00F85B8E">
        <w:t xml:space="preserve">señaló </w:t>
      </w:r>
      <w:r>
        <w:t xml:space="preserve">en el numeral </w:t>
      </w:r>
      <w:r>
        <w:fldChar w:fldCharType="begin"/>
      </w:r>
      <w:r>
        <w:instrText xml:space="preserve"> REF _Ref108770273 \r \h </w:instrText>
      </w:r>
      <w:r>
        <w:fldChar w:fldCharType="separate"/>
      </w:r>
      <w:r w:rsidR="00CF6C85">
        <w:t>1.2</w:t>
      </w:r>
      <w:r>
        <w:fldChar w:fldCharType="end"/>
      </w:r>
      <w:r w:rsidR="00E87C61">
        <w:t>, l</w:t>
      </w:r>
      <w:r w:rsidR="00AD7BEF">
        <w:t xml:space="preserve">a diferencia entre el CU </w:t>
      </w:r>
      <w:r w:rsidR="00A63EA6">
        <w:t xml:space="preserve">calculado y </w:t>
      </w:r>
      <w:r w:rsidR="00A07CF3">
        <w:t xml:space="preserve">el CU </w:t>
      </w:r>
      <w:r w:rsidR="00A63EA6">
        <w:t xml:space="preserve">aplicado </w:t>
      </w:r>
      <w:r w:rsidR="0058343C">
        <w:t>mensualmente</w:t>
      </w:r>
      <w:r w:rsidR="00767F3A">
        <w:t xml:space="preserve"> </w:t>
      </w:r>
      <w:r w:rsidR="004E1DAA">
        <w:t xml:space="preserve">genera un saldo </w:t>
      </w:r>
      <w:r w:rsidR="00570A34">
        <w:t>que se va acumulando</w:t>
      </w:r>
      <w:r w:rsidR="006733F2">
        <w:t>. E</w:t>
      </w:r>
      <w:r w:rsidR="00590D85">
        <w:t xml:space="preserve">n la </w:t>
      </w:r>
      <w:r w:rsidR="00D17DB8">
        <w:fldChar w:fldCharType="begin"/>
      </w:r>
      <w:r w:rsidR="00D17DB8">
        <w:instrText xml:space="preserve"> REF _Ref108683134 \h </w:instrText>
      </w:r>
      <w:r w:rsidR="00D17DB8">
        <w:fldChar w:fldCharType="separate"/>
      </w:r>
      <w:r w:rsidR="00CF6C85">
        <w:t xml:space="preserve">Gráfica </w:t>
      </w:r>
      <w:r w:rsidR="00CF6C85">
        <w:rPr>
          <w:noProof/>
        </w:rPr>
        <w:t>2</w:t>
      </w:r>
      <w:r w:rsidR="00D17DB8">
        <w:fldChar w:fldCharType="end"/>
      </w:r>
      <w:r w:rsidR="00D17DB8">
        <w:t xml:space="preserve"> </w:t>
      </w:r>
      <w:r w:rsidR="00590D85">
        <w:t xml:space="preserve">se presenta </w:t>
      </w:r>
      <w:r w:rsidR="00F81980">
        <w:t>e</w:t>
      </w:r>
      <w:r w:rsidR="00B108A4">
        <w:t>l saldo mensual y el saldo acumulado</w:t>
      </w:r>
      <w:r w:rsidR="00BE637E">
        <w:t xml:space="preserve">, </w:t>
      </w:r>
      <w:r w:rsidR="00B108A4">
        <w:t xml:space="preserve">en </w:t>
      </w:r>
      <w:r w:rsidR="00F81980">
        <w:t>$/kW</w:t>
      </w:r>
      <w:r w:rsidR="008170DB">
        <w:t>h</w:t>
      </w:r>
      <w:r w:rsidR="004C0D4B">
        <w:t>.</w:t>
      </w:r>
      <w:r w:rsidR="00C3133F">
        <w:t xml:space="preserve"> </w:t>
      </w:r>
      <w:r w:rsidR="004C0D4B">
        <w:t>S</w:t>
      </w:r>
      <w:r w:rsidR="00A64B5D">
        <w:t xml:space="preserve">e observa que a </w:t>
      </w:r>
      <w:r w:rsidR="00F97C64">
        <w:t>a</w:t>
      </w:r>
      <w:r w:rsidR="007E6B19">
        <w:t>gosto</w:t>
      </w:r>
      <w:r w:rsidR="00F97C64">
        <w:t xml:space="preserve"> de 2023 </w:t>
      </w:r>
      <w:r w:rsidR="00A64B5D">
        <w:t>el saldo acumulado</w:t>
      </w:r>
      <w:r w:rsidR="001A008D">
        <w:t xml:space="preserve">, </w:t>
      </w:r>
      <w:r w:rsidR="00426240">
        <w:t xml:space="preserve">es </w:t>
      </w:r>
      <w:r w:rsidR="00587300">
        <w:t>6</w:t>
      </w:r>
      <w:r w:rsidR="007E6B19">
        <w:t>5</w:t>
      </w:r>
      <w:r w:rsidR="00833E16">
        <w:t xml:space="preserve">% </w:t>
      </w:r>
      <w:r w:rsidR="00426240">
        <w:t xml:space="preserve">mayor que el CU </w:t>
      </w:r>
      <w:r w:rsidR="00782B41">
        <w:t xml:space="preserve">calculado, </w:t>
      </w:r>
      <w:r w:rsidR="00AA0B84">
        <w:t xml:space="preserve">esto </w:t>
      </w:r>
      <w:r w:rsidR="00DE7657">
        <w:t xml:space="preserve">es equivalente </w:t>
      </w:r>
      <w:r w:rsidR="00906E36">
        <w:t xml:space="preserve">a </w:t>
      </w:r>
      <w:r w:rsidR="009A786A">
        <w:t xml:space="preserve">que </w:t>
      </w:r>
      <w:r w:rsidR="00C56DD9">
        <w:t xml:space="preserve">los comercializadores no han cobrado a los </w:t>
      </w:r>
      <w:r w:rsidR="000E1EFF">
        <w:t xml:space="preserve">usuarios un equivalente a </w:t>
      </w:r>
      <w:r w:rsidR="006C6BD1">
        <w:t>1,</w:t>
      </w:r>
      <w:r w:rsidR="00587300">
        <w:t>6</w:t>
      </w:r>
      <w:r w:rsidR="006C6BD1">
        <w:t xml:space="preserve"> </w:t>
      </w:r>
      <w:r w:rsidR="000E1EFF">
        <w:t>meses</w:t>
      </w:r>
      <w:r w:rsidR="00C56DD9">
        <w:t xml:space="preserve"> de servicio</w:t>
      </w:r>
      <w:r w:rsidR="00555C57">
        <w:t xml:space="preserve">, al respecto se señala que </w:t>
      </w:r>
      <w:r w:rsidR="00C85959">
        <w:t xml:space="preserve">esta relación </w:t>
      </w:r>
      <w:r w:rsidR="004F1FD5">
        <w:t>es d</w:t>
      </w:r>
      <w:r w:rsidR="007E09E4">
        <w:t xml:space="preserve">iferente para </w:t>
      </w:r>
      <w:r w:rsidR="00C85959">
        <w:t>cada mercado de comer</w:t>
      </w:r>
      <w:r w:rsidR="004F1FD5">
        <w:t>cialización</w:t>
      </w:r>
      <w:r w:rsidR="00D25E92">
        <w:t xml:space="preserve"> como se observa más adelante</w:t>
      </w:r>
      <w:r w:rsidR="00956014">
        <w:t>.</w:t>
      </w:r>
    </w:p>
    <w:p w14:paraId="0667E110" w14:textId="5386DFF0" w:rsidR="0069513C" w:rsidRDefault="00C56DD9" w:rsidP="00972BD0">
      <w:pPr>
        <w:pStyle w:val="Descripcin"/>
        <w:spacing w:before="240" w:after="240"/>
        <w:jc w:val="center"/>
      </w:pPr>
      <w:bookmarkStart w:id="77" w:name="_Ref108683134"/>
      <w:bookmarkStart w:id="78" w:name="_Ref108683109"/>
      <w:r w:rsidRPr="00A96083">
        <w:t xml:space="preserve">Gráfica </w:t>
      </w:r>
      <w:fldSimple w:instr=" SEQ Gráfica \* ARABIC ">
        <w:r w:rsidR="005C62A4" w:rsidRPr="00A96083">
          <w:rPr>
            <w:noProof/>
          </w:rPr>
          <w:t>3</w:t>
        </w:r>
      </w:fldSimple>
      <w:bookmarkEnd w:id="77"/>
      <w:r w:rsidRPr="00A96083">
        <w:t xml:space="preserve"> Saldo mensual y acumulado</w:t>
      </w:r>
      <w:bookmarkEnd w:id="78"/>
      <w:r w:rsidR="00885620" w:rsidRPr="00A96083">
        <w:t xml:space="preserve"> </w:t>
      </w:r>
      <w:r w:rsidR="00EA5C64" w:rsidRPr="00A96083">
        <w:t>(enero 2020 – agosto 2023)</w:t>
      </w:r>
    </w:p>
    <w:p w14:paraId="43CE93E0" w14:textId="0CFDDA2E" w:rsidR="0069513C" w:rsidRDefault="00115484" w:rsidP="00AA1E49">
      <w:pPr>
        <w:jc w:val="center"/>
      </w:pPr>
      <w:r w:rsidRPr="00115484">
        <w:rPr>
          <w:noProof/>
        </w:rPr>
        <w:drawing>
          <wp:inline distT="0" distB="0" distL="0" distR="0" wp14:anchorId="3E2434ED" wp14:editId="5E88A40A">
            <wp:extent cx="4446357" cy="2034038"/>
            <wp:effectExtent l="0" t="0" r="0" b="4445"/>
            <wp:docPr id="849621474" name="Gráfico 84962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621474" name="Imagen 849621474"/>
                    <pic:cNvPicPr>
                      <a:picLocks noChangeAspect="1" noChangeArrowheads="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bwMode="auto">
                    <a:xfrm>
                      <a:off x="0" y="0"/>
                      <a:ext cx="4446357" cy="2034038"/>
                    </a:xfrm>
                    <a:prstGeom prst="rect">
                      <a:avLst/>
                    </a:prstGeom>
                  </pic:spPr>
                </pic:pic>
              </a:graphicData>
            </a:graphic>
          </wp:inline>
        </w:drawing>
      </w:r>
    </w:p>
    <w:p w14:paraId="275F008E" w14:textId="77777777" w:rsidR="00A2324F" w:rsidRDefault="00902012" w:rsidP="00AA1E49">
      <w:r>
        <w:t xml:space="preserve">En la </w:t>
      </w:r>
      <w:r w:rsidR="00DB16AE">
        <w:t xml:space="preserve">siguiente gráfica </w:t>
      </w:r>
      <w:r w:rsidR="00672F59">
        <w:t xml:space="preserve">se presenta </w:t>
      </w:r>
      <w:r w:rsidR="004C29D2">
        <w:t xml:space="preserve">para cada mercado de comercialización </w:t>
      </w:r>
      <w:r w:rsidR="00672F59">
        <w:t xml:space="preserve">el </w:t>
      </w:r>
      <w:r w:rsidR="004C29D2">
        <w:t xml:space="preserve">saldo acumulado </w:t>
      </w:r>
      <w:r w:rsidR="00E51ABA">
        <w:t xml:space="preserve">en millones de pesos y </w:t>
      </w:r>
      <w:r w:rsidR="009A786A">
        <w:t xml:space="preserve">el </w:t>
      </w:r>
      <w:r w:rsidR="00E51ABA">
        <w:t xml:space="preserve">saldo </w:t>
      </w:r>
      <w:r w:rsidR="004C29D2">
        <w:t>equivalente en $/kWh</w:t>
      </w:r>
      <w:r w:rsidR="003C0689">
        <w:t xml:space="preserve"> para junio de 2023 y usuarios del nivel de tensión 1</w:t>
      </w:r>
      <w:r w:rsidR="002B1717">
        <w:t xml:space="preserve">. </w:t>
      </w:r>
    </w:p>
    <w:p w14:paraId="69B806AA" w14:textId="376A54D4" w:rsidR="003C1475" w:rsidRDefault="00F051DD" w:rsidP="00972BD0">
      <w:pPr>
        <w:pStyle w:val="Descripcin"/>
        <w:spacing w:before="240" w:after="240"/>
        <w:jc w:val="center"/>
      </w:pPr>
      <w:bookmarkStart w:id="79" w:name="_Ref108795998"/>
      <w:r w:rsidRPr="00A96083">
        <w:lastRenderedPageBreak/>
        <w:t xml:space="preserve">Gráfica </w:t>
      </w:r>
      <w:fldSimple w:instr=" SEQ Gráfica \* ARABIC ">
        <w:r w:rsidR="005C62A4" w:rsidRPr="00A96083">
          <w:rPr>
            <w:noProof/>
          </w:rPr>
          <w:t>4</w:t>
        </w:r>
      </w:fldSimple>
      <w:bookmarkEnd w:id="79"/>
      <w:r w:rsidRPr="00A96083">
        <w:t xml:space="preserve"> </w:t>
      </w:r>
      <w:r w:rsidR="00E51ABA" w:rsidRPr="00A96083">
        <w:t>S</w:t>
      </w:r>
      <w:r w:rsidR="005131F7" w:rsidRPr="00A96083">
        <w:t>aldo acumulado por mercado</w:t>
      </w:r>
      <w:r w:rsidR="00E51ABA">
        <w:t xml:space="preserve"> </w:t>
      </w:r>
    </w:p>
    <w:p w14:paraId="1B8DC524" w14:textId="124EE96D" w:rsidR="003C1475" w:rsidRDefault="00E51ABA" w:rsidP="00AA1E49">
      <w:pPr>
        <w:jc w:val="center"/>
      </w:pPr>
      <w:r w:rsidRPr="00E51ABA">
        <w:rPr>
          <w:noProof/>
        </w:rPr>
        <w:drawing>
          <wp:inline distT="0" distB="0" distL="0" distR="0" wp14:anchorId="34362B34" wp14:editId="71D81614">
            <wp:extent cx="4682474" cy="2134072"/>
            <wp:effectExtent l="0" t="0" r="4445" b="0"/>
            <wp:docPr id="1523018592" name="Gráfico 1523018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018592" name="Imagen 1523018592"/>
                    <pic:cNvPicPr>
                      <a:picLocks noChangeAspect="1" noChangeArrowheads="1"/>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bwMode="auto">
                    <a:xfrm>
                      <a:off x="0" y="0"/>
                      <a:ext cx="4682474" cy="2134072"/>
                    </a:xfrm>
                    <a:prstGeom prst="rect">
                      <a:avLst/>
                    </a:prstGeom>
                  </pic:spPr>
                </pic:pic>
              </a:graphicData>
            </a:graphic>
          </wp:inline>
        </w:drawing>
      </w:r>
    </w:p>
    <w:p w14:paraId="1E0A18A0" w14:textId="0EAF3AB8" w:rsidR="00CD0A3B" w:rsidRDefault="00F91074" w:rsidP="00AA1E49">
      <w:r>
        <w:t xml:space="preserve">Se estima que el saldo acumulado a </w:t>
      </w:r>
      <w:r w:rsidR="00D36BCC">
        <w:t>agosto</w:t>
      </w:r>
      <w:r w:rsidR="00A610A9">
        <w:t xml:space="preserve"> </w:t>
      </w:r>
      <w:r>
        <w:t>de 202</w:t>
      </w:r>
      <w:r w:rsidR="00D36BCC">
        <w:t>3</w:t>
      </w:r>
      <w:r>
        <w:t xml:space="preserve"> es del orden de </w:t>
      </w:r>
      <w:r w:rsidR="004924DB">
        <w:t>4.</w:t>
      </w:r>
      <w:r w:rsidR="00D36BCC">
        <w:t>7</w:t>
      </w:r>
      <w:r>
        <w:t xml:space="preserve"> billones de pesos</w:t>
      </w:r>
      <w:r w:rsidR="00AD1E3F">
        <w:t xml:space="preserve">, </w:t>
      </w:r>
      <w:r w:rsidR="004924DB">
        <w:t xml:space="preserve">en el nivel de tensión 1, </w:t>
      </w:r>
      <w:r w:rsidR="00AD1E3F">
        <w:t>de</w:t>
      </w:r>
      <w:r w:rsidR="00EB6C27">
        <w:t xml:space="preserve"> los cuales </w:t>
      </w:r>
      <w:r w:rsidR="00922648">
        <w:t>e</w:t>
      </w:r>
      <w:r w:rsidR="00922648" w:rsidRPr="00922648">
        <w:t xml:space="preserve">l </w:t>
      </w:r>
      <w:r w:rsidR="008F2C36">
        <w:t>78</w:t>
      </w:r>
      <w:r w:rsidR="00922648" w:rsidRPr="00922648">
        <w:t>% se concentra en cinco mercados de comercialización</w:t>
      </w:r>
      <w:r w:rsidR="00CD0A3B">
        <w:t xml:space="preserve">, </w:t>
      </w:r>
      <w:proofErr w:type="spellStart"/>
      <w:r w:rsidR="00922648" w:rsidRPr="00922648">
        <w:t>Caribemar</w:t>
      </w:r>
      <w:proofErr w:type="spellEnd"/>
      <w:r w:rsidR="00922648" w:rsidRPr="00922648">
        <w:t>, Air-e, EPM, Tolima</w:t>
      </w:r>
      <w:r w:rsidR="0045719F">
        <w:t xml:space="preserve"> y </w:t>
      </w:r>
      <w:proofErr w:type="spellStart"/>
      <w:r w:rsidR="0045719F" w:rsidRPr="00922648">
        <w:t>Codensa</w:t>
      </w:r>
      <w:proofErr w:type="spellEnd"/>
      <w:r w:rsidR="00F61683">
        <w:t xml:space="preserve">, </w:t>
      </w:r>
      <w:r w:rsidR="00706C3F">
        <w:t xml:space="preserve">mientras que </w:t>
      </w:r>
      <w:r w:rsidR="00F61683">
        <w:t xml:space="preserve">el </w:t>
      </w:r>
      <w:r w:rsidR="0045719F">
        <w:t>51</w:t>
      </w:r>
      <w:r w:rsidR="000D768E" w:rsidRPr="000D768E">
        <w:t xml:space="preserve">% del saldo acumulado se encuentra en los </w:t>
      </w:r>
      <w:r w:rsidR="0045719F">
        <w:t xml:space="preserve">dos </w:t>
      </w:r>
      <w:r w:rsidR="000D768E" w:rsidRPr="000D768E">
        <w:t>mercados de la región Caribe</w:t>
      </w:r>
      <w:r w:rsidR="000D768E">
        <w:t>.</w:t>
      </w:r>
    </w:p>
    <w:p w14:paraId="06CAC4E7" w14:textId="26F3034C" w:rsidR="00DE49AF" w:rsidRDefault="00DE49AF" w:rsidP="00F91074">
      <w:pPr>
        <w:pStyle w:val="Descripcin"/>
        <w:jc w:val="center"/>
      </w:pPr>
      <w:bookmarkStart w:id="80" w:name="_Ref108684392"/>
      <w:r w:rsidRPr="00A96083">
        <w:t xml:space="preserve">Gráfica </w:t>
      </w:r>
      <w:fldSimple w:instr=" SEQ Gráfica \* ARABIC ">
        <w:r w:rsidR="00844CEE" w:rsidRPr="00A96083">
          <w:rPr>
            <w:noProof/>
          </w:rPr>
          <w:t>5</w:t>
        </w:r>
      </w:fldSimple>
      <w:bookmarkEnd w:id="80"/>
      <w:r w:rsidRPr="00A96083">
        <w:t xml:space="preserve"> Saldo acumulado por </w:t>
      </w:r>
      <w:r w:rsidR="00F91074" w:rsidRPr="00A96083">
        <w:t xml:space="preserve">mercado de comercialización </w:t>
      </w:r>
      <w:r w:rsidR="002101D9" w:rsidRPr="00A96083">
        <w:t xml:space="preserve">en el nivel de tensión 1 </w:t>
      </w:r>
      <w:r w:rsidR="00F91074" w:rsidRPr="00A96083">
        <w:t xml:space="preserve">– </w:t>
      </w:r>
      <w:r w:rsidR="00C26034" w:rsidRPr="00A96083">
        <w:t>Millones de pesos</w:t>
      </w:r>
    </w:p>
    <w:p w14:paraId="433A9C62" w14:textId="7291C347" w:rsidR="00DE49AF" w:rsidRDefault="00A610A9" w:rsidP="00AA1E49">
      <w:pPr>
        <w:jc w:val="center"/>
      </w:pPr>
      <w:r w:rsidRPr="00A610A9">
        <w:rPr>
          <w:noProof/>
        </w:rPr>
        <w:drawing>
          <wp:inline distT="0" distB="0" distL="0" distR="0" wp14:anchorId="07B7920C" wp14:editId="37AECD9A">
            <wp:extent cx="4800443" cy="1767692"/>
            <wp:effectExtent l="0" t="0" r="635" b="4445"/>
            <wp:docPr id="457720721" name="Gráfico 457720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720721" name="Imagen 457720721"/>
                    <pic:cNvPicPr>
                      <a:picLocks noChangeAspect="1" noChangeArrowheads="1"/>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bwMode="auto">
                    <a:xfrm>
                      <a:off x="0" y="0"/>
                      <a:ext cx="4800443" cy="1767692"/>
                    </a:xfrm>
                    <a:prstGeom prst="rect">
                      <a:avLst/>
                    </a:prstGeom>
                  </pic:spPr>
                </pic:pic>
              </a:graphicData>
            </a:graphic>
          </wp:inline>
        </w:drawing>
      </w:r>
    </w:p>
    <w:p w14:paraId="6B46C6DD" w14:textId="359ACF99" w:rsidR="00D17DB8" w:rsidRDefault="00836B45" w:rsidP="00AA1E49">
      <w:proofErr w:type="gramStart"/>
      <w:r>
        <w:t xml:space="preserve">Otro </w:t>
      </w:r>
      <w:r w:rsidR="007E0934">
        <w:t>aspecto a considerar</w:t>
      </w:r>
      <w:proofErr w:type="gramEnd"/>
      <w:r w:rsidR="00C26034">
        <w:t xml:space="preserve"> </w:t>
      </w:r>
      <w:r>
        <w:t>es la diferencia en</w:t>
      </w:r>
      <w:r w:rsidR="007E0934">
        <w:t>tre</w:t>
      </w:r>
      <w:r>
        <w:t xml:space="preserve"> el CU calculado y el CU aplicado</w:t>
      </w:r>
      <w:r w:rsidR="006047F2">
        <w:t xml:space="preserve">, </w:t>
      </w:r>
      <w:r w:rsidR="00CA0B2A">
        <w:t xml:space="preserve">en adelante brecha del CU, </w:t>
      </w:r>
      <w:r w:rsidR="00C84061">
        <w:t xml:space="preserve">lo que </w:t>
      </w:r>
      <w:r w:rsidR="000121F8">
        <w:t xml:space="preserve">permite identificar </w:t>
      </w:r>
      <w:r w:rsidR="00C84061">
        <w:t xml:space="preserve">que tan cerca se encuentra un mercado </w:t>
      </w:r>
      <w:r w:rsidR="000121F8">
        <w:t xml:space="preserve">de </w:t>
      </w:r>
      <w:r w:rsidR="00C84061">
        <w:t xml:space="preserve">dejar de acumular saldos </w:t>
      </w:r>
      <w:r w:rsidR="000121F8">
        <w:t>y empezar a recuperarlos</w:t>
      </w:r>
      <w:r w:rsidR="00CE40CB">
        <w:t>. En la</w:t>
      </w:r>
      <w:r w:rsidR="00366B73">
        <w:t xml:space="preserve"> </w:t>
      </w:r>
      <w:r w:rsidR="00EB3FED">
        <w:fldChar w:fldCharType="begin"/>
      </w:r>
      <w:r w:rsidR="00EB3FED">
        <w:instrText xml:space="preserve"> REF _Ref108685620 \h </w:instrText>
      </w:r>
      <w:r w:rsidR="00EB3FED">
        <w:fldChar w:fldCharType="separate"/>
      </w:r>
      <w:r w:rsidR="00CF6C85">
        <w:t xml:space="preserve">Gráfica </w:t>
      </w:r>
      <w:r w:rsidR="00CF6C85">
        <w:rPr>
          <w:noProof/>
        </w:rPr>
        <w:t>5</w:t>
      </w:r>
      <w:r w:rsidR="00EB3FED">
        <w:fldChar w:fldCharType="end"/>
      </w:r>
      <w:r w:rsidR="00EB3FED">
        <w:t xml:space="preserve"> </w:t>
      </w:r>
      <w:r w:rsidR="00366B73">
        <w:t xml:space="preserve">se presenta para cada mercado de comercialización </w:t>
      </w:r>
      <w:r w:rsidR="004A5886">
        <w:t>el C</w:t>
      </w:r>
      <w:r w:rsidR="00EB3FED">
        <w:t>U</w:t>
      </w:r>
      <w:r w:rsidR="004A5886">
        <w:t xml:space="preserve"> calculado </w:t>
      </w:r>
      <w:r w:rsidR="00CB4951">
        <w:t xml:space="preserve">y el CU aplicado en </w:t>
      </w:r>
      <w:r w:rsidR="007835A5">
        <w:t xml:space="preserve">junio </w:t>
      </w:r>
      <w:r w:rsidR="00CB4951">
        <w:t>de 202</w:t>
      </w:r>
      <w:r w:rsidR="007835A5">
        <w:t>3</w:t>
      </w:r>
      <w:r w:rsidR="00CB4951">
        <w:t>.</w:t>
      </w:r>
      <w:r w:rsidR="00366B73">
        <w:t xml:space="preserve"> </w:t>
      </w:r>
      <w:r w:rsidR="00CE40CB">
        <w:t xml:space="preserve"> </w:t>
      </w:r>
    </w:p>
    <w:p w14:paraId="75D8C7E6" w14:textId="1C7D6BF0" w:rsidR="000121F8" w:rsidRDefault="000121F8" w:rsidP="00972BD0">
      <w:pPr>
        <w:pStyle w:val="Descripcin"/>
        <w:spacing w:before="240" w:after="240"/>
        <w:jc w:val="center"/>
      </w:pPr>
      <w:bookmarkStart w:id="81" w:name="_Ref108685620"/>
      <w:r w:rsidRPr="00A96083">
        <w:lastRenderedPageBreak/>
        <w:t xml:space="preserve">Gráfica </w:t>
      </w:r>
      <w:fldSimple w:instr=" SEQ Gráfica \* ARABIC ">
        <w:r w:rsidR="00844CEE" w:rsidRPr="00A96083">
          <w:rPr>
            <w:noProof/>
          </w:rPr>
          <w:t>6</w:t>
        </w:r>
      </w:fldSimple>
      <w:bookmarkEnd w:id="81"/>
      <w:r w:rsidRPr="00A96083">
        <w:t xml:space="preserve"> </w:t>
      </w:r>
      <w:r w:rsidR="00BE2608" w:rsidRPr="00A96083">
        <w:t xml:space="preserve">Diferencia entre CU calculado y aplicado por </w:t>
      </w:r>
      <w:r w:rsidR="00E74662" w:rsidRPr="00A96083">
        <w:t>mercado de comercialización</w:t>
      </w:r>
      <w:r w:rsidR="007835A5" w:rsidRPr="00A96083">
        <w:t xml:space="preserve"> - </w:t>
      </w:r>
      <w:r w:rsidR="00D26C96" w:rsidRPr="00A96083">
        <w:t>agosto</w:t>
      </w:r>
      <w:r w:rsidR="007835A5" w:rsidRPr="00A96083">
        <w:t xml:space="preserve"> 2023</w:t>
      </w:r>
    </w:p>
    <w:p w14:paraId="07AF81ED" w14:textId="715149E8" w:rsidR="00E74662" w:rsidRDefault="007835A5" w:rsidP="00AA1E49">
      <w:pPr>
        <w:jc w:val="center"/>
      </w:pPr>
      <w:r w:rsidRPr="007835A5">
        <w:rPr>
          <w:noProof/>
        </w:rPr>
        <w:drawing>
          <wp:inline distT="0" distB="0" distL="0" distR="0" wp14:anchorId="32E93EBD" wp14:editId="6C4D0035">
            <wp:extent cx="4579322" cy="1892865"/>
            <wp:effectExtent l="0" t="0" r="0" b="0"/>
            <wp:docPr id="310501430" name="Gráfico 31050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501430" name="Imagen 310501430"/>
                    <pic:cNvPicPr>
                      <a:picLocks noChangeAspect="1" noChangeArrowheads="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bwMode="auto">
                    <a:xfrm>
                      <a:off x="0" y="0"/>
                      <a:ext cx="4579322" cy="1892865"/>
                    </a:xfrm>
                    <a:prstGeom prst="rect">
                      <a:avLst/>
                    </a:prstGeom>
                  </pic:spPr>
                </pic:pic>
              </a:graphicData>
            </a:graphic>
          </wp:inline>
        </w:drawing>
      </w:r>
    </w:p>
    <w:p w14:paraId="282842ED" w14:textId="52764187" w:rsidR="00CB4951" w:rsidRDefault="00EB3FED" w:rsidP="00AA1E49">
      <w:r>
        <w:t xml:space="preserve">En la </w:t>
      </w:r>
      <w:r w:rsidR="00903A77">
        <w:fldChar w:fldCharType="begin"/>
      </w:r>
      <w:r w:rsidR="00903A77">
        <w:instrText xml:space="preserve"> REF _Ref108685645 \h </w:instrText>
      </w:r>
      <w:r w:rsidR="00903A77">
        <w:fldChar w:fldCharType="separate"/>
      </w:r>
      <w:r w:rsidR="00CF6C85">
        <w:t xml:space="preserve">Gráfica </w:t>
      </w:r>
      <w:r w:rsidR="00CF6C85">
        <w:rPr>
          <w:noProof/>
        </w:rPr>
        <w:t>6</w:t>
      </w:r>
      <w:r w:rsidR="00903A77">
        <w:fldChar w:fldCharType="end"/>
      </w:r>
      <w:r w:rsidR="00E05B15">
        <w:t xml:space="preserve"> se presenta la d</w:t>
      </w:r>
      <w:r w:rsidR="00E05B15" w:rsidRPr="00E05B15">
        <w:t>iferencia en</w:t>
      </w:r>
      <w:r w:rsidR="00E05B15">
        <w:t>tre el</w:t>
      </w:r>
      <w:r w:rsidR="00E05B15" w:rsidRPr="00E05B15">
        <w:t xml:space="preserve"> CU calculado y </w:t>
      </w:r>
      <w:r w:rsidR="00E05B15">
        <w:t xml:space="preserve">el CU </w:t>
      </w:r>
      <w:r w:rsidR="00E05B15" w:rsidRPr="00E05B15">
        <w:t>aplicado</w:t>
      </w:r>
      <w:r w:rsidR="00AA7BE0">
        <w:t xml:space="preserve"> </w:t>
      </w:r>
      <w:r w:rsidR="00656299">
        <w:t xml:space="preserve">en agosto de 2023 </w:t>
      </w:r>
      <w:r w:rsidR="00AA7BE0">
        <w:t xml:space="preserve">para cada mercado de comercialización, </w:t>
      </w:r>
      <w:r w:rsidR="00F172FA">
        <w:t xml:space="preserve">las barras </w:t>
      </w:r>
      <w:r w:rsidR="00F01254">
        <w:t>m</w:t>
      </w:r>
      <w:r w:rsidR="001151ED">
        <w:t xml:space="preserve">uestran la diferencia en </w:t>
      </w:r>
      <w:r w:rsidR="00E05B15" w:rsidRPr="00E05B15">
        <w:t xml:space="preserve">$/kWh y </w:t>
      </w:r>
      <w:r w:rsidR="002B2B65">
        <w:t xml:space="preserve">los puntos </w:t>
      </w:r>
      <w:r w:rsidR="003531F3">
        <w:t xml:space="preserve">representan el porcentaje </w:t>
      </w:r>
      <w:r w:rsidR="00A933F1">
        <w:t xml:space="preserve">adicional del CU aplicado </w:t>
      </w:r>
      <w:r w:rsidR="003531F3">
        <w:t xml:space="preserve">respecto </w:t>
      </w:r>
      <w:r w:rsidR="00A933F1">
        <w:t>al CU calculado.</w:t>
      </w:r>
    </w:p>
    <w:p w14:paraId="22C3035F" w14:textId="06E20D7C" w:rsidR="00CA02D9" w:rsidRDefault="00CA02D9" w:rsidP="00972BD0">
      <w:pPr>
        <w:pStyle w:val="Descripcin"/>
        <w:spacing w:before="240" w:after="240"/>
        <w:jc w:val="center"/>
      </w:pPr>
      <w:bookmarkStart w:id="82" w:name="_Ref108685645"/>
      <w:r w:rsidRPr="00DD6FD2">
        <w:t xml:space="preserve">Gráfica </w:t>
      </w:r>
      <w:fldSimple w:instr=" SEQ Gráfica \* ARABIC ">
        <w:r w:rsidR="00844CEE" w:rsidRPr="00DD6FD2">
          <w:rPr>
            <w:noProof/>
          </w:rPr>
          <w:t>7</w:t>
        </w:r>
      </w:fldSimple>
      <w:bookmarkEnd w:id="82"/>
      <w:r w:rsidRPr="00DD6FD2">
        <w:t xml:space="preserve"> </w:t>
      </w:r>
      <w:r w:rsidR="00E05B15" w:rsidRPr="00DD6FD2">
        <w:t xml:space="preserve">Diferencia en CU calculado y aplicado en $/kWh y </w:t>
      </w:r>
      <w:r w:rsidR="00963FA4" w:rsidRPr="00DD6FD2">
        <w:t>porcentaje</w:t>
      </w:r>
    </w:p>
    <w:p w14:paraId="39EED576" w14:textId="2FB2E041" w:rsidR="00CE40CB" w:rsidRPr="00CE40CB" w:rsidRDefault="005029C0" w:rsidP="00AA1E49">
      <w:pPr>
        <w:jc w:val="center"/>
      </w:pPr>
      <w:r w:rsidRPr="005029C0">
        <w:rPr>
          <w:noProof/>
        </w:rPr>
        <w:drawing>
          <wp:inline distT="0" distB="0" distL="0" distR="0" wp14:anchorId="38E13BED" wp14:editId="046230D5">
            <wp:extent cx="4657648" cy="1758443"/>
            <wp:effectExtent l="0" t="0" r="0" b="0"/>
            <wp:docPr id="186247598" name="Gráfico 186247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47598" name="Imagen 186247598"/>
                    <pic:cNvPicPr>
                      <a:picLocks noChangeAspect="1" noChangeArrowheads="1"/>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bwMode="auto">
                    <a:xfrm>
                      <a:off x="0" y="0"/>
                      <a:ext cx="4657648" cy="1758443"/>
                    </a:xfrm>
                    <a:prstGeom prst="rect">
                      <a:avLst/>
                    </a:prstGeom>
                  </pic:spPr>
                </pic:pic>
              </a:graphicData>
            </a:graphic>
          </wp:inline>
        </w:drawing>
      </w:r>
    </w:p>
    <w:p w14:paraId="5BEFA480" w14:textId="77D9F14A" w:rsidR="00F80E70" w:rsidRDefault="00F80E70" w:rsidP="00AA1E49">
      <w:r>
        <w:t xml:space="preserve">A </w:t>
      </w:r>
      <w:r w:rsidR="00D40F4E">
        <w:t>agosto</w:t>
      </w:r>
      <w:r>
        <w:t xml:space="preserve"> de 2023, </w:t>
      </w:r>
      <w:r w:rsidR="003D07F3">
        <w:t>quince</w:t>
      </w:r>
      <w:r w:rsidR="000A6100">
        <w:t xml:space="preserve"> </w:t>
      </w:r>
      <w:r w:rsidR="00F333BF">
        <w:t xml:space="preserve">mercados tienen una brecha inferior al </w:t>
      </w:r>
      <w:r w:rsidR="000A6100">
        <w:t xml:space="preserve">5% del CU aplicado, seis se encuentra con una brecha </w:t>
      </w:r>
      <w:r w:rsidR="00D72DA3">
        <w:t xml:space="preserve">entre 5% y 10% y los demás mercados tienen una diferencia superior al 10%, siendo </w:t>
      </w:r>
      <w:r w:rsidR="00811F65">
        <w:t xml:space="preserve">el mercado de </w:t>
      </w:r>
      <w:r w:rsidR="009761C4">
        <w:t>Em</w:t>
      </w:r>
      <w:r w:rsidR="00B225BC">
        <w:t>presa de Energía del Valle de Sibundoy</w:t>
      </w:r>
      <w:r w:rsidR="009761C4">
        <w:t xml:space="preserve"> </w:t>
      </w:r>
      <w:r w:rsidR="00811F65">
        <w:t xml:space="preserve">el que tiene la </w:t>
      </w:r>
      <w:r w:rsidR="009761C4">
        <w:t>diferencia más alt</w:t>
      </w:r>
      <w:r w:rsidR="00811F65">
        <w:t>a</w:t>
      </w:r>
      <w:r w:rsidR="009761C4">
        <w:t>.</w:t>
      </w:r>
      <w:r>
        <w:t xml:space="preserve"> </w:t>
      </w:r>
    </w:p>
    <w:p w14:paraId="385BFADC" w14:textId="57D281E1" w:rsidR="00FE11C8" w:rsidRDefault="00CF6C85" w:rsidP="00AA1E49">
      <w:r>
        <w:t>En la siguiente tabla se presenta la evolución de la brecha del CU (diferencia entre el CU aplicado y el CU calculado)</w:t>
      </w:r>
      <w:r w:rsidR="009D7304">
        <w:t xml:space="preserve"> en lo corrido del 2023. L</w:t>
      </w:r>
      <w:r w:rsidR="006A1C21">
        <w:t xml:space="preserve">as celdas </w:t>
      </w:r>
      <w:r w:rsidR="0014148D">
        <w:t>resaltad</w:t>
      </w:r>
      <w:r w:rsidR="006A1C21">
        <w:t>a</w:t>
      </w:r>
      <w:r w:rsidR="0014148D">
        <w:t xml:space="preserve">s con color verde </w:t>
      </w:r>
      <w:r w:rsidR="006A1C21">
        <w:t>corresponden a los meses en los cuales el CU aplicado es mayor que el calculado, por lo cual</w:t>
      </w:r>
      <w:r w:rsidR="00E444D1">
        <w:t xml:space="preserve"> se entiende que, posiblemente</w:t>
      </w:r>
      <w:r w:rsidR="00E444D1">
        <w:rPr>
          <w:rStyle w:val="Refdenotaalpie"/>
        </w:rPr>
        <w:footnoteReference w:id="4"/>
      </w:r>
      <w:r w:rsidR="00E444D1">
        <w:t>,</w:t>
      </w:r>
      <w:r w:rsidR="006A1C21">
        <w:t xml:space="preserve"> en ese mes </w:t>
      </w:r>
      <w:r w:rsidR="00FE11C8">
        <w:t>se redujo el saldo acumulado en vez de incrementarse.</w:t>
      </w:r>
    </w:p>
    <w:p w14:paraId="2981E6AE" w14:textId="0E46F9A8" w:rsidR="00CF6C85" w:rsidRDefault="00FE11C8" w:rsidP="00AA1E49">
      <w:r>
        <w:lastRenderedPageBreak/>
        <w:t>En febrero y abril ocho mercados se encontraban en etapa de recuperación del saldo, sin embargo</w:t>
      </w:r>
      <w:r w:rsidR="00177F95">
        <w:t>,</w:t>
      </w:r>
      <w:r>
        <w:t xml:space="preserve"> </w:t>
      </w:r>
      <w:r w:rsidR="00177F95">
        <w:t>en</w:t>
      </w:r>
      <w:r>
        <w:t xml:space="preserve"> </w:t>
      </w:r>
      <w:r w:rsidR="004A5D4B">
        <w:t>marzo</w:t>
      </w:r>
      <w:r w:rsidR="00177F95">
        <w:t xml:space="preserve"> únicamente </w:t>
      </w:r>
      <w:r w:rsidR="004A5D4B">
        <w:t>dos</w:t>
      </w:r>
      <w:r w:rsidR="00177F95">
        <w:t xml:space="preserve"> mercado</w:t>
      </w:r>
      <w:r w:rsidR="004A5D4B">
        <w:t>s</w:t>
      </w:r>
      <w:r w:rsidR="00177F95">
        <w:t xml:space="preserve"> se enc</w:t>
      </w:r>
      <w:r w:rsidR="004A5D4B">
        <w:t>o</w:t>
      </w:r>
      <w:r w:rsidR="00177F95">
        <w:t>ntra</w:t>
      </w:r>
      <w:r w:rsidR="004A5D4B">
        <w:t>ban</w:t>
      </w:r>
      <w:r w:rsidR="00177F95">
        <w:t xml:space="preserve"> en esta etapa.</w:t>
      </w:r>
    </w:p>
    <w:p w14:paraId="76FA6BA4" w14:textId="77777777" w:rsidR="00C42E54" w:rsidRDefault="00C42E54" w:rsidP="00074AA5">
      <w:pPr>
        <w:pStyle w:val="Descripcin"/>
        <w:jc w:val="center"/>
      </w:pPr>
    </w:p>
    <w:p w14:paraId="47C3FEF7" w14:textId="693D7D3D" w:rsidR="00811F65" w:rsidRDefault="00074AA5" w:rsidP="00074AA5">
      <w:pPr>
        <w:pStyle w:val="Descripcin"/>
        <w:jc w:val="center"/>
      </w:pPr>
      <w:r w:rsidRPr="00DD6FD2">
        <w:t xml:space="preserve">Tabla </w:t>
      </w:r>
      <w:fldSimple w:instr=" SEQ Tabla \* ARABIC ">
        <w:r w:rsidR="00CF6C85" w:rsidRPr="00DD6FD2">
          <w:rPr>
            <w:noProof/>
          </w:rPr>
          <w:t>1</w:t>
        </w:r>
      </w:fldSimple>
      <w:r w:rsidR="00CF6C85" w:rsidRPr="00DD6FD2">
        <w:t xml:space="preserve"> </w:t>
      </w:r>
      <w:r w:rsidRPr="00DD6FD2">
        <w:t xml:space="preserve">Evolución </w:t>
      </w:r>
      <w:r w:rsidR="00CF6C85" w:rsidRPr="00DD6FD2">
        <w:t xml:space="preserve">brecha del CU </w:t>
      </w:r>
      <w:r w:rsidR="000F0E0B" w:rsidRPr="00DD6FD2">
        <w:t xml:space="preserve">por mercado entre </w:t>
      </w:r>
      <w:r w:rsidR="00C3444E" w:rsidRPr="00DD6FD2">
        <w:t xml:space="preserve">enero </w:t>
      </w:r>
      <w:r w:rsidR="000F0E0B" w:rsidRPr="00DD6FD2">
        <w:t>y</w:t>
      </w:r>
      <w:r w:rsidR="00C3444E" w:rsidRPr="00DD6FD2">
        <w:t xml:space="preserve"> agosto de </w:t>
      </w:r>
      <w:r w:rsidR="00CF6C85" w:rsidRPr="00DD6FD2">
        <w:t>2023</w:t>
      </w:r>
      <w:r w:rsidR="00C3444E" w:rsidRPr="00DD6FD2">
        <w:t xml:space="preserve"> (valor</w:t>
      </w:r>
      <w:r w:rsidR="000F0E0B" w:rsidRPr="00DD6FD2">
        <w:t>e</w:t>
      </w:r>
      <w:r w:rsidR="00C3444E" w:rsidRPr="00DD6FD2">
        <w:t>s en $</w:t>
      </w:r>
      <w:r w:rsidR="000F0E0B" w:rsidRPr="00DD6FD2">
        <w:t>/kWh)</w:t>
      </w:r>
    </w:p>
    <w:tbl>
      <w:tblPr>
        <w:tblW w:w="8760" w:type="dxa"/>
        <w:tblCellMar>
          <w:left w:w="70" w:type="dxa"/>
          <w:right w:w="70" w:type="dxa"/>
        </w:tblCellMar>
        <w:tblLook w:val="04A0" w:firstRow="1" w:lastRow="0" w:firstColumn="1" w:lastColumn="0" w:noHBand="0" w:noVBand="1"/>
      </w:tblPr>
      <w:tblGrid>
        <w:gridCol w:w="1720"/>
        <w:gridCol w:w="880"/>
        <w:gridCol w:w="880"/>
        <w:gridCol w:w="880"/>
        <w:gridCol w:w="880"/>
        <w:gridCol w:w="880"/>
        <w:gridCol w:w="880"/>
        <w:gridCol w:w="880"/>
        <w:gridCol w:w="880"/>
      </w:tblGrid>
      <w:tr w:rsidR="00C3444E" w:rsidRPr="00C3444E" w14:paraId="55718166" w14:textId="77777777" w:rsidTr="00C3444E">
        <w:trPr>
          <w:trHeight w:val="1200"/>
        </w:trPr>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8CC4FF" w14:textId="77777777" w:rsidR="00C3444E" w:rsidRPr="00C3444E" w:rsidRDefault="00C3444E" w:rsidP="00C3444E">
            <w:pPr>
              <w:spacing w:before="0" w:after="0"/>
              <w:jc w:val="center"/>
              <w:rPr>
                <w:rFonts w:ascii="Calibri" w:hAnsi="Calibri" w:cs="Calibri"/>
                <w:b/>
                <w:bCs/>
                <w:color w:val="000000"/>
                <w:szCs w:val="22"/>
              </w:rPr>
            </w:pPr>
            <w:r w:rsidRPr="00C3444E">
              <w:rPr>
                <w:rFonts w:ascii="Calibri" w:hAnsi="Calibri" w:cs="Calibri"/>
                <w:b/>
                <w:bCs/>
                <w:color w:val="000000"/>
                <w:szCs w:val="22"/>
              </w:rPr>
              <w:t> </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7F6E4825" w14:textId="77777777" w:rsidR="00C3444E" w:rsidRPr="00C3444E" w:rsidRDefault="00C3444E" w:rsidP="00C3444E">
            <w:pPr>
              <w:spacing w:before="0" w:after="0"/>
              <w:jc w:val="center"/>
              <w:rPr>
                <w:rFonts w:ascii="Calibri" w:hAnsi="Calibri" w:cs="Calibri"/>
                <w:b/>
                <w:bCs/>
                <w:color w:val="000000"/>
                <w:szCs w:val="22"/>
              </w:rPr>
            </w:pPr>
            <w:r w:rsidRPr="00C3444E">
              <w:rPr>
                <w:rFonts w:ascii="Calibri" w:hAnsi="Calibri" w:cs="Calibri"/>
                <w:b/>
                <w:bCs/>
                <w:color w:val="000000"/>
                <w:szCs w:val="22"/>
              </w:rPr>
              <w:t>Enero</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44D2A7A8" w14:textId="77777777" w:rsidR="00C3444E" w:rsidRPr="00C3444E" w:rsidRDefault="00C3444E" w:rsidP="00C3444E">
            <w:pPr>
              <w:spacing w:before="0" w:after="0"/>
              <w:jc w:val="center"/>
              <w:rPr>
                <w:rFonts w:ascii="Calibri" w:hAnsi="Calibri" w:cs="Calibri"/>
                <w:b/>
                <w:bCs/>
                <w:color w:val="000000"/>
                <w:szCs w:val="22"/>
              </w:rPr>
            </w:pPr>
            <w:r w:rsidRPr="00C3444E">
              <w:rPr>
                <w:rFonts w:ascii="Calibri" w:hAnsi="Calibri" w:cs="Calibri"/>
                <w:b/>
                <w:bCs/>
                <w:color w:val="000000"/>
                <w:szCs w:val="22"/>
              </w:rPr>
              <w:t>Febrero</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6076A761" w14:textId="77777777" w:rsidR="00C3444E" w:rsidRPr="00C3444E" w:rsidRDefault="00C3444E" w:rsidP="00C3444E">
            <w:pPr>
              <w:spacing w:before="0" w:after="0"/>
              <w:jc w:val="center"/>
              <w:rPr>
                <w:rFonts w:ascii="Calibri" w:hAnsi="Calibri" w:cs="Calibri"/>
                <w:b/>
                <w:bCs/>
                <w:color w:val="000000"/>
                <w:szCs w:val="22"/>
              </w:rPr>
            </w:pPr>
            <w:r w:rsidRPr="00C3444E">
              <w:rPr>
                <w:rFonts w:ascii="Calibri" w:hAnsi="Calibri" w:cs="Calibri"/>
                <w:b/>
                <w:bCs/>
                <w:color w:val="000000"/>
                <w:szCs w:val="22"/>
              </w:rPr>
              <w:t>Marzo</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43001BCA" w14:textId="77777777" w:rsidR="00C3444E" w:rsidRPr="00C3444E" w:rsidRDefault="00C3444E" w:rsidP="00C3444E">
            <w:pPr>
              <w:spacing w:before="0" w:after="0"/>
              <w:jc w:val="center"/>
              <w:rPr>
                <w:rFonts w:ascii="Calibri" w:hAnsi="Calibri" w:cs="Calibri"/>
                <w:b/>
                <w:bCs/>
                <w:color w:val="000000"/>
                <w:szCs w:val="22"/>
              </w:rPr>
            </w:pPr>
            <w:r w:rsidRPr="00C3444E">
              <w:rPr>
                <w:rFonts w:ascii="Calibri" w:hAnsi="Calibri" w:cs="Calibri"/>
                <w:b/>
                <w:bCs/>
                <w:color w:val="000000"/>
                <w:szCs w:val="22"/>
              </w:rPr>
              <w:t>Abril</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7636EF45" w14:textId="77777777" w:rsidR="00C3444E" w:rsidRPr="00C3444E" w:rsidRDefault="00C3444E" w:rsidP="00C3444E">
            <w:pPr>
              <w:spacing w:before="0" w:after="0"/>
              <w:jc w:val="center"/>
              <w:rPr>
                <w:rFonts w:ascii="Calibri" w:hAnsi="Calibri" w:cs="Calibri"/>
                <w:b/>
                <w:bCs/>
                <w:color w:val="000000"/>
                <w:szCs w:val="22"/>
              </w:rPr>
            </w:pPr>
            <w:r w:rsidRPr="00C3444E">
              <w:rPr>
                <w:rFonts w:ascii="Calibri" w:hAnsi="Calibri" w:cs="Calibri"/>
                <w:b/>
                <w:bCs/>
                <w:color w:val="000000"/>
                <w:szCs w:val="22"/>
              </w:rPr>
              <w:t>Mayo</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34861092" w14:textId="77777777" w:rsidR="00C3444E" w:rsidRPr="00C3444E" w:rsidRDefault="00C3444E" w:rsidP="00C3444E">
            <w:pPr>
              <w:spacing w:before="0" w:after="0"/>
              <w:jc w:val="center"/>
              <w:rPr>
                <w:rFonts w:ascii="Calibri" w:hAnsi="Calibri" w:cs="Calibri"/>
                <w:b/>
                <w:bCs/>
                <w:color w:val="000000"/>
                <w:szCs w:val="22"/>
              </w:rPr>
            </w:pPr>
            <w:r w:rsidRPr="00C3444E">
              <w:rPr>
                <w:rFonts w:ascii="Calibri" w:hAnsi="Calibri" w:cs="Calibri"/>
                <w:b/>
                <w:bCs/>
                <w:color w:val="000000"/>
                <w:szCs w:val="22"/>
              </w:rPr>
              <w:t>Junio</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1636771A" w14:textId="77777777" w:rsidR="00C3444E" w:rsidRPr="00C3444E" w:rsidRDefault="00C3444E" w:rsidP="00C3444E">
            <w:pPr>
              <w:spacing w:before="0" w:after="0"/>
              <w:jc w:val="center"/>
              <w:rPr>
                <w:rFonts w:ascii="Calibri" w:hAnsi="Calibri" w:cs="Calibri"/>
                <w:b/>
                <w:bCs/>
                <w:color w:val="000000"/>
                <w:szCs w:val="22"/>
              </w:rPr>
            </w:pPr>
            <w:r w:rsidRPr="00C3444E">
              <w:rPr>
                <w:rFonts w:ascii="Calibri" w:hAnsi="Calibri" w:cs="Calibri"/>
                <w:b/>
                <w:bCs/>
                <w:color w:val="000000"/>
                <w:szCs w:val="22"/>
              </w:rPr>
              <w:t>Julio</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4283CD8D" w14:textId="77777777" w:rsidR="00C3444E" w:rsidRPr="00C3444E" w:rsidRDefault="00C3444E" w:rsidP="00C3444E">
            <w:pPr>
              <w:spacing w:before="0" w:after="0"/>
              <w:jc w:val="center"/>
              <w:rPr>
                <w:rFonts w:ascii="Calibri" w:hAnsi="Calibri" w:cs="Calibri"/>
                <w:b/>
                <w:bCs/>
                <w:color w:val="000000"/>
                <w:szCs w:val="22"/>
              </w:rPr>
            </w:pPr>
            <w:r w:rsidRPr="00C3444E">
              <w:rPr>
                <w:rFonts w:ascii="Calibri" w:hAnsi="Calibri" w:cs="Calibri"/>
                <w:b/>
                <w:bCs/>
                <w:color w:val="000000"/>
                <w:szCs w:val="22"/>
              </w:rPr>
              <w:t>Agosto</w:t>
            </w:r>
          </w:p>
        </w:tc>
      </w:tr>
      <w:tr w:rsidR="00C3444E" w:rsidRPr="00C3444E" w14:paraId="67AFEEAF" w14:textId="77777777" w:rsidTr="00C3444E">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7E7E0476" w14:textId="77777777" w:rsidR="00C3444E" w:rsidRPr="00C3444E" w:rsidRDefault="00C3444E" w:rsidP="00C3444E">
            <w:pPr>
              <w:spacing w:before="0" w:after="0"/>
              <w:jc w:val="left"/>
              <w:rPr>
                <w:rFonts w:ascii="Calibri" w:hAnsi="Calibri" w:cs="Calibri"/>
                <w:color w:val="000000"/>
                <w:szCs w:val="22"/>
              </w:rPr>
            </w:pPr>
            <w:r w:rsidRPr="00C3444E">
              <w:rPr>
                <w:rFonts w:ascii="Calibri" w:hAnsi="Calibri" w:cs="Calibri"/>
                <w:color w:val="000000"/>
                <w:szCs w:val="22"/>
              </w:rPr>
              <w:t>TOLIMA</w:t>
            </w:r>
          </w:p>
        </w:tc>
        <w:tc>
          <w:tcPr>
            <w:tcW w:w="880" w:type="dxa"/>
            <w:tcBorders>
              <w:top w:val="nil"/>
              <w:left w:val="nil"/>
              <w:bottom w:val="single" w:sz="4" w:space="0" w:color="auto"/>
              <w:right w:val="single" w:sz="4" w:space="0" w:color="auto"/>
            </w:tcBorders>
            <w:shd w:val="clear" w:color="000000" w:fill="FFFFFF"/>
            <w:noWrap/>
            <w:vAlign w:val="bottom"/>
            <w:hideMark/>
          </w:tcPr>
          <w:p w14:paraId="437E1DF9"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16</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5850C414"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-7</w:t>
            </w:r>
          </w:p>
        </w:tc>
        <w:tc>
          <w:tcPr>
            <w:tcW w:w="880" w:type="dxa"/>
            <w:tcBorders>
              <w:top w:val="nil"/>
              <w:left w:val="nil"/>
              <w:bottom w:val="single" w:sz="4" w:space="0" w:color="auto"/>
              <w:right w:val="single" w:sz="4" w:space="0" w:color="auto"/>
            </w:tcBorders>
            <w:shd w:val="clear" w:color="000000" w:fill="FFFFFF"/>
            <w:noWrap/>
            <w:vAlign w:val="bottom"/>
            <w:hideMark/>
          </w:tcPr>
          <w:p w14:paraId="2D7F1F50"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10</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00E1170F"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-3</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563E4981"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-45</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2E96B667"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-1</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66E058DE"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-47</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47BE397B"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-62</w:t>
            </w:r>
          </w:p>
        </w:tc>
      </w:tr>
      <w:tr w:rsidR="00C3444E" w:rsidRPr="00C3444E" w14:paraId="749DF1C8" w14:textId="77777777" w:rsidTr="00C3444E">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6364A8F5" w14:textId="77777777" w:rsidR="00C3444E" w:rsidRPr="00C3444E" w:rsidRDefault="00C3444E" w:rsidP="00C3444E">
            <w:pPr>
              <w:spacing w:before="0" w:after="0"/>
              <w:jc w:val="left"/>
              <w:rPr>
                <w:rFonts w:ascii="Calibri" w:hAnsi="Calibri" w:cs="Calibri"/>
                <w:color w:val="000000"/>
                <w:szCs w:val="22"/>
              </w:rPr>
            </w:pPr>
            <w:r w:rsidRPr="00C3444E">
              <w:rPr>
                <w:rFonts w:ascii="Calibri" w:hAnsi="Calibri" w:cs="Calibri"/>
                <w:color w:val="000000"/>
                <w:szCs w:val="22"/>
              </w:rPr>
              <w:t>CARIBEMAR</w:t>
            </w:r>
          </w:p>
        </w:tc>
        <w:tc>
          <w:tcPr>
            <w:tcW w:w="880" w:type="dxa"/>
            <w:tcBorders>
              <w:top w:val="nil"/>
              <w:left w:val="nil"/>
              <w:bottom w:val="single" w:sz="4" w:space="0" w:color="auto"/>
              <w:right w:val="single" w:sz="4" w:space="0" w:color="auto"/>
            </w:tcBorders>
            <w:shd w:val="clear" w:color="000000" w:fill="FFFFFF"/>
            <w:noWrap/>
            <w:vAlign w:val="bottom"/>
            <w:hideMark/>
          </w:tcPr>
          <w:p w14:paraId="27B2A2BC"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91</w:t>
            </w:r>
          </w:p>
        </w:tc>
        <w:tc>
          <w:tcPr>
            <w:tcW w:w="880" w:type="dxa"/>
            <w:tcBorders>
              <w:top w:val="nil"/>
              <w:left w:val="nil"/>
              <w:bottom w:val="single" w:sz="4" w:space="0" w:color="auto"/>
              <w:right w:val="single" w:sz="4" w:space="0" w:color="auto"/>
            </w:tcBorders>
            <w:shd w:val="clear" w:color="000000" w:fill="FFFFFF"/>
            <w:noWrap/>
            <w:vAlign w:val="bottom"/>
            <w:hideMark/>
          </w:tcPr>
          <w:p w14:paraId="0B19D713"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68</w:t>
            </w:r>
          </w:p>
        </w:tc>
        <w:tc>
          <w:tcPr>
            <w:tcW w:w="880" w:type="dxa"/>
            <w:tcBorders>
              <w:top w:val="nil"/>
              <w:left w:val="nil"/>
              <w:bottom w:val="single" w:sz="4" w:space="0" w:color="auto"/>
              <w:right w:val="single" w:sz="4" w:space="0" w:color="auto"/>
            </w:tcBorders>
            <w:shd w:val="clear" w:color="000000" w:fill="FFFFFF"/>
            <w:noWrap/>
            <w:vAlign w:val="bottom"/>
            <w:hideMark/>
          </w:tcPr>
          <w:p w14:paraId="795CA008"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115</w:t>
            </w:r>
          </w:p>
        </w:tc>
        <w:tc>
          <w:tcPr>
            <w:tcW w:w="880" w:type="dxa"/>
            <w:tcBorders>
              <w:top w:val="nil"/>
              <w:left w:val="nil"/>
              <w:bottom w:val="single" w:sz="4" w:space="0" w:color="auto"/>
              <w:right w:val="single" w:sz="4" w:space="0" w:color="auto"/>
            </w:tcBorders>
            <w:shd w:val="clear" w:color="000000" w:fill="FFFFFF"/>
            <w:noWrap/>
            <w:vAlign w:val="bottom"/>
            <w:hideMark/>
          </w:tcPr>
          <w:p w14:paraId="71745295"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40</w:t>
            </w:r>
          </w:p>
        </w:tc>
        <w:tc>
          <w:tcPr>
            <w:tcW w:w="880" w:type="dxa"/>
            <w:tcBorders>
              <w:top w:val="nil"/>
              <w:left w:val="nil"/>
              <w:bottom w:val="single" w:sz="4" w:space="0" w:color="auto"/>
              <w:right w:val="single" w:sz="4" w:space="0" w:color="auto"/>
            </w:tcBorders>
            <w:shd w:val="clear" w:color="000000" w:fill="FFFFFF"/>
            <w:noWrap/>
            <w:vAlign w:val="bottom"/>
            <w:hideMark/>
          </w:tcPr>
          <w:p w14:paraId="16910BC0"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2</w:t>
            </w:r>
          </w:p>
        </w:tc>
        <w:tc>
          <w:tcPr>
            <w:tcW w:w="880" w:type="dxa"/>
            <w:tcBorders>
              <w:top w:val="nil"/>
              <w:left w:val="nil"/>
              <w:bottom w:val="single" w:sz="4" w:space="0" w:color="auto"/>
              <w:right w:val="single" w:sz="4" w:space="0" w:color="auto"/>
            </w:tcBorders>
            <w:shd w:val="clear" w:color="000000" w:fill="FFFFFF"/>
            <w:noWrap/>
            <w:vAlign w:val="bottom"/>
            <w:hideMark/>
          </w:tcPr>
          <w:p w14:paraId="557C94B3"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56</w:t>
            </w:r>
          </w:p>
        </w:tc>
        <w:tc>
          <w:tcPr>
            <w:tcW w:w="880" w:type="dxa"/>
            <w:tcBorders>
              <w:top w:val="nil"/>
              <w:left w:val="nil"/>
              <w:bottom w:val="single" w:sz="4" w:space="0" w:color="auto"/>
              <w:right w:val="single" w:sz="4" w:space="0" w:color="auto"/>
            </w:tcBorders>
            <w:shd w:val="clear" w:color="000000" w:fill="FFFFFF"/>
            <w:noWrap/>
            <w:vAlign w:val="bottom"/>
            <w:hideMark/>
          </w:tcPr>
          <w:p w14:paraId="2761699A"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41</w:t>
            </w:r>
          </w:p>
        </w:tc>
        <w:tc>
          <w:tcPr>
            <w:tcW w:w="880" w:type="dxa"/>
            <w:tcBorders>
              <w:top w:val="nil"/>
              <w:left w:val="nil"/>
              <w:bottom w:val="single" w:sz="4" w:space="0" w:color="auto"/>
              <w:right w:val="single" w:sz="4" w:space="0" w:color="auto"/>
            </w:tcBorders>
            <w:shd w:val="clear" w:color="000000" w:fill="FFFFFF"/>
            <w:noWrap/>
            <w:vAlign w:val="bottom"/>
            <w:hideMark/>
          </w:tcPr>
          <w:p w14:paraId="5F1CF2DD"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46</w:t>
            </w:r>
          </w:p>
        </w:tc>
      </w:tr>
      <w:tr w:rsidR="00C3444E" w:rsidRPr="00C3444E" w14:paraId="4B51FA0B" w14:textId="77777777" w:rsidTr="00C3444E">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6A517C44" w14:textId="77777777" w:rsidR="00C3444E" w:rsidRPr="00C3444E" w:rsidRDefault="00C3444E" w:rsidP="00C3444E">
            <w:pPr>
              <w:spacing w:before="0" w:after="0"/>
              <w:jc w:val="left"/>
              <w:rPr>
                <w:rFonts w:ascii="Calibri" w:hAnsi="Calibri" w:cs="Calibri"/>
                <w:color w:val="000000"/>
                <w:szCs w:val="22"/>
              </w:rPr>
            </w:pPr>
            <w:r w:rsidRPr="00C3444E">
              <w:rPr>
                <w:rFonts w:ascii="Calibri" w:hAnsi="Calibri" w:cs="Calibri"/>
                <w:color w:val="000000"/>
                <w:szCs w:val="22"/>
              </w:rPr>
              <w:t>AIRE</w:t>
            </w:r>
          </w:p>
        </w:tc>
        <w:tc>
          <w:tcPr>
            <w:tcW w:w="880" w:type="dxa"/>
            <w:tcBorders>
              <w:top w:val="nil"/>
              <w:left w:val="nil"/>
              <w:bottom w:val="single" w:sz="4" w:space="0" w:color="auto"/>
              <w:right w:val="single" w:sz="4" w:space="0" w:color="auto"/>
            </w:tcBorders>
            <w:shd w:val="clear" w:color="000000" w:fill="FFFFFF"/>
            <w:noWrap/>
            <w:vAlign w:val="bottom"/>
            <w:hideMark/>
          </w:tcPr>
          <w:p w14:paraId="53192B39"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23</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079C007A"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-13</w:t>
            </w:r>
          </w:p>
        </w:tc>
        <w:tc>
          <w:tcPr>
            <w:tcW w:w="880" w:type="dxa"/>
            <w:tcBorders>
              <w:top w:val="nil"/>
              <w:left w:val="nil"/>
              <w:bottom w:val="single" w:sz="4" w:space="0" w:color="auto"/>
              <w:right w:val="single" w:sz="4" w:space="0" w:color="auto"/>
            </w:tcBorders>
            <w:shd w:val="clear" w:color="000000" w:fill="FFFFFF"/>
            <w:noWrap/>
            <w:vAlign w:val="bottom"/>
            <w:hideMark/>
          </w:tcPr>
          <w:p w14:paraId="06CB08D6"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17</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361EBC48"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-32</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5429D505"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-69</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63DE09DD"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-6</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582D5673"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-40</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5E5A5A95"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-48</w:t>
            </w:r>
          </w:p>
        </w:tc>
      </w:tr>
      <w:tr w:rsidR="00C3444E" w:rsidRPr="00C3444E" w14:paraId="4E43D099" w14:textId="77777777" w:rsidTr="00C3444E">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22F251C3" w14:textId="77777777" w:rsidR="00C3444E" w:rsidRPr="00C3444E" w:rsidRDefault="00C3444E" w:rsidP="00C3444E">
            <w:pPr>
              <w:spacing w:before="0" w:after="0"/>
              <w:jc w:val="left"/>
              <w:rPr>
                <w:rFonts w:ascii="Calibri" w:hAnsi="Calibri" w:cs="Calibri"/>
                <w:color w:val="000000"/>
                <w:szCs w:val="22"/>
              </w:rPr>
            </w:pPr>
            <w:r w:rsidRPr="00C3444E">
              <w:rPr>
                <w:rFonts w:ascii="Calibri" w:hAnsi="Calibri" w:cs="Calibri"/>
                <w:color w:val="000000"/>
                <w:szCs w:val="22"/>
              </w:rPr>
              <w:t>GUAVIARE</w:t>
            </w:r>
          </w:p>
        </w:tc>
        <w:tc>
          <w:tcPr>
            <w:tcW w:w="880" w:type="dxa"/>
            <w:tcBorders>
              <w:top w:val="nil"/>
              <w:left w:val="nil"/>
              <w:bottom w:val="single" w:sz="4" w:space="0" w:color="auto"/>
              <w:right w:val="single" w:sz="4" w:space="0" w:color="auto"/>
            </w:tcBorders>
            <w:shd w:val="clear" w:color="000000" w:fill="FFFFFF"/>
            <w:noWrap/>
            <w:vAlign w:val="bottom"/>
            <w:hideMark/>
          </w:tcPr>
          <w:p w14:paraId="4537708B"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65</w:t>
            </w:r>
          </w:p>
        </w:tc>
        <w:tc>
          <w:tcPr>
            <w:tcW w:w="880" w:type="dxa"/>
            <w:tcBorders>
              <w:top w:val="nil"/>
              <w:left w:val="nil"/>
              <w:bottom w:val="single" w:sz="4" w:space="0" w:color="auto"/>
              <w:right w:val="single" w:sz="4" w:space="0" w:color="auto"/>
            </w:tcBorders>
            <w:shd w:val="clear" w:color="000000" w:fill="FFFFFF"/>
            <w:noWrap/>
            <w:vAlign w:val="bottom"/>
            <w:hideMark/>
          </w:tcPr>
          <w:p w14:paraId="7AE56201"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49</w:t>
            </w:r>
          </w:p>
        </w:tc>
        <w:tc>
          <w:tcPr>
            <w:tcW w:w="880" w:type="dxa"/>
            <w:tcBorders>
              <w:top w:val="nil"/>
              <w:left w:val="nil"/>
              <w:bottom w:val="single" w:sz="4" w:space="0" w:color="auto"/>
              <w:right w:val="single" w:sz="4" w:space="0" w:color="auto"/>
            </w:tcBorders>
            <w:shd w:val="clear" w:color="000000" w:fill="FFFFFF"/>
            <w:noWrap/>
            <w:vAlign w:val="bottom"/>
            <w:hideMark/>
          </w:tcPr>
          <w:p w14:paraId="4CEDB494"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52</w:t>
            </w:r>
          </w:p>
        </w:tc>
        <w:tc>
          <w:tcPr>
            <w:tcW w:w="880" w:type="dxa"/>
            <w:tcBorders>
              <w:top w:val="nil"/>
              <w:left w:val="nil"/>
              <w:bottom w:val="single" w:sz="4" w:space="0" w:color="auto"/>
              <w:right w:val="single" w:sz="4" w:space="0" w:color="auto"/>
            </w:tcBorders>
            <w:shd w:val="clear" w:color="000000" w:fill="FFFFFF"/>
            <w:noWrap/>
            <w:vAlign w:val="bottom"/>
            <w:hideMark/>
          </w:tcPr>
          <w:p w14:paraId="5635611D"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52</w:t>
            </w:r>
          </w:p>
        </w:tc>
        <w:tc>
          <w:tcPr>
            <w:tcW w:w="880" w:type="dxa"/>
            <w:tcBorders>
              <w:top w:val="nil"/>
              <w:left w:val="nil"/>
              <w:bottom w:val="single" w:sz="4" w:space="0" w:color="auto"/>
              <w:right w:val="single" w:sz="4" w:space="0" w:color="auto"/>
            </w:tcBorders>
            <w:shd w:val="clear" w:color="000000" w:fill="FFFFFF"/>
            <w:noWrap/>
            <w:vAlign w:val="bottom"/>
            <w:hideMark/>
          </w:tcPr>
          <w:p w14:paraId="58DB7D16"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85</w:t>
            </w:r>
          </w:p>
        </w:tc>
        <w:tc>
          <w:tcPr>
            <w:tcW w:w="880" w:type="dxa"/>
            <w:tcBorders>
              <w:top w:val="nil"/>
              <w:left w:val="nil"/>
              <w:bottom w:val="single" w:sz="4" w:space="0" w:color="auto"/>
              <w:right w:val="single" w:sz="4" w:space="0" w:color="auto"/>
            </w:tcBorders>
            <w:shd w:val="clear" w:color="000000" w:fill="FFFFFF"/>
            <w:noWrap/>
            <w:vAlign w:val="bottom"/>
            <w:hideMark/>
          </w:tcPr>
          <w:p w14:paraId="775A8FE1"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63</w:t>
            </w:r>
          </w:p>
        </w:tc>
        <w:tc>
          <w:tcPr>
            <w:tcW w:w="880" w:type="dxa"/>
            <w:tcBorders>
              <w:top w:val="nil"/>
              <w:left w:val="nil"/>
              <w:bottom w:val="single" w:sz="4" w:space="0" w:color="auto"/>
              <w:right w:val="single" w:sz="4" w:space="0" w:color="auto"/>
            </w:tcBorders>
            <w:shd w:val="clear" w:color="000000" w:fill="FFFFFF"/>
            <w:noWrap/>
            <w:vAlign w:val="bottom"/>
            <w:hideMark/>
          </w:tcPr>
          <w:p w14:paraId="684E913D"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47</w:t>
            </w:r>
          </w:p>
        </w:tc>
        <w:tc>
          <w:tcPr>
            <w:tcW w:w="880" w:type="dxa"/>
            <w:tcBorders>
              <w:top w:val="nil"/>
              <w:left w:val="nil"/>
              <w:bottom w:val="single" w:sz="4" w:space="0" w:color="auto"/>
              <w:right w:val="single" w:sz="4" w:space="0" w:color="auto"/>
            </w:tcBorders>
            <w:shd w:val="clear" w:color="000000" w:fill="FFFFFF"/>
            <w:noWrap/>
            <w:vAlign w:val="bottom"/>
            <w:hideMark/>
          </w:tcPr>
          <w:p w14:paraId="2926BD95"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40</w:t>
            </w:r>
          </w:p>
        </w:tc>
      </w:tr>
      <w:tr w:rsidR="00C3444E" w:rsidRPr="00C3444E" w14:paraId="3DCEF10F" w14:textId="77777777" w:rsidTr="00C3444E">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1AA664C3" w14:textId="77777777" w:rsidR="00C3444E" w:rsidRPr="00C3444E" w:rsidRDefault="00C3444E" w:rsidP="00C3444E">
            <w:pPr>
              <w:spacing w:before="0" w:after="0"/>
              <w:jc w:val="left"/>
              <w:rPr>
                <w:rFonts w:ascii="Calibri" w:hAnsi="Calibri" w:cs="Calibri"/>
                <w:color w:val="000000"/>
                <w:szCs w:val="22"/>
              </w:rPr>
            </w:pPr>
            <w:r w:rsidRPr="00C3444E">
              <w:rPr>
                <w:rFonts w:ascii="Calibri" w:hAnsi="Calibri" w:cs="Calibri"/>
                <w:color w:val="000000"/>
                <w:szCs w:val="22"/>
              </w:rPr>
              <w:t>CETSA</w:t>
            </w:r>
          </w:p>
        </w:tc>
        <w:tc>
          <w:tcPr>
            <w:tcW w:w="880" w:type="dxa"/>
            <w:tcBorders>
              <w:top w:val="nil"/>
              <w:left w:val="nil"/>
              <w:bottom w:val="single" w:sz="4" w:space="0" w:color="auto"/>
              <w:right w:val="single" w:sz="4" w:space="0" w:color="auto"/>
            </w:tcBorders>
            <w:shd w:val="clear" w:color="000000" w:fill="FFFFFF"/>
            <w:noWrap/>
            <w:vAlign w:val="bottom"/>
            <w:hideMark/>
          </w:tcPr>
          <w:p w14:paraId="7C7444E2"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12</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13838D36"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-18</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38CD14E1"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-2</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2EA6C16C"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-38</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4E57233A"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-59</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7FEF3D7C"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-74</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1816C0F3"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-80</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3BF4EA57"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-105</w:t>
            </w:r>
          </w:p>
        </w:tc>
      </w:tr>
      <w:tr w:rsidR="00C3444E" w:rsidRPr="00C3444E" w14:paraId="16B257EB" w14:textId="77777777" w:rsidTr="00C3444E">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4702A40A" w14:textId="77777777" w:rsidR="00C3444E" w:rsidRPr="00C3444E" w:rsidRDefault="00C3444E" w:rsidP="00C3444E">
            <w:pPr>
              <w:spacing w:before="0" w:after="0"/>
              <w:jc w:val="left"/>
              <w:rPr>
                <w:rFonts w:ascii="Calibri" w:hAnsi="Calibri" w:cs="Calibri"/>
                <w:color w:val="000000"/>
                <w:szCs w:val="22"/>
              </w:rPr>
            </w:pPr>
            <w:r w:rsidRPr="00C3444E">
              <w:rPr>
                <w:rFonts w:ascii="Calibri" w:hAnsi="Calibri" w:cs="Calibri"/>
                <w:color w:val="000000"/>
                <w:szCs w:val="22"/>
              </w:rPr>
              <w:t>CEDENAR</w:t>
            </w:r>
          </w:p>
        </w:tc>
        <w:tc>
          <w:tcPr>
            <w:tcW w:w="880" w:type="dxa"/>
            <w:tcBorders>
              <w:top w:val="nil"/>
              <w:left w:val="nil"/>
              <w:bottom w:val="single" w:sz="4" w:space="0" w:color="auto"/>
              <w:right w:val="single" w:sz="4" w:space="0" w:color="auto"/>
            </w:tcBorders>
            <w:shd w:val="clear" w:color="000000" w:fill="FFFFFF"/>
            <w:noWrap/>
            <w:vAlign w:val="bottom"/>
            <w:hideMark/>
          </w:tcPr>
          <w:p w14:paraId="4B5BFA6F"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28</w:t>
            </w:r>
          </w:p>
        </w:tc>
        <w:tc>
          <w:tcPr>
            <w:tcW w:w="880" w:type="dxa"/>
            <w:tcBorders>
              <w:top w:val="nil"/>
              <w:left w:val="nil"/>
              <w:bottom w:val="single" w:sz="4" w:space="0" w:color="auto"/>
              <w:right w:val="single" w:sz="4" w:space="0" w:color="auto"/>
            </w:tcBorders>
            <w:shd w:val="clear" w:color="000000" w:fill="FFFFFF"/>
            <w:noWrap/>
            <w:vAlign w:val="bottom"/>
            <w:hideMark/>
          </w:tcPr>
          <w:p w14:paraId="22A35642"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64</w:t>
            </w:r>
          </w:p>
        </w:tc>
        <w:tc>
          <w:tcPr>
            <w:tcW w:w="880" w:type="dxa"/>
            <w:tcBorders>
              <w:top w:val="nil"/>
              <w:left w:val="nil"/>
              <w:bottom w:val="single" w:sz="4" w:space="0" w:color="auto"/>
              <w:right w:val="single" w:sz="4" w:space="0" w:color="auto"/>
            </w:tcBorders>
            <w:shd w:val="clear" w:color="000000" w:fill="FFFFFF"/>
            <w:noWrap/>
            <w:vAlign w:val="bottom"/>
            <w:hideMark/>
          </w:tcPr>
          <w:p w14:paraId="6F30E4F6"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119</w:t>
            </w:r>
          </w:p>
        </w:tc>
        <w:tc>
          <w:tcPr>
            <w:tcW w:w="880" w:type="dxa"/>
            <w:tcBorders>
              <w:top w:val="nil"/>
              <w:left w:val="nil"/>
              <w:bottom w:val="single" w:sz="4" w:space="0" w:color="auto"/>
              <w:right w:val="single" w:sz="4" w:space="0" w:color="auto"/>
            </w:tcBorders>
            <w:shd w:val="clear" w:color="000000" w:fill="FFFFFF"/>
            <w:noWrap/>
            <w:vAlign w:val="bottom"/>
            <w:hideMark/>
          </w:tcPr>
          <w:p w14:paraId="41CC9A0B"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79</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613E6864"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-18</w:t>
            </w:r>
          </w:p>
        </w:tc>
        <w:tc>
          <w:tcPr>
            <w:tcW w:w="880" w:type="dxa"/>
            <w:tcBorders>
              <w:top w:val="nil"/>
              <w:left w:val="nil"/>
              <w:bottom w:val="single" w:sz="4" w:space="0" w:color="auto"/>
              <w:right w:val="single" w:sz="4" w:space="0" w:color="auto"/>
            </w:tcBorders>
            <w:shd w:val="clear" w:color="000000" w:fill="FFFFFF"/>
            <w:noWrap/>
            <w:vAlign w:val="bottom"/>
            <w:hideMark/>
          </w:tcPr>
          <w:p w14:paraId="3237C0B6"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54</w:t>
            </w:r>
          </w:p>
        </w:tc>
        <w:tc>
          <w:tcPr>
            <w:tcW w:w="880" w:type="dxa"/>
            <w:tcBorders>
              <w:top w:val="nil"/>
              <w:left w:val="nil"/>
              <w:bottom w:val="single" w:sz="4" w:space="0" w:color="auto"/>
              <w:right w:val="single" w:sz="4" w:space="0" w:color="auto"/>
            </w:tcBorders>
            <w:shd w:val="clear" w:color="000000" w:fill="FFFFFF"/>
            <w:noWrap/>
            <w:vAlign w:val="bottom"/>
            <w:hideMark/>
          </w:tcPr>
          <w:p w14:paraId="1FE8CDAD"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17</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41272B3B"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-20</w:t>
            </w:r>
          </w:p>
        </w:tc>
      </w:tr>
      <w:tr w:rsidR="00C3444E" w:rsidRPr="00C3444E" w14:paraId="74989CEA" w14:textId="77777777" w:rsidTr="00C3444E">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52E391E9" w14:textId="77777777" w:rsidR="00C3444E" w:rsidRPr="00C3444E" w:rsidRDefault="00C3444E" w:rsidP="00C3444E">
            <w:pPr>
              <w:spacing w:before="0" w:after="0"/>
              <w:jc w:val="left"/>
              <w:rPr>
                <w:rFonts w:ascii="Calibri" w:hAnsi="Calibri" w:cs="Calibri"/>
                <w:color w:val="000000"/>
                <w:szCs w:val="22"/>
              </w:rPr>
            </w:pPr>
            <w:r w:rsidRPr="00C3444E">
              <w:rPr>
                <w:rFonts w:ascii="Calibri" w:hAnsi="Calibri" w:cs="Calibri"/>
                <w:color w:val="000000"/>
                <w:szCs w:val="22"/>
              </w:rPr>
              <w:t>CAQUETA</w:t>
            </w:r>
          </w:p>
        </w:tc>
        <w:tc>
          <w:tcPr>
            <w:tcW w:w="880" w:type="dxa"/>
            <w:tcBorders>
              <w:top w:val="nil"/>
              <w:left w:val="nil"/>
              <w:bottom w:val="single" w:sz="4" w:space="0" w:color="auto"/>
              <w:right w:val="single" w:sz="4" w:space="0" w:color="auto"/>
            </w:tcBorders>
            <w:shd w:val="clear" w:color="000000" w:fill="FFFFFF"/>
            <w:noWrap/>
            <w:vAlign w:val="bottom"/>
            <w:hideMark/>
          </w:tcPr>
          <w:p w14:paraId="7F6172AE"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111</w:t>
            </w:r>
          </w:p>
        </w:tc>
        <w:tc>
          <w:tcPr>
            <w:tcW w:w="880" w:type="dxa"/>
            <w:tcBorders>
              <w:top w:val="nil"/>
              <w:left w:val="nil"/>
              <w:bottom w:val="single" w:sz="4" w:space="0" w:color="auto"/>
              <w:right w:val="single" w:sz="4" w:space="0" w:color="auto"/>
            </w:tcBorders>
            <w:shd w:val="clear" w:color="000000" w:fill="FFFFFF"/>
            <w:noWrap/>
            <w:vAlign w:val="bottom"/>
            <w:hideMark/>
          </w:tcPr>
          <w:p w14:paraId="587971A6"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127</w:t>
            </w:r>
          </w:p>
        </w:tc>
        <w:tc>
          <w:tcPr>
            <w:tcW w:w="880" w:type="dxa"/>
            <w:tcBorders>
              <w:top w:val="nil"/>
              <w:left w:val="nil"/>
              <w:bottom w:val="single" w:sz="4" w:space="0" w:color="auto"/>
              <w:right w:val="single" w:sz="4" w:space="0" w:color="auto"/>
            </w:tcBorders>
            <w:shd w:val="clear" w:color="000000" w:fill="FFFFFF"/>
            <w:noWrap/>
            <w:vAlign w:val="bottom"/>
            <w:hideMark/>
          </w:tcPr>
          <w:p w14:paraId="4609D1A2"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184</w:t>
            </w:r>
          </w:p>
        </w:tc>
        <w:tc>
          <w:tcPr>
            <w:tcW w:w="880" w:type="dxa"/>
            <w:tcBorders>
              <w:top w:val="nil"/>
              <w:left w:val="nil"/>
              <w:bottom w:val="single" w:sz="4" w:space="0" w:color="auto"/>
              <w:right w:val="single" w:sz="4" w:space="0" w:color="auto"/>
            </w:tcBorders>
            <w:shd w:val="clear" w:color="000000" w:fill="FFFFFF"/>
            <w:noWrap/>
            <w:vAlign w:val="bottom"/>
            <w:hideMark/>
          </w:tcPr>
          <w:p w14:paraId="01BC1603"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122</w:t>
            </w:r>
          </w:p>
        </w:tc>
        <w:tc>
          <w:tcPr>
            <w:tcW w:w="880" w:type="dxa"/>
            <w:tcBorders>
              <w:top w:val="nil"/>
              <w:left w:val="nil"/>
              <w:bottom w:val="single" w:sz="4" w:space="0" w:color="auto"/>
              <w:right w:val="single" w:sz="4" w:space="0" w:color="auto"/>
            </w:tcBorders>
            <w:shd w:val="clear" w:color="000000" w:fill="FFFFFF"/>
            <w:noWrap/>
            <w:vAlign w:val="bottom"/>
            <w:hideMark/>
          </w:tcPr>
          <w:p w14:paraId="27A5229F"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42</w:t>
            </w:r>
          </w:p>
        </w:tc>
        <w:tc>
          <w:tcPr>
            <w:tcW w:w="880" w:type="dxa"/>
            <w:tcBorders>
              <w:top w:val="nil"/>
              <w:left w:val="nil"/>
              <w:bottom w:val="single" w:sz="4" w:space="0" w:color="auto"/>
              <w:right w:val="single" w:sz="4" w:space="0" w:color="auto"/>
            </w:tcBorders>
            <w:shd w:val="clear" w:color="000000" w:fill="FFFFFF"/>
            <w:noWrap/>
            <w:vAlign w:val="bottom"/>
            <w:hideMark/>
          </w:tcPr>
          <w:p w14:paraId="052DE3B7"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103</w:t>
            </w:r>
          </w:p>
        </w:tc>
        <w:tc>
          <w:tcPr>
            <w:tcW w:w="880" w:type="dxa"/>
            <w:tcBorders>
              <w:top w:val="nil"/>
              <w:left w:val="nil"/>
              <w:bottom w:val="single" w:sz="4" w:space="0" w:color="auto"/>
              <w:right w:val="single" w:sz="4" w:space="0" w:color="auto"/>
            </w:tcBorders>
            <w:shd w:val="clear" w:color="000000" w:fill="FFFFFF"/>
            <w:noWrap/>
            <w:vAlign w:val="bottom"/>
            <w:hideMark/>
          </w:tcPr>
          <w:p w14:paraId="4C85A591"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57</w:t>
            </w:r>
          </w:p>
        </w:tc>
        <w:tc>
          <w:tcPr>
            <w:tcW w:w="880" w:type="dxa"/>
            <w:tcBorders>
              <w:top w:val="nil"/>
              <w:left w:val="nil"/>
              <w:bottom w:val="single" w:sz="4" w:space="0" w:color="auto"/>
              <w:right w:val="single" w:sz="4" w:space="0" w:color="auto"/>
            </w:tcBorders>
            <w:shd w:val="clear" w:color="000000" w:fill="FFFFFF"/>
            <w:noWrap/>
            <w:vAlign w:val="bottom"/>
            <w:hideMark/>
          </w:tcPr>
          <w:p w14:paraId="3E2D8D75"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40</w:t>
            </w:r>
          </w:p>
        </w:tc>
      </w:tr>
      <w:tr w:rsidR="00C3444E" w:rsidRPr="00C3444E" w14:paraId="003A8913" w14:textId="77777777" w:rsidTr="00C3444E">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1DC8ADED" w14:textId="77777777" w:rsidR="00C3444E" w:rsidRPr="00C3444E" w:rsidRDefault="00C3444E" w:rsidP="00C3444E">
            <w:pPr>
              <w:spacing w:before="0" w:after="0"/>
              <w:jc w:val="left"/>
              <w:rPr>
                <w:rFonts w:ascii="Calibri" w:hAnsi="Calibri" w:cs="Calibri"/>
                <w:color w:val="000000"/>
                <w:szCs w:val="22"/>
              </w:rPr>
            </w:pPr>
            <w:r w:rsidRPr="00C3444E">
              <w:rPr>
                <w:rFonts w:ascii="Calibri" w:hAnsi="Calibri" w:cs="Calibri"/>
                <w:color w:val="000000"/>
                <w:szCs w:val="22"/>
              </w:rPr>
              <w:t>CELSIA</w:t>
            </w:r>
          </w:p>
        </w:tc>
        <w:tc>
          <w:tcPr>
            <w:tcW w:w="880" w:type="dxa"/>
            <w:tcBorders>
              <w:top w:val="nil"/>
              <w:left w:val="nil"/>
              <w:bottom w:val="single" w:sz="4" w:space="0" w:color="auto"/>
              <w:right w:val="single" w:sz="4" w:space="0" w:color="auto"/>
            </w:tcBorders>
            <w:shd w:val="clear" w:color="000000" w:fill="FFFFFF"/>
            <w:noWrap/>
            <w:vAlign w:val="bottom"/>
            <w:hideMark/>
          </w:tcPr>
          <w:p w14:paraId="36C52CBF"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9</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45527873"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-13</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07E39E2F"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-5</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423832B6"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-24</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00FE4E75"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-58</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371485EB"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-21</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296250AE"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-68</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3BBDED04"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-87</w:t>
            </w:r>
          </w:p>
        </w:tc>
      </w:tr>
      <w:tr w:rsidR="00C3444E" w:rsidRPr="00C3444E" w14:paraId="2E1F7BE3" w14:textId="77777777" w:rsidTr="00C3444E">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60A9507A" w14:textId="77777777" w:rsidR="00C3444E" w:rsidRPr="00C3444E" w:rsidRDefault="00C3444E" w:rsidP="00C3444E">
            <w:pPr>
              <w:spacing w:before="0" w:after="0"/>
              <w:jc w:val="left"/>
              <w:rPr>
                <w:rFonts w:ascii="Calibri" w:hAnsi="Calibri" w:cs="Calibri"/>
                <w:color w:val="000000"/>
                <w:szCs w:val="22"/>
              </w:rPr>
            </w:pPr>
            <w:r w:rsidRPr="00C3444E">
              <w:rPr>
                <w:rFonts w:ascii="Calibri" w:hAnsi="Calibri" w:cs="Calibri"/>
                <w:color w:val="000000"/>
                <w:szCs w:val="22"/>
              </w:rPr>
              <w:t>CENS</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5A814976"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-7</w:t>
            </w:r>
          </w:p>
        </w:tc>
        <w:tc>
          <w:tcPr>
            <w:tcW w:w="880" w:type="dxa"/>
            <w:tcBorders>
              <w:top w:val="nil"/>
              <w:left w:val="nil"/>
              <w:bottom w:val="single" w:sz="4" w:space="0" w:color="auto"/>
              <w:right w:val="single" w:sz="4" w:space="0" w:color="auto"/>
            </w:tcBorders>
            <w:shd w:val="clear" w:color="000000" w:fill="FFFFFF"/>
            <w:noWrap/>
            <w:vAlign w:val="bottom"/>
            <w:hideMark/>
          </w:tcPr>
          <w:p w14:paraId="2CEC26BC"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3</w:t>
            </w:r>
          </w:p>
        </w:tc>
        <w:tc>
          <w:tcPr>
            <w:tcW w:w="880" w:type="dxa"/>
            <w:tcBorders>
              <w:top w:val="nil"/>
              <w:left w:val="nil"/>
              <w:bottom w:val="single" w:sz="4" w:space="0" w:color="auto"/>
              <w:right w:val="single" w:sz="4" w:space="0" w:color="auto"/>
            </w:tcBorders>
            <w:shd w:val="clear" w:color="000000" w:fill="FFFFFF"/>
            <w:noWrap/>
            <w:vAlign w:val="bottom"/>
            <w:hideMark/>
          </w:tcPr>
          <w:p w14:paraId="7A96BF3A"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70</w:t>
            </w:r>
          </w:p>
        </w:tc>
        <w:tc>
          <w:tcPr>
            <w:tcW w:w="880" w:type="dxa"/>
            <w:tcBorders>
              <w:top w:val="nil"/>
              <w:left w:val="nil"/>
              <w:bottom w:val="single" w:sz="4" w:space="0" w:color="auto"/>
              <w:right w:val="single" w:sz="4" w:space="0" w:color="auto"/>
            </w:tcBorders>
            <w:shd w:val="clear" w:color="000000" w:fill="FFFFFF"/>
            <w:noWrap/>
            <w:vAlign w:val="bottom"/>
            <w:hideMark/>
          </w:tcPr>
          <w:p w14:paraId="04331879"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36</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373E8BEF"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-8</w:t>
            </w:r>
          </w:p>
        </w:tc>
        <w:tc>
          <w:tcPr>
            <w:tcW w:w="880" w:type="dxa"/>
            <w:tcBorders>
              <w:top w:val="nil"/>
              <w:left w:val="nil"/>
              <w:bottom w:val="single" w:sz="4" w:space="0" w:color="auto"/>
              <w:right w:val="single" w:sz="4" w:space="0" w:color="auto"/>
            </w:tcBorders>
            <w:shd w:val="clear" w:color="000000" w:fill="FFFFFF"/>
            <w:noWrap/>
            <w:vAlign w:val="bottom"/>
            <w:hideMark/>
          </w:tcPr>
          <w:p w14:paraId="758B2F94"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58</w:t>
            </w:r>
          </w:p>
        </w:tc>
        <w:tc>
          <w:tcPr>
            <w:tcW w:w="880" w:type="dxa"/>
            <w:tcBorders>
              <w:top w:val="nil"/>
              <w:left w:val="nil"/>
              <w:bottom w:val="single" w:sz="4" w:space="0" w:color="auto"/>
              <w:right w:val="single" w:sz="4" w:space="0" w:color="auto"/>
            </w:tcBorders>
            <w:shd w:val="clear" w:color="000000" w:fill="FFFFFF"/>
            <w:noWrap/>
            <w:vAlign w:val="bottom"/>
            <w:hideMark/>
          </w:tcPr>
          <w:p w14:paraId="77AD4636"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20</w:t>
            </w:r>
          </w:p>
        </w:tc>
        <w:tc>
          <w:tcPr>
            <w:tcW w:w="880" w:type="dxa"/>
            <w:tcBorders>
              <w:top w:val="nil"/>
              <w:left w:val="nil"/>
              <w:bottom w:val="single" w:sz="4" w:space="0" w:color="auto"/>
              <w:right w:val="single" w:sz="4" w:space="0" w:color="auto"/>
            </w:tcBorders>
            <w:shd w:val="clear" w:color="000000" w:fill="FFFFFF"/>
            <w:noWrap/>
            <w:vAlign w:val="bottom"/>
            <w:hideMark/>
          </w:tcPr>
          <w:p w14:paraId="4D6B72CA"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16</w:t>
            </w:r>
          </w:p>
        </w:tc>
      </w:tr>
      <w:tr w:rsidR="00C3444E" w:rsidRPr="00C3444E" w14:paraId="0A849EE8" w14:textId="77777777" w:rsidTr="00C3444E">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08E07867" w14:textId="77777777" w:rsidR="00C3444E" w:rsidRPr="00C3444E" w:rsidRDefault="00C3444E" w:rsidP="00C3444E">
            <w:pPr>
              <w:spacing w:before="0" w:after="0"/>
              <w:jc w:val="left"/>
              <w:rPr>
                <w:rFonts w:ascii="Calibri" w:hAnsi="Calibri" w:cs="Calibri"/>
                <w:color w:val="000000"/>
                <w:szCs w:val="22"/>
              </w:rPr>
            </w:pPr>
            <w:r w:rsidRPr="00C3444E">
              <w:rPr>
                <w:rFonts w:ascii="Calibri" w:hAnsi="Calibri" w:cs="Calibri"/>
                <w:color w:val="000000"/>
                <w:szCs w:val="22"/>
              </w:rPr>
              <w:t>ENERCA</w:t>
            </w:r>
          </w:p>
        </w:tc>
        <w:tc>
          <w:tcPr>
            <w:tcW w:w="880" w:type="dxa"/>
            <w:tcBorders>
              <w:top w:val="nil"/>
              <w:left w:val="nil"/>
              <w:bottom w:val="single" w:sz="4" w:space="0" w:color="auto"/>
              <w:right w:val="single" w:sz="4" w:space="0" w:color="auto"/>
            </w:tcBorders>
            <w:shd w:val="clear" w:color="000000" w:fill="FFFFFF"/>
            <w:noWrap/>
            <w:vAlign w:val="bottom"/>
            <w:hideMark/>
          </w:tcPr>
          <w:p w14:paraId="2677BF17"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122</w:t>
            </w:r>
          </w:p>
        </w:tc>
        <w:tc>
          <w:tcPr>
            <w:tcW w:w="880" w:type="dxa"/>
            <w:tcBorders>
              <w:top w:val="nil"/>
              <w:left w:val="nil"/>
              <w:bottom w:val="single" w:sz="4" w:space="0" w:color="auto"/>
              <w:right w:val="single" w:sz="4" w:space="0" w:color="auto"/>
            </w:tcBorders>
            <w:shd w:val="clear" w:color="000000" w:fill="FFFFFF"/>
            <w:noWrap/>
            <w:vAlign w:val="bottom"/>
            <w:hideMark/>
          </w:tcPr>
          <w:p w14:paraId="5AEAAD9F"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123</w:t>
            </w:r>
          </w:p>
        </w:tc>
        <w:tc>
          <w:tcPr>
            <w:tcW w:w="880" w:type="dxa"/>
            <w:tcBorders>
              <w:top w:val="nil"/>
              <w:left w:val="nil"/>
              <w:bottom w:val="single" w:sz="4" w:space="0" w:color="auto"/>
              <w:right w:val="single" w:sz="4" w:space="0" w:color="auto"/>
            </w:tcBorders>
            <w:shd w:val="clear" w:color="000000" w:fill="FFFFFF"/>
            <w:noWrap/>
            <w:vAlign w:val="bottom"/>
            <w:hideMark/>
          </w:tcPr>
          <w:p w14:paraId="7813858C"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159</w:t>
            </w:r>
          </w:p>
        </w:tc>
        <w:tc>
          <w:tcPr>
            <w:tcW w:w="880" w:type="dxa"/>
            <w:tcBorders>
              <w:top w:val="nil"/>
              <w:left w:val="nil"/>
              <w:bottom w:val="single" w:sz="4" w:space="0" w:color="auto"/>
              <w:right w:val="single" w:sz="4" w:space="0" w:color="auto"/>
            </w:tcBorders>
            <w:shd w:val="clear" w:color="000000" w:fill="FFFFFF"/>
            <w:noWrap/>
            <w:vAlign w:val="bottom"/>
            <w:hideMark/>
          </w:tcPr>
          <w:p w14:paraId="1FF7556E"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114</w:t>
            </w:r>
          </w:p>
        </w:tc>
        <w:tc>
          <w:tcPr>
            <w:tcW w:w="880" w:type="dxa"/>
            <w:tcBorders>
              <w:top w:val="nil"/>
              <w:left w:val="nil"/>
              <w:bottom w:val="single" w:sz="4" w:space="0" w:color="auto"/>
              <w:right w:val="single" w:sz="4" w:space="0" w:color="auto"/>
            </w:tcBorders>
            <w:shd w:val="clear" w:color="000000" w:fill="FFFFFF"/>
            <w:noWrap/>
            <w:vAlign w:val="bottom"/>
            <w:hideMark/>
          </w:tcPr>
          <w:p w14:paraId="6E952351"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85</w:t>
            </w:r>
          </w:p>
        </w:tc>
        <w:tc>
          <w:tcPr>
            <w:tcW w:w="880" w:type="dxa"/>
            <w:tcBorders>
              <w:top w:val="nil"/>
              <w:left w:val="nil"/>
              <w:bottom w:val="single" w:sz="4" w:space="0" w:color="auto"/>
              <w:right w:val="single" w:sz="4" w:space="0" w:color="auto"/>
            </w:tcBorders>
            <w:shd w:val="clear" w:color="000000" w:fill="FFFFFF"/>
            <w:noWrap/>
            <w:vAlign w:val="bottom"/>
            <w:hideMark/>
          </w:tcPr>
          <w:p w14:paraId="6A78C9C4"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83</w:t>
            </w:r>
          </w:p>
        </w:tc>
        <w:tc>
          <w:tcPr>
            <w:tcW w:w="880" w:type="dxa"/>
            <w:tcBorders>
              <w:top w:val="nil"/>
              <w:left w:val="nil"/>
              <w:bottom w:val="single" w:sz="4" w:space="0" w:color="auto"/>
              <w:right w:val="single" w:sz="4" w:space="0" w:color="auto"/>
            </w:tcBorders>
            <w:shd w:val="clear" w:color="000000" w:fill="FFFFFF"/>
            <w:noWrap/>
            <w:vAlign w:val="bottom"/>
            <w:hideMark/>
          </w:tcPr>
          <w:p w14:paraId="36E16169"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0</w:t>
            </w:r>
          </w:p>
        </w:tc>
        <w:tc>
          <w:tcPr>
            <w:tcW w:w="880" w:type="dxa"/>
            <w:tcBorders>
              <w:top w:val="nil"/>
              <w:left w:val="nil"/>
              <w:bottom w:val="single" w:sz="4" w:space="0" w:color="auto"/>
              <w:right w:val="single" w:sz="4" w:space="0" w:color="auto"/>
            </w:tcBorders>
            <w:shd w:val="clear" w:color="000000" w:fill="FFFFFF"/>
            <w:noWrap/>
            <w:vAlign w:val="bottom"/>
            <w:hideMark/>
          </w:tcPr>
          <w:p w14:paraId="7F62C09F"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7</w:t>
            </w:r>
          </w:p>
        </w:tc>
      </w:tr>
      <w:tr w:rsidR="00C3444E" w:rsidRPr="00C3444E" w14:paraId="07B15CB4" w14:textId="77777777" w:rsidTr="00C3444E">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1CD0E999" w14:textId="77777777" w:rsidR="00C3444E" w:rsidRPr="00C3444E" w:rsidRDefault="00C3444E" w:rsidP="00C3444E">
            <w:pPr>
              <w:spacing w:before="0" w:after="0"/>
              <w:jc w:val="left"/>
              <w:rPr>
                <w:rFonts w:ascii="Calibri" w:hAnsi="Calibri" w:cs="Calibri"/>
                <w:color w:val="000000"/>
                <w:szCs w:val="22"/>
              </w:rPr>
            </w:pPr>
            <w:r w:rsidRPr="00C3444E">
              <w:rPr>
                <w:rFonts w:ascii="Calibri" w:hAnsi="Calibri" w:cs="Calibri"/>
                <w:color w:val="000000"/>
                <w:szCs w:val="22"/>
              </w:rPr>
              <w:t>CHEC</w:t>
            </w:r>
          </w:p>
        </w:tc>
        <w:tc>
          <w:tcPr>
            <w:tcW w:w="880" w:type="dxa"/>
            <w:tcBorders>
              <w:top w:val="nil"/>
              <w:left w:val="nil"/>
              <w:bottom w:val="single" w:sz="4" w:space="0" w:color="auto"/>
              <w:right w:val="single" w:sz="4" w:space="0" w:color="auto"/>
            </w:tcBorders>
            <w:shd w:val="clear" w:color="000000" w:fill="FFFFFF"/>
            <w:noWrap/>
            <w:vAlign w:val="bottom"/>
            <w:hideMark/>
          </w:tcPr>
          <w:p w14:paraId="159E58B8"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98</w:t>
            </w:r>
          </w:p>
        </w:tc>
        <w:tc>
          <w:tcPr>
            <w:tcW w:w="880" w:type="dxa"/>
            <w:tcBorders>
              <w:top w:val="nil"/>
              <w:left w:val="nil"/>
              <w:bottom w:val="single" w:sz="4" w:space="0" w:color="auto"/>
              <w:right w:val="single" w:sz="4" w:space="0" w:color="auto"/>
            </w:tcBorders>
            <w:shd w:val="clear" w:color="000000" w:fill="FFFFFF"/>
            <w:noWrap/>
            <w:vAlign w:val="bottom"/>
            <w:hideMark/>
          </w:tcPr>
          <w:p w14:paraId="76BE3EEA"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78</w:t>
            </w:r>
          </w:p>
        </w:tc>
        <w:tc>
          <w:tcPr>
            <w:tcW w:w="880" w:type="dxa"/>
            <w:tcBorders>
              <w:top w:val="nil"/>
              <w:left w:val="nil"/>
              <w:bottom w:val="single" w:sz="4" w:space="0" w:color="auto"/>
              <w:right w:val="single" w:sz="4" w:space="0" w:color="auto"/>
            </w:tcBorders>
            <w:shd w:val="clear" w:color="000000" w:fill="FFFFFF"/>
            <w:noWrap/>
            <w:vAlign w:val="bottom"/>
            <w:hideMark/>
          </w:tcPr>
          <w:p w14:paraId="7B80A06C"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113</w:t>
            </w:r>
          </w:p>
        </w:tc>
        <w:tc>
          <w:tcPr>
            <w:tcW w:w="880" w:type="dxa"/>
            <w:tcBorders>
              <w:top w:val="nil"/>
              <w:left w:val="nil"/>
              <w:bottom w:val="single" w:sz="4" w:space="0" w:color="auto"/>
              <w:right w:val="single" w:sz="4" w:space="0" w:color="auto"/>
            </w:tcBorders>
            <w:shd w:val="clear" w:color="000000" w:fill="FFFFFF"/>
            <w:noWrap/>
            <w:vAlign w:val="bottom"/>
            <w:hideMark/>
          </w:tcPr>
          <w:p w14:paraId="10975489"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97</w:t>
            </w:r>
          </w:p>
        </w:tc>
        <w:tc>
          <w:tcPr>
            <w:tcW w:w="880" w:type="dxa"/>
            <w:tcBorders>
              <w:top w:val="nil"/>
              <w:left w:val="nil"/>
              <w:bottom w:val="single" w:sz="4" w:space="0" w:color="auto"/>
              <w:right w:val="single" w:sz="4" w:space="0" w:color="auto"/>
            </w:tcBorders>
            <w:shd w:val="clear" w:color="000000" w:fill="FFFFFF"/>
            <w:noWrap/>
            <w:vAlign w:val="bottom"/>
            <w:hideMark/>
          </w:tcPr>
          <w:p w14:paraId="1892C4A5"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61</w:t>
            </w:r>
          </w:p>
        </w:tc>
        <w:tc>
          <w:tcPr>
            <w:tcW w:w="880" w:type="dxa"/>
            <w:tcBorders>
              <w:top w:val="nil"/>
              <w:left w:val="nil"/>
              <w:bottom w:val="single" w:sz="4" w:space="0" w:color="auto"/>
              <w:right w:val="single" w:sz="4" w:space="0" w:color="auto"/>
            </w:tcBorders>
            <w:shd w:val="clear" w:color="000000" w:fill="FFFFFF"/>
            <w:noWrap/>
            <w:vAlign w:val="bottom"/>
            <w:hideMark/>
          </w:tcPr>
          <w:p w14:paraId="518E9C3F"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87</w:t>
            </w:r>
          </w:p>
        </w:tc>
        <w:tc>
          <w:tcPr>
            <w:tcW w:w="880" w:type="dxa"/>
            <w:tcBorders>
              <w:top w:val="nil"/>
              <w:left w:val="nil"/>
              <w:bottom w:val="single" w:sz="4" w:space="0" w:color="auto"/>
              <w:right w:val="single" w:sz="4" w:space="0" w:color="auto"/>
            </w:tcBorders>
            <w:shd w:val="clear" w:color="000000" w:fill="FFFFFF"/>
            <w:noWrap/>
            <w:vAlign w:val="bottom"/>
            <w:hideMark/>
          </w:tcPr>
          <w:p w14:paraId="670D0077"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75</w:t>
            </w:r>
          </w:p>
        </w:tc>
        <w:tc>
          <w:tcPr>
            <w:tcW w:w="880" w:type="dxa"/>
            <w:tcBorders>
              <w:top w:val="nil"/>
              <w:left w:val="nil"/>
              <w:bottom w:val="single" w:sz="4" w:space="0" w:color="auto"/>
              <w:right w:val="single" w:sz="4" w:space="0" w:color="auto"/>
            </w:tcBorders>
            <w:shd w:val="clear" w:color="000000" w:fill="FFFFFF"/>
            <w:noWrap/>
            <w:vAlign w:val="bottom"/>
            <w:hideMark/>
          </w:tcPr>
          <w:p w14:paraId="78D7BE6D"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85</w:t>
            </w:r>
          </w:p>
        </w:tc>
      </w:tr>
      <w:tr w:rsidR="00C3444E" w:rsidRPr="00C3444E" w14:paraId="6099217E" w14:textId="77777777" w:rsidTr="00C3444E">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3A3E17AB" w14:textId="77777777" w:rsidR="00C3444E" w:rsidRPr="00C3444E" w:rsidRDefault="00C3444E" w:rsidP="00C3444E">
            <w:pPr>
              <w:spacing w:before="0" w:after="0"/>
              <w:jc w:val="left"/>
              <w:rPr>
                <w:rFonts w:ascii="Calibri" w:hAnsi="Calibri" w:cs="Calibri"/>
                <w:color w:val="000000"/>
                <w:szCs w:val="22"/>
              </w:rPr>
            </w:pPr>
            <w:r w:rsidRPr="00C3444E">
              <w:rPr>
                <w:rFonts w:ascii="Calibri" w:hAnsi="Calibri" w:cs="Calibri"/>
                <w:color w:val="000000"/>
                <w:szCs w:val="22"/>
              </w:rPr>
              <w:t>EDEQ</w:t>
            </w:r>
          </w:p>
        </w:tc>
        <w:tc>
          <w:tcPr>
            <w:tcW w:w="880" w:type="dxa"/>
            <w:tcBorders>
              <w:top w:val="nil"/>
              <w:left w:val="nil"/>
              <w:bottom w:val="single" w:sz="4" w:space="0" w:color="auto"/>
              <w:right w:val="single" w:sz="4" w:space="0" w:color="auto"/>
            </w:tcBorders>
            <w:shd w:val="clear" w:color="000000" w:fill="FFFFFF"/>
            <w:noWrap/>
            <w:vAlign w:val="bottom"/>
            <w:hideMark/>
          </w:tcPr>
          <w:p w14:paraId="7B1ED063"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31</w:t>
            </w:r>
          </w:p>
        </w:tc>
        <w:tc>
          <w:tcPr>
            <w:tcW w:w="880" w:type="dxa"/>
            <w:tcBorders>
              <w:top w:val="nil"/>
              <w:left w:val="nil"/>
              <w:bottom w:val="single" w:sz="4" w:space="0" w:color="auto"/>
              <w:right w:val="single" w:sz="4" w:space="0" w:color="auto"/>
            </w:tcBorders>
            <w:shd w:val="clear" w:color="000000" w:fill="FFFFFF"/>
            <w:noWrap/>
            <w:vAlign w:val="bottom"/>
            <w:hideMark/>
          </w:tcPr>
          <w:p w14:paraId="682D5AED"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72</w:t>
            </w:r>
          </w:p>
        </w:tc>
        <w:tc>
          <w:tcPr>
            <w:tcW w:w="880" w:type="dxa"/>
            <w:tcBorders>
              <w:top w:val="nil"/>
              <w:left w:val="nil"/>
              <w:bottom w:val="single" w:sz="4" w:space="0" w:color="auto"/>
              <w:right w:val="single" w:sz="4" w:space="0" w:color="auto"/>
            </w:tcBorders>
            <w:shd w:val="clear" w:color="000000" w:fill="FFFFFF"/>
            <w:noWrap/>
            <w:vAlign w:val="bottom"/>
            <w:hideMark/>
          </w:tcPr>
          <w:p w14:paraId="2F0624C5"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140</w:t>
            </w:r>
          </w:p>
        </w:tc>
        <w:tc>
          <w:tcPr>
            <w:tcW w:w="880" w:type="dxa"/>
            <w:tcBorders>
              <w:top w:val="nil"/>
              <w:left w:val="nil"/>
              <w:bottom w:val="single" w:sz="4" w:space="0" w:color="auto"/>
              <w:right w:val="single" w:sz="4" w:space="0" w:color="auto"/>
            </w:tcBorders>
            <w:shd w:val="clear" w:color="000000" w:fill="FFFFFF"/>
            <w:noWrap/>
            <w:vAlign w:val="bottom"/>
            <w:hideMark/>
          </w:tcPr>
          <w:p w14:paraId="19BD57E9"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111</w:t>
            </w:r>
          </w:p>
        </w:tc>
        <w:tc>
          <w:tcPr>
            <w:tcW w:w="880" w:type="dxa"/>
            <w:tcBorders>
              <w:top w:val="nil"/>
              <w:left w:val="nil"/>
              <w:bottom w:val="single" w:sz="4" w:space="0" w:color="auto"/>
              <w:right w:val="single" w:sz="4" w:space="0" w:color="auto"/>
            </w:tcBorders>
            <w:shd w:val="clear" w:color="000000" w:fill="FFFFFF"/>
            <w:noWrap/>
            <w:vAlign w:val="bottom"/>
            <w:hideMark/>
          </w:tcPr>
          <w:p w14:paraId="0FE23DEB"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18</w:t>
            </w:r>
          </w:p>
        </w:tc>
        <w:tc>
          <w:tcPr>
            <w:tcW w:w="880" w:type="dxa"/>
            <w:tcBorders>
              <w:top w:val="nil"/>
              <w:left w:val="nil"/>
              <w:bottom w:val="single" w:sz="4" w:space="0" w:color="auto"/>
              <w:right w:val="single" w:sz="4" w:space="0" w:color="auto"/>
            </w:tcBorders>
            <w:shd w:val="clear" w:color="000000" w:fill="FFFFFF"/>
            <w:noWrap/>
            <w:vAlign w:val="bottom"/>
            <w:hideMark/>
          </w:tcPr>
          <w:p w14:paraId="756E23A7"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70</w:t>
            </w:r>
          </w:p>
        </w:tc>
        <w:tc>
          <w:tcPr>
            <w:tcW w:w="880" w:type="dxa"/>
            <w:tcBorders>
              <w:top w:val="nil"/>
              <w:left w:val="nil"/>
              <w:bottom w:val="single" w:sz="4" w:space="0" w:color="auto"/>
              <w:right w:val="single" w:sz="4" w:space="0" w:color="auto"/>
            </w:tcBorders>
            <w:shd w:val="clear" w:color="000000" w:fill="FFFFFF"/>
            <w:noWrap/>
            <w:vAlign w:val="bottom"/>
            <w:hideMark/>
          </w:tcPr>
          <w:p w14:paraId="1D5AC238"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33</w:t>
            </w:r>
          </w:p>
        </w:tc>
        <w:tc>
          <w:tcPr>
            <w:tcW w:w="880" w:type="dxa"/>
            <w:tcBorders>
              <w:top w:val="nil"/>
              <w:left w:val="nil"/>
              <w:bottom w:val="single" w:sz="4" w:space="0" w:color="auto"/>
              <w:right w:val="single" w:sz="4" w:space="0" w:color="auto"/>
            </w:tcBorders>
            <w:shd w:val="clear" w:color="000000" w:fill="FFFFFF"/>
            <w:noWrap/>
            <w:vAlign w:val="bottom"/>
            <w:hideMark/>
          </w:tcPr>
          <w:p w14:paraId="3DD99E42"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46</w:t>
            </w:r>
          </w:p>
        </w:tc>
      </w:tr>
      <w:tr w:rsidR="00C3444E" w:rsidRPr="00C3444E" w14:paraId="5A71F137" w14:textId="77777777" w:rsidTr="00C3444E">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6DA6BE9B" w14:textId="77777777" w:rsidR="00C3444E" w:rsidRPr="00C3444E" w:rsidRDefault="00C3444E" w:rsidP="00C3444E">
            <w:pPr>
              <w:spacing w:before="0" w:after="0"/>
              <w:jc w:val="left"/>
              <w:rPr>
                <w:rFonts w:ascii="Calibri" w:hAnsi="Calibri" w:cs="Calibri"/>
                <w:color w:val="000000"/>
                <w:szCs w:val="22"/>
              </w:rPr>
            </w:pPr>
            <w:r w:rsidRPr="00C3444E">
              <w:rPr>
                <w:rFonts w:ascii="Calibri" w:hAnsi="Calibri" w:cs="Calibri"/>
                <w:color w:val="000000"/>
                <w:szCs w:val="22"/>
              </w:rPr>
              <w:t>EPM</w:t>
            </w:r>
          </w:p>
        </w:tc>
        <w:tc>
          <w:tcPr>
            <w:tcW w:w="880" w:type="dxa"/>
            <w:tcBorders>
              <w:top w:val="nil"/>
              <w:left w:val="nil"/>
              <w:bottom w:val="single" w:sz="4" w:space="0" w:color="auto"/>
              <w:right w:val="single" w:sz="4" w:space="0" w:color="auto"/>
            </w:tcBorders>
            <w:shd w:val="clear" w:color="000000" w:fill="FFFFFF"/>
            <w:noWrap/>
            <w:vAlign w:val="bottom"/>
            <w:hideMark/>
          </w:tcPr>
          <w:p w14:paraId="30EB265D"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5</w:t>
            </w:r>
          </w:p>
        </w:tc>
        <w:tc>
          <w:tcPr>
            <w:tcW w:w="880" w:type="dxa"/>
            <w:tcBorders>
              <w:top w:val="nil"/>
              <w:left w:val="nil"/>
              <w:bottom w:val="single" w:sz="4" w:space="0" w:color="auto"/>
              <w:right w:val="single" w:sz="4" w:space="0" w:color="auto"/>
            </w:tcBorders>
            <w:shd w:val="clear" w:color="000000" w:fill="FFFFFF"/>
            <w:noWrap/>
            <w:vAlign w:val="bottom"/>
            <w:hideMark/>
          </w:tcPr>
          <w:p w14:paraId="482B808C"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5</w:t>
            </w:r>
          </w:p>
        </w:tc>
        <w:tc>
          <w:tcPr>
            <w:tcW w:w="880" w:type="dxa"/>
            <w:tcBorders>
              <w:top w:val="nil"/>
              <w:left w:val="nil"/>
              <w:bottom w:val="single" w:sz="4" w:space="0" w:color="auto"/>
              <w:right w:val="single" w:sz="4" w:space="0" w:color="auto"/>
            </w:tcBorders>
            <w:shd w:val="clear" w:color="000000" w:fill="FFFFFF"/>
            <w:noWrap/>
            <w:vAlign w:val="bottom"/>
            <w:hideMark/>
          </w:tcPr>
          <w:p w14:paraId="47EF4EA1"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59</w:t>
            </w:r>
          </w:p>
        </w:tc>
        <w:tc>
          <w:tcPr>
            <w:tcW w:w="880" w:type="dxa"/>
            <w:tcBorders>
              <w:top w:val="nil"/>
              <w:left w:val="nil"/>
              <w:bottom w:val="single" w:sz="4" w:space="0" w:color="auto"/>
              <w:right w:val="single" w:sz="4" w:space="0" w:color="auto"/>
            </w:tcBorders>
            <w:shd w:val="clear" w:color="000000" w:fill="FFFFFF"/>
            <w:noWrap/>
            <w:vAlign w:val="bottom"/>
            <w:hideMark/>
          </w:tcPr>
          <w:p w14:paraId="42A8532D"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23</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4E8BB346"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-19</w:t>
            </w:r>
          </w:p>
        </w:tc>
        <w:tc>
          <w:tcPr>
            <w:tcW w:w="880" w:type="dxa"/>
            <w:tcBorders>
              <w:top w:val="nil"/>
              <w:left w:val="nil"/>
              <w:bottom w:val="single" w:sz="4" w:space="0" w:color="auto"/>
              <w:right w:val="single" w:sz="4" w:space="0" w:color="auto"/>
            </w:tcBorders>
            <w:shd w:val="clear" w:color="000000" w:fill="FFFFFF"/>
            <w:noWrap/>
            <w:vAlign w:val="bottom"/>
            <w:hideMark/>
          </w:tcPr>
          <w:p w14:paraId="60695AAC"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24</w:t>
            </w:r>
          </w:p>
        </w:tc>
        <w:tc>
          <w:tcPr>
            <w:tcW w:w="880" w:type="dxa"/>
            <w:tcBorders>
              <w:top w:val="nil"/>
              <w:left w:val="nil"/>
              <w:bottom w:val="single" w:sz="4" w:space="0" w:color="auto"/>
              <w:right w:val="single" w:sz="4" w:space="0" w:color="auto"/>
            </w:tcBorders>
            <w:shd w:val="clear" w:color="000000" w:fill="FFFFFF"/>
            <w:noWrap/>
            <w:vAlign w:val="bottom"/>
            <w:hideMark/>
          </w:tcPr>
          <w:p w14:paraId="44C854F2"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18</w:t>
            </w:r>
          </w:p>
        </w:tc>
        <w:tc>
          <w:tcPr>
            <w:tcW w:w="880" w:type="dxa"/>
            <w:tcBorders>
              <w:top w:val="nil"/>
              <w:left w:val="nil"/>
              <w:bottom w:val="single" w:sz="4" w:space="0" w:color="auto"/>
              <w:right w:val="single" w:sz="4" w:space="0" w:color="auto"/>
            </w:tcBorders>
            <w:shd w:val="clear" w:color="000000" w:fill="FFFFFF"/>
            <w:noWrap/>
            <w:vAlign w:val="bottom"/>
            <w:hideMark/>
          </w:tcPr>
          <w:p w14:paraId="546FA74C"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10</w:t>
            </w:r>
          </w:p>
        </w:tc>
      </w:tr>
      <w:tr w:rsidR="00C3444E" w:rsidRPr="00C3444E" w14:paraId="38C078B9" w14:textId="77777777" w:rsidTr="00C3444E">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603FA651" w14:textId="77777777" w:rsidR="00C3444E" w:rsidRPr="00C3444E" w:rsidRDefault="00C3444E" w:rsidP="00C3444E">
            <w:pPr>
              <w:spacing w:before="0" w:after="0"/>
              <w:jc w:val="left"/>
              <w:rPr>
                <w:rFonts w:ascii="Calibri" w:hAnsi="Calibri" w:cs="Calibri"/>
                <w:color w:val="000000"/>
                <w:szCs w:val="22"/>
              </w:rPr>
            </w:pPr>
            <w:r w:rsidRPr="00C3444E">
              <w:rPr>
                <w:rFonts w:ascii="Calibri" w:hAnsi="Calibri" w:cs="Calibri"/>
                <w:color w:val="000000"/>
                <w:szCs w:val="22"/>
              </w:rPr>
              <w:t>EBSA</w:t>
            </w:r>
          </w:p>
        </w:tc>
        <w:tc>
          <w:tcPr>
            <w:tcW w:w="880" w:type="dxa"/>
            <w:tcBorders>
              <w:top w:val="nil"/>
              <w:left w:val="nil"/>
              <w:bottom w:val="single" w:sz="4" w:space="0" w:color="auto"/>
              <w:right w:val="single" w:sz="4" w:space="0" w:color="auto"/>
            </w:tcBorders>
            <w:shd w:val="clear" w:color="000000" w:fill="FFFFFF"/>
            <w:noWrap/>
            <w:vAlign w:val="bottom"/>
            <w:hideMark/>
          </w:tcPr>
          <w:p w14:paraId="04DC5B61"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0</w:t>
            </w:r>
          </w:p>
        </w:tc>
        <w:tc>
          <w:tcPr>
            <w:tcW w:w="880" w:type="dxa"/>
            <w:tcBorders>
              <w:top w:val="nil"/>
              <w:left w:val="nil"/>
              <w:bottom w:val="single" w:sz="4" w:space="0" w:color="auto"/>
              <w:right w:val="single" w:sz="4" w:space="0" w:color="auto"/>
            </w:tcBorders>
            <w:shd w:val="clear" w:color="000000" w:fill="FFFFFF"/>
            <w:noWrap/>
            <w:vAlign w:val="bottom"/>
            <w:hideMark/>
          </w:tcPr>
          <w:p w14:paraId="14AA4593"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8</w:t>
            </w:r>
          </w:p>
        </w:tc>
        <w:tc>
          <w:tcPr>
            <w:tcW w:w="880" w:type="dxa"/>
            <w:tcBorders>
              <w:top w:val="nil"/>
              <w:left w:val="nil"/>
              <w:bottom w:val="single" w:sz="4" w:space="0" w:color="auto"/>
              <w:right w:val="single" w:sz="4" w:space="0" w:color="auto"/>
            </w:tcBorders>
            <w:shd w:val="clear" w:color="000000" w:fill="FFFFFF"/>
            <w:noWrap/>
            <w:vAlign w:val="bottom"/>
            <w:hideMark/>
          </w:tcPr>
          <w:p w14:paraId="633BC7C1"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68</w:t>
            </w:r>
          </w:p>
        </w:tc>
        <w:tc>
          <w:tcPr>
            <w:tcW w:w="880" w:type="dxa"/>
            <w:tcBorders>
              <w:top w:val="nil"/>
              <w:left w:val="nil"/>
              <w:bottom w:val="single" w:sz="4" w:space="0" w:color="auto"/>
              <w:right w:val="single" w:sz="4" w:space="0" w:color="auto"/>
            </w:tcBorders>
            <w:shd w:val="clear" w:color="000000" w:fill="FFFFFF"/>
            <w:noWrap/>
            <w:vAlign w:val="bottom"/>
            <w:hideMark/>
          </w:tcPr>
          <w:p w14:paraId="076B2F87"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17</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360AFD8C"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-37</w:t>
            </w:r>
          </w:p>
        </w:tc>
        <w:tc>
          <w:tcPr>
            <w:tcW w:w="880" w:type="dxa"/>
            <w:tcBorders>
              <w:top w:val="nil"/>
              <w:left w:val="nil"/>
              <w:bottom w:val="single" w:sz="4" w:space="0" w:color="auto"/>
              <w:right w:val="single" w:sz="4" w:space="0" w:color="auto"/>
            </w:tcBorders>
            <w:shd w:val="clear" w:color="000000" w:fill="FFFFFF"/>
            <w:noWrap/>
            <w:vAlign w:val="bottom"/>
            <w:hideMark/>
          </w:tcPr>
          <w:p w14:paraId="5EADC3D7"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21</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4B3F0318"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-3</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4B669073"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-20</w:t>
            </w:r>
          </w:p>
        </w:tc>
      </w:tr>
      <w:tr w:rsidR="00C3444E" w:rsidRPr="00C3444E" w14:paraId="17F79B36" w14:textId="77777777" w:rsidTr="00C3444E">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4AE42F18" w14:textId="77777777" w:rsidR="00C3444E" w:rsidRPr="00C3444E" w:rsidRDefault="00C3444E" w:rsidP="00C3444E">
            <w:pPr>
              <w:spacing w:before="0" w:after="0"/>
              <w:jc w:val="left"/>
              <w:rPr>
                <w:rFonts w:ascii="Calibri" w:hAnsi="Calibri" w:cs="Calibri"/>
                <w:color w:val="000000"/>
                <w:szCs w:val="22"/>
              </w:rPr>
            </w:pPr>
            <w:r w:rsidRPr="00C3444E">
              <w:rPr>
                <w:rFonts w:ascii="Calibri" w:hAnsi="Calibri" w:cs="Calibri"/>
                <w:color w:val="000000"/>
                <w:szCs w:val="22"/>
              </w:rPr>
              <w:t>EEP</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2EEF760D"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-22</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33908B65"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-23</w:t>
            </w:r>
          </w:p>
        </w:tc>
        <w:tc>
          <w:tcPr>
            <w:tcW w:w="880" w:type="dxa"/>
            <w:tcBorders>
              <w:top w:val="nil"/>
              <w:left w:val="nil"/>
              <w:bottom w:val="single" w:sz="4" w:space="0" w:color="auto"/>
              <w:right w:val="single" w:sz="4" w:space="0" w:color="auto"/>
            </w:tcBorders>
            <w:shd w:val="clear" w:color="000000" w:fill="FFFFFF"/>
            <w:noWrap/>
            <w:vAlign w:val="bottom"/>
            <w:hideMark/>
          </w:tcPr>
          <w:p w14:paraId="4B405DC9"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43</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7F5AB56B"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-11</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55EEBC10"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-55</w:t>
            </w:r>
          </w:p>
        </w:tc>
        <w:tc>
          <w:tcPr>
            <w:tcW w:w="880" w:type="dxa"/>
            <w:tcBorders>
              <w:top w:val="nil"/>
              <w:left w:val="nil"/>
              <w:bottom w:val="single" w:sz="4" w:space="0" w:color="auto"/>
              <w:right w:val="single" w:sz="4" w:space="0" w:color="auto"/>
            </w:tcBorders>
            <w:shd w:val="clear" w:color="000000" w:fill="FFFFFF"/>
            <w:noWrap/>
            <w:vAlign w:val="bottom"/>
            <w:hideMark/>
          </w:tcPr>
          <w:p w14:paraId="42B184C2"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13</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2F3EE33D"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-24</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1AA0700E"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-28</w:t>
            </w:r>
          </w:p>
        </w:tc>
      </w:tr>
      <w:tr w:rsidR="00C3444E" w:rsidRPr="00C3444E" w14:paraId="22EB457D" w14:textId="77777777" w:rsidTr="00C3444E">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110A1D18" w14:textId="77777777" w:rsidR="00C3444E" w:rsidRPr="00C3444E" w:rsidRDefault="00C3444E" w:rsidP="00C3444E">
            <w:pPr>
              <w:spacing w:before="0" w:after="0"/>
              <w:jc w:val="left"/>
              <w:rPr>
                <w:rFonts w:ascii="Calibri" w:hAnsi="Calibri" w:cs="Calibri"/>
                <w:color w:val="000000"/>
                <w:szCs w:val="22"/>
              </w:rPr>
            </w:pPr>
            <w:r w:rsidRPr="00C3444E">
              <w:rPr>
                <w:rFonts w:ascii="Calibri" w:hAnsi="Calibri" w:cs="Calibri"/>
                <w:color w:val="000000"/>
                <w:szCs w:val="22"/>
              </w:rPr>
              <w:t>HUILA</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4C0AD738"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-1</w:t>
            </w:r>
          </w:p>
        </w:tc>
        <w:tc>
          <w:tcPr>
            <w:tcW w:w="880" w:type="dxa"/>
            <w:tcBorders>
              <w:top w:val="nil"/>
              <w:left w:val="nil"/>
              <w:bottom w:val="single" w:sz="4" w:space="0" w:color="auto"/>
              <w:right w:val="single" w:sz="4" w:space="0" w:color="auto"/>
            </w:tcBorders>
            <w:shd w:val="clear" w:color="000000" w:fill="FFFFFF"/>
            <w:noWrap/>
            <w:vAlign w:val="bottom"/>
            <w:hideMark/>
          </w:tcPr>
          <w:p w14:paraId="56EF4D58"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29</w:t>
            </w:r>
          </w:p>
        </w:tc>
        <w:tc>
          <w:tcPr>
            <w:tcW w:w="880" w:type="dxa"/>
            <w:tcBorders>
              <w:top w:val="nil"/>
              <w:left w:val="nil"/>
              <w:bottom w:val="single" w:sz="4" w:space="0" w:color="auto"/>
              <w:right w:val="single" w:sz="4" w:space="0" w:color="auto"/>
            </w:tcBorders>
            <w:shd w:val="clear" w:color="000000" w:fill="FFFFFF"/>
            <w:noWrap/>
            <w:vAlign w:val="bottom"/>
            <w:hideMark/>
          </w:tcPr>
          <w:p w14:paraId="3577062E"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72</w:t>
            </w:r>
          </w:p>
        </w:tc>
        <w:tc>
          <w:tcPr>
            <w:tcW w:w="880" w:type="dxa"/>
            <w:tcBorders>
              <w:top w:val="nil"/>
              <w:left w:val="nil"/>
              <w:bottom w:val="single" w:sz="4" w:space="0" w:color="auto"/>
              <w:right w:val="single" w:sz="4" w:space="0" w:color="auto"/>
            </w:tcBorders>
            <w:shd w:val="clear" w:color="000000" w:fill="FFFFFF"/>
            <w:noWrap/>
            <w:vAlign w:val="bottom"/>
            <w:hideMark/>
          </w:tcPr>
          <w:p w14:paraId="3234EB0D"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83</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332A317B"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-77</w:t>
            </w:r>
          </w:p>
        </w:tc>
        <w:tc>
          <w:tcPr>
            <w:tcW w:w="880" w:type="dxa"/>
            <w:tcBorders>
              <w:top w:val="nil"/>
              <w:left w:val="nil"/>
              <w:bottom w:val="single" w:sz="4" w:space="0" w:color="auto"/>
              <w:right w:val="single" w:sz="4" w:space="0" w:color="auto"/>
            </w:tcBorders>
            <w:shd w:val="clear" w:color="000000" w:fill="FFFFFF"/>
            <w:noWrap/>
            <w:vAlign w:val="bottom"/>
            <w:hideMark/>
          </w:tcPr>
          <w:p w14:paraId="74B91AC4"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35</w:t>
            </w:r>
          </w:p>
        </w:tc>
        <w:tc>
          <w:tcPr>
            <w:tcW w:w="880" w:type="dxa"/>
            <w:tcBorders>
              <w:top w:val="nil"/>
              <w:left w:val="nil"/>
              <w:bottom w:val="single" w:sz="4" w:space="0" w:color="auto"/>
              <w:right w:val="single" w:sz="4" w:space="0" w:color="auto"/>
            </w:tcBorders>
            <w:shd w:val="clear" w:color="000000" w:fill="FFFFFF"/>
            <w:noWrap/>
            <w:vAlign w:val="bottom"/>
            <w:hideMark/>
          </w:tcPr>
          <w:p w14:paraId="7C44BE4C"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34</w:t>
            </w:r>
          </w:p>
        </w:tc>
        <w:tc>
          <w:tcPr>
            <w:tcW w:w="880" w:type="dxa"/>
            <w:tcBorders>
              <w:top w:val="nil"/>
              <w:left w:val="nil"/>
              <w:bottom w:val="single" w:sz="4" w:space="0" w:color="auto"/>
              <w:right w:val="single" w:sz="4" w:space="0" w:color="auto"/>
            </w:tcBorders>
            <w:shd w:val="clear" w:color="000000" w:fill="FFFFFF"/>
            <w:noWrap/>
            <w:vAlign w:val="bottom"/>
            <w:hideMark/>
          </w:tcPr>
          <w:p w14:paraId="7445556E"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14</w:t>
            </w:r>
          </w:p>
        </w:tc>
      </w:tr>
      <w:tr w:rsidR="00C3444E" w:rsidRPr="00C3444E" w14:paraId="22EA73D4" w14:textId="77777777" w:rsidTr="00C3444E">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36D58EDF" w14:textId="77777777" w:rsidR="00C3444E" w:rsidRPr="00C3444E" w:rsidRDefault="00C3444E" w:rsidP="00C3444E">
            <w:pPr>
              <w:spacing w:before="0" w:after="0"/>
              <w:jc w:val="left"/>
              <w:rPr>
                <w:rFonts w:ascii="Calibri" w:hAnsi="Calibri" w:cs="Calibri"/>
                <w:color w:val="000000"/>
                <w:szCs w:val="22"/>
              </w:rPr>
            </w:pPr>
            <w:r w:rsidRPr="00C3444E">
              <w:rPr>
                <w:rFonts w:ascii="Calibri" w:hAnsi="Calibri" w:cs="Calibri"/>
                <w:color w:val="000000"/>
                <w:szCs w:val="22"/>
              </w:rPr>
              <w:t>EMSA</w:t>
            </w:r>
          </w:p>
        </w:tc>
        <w:tc>
          <w:tcPr>
            <w:tcW w:w="880" w:type="dxa"/>
            <w:tcBorders>
              <w:top w:val="nil"/>
              <w:left w:val="nil"/>
              <w:bottom w:val="single" w:sz="4" w:space="0" w:color="auto"/>
              <w:right w:val="single" w:sz="4" w:space="0" w:color="auto"/>
            </w:tcBorders>
            <w:shd w:val="clear" w:color="000000" w:fill="FFFFFF"/>
            <w:noWrap/>
            <w:vAlign w:val="bottom"/>
            <w:hideMark/>
          </w:tcPr>
          <w:p w14:paraId="39D6DF46"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103</w:t>
            </w:r>
          </w:p>
        </w:tc>
        <w:tc>
          <w:tcPr>
            <w:tcW w:w="880" w:type="dxa"/>
            <w:tcBorders>
              <w:top w:val="nil"/>
              <w:left w:val="nil"/>
              <w:bottom w:val="single" w:sz="4" w:space="0" w:color="auto"/>
              <w:right w:val="single" w:sz="4" w:space="0" w:color="auto"/>
            </w:tcBorders>
            <w:shd w:val="clear" w:color="000000" w:fill="FFFFFF"/>
            <w:noWrap/>
            <w:vAlign w:val="bottom"/>
            <w:hideMark/>
          </w:tcPr>
          <w:p w14:paraId="0340473E"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94</w:t>
            </w:r>
          </w:p>
        </w:tc>
        <w:tc>
          <w:tcPr>
            <w:tcW w:w="880" w:type="dxa"/>
            <w:tcBorders>
              <w:top w:val="nil"/>
              <w:left w:val="nil"/>
              <w:bottom w:val="single" w:sz="4" w:space="0" w:color="auto"/>
              <w:right w:val="single" w:sz="4" w:space="0" w:color="auto"/>
            </w:tcBorders>
            <w:shd w:val="clear" w:color="000000" w:fill="FFFFFF"/>
            <w:noWrap/>
            <w:vAlign w:val="bottom"/>
            <w:hideMark/>
          </w:tcPr>
          <w:p w14:paraId="53F9BB96"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115</w:t>
            </w:r>
          </w:p>
        </w:tc>
        <w:tc>
          <w:tcPr>
            <w:tcW w:w="880" w:type="dxa"/>
            <w:tcBorders>
              <w:top w:val="nil"/>
              <w:left w:val="nil"/>
              <w:bottom w:val="single" w:sz="4" w:space="0" w:color="auto"/>
              <w:right w:val="single" w:sz="4" w:space="0" w:color="auto"/>
            </w:tcBorders>
            <w:shd w:val="clear" w:color="000000" w:fill="FFFFFF"/>
            <w:noWrap/>
            <w:vAlign w:val="bottom"/>
            <w:hideMark/>
          </w:tcPr>
          <w:p w14:paraId="2E9E4DD3"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57</w:t>
            </w:r>
          </w:p>
        </w:tc>
        <w:tc>
          <w:tcPr>
            <w:tcW w:w="880" w:type="dxa"/>
            <w:tcBorders>
              <w:top w:val="nil"/>
              <w:left w:val="nil"/>
              <w:bottom w:val="single" w:sz="4" w:space="0" w:color="auto"/>
              <w:right w:val="single" w:sz="4" w:space="0" w:color="auto"/>
            </w:tcBorders>
            <w:shd w:val="clear" w:color="000000" w:fill="FFFFFF"/>
            <w:noWrap/>
            <w:vAlign w:val="bottom"/>
            <w:hideMark/>
          </w:tcPr>
          <w:p w14:paraId="0A1C6A74"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34</w:t>
            </w:r>
          </w:p>
        </w:tc>
        <w:tc>
          <w:tcPr>
            <w:tcW w:w="880" w:type="dxa"/>
            <w:tcBorders>
              <w:top w:val="nil"/>
              <w:left w:val="nil"/>
              <w:bottom w:val="single" w:sz="4" w:space="0" w:color="auto"/>
              <w:right w:val="single" w:sz="4" w:space="0" w:color="auto"/>
            </w:tcBorders>
            <w:shd w:val="clear" w:color="000000" w:fill="FFFFFF"/>
            <w:noWrap/>
            <w:vAlign w:val="bottom"/>
            <w:hideMark/>
          </w:tcPr>
          <w:p w14:paraId="7F2C8C99"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44</w:t>
            </w:r>
          </w:p>
        </w:tc>
        <w:tc>
          <w:tcPr>
            <w:tcW w:w="880" w:type="dxa"/>
            <w:tcBorders>
              <w:top w:val="nil"/>
              <w:left w:val="nil"/>
              <w:bottom w:val="single" w:sz="4" w:space="0" w:color="auto"/>
              <w:right w:val="single" w:sz="4" w:space="0" w:color="auto"/>
            </w:tcBorders>
            <w:shd w:val="clear" w:color="000000" w:fill="FFFFFF"/>
            <w:noWrap/>
            <w:vAlign w:val="bottom"/>
            <w:hideMark/>
          </w:tcPr>
          <w:p w14:paraId="6B1ACD14"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11</w:t>
            </w:r>
          </w:p>
        </w:tc>
        <w:tc>
          <w:tcPr>
            <w:tcW w:w="880" w:type="dxa"/>
            <w:tcBorders>
              <w:top w:val="nil"/>
              <w:left w:val="nil"/>
              <w:bottom w:val="single" w:sz="4" w:space="0" w:color="auto"/>
              <w:right w:val="single" w:sz="4" w:space="0" w:color="auto"/>
            </w:tcBorders>
            <w:shd w:val="clear" w:color="000000" w:fill="FFFFFF"/>
            <w:noWrap/>
            <w:vAlign w:val="bottom"/>
            <w:hideMark/>
          </w:tcPr>
          <w:p w14:paraId="7E3A7013"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12</w:t>
            </w:r>
          </w:p>
        </w:tc>
      </w:tr>
      <w:tr w:rsidR="00C3444E" w:rsidRPr="00C3444E" w14:paraId="2AE736B8" w14:textId="77777777" w:rsidTr="00C3444E">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176A4749" w14:textId="77777777" w:rsidR="00C3444E" w:rsidRPr="00C3444E" w:rsidRDefault="00C3444E" w:rsidP="00C3444E">
            <w:pPr>
              <w:spacing w:before="0" w:after="0"/>
              <w:jc w:val="left"/>
              <w:rPr>
                <w:rFonts w:ascii="Calibri" w:hAnsi="Calibri" w:cs="Calibri"/>
                <w:color w:val="000000"/>
                <w:szCs w:val="22"/>
              </w:rPr>
            </w:pPr>
            <w:r w:rsidRPr="00C3444E">
              <w:rPr>
                <w:rFonts w:ascii="Calibri" w:hAnsi="Calibri" w:cs="Calibri"/>
                <w:color w:val="000000"/>
                <w:szCs w:val="22"/>
              </w:rPr>
              <w:t>PUTUMAYO</w:t>
            </w:r>
          </w:p>
        </w:tc>
        <w:tc>
          <w:tcPr>
            <w:tcW w:w="880" w:type="dxa"/>
            <w:tcBorders>
              <w:top w:val="nil"/>
              <w:left w:val="nil"/>
              <w:bottom w:val="single" w:sz="4" w:space="0" w:color="auto"/>
              <w:right w:val="single" w:sz="4" w:space="0" w:color="auto"/>
            </w:tcBorders>
            <w:shd w:val="clear" w:color="000000" w:fill="FFFFFF"/>
            <w:noWrap/>
            <w:vAlign w:val="bottom"/>
            <w:hideMark/>
          </w:tcPr>
          <w:p w14:paraId="633D88FE"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7</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4ABD716F"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-7</w:t>
            </w:r>
          </w:p>
        </w:tc>
        <w:tc>
          <w:tcPr>
            <w:tcW w:w="880" w:type="dxa"/>
            <w:tcBorders>
              <w:top w:val="nil"/>
              <w:left w:val="nil"/>
              <w:bottom w:val="single" w:sz="4" w:space="0" w:color="auto"/>
              <w:right w:val="single" w:sz="4" w:space="0" w:color="auto"/>
            </w:tcBorders>
            <w:shd w:val="clear" w:color="000000" w:fill="FFFFFF"/>
            <w:noWrap/>
            <w:vAlign w:val="bottom"/>
            <w:hideMark/>
          </w:tcPr>
          <w:p w14:paraId="60B57E26"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12</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2DB554F1"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-6</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208872ED"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-41</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2DADAB9D"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-7</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7A9D84BE"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-27</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07FA5DA5"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-1</w:t>
            </w:r>
          </w:p>
        </w:tc>
      </w:tr>
      <w:tr w:rsidR="00C3444E" w:rsidRPr="00C3444E" w14:paraId="5F9E6B0E" w14:textId="77777777" w:rsidTr="00C3444E">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032AF808" w14:textId="77777777" w:rsidR="00C3444E" w:rsidRPr="00C3444E" w:rsidRDefault="00C3444E" w:rsidP="00C3444E">
            <w:pPr>
              <w:spacing w:before="0" w:after="0"/>
              <w:jc w:val="left"/>
              <w:rPr>
                <w:rFonts w:ascii="Calibri" w:hAnsi="Calibri" w:cs="Calibri"/>
                <w:color w:val="000000"/>
                <w:szCs w:val="22"/>
              </w:rPr>
            </w:pPr>
            <w:r w:rsidRPr="00C3444E">
              <w:rPr>
                <w:rFonts w:ascii="Calibri" w:hAnsi="Calibri" w:cs="Calibri"/>
                <w:color w:val="000000"/>
                <w:szCs w:val="22"/>
              </w:rPr>
              <w:t>ENELAR</w:t>
            </w:r>
          </w:p>
        </w:tc>
        <w:tc>
          <w:tcPr>
            <w:tcW w:w="880" w:type="dxa"/>
            <w:tcBorders>
              <w:top w:val="nil"/>
              <w:left w:val="nil"/>
              <w:bottom w:val="single" w:sz="4" w:space="0" w:color="auto"/>
              <w:right w:val="single" w:sz="4" w:space="0" w:color="auto"/>
            </w:tcBorders>
            <w:shd w:val="clear" w:color="000000" w:fill="FFFFFF"/>
            <w:noWrap/>
            <w:vAlign w:val="bottom"/>
            <w:hideMark/>
          </w:tcPr>
          <w:p w14:paraId="2279ED73"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42</w:t>
            </w:r>
          </w:p>
        </w:tc>
        <w:tc>
          <w:tcPr>
            <w:tcW w:w="880" w:type="dxa"/>
            <w:tcBorders>
              <w:top w:val="nil"/>
              <w:left w:val="nil"/>
              <w:bottom w:val="single" w:sz="4" w:space="0" w:color="auto"/>
              <w:right w:val="single" w:sz="4" w:space="0" w:color="auto"/>
            </w:tcBorders>
            <w:shd w:val="clear" w:color="000000" w:fill="FFFFFF"/>
            <w:noWrap/>
            <w:vAlign w:val="bottom"/>
            <w:hideMark/>
          </w:tcPr>
          <w:p w14:paraId="3A972481"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61</w:t>
            </w:r>
          </w:p>
        </w:tc>
        <w:tc>
          <w:tcPr>
            <w:tcW w:w="880" w:type="dxa"/>
            <w:tcBorders>
              <w:top w:val="nil"/>
              <w:left w:val="nil"/>
              <w:bottom w:val="single" w:sz="4" w:space="0" w:color="auto"/>
              <w:right w:val="single" w:sz="4" w:space="0" w:color="auto"/>
            </w:tcBorders>
            <w:shd w:val="clear" w:color="000000" w:fill="FFFFFF"/>
            <w:noWrap/>
            <w:vAlign w:val="bottom"/>
            <w:hideMark/>
          </w:tcPr>
          <w:p w14:paraId="53603D88"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166</w:t>
            </w:r>
          </w:p>
        </w:tc>
        <w:tc>
          <w:tcPr>
            <w:tcW w:w="880" w:type="dxa"/>
            <w:tcBorders>
              <w:top w:val="nil"/>
              <w:left w:val="nil"/>
              <w:bottom w:val="single" w:sz="4" w:space="0" w:color="auto"/>
              <w:right w:val="single" w:sz="4" w:space="0" w:color="auto"/>
            </w:tcBorders>
            <w:shd w:val="clear" w:color="000000" w:fill="FFFFFF"/>
            <w:noWrap/>
            <w:vAlign w:val="bottom"/>
            <w:hideMark/>
          </w:tcPr>
          <w:p w14:paraId="2E256DFD"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76</w:t>
            </w:r>
          </w:p>
        </w:tc>
        <w:tc>
          <w:tcPr>
            <w:tcW w:w="880" w:type="dxa"/>
            <w:tcBorders>
              <w:top w:val="nil"/>
              <w:left w:val="nil"/>
              <w:bottom w:val="single" w:sz="4" w:space="0" w:color="auto"/>
              <w:right w:val="single" w:sz="4" w:space="0" w:color="auto"/>
            </w:tcBorders>
            <w:shd w:val="clear" w:color="000000" w:fill="FFFFFF"/>
            <w:noWrap/>
            <w:vAlign w:val="bottom"/>
            <w:hideMark/>
          </w:tcPr>
          <w:p w14:paraId="6CF945BE"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24</w:t>
            </w:r>
          </w:p>
        </w:tc>
        <w:tc>
          <w:tcPr>
            <w:tcW w:w="880" w:type="dxa"/>
            <w:tcBorders>
              <w:top w:val="nil"/>
              <w:left w:val="nil"/>
              <w:bottom w:val="single" w:sz="4" w:space="0" w:color="auto"/>
              <w:right w:val="single" w:sz="4" w:space="0" w:color="auto"/>
            </w:tcBorders>
            <w:shd w:val="clear" w:color="000000" w:fill="FFFFFF"/>
            <w:noWrap/>
            <w:vAlign w:val="bottom"/>
            <w:hideMark/>
          </w:tcPr>
          <w:p w14:paraId="31F58B20"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122</w:t>
            </w:r>
          </w:p>
        </w:tc>
        <w:tc>
          <w:tcPr>
            <w:tcW w:w="880" w:type="dxa"/>
            <w:tcBorders>
              <w:top w:val="nil"/>
              <w:left w:val="nil"/>
              <w:bottom w:val="single" w:sz="4" w:space="0" w:color="auto"/>
              <w:right w:val="single" w:sz="4" w:space="0" w:color="auto"/>
            </w:tcBorders>
            <w:shd w:val="clear" w:color="000000" w:fill="FFFFFF"/>
            <w:noWrap/>
            <w:vAlign w:val="bottom"/>
            <w:hideMark/>
          </w:tcPr>
          <w:p w14:paraId="33E72344"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71</w:t>
            </w:r>
          </w:p>
        </w:tc>
        <w:tc>
          <w:tcPr>
            <w:tcW w:w="880" w:type="dxa"/>
            <w:tcBorders>
              <w:top w:val="nil"/>
              <w:left w:val="nil"/>
              <w:bottom w:val="single" w:sz="4" w:space="0" w:color="auto"/>
              <w:right w:val="single" w:sz="4" w:space="0" w:color="auto"/>
            </w:tcBorders>
            <w:shd w:val="clear" w:color="000000" w:fill="FFFFFF"/>
            <w:noWrap/>
            <w:vAlign w:val="bottom"/>
            <w:hideMark/>
          </w:tcPr>
          <w:p w14:paraId="4540BCF9"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72</w:t>
            </w:r>
          </w:p>
        </w:tc>
      </w:tr>
      <w:tr w:rsidR="00C3444E" w:rsidRPr="00C3444E" w14:paraId="17F8ACF6" w14:textId="77777777" w:rsidTr="00C3444E">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5B7DE6AE" w14:textId="77777777" w:rsidR="00C3444E" w:rsidRPr="00C3444E" w:rsidRDefault="00C3444E" w:rsidP="00C3444E">
            <w:pPr>
              <w:spacing w:before="0" w:after="0"/>
              <w:jc w:val="left"/>
              <w:rPr>
                <w:rFonts w:ascii="Calibri" w:hAnsi="Calibri" w:cs="Calibri"/>
                <w:color w:val="000000"/>
                <w:szCs w:val="22"/>
              </w:rPr>
            </w:pPr>
            <w:r w:rsidRPr="00C3444E">
              <w:rPr>
                <w:rFonts w:ascii="Calibri" w:hAnsi="Calibri" w:cs="Calibri"/>
                <w:color w:val="000000"/>
                <w:szCs w:val="22"/>
              </w:rPr>
              <w:t>ESSA</w:t>
            </w:r>
          </w:p>
        </w:tc>
        <w:tc>
          <w:tcPr>
            <w:tcW w:w="880" w:type="dxa"/>
            <w:tcBorders>
              <w:top w:val="nil"/>
              <w:left w:val="nil"/>
              <w:bottom w:val="single" w:sz="4" w:space="0" w:color="auto"/>
              <w:right w:val="single" w:sz="4" w:space="0" w:color="auto"/>
            </w:tcBorders>
            <w:shd w:val="clear" w:color="000000" w:fill="FFFFFF"/>
            <w:noWrap/>
            <w:vAlign w:val="bottom"/>
            <w:hideMark/>
          </w:tcPr>
          <w:p w14:paraId="08077EF3"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11</w:t>
            </w:r>
          </w:p>
        </w:tc>
        <w:tc>
          <w:tcPr>
            <w:tcW w:w="880" w:type="dxa"/>
            <w:tcBorders>
              <w:top w:val="nil"/>
              <w:left w:val="nil"/>
              <w:bottom w:val="single" w:sz="4" w:space="0" w:color="auto"/>
              <w:right w:val="single" w:sz="4" w:space="0" w:color="auto"/>
            </w:tcBorders>
            <w:shd w:val="clear" w:color="000000" w:fill="FFFFFF"/>
            <w:noWrap/>
            <w:vAlign w:val="bottom"/>
            <w:hideMark/>
          </w:tcPr>
          <w:p w14:paraId="229DECAC"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26</w:t>
            </w:r>
          </w:p>
        </w:tc>
        <w:tc>
          <w:tcPr>
            <w:tcW w:w="880" w:type="dxa"/>
            <w:tcBorders>
              <w:top w:val="nil"/>
              <w:left w:val="nil"/>
              <w:bottom w:val="single" w:sz="4" w:space="0" w:color="auto"/>
              <w:right w:val="single" w:sz="4" w:space="0" w:color="auto"/>
            </w:tcBorders>
            <w:shd w:val="clear" w:color="000000" w:fill="FFFFFF"/>
            <w:noWrap/>
            <w:vAlign w:val="bottom"/>
            <w:hideMark/>
          </w:tcPr>
          <w:p w14:paraId="1F8D4566"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99</w:t>
            </w:r>
          </w:p>
        </w:tc>
        <w:tc>
          <w:tcPr>
            <w:tcW w:w="880" w:type="dxa"/>
            <w:tcBorders>
              <w:top w:val="nil"/>
              <w:left w:val="nil"/>
              <w:bottom w:val="single" w:sz="4" w:space="0" w:color="auto"/>
              <w:right w:val="single" w:sz="4" w:space="0" w:color="auto"/>
            </w:tcBorders>
            <w:shd w:val="clear" w:color="000000" w:fill="FFFFFF"/>
            <w:noWrap/>
            <w:vAlign w:val="bottom"/>
            <w:hideMark/>
          </w:tcPr>
          <w:p w14:paraId="09AC1567"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39</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29BDBE80"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-15</w:t>
            </w:r>
          </w:p>
        </w:tc>
        <w:tc>
          <w:tcPr>
            <w:tcW w:w="880" w:type="dxa"/>
            <w:tcBorders>
              <w:top w:val="nil"/>
              <w:left w:val="nil"/>
              <w:bottom w:val="single" w:sz="4" w:space="0" w:color="auto"/>
              <w:right w:val="single" w:sz="4" w:space="0" w:color="auto"/>
            </w:tcBorders>
            <w:shd w:val="clear" w:color="000000" w:fill="FFFFFF"/>
            <w:noWrap/>
            <w:vAlign w:val="bottom"/>
            <w:hideMark/>
          </w:tcPr>
          <w:p w14:paraId="6F42032C"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67</w:t>
            </w:r>
          </w:p>
        </w:tc>
        <w:tc>
          <w:tcPr>
            <w:tcW w:w="880" w:type="dxa"/>
            <w:tcBorders>
              <w:top w:val="nil"/>
              <w:left w:val="nil"/>
              <w:bottom w:val="single" w:sz="4" w:space="0" w:color="auto"/>
              <w:right w:val="single" w:sz="4" w:space="0" w:color="auto"/>
            </w:tcBorders>
            <w:shd w:val="clear" w:color="000000" w:fill="FFFFFF"/>
            <w:noWrap/>
            <w:vAlign w:val="bottom"/>
            <w:hideMark/>
          </w:tcPr>
          <w:p w14:paraId="5280A48C"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43</w:t>
            </w:r>
          </w:p>
        </w:tc>
        <w:tc>
          <w:tcPr>
            <w:tcW w:w="880" w:type="dxa"/>
            <w:tcBorders>
              <w:top w:val="nil"/>
              <w:left w:val="nil"/>
              <w:bottom w:val="single" w:sz="4" w:space="0" w:color="auto"/>
              <w:right w:val="single" w:sz="4" w:space="0" w:color="auto"/>
            </w:tcBorders>
            <w:shd w:val="clear" w:color="000000" w:fill="FFFFFF"/>
            <w:noWrap/>
            <w:vAlign w:val="bottom"/>
            <w:hideMark/>
          </w:tcPr>
          <w:p w14:paraId="2C35688D"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60</w:t>
            </w:r>
          </w:p>
        </w:tc>
      </w:tr>
      <w:tr w:rsidR="00C3444E" w:rsidRPr="00C3444E" w14:paraId="6EC08BFE" w14:textId="77777777" w:rsidTr="00C3444E">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3A1014A3" w14:textId="77777777" w:rsidR="00C3444E" w:rsidRPr="00C3444E" w:rsidRDefault="00C3444E" w:rsidP="00C3444E">
            <w:pPr>
              <w:spacing w:before="0" w:after="0"/>
              <w:jc w:val="left"/>
              <w:rPr>
                <w:rFonts w:ascii="Calibri" w:hAnsi="Calibri" w:cs="Calibri"/>
                <w:color w:val="000000"/>
                <w:szCs w:val="22"/>
              </w:rPr>
            </w:pPr>
            <w:r w:rsidRPr="00C3444E">
              <w:rPr>
                <w:rFonts w:ascii="Calibri" w:hAnsi="Calibri" w:cs="Calibri"/>
                <w:color w:val="000000"/>
                <w:szCs w:val="22"/>
              </w:rPr>
              <w:t>DISPAC</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15F47EB2"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-19</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5FAD1F18"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-6</w:t>
            </w:r>
          </w:p>
        </w:tc>
        <w:tc>
          <w:tcPr>
            <w:tcW w:w="880" w:type="dxa"/>
            <w:tcBorders>
              <w:top w:val="nil"/>
              <w:left w:val="nil"/>
              <w:bottom w:val="single" w:sz="4" w:space="0" w:color="auto"/>
              <w:right w:val="single" w:sz="4" w:space="0" w:color="auto"/>
            </w:tcBorders>
            <w:shd w:val="clear" w:color="000000" w:fill="FFFFFF"/>
            <w:noWrap/>
            <w:vAlign w:val="bottom"/>
            <w:hideMark/>
          </w:tcPr>
          <w:p w14:paraId="0F8ED0E9"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58</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74F1316A"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-29</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6401A73E"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-68</w:t>
            </w:r>
          </w:p>
        </w:tc>
        <w:tc>
          <w:tcPr>
            <w:tcW w:w="880" w:type="dxa"/>
            <w:tcBorders>
              <w:top w:val="nil"/>
              <w:left w:val="nil"/>
              <w:bottom w:val="single" w:sz="4" w:space="0" w:color="auto"/>
              <w:right w:val="single" w:sz="4" w:space="0" w:color="auto"/>
            </w:tcBorders>
            <w:shd w:val="clear" w:color="000000" w:fill="FFFFFF"/>
            <w:noWrap/>
            <w:vAlign w:val="bottom"/>
            <w:hideMark/>
          </w:tcPr>
          <w:p w14:paraId="2E79D98E"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10</w:t>
            </w:r>
          </w:p>
        </w:tc>
        <w:tc>
          <w:tcPr>
            <w:tcW w:w="880" w:type="dxa"/>
            <w:tcBorders>
              <w:top w:val="nil"/>
              <w:left w:val="nil"/>
              <w:bottom w:val="single" w:sz="4" w:space="0" w:color="auto"/>
              <w:right w:val="single" w:sz="4" w:space="0" w:color="auto"/>
            </w:tcBorders>
            <w:shd w:val="clear" w:color="000000" w:fill="FFFFFF"/>
            <w:noWrap/>
            <w:vAlign w:val="bottom"/>
            <w:hideMark/>
          </w:tcPr>
          <w:p w14:paraId="139BE2DF"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0</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5E5B4706"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-21</w:t>
            </w:r>
          </w:p>
        </w:tc>
      </w:tr>
      <w:tr w:rsidR="00C3444E" w:rsidRPr="00C3444E" w14:paraId="7AD890BA" w14:textId="77777777" w:rsidTr="00C3444E">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6BC76ECE" w14:textId="77777777" w:rsidR="00C3444E" w:rsidRPr="00C3444E" w:rsidRDefault="00C3444E" w:rsidP="00C3444E">
            <w:pPr>
              <w:spacing w:before="0" w:after="0"/>
              <w:jc w:val="left"/>
              <w:rPr>
                <w:rFonts w:ascii="Calibri" w:hAnsi="Calibri" w:cs="Calibri"/>
                <w:color w:val="000000"/>
                <w:szCs w:val="22"/>
              </w:rPr>
            </w:pPr>
            <w:r w:rsidRPr="00C3444E">
              <w:rPr>
                <w:rFonts w:ascii="Calibri" w:hAnsi="Calibri" w:cs="Calibri"/>
                <w:color w:val="000000"/>
                <w:szCs w:val="22"/>
              </w:rPr>
              <w:t>CODENSA</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5CF2C574"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-23</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688DCD47"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-14</w:t>
            </w:r>
          </w:p>
        </w:tc>
        <w:tc>
          <w:tcPr>
            <w:tcW w:w="880" w:type="dxa"/>
            <w:tcBorders>
              <w:top w:val="nil"/>
              <w:left w:val="nil"/>
              <w:bottom w:val="single" w:sz="4" w:space="0" w:color="auto"/>
              <w:right w:val="single" w:sz="4" w:space="0" w:color="auto"/>
            </w:tcBorders>
            <w:shd w:val="clear" w:color="000000" w:fill="FFFFFF"/>
            <w:noWrap/>
            <w:vAlign w:val="bottom"/>
            <w:hideMark/>
          </w:tcPr>
          <w:p w14:paraId="23090A57"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62</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2CDE7483"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-8</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6D289550"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-62</w:t>
            </w:r>
          </w:p>
        </w:tc>
        <w:tc>
          <w:tcPr>
            <w:tcW w:w="880" w:type="dxa"/>
            <w:tcBorders>
              <w:top w:val="nil"/>
              <w:left w:val="nil"/>
              <w:bottom w:val="single" w:sz="4" w:space="0" w:color="auto"/>
              <w:right w:val="single" w:sz="4" w:space="0" w:color="auto"/>
            </w:tcBorders>
            <w:shd w:val="clear" w:color="000000" w:fill="FFFFFF"/>
            <w:noWrap/>
            <w:vAlign w:val="bottom"/>
            <w:hideMark/>
          </w:tcPr>
          <w:p w14:paraId="48F50217"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33</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7A5E1913"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-8</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06F4DD40"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-5</w:t>
            </w:r>
          </w:p>
        </w:tc>
      </w:tr>
      <w:tr w:rsidR="00C3444E" w:rsidRPr="00C3444E" w14:paraId="02680DB9" w14:textId="77777777" w:rsidTr="00C3444E">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61351D6A" w14:textId="77777777" w:rsidR="00C3444E" w:rsidRPr="00C3444E" w:rsidRDefault="00C3444E" w:rsidP="00C3444E">
            <w:pPr>
              <w:spacing w:before="0" w:after="0"/>
              <w:jc w:val="left"/>
              <w:rPr>
                <w:rFonts w:ascii="Calibri" w:hAnsi="Calibri" w:cs="Calibri"/>
                <w:color w:val="000000"/>
                <w:szCs w:val="22"/>
              </w:rPr>
            </w:pPr>
            <w:r w:rsidRPr="00C3444E">
              <w:rPr>
                <w:rFonts w:ascii="Calibri" w:hAnsi="Calibri" w:cs="Calibri"/>
                <w:color w:val="000000"/>
                <w:szCs w:val="22"/>
              </w:rPr>
              <w:t>RUITOQUE</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4DB65070"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-36</w:t>
            </w:r>
          </w:p>
        </w:tc>
        <w:tc>
          <w:tcPr>
            <w:tcW w:w="880" w:type="dxa"/>
            <w:tcBorders>
              <w:top w:val="nil"/>
              <w:left w:val="nil"/>
              <w:bottom w:val="single" w:sz="4" w:space="0" w:color="auto"/>
              <w:right w:val="single" w:sz="4" w:space="0" w:color="auto"/>
            </w:tcBorders>
            <w:shd w:val="clear" w:color="000000" w:fill="FFFFFF"/>
            <w:noWrap/>
            <w:vAlign w:val="bottom"/>
            <w:hideMark/>
          </w:tcPr>
          <w:p w14:paraId="6638A5DD"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32</w:t>
            </w:r>
          </w:p>
        </w:tc>
        <w:tc>
          <w:tcPr>
            <w:tcW w:w="880" w:type="dxa"/>
            <w:tcBorders>
              <w:top w:val="nil"/>
              <w:left w:val="nil"/>
              <w:bottom w:val="single" w:sz="4" w:space="0" w:color="auto"/>
              <w:right w:val="single" w:sz="4" w:space="0" w:color="auto"/>
            </w:tcBorders>
            <w:shd w:val="clear" w:color="000000" w:fill="FFFFFF"/>
            <w:noWrap/>
            <w:vAlign w:val="bottom"/>
            <w:hideMark/>
          </w:tcPr>
          <w:p w14:paraId="263FEC93"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63</w:t>
            </w:r>
          </w:p>
        </w:tc>
        <w:tc>
          <w:tcPr>
            <w:tcW w:w="880" w:type="dxa"/>
            <w:tcBorders>
              <w:top w:val="nil"/>
              <w:left w:val="nil"/>
              <w:bottom w:val="single" w:sz="4" w:space="0" w:color="auto"/>
              <w:right w:val="single" w:sz="4" w:space="0" w:color="auto"/>
            </w:tcBorders>
            <w:shd w:val="clear" w:color="000000" w:fill="FFFFFF"/>
            <w:noWrap/>
            <w:vAlign w:val="bottom"/>
            <w:hideMark/>
          </w:tcPr>
          <w:p w14:paraId="7D637C58"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64</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6CA63DF8"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-83</w:t>
            </w:r>
          </w:p>
        </w:tc>
        <w:tc>
          <w:tcPr>
            <w:tcW w:w="88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40A432A1" w14:textId="77777777" w:rsidR="00C3444E" w:rsidRPr="00C3444E" w:rsidRDefault="00C3444E" w:rsidP="00C3444E">
            <w:pPr>
              <w:spacing w:before="0" w:after="0"/>
              <w:jc w:val="right"/>
              <w:rPr>
                <w:rFonts w:ascii="Calibri" w:hAnsi="Calibri" w:cs="Calibri"/>
                <w:color w:val="006100"/>
                <w:szCs w:val="22"/>
              </w:rPr>
            </w:pPr>
            <w:r w:rsidRPr="00C3444E">
              <w:rPr>
                <w:rFonts w:ascii="Calibri" w:hAnsi="Calibri" w:cs="Calibri"/>
                <w:color w:val="006100"/>
                <w:szCs w:val="22"/>
              </w:rPr>
              <w:t>-4</w:t>
            </w:r>
          </w:p>
        </w:tc>
        <w:tc>
          <w:tcPr>
            <w:tcW w:w="880" w:type="dxa"/>
            <w:tcBorders>
              <w:top w:val="nil"/>
              <w:left w:val="nil"/>
              <w:bottom w:val="single" w:sz="4" w:space="0" w:color="auto"/>
              <w:right w:val="single" w:sz="4" w:space="0" w:color="auto"/>
            </w:tcBorders>
            <w:shd w:val="clear" w:color="000000" w:fill="FFFFFF"/>
            <w:noWrap/>
            <w:vAlign w:val="bottom"/>
            <w:hideMark/>
          </w:tcPr>
          <w:p w14:paraId="763714BD"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70</w:t>
            </w:r>
          </w:p>
        </w:tc>
        <w:tc>
          <w:tcPr>
            <w:tcW w:w="880" w:type="dxa"/>
            <w:tcBorders>
              <w:top w:val="nil"/>
              <w:left w:val="nil"/>
              <w:bottom w:val="single" w:sz="4" w:space="0" w:color="auto"/>
              <w:right w:val="single" w:sz="4" w:space="0" w:color="auto"/>
            </w:tcBorders>
            <w:shd w:val="clear" w:color="000000" w:fill="FFFFFF"/>
            <w:noWrap/>
            <w:vAlign w:val="bottom"/>
            <w:hideMark/>
          </w:tcPr>
          <w:p w14:paraId="3A239717" w14:textId="77777777" w:rsidR="00C3444E" w:rsidRPr="00C3444E" w:rsidRDefault="00C3444E" w:rsidP="00C3444E">
            <w:pPr>
              <w:spacing w:before="0" w:after="0"/>
              <w:jc w:val="right"/>
              <w:rPr>
                <w:rFonts w:ascii="Calibri" w:hAnsi="Calibri" w:cs="Calibri"/>
                <w:color w:val="000000"/>
                <w:szCs w:val="22"/>
              </w:rPr>
            </w:pPr>
            <w:r w:rsidRPr="00C3444E">
              <w:rPr>
                <w:rFonts w:ascii="Calibri" w:hAnsi="Calibri" w:cs="Calibri"/>
                <w:color w:val="000000"/>
                <w:szCs w:val="22"/>
              </w:rPr>
              <w:t>47</w:t>
            </w:r>
          </w:p>
        </w:tc>
      </w:tr>
    </w:tbl>
    <w:p w14:paraId="6A2482B3" w14:textId="77777777" w:rsidR="00C3444E" w:rsidRPr="00C3444E" w:rsidRDefault="00C3444E" w:rsidP="00C3444E"/>
    <w:p w14:paraId="6D84948C" w14:textId="0E73F7C6" w:rsidR="007E2BD1" w:rsidRDefault="0008758E" w:rsidP="00DB3094">
      <w:pPr>
        <w:pStyle w:val="Ttulo2"/>
      </w:pPr>
      <w:bookmarkStart w:id="83" w:name="_Toc152921854"/>
      <w:r>
        <w:t>Comunicaciones de los agentes</w:t>
      </w:r>
      <w:bookmarkEnd w:id="75"/>
      <w:bookmarkEnd w:id="83"/>
    </w:p>
    <w:p w14:paraId="02A276F1" w14:textId="7652AFE7" w:rsidR="00C67B46" w:rsidRDefault="00C67B46" w:rsidP="00AA1E49">
      <w:r>
        <w:t>A continuación</w:t>
      </w:r>
      <w:r w:rsidR="001A4F11">
        <w:t>,</w:t>
      </w:r>
      <w:r>
        <w:t xml:space="preserve"> se presentan de manera re</w:t>
      </w:r>
      <w:r w:rsidR="00492EBC">
        <w:t>sumida los argumentos enviados por algunos agentes respecto del tema.</w:t>
      </w:r>
    </w:p>
    <w:p w14:paraId="7A3D0C94" w14:textId="2553B1C0" w:rsidR="00C230F2" w:rsidRPr="00AA1E49" w:rsidRDefault="00C230F2" w:rsidP="00AA1E49">
      <w:pPr>
        <w:rPr>
          <w:b/>
          <w:bCs/>
        </w:rPr>
      </w:pPr>
      <w:r w:rsidRPr="00AA1E49">
        <w:rPr>
          <w:b/>
          <w:bCs/>
        </w:rPr>
        <w:t xml:space="preserve">ENEL </w:t>
      </w:r>
      <w:r w:rsidR="00547D33" w:rsidRPr="00AA1E49">
        <w:rPr>
          <w:b/>
          <w:bCs/>
        </w:rPr>
        <w:t>(E-2021-004873)</w:t>
      </w:r>
    </w:p>
    <w:p w14:paraId="1D314956" w14:textId="79398E08" w:rsidR="00CB235B" w:rsidRDefault="00770E60" w:rsidP="00AA1E49">
      <w:pPr>
        <w:rPr>
          <w:spacing w:val="-5"/>
          <w:szCs w:val="22"/>
        </w:rPr>
      </w:pPr>
      <w:r>
        <w:rPr>
          <w:spacing w:val="-5"/>
          <w:szCs w:val="22"/>
        </w:rPr>
        <w:lastRenderedPageBreak/>
        <w:t>El agente considera que pueden existir varias interpretaciones sobre el cálculo de los saldos acumulados</w:t>
      </w:r>
      <w:r w:rsidR="004B227F">
        <w:rPr>
          <w:spacing w:val="-5"/>
          <w:szCs w:val="22"/>
        </w:rPr>
        <w:t xml:space="preserve"> de que trata la Resolución CREG 012 de 2020</w:t>
      </w:r>
      <w:r>
        <w:rPr>
          <w:spacing w:val="-5"/>
          <w:szCs w:val="22"/>
        </w:rPr>
        <w:t xml:space="preserve">, dependiendo de los </w:t>
      </w:r>
      <w:r w:rsidR="00B558B0">
        <w:rPr>
          <w:spacing w:val="-5"/>
          <w:szCs w:val="22"/>
        </w:rPr>
        <w:t xml:space="preserve">ciclos de facturación o </w:t>
      </w:r>
      <w:r w:rsidR="00A42EDE">
        <w:rPr>
          <w:spacing w:val="-5"/>
          <w:szCs w:val="22"/>
        </w:rPr>
        <w:t>de la publicación y aplicación de tarifas.</w:t>
      </w:r>
    </w:p>
    <w:p w14:paraId="33106281" w14:textId="1DDC1079" w:rsidR="003F0732" w:rsidRPr="00AA1E49" w:rsidRDefault="003F0732" w:rsidP="00AA1E49">
      <w:pPr>
        <w:rPr>
          <w:b/>
          <w:bCs/>
        </w:rPr>
      </w:pPr>
      <w:r w:rsidRPr="00AA1E49">
        <w:rPr>
          <w:b/>
          <w:bCs/>
        </w:rPr>
        <w:t>POLLO OLIMPICO (E-2021-00</w:t>
      </w:r>
      <w:r w:rsidR="004E35A5" w:rsidRPr="00AA1E49">
        <w:rPr>
          <w:b/>
          <w:bCs/>
        </w:rPr>
        <w:t>6221)</w:t>
      </w:r>
    </w:p>
    <w:p w14:paraId="21D9D55B" w14:textId="7124A85C" w:rsidR="00E01161" w:rsidRDefault="003C0F48" w:rsidP="00AA1E49">
      <w:r>
        <w:t>El usuario</w:t>
      </w:r>
      <w:r w:rsidR="00D95252">
        <w:t xml:space="preserve"> </w:t>
      </w:r>
      <w:r w:rsidR="00DA4C08">
        <w:t>pregunta por la posibilidad de poder pagar según el CU en cada momento sin tener que verse “obligado</w:t>
      </w:r>
      <w:r w:rsidR="0064246F">
        <w:t>”</w:t>
      </w:r>
      <w:r w:rsidR="00DA4C08">
        <w:t xml:space="preserve"> a </w:t>
      </w:r>
      <w:r w:rsidR="00E23C09">
        <w:t>utilizar la opción tarifaria</w:t>
      </w:r>
    </w:p>
    <w:p w14:paraId="280E8BA7" w14:textId="77777777" w:rsidR="005C5222" w:rsidRPr="00AA1E49" w:rsidRDefault="005C5222" w:rsidP="00AA1E49">
      <w:pPr>
        <w:rPr>
          <w:b/>
          <w:bCs/>
        </w:rPr>
      </w:pPr>
      <w:r w:rsidRPr="00AA1E49">
        <w:rPr>
          <w:b/>
          <w:bCs/>
        </w:rPr>
        <w:t>EPSA (E-2021-009184)</w:t>
      </w:r>
    </w:p>
    <w:p w14:paraId="78B497DB" w14:textId="77777777" w:rsidR="005C5222" w:rsidRDefault="005C5222" w:rsidP="00AA1E49">
      <w:r>
        <w:t>El agente advierte la complejidad de aplicar tarifas en el caso de un comercializador que quiere atender usuarios por primera vez en un mercado de comercialización atendido por un comercializador incumbente que ha iniciado una opción tarifaria.</w:t>
      </w:r>
    </w:p>
    <w:p w14:paraId="2A8E83FF" w14:textId="399BC6EF" w:rsidR="0064246F" w:rsidRPr="00AA1E49" w:rsidRDefault="00AF0A62" w:rsidP="00AA1E49">
      <w:pPr>
        <w:rPr>
          <w:b/>
          <w:bCs/>
        </w:rPr>
      </w:pPr>
      <w:r w:rsidRPr="00AA1E49">
        <w:rPr>
          <w:b/>
          <w:bCs/>
        </w:rPr>
        <w:t>VATIA (</w:t>
      </w:r>
      <w:r w:rsidR="001A4F11" w:rsidRPr="00AA1E49">
        <w:rPr>
          <w:b/>
          <w:bCs/>
        </w:rPr>
        <w:t>E</w:t>
      </w:r>
      <w:r w:rsidRPr="00AA1E49">
        <w:rPr>
          <w:b/>
          <w:bCs/>
        </w:rPr>
        <w:t>-20</w:t>
      </w:r>
      <w:r w:rsidR="009E6445" w:rsidRPr="00AA1E49">
        <w:rPr>
          <w:b/>
          <w:bCs/>
        </w:rPr>
        <w:t>21-</w:t>
      </w:r>
      <w:r w:rsidR="00B14C47" w:rsidRPr="00AA1E49">
        <w:rPr>
          <w:b/>
          <w:bCs/>
        </w:rPr>
        <w:t>013878)</w:t>
      </w:r>
    </w:p>
    <w:p w14:paraId="328BAA27" w14:textId="36AAFC0A" w:rsidR="00B14C47" w:rsidRPr="00B14C47" w:rsidRDefault="00066CB8" w:rsidP="00AA1E49">
      <w:r>
        <w:t xml:space="preserve">Advierte problemas de insuficiencia financiera con la aplicación de la opción tarifaria y </w:t>
      </w:r>
      <w:r w:rsidR="008855AA">
        <w:t>posibles problemas en la</w:t>
      </w:r>
      <w:r w:rsidR="008C7A4F">
        <w:t xml:space="preserve"> competencia </w:t>
      </w:r>
      <w:r w:rsidR="008855AA">
        <w:t>en mercados donde existen opciones tarifarias</w:t>
      </w:r>
      <w:r w:rsidR="00171301">
        <w:t xml:space="preserve"> por lo que solicita modificaciones a la reglamentación</w:t>
      </w:r>
      <w:r w:rsidR="008855AA">
        <w:t>.</w:t>
      </w:r>
    </w:p>
    <w:p w14:paraId="6B416B38" w14:textId="69A5518B" w:rsidR="003204EA" w:rsidRPr="00CE65A7" w:rsidRDefault="00012469" w:rsidP="00AA1E49">
      <w:pPr>
        <w:rPr>
          <w:b/>
        </w:rPr>
      </w:pPr>
      <w:r w:rsidRPr="00CE65A7">
        <w:rPr>
          <w:b/>
        </w:rPr>
        <w:t>ASOCODIS (</w:t>
      </w:r>
      <w:r w:rsidR="006224A1" w:rsidRPr="00CE65A7">
        <w:rPr>
          <w:b/>
        </w:rPr>
        <w:t>E-2021-0</w:t>
      </w:r>
      <w:r w:rsidR="005E0C7F" w:rsidRPr="00CE65A7">
        <w:rPr>
          <w:b/>
        </w:rPr>
        <w:t>15485)</w:t>
      </w:r>
    </w:p>
    <w:p w14:paraId="214E0830" w14:textId="03A607B0" w:rsidR="005E0C7F" w:rsidRPr="00B14C47" w:rsidRDefault="00766235" w:rsidP="00AA1E49">
      <w:r>
        <w:t xml:space="preserve">Presenta aspectos relacionados con </w:t>
      </w:r>
      <w:r w:rsidR="00CD1E79">
        <w:t xml:space="preserve">el comportamiento de la opción tarifaria </w:t>
      </w:r>
      <w:r w:rsidR="00826118">
        <w:t xml:space="preserve">y advierte sobre la posible </w:t>
      </w:r>
      <w:r w:rsidR="00007693">
        <w:t xml:space="preserve">condición de </w:t>
      </w:r>
      <w:r w:rsidR="00D52195">
        <w:t xml:space="preserve">“arbitraje” </w:t>
      </w:r>
      <w:r w:rsidR="00BA2EDA">
        <w:t xml:space="preserve">que se puede presentar en la </w:t>
      </w:r>
      <w:r w:rsidR="001B186A">
        <w:t>atención por parte</w:t>
      </w:r>
      <w:r w:rsidR="00BA2EDA">
        <w:t xml:space="preserve"> de </w:t>
      </w:r>
      <w:r w:rsidR="001B186A">
        <w:t xml:space="preserve">un comercializador entrante en un mercado donde el comercializador incumbente </w:t>
      </w:r>
      <w:r w:rsidR="006D0A92">
        <w:t>se encuentra en opción tarifaria.</w:t>
      </w:r>
    </w:p>
    <w:p w14:paraId="4C4FD10E" w14:textId="2E6AC258" w:rsidR="006D0A92" w:rsidRPr="00B14C47" w:rsidRDefault="0095664A" w:rsidP="00AA1E49">
      <w:pPr>
        <w:rPr>
          <w:spacing w:val="-5"/>
          <w:szCs w:val="22"/>
        </w:rPr>
      </w:pPr>
      <w:r>
        <w:rPr>
          <w:spacing w:val="-5"/>
          <w:szCs w:val="22"/>
        </w:rPr>
        <w:t>Solicita revisión a</w:t>
      </w:r>
      <w:r w:rsidR="00A078BD">
        <w:rPr>
          <w:spacing w:val="-5"/>
          <w:szCs w:val="22"/>
        </w:rPr>
        <w:t xml:space="preserve">l tema de </w:t>
      </w:r>
      <w:r w:rsidR="004B6DE0">
        <w:rPr>
          <w:spacing w:val="-5"/>
          <w:szCs w:val="22"/>
        </w:rPr>
        <w:t xml:space="preserve">las restricciones por cuanto se considera que existen </w:t>
      </w:r>
      <w:r w:rsidR="003A1189">
        <w:rPr>
          <w:spacing w:val="-5"/>
          <w:szCs w:val="22"/>
        </w:rPr>
        <w:t>variables que pueden ser ajustadas.</w:t>
      </w:r>
      <w:r w:rsidR="00FF3CF6">
        <w:rPr>
          <w:spacing w:val="-5"/>
          <w:szCs w:val="22"/>
        </w:rPr>
        <w:t xml:space="preserve"> </w:t>
      </w:r>
    </w:p>
    <w:p w14:paraId="2FCB8A1C" w14:textId="13B09DF8" w:rsidR="005F243A" w:rsidRPr="00CE65A7" w:rsidRDefault="005F243A" w:rsidP="005F243A">
      <w:pPr>
        <w:rPr>
          <w:b/>
          <w:spacing w:val="-5"/>
          <w:szCs w:val="22"/>
        </w:rPr>
      </w:pPr>
      <w:r w:rsidRPr="00CE65A7">
        <w:rPr>
          <w:b/>
          <w:spacing w:val="-5"/>
          <w:szCs w:val="22"/>
        </w:rPr>
        <w:t>ASOCODIS (E-2022-005726</w:t>
      </w:r>
      <w:r w:rsidR="00071483">
        <w:rPr>
          <w:b/>
          <w:spacing w:val="-5"/>
          <w:szCs w:val="22"/>
        </w:rPr>
        <w:t xml:space="preserve"> y E2023015580</w:t>
      </w:r>
      <w:r w:rsidR="00BC3A00">
        <w:rPr>
          <w:b/>
          <w:spacing w:val="-5"/>
          <w:szCs w:val="22"/>
        </w:rPr>
        <w:t>, entre otras</w:t>
      </w:r>
      <w:r w:rsidRPr="00CE65A7">
        <w:rPr>
          <w:b/>
          <w:spacing w:val="-5"/>
          <w:szCs w:val="22"/>
        </w:rPr>
        <w:t>)</w:t>
      </w:r>
    </w:p>
    <w:p w14:paraId="081AD7AE" w14:textId="77777777" w:rsidR="00447A54" w:rsidRDefault="005F243A" w:rsidP="005F243A">
      <w:pPr>
        <w:rPr>
          <w:spacing w:val="-5"/>
          <w:szCs w:val="22"/>
        </w:rPr>
      </w:pPr>
      <w:r>
        <w:rPr>
          <w:spacing w:val="-5"/>
          <w:szCs w:val="22"/>
        </w:rPr>
        <w:t>Presenta aspectos relacionados con dificultades en la liquidez de las empresas comercializadoras donde menciona el manejo de saldos acumulados de la opción tarifaria</w:t>
      </w:r>
      <w:r w:rsidR="007A2BE2">
        <w:rPr>
          <w:spacing w:val="-5"/>
          <w:szCs w:val="22"/>
        </w:rPr>
        <w:t>, presenta alternativas de tratamiento al tema que incluyen</w:t>
      </w:r>
      <w:r w:rsidR="0062308F">
        <w:rPr>
          <w:spacing w:val="-5"/>
          <w:szCs w:val="22"/>
        </w:rPr>
        <w:t xml:space="preserve"> modificaciones a las tasas actuales, colocar un cargo único que represente el pago de la opción </w:t>
      </w:r>
      <w:r w:rsidR="009E1DCC">
        <w:rPr>
          <w:spacing w:val="-5"/>
          <w:szCs w:val="22"/>
        </w:rPr>
        <w:t>por varios meses o años (en función del saldo de cada mercado)</w:t>
      </w:r>
      <w:r w:rsidR="0062308F">
        <w:rPr>
          <w:spacing w:val="-5"/>
          <w:szCs w:val="22"/>
        </w:rPr>
        <w:t xml:space="preserve">, </w:t>
      </w:r>
      <w:r w:rsidR="009E1DCC">
        <w:rPr>
          <w:spacing w:val="-5"/>
          <w:szCs w:val="22"/>
        </w:rPr>
        <w:t>moderar los incrementos</w:t>
      </w:r>
      <w:r w:rsidR="00447A54">
        <w:rPr>
          <w:spacing w:val="-5"/>
          <w:szCs w:val="22"/>
        </w:rPr>
        <w:t>.</w:t>
      </w:r>
    </w:p>
    <w:p w14:paraId="618909EB" w14:textId="302817F2" w:rsidR="007A2BE2" w:rsidRDefault="00447A54" w:rsidP="005F243A">
      <w:pPr>
        <w:rPr>
          <w:spacing w:val="-5"/>
          <w:szCs w:val="22"/>
        </w:rPr>
      </w:pPr>
      <w:r>
        <w:rPr>
          <w:spacing w:val="-5"/>
          <w:szCs w:val="22"/>
        </w:rPr>
        <w:t xml:space="preserve">Otras propuestas están relacionadas con colocar opciones tarifarias por niveles de tensión, </w:t>
      </w:r>
      <w:r w:rsidR="00926142">
        <w:rPr>
          <w:spacing w:val="-5"/>
          <w:szCs w:val="22"/>
        </w:rPr>
        <w:t>por componentes del CU, por sector o por estratos, según las dinámicas de cada mercado</w:t>
      </w:r>
      <w:r w:rsidR="00F16704">
        <w:rPr>
          <w:spacing w:val="-5"/>
          <w:szCs w:val="22"/>
        </w:rPr>
        <w:t>.</w:t>
      </w:r>
      <w:r w:rsidR="00406C33">
        <w:rPr>
          <w:spacing w:val="-5"/>
          <w:szCs w:val="22"/>
        </w:rPr>
        <w:t xml:space="preserve"> </w:t>
      </w:r>
    </w:p>
    <w:p w14:paraId="6A5B3100" w14:textId="701CF92F" w:rsidR="00255A50" w:rsidRDefault="003B6791" w:rsidP="00DB3094">
      <w:pPr>
        <w:pStyle w:val="Ttulo2"/>
      </w:pPr>
      <w:bookmarkStart w:id="84" w:name="_Toc152921855"/>
      <w:r>
        <w:t>Revisión CREG</w:t>
      </w:r>
      <w:bookmarkEnd w:id="84"/>
    </w:p>
    <w:p w14:paraId="49BFC84C" w14:textId="77777777" w:rsidR="00AA1482" w:rsidRDefault="00292BC6" w:rsidP="00AA1E49">
      <w:r>
        <w:t>Teniendo en cuenta</w:t>
      </w:r>
      <w:r w:rsidR="005E55EB">
        <w:t xml:space="preserve"> las solicitudes de los agentes </w:t>
      </w:r>
      <w:r w:rsidR="006955A9">
        <w:t>y l</w:t>
      </w:r>
      <w:r w:rsidR="007755F2">
        <w:t xml:space="preserve">as revisiones </w:t>
      </w:r>
      <w:r w:rsidR="006955A9">
        <w:t>intern</w:t>
      </w:r>
      <w:r w:rsidR="007755F2">
        <w:t>a</w:t>
      </w:r>
      <w:r w:rsidR="006955A9">
        <w:t xml:space="preserve">s de la CREG, los análisis </w:t>
      </w:r>
      <w:r w:rsidR="005F3352">
        <w:t>presentados</w:t>
      </w:r>
      <w:r w:rsidR="006955A9">
        <w:t xml:space="preserve"> </w:t>
      </w:r>
      <w:r w:rsidR="00E71E4C">
        <w:t xml:space="preserve">incluyen </w:t>
      </w:r>
      <w:r w:rsidR="00B765A1">
        <w:t xml:space="preserve">acciones de corto, mediano y largo plazo de la opción tarifaria y sus implicaciones en los mercados de comercialización </w:t>
      </w:r>
      <w:r w:rsidR="005E4FD8">
        <w:t xml:space="preserve">que permiten </w:t>
      </w:r>
      <w:r w:rsidR="00BA5237">
        <w:t xml:space="preserve">observar </w:t>
      </w:r>
      <w:r w:rsidR="00AA1482">
        <w:t>los siguientes aspectos generales:</w:t>
      </w:r>
    </w:p>
    <w:p w14:paraId="378A7B8C" w14:textId="77777777" w:rsidR="00FA633D" w:rsidRDefault="00FA633D">
      <w:pPr>
        <w:pStyle w:val="Prrafodelista"/>
        <w:numPr>
          <w:ilvl w:val="0"/>
          <w:numId w:val="6"/>
        </w:numPr>
      </w:pPr>
      <w:r>
        <w:t xml:space="preserve">Crecimiento importante de los saldos a recuperar, que determinan una posible aplicación de CU con valores altos y largos periodos de recuperación. </w:t>
      </w:r>
    </w:p>
    <w:p w14:paraId="17D54E53" w14:textId="2E90D00E" w:rsidR="00FA633D" w:rsidRDefault="00A45BD6">
      <w:pPr>
        <w:pStyle w:val="Prrafodelista"/>
        <w:numPr>
          <w:ilvl w:val="0"/>
          <w:numId w:val="6"/>
        </w:numPr>
      </w:pPr>
      <w:r>
        <w:t>C</w:t>
      </w:r>
      <w:r w:rsidR="00FA633D">
        <w:t xml:space="preserve">ambio de proveedor del servicio en un mercado de comercialización por parte de un usuario que antes era atendido por </w:t>
      </w:r>
      <w:r w:rsidR="00385458">
        <w:t>el</w:t>
      </w:r>
      <w:r w:rsidR="00FA633D">
        <w:t xml:space="preserve"> </w:t>
      </w:r>
      <w:r w:rsidRPr="00F97698">
        <w:t>c</w:t>
      </w:r>
      <w:r w:rsidR="00FA633D" w:rsidRPr="00F97698">
        <w:t xml:space="preserve">omercializador </w:t>
      </w:r>
      <w:r w:rsidR="00FA633D" w:rsidRPr="00E32035">
        <w:t>incumbente</w:t>
      </w:r>
      <w:r w:rsidR="00FA633D">
        <w:t xml:space="preserve"> que se encuentra aplicando una opción tarifaria</w:t>
      </w:r>
      <w:r w:rsidR="004F55C0">
        <w:t xml:space="preserve">, </w:t>
      </w:r>
      <w:r w:rsidR="00AB44C2">
        <w:t xml:space="preserve">dadas las diferencias </w:t>
      </w:r>
      <w:r w:rsidR="00382851">
        <w:t>de</w:t>
      </w:r>
      <w:r w:rsidR="00C3370E">
        <w:t xml:space="preserve">l CU </w:t>
      </w:r>
      <w:r w:rsidR="00382851">
        <w:t>por la aplicación de la opción tarifaria</w:t>
      </w:r>
      <w:r w:rsidR="00FA633D">
        <w:t>.</w:t>
      </w:r>
    </w:p>
    <w:p w14:paraId="614101CE" w14:textId="77777777" w:rsidR="007E2BD1" w:rsidRDefault="007E2BD1" w:rsidP="00AA1E49">
      <w:pPr>
        <w:pStyle w:val="Ttulo1"/>
      </w:pPr>
      <w:bookmarkStart w:id="85" w:name="_Toc58087317"/>
      <w:bookmarkStart w:id="86" w:name="_Toc58246272"/>
      <w:bookmarkStart w:id="87" w:name="_Toc58312329"/>
      <w:bookmarkStart w:id="88" w:name="_Toc58405806"/>
      <w:bookmarkStart w:id="89" w:name="_Toc152921856"/>
      <w:r w:rsidRPr="00061307">
        <w:lastRenderedPageBreak/>
        <w:t>PROBLEMÁTICA REGULATORIA</w:t>
      </w:r>
      <w:bookmarkEnd w:id="85"/>
      <w:bookmarkEnd w:id="86"/>
      <w:bookmarkEnd w:id="87"/>
      <w:bookmarkEnd w:id="88"/>
      <w:bookmarkEnd w:id="89"/>
    </w:p>
    <w:p w14:paraId="5FDB2FB6" w14:textId="106FBC13" w:rsidR="00AB5889" w:rsidRDefault="00AB5889" w:rsidP="00D35E65">
      <w:r>
        <w:t>Con base en la</w:t>
      </w:r>
      <w:r w:rsidR="001047FB">
        <w:t>s</w:t>
      </w:r>
      <w:r>
        <w:t xml:space="preserve"> revisi</w:t>
      </w:r>
      <w:r w:rsidR="001047FB">
        <w:t>ones realizadas, se identifica el problema</w:t>
      </w:r>
      <w:r w:rsidR="00126ACA">
        <w:t xml:space="preserve">, </w:t>
      </w:r>
      <w:r w:rsidR="00661D3D">
        <w:t>con sus respectivas ca</w:t>
      </w:r>
      <w:r w:rsidR="00BA712C">
        <w:t xml:space="preserve">usas y posibles consecuencias </w:t>
      </w:r>
      <w:r w:rsidR="006C6E07">
        <w:t>como se muestra</w:t>
      </w:r>
      <w:r w:rsidR="001221EC">
        <w:t xml:space="preserve"> a continuación:</w:t>
      </w:r>
      <w:r>
        <w:t xml:space="preserve"> </w:t>
      </w:r>
    </w:p>
    <w:p w14:paraId="73E455B9" w14:textId="76C2326E" w:rsidR="000E5FFB" w:rsidRDefault="005C7566" w:rsidP="00D35E65">
      <w:r w:rsidRPr="005C7566">
        <w:rPr>
          <w:b/>
        </w:rPr>
        <w:t>Problema:</w:t>
      </w:r>
      <w:r>
        <w:t xml:space="preserve"> </w:t>
      </w:r>
      <w:r w:rsidR="003B6188">
        <w:t>Posibilidad de r</w:t>
      </w:r>
      <w:r w:rsidR="000E5FFB">
        <w:t xml:space="preserve">iesgo en la prestación del servicio </w:t>
      </w:r>
      <w:r w:rsidR="00600597">
        <w:t xml:space="preserve">de energía eléctrica </w:t>
      </w:r>
      <w:r w:rsidR="000E5FFB">
        <w:t>por insuficiencia fin</w:t>
      </w:r>
      <w:r w:rsidR="00C72226">
        <w:t xml:space="preserve">anciera </w:t>
      </w:r>
      <w:r w:rsidR="003558E7">
        <w:t>de tod</w:t>
      </w:r>
      <w:r w:rsidR="00222B11">
        <w:t>a</w:t>
      </w:r>
      <w:r w:rsidR="003558E7">
        <w:t>s l</w:t>
      </w:r>
      <w:r w:rsidR="00222B11">
        <w:t>as actividades</w:t>
      </w:r>
      <w:r w:rsidR="00105B6E">
        <w:t>.</w:t>
      </w:r>
    </w:p>
    <w:p w14:paraId="0A6CBADE" w14:textId="609B7566" w:rsidR="009166B5" w:rsidRPr="00D35E65" w:rsidRDefault="009166B5" w:rsidP="00D35E65">
      <w:pPr>
        <w:rPr>
          <w:b/>
          <w:bCs/>
        </w:rPr>
      </w:pPr>
      <w:r w:rsidRPr="00D35E65">
        <w:rPr>
          <w:b/>
          <w:bCs/>
        </w:rPr>
        <w:t>Causas</w:t>
      </w:r>
      <w:r w:rsidR="005C7566" w:rsidRPr="00D35E65">
        <w:rPr>
          <w:b/>
          <w:bCs/>
        </w:rPr>
        <w:t>:</w:t>
      </w:r>
    </w:p>
    <w:p w14:paraId="38C953A4" w14:textId="6FAF86B1" w:rsidR="001A2958" w:rsidRPr="008D1DAF" w:rsidRDefault="007D5093">
      <w:pPr>
        <w:pStyle w:val="Prrafodelista"/>
        <w:numPr>
          <w:ilvl w:val="0"/>
          <w:numId w:val="7"/>
        </w:numPr>
      </w:pPr>
      <w:r w:rsidRPr="008D1DAF">
        <w:t>A</w:t>
      </w:r>
      <w:r w:rsidR="001A2958" w:rsidRPr="008D1DAF">
        <w:t>plicación de opción tarifaria obligatoria por COVID</w:t>
      </w:r>
    </w:p>
    <w:p w14:paraId="0DA2996D" w14:textId="1EB3B776" w:rsidR="00C16BF1" w:rsidRPr="008D1DAF" w:rsidRDefault="00933559">
      <w:pPr>
        <w:pStyle w:val="Prrafodelista"/>
        <w:numPr>
          <w:ilvl w:val="0"/>
          <w:numId w:val="7"/>
        </w:numPr>
      </w:pPr>
      <w:r w:rsidRPr="008D1DAF">
        <w:t>Aumento de costo unitario del servicio</w:t>
      </w:r>
      <w:r w:rsidR="00926629" w:rsidRPr="008D1DAF">
        <w:t xml:space="preserve"> por causa de variaciones en </w:t>
      </w:r>
      <w:r w:rsidR="00383F8D">
        <w:t xml:space="preserve">el </w:t>
      </w:r>
      <w:r w:rsidR="00926629" w:rsidRPr="008D1DAF">
        <w:t xml:space="preserve">IPP </w:t>
      </w:r>
      <w:r w:rsidR="00383F8D">
        <w:t xml:space="preserve">y el </w:t>
      </w:r>
      <w:r w:rsidR="00926629" w:rsidRPr="008D1DAF">
        <w:t>IPC</w:t>
      </w:r>
    </w:p>
    <w:p w14:paraId="58DEAF8C" w14:textId="77777777" w:rsidR="00552DBA" w:rsidRPr="008D1DAF" w:rsidRDefault="00552DBA">
      <w:pPr>
        <w:pStyle w:val="Prrafodelista"/>
        <w:numPr>
          <w:ilvl w:val="0"/>
          <w:numId w:val="7"/>
        </w:numPr>
      </w:pPr>
      <w:r w:rsidRPr="008D1DAF">
        <w:t>Baja capacidad de pago de algunos usuarios</w:t>
      </w:r>
    </w:p>
    <w:p w14:paraId="0717EF01" w14:textId="2ED40811" w:rsidR="00926629" w:rsidRPr="008D1DAF" w:rsidRDefault="00926629">
      <w:pPr>
        <w:pStyle w:val="Prrafodelista"/>
        <w:numPr>
          <w:ilvl w:val="0"/>
          <w:numId w:val="7"/>
        </w:numPr>
      </w:pPr>
      <w:r w:rsidRPr="008D1DAF">
        <w:t xml:space="preserve">Aumento del costo del servicio por causa de </w:t>
      </w:r>
      <w:r w:rsidR="00F25AF8" w:rsidRPr="008D1DAF">
        <w:t xml:space="preserve">instrumentalización de Ley 1955 </w:t>
      </w:r>
      <w:r w:rsidR="006D62EA">
        <w:t>de 2019</w:t>
      </w:r>
    </w:p>
    <w:p w14:paraId="2A1F437C" w14:textId="0938D0EB" w:rsidR="006C612A" w:rsidRPr="008D1DAF" w:rsidRDefault="006C612A">
      <w:pPr>
        <w:pStyle w:val="Prrafodelista"/>
        <w:numPr>
          <w:ilvl w:val="0"/>
          <w:numId w:val="7"/>
        </w:numPr>
      </w:pPr>
      <w:r w:rsidRPr="008D1DAF">
        <w:t xml:space="preserve">Aumento del costo del servicio por </w:t>
      </w:r>
      <w:r w:rsidR="004A5521" w:rsidRPr="008D1DAF">
        <w:t>variaciones en contratos de energía</w:t>
      </w:r>
      <w:r w:rsidR="00E145FF" w:rsidRPr="008D1DAF">
        <w:t xml:space="preserve"> </w:t>
      </w:r>
      <w:r w:rsidR="009E0D02" w:rsidRPr="008D1DAF">
        <w:t>(convocatorias energía renovable)</w:t>
      </w:r>
    </w:p>
    <w:p w14:paraId="5073DE73" w14:textId="703E5931" w:rsidR="005C2BC3" w:rsidRPr="008D1DAF" w:rsidRDefault="008253B9">
      <w:pPr>
        <w:pStyle w:val="Prrafodelista"/>
        <w:numPr>
          <w:ilvl w:val="0"/>
          <w:numId w:val="7"/>
        </w:numPr>
      </w:pPr>
      <w:r w:rsidRPr="008D1DAF">
        <w:t xml:space="preserve">Aumento de </w:t>
      </w:r>
      <w:r w:rsidR="00F7592D" w:rsidRPr="008D1DAF">
        <w:t xml:space="preserve">costo de </w:t>
      </w:r>
      <w:r w:rsidRPr="008D1DAF">
        <w:t xml:space="preserve">distribución </w:t>
      </w:r>
      <w:r w:rsidR="00830E36" w:rsidRPr="008D1DAF">
        <w:t xml:space="preserve">en un </w:t>
      </w:r>
      <w:r w:rsidR="00F7592D" w:rsidRPr="008D1DAF">
        <w:t>sistema de distribución</w:t>
      </w:r>
      <w:r w:rsidR="00830E36" w:rsidRPr="008D1DAF">
        <w:t xml:space="preserve"> por causas atípicas</w:t>
      </w:r>
    </w:p>
    <w:p w14:paraId="1C6ED5E8" w14:textId="7CDAA963" w:rsidR="009166B5" w:rsidRPr="00D35E65" w:rsidRDefault="009166B5" w:rsidP="00D35E65">
      <w:pPr>
        <w:rPr>
          <w:b/>
          <w:bCs/>
        </w:rPr>
      </w:pPr>
      <w:r w:rsidRPr="00D35E65">
        <w:rPr>
          <w:b/>
          <w:bCs/>
        </w:rPr>
        <w:t>Consecuencias</w:t>
      </w:r>
    </w:p>
    <w:p w14:paraId="38EDC910" w14:textId="77777777" w:rsidR="00100B8E" w:rsidRPr="008D1DAF" w:rsidRDefault="00100B8E">
      <w:pPr>
        <w:pStyle w:val="Prrafodelista"/>
        <w:numPr>
          <w:ilvl w:val="0"/>
          <w:numId w:val="8"/>
        </w:numPr>
      </w:pPr>
      <w:r w:rsidRPr="008D1DAF">
        <w:t>Posible incapacidad de conseguir recursos de financiación para soportar la opción</w:t>
      </w:r>
    </w:p>
    <w:p w14:paraId="27A7F78C" w14:textId="62811194" w:rsidR="00726022" w:rsidRPr="008D1DAF" w:rsidRDefault="00750296">
      <w:pPr>
        <w:pStyle w:val="Prrafodelista"/>
        <w:numPr>
          <w:ilvl w:val="0"/>
          <w:numId w:val="8"/>
        </w:numPr>
      </w:pPr>
      <w:r w:rsidRPr="008D1DAF">
        <w:t xml:space="preserve">Posible </w:t>
      </w:r>
      <w:r w:rsidR="007A27EC" w:rsidRPr="008D1DAF">
        <w:t>a</w:t>
      </w:r>
      <w:r w:rsidR="00726022" w:rsidRPr="008D1DAF">
        <w:t>plicación de tarifa sin opción</w:t>
      </w:r>
    </w:p>
    <w:p w14:paraId="5C7C7420" w14:textId="32EFF6E0" w:rsidR="00762D8A" w:rsidRPr="008D1DAF" w:rsidRDefault="00762D8A">
      <w:pPr>
        <w:pStyle w:val="Prrafodelista"/>
        <w:numPr>
          <w:ilvl w:val="0"/>
          <w:numId w:val="8"/>
        </w:numPr>
      </w:pPr>
      <w:r w:rsidRPr="008D1DAF">
        <w:t xml:space="preserve">Aumento de tarifas </w:t>
      </w:r>
      <w:r w:rsidR="00DA60C8" w:rsidRPr="008D1DAF">
        <w:t>por encima de la inflación durante los próximos años</w:t>
      </w:r>
      <w:r w:rsidR="00114F29" w:rsidRPr="008D1DAF">
        <w:t xml:space="preserve"> asociado con el pago de </w:t>
      </w:r>
      <w:r w:rsidR="00250438" w:rsidRPr="008D1DAF">
        <w:t>la opción tarifaria vigente</w:t>
      </w:r>
    </w:p>
    <w:p w14:paraId="1B5178B7" w14:textId="303AD7FB" w:rsidR="00127121" w:rsidRPr="008D1DAF" w:rsidRDefault="0041043A">
      <w:pPr>
        <w:pStyle w:val="Prrafodelista"/>
        <w:numPr>
          <w:ilvl w:val="0"/>
          <w:numId w:val="8"/>
        </w:numPr>
      </w:pPr>
      <w:r w:rsidRPr="008D1DAF">
        <w:t xml:space="preserve">Posible incapacidad de </w:t>
      </w:r>
      <w:r w:rsidR="00A65FA1" w:rsidRPr="008D1DAF">
        <w:t xml:space="preserve">pago de los comercializadores </w:t>
      </w:r>
      <w:r w:rsidR="00B23C0C" w:rsidRPr="008D1DAF">
        <w:t xml:space="preserve">a agentes de la cadena </w:t>
      </w:r>
      <w:r w:rsidR="00A65FA1" w:rsidRPr="008D1DAF">
        <w:t xml:space="preserve">por </w:t>
      </w:r>
      <w:r w:rsidR="009E5287" w:rsidRPr="008D1DAF">
        <w:t xml:space="preserve">aumento de cartera </w:t>
      </w:r>
      <w:r w:rsidR="00127121" w:rsidRPr="008D1DAF">
        <w:t xml:space="preserve"> </w:t>
      </w:r>
    </w:p>
    <w:p w14:paraId="26B38479" w14:textId="0F659318" w:rsidR="00DA46D8" w:rsidRPr="008D1DAF" w:rsidRDefault="00DA46D8">
      <w:pPr>
        <w:pStyle w:val="Prrafodelista"/>
        <w:numPr>
          <w:ilvl w:val="0"/>
          <w:numId w:val="8"/>
        </w:numPr>
      </w:pPr>
      <w:r w:rsidRPr="008D1DAF">
        <w:t>Posible cambio de comercializador</w:t>
      </w:r>
      <w:r w:rsidR="00193BEA" w:rsidRPr="008D1DAF">
        <w:t xml:space="preserve">, por parte de un usuario, de un prestador de </w:t>
      </w:r>
      <w:r w:rsidRPr="008D1DAF">
        <w:t xml:space="preserve">tarifas </w:t>
      </w:r>
      <w:r w:rsidR="008A1BF9" w:rsidRPr="008D1DAF">
        <w:t>con opción</w:t>
      </w:r>
      <w:r w:rsidRPr="008D1DAF">
        <w:t xml:space="preserve"> tarifaria</w:t>
      </w:r>
      <w:r w:rsidR="00EE6DB9" w:rsidRPr="008D1DAF">
        <w:t xml:space="preserve"> a uno que no tenga opción tarifaria</w:t>
      </w:r>
    </w:p>
    <w:p w14:paraId="0119B978" w14:textId="388E3CBE" w:rsidR="00A24113" w:rsidRPr="008D1DAF" w:rsidRDefault="003D2620">
      <w:pPr>
        <w:pStyle w:val="Prrafodelista"/>
        <w:numPr>
          <w:ilvl w:val="0"/>
          <w:numId w:val="8"/>
        </w:numPr>
      </w:pPr>
      <w:r w:rsidRPr="008D1DAF">
        <w:t>No pago de saldos</w:t>
      </w:r>
      <w:r w:rsidR="00EE6DB9" w:rsidRPr="008D1DAF">
        <w:t xml:space="preserve"> </w:t>
      </w:r>
      <w:r w:rsidRPr="008D1DAF">
        <w:t>por quienes lo generaron</w:t>
      </w:r>
    </w:p>
    <w:p w14:paraId="6053770A" w14:textId="78FA80B7" w:rsidR="00213D67" w:rsidRPr="008D1DAF" w:rsidRDefault="000B41F8">
      <w:pPr>
        <w:pStyle w:val="Prrafodelista"/>
        <w:numPr>
          <w:ilvl w:val="0"/>
          <w:numId w:val="8"/>
        </w:numPr>
      </w:pPr>
      <w:r w:rsidRPr="008D1DAF">
        <w:t xml:space="preserve">Aumento de </w:t>
      </w:r>
      <w:r w:rsidR="003616B2" w:rsidRPr="008D1DAF">
        <w:t xml:space="preserve">saldos </w:t>
      </w:r>
      <w:r w:rsidRPr="008D1DAF">
        <w:t xml:space="preserve">por efecto de </w:t>
      </w:r>
      <w:r w:rsidR="00923338" w:rsidRPr="008D1DAF">
        <w:t>s</w:t>
      </w:r>
      <w:r w:rsidR="00213D67" w:rsidRPr="008D1DAF">
        <w:t xml:space="preserve">aldo financiado por la opción tarifaria </w:t>
      </w:r>
      <w:r w:rsidR="00E74652" w:rsidRPr="008D1DAF">
        <w:t>que deben soportar los usuarios que quedan</w:t>
      </w:r>
    </w:p>
    <w:p w14:paraId="4D309531" w14:textId="06FE2CED" w:rsidR="004D12E3" w:rsidRPr="008D1DAF" w:rsidRDefault="00012AFD">
      <w:pPr>
        <w:pStyle w:val="Prrafodelista"/>
        <w:numPr>
          <w:ilvl w:val="0"/>
          <w:numId w:val="8"/>
        </w:numPr>
      </w:pPr>
      <w:r w:rsidRPr="008D1DAF">
        <w:t>Que el CU iguale o supere el valor del primer escalón de racionamiento</w:t>
      </w:r>
    </w:p>
    <w:p w14:paraId="537E13A4" w14:textId="77777777" w:rsidR="007E2BD1" w:rsidRDefault="007E2BD1" w:rsidP="00D35E65">
      <w:pPr>
        <w:pStyle w:val="Ttulo1"/>
      </w:pPr>
      <w:bookmarkStart w:id="90" w:name="_Toc58087319"/>
      <w:bookmarkStart w:id="91" w:name="_Toc58246273"/>
      <w:bookmarkStart w:id="92" w:name="_Toc58312330"/>
      <w:bookmarkStart w:id="93" w:name="_Toc58405807"/>
      <w:bookmarkStart w:id="94" w:name="_Toc152921857"/>
      <w:r w:rsidRPr="00061307">
        <w:t>OBJETIVOS</w:t>
      </w:r>
      <w:bookmarkEnd w:id="90"/>
      <w:bookmarkEnd w:id="91"/>
      <w:bookmarkEnd w:id="92"/>
      <w:bookmarkEnd w:id="93"/>
      <w:bookmarkEnd w:id="94"/>
    </w:p>
    <w:p w14:paraId="5828128F" w14:textId="34583555" w:rsidR="00E4184D" w:rsidRPr="00B47666" w:rsidRDefault="00E4184D" w:rsidP="00E4184D">
      <w:r>
        <w:t>De esta manera, se indica que el resultado de la revisión regulatoria busca m</w:t>
      </w:r>
      <w:r w:rsidRPr="00B72F49">
        <w:t xml:space="preserve">itigar el riesgo en la prestación del servicio de energía eléctrica por insuficiencia financiera de todas las actividades y el impacto a los usuarios por incrementos en </w:t>
      </w:r>
      <w:r>
        <w:t xml:space="preserve">las </w:t>
      </w:r>
      <w:r w:rsidRPr="00B72F49">
        <w:t>tarifas</w:t>
      </w:r>
      <w:r>
        <w:t>, considerando los siguientes objetivos específicos:</w:t>
      </w:r>
      <w:r w:rsidRPr="00B47666">
        <w:t xml:space="preserve"> </w:t>
      </w:r>
    </w:p>
    <w:p w14:paraId="145CD3D0" w14:textId="77777777" w:rsidR="00E4184D" w:rsidRDefault="00E4184D" w:rsidP="00E4184D">
      <w:pPr>
        <w:pStyle w:val="Prrafodelista"/>
        <w:numPr>
          <w:ilvl w:val="0"/>
          <w:numId w:val="9"/>
        </w:numPr>
        <w:rPr>
          <w:iCs/>
        </w:rPr>
      </w:pPr>
      <w:r>
        <w:rPr>
          <w:iCs/>
        </w:rPr>
        <w:t xml:space="preserve">Moderar la presión sobre </w:t>
      </w:r>
      <w:r w:rsidRPr="00677A06">
        <w:rPr>
          <w:iCs/>
        </w:rPr>
        <w:t>el CU aplicado a los usuarios por ajustes en la regulación de la opción tarifaria</w:t>
      </w:r>
    </w:p>
    <w:p w14:paraId="4836A090" w14:textId="77777777" w:rsidR="00E4184D" w:rsidRPr="00967F2E" w:rsidRDefault="00E4184D" w:rsidP="00E4184D">
      <w:pPr>
        <w:pStyle w:val="Prrafodelista"/>
        <w:numPr>
          <w:ilvl w:val="0"/>
          <w:numId w:val="9"/>
        </w:numPr>
      </w:pPr>
      <w:r>
        <w:t xml:space="preserve">Reducir progresivamente </w:t>
      </w:r>
      <w:r w:rsidRPr="00D10C2A">
        <w:t>el saldo</w:t>
      </w:r>
      <w:r>
        <w:t xml:space="preserve"> derivado de la aplicación de la regulación tarifaria vigente desde 2020</w:t>
      </w:r>
    </w:p>
    <w:p w14:paraId="72BA9185" w14:textId="74B15999" w:rsidR="00E4184D" w:rsidRPr="00967F2E" w:rsidRDefault="00E4184D" w:rsidP="00E4184D">
      <w:pPr>
        <w:pStyle w:val="Prrafodelista"/>
        <w:numPr>
          <w:ilvl w:val="0"/>
          <w:numId w:val="9"/>
        </w:numPr>
      </w:pPr>
      <w:r>
        <w:lastRenderedPageBreak/>
        <w:t xml:space="preserve">Suavizar los cambios </w:t>
      </w:r>
      <w:r w:rsidRPr="00D10C2A">
        <w:t>en el CU</w:t>
      </w:r>
      <w:r w:rsidRPr="00967F2E">
        <w:t xml:space="preserve"> cuando se aplique </w:t>
      </w:r>
      <w:r w:rsidRPr="00D10C2A">
        <w:t xml:space="preserve">la fórmula de recuperación de saldos </w:t>
      </w:r>
      <w:r>
        <w:t>actuales</w:t>
      </w:r>
    </w:p>
    <w:p w14:paraId="7A6D9A04" w14:textId="267F2D18" w:rsidR="00E4184D" w:rsidRPr="00967F2E" w:rsidRDefault="00E4184D" w:rsidP="00E4184D">
      <w:pPr>
        <w:pStyle w:val="Prrafodelista"/>
        <w:numPr>
          <w:ilvl w:val="0"/>
          <w:numId w:val="9"/>
        </w:numPr>
      </w:pPr>
      <w:r>
        <w:t>Proteger a las empresas comercializadoras del eventual oportunismo de otros agentes que no participaron de la opción tarifaria imp</w:t>
      </w:r>
      <w:r w:rsidR="0017352B">
        <w:t>l</w:t>
      </w:r>
      <w:r>
        <w:t>ementada en 2020 en el mimo mercado (</w:t>
      </w:r>
      <w:r w:rsidRPr="00967F2E">
        <w:t xml:space="preserve">que </w:t>
      </w:r>
      <w:r w:rsidRPr="00D10C2A">
        <w:t>todos los usuarios</w:t>
      </w:r>
      <w:r w:rsidRPr="00967F2E">
        <w:t xml:space="preserve"> del mercado </w:t>
      </w:r>
      <w:r>
        <w:t>participen en la solución de</w:t>
      </w:r>
      <w:r w:rsidRPr="00967F2E">
        <w:t xml:space="preserve"> los saldos acumulados) </w:t>
      </w:r>
    </w:p>
    <w:p w14:paraId="59BA91A6" w14:textId="77777777" w:rsidR="00E4184D" w:rsidRPr="00E608DE" w:rsidRDefault="00E4184D" w:rsidP="00E4184D">
      <w:pPr>
        <w:pStyle w:val="Prrafodelista"/>
        <w:numPr>
          <w:ilvl w:val="0"/>
          <w:numId w:val="9"/>
        </w:numPr>
        <w:rPr>
          <w:iCs/>
        </w:rPr>
      </w:pPr>
      <w:r w:rsidRPr="00D344D5">
        <w:rPr>
          <w:iCs/>
        </w:rPr>
        <w:t>Dar seguridad jurídica a la recuperación del saldo a partir del fallo del Consejo de Estado que avaló la obligatoriedad de la opción y el saldo por mercado de comercialización (Se busca que las alternativas superen la “expectativa legitima”).</w:t>
      </w:r>
    </w:p>
    <w:p w14:paraId="6572736E" w14:textId="77777777" w:rsidR="00E4184D" w:rsidRPr="00D44E34" w:rsidRDefault="00E4184D" w:rsidP="00E4184D">
      <w:pPr>
        <w:pStyle w:val="Prrafodelista"/>
        <w:numPr>
          <w:ilvl w:val="0"/>
          <w:numId w:val="9"/>
        </w:numPr>
        <w:rPr>
          <w:iCs/>
        </w:rPr>
      </w:pPr>
      <w:r w:rsidRPr="00D44E34">
        <w:rPr>
          <w:iCs/>
        </w:rPr>
        <w:t>Posibilitar</w:t>
      </w:r>
      <w:r>
        <w:rPr>
          <w:iCs/>
        </w:rPr>
        <w:t xml:space="preserve"> la</w:t>
      </w:r>
      <w:r w:rsidRPr="00D44E34">
        <w:rPr>
          <w:iCs/>
        </w:rPr>
        <w:t xml:space="preserve"> financiación del saldo para aquellos prestadores que lo requieran.  </w:t>
      </w:r>
    </w:p>
    <w:p w14:paraId="63F7EC8D" w14:textId="6F65CFF0" w:rsidR="007E2BD1" w:rsidRDefault="007E2BD1" w:rsidP="00D35E65">
      <w:pPr>
        <w:pStyle w:val="Ttulo1"/>
      </w:pPr>
      <w:bookmarkStart w:id="95" w:name="_Toc58087320"/>
      <w:bookmarkStart w:id="96" w:name="_Toc58246274"/>
      <w:bookmarkStart w:id="97" w:name="_Toc58312331"/>
      <w:bookmarkStart w:id="98" w:name="_Ref58339800"/>
      <w:bookmarkStart w:id="99" w:name="_Ref58339820"/>
      <w:bookmarkStart w:id="100" w:name="_Toc58405808"/>
      <w:bookmarkStart w:id="101" w:name="_Ref108791241"/>
      <w:bookmarkStart w:id="102" w:name="_Toc152921858"/>
      <w:r w:rsidRPr="00061307">
        <w:t>ESQUEMAS DE IMPLEMENTACIÓN</w:t>
      </w:r>
      <w:bookmarkEnd w:id="95"/>
      <w:bookmarkEnd w:id="96"/>
      <w:bookmarkEnd w:id="97"/>
      <w:bookmarkEnd w:id="98"/>
      <w:bookmarkEnd w:id="99"/>
      <w:bookmarkEnd w:id="100"/>
      <w:bookmarkEnd w:id="101"/>
      <w:bookmarkEnd w:id="102"/>
    </w:p>
    <w:p w14:paraId="38762915" w14:textId="14067952" w:rsidR="009313D2" w:rsidRDefault="009313D2" w:rsidP="00D35E65">
      <w:r>
        <w:t xml:space="preserve">Para avanzar en el análisis del problema y sus posibles soluciones, </w:t>
      </w:r>
      <w:r w:rsidR="003A7D26">
        <w:t xml:space="preserve">en concordancia con los objetivos planteados, </w:t>
      </w:r>
      <w:r>
        <w:t>se identifica</w:t>
      </w:r>
      <w:r w:rsidR="00895EB5">
        <w:t>ron</w:t>
      </w:r>
      <w:r>
        <w:t xml:space="preserve"> </w:t>
      </w:r>
      <w:r w:rsidR="00844090">
        <w:t xml:space="preserve">y se estudiaron los impactos de </w:t>
      </w:r>
      <w:r>
        <w:t>tres alternativas a saber:</w:t>
      </w:r>
    </w:p>
    <w:p w14:paraId="7B71BC8F" w14:textId="754454EC" w:rsidR="009313D2" w:rsidRPr="002F4324" w:rsidRDefault="009313D2">
      <w:pPr>
        <w:pStyle w:val="Prrafodelista"/>
        <w:numPr>
          <w:ilvl w:val="0"/>
          <w:numId w:val="10"/>
        </w:numPr>
      </w:pPr>
      <w:r w:rsidRPr="002F4324">
        <w:t>No modificar la normatividad vigente</w:t>
      </w:r>
    </w:p>
    <w:p w14:paraId="05EFC586" w14:textId="6CA5C1E8" w:rsidR="00547589" w:rsidRPr="002F4324" w:rsidRDefault="003A7D26">
      <w:pPr>
        <w:pStyle w:val="Prrafodelista"/>
        <w:numPr>
          <w:ilvl w:val="0"/>
          <w:numId w:val="10"/>
        </w:numPr>
      </w:pPr>
      <w:r w:rsidRPr="002F4324">
        <w:t>Individualización de saldos</w:t>
      </w:r>
    </w:p>
    <w:p w14:paraId="49BE359A" w14:textId="05069004" w:rsidR="003A7D26" w:rsidRPr="002F4324" w:rsidRDefault="003A7D26">
      <w:pPr>
        <w:pStyle w:val="Prrafodelista"/>
        <w:numPr>
          <w:ilvl w:val="0"/>
          <w:numId w:val="10"/>
        </w:numPr>
      </w:pPr>
      <w:r w:rsidRPr="002F4324">
        <w:t xml:space="preserve">Creación de un cargo </w:t>
      </w:r>
      <w:r w:rsidR="00895EB5">
        <w:t xml:space="preserve">temporal </w:t>
      </w:r>
      <w:r w:rsidRPr="002F4324">
        <w:t>de mercado</w:t>
      </w:r>
    </w:p>
    <w:p w14:paraId="3E799E98" w14:textId="12E7893E" w:rsidR="0093262A" w:rsidRDefault="002F4324" w:rsidP="00D35E65">
      <w:r>
        <w:t xml:space="preserve">En los siguientes segmentos se </w:t>
      </w:r>
      <w:r w:rsidR="0093262A">
        <w:t>presentan las características principales de cada una y se revisan sus posibles impactos</w:t>
      </w:r>
      <w:r w:rsidR="00CD198E">
        <w:t xml:space="preserve"> que, en conjunto con un </w:t>
      </w:r>
      <w:r w:rsidR="0093262A">
        <w:t>análisis multicriterio</w:t>
      </w:r>
      <w:r w:rsidR="00CD198E">
        <w:t>, permit</w:t>
      </w:r>
      <w:r w:rsidR="00CE61AD">
        <w:t xml:space="preserve">irán </w:t>
      </w:r>
      <w:r w:rsidR="00CD198E">
        <w:t xml:space="preserve">efectuar </w:t>
      </w:r>
      <w:r w:rsidR="00E518B0">
        <w:t>l</w:t>
      </w:r>
      <w:r w:rsidR="00CD198E">
        <w:t>a propuesta regulatoria</w:t>
      </w:r>
      <w:r w:rsidR="00E518B0">
        <w:t xml:space="preserve"> más adecuada.</w:t>
      </w:r>
      <w:r w:rsidR="0093262A">
        <w:t xml:space="preserve">  </w:t>
      </w:r>
    </w:p>
    <w:p w14:paraId="172A5789" w14:textId="01EE853E" w:rsidR="007E2BD1" w:rsidRDefault="0078212A" w:rsidP="00DB3094">
      <w:pPr>
        <w:pStyle w:val="Ttulo2"/>
      </w:pPr>
      <w:bookmarkStart w:id="103" w:name="_Toc152921859"/>
      <w:r>
        <w:t>No modificar la regulación vigente</w:t>
      </w:r>
      <w:bookmarkEnd w:id="103"/>
    </w:p>
    <w:p w14:paraId="314D771D" w14:textId="2B8C183E" w:rsidR="001B3291" w:rsidRDefault="00895B61" w:rsidP="00D35E65">
      <w:r>
        <w:t xml:space="preserve">Esta alternativa considera que no hay intervención alguna y que </w:t>
      </w:r>
      <w:r w:rsidR="003E37C0">
        <w:t xml:space="preserve">por lo tanto </w:t>
      </w:r>
      <w:r w:rsidR="00010466">
        <w:t xml:space="preserve">no </w:t>
      </w:r>
      <w:r w:rsidR="00021360">
        <w:t xml:space="preserve">se efectúan </w:t>
      </w:r>
      <w:r w:rsidR="00010466">
        <w:t>modificaci</w:t>
      </w:r>
      <w:r w:rsidR="00021360">
        <w:t>ones</w:t>
      </w:r>
      <w:r w:rsidR="00010466">
        <w:t xml:space="preserve"> a la normatividad vigente</w:t>
      </w:r>
      <w:r w:rsidR="00F42F62">
        <w:t xml:space="preserve">, con lo que </w:t>
      </w:r>
      <w:r w:rsidR="003E37C0">
        <w:t xml:space="preserve">los problemas detectados continuarían sin solución y se </w:t>
      </w:r>
      <w:r w:rsidR="00C32C89">
        <w:t>permitiría</w:t>
      </w:r>
      <w:r w:rsidR="003E37C0">
        <w:t xml:space="preserve"> una competencia en condiciones </w:t>
      </w:r>
      <w:r w:rsidR="000A6D70">
        <w:t xml:space="preserve">inequitativas </w:t>
      </w:r>
      <w:r w:rsidR="001B3291">
        <w:t>con varios problemas a saber:</w:t>
      </w:r>
    </w:p>
    <w:p w14:paraId="0E4981A2" w14:textId="759E674F" w:rsidR="001B3291" w:rsidRDefault="000A0ABD" w:rsidP="00F74278">
      <w:pPr>
        <w:pStyle w:val="Prrafodelista"/>
        <w:numPr>
          <w:ilvl w:val="0"/>
          <w:numId w:val="20"/>
        </w:numPr>
        <w:ind w:left="426" w:hanging="426"/>
      </w:pPr>
      <w:r>
        <w:t>Las opciones tarifarias actuales siguen vigentes, donde el saldo acumulado se sigue incrementando</w:t>
      </w:r>
      <w:r w:rsidR="00F012B1">
        <w:t>, con lo que se proyecta que, en algunos mercados, se deben alcanzar valores de costo unitario alrededor de 1.</w:t>
      </w:r>
      <w:r w:rsidR="00C22EC9">
        <w:t>3</w:t>
      </w:r>
      <w:r w:rsidR="00F012B1">
        <w:t>00</w:t>
      </w:r>
      <w:r w:rsidR="00E14383">
        <w:t xml:space="preserve"> $</w:t>
      </w:r>
      <w:r w:rsidR="00F012B1">
        <w:t xml:space="preserve">/kWh </w:t>
      </w:r>
      <w:r w:rsidR="005B3766">
        <w:t>con tiempos de recuperación de saldo largos (más de cinco años)</w:t>
      </w:r>
      <w:r w:rsidR="001829FE">
        <w:t>.</w:t>
      </w:r>
    </w:p>
    <w:p w14:paraId="59C0DF29" w14:textId="10B76926" w:rsidR="00CD1435" w:rsidRDefault="005B3766" w:rsidP="00F74278">
      <w:pPr>
        <w:pStyle w:val="Prrafodelista"/>
        <w:numPr>
          <w:ilvl w:val="0"/>
          <w:numId w:val="20"/>
        </w:numPr>
        <w:ind w:left="426" w:hanging="426"/>
      </w:pPr>
      <w:r>
        <w:t xml:space="preserve">Dada la diferencia de </w:t>
      </w:r>
      <w:r w:rsidR="00B00D20">
        <w:t>c</w:t>
      </w:r>
      <w:r>
        <w:t xml:space="preserve">osto unitario entre el comercializador incumbente (opción tarifaria) y el de un comercializador entrante, es posible que se presente </w:t>
      </w:r>
      <w:r w:rsidR="00E1463C">
        <w:t xml:space="preserve">la denominada “competencia artificial” (también </w:t>
      </w:r>
      <w:r w:rsidR="00987A37">
        <w:t xml:space="preserve">mencionada como </w:t>
      </w:r>
      <w:r w:rsidR="00E1463C">
        <w:t>“descreme de mercado” o “</w:t>
      </w:r>
      <w:r w:rsidR="00343284">
        <w:t xml:space="preserve">condición de </w:t>
      </w:r>
      <w:r w:rsidR="00E1463C">
        <w:t>arbitraje</w:t>
      </w:r>
      <w:r w:rsidR="00343284">
        <w:t xml:space="preserve">”) </w:t>
      </w:r>
      <w:r w:rsidR="00987A37">
        <w:t>donde un usuario</w:t>
      </w:r>
      <w:r w:rsidR="00C12BF4">
        <w:t xml:space="preserve">, que hace parte de un mercado que generó saldos acumulados, </w:t>
      </w:r>
      <w:r w:rsidR="00987A37">
        <w:t xml:space="preserve">puede cambiar de comercializador </w:t>
      </w:r>
      <w:r w:rsidR="00CF6315">
        <w:t xml:space="preserve">lo cual influye directamente sobre las </w:t>
      </w:r>
      <w:r w:rsidR="00CD1435">
        <w:t>tarifas de los demás usuarios que permanecen con el comercializador incumbente, a quienes las tarifas le son incrementadas</w:t>
      </w:r>
      <w:r w:rsidR="00C27BD2">
        <w:t xml:space="preserve">, para cubrir la demanda </w:t>
      </w:r>
      <w:r w:rsidR="00CD1435">
        <w:t>del usuario que cambia de comercializador</w:t>
      </w:r>
      <w:r w:rsidR="00C27BD2">
        <w:t xml:space="preserve"> y que ya no asumiría su cuota parte </w:t>
      </w:r>
      <w:r w:rsidR="0020497B">
        <w:t>del saldo</w:t>
      </w:r>
      <w:r w:rsidR="00CD1435">
        <w:t>.</w:t>
      </w:r>
    </w:p>
    <w:p w14:paraId="2393F873" w14:textId="4E87C217" w:rsidR="00BF4342" w:rsidRDefault="00E84EAC" w:rsidP="00F74278">
      <w:pPr>
        <w:pStyle w:val="Prrafodelista"/>
        <w:numPr>
          <w:ilvl w:val="0"/>
          <w:numId w:val="20"/>
        </w:numPr>
        <w:ind w:left="426" w:hanging="426"/>
      </w:pPr>
      <w:r>
        <w:t xml:space="preserve">De cualquier forma, esta alternativa permite </w:t>
      </w:r>
      <w:r w:rsidR="00155B85">
        <w:t xml:space="preserve">continuar con los problemas que se han evidenciado y, aunque se ha considerado como parte de </w:t>
      </w:r>
      <w:r w:rsidR="0008356B">
        <w:t>la aplicació</w:t>
      </w:r>
      <w:r w:rsidR="00F404C6">
        <w:t xml:space="preserve">n del análisis de impacto normativo, no </w:t>
      </w:r>
      <w:r w:rsidR="00443829">
        <w:t xml:space="preserve">se considera adecuada </w:t>
      </w:r>
      <w:r w:rsidR="00142E10">
        <w:t>al</w:t>
      </w:r>
      <w:r w:rsidR="00F23D86">
        <w:t xml:space="preserve"> no </w:t>
      </w:r>
      <w:r w:rsidR="00142E10">
        <w:t>corregir los problemas detectados</w:t>
      </w:r>
      <w:r w:rsidR="00EA7C86">
        <w:t xml:space="preserve"> en la mayoría de los mercados de comercialización</w:t>
      </w:r>
      <w:r w:rsidR="00F63E67">
        <w:t>.</w:t>
      </w:r>
    </w:p>
    <w:p w14:paraId="669F20FB" w14:textId="08DEC2BA" w:rsidR="00EA7C86" w:rsidRDefault="00835E17" w:rsidP="00F74278">
      <w:pPr>
        <w:pStyle w:val="Prrafodelista"/>
        <w:numPr>
          <w:ilvl w:val="0"/>
          <w:numId w:val="20"/>
        </w:numPr>
        <w:ind w:left="426" w:hanging="426"/>
      </w:pPr>
      <w:r>
        <w:lastRenderedPageBreak/>
        <w:t xml:space="preserve">Al respecto, se señala </w:t>
      </w:r>
      <w:r w:rsidR="00EA7C86">
        <w:t xml:space="preserve">que </w:t>
      </w:r>
      <w:r w:rsidR="00F74278">
        <w:t>varios</w:t>
      </w:r>
      <w:r w:rsidR="00EA7C86">
        <w:t xml:space="preserve"> mercados de comercialización</w:t>
      </w:r>
      <w:r>
        <w:t>,</w:t>
      </w:r>
      <w:r w:rsidR="00EA7C86">
        <w:t xml:space="preserve"> desde hace </w:t>
      </w:r>
      <w:r w:rsidR="00F74278">
        <w:t>algunos</w:t>
      </w:r>
      <w:r w:rsidR="00EA7C86">
        <w:t xml:space="preserve"> meses</w:t>
      </w:r>
      <w:r>
        <w:t>,</w:t>
      </w:r>
      <w:r w:rsidR="00EA7C86">
        <w:t xml:space="preserve"> terminaron la aplicación de la opción tarifaria y que algunos mercados de comercialización tienen saldos acumulados relativamente bajos que podrían ser recuperados con la metodología actual sin ocasionar impactos importantes en </w:t>
      </w:r>
      <w:r>
        <w:t>su</w:t>
      </w:r>
      <w:r w:rsidR="00EA7C86">
        <w:t xml:space="preserve"> mercado.</w:t>
      </w:r>
    </w:p>
    <w:p w14:paraId="3B2738AE" w14:textId="7726DB79" w:rsidR="00F74278" w:rsidRDefault="00F74278" w:rsidP="00F74278">
      <w:pPr>
        <w:pStyle w:val="Prrafodelista"/>
        <w:numPr>
          <w:ilvl w:val="0"/>
          <w:numId w:val="20"/>
        </w:numPr>
        <w:ind w:left="426" w:hanging="426"/>
      </w:pPr>
      <w:r>
        <w:t xml:space="preserve">No </w:t>
      </w:r>
      <w:r w:rsidR="00FB4FC4">
        <w:t>se crea ninguna posibilidad para financiación de saldos.</w:t>
      </w:r>
    </w:p>
    <w:p w14:paraId="33BC84F4" w14:textId="7D1217ED" w:rsidR="00FB4FC4" w:rsidRDefault="00FB4FC4" w:rsidP="00F74278">
      <w:pPr>
        <w:pStyle w:val="Prrafodelista"/>
        <w:numPr>
          <w:ilvl w:val="0"/>
          <w:numId w:val="20"/>
        </w:numPr>
        <w:ind w:left="426" w:hanging="426"/>
      </w:pPr>
      <w:r>
        <w:t xml:space="preserve">Las tarifas pueden aumentar sin control </w:t>
      </w:r>
      <w:r w:rsidR="007E19DC">
        <w:t>en aquellos mercados donde la brecha es alta y/o se requiera comenzar a recuperar el saldo de manera acelerada.</w:t>
      </w:r>
    </w:p>
    <w:p w14:paraId="3B187958" w14:textId="589B5247" w:rsidR="00652B66" w:rsidRDefault="00652B66" w:rsidP="00652B66">
      <w:pPr>
        <w:pStyle w:val="Prrafodelista"/>
        <w:numPr>
          <w:ilvl w:val="0"/>
          <w:numId w:val="20"/>
        </w:numPr>
        <w:ind w:left="426" w:hanging="426"/>
      </w:pPr>
      <w:r>
        <w:t xml:space="preserve">Esta alternativa resulta indeseable para los usuarios por la posibilidad de que la situación financiera crítica de algunas empresas las lleve a </w:t>
      </w:r>
      <w:r w:rsidR="00625C4C">
        <w:t>una recuperación incontrolada</w:t>
      </w:r>
      <w:r>
        <w:t xml:space="preserve"> del saldo acumulado.</w:t>
      </w:r>
    </w:p>
    <w:p w14:paraId="5C184292" w14:textId="3A5BDA0D" w:rsidR="00CB7CA1" w:rsidRPr="00061307" w:rsidRDefault="0067471B" w:rsidP="00DB3094">
      <w:pPr>
        <w:pStyle w:val="Ttulo2"/>
      </w:pPr>
      <w:bookmarkStart w:id="104" w:name="_Toc58087331"/>
      <w:bookmarkStart w:id="105" w:name="_Toc58087333"/>
      <w:bookmarkStart w:id="106" w:name="_Toc58087334"/>
      <w:bookmarkStart w:id="107" w:name="_Toc152921860"/>
      <w:bookmarkEnd w:id="104"/>
      <w:bookmarkEnd w:id="105"/>
      <w:bookmarkEnd w:id="106"/>
      <w:r>
        <w:rPr>
          <w:rFonts w:eastAsiaTheme="minorHAnsi"/>
        </w:rPr>
        <w:t>Individualización de saldos</w:t>
      </w:r>
      <w:bookmarkEnd w:id="107"/>
    </w:p>
    <w:p w14:paraId="3961F71C" w14:textId="0CBB49B2" w:rsidR="00B30E44" w:rsidRDefault="00B30E44" w:rsidP="00D35E65">
      <w:r w:rsidRPr="00D44E34">
        <w:t>Esta alternativa considera las siguientes características:</w:t>
      </w:r>
    </w:p>
    <w:p w14:paraId="3D048430" w14:textId="65EFB001" w:rsidR="00B30E44" w:rsidRDefault="00B30E44">
      <w:pPr>
        <w:pStyle w:val="Prrafodelista"/>
        <w:numPr>
          <w:ilvl w:val="0"/>
          <w:numId w:val="11"/>
        </w:numPr>
      </w:pPr>
      <w:r>
        <w:t>Fin de la opción vigente en un mercado de comercialización.</w:t>
      </w:r>
    </w:p>
    <w:p w14:paraId="682F8712" w14:textId="0A5E671D" w:rsidR="00D8662F" w:rsidRDefault="00E85E9E">
      <w:pPr>
        <w:pStyle w:val="Prrafodelista"/>
        <w:numPr>
          <w:ilvl w:val="0"/>
          <w:numId w:val="11"/>
        </w:numPr>
      </w:pPr>
      <w:r>
        <w:t>Determinación de un saldo particular por usuario, liquidado c</w:t>
      </w:r>
      <w:r w:rsidR="00D8662F">
        <w:t>on base en los consumos realizados en cada periodo, entre el 2020 y el momento de finalización de la opción</w:t>
      </w:r>
      <w:r>
        <w:t>.</w:t>
      </w:r>
      <w:r w:rsidR="00E715D1">
        <w:t xml:space="preserve"> </w:t>
      </w:r>
    </w:p>
    <w:p w14:paraId="72B9C62F" w14:textId="0CE95810" w:rsidR="003C1226" w:rsidRDefault="003C1226">
      <w:pPr>
        <w:pStyle w:val="Prrafodelista"/>
        <w:numPr>
          <w:ilvl w:val="0"/>
          <w:numId w:val="11"/>
        </w:numPr>
      </w:pPr>
      <w:r>
        <w:t xml:space="preserve">Una vez se finalice la opción tarifaria, se cobra el CU </w:t>
      </w:r>
      <w:r w:rsidR="00951F9C">
        <w:t>calculado con base en la Resolución CREG 119 de 2007</w:t>
      </w:r>
      <w:r w:rsidR="00E66609">
        <w:t>.</w:t>
      </w:r>
    </w:p>
    <w:p w14:paraId="6559C8E0" w14:textId="7963D7BF" w:rsidR="0054253A" w:rsidRDefault="008A15D0" w:rsidP="00D35E65">
      <w:r>
        <w:t xml:space="preserve">Para efectos de comparación, en </w:t>
      </w:r>
      <w:r w:rsidR="0054253A">
        <w:t xml:space="preserve">la </w:t>
      </w:r>
      <w:r w:rsidR="00A91E94">
        <w:t xml:space="preserve">gráfica </w:t>
      </w:r>
      <w:fldSimple w:instr=" SEQ Gráfica \* ARABIC ">
        <w:r w:rsidR="00A91E94">
          <w:rPr>
            <w:noProof/>
          </w:rPr>
          <w:t>8</w:t>
        </w:r>
      </w:fldSimple>
      <w:r w:rsidR="00A91E94">
        <w:t xml:space="preserve"> </w:t>
      </w:r>
      <w:r w:rsidR="0054253A">
        <w:t>se presenta</w:t>
      </w:r>
      <w:r w:rsidR="00A91E94">
        <w:t>,</w:t>
      </w:r>
      <w:r w:rsidR="0054253A">
        <w:t xml:space="preserve"> </w:t>
      </w:r>
      <w:r w:rsidR="00AA6F27">
        <w:t>para cada mercado de comercialización</w:t>
      </w:r>
      <w:r w:rsidR="00A91E94">
        <w:t>,</w:t>
      </w:r>
      <w:r w:rsidR="00AA6F27">
        <w:t xml:space="preserve"> el valor promedio de la factura mensual </w:t>
      </w:r>
      <w:r w:rsidR="005D0557">
        <w:t xml:space="preserve">estimado con el CU de cada mercado y </w:t>
      </w:r>
      <w:r w:rsidR="007275C0">
        <w:t xml:space="preserve">el consumo </w:t>
      </w:r>
      <w:r w:rsidR="004950B0">
        <w:t>pro</w:t>
      </w:r>
      <w:r w:rsidR="007275C0">
        <w:t xml:space="preserve">medio </w:t>
      </w:r>
      <w:r w:rsidR="00B92265">
        <w:t xml:space="preserve">de un </w:t>
      </w:r>
      <w:r w:rsidR="007275C0">
        <w:t>usuario residencial</w:t>
      </w:r>
      <w:r w:rsidR="007325D2">
        <w:t xml:space="preserve"> de dicho mercado</w:t>
      </w:r>
      <w:r w:rsidR="005B5318">
        <w:t>. E</w:t>
      </w:r>
      <w:r w:rsidR="007275C0">
        <w:t>ste valor es equivalente al de un usuario de estrato 4 ya que no incluye subsidios ni contribuciones</w:t>
      </w:r>
      <w:r w:rsidR="00AB5AD3">
        <w:t xml:space="preserve">, adicionalmente se presenta el </w:t>
      </w:r>
      <w:r w:rsidR="00A84CDF">
        <w:t xml:space="preserve">valor de la deuda individualizada </w:t>
      </w:r>
      <w:r w:rsidR="00621470">
        <w:t xml:space="preserve">en pesos, </w:t>
      </w:r>
      <w:r w:rsidR="00966BA3">
        <w:t xml:space="preserve">considerando </w:t>
      </w:r>
      <w:r w:rsidR="00240AA7">
        <w:t>el consumo promedio</w:t>
      </w:r>
      <w:r w:rsidR="00AE7619">
        <w:t>.</w:t>
      </w:r>
      <w:r w:rsidR="007275C0">
        <w:t xml:space="preserve"> </w:t>
      </w:r>
    </w:p>
    <w:p w14:paraId="2A73358B" w14:textId="51F5CF00" w:rsidR="006B3DDD" w:rsidRDefault="00C85F0B" w:rsidP="003C7B49">
      <w:pPr>
        <w:pStyle w:val="Descripcin"/>
        <w:spacing w:before="240" w:after="240"/>
        <w:jc w:val="center"/>
      </w:pPr>
      <w:r w:rsidRPr="00DD6FD2">
        <w:t xml:space="preserve">Gráfica </w:t>
      </w:r>
      <w:r>
        <w:t xml:space="preserve">8 </w:t>
      </w:r>
      <w:r>
        <w:rPr>
          <w:noProof/>
        </w:rPr>
        <w:t>Estimación</w:t>
      </w:r>
      <w:r w:rsidR="00365D2D">
        <w:t xml:space="preserve"> de deuda individualizada y valor de factura promedio mensual</w:t>
      </w:r>
      <w:r w:rsidR="00205432">
        <w:t xml:space="preserve"> a agosto de 2023</w:t>
      </w:r>
    </w:p>
    <w:p w14:paraId="0230C7F2" w14:textId="4AB9F85A" w:rsidR="006B3DDD" w:rsidRDefault="00735B11" w:rsidP="00D35E65">
      <w:pPr>
        <w:jc w:val="center"/>
      </w:pPr>
      <w:r w:rsidRPr="00735B11">
        <w:rPr>
          <w:noProof/>
        </w:rPr>
        <w:drawing>
          <wp:inline distT="0" distB="0" distL="0" distR="0" wp14:anchorId="71332AEE" wp14:editId="187735F8">
            <wp:extent cx="5112385" cy="2029950"/>
            <wp:effectExtent l="0" t="0" r="0" b="8890"/>
            <wp:docPr id="867566870" name="Gráfico 867566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566870" name="Imagen 867566870"/>
                    <pic:cNvPicPr>
                      <a:picLocks noChangeAspect="1" noChangeArrowheads="1"/>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bwMode="auto">
                    <a:xfrm>
                      <a:off x="0" y="0"/>
                      <a:ext cx="5117688" cy="2032056"/>
                    </a:xfrm>
                    <a:prstGeom prst="rect">
                      <a:avLst/>
                    </a:prstGeom>
                  </pic:spPr>
                </pic:pic>
              </a:graphicData>
            </a:graphic>
          </wp:inline>
        </w:drawing>
      </w:r>
    </w:p>
    <w:p w14:paraId="763B1691" w14:textId="5FED0926" w:rsidR="00A8032A" w:rsidRPr="00D35E65" w:rsidRDefault="00A07A23" w:rsidP="006D5032">
      <w:pPr>
        <w:keepNext/>
        <w:spacing w:before="240" w:after="240"/>
        <w:rPr>
          <w:b/>
          <w:bCs/>
        </w:rPr>
      </w:pPr>
      <w:r w:rsidRPr="00D35E65">
        <w:rPr>
          <w:b/>
          <w:bCs/>
        </w:rPr>
        <w:lastRenderedPageBreak/>
        <w:t>Ventajas</w:t>
      </w:r>
    </w:p>
    <w:p w14:paraId="76B9C1ED" w14:textId="53DDB847" w:rsidR="005977D2" w:rsidRDefault="00A665AA" w:rsidP="00D35E65">
      <w:r>
        <w:t>Dado que en e</w:t>
      </w:r>
      <w:r w:rsidR="00AC14DA">
        <w:t xml:space="preserve">sta alternativa </w:t>
      </w:r>
      <w:r>
        <w:t>se prevé finalizar la opción vigente, se considera que existe un control de saldos</w:t>
      </w:r>
      <w:r w:rsidR="005977D2">
        <w:t>, alcanzando el objetivo a) planteado.</w:t>
      </w:r>
    </w:p>
    <w:p w14:paraId="6B112B96" w14:textId="32A56807" w:rsidR="001551C5" w:rsidRDefault="001551C5" w:rsidP="00D35E65">
      <w:r>
        <w:t xml:space="preserve">No </w:t>
      </w:r>
      <w:r w:rsidR="00A545F9">
        <w:t xml:space="preserve">es aplicable el objetivo b) dado que </w:t>
      </w:r>
      <w:r w:rsidR="00A8032A">
        <w:t xml:space="preserve">la manera de recuperación de los saldos es individual. </w:t>
      </w:r>
    </w:p>
    <w:p w14:paraId="53731785" w14:textId="0CC20F48" w:rsidR="00A9281B" w:rsidRDefault="009602FB" w:rsidP="00D35E65">
      <w:r>
        <w:t xml:space="preserve">Se </w:t>
      </w:r>
      <w:r w:rsidR="006866E4">
        <w:t xml:space="preserve">alcanza el objetivo c) dado que cada usuario tendrá la aplicación de un CU que no </w:t>
      </w:r>
      <w:r w:rsidR="002D338E">
        <w:t>integra valores de opción tarifaria y tiene una individualización del saldo.</w:t>
      </w:r>
      <w:r>
        <w:t xml:space="preserve"> </w:t>
      </w:r>
    </w:p>
    <w:p w14:paraId="27D68E16" w14:textId="03748D0F" w:rsidR="00F27DE0" w:rsidRDefault="007F40F9" w:rsidP="00D35E65">
      <w:r>
        <w:t xml:space="preserve">En la medida que se puedan realizar otras opciones tarifarias para el manejo de posteriores aumentos del CU, </w:t>
      </w:r>
      <w:r w:rsidR="007449F0">
        <w:t xml:space="preserve">se considera que se cumple con el objetivo </w:t>
      </w:r>
      <w:r w:rsidR="003025C5">
        <w:t>d).</w:t>
      </w:r>
      <w:r w:rsidR="007449F0">
        <w:t xml:space="preserve"> </w:t>
      </w:r>
      <w:r w:rsidR="00A665AA">
        <w:t xml:space="preserve"> </w:t>
      </w:r>
    </w:p>
    <w:p w14:paraId="257E5652" w14:textId="7E836F70" w:rsidR="00F27DE0" w:rsidRPr="00D35E65" w:rsidRDefault="00A07A23" w:rsidP="006D5032">
      <w:pPr>
        <w:spacing w:before="240" w:after="240"/>
        <w:rPr>
          <w:b/>
          <w:bCs/>
        </w:rPr>
      </w:pPr>
      <w:r w:rsidRPr="00D35E65">
        <w:rPr>
          <w:b/>
          <w:bCs/>
        </w:rPr>
        <w:t>Desventajas</w:t>
      </w:r>
    </w:p>
    <w:p w14:paraId="0907F486" w14:textId="74BA915A" w:rsidR="00A07A23" w:rsidRDefault="00A6118A" w:rsidP="00D35E65">
      <w:r>
        <w:t xml:space="preserve">La implementación es compleja dado que requiere de la liquidación de saldos particulares </w:t>
      </w:r>
      <w:r w:rsidR="008F5C7A">
        <w:t xml:space="preserve">sin que el usuario </w:t>
      </w:r>
      <w:r w:rsidR="00460247">
        <w:t xml:space="preserve">haya sido </w:t>
      </w:r>
      <w:r w:rsidR="008F5C7A">
        <w:t>consciente de haber adquirido una responsabilidad de pago de un “saldo”</w:t>
      </w:r>
      <w:r w:rsidR="002C5287">
        <w:t>.</w:t>
      </w:r>
    </w:p>
    <w:p w14:paraId="01DFD2E5" w14:textId="7C32DDF7" w:rsidR="00ED4DE0" w:rsidRDefault="00ED4DE0" w:rsidP="00D35E65">
      <w:r>
        <w:t>La individualizaci</w:t>
      </w:r>
      <w:r w:rsidR="00A66605">
        <w:t>ón</w:t>
      </w:r>
      <w:r>
        <w:t xml:space="preserve"> de saldos puede ser objeto de acuerdos de pago</w:t>
      </w:r>
      <w:r w:rsidR="00AD3592">
        <w:t xml:space="preserve"> individuales </w:t>
      </w:r>
      <w:r w:rsidR="00A66605">
        <w:t>entre empresa y cada usuario, lo cual vuelve compleja su aplicación y seguimiento.</w:t>
      </w:r>
    </w:p>
    <w:p w14:paraId="668940D9" w14:textId="7F779022" w:rsidR="00AA03B2" w:rsidRPr="00C53081" w:rsidRDefault="00156171" w:rsidP="00D35E65">
      <w:r>
        <w:t xml:space="preserve">Cuando se ha iniciado una opción </w:t>
      </w:r>
      <w:r w:rsidR="00C206AA">
        <w:t xml:space="preserve">para que sus </w:t>
      </w:r>
      <w:r w:rsidR="00C206AA" w:rsidRPr="00AD7FF5">
        <w:t xml:space="preserve">saldos sean pagados por un mercado y se ha </w:t>
      </w:r>
      <w:r w:rsidR="00AD7FF5">
        <w:t xml:space="preserve">avalado su aplicación </w:t>
      </w:r>
      <w:r w:rsidR="00C206AA" w:rsidRPr="00AD7FF5">
        <w:t>por parte de</w:t>
      </w:r>
      <w:r w:rsidR="00AD7FF5" w:rsidRPr="00AD7FF5">
        <w:t>l Consejo de Estado</w:t>
      </w:r>
      <w:r w:rsidR="00AD7FF5">
        <w:t>, j</w:t>
      </w:r>
      <w:r w:rsidR="001169F6" w:rsidRPr="00AD7FF5">
        <w:t>urídicamente</w:t>
      </w:r>
      <w:r w:rsidR="00D00E21" w:rsidRPr="00AD7FF5">
        <w:t xml:space="preserve"> se </w:t>
      </w:r>
      <w:r w:rsidR="001169F6" w:rsidRPr="00AD7FF5">
        <w:t xml:space="preserve">puede </w:t>
      </w:r>
      <w:r w:rsidR="00D00E21" w:rsidRPr="00AD7FF5">
        <w:t>considerar que la defi</w:t>
      </w:r>
      <w:r w:rsidR="00D00E21" w:rsidRPr="00C53081">
        <w:t xml:space="preserve">nición de una </w:t>
      </w:r>
      <w:r w:rsidR="0045349B" w:rsidRPr="00C53081">
        <w:t>individualización</w:t>
      </w:r>
      <w:r w:rsidR="00D00E21" w:rsidRPr="00C53081">
        <w:t xml:space="preserve"> </w:t>
      </w:r>
      <w:r w:rsidR="0045349B" w:rsidRPr="00C53081">
        <w:t>de saldos</w:t>
      </w:r>
      <w:r w:rsidR="002A3B1F">
        <w:t xml:space="preserve"> es </w:t>
      </w:r>
      <w:r w:rsidR="00D00E21" w:rsidRPr="00C53081">
        <w:t>retroactiva</w:t>
      </w:r>
      <w:r>
        <w:t>, razón por la cual se incumple el objetivo e).</w:t>
      </w:r>
      <w:r w:rsidR="00D00E21" w:rsidRPr="00C53081">
        <w:t xml:space="preserve"> </w:t>
      </w:r>
    </w:p>
    <w:p w14:paraId="20B6017C" w14:textId="060954C6" w:rsidR="00910BD4" w:rsidRPr="00C53081" w:rsidRDefault="00910BD4" w:rsidP="00D35E65">
      <w:r w:rsidRPr="00C53081">
        <w:t xml:space="preserve">La forma de recuperar el saldo de manera individual, para efectos de no ser considerado retroactiva, </w:t>
      </w:r>
      <w:r w:rsidR="006908E5" w:rsidRPr="00C53081">
        <w:t xml:space="preserve">puede terminar en la definición de un tributo, al no ser considerado como un costo de la prestación del servicio. </w:t>
      </w:r>
    </w:p>
    <w:p w14:paraId="21563B0C" w14:textId="7B01F32F" w:rsidR="003D6044" w:rsidRDefault="0067375E" w:rsidP="00D35E65">
      <w:r w:rsidRPr="00C53081">
        <w:t xml:space="preserve">Acorde con el artículo 125 de la Ley 142 de 1994, no es posible el cobro de aspectos </w:t>
      </w:r>
      <w:r w:rsidR="00A57349" w:rsidRPr="00C53081">
        <w:t xml:space="preserve">relacionados con facturas de más de cinco meses de haber sido expedidas, por lo que se advierte una complejidad para la liquidación y cobro de </w:t>
      </w:r>
      <w:r w:rsidR="003D6044" w:rsidRPr="00C53081">
        <w:t>dichos saldos individuales</w:t>
      </w:r>
      <w:r w:rsidR="00301584" w:rsidRPr="00C53081">
        <w:t xml:space="preserve"> y que su recuperación </w:t>
      </w:r>
      <w:r w:rsidR="00F16039" w:rsidRPr="00C53081">
        <w:t>se</w:t>
      </w:r>
      <w:r w:rsidR="0051516D" w:rsidRPr="00C53081">
        <w:t>a considerada como una reliquidación, la cual tiene esta limitante de tiempo</w:t>
      </w:r>
      <w:r w:rsidR="003D6044" w:rsidRPr="00C53081">
        <w:t>.</w:t>
      </w:r>
    </w:p>
    <w:p w14:paraId="6A205E0C" w14:textId="77777777" w:rsidR="00DF6075" w:rsidRDefault="00123A8E" w:rsidP="00D35E65">
      <w:r>
        <w:t xml:space="preserve">El esfuerzo regulatorio que debe realizarse </w:t>
      </w:r>
      <w:r w:rsidR="00EC3F2B">
        <w:t>para hacer efectiva esta opción requiere de la modificació</w:t>
      </w:r>
      <w:r w:rsidR="009937E3">
        <w:t>n, como mínimo, de la norma de opción tarifaria y de</w:t>
      </w:r>
      <w:r w:rsidR="007D390D">
        <w:t>l reglamento de comercialización.</w:t>
      </w:r>
    </w:p>
    <w:p w14:paraId="7848CDA3" w14:textId="77777777" w:rsidR="00410459" w:rsidRDefault="003E4AB6" w:rsidP="00D35E65">
      <w:r>
        <w:t xml:space="preserve">Es posible que los saldos se incrementen en la medida que </w:t>
      </w:r>
      <w:r w:rsidR="00410459">
        <w:t>se acepten nuevas opciones tarifarias.</w:t>
      </w:r>
    </w:p>
    <w:p w14:paraId="5BCF3D75" w14:textId="77777777" w:rsidR="00447116" w:rsidRDefault="00410459" w:rsidP="00D35E65">
      <w:r>
        <w:t xml:space="preserve">Dado que la liquidación </w:t>
      </w:r>
      <w:r w:rsidR="003259FE">
        <w:t xml:space="preserve">y cobro </w:t>
      </w:r>
      <w:r>
        <w:t>es particular</w:t>
      </w:r>
      <w:r w:rsidR="003259FE">
        <w:t>, es de difícil vigilancia y control por lo que se presumen aumentos de procedimientos administrativos por parte de la SSPD</w:t>
      </w:r>
      <w:r w:rsidR="00743EED">
        <w:t xml:space="preserve">, para revisar </w:t>
      </w:r>
      <w:r w:rsidR="00447116">
        <w:t>casos particulares.</w:t>
      </w:r>
    </w:p>
    <w:p w14:paraId="1EF7A7AB" w14:textId="7A71E9B2" w:rsidR="00F226C2" w:rsidRPr="008205DE" w:rsidRDefault="0035145F" w:rsidP="00DB3094">
      <w:pPr>
        <w:pStyle w:val="Ttulo2"/>
        <w:rPr>
          <w:rFonts w:cs="Arial"/>
          <w:color w:val="000000"/>
          <w:spacing w:val="-5"/>
          <w:szCs w:val="18"/>
        </w:rPr>
      </w:pPr>
      <w:bookmarkStart w:id="108" w:name="_Toc152921861"/>
      <w:bookmarkStart w:id="109" w:name="_Toc58246293"/>
      <w:bookmarkStart w:id="110" w:name="_Toc58312339"/>
      <w:bookmarkStart w:id="111" w:name="_Toc58405816"/>
      <w:r>
        <w:t>C</w:t>
      </w:r>
      <w:r w:rsidR="000A471B">
        <w:t xml:space="preserve">reación </w:t>
      </w:r>
      <w:r w:rsidR="002D6725">
        <w:t xml:space="preserve">temporal </w:t>
      </w:r>
      <w:r w:rsidR="000A471B">
        <w:t>de un cargo de mercado</w:t>
      </w:r>
      <w:bookmarkEnd w:id="108"/>
      <w:r w:rsidR="00215AFF" w:rsidRPr="00284206" w:rsidDel="005979B0">
        <w:t xml:space="preserve"> </w:t>
      </w:r>
    </w:p>
    <w:p w14:paraId="77D7D9C5" w14:textId="77777777" w:rsidR="00B469A4" w:rsidRDefault="00B469A4" w:rsidP="00B469A4">
      <w:r>
        <w:t>Esta alternativa considera las siguientes características:</w:t>
      </w:r>
    </w:p>
    <w:p w14:paraId="546B39AC" w14:textId="30906955" w:rsidR="004B1226" w:rsidRDefault="004B1226">
      <w:pPr>
        <w:pStyle w:val="Prrafodelista"/>
        <w:numPr>
          <w:ilvl w:val="0"/>
          <w:numId w:val="12"/>
        </w:numPr>
      </w:pPr>
      <w:r>
        <w:t xml:space="preserve">Con base en el saldo acumulado de un mercado de comercialización, una tasa y una duración que no puede exceder los diez años, se calcula un costo de mercado a ser incluido en el costo de comercialización de todos los usuarios en un mismo mercado </w:t>
      </w:r>
      <w:r>
        <w:lastRenderedPageBreak/>
        <w:t>independientemente del prestador del servicio que lo atienda, cumpliendo con el objetivo c).</w:t>
      </w:r>
    </w:p>
    <w:p w14:paraId="22D29748" w14:textId="50D92CC6" w:rsidR="00B469A4" w:rsidRDefault="00B469A4">
      <w:pPr>
        <w:pStyle w:val="Prrafodelista"/>
        <w:numPr>
          <w:ilvl w:val="0"/>
          <w:numId w:val="12"/>
        </w:numPr>
      </w:pPr>
      <w:r>
        <w:t>Fin de la opción vigente en un mercado de comercialización</w:t>
      </w:r>
      <w:r w:rsidR="004B1226">
        <w:t xml:space="preserve"> sujeto a que</w:t>
      </w:r>
      <w:r w:rsidR="001F6411">
        <w:t xml:space="preserve"> la suma del costo de finalizar la opción y </w:t>
      </w:r>
      <w:r w:rsidR="007C4E89">
        <w:t>el cierre de la brecha</w:t>
      </w:r>
      <w:r w:rsidR="00BB5C33">
        <w:t xml:space="preserve"> entre el C</w:t>
      </w:r>
      <w:r w:rsidR="00434A46">
        <w:t>U</w:t>
      </w:r>
      <w:r w:rsidR="00BB5C33">
        <w:t xml:space="preserve"> calculado y el CU a aplicar</w:t>
      </w:r>
      <w:r w:rsidR="007C4E89">
        <w:t xml:space="preserve"> no </w:t>
      </w:r>
      <w:r w:rsidR="007C4E89" w:rsidRPr="006D5032">
        <w:t xml:space="preserve">supere el </w:t>
      </w:r>
      <w:r w:rsidR="00F82A76" w:rsidRPr="006D5032">
        <w:t>3</w:t>
      </w:r>
      <w:r w:rsidR="007C4E89" w:rsidRPr="006D5032">
        <w:t>% del CU aplicado.</w:t>
      </w:r>
      <w:r w:rsidR="007C4E89">
        <w:t xml:space="preserve"> </w:t>
      </w:r>
      <w:r w:rsidR="00805623">
        <w:t>En caso de que</w:t>
      </w:r>
      <w:r w:rsidR="007C4E89">
        <w:t xml:space="preserve"> no se cumpla con esta característica, el comercializador </w:t>
      </w:r>
      <w:r w:rsidR="00913B2A">
        <w:t>que se acoja al mutuo acuerdo planteado deberá con</w:t>
      </w:r>
      <w:r w:rsidR="005F685D">
        <w:t>tinuar con la aplicación de la opción tarifaria hasta alcanzar la condición mencionada</w:t>
      </w:r>
      <w:r w:rsidR="00E115B9">
        <w:t>. Para esto último, el comercializador</w:t>
      </w:r>
      <w:r w:rsidR="00F7685C">
        <w:t xml:space="preserve"> podrá aplicar un costo inferior al calculado con base en la Resolución CREG 1</w:t>
      </w:r>
      <w:r w:rsidR="00255FBB">
        <w:t>1</w:t>
      </w:r>
      <w:r w:rsidR="00F7685C">
        <w:t>9 de 2007</w:t>
      </w:r>
      <w:r w:rsidR="00255FBB">
        <w:t>, recordando que este es un valor máximo.</w:t>
      </w:r>
      <w:r w:rsidR="004B1226">
        <w:t xml:space="preserve"> </w:t>
      </w:r>
    </w:p>
    <w:p w14:paraId="528FFFCB" w14:textId="1661F377" w:rsidR="00BF3A7C" w:rsidRDefault="00BF3A7C">
      <w:pPr>
        <w:pStyle w:val="Prrafodelista"/>
        <w:numPr>
          <w:ilvl w:val="0"/>
          <w:numId w:val="12"/>
        </w:numPr>
      </w:pPr>
      <w:r>
        <w:t>Una vez se finalice la opción tarifaria, se cobra el CU calculado con base en la Resolución CREG 119 de 2007,</w:t>
      </w:r>
      <w:r w:rsidR="0011123A">
        <w:t xml:space="preserve"> aplicando el CU </w:t>
      </w:r>
      <w:r w:rsidR="00220F92">
        <w:t>de mutuo acuerdo que incluye el costo de opción tarifaria.</w:t>
      </w:r>
    </w:p>
    <w:p w14:paraId="624334E9" w14:textId="4681FBEA" w:rsidR="00EE4E04" w:rsidRDefault="00CF6F89">
      <w:pPr>
        <w:pStyle w:val="Prrafodelista"/>
        <w:numPr>
          <w:ilvl w:val="0"/>
          <w:numId w:val="12"/>
        </w:numPr>
      </w:pPr>
      <w:r>
        <w:t>En caso de que un usuario sea atendido</w:t>
      </w:r>
      <w:r w:rsidR="00F62800">
        <w:t xml:space="preserve"> cambie de comercializador, </w:t>
      </w:r>
      <w:r w:rsidR="004659F1">
        <w:t>todos los comercial</w:t>
      </w:r>
      <w:r w:rsidR="00975B70">
        <w:t>i</w:t>
      </w:r>
      <w:r w:rsidR="004659F1">
        <w:t xml:space="preserve">zadores cobrarán un cargo único por este motivo, recursos que serán </w:t>
      </w:r>
      <w:r w:rsidR="00975B70">
        <w:t>d</w:t>
      </w:r>
      <w:r w:rsidR="004659F1">
        <w:t xml:space="preserve">istribuidos </w:t>
      </w:r>
      <w:r w:rsidR="00975B70">
        <w:t>para cubrir los saldos particulares</w:t>
      </w:r>
      <w:r w:rsidR="00EE4E04">
        <w:t>.</w:t>
      </w:r>
    </w:p>
    <w:p w14:paraId="289F20E2" w14:textId="0FCC8FD3" w:rsidR="00B469A4" w:rsidRDefault="00D03EA5">
      <w:pPr>
        <w:pStyle w:val="Prrafodelista"/>
        <w:numPr>
          <w:ilvl w:val="0"/>
          <w:numId w:val="12"/>
        </w:numPr>
      </w:pPr>
      <w:r>
        <w:t>E</w:t>
      </w:r>
      <w:r w:rsidR="0082223C">
        <w:t xml:space="preserve">n caso de requerirse nuevamente, se podrá aplicar una nueva opción tarifaria </w:t>
      </w:r>
      <w:r w:rsidR="00B469A4">
        <w:t>la cual podrá ser aceptada o no por parte del usuario.</w:t>
      </w:r>
    </w:p>
    <w:p w14:paraId="275427B6" w14:textId="77777777" w:rsidR="00B469A4" w:rsidRPr="00FA31CA" w:rsidRDefault="00B469A4" w:rsidP="006D5032">
      <w:pPr>
        <w:spacing w:before="240" w:after="240"/>
        <w:rPr>
          <w:b/>
          <w:bCs/>
        </w:rPr>
      </w:pPr>
      <w:r w:rsidRPr="00FA31CA">
        <w:rPr>
          <w:b/>
          <w:bCs/>
        </w:rPr>
        <w:t>Ventajas</w:t>
      </w:r>
    </w:p>
    <w:p w14:paraId="05458CD2" w14:textId="5C473251" w:rsidR="00B469A4" w:rsidRDefault="00B469A4" w:rsidP="00D35E65">
      <w:r>
        <w:t>Dado que en esta alternativa se prevé finalizar la opción vigente, se considera que existe un control de saldos, alcanzando el objetivo a) planteado.</w:t>
      </w:r>
    </w:p>
    <w:p w14:paraId="7A8E64DA" w14:textId="4F6A005B" w:rsidR="00B469A4" w:rsidRDefault="00CF17C9" w:rsidP="00D35E65">
      <w:r>
        <w:t xml:space="preserve">Se considera que se alcanza completamente el </w:t>
      </w:r>
      <w:r w:rsidR="00B469A4">
        <w:t>objetivo b)</w:t>
      </w:r>
      <w:r>
        <w:t>,</w:t>
      </w:r>
      <w:r w:rsidR="00B469A4">
        <w:t xml:space="preserve"> dado que </w:t>
      </w:r>
      <w:r w:rsidR="00D03EA5" w:rsidRPr="00D03EA5">
        <w:t>se “aplana” el efecto de la opción tarifaria, elimina</w:t>
      </w:r>
      <w:r w:rsidR="00D03EA5">
        <w:t>ndo</w:t>
      </w:r>
      <w:r w:rsidR="00D03EA5" w:rsidRPr="00D03EA5">
        <w:t xml:space="preserve"> el pico del CU producido por la aplicación de la opción</w:t>
      </w:r>
      <w:r w:rsidR="00774364">
        <w:t>.</w:t>
      </w:r>
      <w:r w:rsidR="00EA1AED">
        <w:t xml:space="preserve"> </w:t>
      </w:r>
      <w:r w:rsidR="00AA7FC4">
        <w:t>Además,</w:t>
      </w:r>
      <w:r w:rsidR="00EA1AED">
        <w:t xml:space="preserve"> es posible que los comercializadores apliquen plazos de recuperación de saldos amplios, </w:t>
      </w:r>
      <w:r w:rsidR="00337F63">
        <w:t xml:space="preserve">incluso bajando tarifas para beneficio de los usuarios e incluso enfrentar situaciones adversas de aumentos en otros componentes, </w:t>
      </w:r>
      <w:r w:rsidR="00EA1AED">
        <w:t>en razón a que el costo de opción tarifaria incluye tasas de los créditos obtenidos por el comercializador para financiar dichos recursos</w:t>
      </w:r>
      <w:r w:rsidR="00337F63">
        <w:t>.</w:t>
      </w:r>
      <w:r w:rsidR="00EA1AED">
        <w:t xml:space="preserve"> </w:t>
      </w:r>
    </w:p>
    <w:p w14:paraId="05A5AE95" w14:textId="519E177F" w:rsidR="00DB335D" w:rsidRDefault="00B469A4" w:rsidP="00D35E65">
      <w:r>
        <w:t xml:space="preserve">Se alcanza el objetivo c) </w:t>
      </w:r>
      <w:r w:rsidR="00926013">
        <w:t xml:space="preserve">en aquellos mercados </w:t>
      </w:r>
      <w:r w:rsidR="005943AC">
        <w:t>que inicien la aplicación del mutuo acuerdo,</w:t>
      </w:r>
      <w:r w:rsidR="00926013">
        <w:t xml:space="preserve"> </w:t>
      </w:r>
      <w:r>
        <w:t>dado que cada usuario</w:t>
      </w:r>
      <w:r w:rsidR="007E5806">
        <w:t xml:space="preserve">, independientemente del comercializador que lo atienda, deberá pagar el costo de </w:t>
      </w:r>
      <w:r w:rsidR="005943AC">
        <w:t>la opción tarifaria</w:t>
      </w:r>
      <w:r w:rsidR="007E5806">
        <w:t xml:space="preserve">, </w:t>
      </w:r>
      <w:r w:rsidR="00031DEE">
        <w:t>mediante el cual el comercializador incumbente (o el responsable de la opción tarifaria donde se encontraba el usuario) puede recuperar el saldo acumulado</w:t>
      </w:r>
      <w:r>
        <w:t xml:space="preserve">. </w:t>
      </w:r>
    </w:p>
    <w:p w14:paraId="6AA9F559" w14:textId="5A0BE508" w:rsidR="0009613D" w:rsidRDefault="0020626B" w:rsidP="00D35E65">
      <w:r>
        <w:t xml:space="preserve">Se alcanza el objetivo d) en la </w:t>
      </w:r>
      <w:r w:rsidRPr="006D5032">
        <w:t xml:space="preserve">medida que </w:t>
      </w:r>
      <w:r w:rsidR="00D40A5B" w:rsidRPr="006D5032">
        <w:t xml:space="preserve">se permite que, para mercados con </w:t>
      </w:r>
      <w:r w:rsidR="00AB56F7" w:rsidRPr="006D5032">
        <w:t xml:space="preserve">aumentos superiores </w:t>
      </w:r>
      <w:r w:rsidR="00D40A5B" w:rsidRPr="006D5032">
        <w:t xml:space="preserve">al </w:t>
      </w:r>
      <w:r w:rsidR="00752537" w:rsidRPr="006D5032">
        <w:t>3</w:t>
      </w:r>
      <w:r w:rsidR="00D40A5B" w:rsidRPr="006D5032">
        <w:t>%</w:t>
      </w:r>
      <w:r w:rsidR="00752537" w:rsidRPr="006D5032">
        <w:t xml:space="preserve"> del CU aplicado</w:t>
      </w:r>
      <w:r w:rsidR="00D40A5B" w:rsidRPr="006D5032">
        <w:t>,</w:t>
      </w:r>
      <w:r w:rsidR="00AB56F7" w:rsidRPr="006D5032">
        <w:t xml:space="preserve"> para cubrir tanto la brecha como el costo del </w:t>
      </w:r>
      <w:r w:rsidR="003D65C0" w:rsidRPr="006D5032">
        <w:t>saldo de la opción tarifaria,</w:t>
      </w:r>
      <w:r w:rsidR="00D40A5B" w:rsidRPr="006D5032">
        <w:t xml:space="preserve"> se </w:t>
      </w:r>
      <w:r w:rsidR="004C5E4C" w:rsidRPr="006D5032">
        <w:t>permita la aplicación</w:t>
      </w:r>
      <w:r w:rsidR="004C5E4C">
        <w:t xml:space="preserve"> de otro esquema de financiación que le permita iniciar con el cobro del costo de opción tarifaria, limitando el impacto en las tarifas al usuario final</w:t>
      </w:r>
      <w:r w:rsidR="00B469A4">
        <w:t xml:space="preserve">. </w:t>
      </w:r>
    </w:p>
    <w:p w14:paraId="5348A387" w14:textId="06F6432D" w:rsidR="004C1A2A" w:rsidRDefault="00F7350A" w:rsidP="00D35E65">
      <w:r>
        <w:t>No se evidencian complejidades en su aplicación</w:t>
      </w:r>
      <w:r w:rsidR="004C1A2A">
        <w:t>.</w:t>
      </w:r>
    </w:p>
    <w:p w14:paraId="5720353F" w14:textId="09A79805" w:rsidR="00101427" w:rsidRDefault="00101427" w:rsidP="00D35E65">
      <w:r>
        <w:t>Es una opción con un pago, por parte de todos los usuarios, de manera uniforme donde el control del tiempo es igual para todos y está en control de la Comisión (al definir parámetros mínimos) y del prestador (al momento de aplicarlos dentro de los rangos permitidos)</w:t>
      </w:r>
    </w:p>
    <w:p w14:paraId="61F70F96" w14:textId="5D6AA36D" w:rsidR="00B37FB8" w:rsidRDefault="004C1A2A" w:rsidP="00D35E65">
      <w:r>
        <w:lastRenderedPageBreak/>
        <w:t xml:space="preserve">La vigilancia y el control </w:t>
      </w:r>
      <w:r w:rsidR="00056D9B">
        <w:t xml:space="preserve">son </w:t>
      </w:r>
      <w:r w:rsidR="00FD0FE3">
        <w:t xml:space="preserve">relativamente sencillos </w:t>
      </w:r>
      <w:r>
        <w:t>dada la uniformidad del cargo</w:t>
      </w:r>
      <w:r w:rsidR="00B37FB8">
        <w:t>, vigilando el cierre financiero del saldo.</w:t>
      </w:r>
    </w:p>
    <w:p w14:paraId="5E592BE3" w14:textId="447279C3" w:rsidR="00046207" w:rsidRDefault="00046207" w:rsidP="00B469A4">
      <w:r>
        <w:t>Conserva la naturaleza con base en la cual se creó el saldo acumulado, esto es, como una responsabilidad del mercado en su conjunto</w:t>
      </w:r>
      <w:r w:rsidR="0085694E">
        <w:t>.</w:t>
      </w:r>
    </w:p>
    <w:p w14:paraId="2F909C61" w14:textId="322AB333" w:rsidR="00446D9E" w:rsidRDefault="00181FA1" w:rsidP="00B469A4">
      <w:r>
        <w:t xml:space="preserve">El cargo por mercado puede utilizarse como respaldo para </w:t>
      </w:r>
      <w:r w:rsidR="00C22669">
        <w:t xml:space="preserve">materializar prestamos como los ofrecidos por FINDETER para </w:t>
      </w:r>
      <w:r>
        <w:t xml:space="preserve">aquellos prestadores que requieran liquidez, en el marco del artículo 5 de la Ley 2299 de </w:t>
      </w:r>
      <w:r w:rsidRPr="00E32035">
        <w:t>20</w:t>
      </w:r>
      <w:r w:rsidR="005846DE" w:rsidRPr="00E32035">
        <w:t>2</w:t>
      </w:r>
      <w:r w:rsidRPr="00E32035">
        <w:t>3</w:t>
      </w:r>
      <w:r w:rsidRPr="008153CF">
        <w:t>.</w:t>
      </w:r>
    </w:p>
    <w:p w14:paraId="5E75602A" w14:textId="77777777" w:rsidR="00B469A4" w:rsidRPr="00D35E65" w:rsidRDefault="00B469A4" w:rsidP="006D5032">
      <w:pPr>
        <w:keepNext/>
        <w:spacing w:before="240" w:after="240"/>
        <w:rPr>
          <w:b/>
          <w:bCs/>
        </w:rPr>
      </w:pPr>
      <w:r w:rsidRPr="00D35E65">
        <w:rPr>
          <w:b/>
          <w:bCs/>
        </w:rPr>
        <w:t>Desventajas</w:t>
      </w:r>
    </w:p>
    <w:p w14:paraId="3B74D4CC" w14:textId="450584B1" w:rsidR="00F46D5E" w:rsidRDefault="00F46D5E" w:rsidP="00D35E65">
      <w:r>
        <w:t xml:space="preserve">En aquellos mercados que </w:t>
      </w:r>
      <w:r w:rsidR="008153CF">
        <w:t>decidan no aceptar</w:t>
      </w:r>
      <w:r w:rsidR="00C96213">
        <w:t xml:space="preserve"> la aplicación del mutuo acuerdo seguirá existiendo el riesgo </w:t>
      </w:r>
      <w:r w:rsidR="00AA324E">
        <w:t xml:space="preserve">de </w:t>
      </w:r>
      <w:r w:rsidR="00F42346">
        <w:t>oportunismos (descreme)</w:t>
      </w:r>
      <w:r w:rsidR="008153CF">
        <w:t xml:space="preserve"> y de </w:t>
      </w:r>
      <w:r w:rsidR="00B2686F">
        <w:t xml:space="preserve">incrementos tarifarios </w:t>
      </w:r>
      <w:r w:rsidR="008153CF">
        <w:t>para la recuperación de saldos</w:t>
      </w:r>
      <w:r>
        <w:t>.</w:t>
      </w:r>
    </w:p>
    <w:p w14:paraId="69BEA61D" w14:textId="138E45A8" w:rsidR="00B469A4" w:rsidRDefault="00B469A4" w:rsidP="00D35E65">
      <w:r>
        <w:t>El esfuerzo regulatorio que debe realizarse para hacer efectiva esta opción requiere de la modificación, como mínimo, de la norma de opción tarifaria</w:t>
      </w:r>
      <w:r w:rsidR="0085694E">
        <w:t xml:space="preserve"> y del costo unitario de prestación del servicio</w:t>
      </w:r>
      <w:r>
        <w:t>.</w:t>
      </w:r>
    </w:p>
    <w:p w14:paraId="70F409E6" w14:textId="5C464B83" w:rsidR="008866C2" w:rsidRPr="008205DE" w:rsidRDefault="008866C2" w:rsidP="00DB3094">
      <w:pPr>
        <w:pStyle w:val="Ttulo2"/>
        <w:rPr>
          <w:rFonts w:cs="Arial"/>
          <w:color w:val="000000"/>
          <w:spacing w:val="-5"/>
          <w:szCs w:val="18"/>
        </w:rPr>
      </w:pPr>
      <w:bookmarkStart w:id="112" w:name="_Toc152921862"/>
      <w:bookmarkStart w:id="113" w:name="_Toc45821472"/>
      <w:bookmarkStart w:id="114" w:name="_Toc57992623"/>
      <w:bookmarkStart w:id="115" w:name="_Toc58312342"/>
      <w:bookmarkStart w:id="116" w:name="_Toc58405819"/>
      <w:bookmarkEnd w:id="109"/>
      <w:bookmarkEnd w:id="110"/>
      <w:bookmarkEnd w:id="111"/>
      <w:r>
        <w:t xml:space="preserve">Análisis </w:t>
      </w:r>
      <w:r w:rsidR="00630ED4">
        <w:t xml:space="preserve">jurídico </w:t>
      </w:r>
      <w:r w:rsidR="00033395">
        <w:t xml:space="preserve">comparativo </w:t>
      </w:r>
      <w:r>
        <w:t>de las alternativas</w:t>
      </w:r>
      <w:bookmarkEnd w:id="112"/>
    </w:p>
    <w:p w14:paraId="427F8DD6" w14:textId="77777777" w:rsidR="00BC366A" w:rsidRDefault="00041C64" w:rsidP="00D35E65">
      <w:r>
        <w:t>Para la</w:t>
      </w:r>
      <w:r w:rsidR="00CE203F">
        <w:t xml:space="preserve"> identificación de las alternativas y su implementación e</w:t>
      </w:r>
      <w:r w:rsidR="00476482">
        <w:t>s</w:t>
      </w:r>
      <w:r w:rsidR="00CE203F">
        <w:t xml:space="preserve"> importante tener una serie de consideraciones en la medida que se viene actualmente aplicando una opción tarifaria, siendo esto un elemento igualmente importante al momento de considerar una alternativa regulatoria, que no solo permita de mejor forma solucionar el problema actual en un análisis de elementos a favor o en contra como parte de un ejercicio de análisis </w:t>
      </w:r>
      <w:r w:rsidR="00384D3B">
        <w:t>multicriterio</w:t>
      </w:r>
      <w:r w:rsidR="00CE203F">
        <w:t xml:space="preserve">, sino que adicionalmente considere los riesgos de adoptar dicha decisión. </w:t>
      </w:r>
    </w:p>
    <w:p w14:paraId="20540C8B" w14:textId="43D7A270" w:rsidR="00CE203F" w:rsidRDefault="00CE203F" w:rsidP="00D35E65">
      <w:r>
        <w:t xml:space="preserve">Esto, en el marco de que la alternativa que se adopte este dirigida a </w:t>
      </w:r>
      <w:r w:rsidRPr="00FA03DE">
        <w:t>garantizar la efectividad de los principios sociales que rigen la prestación de los servicios públicos domiciliarios, así como el adecuado funcionamiento del mercado, en el marco de la continua y eficiente prestación del servicio</w:t>
      </w:r>
      <w:r>
        <w:t>.</w:t>
      </w:r>
    </w:p>
    <w:p w14:paraId="2093791C" w14:textId="046FCA36" w:rsidR="00822200" w:rsidRDefault="00CE203F" w:rsidP="00D35E65">
      <w:r>
        <w:t>En relación con esto</w:t>
      </w:r>
      <w:r w:rsidR="00B510D3">
        <w:t>,</w:t>
      </w:r>
      <w:r>
        <w:t xml:space="preserve"> las alternativas regulatorias que pueden ser adoptadas para </w:t>
      </w:r>
      <w:r w:rsidRPr="008472A6">
        <w:t xml:space="preserve">atender el problema identificado se pueden denominar como: </w:t>
      </w:r>
    </w:p>
    <w:p w14:paraId="29ECAD9E" w14:textId="3680385A" w:rsidR="00441537" w:rsidRPr="00441537" w:rsidRDefault="00441537">
      <w:pPr>
        <w:pStyle w:val="Prrafodelista"/>
        <w:numPr>
          <w:ilvl w:val="0"/>
          <w:numId w:val="14"/>
        </w:numPr>
      </w:pPr>
      <w:r>
        <w:t>n</w:t>
      </w:r>
      <w:r w:rsidR="00CE203F" w:rsidRPr="00441537">
        <w:t>o modificar la regulación vigente,</w:t>
      </w:r>
    </w:p>
    <w:p w14:paraId="5343CBD4" w14:textId="77777777" w:rsidR="00441537" w:rsidRDefault="00CE203F">
      <w:pPr>
        <w:pStyle w:val="Prrafodelista"/>
        <w:numPr>
          <w:ilvl w:val="0"/>
          <w:numId w:val="14"/>
        </w:numPr>
      </w:pPr>
      <w:r w:rsidRPr="00441537">
        <w:t xml:space="preserve">individualización de saldos y </w:t>
      </w:r>
    </w:p>
    <w:p w14:paraId="629FCEB1" w14:textId="77777777" w:rsidR="00FC32E9" w:rsidRDefault="00441537">
      <w:pPr>
        <w:pStyle w:val="Prrafodelista"/>
        <w:numPr>
          <w:ilvl w:val="0"/>
          <w:numId w:val="14"/>
        </w:numPr>
      </w:pPr>
      <w:r>
        <w:t>c</w:t>
      </w:r>
      <w:r w:rsidR="00CE203F" w:rsidRPr="00441537">
        <w:t xml:space="preserve">reación de un cargo de mercado; </w:t>
      </w:r>
    </w:p>
    <w:p w14:paraId="5700CE10" w14:textId="26A2AB69" w:rsidR="00CE203F" w:rsidRPr="00441537" w:rsidRDefault="00FC32E9" w:rsidP="00FC32E9">
      <w:r>
        <w:t>A</w:t>
      </w:r>
      <w:r w:rsidR="00CE203F" w:rsidRPr="00441537">
        <w:t xml:space="preserve"> continuación</w:t>
      </w:r>
      <w:r w:rsidR="008B167F">
        <w:t>,</w:t>
      </w:r>
      <w:r w:rsidR="00CE203F" w:rsidRPr="00441537">
        <w:t xml:space="preserve"> se exponen los riesgos jurídicos identificados con la adopción de estas alternativas y las herramientas jurídicas que permitan el ejercicio de intervención por parte de la regulación.</w:t>
      </w:r>
    </w:p>
    <w:p w14:paraId="40F73300" w14:textId="40162BEB" w:rsidR="00E44005" w:rsidRPr="00D35E65" w:rsidRDefault="00E44005" w:rsidP="00D45525">
      <w:pPr>
        <w:pStyle w:val="Ttulo3"/>
      </w:pPr>
      <w:bookmarkStart w:id="117" w:name="_Toc152921863"/>
      <w:r w:rsidRPr="00D35E65">
        <w:t>No modificar la regulación vigente</w:t>
      </w:r>
      <w:bookmarkEnd w:id="117"/>
    </w:p>
    <w:p w14:paraId="63180F33" w14:textId="1D05A694" w:rsidR="00E44005" w:rsidRDefault="002A3908" w:rsidP="00D35E65">
      <w:r>
        <w:t>S</w:t>
      </w:r>
      <w:r w:rsidR="0067087E">
        <w:t xml:space="preserve">e identifica que la opción tarifaria en el contexto de la Resolución CREG 058 de 2020 ha </w:t>
      </w:r>
      <w:r w:rsidR="006722BA">
        <w:t xml:space="preserve">sufrido una serie de </w:t>
      </w:r>
      <w:r>
        <w:t>eventos</w:t>
      </w:r>
      <w:r w:rsidR="006722BA">
        <w:t xml:space="preserve"> que han alterado su aplicación inicial, la cual genera un incremento en el saldo acumulado en condiciones muy superiores a las que inicialmente podían ser estimadas. </w:t>
      </w:r>
      <w:r w:rsidR="004E40A0">
        <w:t xml:space="preserve">En este sentido, el mantener el incremento del saldo en condiciones actuales se considera una consecuencia que </w:t>
      </w:r>
      <w:r w:rsidR="00C224D3">
        <w:t xml:space="preserve">ha de buscarse no mantener, en la medida </w:t>
      </w:r>
      <w:r w:rsidR="00C224D3">
        <w:lastRenderedPageBreak/>
        <w:t xml:space="preserve">que genera un incremento en los efectos económicos que con el tiempo sean más difíciles de resolver, de ser asumidos por el usuario o de ser gestionados por los agentes comercializadores. </w:t>
      </w:r>
      <w:r w:rsidR="006722BA">
        <w:t xml:space="preserve"> </w:t>
      </w:r>
    </w:p>
    <w:p w14:paraId="674590C9" w14:textId="322A2A91" w:rsidR="00E44005" w:rsidRDefault="00E44005" w:rsidP="00D35E65">
      <w:r>
        <w:t>Por ello, se considera</w:t>
      </w:r>
      <w:r w:rsidR="00E63BDA">
        <w:t xml:space="preserve"> que no modificar la regulación actual, lo cual </w:t>
      </w:r>
      <w:r w:rsidR="000F7BD3">
        <w:t xml:space="preserve">implica </w:t>
      </w:r>
      <w:r>
        <w:t xml:space="preserve">mantener el incremento del saldo actual es la peor alternativa y no conjura el problema, toda vez que se de incrementarse a niveles no </w:t>
      </w:r>
      <w:proofErr w:type="spellStart"/>
      <w:r>
        <w:t>sufragables</w:t>
      </w:r>
      <w:proofErr w:type="spellEnd"/>
      <w:r>
        <w:t xml:space="preserve"> por el usuario ni soportables por la empresa, pone en riesgo la continuidad en la prestación del servicio</w:t>
      </w:r>
      <w:r w:rsidR="000F7BD3">
        <w:t xml:space="preserve"> (i.e. riesgo de default)</w:t>
      </w:r>
      <w:r>
        <w:t xml:space="preserve">; mientras que evitar dicho incremento en el saldo acumulado como ocurre actualmente implica un incremento en la tarifa, sin embargo, la alternativa regulatoria debe buscar, así sea en menor forma, que dicho incremento sea lo menos abrupto posible para el usuario. </w:t>
      </w:r>
    </w:p>
    <w:p w14:paraId="08BC43F4" w14:textId="2501623F" w:rsidR="005E429B" w:rsidRPr="00D35E65" w:rsidRDefault="00BE5043" w:rsidP="00D45525">
      <w:pPr>
        <w:pStyle w:val="Ttulo3"/>
      </w:pPr>
      <w:bookmarkStart w:id="118" w:name="_Ref146547833"/>
      <w:bookmarkStart w:id="119" w:name="_Toc152921864"/>
      <w:r w:rsidRPr="00D35E65">
        <w:t>Individualización de saldos</w:t>
      </w:r>
      <w:bookmarkEnd w:id="118"/>
      <w:bookmarkEnd w:id="119"/>
    </w:p>
    <w:p w14:paraId="4E008AFC" w14:textId="3987944C" w:rsidR="00CE203F" w:rsidRPr="005D2C3D" w:rsidRDefault="00CE203F" w:rsidP="00D35E65">
      <w:r>
        <w:t xml:space="preserve">Frente a esto, en primer lugar la Comisión considera que a partir de lo expuesto por parte del </w:t>
      </w:r>
      <w:r w:rsidRPr="00E6631B">
        <w:t>H. Consejo de Estado, el cual mediante Sentencia de 26 de marzo de 2021</w:t>
      </w:r>
      <w:r>
        <w:t xml:space="preserve">, al declarar la legalidad de la aplicación de la opción tarifaria actual </w:t>
      </w:r>
      <w:r w:rsidRPr="005D2C3D">
        <w:t>pretende un fin jurídicamente relevante, el cual hace relación a reducir el impacto económico en el sistema ocasionado por la emergencia sanitaria, ajustando el esquema de financiación y el mecanismo utilizado a través de la financiación se considera valido como una herramienta para aminorar los efectos en los incrementos de las tarifas y permite garantizar el pago oportuno del servicio público.</w:t>
      </w:r>
    </w:p>
    <w:p w14:paraId="7BB523F6" w14:textId="77777777" w:rsidR="00D370E3" w:rsidRDefault="00CE203F" w:rsidP="00D35E65">
      <w:r>
        <w:t xml:space="preserve">De acuerdo con esto, entiende la Comisión que el saldo acumulado actual es una consecuencia valida frente a la cual existe un respaldo jurídico como parte de la aplicación de la regulación como parte de las medidas en el marco de la emergencia económica y social frente a la cual se ha declarado su legalidad. </w:t>
      </w:r>
    </w:p>
    <w:p w14:paraId="1A79E65F" w14:textId="143CCDF0" w:rsidR="00CE203F" w:rsidRDefault="00CE203F" w:rsidP="00D35E65">
      <w:r>
        <w:t xml:space="preserve">Es por esto que, el saldo acumulado actual en los mercados de comercialización se ha de considerar como un costo asociado con el servicio público domiciliario de energía eléctrica aminorando los efectos económicos de la situación de emergencia, permitiendo la estabilidad de las tarifas en dicho momento para los usuarios en dicha situación, evitando sus incrementos y permitiendo la recuperación de la tarifa por parte de los comercializadores en un momento posterior a efectos de garantizar su remuneración como parte del criterio tarifario de suficiencia financiera. </w:t>
      </w:r>
    </w:p>
    <w:p w14:paraId="5885A739" w14:textId="77777777" w:rsidR="00CE203F" w:rsidRDefault="00CE203F" w:rsidP="00D35E65">
      <w:r>
        <w:t>Se concluye lo anterior cuando en dicho fallo se expone lo siguiente en relación con la opción tarifaria y su aplicación obligatoria:</w:t>
      </w:r>
    </w:p>
    <w:p w14:paraId="68727791" w14:textId="77777777" w:rsidR="00CE203F" w:rsidRDefault="00CE203F" w:rsidP="009A103A">
      <w:pPr>
        <w:ind w:left="284" w:right="335"/>
        <w:rPr>
          <w:i/>
          <w:iCs/>
          <w:spacing w:val="-5"/>
          <w:sz w:val="20"/>
        </w:rPr>
      </w:pPr>
      <w:r w:rsidRPr="00A6549A">
        <w:rPr>
          <w:i/>
          <w:iCs/>
          <w:spacing w:val="-5"/>
          <w:sz w:val="20"/>
        </w:rPr>
        <w:t xml:space="preserve">“De modo que la aplicación de un menor valor al aprobado para la remuneración de las actividades de transmisión, distribución y comercialización (art. 11 Res. CREG 058) y la aplicación obligatoria de opciones tarifarias, (art. 12 Res. CREG 058, art. 3 Res. CREG 108 y art. 3 Res. CREG 152), </w:t>
      </w:r>
      <w:r w:rsidRPr="00614A52">
        <w:rPr>
          <w:b/>
          <w:bCs/>
          <w:i/>
          <w:iCs/>
          <w:spacing w:val="-5"/>
          <w:sz w:val="20"/>
          <w:u w:val="single"/>
        </w:rPr>
        <w:t>corresponden a medidas acordes no solo a las facultades que la Ley 142 de 1994 asigna a la CREG y sino a las potestades establecidas en la norma de excepción. De ahí que, esas medidas administrativas se tomaron dentro del marco de competencia de la autoridad.</w:t>
      </w:r>
    </w:p>
    <w:p w14:paraId="69F4B7FD" w14:textId="77777777" w:rsidR="00CE203F" w:rsidRDefault="00CE203F" w:rsidP="009A103A">
      <w:pPr>
        <w:ind w:left="284" w:right="335"/>
        <w:rPr>
          <w:i/>
          <w:iCs/>
          <w:spacing w:val="-5"/>
          <w:sz w:val="20"/>
        </w:rPr>
      </w:pPr>
      <w:r>
        <w:rPr>
          <w:i/>
          <w:iCs/>
          <w:spacing w:val="-5"/>
          <w:sz w:val="20"/>
        </w:rPr>
        <w:t>(…)</w:t>
      </w:r>
    </w:p>
    <w:p w14:paraId="6C434903" w14:textId="77777777" w:rsidR="00CE203F" w:rsidRPr="00A6549A" w:rsidRDefault="00CE203F" w:rsidP="009A103A">
      <w:pPr>
        <w:ind w:left="284" w:right="335"/>
        <w:rPr>
          <w:i/>
          <w:iCs/>
          <w:spacing w:val="-5"/>
          <w:sz w:val="20"/>
        </w:rPr>
      </w:pPr>
      <w:r w:rsidRPr="001B1D1B">
        <w:rPr>
          <w:i/>
          <w:iCs/>
          <w:spacing w:val="-5"/>
          <w:sz w:val="20"/>
        </w:rPr>
        <w:t xml:space="preserve">20.3 El cobro que pueden hacer, los prestadores de las actividades de transmisión, distribución y comercialización de energía eléctrica, de un valor menor al máximo aprobado para la remuneración de sus respectivas actividades (art. 11 Res. CREG 058) </w:t>
      </w:r>
      <w:r w:rsidRPr="00ED0EEB">
        <w:rPr>
          <w:b/>
          <w:bCs/>
          <w:i/>
          <w:iCs/>
          <w:spacing w:val="-5"/>
          <w:sz w:val="20"/>
          <w:u w:val="single"/>
        </w:rPr>
        <w:t>y la aplicación obligatoria de la opción tarifaria de la Resolución CREG 012 de 2020 cuando se presente un incremento superior al 3% en el costo unitario de prestación del servicio</w:t>
      </w:r>
      <w:r w:rsidRPr="001B1D1B">
        <w:rPr>
          <w:i/>
          <w:iCs/>
          <w:spacing w:val="-5"/>
          <w:sz w:val="20"/>
        </w:rPr>
        <w:t xml:space="preserve"> (art. 12 Res. CREG 058, art. 3 Res. CREG 108, art. 3 Res. CREG 152), </w:t>
      </w:r>
      <w:r w:rsidRPr="004B3D68">
        <w:rPr>
          <w:b/>
          <w:bCs/>
          <w:i/>
          <w:iCs/>
          <w:spacing w:val="-5"/>
          <w:sz w:val="20"/>
          <w:u w:val="single"/>
        </w:rPr>
        <w:t xml:space="preserve">tienen como objeto reducir el impacto económico en el sistema </w:t>
      </w:r>
      <w:r w:rsidRPr="004B3D68">
        <w:rPr>
          <w:b/>
          <w:bCs/>
          <w:i/>
          <w:iCs/>
          <w:spacing w:val="-5"/>
          <w:sz w:val="20"/>
          <w:u w:val="single"/>
        </w:rPr>
        <w:lastRenderedPageBreak/>
        <w:t>ocasionado por la emergencia sanitaria. Por ello, son adecuadas al hecho que pretenden conjurar, pues las medidas persiguen ajustar el esquema financiero alterado por la pandemia que obligó a emitir regulaciones que permitan opciones de pago diferido a los usuarios del servicio</w:t>
      </w:r>
      <w:r w:rsidRPr="001B1D1B">
        <w:rPr>
          <w:i/>
          <w:iCs/>
          <w:spacing w:val="-5"/>
          <w:sz w:val="20"/>
        </w:rPr>
        <w:t>.</w:t>
      </w:r>
      <w:r>
        <w:rPr>
          <w:i/>
          <w:iCs/>
          <w:spacing w:val="-5"/>
          <w:sz w:val="20"/>
        </w:rPr>
        <w:t>” (Resaltado fuera de texto)</w:t>
      </w:r>
    </w:p>
    <w:p w14:paraId="10E33CB9" w14:textId="4F731750" w:rsidR="00CE203F" w:rsidRPr="00D45525" w:rsidRDefault="00CE203F" w:rsidP="00D45525">
      <w:r w:rsidRPr="00D45525">
        <w:t>A partir de lo anterior, una vez justificado el saldo</w:t>
      </w:r>
      <w:r w:rsidR="00426D3F">
        <w:t>,</w:t>
      </w:r>
      <w:r w:rsidRPr="00D45525">
        <w:t xml:space="preserve"> se entiende que este hace parte de la estructura de costos de la empresa comercializadora quien es quien lo viene acumulando y se ha de garantizar recuperación el mismo, toda vez que esto está ligado a la forma que se viene acumulando el saldo actualmente.</w:t>
      </w:r>
    </w:p>
    <w:p w14:paraId="43D654C3" w14:textId="670A7E7C" w:rsidR="00CE203F" w:rsidRPr="00D45525" w:rsidRDefault="00CE203F" w:rsidP="008B167F">
      <w:r w:rsidRPr="00D45525">
        <w:t xml:space="preserve">Teniendo en cuenta esto, la alternativa de que el saldo acumulado se pague individualmente por los usuarios llevando a cabo una individualización </w:t>
      </w:r>
      <w:proofErr w:type="gramStart"/>
      <w:r w:rsidRPr="00D45525">
        <w:t>del mismo</w:t>
      </w:r>
      <w:proofErr w:type="gramEnd"/>
      <w:r w:rsidRPr="00D45525">
        <w:t xml:space="preserve"> como parte de la decisión regulatoria que se adopte a juicio de la Comisión, implica un alto riesgo de que esta </w:t>
      </w:r>
      <w:r w:rsidR="004831D2">
        <w:t xml:space="preserve">alternativa </w:t>
      </w:r>
      <w:r w:rsidRPr="00D45525">
        <w:t>sea considerada como retroactiva, toda vez que:</w:t>
      </w:r>
    </w:p>
    <w:p w14:paraId="632DE578" w14:textId="3BA372E5" w:rsidR="00CE203F" w:rsidRDefault="00CE203F">
      <w:pPr>
        <w:pStyle w:val="Prrafodelista"/>
        <w:numPr>
          <w:ilvl w:val="0"/>
          <w:numId w:val="13"/>
        </w:numPr>
      </w:pPr>
      <w:r w:rsidRPr="00E126EC">
        <w:t>La definición del saldo acumulado por parte de la CREG en las resoluciones CREG 012 y 058 de 2020 se hizo para un mercado de comercialización. Allí no fue expreso en considerar que dicho saldo se acumulaba de manera individual, como se llevó a cabo en otros sectores</w:t>
      </w:r>
      <w:r>
        <w:rPr>
          <w:rStyle w:val="Refdenotaalpie"/>
          <w:spacing w:val="-5"/>
          <w:szCs w:val="22"/>
        </w:rPr>
        <w:footnoteReference w:id="5"/>
      </w:r>
      <w:r w:rsidRPr="00E126EC">
        <w:t>;</w:t>
      </w:r>
    </w:p>
    <w:p w14:paraId="087B8CCB" w14:textId="0279C472" w:rsidR="00E126EC" w:rsidRDefault="00E126EC">
      <w:pPr>
        <w:pStyle w:val="Prrafodelista"/>
        <w:numPr>
          <w:ilvl w:val="0"/>
          <w:numId w:val="13"/>
        </w:numPr>
      </w:pPr>
      <w:r>
        <w:t>El considerar que hoy existe un saldo individual a partir de un saldo acumulado por mercado de comercialización puede considerarse como una norma que tiene efectos sobre la acumulación del saldo que se ha dado desde el mes de marzo de 2020 hasta hoy, entendida como una situación jurídica ya definida;</w:t>
      </w:r>
    </w:p>
    <w:p w14:paraId="4672CDC2" w14:textId="41BD4590" w:rsidR="00805379" w:rsidRPr="00E126EC" w:rsidRDefault="00805379">
      <w:pPr>
        <w:pStyle w:val="Prrafodelista"/>
        <w:numPr>
          <w:ilvl w:val="0"/>
          <w:numId w:val="13"/>
        </w:numPr>
      </w:pPr>
      <w:r>
        <w:t>Q</w:t>
      </w:r>
      <w:r w:rsidRPr="00805379">
        <w:t>ue la forma en cómo se recauda el saldo de manera individual no se encuentre justificado en la estructura de costos</w:t>
      </w:r>
      <w:r>
        <w:t xml:space="preserve"> (i.e. solo lo estaría en la medida que fuera asumido por el mercado de comercialización y no los usuarios de manera individual)</w:t>
      </w:r>
      <w:r w:rsidRPr="00805379">
        <w:t xml:space="preserve"> y al no ser parte de los costos de prestación del servicio, esto se considere como un tributo creado por la regulación</w:t>
      </w:r>
      <w:r>
        <w:t>;</w:t>
      </w:r>
    </w:p>
    <w:p w14:paraId="1C9E78F6" w14:textId="71FD3590" w:rsidR="00CE203F" w:rsidRDefault="00CE203F" w:rsidP="00D45525">
      <w:r>
        <w:t xml:space="preserve">Entiende el regulador que discusiones sobre la aplicación retroactiva de la decisión reduce el margen de discrecionalidad de </w:t>
      </w:r>
      <w:r w:rsidR="00E5032D">
        <w:t>esta</w:t>
      </w:r>
      <w:r>
        <w:t xml:space="preserve"> y que</w:t>
      </w:r>
      <w:r w:rsidR="00E82FA7">
        <w:t>, en</w:t>
      </w:r>
      <w:r>
        <w:t xml:space="preserve"> un escenario de debate judicial, el juez se </w:t>
      </w:r>
      <w:r w:rsidR="00E5032D">
        <w:t xml:space="preserve">podría </w:t>
      </w:r>
      <w:r>
        <w:t>abstrae</w:t>
      </w:r>
      <w:r w:rsidR="00E5032D">
        <w:t>r</w:t>
      </w:r>
      <w:r>
        <w:t xml:space="preserve"> de la finalidad de la regulación adoptada, toda vez que, si dicha regulación tiene carácter retroactivo, dicha finalidad y objetivo desaparece</w:t>
      </w:r>
      <w:r w:rsidR="00A2727D">
        <w:t>n</w:t>
      </w:r>
      <w:r>
        <w:t>.</w:t>
      </w:r>
    </w:p>
    <w:p w14:paraId="72B829A9" w14:textId="1FC358E0" w:rsidR="00B94034" w:rsidRDefault="00B94034" w:rsidP="00D45525">
      <w:r>
        <w:t xml:space="preserve">Adicionalmente, </w:t>
      </w:r>
      <w:r w:rsidR="00C90CF8">
        <w:t>se entiende que llevar a cabo un cobro individual en las facturas puede generar una discusión de</w:t>
      </w:r>
      <w:r w:rsidR="00B74471">
        <w:t>,</w:t>
      </w:r>
      <w:r w:rsidR="00C90CF8">
        <w:t xml:space="preserve"> hasta </w:t>
      </w:r>
      <w:r w:rsidR="00E5032D">
        <w:t>qué</w:t>
      </w:r>
      <w:r w:rsidR="00C90CF8">
        <w:t xml:space="preserve"> punto es posible llevar a cabo dicho cobro, entendido como una refacturación del servicio en los términos del</w:t>
      </w:r>
      <w:r w:rsidRPr="00B94034">
        <w:t xml:space="preserve"> artículo 125 de la Ley 142 de 1994, </w:t>
      </w:r>
      <w:r w:rsidR="00C90CF8">
        <w:t xml:space="preserve">el cual dispone que </w:t>
      </w:r>
      <w:r w:rsidRPr="00B94034">
        <w:t>no es posible el cobro de aspectos relacionados con facturas de más de cinco meses de haber sido expedidas, por lo que se advierte una complejidad para la liquidación y cobro de dichos saldos individuales y que su recuperación sea considerada como una reliquidación, la cual tiene esta limitante de tiempo.</w:t>
      </w:r>
      <w:r w:rsidR="00C90CF8">
        <w:t xml:space="preserve"> Es decir, que no sería posible cobrar aspectos de la tarifa que </w:t>
      </w:r>
      <w:r w:rsidR="00674161">
        <w:t>debieron</w:t>
      </w:r>
      <w:r w:rsidR="00C90CF8">
        <w:t xml:space="preserve"> ser facturados con anterioridad al haber</w:t>
      </w:r>
      <w:r w:rsidR="00A2727D">
        <w:t xml:space="preserve"> sido</w:t>
      </w:r>
      <w:r w:rsidR="00C90CF8">
        <w:t xml:space="preserve"> causados </w:t>
      </w:r>
      <w:r w:rsidR="00674161">
        <w:t>desde el año 2020</w:t>
      </w:r>
      <w:r w:rsidR="00C90CF8">
        <w:t xml:space="preserve">. </w:t>
      </w:r>
    </w:p>
    <w:p w14:paraId="113B5CC2" w14:textId="638E3208" w:rsidR="00BE5043" w:rsidRPr="00D45525" w:rsidRDefault="00BE5043" w:rsidP="00D45525">
      <w:pPr>
        <w:pStyle w:val="Ttulo3"/>
      </w:pPr>
      <w:bookmarkStart w:id="120" w:name="_Toc152921865"/>
      <w:r w:rsidRPr="00D45525">
        <w:lastRenderedPageBreak/>
        <w:t xml:space="preserve">Creación de cargo </w:t>
      </w:r>
      <w:r w:rsidR="00175F63">
        <w:t xml:space="preserve">temporal </w:t>
      </w:r>
      <w:r w:rsidRPr="00D45525">
        <w:t>de mercado</w:t>
      </w:r>
      <w:bookmarkEnd w:id="120"/>
    </w:p>
    <w:p w14:paraId="5AFC1429" w14:textId="04C6083D" w:rsidR="00074DC4" w:rsidRDefault="00CE203F" w:rsidP="00D45525">
      <w:r>
        <w:t>Contrario a lo anterior, entiende la Comisión que e</w:t>
      </w:r>
      <w:r w:rsidR="00CE5398">
        <w:t xml:space="preserve">l </w:t>
      </w:r>
      <w:r>
        <w:t>riesgo</w:t>
      </w:r>
      <w:r w:rsidR="00CE5398">
        <w:t xml:space="preserve"> identificado en el numeral </w:t>
      </w:r>
      <w:r w:rsidR="00343E2B">
        <w:fldChar w:fldCharType="begin"/>
      </w:r>
      <w:r w:rsidR="00343E2B">
        <w:instrText xml:space="preserve"> REF _Ref146547833 \r \h </w:instrText>
      </w:r>
      <w:r w:rsidR="00343E2B">
        <w:fldChar w:fldCharType="separate"/>
      </w:r>
      <w:r w:rsidR="00343E2B">
        <w:t>4.4.2</w:t>
      </w:r>
      <w:r w:rsidR="00343E2B">
        <w:fldChar w:fldCharType="end"/>
      </w:r>
      <w:r w:rsidR="00964677">
        <w:t xml:space="preserve"> </w:t>
      </w:r>
      <w:r>
        <w:t xml:space="preserve">no se presenta en el caso de la recuperación de este costo para cada mercado de comercialización a través de su remuneración en los costos que se trasladan al costo unitario de prestación del servicio en la actividad de comercialización minorista, toda vez que: </w:t>
      </w:r>
    </w:p>
    <w:p w14:paraId="3D3BAC63" w14:textId="355123A3" w:rsidR="00074DC4" w:rsidRPr="00074DC4" w:rsidRDefault="00CE203F">
      <w:pPr>
        <w:pStyle w:val="Prrafodelista"/>
        <w:numPr>
          <w:ilvl w:val="0"/>
          <w:numId w:val="15"/>
        </w:numPr>
      </w:pPr>
      <w:r w:rsidRPr="00074DC4">
        <w:t xml:space="preserve">guarda directa relación con la forma en que fue considerado dicho saldo acumulado (i.e. por mercado de comercialización); </w:t>
      </w:r>
    </w:p>
    <w:p w14:paraId="216C1608" w14:textId="77777777" w:rsidR="00206380" w:rsidRDefault="00CE203F">
      <w:pPr>
        <w:pStyle w:val="Prrafodelista"/>
        <w:numPr>
          <w:ilvl w:val="0"/>
          <w:numId w:val="15"/>
        </w:numPr>
      </w:pPr>
      <w:r w:rsidRPr="00074DC4">
        <w:t>se reconoce como un costo asociado a la prestación del servicio en la medida que dicho saldo viene siendo acumulado por el comercializador que atiende al usuario;</w:t>
      </w:r>
    </w:p>
    <w:p w14:paraId="58D19E46" w14:textId="6895A4CE" w:rsidR="00CE203F" w:rsidRPr="00074DC4" w:rsidRDefault="00CE203F">
      <w:pPr>
        <w:pStyle w:val="Prrafodelista"/>
        <w:numPr>
          <w:ilvl w:val="0"/>
          <w:numId w:val="15"/>
        </w:numPr>
      </w:pPr>
      <w:r w:rsidRPr="00074DC4">
        <w:t>se adec</w:t>
      </w:r>
      <w:r w:rsidR="004E2F53">
        <w:t>ú</w:t>
      </w:r>
      <w:r w:rsidRPr="00074DC4">
        <w:t>a y tiene coherencia con la forma en que se ha venido acumulando el saldo</w:t>
      </w:r>
      <w:r w:rsidR="00DB5DB2">
        <w:t>;</w:t>
      </w:r>
      <w:r w:rsidRPr="00074DC4">
        <w:t xml:space="preserve"> </w:t>
      </w:r>
    </w:p>
    <w:p w14:paraId="18D5B737" w14:textId="7FDE2C93" w:rsidR="002A0D24" w:rsidRPr="00074DC4" w:rsidRDefault="00B8296B">
      <w:pPr>
        <w:pStyle w:val="Prrafodelista"/>
        <w:numPr>
          <w:ilvl w:val="0"/>
          <w:numId w:val="15"/>
        </w:numPr>
      </w:pPr>
      <w:r>
        <w:t>e</w:t>
      </w:r>
      <w:r w:rsidR="002A0D24">
        <w:t xml:space="preserve">xiste un pronunciamiento </w:t>
      </w:r>
      <w:r w:rsidR="00AF1F21">
        <w:t>judicial</w:t>
      </w:r>
      <w:r w:rsidR="002A0D24">
        <w:t xml:space="preserve"> sobre la legalidad de la aplicación de la opción tarifaria, lo cual incluiría sus consecuencias desde el punto de vista económico</w:t>
      </w:r>
      <w:r w:rsidR="000D5A1A">
        <w:t xml:space="preserve"> como sería el caso del saldo acumulado</w:t>
      </w:r>
      <w:r w:rsidR="00DB5DB2">
        <w:t xml:space="preserve"> y deriva en que dicho saldo puede considerarse como un costo asociado con la prestación del </w:t>
      </w:r>
      <w:r w:rsidR="00B95BF4">
        <w:t>servicio</w:t>
      </w:r>
      <w:r w:rsidR="00DB5DB2">
        <w:t>.</w:t>
      </w:r>
    </w:p>
    <w:p w14:paraId="4C9C705F" w14:textId="4833F9D7" w:rsidR="00CE203F" w:rsidRDefault="00CE203F" w:rsidP="00D45525">
      <w:r>
        <w:t xml:space="preserve">Entiende la Comisión que, a partir de encontrar jurídicamente justificado este saldo como un costo asociado con la prestación del servicio, la alternativa regulatoria ha de buscar considerar esta situación a efecto que la medida de intervención </w:t>
      </w:r>
      <w:r w:rsidR="00A44C44">
        <w:t xml:space="preserve">sea </w:t>
      </w:r>
      <w:r w:rsidR="00911B73">
        <w:t>coherente y concordante con</w:t>
      </w:r>
      <w:r>
        <w:t xml:space="preserve"> la aplicación de la opción actual y recoja dicha aplicación como se ha venido dando, es decir, dentro de un mercado de comercialización. </w:t>
      </w:r>
    </w:p>
    <w:p w14:paraId="096E241B" w14:textId="4A4228A3" w:rsidR="00277194" w:rsidRDefault="00CC4154" w:rsidP="00D45525">
      <w:r w:rsidRPr="002259A7">
        <w:t xml:space="preserve">En este sentido, </w:t>
      </w:r>
      <w:r>
        <w:t xml:space="preserve">la posibilidad de definir un cargo por mercado de comercialización busca ser coherente y concordante con la forma </w:t>
      </w:r>
      <w:r w:rsidR="00F21343">
        <w:t xml:space="preserve">en que se dio aplicación al saldo acumulado como parte de la opción tarifaria, que dicha medida regulatoria pretendió unos fines y objetivos legalmente justificados, </w:t>
      </w:r>
      <w:r w:rsidR="00134880">
        <w:t xml:space="preserve">de la misma forma que se considera que hace parte de un mecanismo regulatorio que </w:t>
      </w:r>
      <w:r w:rsidR="0072430E">
        <w:t xml:space="preserve">en mejor manera </w:t>
      </w:r>
      <w:r w:rsidR="0081211A">
        <w:t>y para el presente caso,</w:t>
      </w:r>
      <w:r w:rsidR="0072430E">
        <w:t xml:space="preserve"> logra</w:t>
      </w:r>
      <w:r w:rsidR="00540662" w:rsidRPr="00540662">
        <w:t xml:space="preserve"> propender por hacer compatibles los intereses privados, con la satisfacción de las necesidades colectivas</w:t>
      </w:r>
      <w:r w:rsidR="00540662" w:rsidDel="00CC4154">
        <w:t xml:space="preserve"> </w:t>
      </w:r>
      <w:r w:rsidR="0072430E">
        <w:t xml:space="preserve">de los usuarios, </w:t>
      </w:r>
      <w:r w:rsidR="00540662" w:rsidRPr="008717AD" w:rsidDel="00CC4154">
        <w:t xml:space="preserve"> </w:t>
      </w:r>
      <w:r w:rsidR="005528E8" w:rsidRPr="008717AD">
        <w:t xml:space="preserve">buscando un equilibrio entre la relación jurídica usuario – empresa. </w:t>
      </w:r>
    </w:p>
    <w:p w14:paraId="5166B5DA" w14:textId="7B211E6F" w:rsidR="00277194" w:rsidRPr="005528E8" w:rsidRDefault="00277194" w:rsidP="00D45525">
      <w:r>
        <w:t xml:space="preserve">De acuerdo con esto, la definición de un cargo por mercado de comercialización como mecanismo regulatorio de intervención resulta más favorable a los fines y objetivos perseguidos por la regulación con respecto a la prestación </w:t>
      </w:r>
      <w:r w:rsidR="00327C7B">
        <w:t>continua</w:t>
      </w:r>
      <w:r>
        <w:t xml:space="preserve"> y eficiente del servicio, la garantía de los </w:t>
      </w:r>
      <w:r w:rsidR="00A60198">
        <w:t>criterios</w:t>
      </w:r>
      <w:r>
        <w:t xml:space="preserve"> de suficiencia financiera, eficiencia y neutralidad en la remuneración de </w:t>
      </w:r>
      <w:r w:rsidR="00A60198">
        <w:t xml:space="preserve">la tarifa, </w:t>
      </w:r>
      <w:r w:rsidRPr="00277194">
        <w:t>busca</w:t>
      </w:r>
      <w:r w:rsidR="000D220A">
        <w:t xml:space="preserve">ndo que el ejercicio de intervención </w:t>
      </w:r>
      <w:r w:rsidR="009648E1">
        <w:t>garantice</w:t>
      </w:r>
      <w:r w:rsidRPr="00277194">
        <w:t xml:space="preserve"> la efectividad de los principios sociales </w:t>
      </w:r>
      <w:r w:rsidR="009648E1">
        <w:t>que se materializan a través de la prestación del servicio</w:t>
      </w:r>
      <w:r w:rsidRPr="00277194">
        <w:t xml:space="preserve"> </w:t>
      </w:r>
      <w:r w:rsidR="00D7570F">
        <w:t>frente al pago de las tarifas por parte del usuario</w:t>
      </w:r>
      <w:r w:rsidRPr="00277194">
        <w:t xml:space="preserve"> y el adecuado funcionamiento del mercado</w:t>
      </w:r>
      <w:r w:rsidR="009648E1">
        <w:t xml:space="preserve"> en relación con la capacidad de </w:t>
      </w:r>
      <w:r w:rsidR="00D7570F">
        <w:t xml:space="preserve">gestión del saldo por parte de las comercializadoras. </w:t>
      </w:r>
    </w:p>
    <w:p w14:paraId="132949E0" w14:textId="24E5317A" w:rsidR="00E050AD" w:rsidRPr="00D45525" w:rsidRDefault="00E050AD" w:rsidP="00D45525">
      <w:pPr>
        <w:pStyle w:val="Ttulo3"/>
      </w:pPr>
      <w:bookmarkStart w:id="121" w:name="_Toc152921866"/>
      <w:r w:rsidRPr="00D45525">
        <w:t>Comparación de alternativas</w:t>
      </w:r>
      <w:bookmarkEnd w:id="121"/>
    </w:p>
    <w:p w14:paraId="75DC47BE" w14:textId="16C507D6" w:rsidR="00CE203F" w:rsidRDefault="00B92C66" w:rsidP="00D45525">
      <w:r>
        <w:t>E</w:t>
      </w:r>
      <w:r w:rsidR="00CE203F">
        <w:t xml:space="preserve">ncuentra la Comisión que las alternativas planteadas no reducen en su totalidad la finalidad de </w:t>
      </w:r>
      <w:r w:rsidR="00CE203F" w:rsidRPr="00586900">
        <w:t>evitar el incremento abrupto de las tarifas dentro del cobro o reducir el impacto para los usuarios de esos posibles incrementos</w:t>
      </w:r>
      <w:r w:rsidR="00CE203F">
        <w:t xml:space="preserve">, pero si resulta ser más beneficiosa que seguir aplicando la opción tarifaria actual, toda vez que la misma afecta al usuario y los mercados de comercialización de las empresas en mayor nivel a mediano y largo plazo con el nivel de saldo que se acumula, el incremento que se da al momento de iniciar a sufragar el saldo y el total de tarifa que se paga cuando este termine.   </w:t>
      </w:r>
    </w:p>
    <w:p w14:paraId="54EE3013" w14:textId="38376F1E" w:rsidR="00DB4F75" w:rsidRDefault="00CE203F" w:rsidP="00D45525">
      <w:r>
        <w:lastRenderedPageBreak/>
        <w:t xml:space="preserve">De acuerdo con lo anterior y sin perjuicio del análisis de elementos a favor y en contra de estas alternativas, como parte de un análisis </w:t>
      </w:r>
      <w:r w:rsidR="009307DB">
        <w:t>multicriterio</w:t>
      </w:r>
      <w:r w:rsidR="008D79AA">
        <w:t xml:space="preserve"> que hace parte del presente documento</w:t>
      </w:r>
      <w:r w:rsidR="000734B6">
        <w:t xml:space="preserve"> y que se presenta en el numeral siguiente</w:t>
      </w:r>
      <w:r>
        <w:t>, se concluye que la s</w:t>
      </w:r>
      <w:r w:rsidRPr="00036F84">
        <w:t xml:space="preserve">uspensión incremento del saldo </w:t>
      </w:r>
      <w:r>
        <w:t xml:space="preserve">y el recaudo del saldo acumulado como un costo del mercado tiene menores riesgos </w:t>
      </w:r>
      <w:r w:rsidR="002C0FAF">
        <w:t>a nivel jurídico</w:t>
      </w:r>
      <w:r>
        <w:t xml:space="preserve"> frente a la alternativa de individualización del saldo acumulado</w:t>
      </w:r>
      <w:r w:rsidR="000734B6">
        <w:t xml:space="preserve">, en la medida que guarda mayor coherencia y concordancia con la </w:t>
      </w:r>
      <w:r w:rsidR="00E05C66">
        <w:t>definición</w:t>
      </w:r>
      <w:r w:rsidR="000734B6">
        <w:t xml:space="preserve"> </w:t>
      </w:r>
      <w:r w:rsidR="00E05C66">
        <w:t>de la</w:t>
      </w:r>
      <w:r w:rsidR="000734B6">
        <w:t xml:space="preserve"> </w:t>
      </w:r>
      <w:r w:rsidR="00E05C66">
        <w:t>opción</w:t>
      </w:r>
      <w:r w:rsidR="000734B6">
        <w:t xml:space="preserve"> </w:t>
      </w:r>
      <w:r w:rsidR="00E05C66">
        <w:t>tarifaria</w:t>
      </w:r>
      <w:r w:rsidR="000734B6">
        <w:t xml:space="preserve">, los fines perseguidos y </w:t>
      </w:r>
      <w:r w:rsidR="00E05C66">
        <w:t>la decisión de legalidad adoptada sobre la medida y sus consecuencias económicas</w:t>
      </w:r>
      <w:r>
        <w:t>.</w:t>
      </w:r>
      <w:r w:rsidR="00422B4C">
        <w:t xml:space="preserve"> </w:t>
      </w:r>
    </w:p>
    <w:p w14:paraId="4CB01053" w14:textId="2D2A76F8" w:rsidR="002A6DDA" w:rsidRDefault="00E05C66" w:rsidP="00D45525">
      <w:r>
        <w:t xml:space="preserve">Esto </w:t>
      </w:r>
      <w:r w:rsidR="00BF4A46">
        <w:t xml:space="preserve">mientras </w:t>
      </w:r>
      <w:r w:rsidR="002A6DDA">
        <w:t>que,</w:t>
      </w:r>
      <w:r w:rsidR="00BF4A46">
        <w:t xml:space="preserve"> en el caso de la individualización,</w:t>
      </w:r>
      <w:r w:rsidR="00CC7234">
        <w:t xml:space="preserve"> los principales riesgos identificados frente a </w:t>
      </w:r>
      <w:r w:rsidR="00422B4C">
        <w:t>la</w:t>
      </w:r>
      <w:r w:rsidR="00CC7234">
        <w:t xml:space="preserve"> implementación están relacionados con: </w:t>
      </w:r>
    </w:p>
    <w:p w14:paraId="39906437" w14:textId="736158EF" w:rsidR="002A6DDA" w:rsidRPr="002A6DDA" w:rsidRDefault="00422B4C">
      <w:pPr>
        <w:pStyle w:val="Prrafodelista"/>
        <w:numPr>
          <w:ilvl w:val="0"/>
          <w:numId w:val="16"/>
        </w:numPr>
      </w:pPr>
      <w:r w:rsidRPr="002A6DDA">
        <w:t xml:space="preserve">los efectos retroactivos de la medida; </w:t>
      </w:r>
    </w:p>
    <w:p w14:paraId="6C3AE80A" w14:textId="7109B237" w:rsidR="002A6DDA" w:rsidRDefault="00CC7234">
      <w:pPr>
        <w:pStyle w:val="Prrafodelista"/>
        <w:numPr>
          <w:ilvl w:val="0"/>
          <w:numId w:val="16"/>
        </w:numPr>
      </w:pPr>
      <w:r w:rsidRPr="002A6DDA">
        <w:t xml:space="preserve">que la forma en </w:t>
      </w:r>
      <w:r w:rsidR="00EA7E85">
        <w:t xml:space="preserve">la forma en que </w:t>
      </w:r>
      <w:r w:rsidRPr="002A6DDA">
        <w:t>se recauda el saldo de manera individual no se encuentr</w:t>
      </w:r>
      <w:r w:rsidR="00EA7E85">
        <w:t>a</w:t>
      </w:r>
      <w:r w:rsidRPr="002A6DDA">
        <w:t xml:space="preserve"> justificad</w:t>
      </w:r>
      <w:r w:rsidR="00EA7E85">
        <w:t>a</w:t>
      </w:r>
      <w:r w:rsidRPr="002A6DDA">
        <w:t xml:space="preserve"> en la estructura de costos y</w:t>
      </w:r>
      <w:r w:rsidR="00AE5ECE">
        <w:t>,</w:t>
      </w:r>
      <w:r w:rsidRPr="002A6DDA">
        <w:t xml:space="preserve"> al no ser parte de los costos de prestación del servicio, esto se considere como un tributo creado por la regulación</w:t>
      </w:r>
      <w:r w:rsidR="00DB4F75" w:rsidRPr="002A6DDA">
        <w:t xml:space="preserve">; </w:t>
      </w:r>
    </w:p>
    <w:p w14:paraId="658DE2AA" w14:textId="77777777" w:rsidR="002A6DDA" w:rsidRDefault="00DB4F75">
      <w:pPr>
        <w:pStyle w:val="Prrafodelista"/>
        <w:numPr>
          <w:ilvl w:val="0"/>
          <w:numId w:val="16"/>
        </w:numPr>
      </w:pPr>
      <w:r w:rsidRPr="002A6DDA">
        <w:t xml:space="preserve">la definición de recaudo saldo solo puede estar justificada como un costo del servicio solo si es mantenida dentro de una estructura de costos en un mercado de comercialización; </w:t>
      </w:r>
    </w:p>
    <w:p w14:paraId="1675935A" w14:textId="1C06CCE9" w:rsidR="00CC7234" w:rsidRPr="002A6DDA" w:rsidRDefault="00DB4F75">
      <w:pPr>
        <w:pStyle w:val="Prrafodelista"/>
        <w:numPr>
          <w:ilvl w:val="0"/>
          <w:numId w:val="16"/>
        </w:numPr>
      </w:pPr>
      <w:r w:rsidRPr="002A6DDA">
        <w:t xml:space="preserve">discusiones sobre </w:t>
      </w:r>
      <w:r w:rsidR="00222B58" w:rsidRPr="002A6DDA">
        <w:t xml:space="preserve">que esto </w:t>
      </w:r>
      <w:r w:rsidR="00AB6D3A">
        <w:t xml:space="preserve">se encuentre </w:t>
      </w:r>
      <w:r w:rsidR="00222B58" w:rsidRPr="002A6DDA">
        <w:t>limitado a la</w:t>
      </w:r>
      <w:r w:rsidRPr="002A6DDA">
        <w:t xml:space="preserve"> refacturación del servicio</w:t>
      </w:r>
      <w:r w:rsidR="00222B58" w:rsidRPr="002A6DDA">
        <w:t xml:space="preserve"> en los términos del artículo 125 de la Ley 142 de 1994</w:t>
      </w:r>
      <w:r w:rsidRPr="002A6DDA">
        <w:t xml:space="preserve">. </w:t>
      </w:r>
    </w:p>
    <w:p w14:paraId="5F8AB6D2" w14:textId="736A47B3" w:rsidR="00630ED4" w:rsidRPr="008205DE" w:rsidRDefault="00630ED4" w:rsidP="00DB3094">
      <w:pPr>
        <w:pStyle w:val="Ttulo2"/>
        <w:rPr>
          <w:rFonts w:cs="Arial"/>
          <w:color w:val="000000"/>
          <w:spacing w:val="-5"/>
          <w:szCs w:val="18"/>
        </w:rPr>
      </w:pPr>
      <w:bookmarkStart w:id="122" w:name="_Toc152921867"/>
      <w:r>
        <w:t xml:space="preserve">Análisis </w:t>
      </w:r>
      <w:r w:rsidR="00162FBD">
        <w:t>multicriterio</w:t>
      </w:r>
      <w:r>
        <w:t xml:space="preserve"> de las alternativas</w:t>
      </w:r>
      <w:bookmarkEnd w:id="122"/>
    </w:p>
    <w:p w14:paraId="5AAA295D" w14:textId="5644C3A7" w:rsidR="003A40E1" w:rsidRDefault="00DD4C8A" w:rsidP="00D45525">
      <w:r>
        <w:t xml:space="preserve">En esta sección se presentan, de manera cualitativa, </w:t>
      </w:r>
      <w:r w:rsidR="00FD3AB7">
        <w:t xml:space="preserve">la evaluación de los </w:t>
      </w:r>
      <w:r>
        <w:t xml:space="preserve">principales aspectos que han sido objeto de </w:t>
      </w:r>
      <w:r w:rsidR="00FD3AB7">
        <w:t xml:space="preserve">análisis en este documento, </w:t>
      </w:r>
      <w:r w:rsidR="00F705C4">
        <w:t xml:space="preserve">mostrando en color verde </w:t>
      </w:r>
      <w:r w:rsidR="0009199F">
        <w:t xml:space="preserve">las ventajas de la aplicación de determinado criterio en una </w:t>
      </w:r>
      <w:r w:rsidR="005D70E3">
        <w:t xml:space="preserve">de las tres </w:t>
      </w:r>
      <w:r w:rsidR="0009199F">
        <w:t>alternativa</w:t>
      </w:r>
      <w:r w:rsidR="005D70E3">
        <w:t xml:space="preserve">s, en color amarillo </w:t>
      </w:r>
      <w:r w:rsidR="00147028">
        <w:t xml:space="preserve">para denotar que existe alguna dificultad en la aplicación </w:t>
      </w:r>
      <w:proofErr w:type="gramStart"/>
      <w:r w:rsidR="00147028">
        <w:t>del mismo</w:t>
      </w:r>
      <w:proofErr w:type="gramEnd"/>
      <w:r w:rsidR="00147028">
        <w:t xml:space="preserve"> y en color rojo cuando existen </w:t>
      </w:r>
      <w:r w:rsidR="006B73E6">
        <w:t>elementos para considerar que es complejo o inconveniente.</w:t>
      </w:r>
    </w:p>
    <w:p w14:paraId="78BF513A" w14:textId="3BCEE0D6" w:rsidR="006B73E6" w:rsidRDefault="006B73E6" w:rsidP="00D45525">
      <w:r>
        <w:t xml:space="preserve">Los criterios de comparación de las tres alternativas </w:t>
      </w:r>
      <w:r w:rsidR="0095534E">
        <w:t xml:space="preserve">están relacionados principalmente con el cumplimiento de los objetivos </w:t>
      </w:r>
      <w:r w:rsidR="005446E3">
        <w:t>a), b), c) y d) planteados</w:t>
      </w:r>
      <w:r w:rsidR="00357F70">
        <w:t>; así co</w:t>
      </w:r>
      <w:r w:rsidR="00B2489A">
        <w:t xml:space="preserve">mo con </w:t>
      </w:r>
      <w:r w:rsidR="004858B4">
        <w:t>el riesgo jurídico</w:t>
      </w:r>
      <w:r w:rsidR="0065127C">
        <w:t xml:space="preserve"> (objetivo e)</w:t>
      </w:r>
      <w:r w:rsidR="004858B4">
        <w:t xml:space="preserve">, </w:t>
      </w:r>
      <w:r w:rsidR="008A6852">
        <w:t>la facilidad de implementación, la facilidad de control y vigilancia</w:t>
      </w:r>
      <w:r w:rsidR="00D47C70">
        <w:t xml:space="preserve"> y</w:t>
      </w:r>
      <w:r w:rsidR="000A7224">
        <w:t xml:space="preserve"> el esfuerzo regulatorio </w:t>
      </w:r>
      <w:r w:rsidR="004858B4">
        <w:t xml:space="preserve">en </w:t>
      </w:r>
      <w:r w:rsidR="00D47C70">
        <w:t xml:space="preserve">desarrollo de </w:t>
      </w:r>
      <w:r w:rsidR="004858B4">
        <w:t>aplicación de cada alternativa</w:t>
      </w:r>
      <w:r w:rsidR="00D47C70">
        <w:t>:</w:t>
      </w:r>
      <w:r w:rsidR="005446E3">
        <w:t xml:space="preserve"> </w:t>
      </w:r>
    </w:p>
    <w:p w14:paraId="238CA1BD" w14:textId="1BA0D2BE" w:rsidR="00DD4C8A" w:rsidRDefault="00A46127" w:rsidP="002A6DDA">
      <w:pPr>
        <w:keepLines/>
        <w:jc w:val="center"/>
        <w:rPr>
          <w:rFonts w:cs="Arial"/>
          <w:color w:val="000000"/>
          <w:spacing w:val="-5"/>
          <w:szCs w:val="18"/>
        </w:rPr>
      </w:pPr>
      <w:r w:rsidRPr="00A46127">
        <w:rPr>
          <w:noProof/>
        </w:rPr>
        <w:drawing>
          <wp:inline distT="0" distB="0" distL="0" distR="0" wp14:anchorId="44A46EEB" wp14:editId="76128795">
            <wp:extent cx="4664880" cy="2018985"/>
            <wp:effectExtent l="0" t="0" r="2540" b="63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69060" cy="2020794"/>
                    </a:xfrm>
                    <a:prstGeom prst="rect">
                      <a:avLst/>
                    </a:prstGeom>
                    <a:noFill/>
                    <a:ln>
                      <a:noFill/>
                    </a:ln>
                  </pic:spPr>
                </pic:pic>
              </a:graphicData>
            </a:graphic>
          </wp:inline>
        </w:drawing>
      </w:r>
    </w:p>
    <w:p w14:paraId="38BD1CCC" w14:textId="582D7775" w:rsidR="0005703E" w:rsidRPr="002A6DDA" w:rsidRDefault="00FC2440" w:rsidP="00D45525">
      <w:pPr>
        <w:pStyle w:val="Ttulo3"/>
      </w:pPr>
      <w:bookmarkStart w:id="123" w:name="_Toc152921868"/>
      <w:r w:rsidRPr="002A6DDA">
        <w:lastRenderedPageBreak/>
        <w:t>No modificar normatividad</w:t>
      </w:r>
      <w:bookmarkEnd w:id="123"/>
      <w:r w:rsidRPr="002A6DDA">
        <w:t xml:space="preserve"> </w:t>
      </w:r>
    </w:p>
    <w:p w14:paraId="16B3DEA0" w14:textId="77EF7735" w:rsidR="00DD4C8A" w:rsidRDefault="00FF7EBA" w:rsidP="00D45525">
      <w:r>
        <w:t>Respecto de la primera alternativa</w:t>
      </w:r>
      <w:r w:rsidR="00CD022E">
        <w:t xml:space="preserve">, no modificar normatividad, </w:t>
      </w:r>
      <w:r w:rsidR="0021036D">
        <w:t xml:space="preserve">se observan en rojo </w:t>
      </w:r>
      <w:r w:rsidR="00100D17">
        <w:t xml:space="preserve">los primeros </w:t>
      </w:r>
      <w:r w:rsidR="0005703E">
        <w:t>tres</w:t>
      </w:r>
      <w:r w:rsidR="00100D17">
        <w:t xml:space="preserve"> criterios </w:t>
      </w:r>
      <w:r w:rsidR="000B5AA8">
        <w:t>debido a</w:t>
      </w:r>
      <w:r w:rsidR="00100D17">
        <w:t xml:space="preserve"> que </w:t>
      </w:r>
      <w:r w:rsidR="00337023">
        <w:t xml:space="preserve">el hecho de continuar con la normatividad vigente </w:t>
      </w:r>
      <w:r w:rsidR="00820A29">
        <w:t xml:space="preserve">sin ningún tipo de </w:t>
      </w:r>
      <w:r w:rsidR="00A44089">
        <w:t>modificación</w:t>
      </w:r>
      <w:r w:rsidR="00820A29">
        <w:t xml:space="preserve"> contribuye a aumentar los saldos acumulados</w:t>
      </w:r>
      <w:r w:rsidR="001D7789">
        <w:t xml:space="preserve">, con los </w:t>
      </w:r>
      <w:r w:rsidR="00042D01">
        <w:t xml:space="preserve">problemas anunciados para su recuperación como lo son la presencia de altos valores de Costo </w:t>
      </w:r>
      <w:r w:rsidR="00D04B6C">
        <w:t>U</w:t>
      </w:r>
      <w:r w:rsidR="00042D01">
        <w:t xml:space="preserve">nitario </w:t>
      </w:r>
      <w:r w:rsidR="00590D96">
        <w:t xml:space="preserve">y </w:t>
      </w:r>
      <w:r w:rsidR="00FC4460">
        <w:t xml:space="preserve">el riesgo </w:t>
      </w:r>
      <w:r w:rsidR="00FA204E">
        <w:t xml:space="preserve">de la competencia artificial.  </w:t>
      </w:r>
    </w:p>
    <w:p w14:paraId="7BE7F678" w14:textId="7DC64603" w:rsidR="00775956" w:rsidRDefault="00775956" w:rsidP="00D45525">
      <w:r>
        <w:t xml:space="preserve">El criterio de </w:t>
      </w:r>
      <w:r w:rsidR="0099198F">
        <w:t xml:space="preserve">alzas excesivas en transición aparece en blanco dado que no aplica este criterio </w:t>
      </w:r>
      <w:r w:rsidR="003D14F6">
        <w:t>para ser evaluado por cuanto no existe ninguna transición para evaluar en esta alternativa.</w:t>
      </w:r>
    </w:p>
    <w:p w14:paraId="41D15802" w14:textId="77777777" w:rsidR="00D33466" w:rsidRDefault="00775956" w:rsidP="00D45525">
      <w:r>
        <w:t xml:space="preserve">Los cuatro últimos </w:t>
      </w:r>
      <w:r w:rsidR="003D14F6">
        <w:t>criterios aparecen en verde dado que</w:t>
      </w:r>
      <w:r w:rsidR="00687F85">
        <w:t xml:space="preserve">, al estar en vigencia y haber sido objeto de </w:t>
      </w:r>
      <w:r w:rsidR="000E2E0E" w:rsidRPr="000E2E0E">
        <w:t>control automático de legalidad por parte del H. Consejo de Estado</w:t>
      </w:r>
      <w:r w:rsidR="00F8396F">
        <w:t xml:space="preserve">, se considera que no existen riesgos jurídicos </w:t>
      </w:r>
      <w:r w:rsidR="007650C2">
        <w:t xml:space="preserve">y su </w:t>
      </w:r>
      <w:r w:rsidR="00EE013B">
        <w:t xml:space="preserve">implementación y vigilancia ya están siendo </w:t>
      </w:r>
      <w:r w:rsidR="004D7A9A">
        <w:t xml:space="preserve">efectuados por lo que no hay ningún esfuerzo </w:t>
      </w:r>
      <w:r w:rsidR="001A1BC4">
        <w:t xml:space="preserve">adicional para ello, de la misma forma como no existe ningún esfuerzo regulatorio </w:t>
      </w:r>
      <w:r w:rsidR="007611B9">
        <w:t xml:space="preserve">para continuar con su </w:t>
      </w:r>
      <w:r w:rsidR="00D33466">
        <w:t>aplicación.</w:t>
      </w:r>
    </w:p>
    <w:p w14:paraId="7A6B64E0" w14:textId="13634F37" w:rsidR="00D33466" w:rsidRPr="002A6DDA" w:rsidRDefault="00FC2440" w:rsidP="00D45525">
      <w:pPr>
        <w:pStyle w:val="Ttulo3"/>
      </w:pPr>
      <w:bookmarkStart w:id="124" w:name="_Toc152921869"/>
      <w:r w:rsidRPr="002A6DDA">
        <w:t>Individualización de saldos</w:t>
      </w:r>
      <w:bookmarkEnd w:id="124"/>
    </w:p>
    <w:p w14:paraId="70D1A879" w14:textId="1AA12F1D" w:rsidR="00FC2440" w:rsidRDefault="00871CD1" w:rsidP="00D45525">
      <w:r>
        <w:t>Esta alternativa presenta dos criterios favorables</w:t>
      </w:r>
      <w:r w:rsidR="00920683">
        <w:t>, al considerarse que con esta alternativa se cumple con los objetivos correspondientes</w:t>
      </w:r>
      <w:r w:rsidR="007A5BE8">
        <w:t xml:space="preserve">. El criterio de minimización de valores altos de Costo Unitario se presenta en blanco entendiendo </w:t>
      </w:r>
      <w:r w:rsidR="00D46FC3">
        <w:t>que el cobro de saldos no se hace por medio de la tarifa sino mediante la factura</w:t>
      </w:r>
      <w:r w:rsidR="00920ECE">
        <w:t xml:space="preserve"> y por tanto no aplica en esta evaluación</w:t>
      </w:r>
      <w:r w:rsidR="00D46FC3">
        <w:t>.</w:t>
      </w:r>
    </w:p>
    <w:p w14:paraId="6770A9FD" w14:textId="77777777" w:rsidR="004B423A" w:rsidRDefault="00A56D6B" w:rsidP="00D45525">
      <w:r>
        <w:t>Dado que aquí se considera que no existen transiciones en ningún mercado entre la aplicación de esquema</w:t>
      </w:r>
      <w:r w:rsidR="007810BE">
        <w:t xml:space="preserve">s, </w:t>
      </w:r>
      <w:r w:rsidR="002B348F">
        <w:t xml:space="preserve">no se evitan de ninguna forma las alzas </w:t>
      </w:r>
      <w:r w:rsidR="00B92704">
        <w:t>requeridas para cerrar las brechas</w:t>
      </w:r>
      <w:r w:rsidR="00242210">
        <w:t xml:space="preserve">. La evaluación se realiza en color amarillo dado que </w:t>
      </w:r>
      <w:r w:rsidR="00484D9F">
        <w:t xml:space="preserve">es posible que el comercializador inicie una nueva opción tarifaria para </w:t>
      </w:r>
      <w:r w:rsidR="00635884">
        <w:t>amortiguar estas diferencias.</w:t>
      </w:r>
    </w:p>
    <w:p w14:paraId="1E66F935" w14:textId="4BEFD3E5" w:rsidR="00920ECE" w:rsidRDefault="006723B3" w:rsidP="00D45525">
      <w:r>
        <w:t xml:space="preserve">Unos de los principales aspectos </w:t>
      </w:r>
      <w:proofErr w:type="gramStart"/>
      <w:r>
        <w:t>a</w:t>
      </w:r>
      <w:proofErr w:type="gramEnd"/>
      <w:r>
        <w:t xml:space="preserve"> tener en cuenta en esta alternativa es el riesgo jurídico para su aplicación al momento de individualizar la responsabilidad por el pago de un saldo</w:t>
      </w:r>
      <w:r w:rsidR="000C33B3">
        <w:t xml:space="preserve"> a cada usuario</w:t>
      </w:r>
      <w:r w:rsidR="00AE54B2">
        <w:t xml:space="preserve">. También aparecen en rojo los criterios de implementación por cuanto </w:t>
      </w:r>
      <w:r w:rsidR="008D76C2">
        <w:t xml:space="preserve">es necesaria la individualización de los saldos lo que implica una liquidación de cada uno de los </w:t>
      </w:r>
      <w:r w:rsidR="0081376C">
        <w:t>17</w:t>
      </w:r>
      <w:r w:rsidR="008D76C2">
        <w:t xml:space="preserve"> millones de usuarios</w:t>
      </w:r>
      <w:r>
        <w:t xml:space="preserve">, </w:t>
      </w:r>
      <w:r w:rsidR="00882C09">
        <w:t>lo que puede acarrear una cantidad importante de reclamaciones</w:t>
      </w:r>
      <w:r w:rsidR="00CD26DE">
        <w:t>.</w:t>
      </w:r>
    </w:p>
    <w:p w14:paraId="07C1E286" w14:textId="3C933DFA" w:rsidR="006A2BF0" w:rsidRDefault="006A2BF0" w:rsidP="00D45525">
      <w:r>
        <w:t xml:space="preserve">El esfuerzo regulatorio </w:t>
      </w:r>
      <w:r w:rsidR="00E13BD8">
        <w:t>aparece en amarill</w:t>
      </w:r>
      <w:r w:rsidR="0056788C">
        <w:t xml:space="preserve">o porque </w:t>
      </w:r>
      <w:r w:rsidR="00A837B4">
        <w:t>esta implementación requeriría de modificaciones regulatorias adicionales.</w:t>
      </w:r>
    </w:p>
    <w:p w14:paraId="1F5DE282" w14:textId="55960B6E" w:rsidR="00A837B4" w:rsidRPr="00366A57" w:rsidRDefault="00A837B4" w:rsidP="00D45525">
      <w:pPr>
        <w:pStyle w:val="Ttulo3"/>
      </w:pPr>
      <w:bookmarkStart w:id="125" w:name="_Toc152921870"/>
      <w:r>
        <w:t xml:space="preserve">Creación de </w:t>
      </w:r>
      <w:r w:rsidR="00F74FCA">
        <w:t xml:space="preserve">costo </w:t>
      </w:r>
      <w:r w:rsidR="004D1C2D">
        <w:t xml:space="preserve">temporal </w:t>
      </w:r>
      <w:r w:rsidR="00F74FCA">
        <w:t>de mercado</w:t>
      </w:r>
      <w:bookmarkEnd w:id="125"/>
    </w:p>
    <w:p w14:paraId="49C7364B" w14:textId="6BA8B406" w:rsidR="007602F1" w:rsidRDefault="00A837B4" w:rsidP="00D45525">
      <w:r>
        <w:t xml:space="preserve">Esta alternativa presenta </w:t>
      </w:r>
      <w:r w:rsidR="00AD38E8">
        <w:t xml:space="preserve">la mayor cantidad de </w:t>
      </w:r>
      <w:r>
        <w:t>criterios favorables</w:t>
      </w:r>
      <w:r w:rsidR="00AD38E8">
        <w:t xml:space="preserve"> de todas las alternativas</w:t>
      </w:r>
      <w:r>
        <w:t>, cumpl</w:t>
      </w:r>
      <w:r w:rsidR="00FE78C9">
        <w:t xml:space="preserve">iendo con </w:t>
      </w:r>
      <w:r w:rsidR="007602F1">
        <w:t xml:space="preserve">la mayoría de </w:t>
      </w:r>
      <w:r w:rsidR="00FE78C9">
        <w:t>los objetivos planteados</w:t>
      </w:r>
      <w:r w:rsidR="00364D76">
        <w:t xml:space="preserve">. El criterio de competencia artificial se muestra en amarillo por cuanto, para aquellos mercados en donde es necesario continuar con la opción tarifaria </w:t>
      </w:r>
      <w:r w:rsidR="004A319A">
        <w:t>para minimizar la brecha y poder definir el costo de mercado</w:t>
      </w:r>
      <w:r w:rsidR="00562D90">
        <w:t xml:space="preserve">, </w:t>
      </w:r>
      <w:r w:rsidR="00910C49">
        <w:t xml:space="preserve">sería </w:t>
      </w:r>
      <w:r w:rsidR="00E56444">
        <w:t xml:space="preserve">necesario adoptar medidas regulatorias adicionales para evitar </w:t>
      </w:r>
      <w:r w:rsidR="007602F1">
        <w:t>dicha competencia artificial, cumpliendo este objetivo de manera parcial.</w:t>
      </w:r>
    </w:p>
    <w:p w14:paraId="47D6428E" w14:textId="5CBEA18C" w:rsidR="00E054D3" w:rsidRDefault="00AD4B2A" w:rsidP="00D45525">
      <w:r>
        <w:t xml:space="preserve">También aparecen favorables los demás criterios </w:t>
      </w:r>
      <w:r w:rsidR="008E149F">
        <w:t>al considera</w:t>
      </w:r>
      <w:r w:rsidR="00707860">
        <w:t>r</w:t>
      </w:r>
      <w:r w:rsidR="008E149F">
        <w:t xml:space="preserve"> que es</w:t>
      </w:r>
      <w:r w:rsidR="00414A91">
        <w:t>ta alternativa no presenta riesgos jurídicos por cuanto el cobro a través de un componente de costo de mercado guarda completa relación de causalidad con la creación del saldo por mercado</w:t>
      </w:r>
      <w:r w:rsidR="0089424A">
        <w:t xml:space="preserve">, </w:t>
      </w:r>
      <w:r w:rsidR="00487F23">
        <w:t xml:space="preserve">es de fácil implementación al aplicar un valor uniforme a todos los usuarios de un mismo </w:t>
      </w:r>
      <w:r w:rsidR="00487F23">
        <w:lastRenderedPageBreak/>
        <w:t>mercado</w:t>
      </w:r>
      <w:r w:rsidR="00383107">
        <w:t xml:space="preserve"> que es de fácil vigilancia</w:t>
      </w:r>
      <w:r w:rsidR="000F114E">
        <w:t>, eliminando la casu</w:t>
      </w:r>
      <w:r w:rsidR="00E054D3">
        <w:t>í</w:t>
      </w:r>
      <w:r w:rsidR="000F114E">
        <w:t xml:space="preserve">stica </w:t>
      </w:r>
      <w:r w:rsidR="00E054D3">
        <w:t xml:space="preserve">presentada en </w:t>
      </w:r>
      <w:r w:rsidR="000F114E">
        <w:t>la alternativa anterior.</w:t>
      </w:r>
      <w:r w:rsidR="00487F23">
        <w:t xml:space="preserve"> </w:t>
      </w:r>
    </w:p>
    <w:p w14:paraId="42121E8A" w14:textId="4FE3F259" w:rsidR="007602F1" w:rsidRDefault="00E054D3" w:rsidP="00D45525">
      <w:r>
        <w:t>E</w:t>
      </w:r>
      <w:r w:rsidR="00AD4B2A">
        <w:t xml:space="preserve">l </w:t>
      </w:r>
      <w:r>
        <w:t xml:space="preserve">criterio </w:t>
      </w:r>
      <w:r w:rsidR="00AD4B2A">
        <w:t xml:space="preserve">de esfuerzo regulatorio </w:t>
      </w:r>
      <w:r>
        <w:t xml:space="preserve">está evaluado en amarillo dado que, al igual que en la alternativa anterior, </w:t>
      </w:r>
      <w:r w:rsidR="00AD4B2A">
        <w:t>esta requ</w:t>
      </w:r>
      <w:r w:rsidR="008E149F">
        <w:t>iere de modificaciones adicionales para su implementación.</w:t>
      </w:r>
    </w:p>
    <w:p w14:paraId="32B2B0DE" w14:textId="3FC52A28" w:rsidR="00927833" w:rsidRDefault="00927833" w:rsidP="00D45525">
      <w:pPr>
        <w:pStyle w:val="Ttulo1"/>
      </w:pPr>
      <w:bookmarkStart w:id="126" w:name="_Toc152921871"/>
      <w:r w:rsidRPr="007619FB">
        <w:t>PROPUESTA REGULATORIA</w:t>
      </w:r>
      <w:bookmarkEnd w:id="113"/>
      <w:bookmarkEnd w:id="114"/>
      <w:bookmarkEnd w:id="115"/>
      <w:bookmarkEnd w:id="116"/>
      <w:bookmarkEnd w:id="126"/>
    </w:p>
    <w:p w14:paraId="2938C4EB" w14:textId="0E5A35E9" w:rsidR="00D365F3" w:rsidRDefault="00D365F3" w:rsidP="00D45525">
      <w:r>
        <w:t xml:space="preserve">Acorde con los </w:t>
      </w:r>
      <w:r w:rsidR="00B806F3">
        <w:t xml:space="preserve">argumentos expuestos, los análisis jurídicos, </w:t>
      </w:r>
      <w:r w:rsidR="009C43B9">
        <w:t>técnicos y los resultados del análisis multicriterio</w:t>
      </w:r>
      <w:r w:rsidR="00B80976">
        <w:t>;</w:t>
      </w:r>
      <w:r w:rsidR="009C43B9">
        <w:t xml:space="preserve"> </w:t>
      </w:r>
      <w:r w:rsidR="00B80976">
        <w:t xml:space="preserve">se propone implementar la </w:t>
      </w:r>
      <w:r w:rsidR="006D214D">
        <w:t xml:space="preserve">alternativa </w:t>
      </w:r>
      <w:r w:rsidR="00B80976">
        <w:t xml:space="preserve">de creación de costo de mercado, dado que además de </w:t>
      </w:r>
      <w:r w:rsidR="003C4FCE">
        <w:t xml:space="preserve">permitir </w:t>
      </w:r>
      <w:r w:rsidR="001B1660">
        <w:t xml:space="preserve">el cumplimiento de los objetivos planteados, </w:t>
      </w:r>
      <w:r w:rsidR="00C5264D">
        <w:t xml:space="preserve">es la alternativa que presenta menores riesgos </w:t>
      </w:r>
      <w:r w:rsidR="0019691B">
        <w:t xml:space="preserve">y la más </w:t>
      </w:r>
      <w:r w:rsidR="00923DE1">
        <w:t>sencilla de aplicar y vigilar.</w:t>
      </w:r>
    </w:p>
    <w:p w14:paraId="5EE7427F" w14:textId="77777777" w:rsidR="00034ACE" w:rsidRDefault="006D214D" w:rsidP="00D45525">
      <w:r>
        <w:t xml:space="preserve">Es de recordar que la implementación de esta alternativa </w:t>
      </w:r>
      <w:r w:rsidR="00034ACE">
        <w:t>debe estar acompañada de:</w:t>
      </w:r>
    </w:p>
    <w:p w14:paraId="1DE7D32C" w14:textId="77CCAAB0" w:rsidR="006D214D" w:rsidRPr="002A6DDA" w:rsidRDefault="00034ACE">
      <w:pPr>
        <w:pStyle w:val="Prrafodelista"/>
        <w:numPr>
          <w:ilvl w:val="0"/>
          <w:numId w:val="17"/>
        </w:numPr>
      </w:pPr>
      <w:r w:rsidRPr="002A6DDA">
        <w:t xml:space="preserve">Cambio en </w:t>
      </w:r>
      <w:r w:rsidR="00565B77" w:rsidRPr="002A6DDA">
        <w:t>la fórmula de costo unitario de prestación del servicio</w:t>
      </w:r>
      <w:r w:rsidR="0051113D">
        <w:t>,</w:t>
      </w:r>
      <w:r w:rsidR="00565B77" w:rsidRPr="002A6DDA">
        <w:t xml:space="preserve"> de que trata la R</w:t>
      </w:r>
      <w:r w:rsidRPr="002A6DDA">
        <w:t>esolución CREG 119 de 2007</w:t>
      </w:r>
      <w:r w:rsidR="00565B77" w:rsidRPr="002A6DDA">
        <w:t xml:space="preserve">, para incluir </w:t>
      </w:r>
      <w:r w:rsidR="00E449EA">
        <w:t xml:space="preserve">un </w:t>
      </w:r>
      <w:r w:rsidR="009B2D9C">
        <w:t xml:space="preserve">valor </w:t>
      </w:r>
      <w:r w:rsidR="00E449EA">
        <w:t xml:space="preserve">asociado con el pago del saldo acumulado de la opción tarifaria y reglas para evitar </w:t>
      </w:r>
      <w:r w:rsidR="009B2D9C">
        <w:t>que se presente competencia apalancada en el pago de la opción tarifaria.</w:t>
      </w:r>
      <w:r w:rsidR="009619C5" w:rsidRPr="002A6DDA">
        <w:t xml:space="preserve"> </w:t>
      </w:r>
    </w:p>
    <w:p w14:paraId="419D51D8" w14:textId="513781E0" w:rsidR="003C0CEE" w:rsidRPr="002A6DDA" w:rsidRDefault="003C0CEE">
      <w:pPr>
        <w:pStyle w:val="Prrafodelista"/>
        <w:numPr>
          <w:ilvl w:val="0"/>
          <w:numId w:val="17"/>
        </w:numPr>
      </w:pPr>
      <w:r w:rsidRPr="002A6DDA">
        <w:t xml:space="preserve">Cambio en la </w:t>
      </w:r>
      <w:r w:rsidR="00AC1023" w:rsidRPr="002A6DDA">
        <w:t xml:space="preserve">normatividad asociada con la opción tarifaria vigente, Resolución CREG 012 de 2020, </w:t>
      </w:r>
      <w:r w:rsidR="00356DCF" w:rsidRPr="002A6DDA">
        <w:t xml:space="preserve">para </w:t>
      </w:r>
      <w:r w:rsidR="00F56064" w:rsidRPr="002A6DDA">
        <w:t xml:space="preserve">los casos en los que </w:t>
      </w:r>
      <w:r w:rsidR="006144EA">
        <w:t>un comercializador decida no acogerse al mutuo acuerdo</w:t>
      </w:r>
      <w:r w:rsidR="004E44A7">
        <w:t xml:space="preserve"> y se requiera</w:t>
      </w:r>
      <w:r w:rsidR="00344A2E" w:rsidRPr="002A6DDA">
        <w:t xml:space="preserve"> establecer las </w:t>
      </w:r>
      <w:r w:rsidR="006C2741" w:rsidRPr="002A6DDA">
        <w:t xml:space="preserve">normas </w:t>
      </w:r>
      <w:r w:rsidR="00344A2E" w:rsidRPr="002A6DDA">
        <w:t xml:space="preserve">que impidan </w:t>
      </w:r>
      <w:r w:rsidR="00CA6B21">
        <w:t>aprovechar diferencias entre tasas apli</w:t>
      </w:r>
      <w:r w:rsidR="0056206B">
        <w:t>c</w:t>
      </w:r>
      <w:r w:rsidR="00CA6B21">
        <w:t>adas en uno u otro esquema</w:t>
      </w:r>
      <w:r w:rsidR="00B4125D">
        <w:t>,</w:t>
      </w:r>
      <w:r w:rsidR="00CA6B21">
        <w:t xml:space="preserve"> evitar </w:t>
      </w:r>
      <w:r w:rsidR="005B64C9" w:rsidRPr="002A6DDA">
        <w:t>la</w:t>
      </w:r>
      <w:r w:rsidR="00CA6B21">
        <w:t xml:space="preserve"> </w:t>
      </w:r>
      <w:r w:rsidR="00445BF3" w:rsidRPr="002A6DDA">
        <w:t>“competencia artificial”</w:t>
      </w:r>
      <w:r w:rsidR="00B4125D">
        <w:t xml:space="preserve"> y </w:t>
      </w:r>
      <w:r w:rsidR="00F15157">
        <w:t>di</w:t>
      </w:r>
      <w:r w:rsidR="00717709">
        <w:t xml:space="preserve">ferir </w:t>
      </w:r>
      <w:r w:rsidR="009D1685">
        <w:t xml:space="preserve">el impacto de las tarifas de energía eléctrica </w:t>
      </w:r>
      <w:r w:rsidR="0086258E">
        <w:t>a los usuarios durante el siguiente año</w:t>
      </w:r>
      <w:r w:rsidR="004D544C" w:rsidRPr="002A6DDA">
        <w:t>.</w:t>
      </w:r>
      <w:r w:rsidR="00F56064" w:rsidRPr="002A6DDA">
        <w:t xml:space="preserve"> </w:t>
      </w:r>
    </w:p>
    <w:p w14:paraId="017C4E00" w14:textId="7D1B3442" w:rsidR="00D365F3" w:rsidRDefault="002611A5" w:rsidP="00D45525">
      <w:r>
        <w:t xml:space="preserve">En el siguiente apartado se encuentra el soporte jurídico que habilitaría la </w:t>
      </w:r>
      <w:r w:rsidR="006D214D">
        <w:t>implementación de la alternativa propuesta.</w:t>
      </w:r>
    </w:p>
    <w:p w14:paraId="37F278AA" w14:textId="77777777" w:rsidR="006D214D" w:rsidRPr="00061307" w:rsidRDefault="006D214D" w:rsidP="00DB3094">
      <w:pPr>
        <w:pStyle w:val="Ttulo2"/>
      </w:pPr>
      <w:bookmarkStart w:id="127" w:name="_Toc45808001"/>
      <w:bookmarkStart w:id="128" w:name="_Toc152921872"/>
      <w:bookmarkEnd w:id="127"/>
      <w:r>
        <w:t>Herramientas jurídicas para implementación de la alternativa</w:t>
      </w:r>
      <w:r w:rsidRPr="00061307">
        <w:t xml:space="preserve"> </w:t>
      </w:r>
      <w:r>
        <w:t>propuesta</w:t>
      </w:r>
      <w:bookmarkEnd w:id="128"/>
    </w:p>
    <w:p w14:paraId="192EE009" w14:textId="77777777" w:rsidR="007871E8" w:rsidRDefault="001F4493" w:rsidP="00D45525">
      <w:r>
        <w:t>E</w:t>
      </w:r>
      <w:r w:rsidR="00852721">
        <w:t xml:space="preserve">n cuanto a las herramientas jurídicas para llevar a cabo la aplicación de la alternativa </w:t>
      </w:r>
      <w:r w:rsidR="00E566FD">
        <w:t>de creación de costo de mercado</w:t>
      </w:r>
      <w:r w:rsidR="00852721">
        <w:t xml:space="preserve">, el recaudo del saldo acumulado implica un ajuste en la formula tarifaria del costo unitario de prestación del servicio de la Resolución CREG 119 de 2007. </w:t>
      </w:r>
    </w:p>
    <w:p w14:paraId="6C9A4565" w14:textId="31620A38" w:rsidR="00852721" w:rsidRDefault="00852721" w:rsidP="00D45525">
      <w:r>
        <w:t>Para poder llevar a cabo esta decisión la misma debe estar justificada dentro de las causales previstas en el artículo 126 de la Ley 142 de 1994, modificado por la ley 2099 de 2021 el cual establece lo siguiente:</w:t>
      </w:r>
    </w:p>
    <w:p w14:paraId="424BDA91" w14:textId="77777777" w:rsidR="00852721" w:rsidRDefault="00852721" w:rsidP="009A103A">
      <w:pPr>
        <w:pStyle w:val="NormalWeb"/>
        <w:spacing w:before="0" w:beforeAutospacing="0" w:after="0" w:afterAutospacing="0"/>
        <w:ind w:left="284" w:right="335"/>
        <w:jc w:val="both"/>
        <w:rPr>
          <w:rFonts w:ascii="Arial" w:eastAsia="+mn-ea" w:hAnsi="Arial" w:cs="Arial"/>
          <w:i/>
          <w:iCs/>
          <w:color w:val="000000"/>
          <w:kern w:val="24"/>
          <w:sz w:val="20"/>
          <w:szCs w:val="20"/>
          <w:lang w:val="es-CO"/>
        </w:rPr>
      </w:pPr>
      <w:r>
        <w:rPr>
          <w:rFonts w:ascii="Arial" w:hAnsi="Arial" w:cs="Arial"/>
          <w:i/>
          <w:iCs/>
          <w:spacing w:val="-5"/>
          <w:sz w:val="20"/>
          <w:szCs w:val="20"/>
          <w:lang w:val="es-CO"/>
        </w:rPr>
        <w:t>“</w:t>
      </w:r>
      <w:r w:rsidRPr="0011004A">
        <w:rPr>
          <w:rFonts w:ascii="Arial" w:hAnsi="Arial" w:cs="Arial"/>
          <w:b/>
          <w:bCs/>
          <w:i/>
          <w:iCs/>
          <w:spacing w:val="-5"/>
          <w:sz w:val="20"/>
          <w:szCs w:val="20"/>
          <w:lang w:val="es-CO"/>
        </w:rPr>
        <w:t>Ley 142 de 1994. Artículo 126.</w:t>
      </w:r>
      <w:r w:rsidRPr="0011004A">
        <w:rPr>
          <w:rFonts w:ascii="Arial" w:hAnsi="Arial" w:cs="Arial"/>
          <w:i/>
          <w:iCs/>
          <w:spacing w:val="-5"/>
          <w:sz w:val="20"/>
          <w:szCs w:val="20"/>
          <w:lang w:val="es-CO"/>
        </w:rPr>
        <w:t xml:space="preserve">  </w:t>
      </w:r>
      <w:r w:rsidRPr="0011004A">
        <w:rPr>
          <w:rFonts w:ascii="Arial" w:eastAsia="+mn-ea" w:hAnsi="Arial" w:cs="Arial"/>
          <w:i/>
          <w:iCs/>
          <w:color w:val="000000"/>
          <w:kern w:val="24"/>
          <w:sz w:val="20"/>
          <w:szCs w:val="20"/>
          <w:lang w:val="es-CO"/>
        </w:rPr>
        <w:t xml:space="preserve">Las fórmulas tarifarias tendrán una vigencia de cinco años, salvo que antes haya acuerdo entre la empresa de servicios públicos y la comisión para modificarlas o prorrogarlas por un período igual. </w:t>
      </w:r>
      <w:r w:rsidRPr="0011004A">
        <w:rPr>
          <w:rFonts w:ascii="Arial" w:eastAsia="+mn-ea" w:hAnsi="Arial" w:cs="Arial"/>
          <w:b/>
          <w:bCs/>
          <w:i/>
          <w:iCs/>
          <w:color w:val="000000"/>
          <w:kern w:val="24"/>
          <w:sz w:val="20"/>
          <w:szCs w:val="20"/>
          <w:u w:val="single"/>
          <w:lang w:val="es-CO"/>
        </w:rPr>
        <w:t xml:space="preserve">Excepcionalmente podrán modificarse en cualquier tiempo, de oficio </w:t>
      </w:r>
      <w:r w:rsidRPr="0011004A">
        <w:rPr>
          <w:rFonts w:ascii="Arial" w:eastAsia="+mn-ea" w:hAnsi="Arial" w:cs="Arial"/>
          <w:i/>
          <w:iCs/>
          <w:color w:val="000000"/>
          <w:kern w:val="24"/>
          <w:sz w:val="20"/>
          <w:szCs w:val="20"/>
          <w:lang w:val="es-CO"/>
        </w:rPr>
        <w:t xml:space="preserve">o a petición de parte, cuando sea evidente que se cometieron graves errores en su cálculo, </w:t>
      </w:r>
      <w:r w:rsidRPr="005945C6">
        <w:rPr>
          <w:rFonts w:ascii="Arial" w:eastAsia="+mn-ea" w:hAnsi="Arial" w:cs="Arial"/>
          <w:b/>
          <w:bCs/>
          <w:i/>
          <w:iCs/>
          <w:color w:val="000000"/>
          <w:kern w:val="24"/>
          <w:sz w:val="20"/>
          <w:szCs w:val="20"/>
          <w:u w:val="single"/>
          <w:lang w:val="es-CO"/>
        </w:rPr>
        <w:t>se lesionan injustamente los intereses de los usuarios o de la empresa</w:t>
      </w:r>
      <w:r w:rsidRPr="0011004A">
        <w:rPr>
          <w:rFonts w:ascii="Arial" w:eastAsia="+mn-ea" w:hAnsi="Arial" w:cs="Arial"/>
          <w:i/>
          <w:iCs/>
          <w:color w:val="000000"/>
          <w:kern w:val="24"/>
          <w:sz w:val="20"/>
          <w:szCs w:val="20"/>
          <w:lang w:val="es-CO"/>
        </w:rPr>
        <w:t>; o que ha habido razones de caso fortuito o fuerza mayor que comprometen en forma grave la capacidad financiera de la empresa para continuar prestando el servicio en las condiciones tarifarias previstas.</w:t>
      </w:r>
    </w:p>
    <w:p w14:paraId="730CB5BA" w14:textId="77777777" w:rsidR="00852721" w:rsidRPr="0011004A" w:rsidRDefault="00852721" w:rsidP="009A103A">
      <w:pPr>
        <w:pStyle w:val="NormalWeb"/>
        <w:spacing w:before="0" w:beforeAutospacing="0" w:after="0" w:afterAutospacing="0"/>
        <w:ind w:left="284" w:right="335"/>
        <w:jc w:val="both"/>
        <w:rPr>
          <w:rFonts w:ascii="Arial" w:hAnsi="Arial" w:cs="Arial"/>
          <w:i/>
          <w:iCs/>
          <w:sz w:val="20"/>
          <w:szCs w:val="20"/>
          <w:lang w:val="es-CO" w:eastAsia="es-CO"/>
        </w:rPr>
      </w:pPr>
    </w:p>
    <w:p w14:paraId="49A4A498" w14:textId="77777777" w:rsidR="00852721" w:rsidRPr="0011004A" w:rsidRDefault="00852721" w:rsidP="009A103A">
      <w:pPr>
        <w:pStyle w:val="NormalWeb"/>
        <w:spacing w:before="0" w:beforeAutospacing="0" w:after="0" w:afterAutospacing="0"/>
        <w:ind w:left="284" w:right="335"/>
        <w:jc w:val="both"/>
        <w:rPr>
          <w:rFonts w:ascii="Arial" w:hAnsi="Arial" w:cs="Arial"/>
          <w:i/>
          <w:iCs/>
          <w:sz w:val="20"/>
          <w:szCs w:val="20"/>
          <w:lang w:val="es-CO"/>
        </w:rPr>
      </w:pPr>
      <w:r w:rsidRPr="0011004A">
        <w:rPr>
          <w:rFonts w:ascii="Arial" w:eastAsia="+mn-ea" w:hAnsi="Arial" w:cs="Arial"/>
          <w:i/>
          <w:iCs/>
          <w:color w:val="000000"/>
          <w:kern w:val="24"/>
          <w:sz w:val="20"/>
          <w:szCs w:val="20"/>
          <w:lang w:val="es-CO"/>
        </w:rPr>
        <w:t>Vencido el período de vigencia de las fórmulas tarifarias, continuarán rigiendo mientras la comisión no fije las nuevas.</w:t>
      </w:r>
      <w:r>
        <w:rPr>
          <w:rFonts w:ascii="Arial" w:eastAsia="+mn-ea" w:hAnsi="Arial" w:cs="Arial"/>
          <w:i/>
          <w:iCs/>
          <w:color w:val="000000"/>
          <w:kern w:val="24"/>
          <w:sz w:val="20"/>
          <w:szCs w:val="20"/>
          <w:lang w:val="es-CO"/>
        </w:rPr>
        <w:t>”</w:t>
      </w:r>
    </w:p>
    <w:p w14:paraId="36E0640E" w14:textId="77777777" w:rsidR="00431AD8" w:rsidRDefault="00431AD8" w:rsidP="00431AD8">
      <w:r>
        <w:t xml:space="preserve">En relación con el alcance de la causal de mutuo acuerdo entre la empresa de servicios públicos domiciliarios y la Comisión , se ha precisado que esta facultad no permite acordar arbitrariamente una fórmula tarifaria en desconocimiento de las normas constitucionales y </w:t>
      </w:r>
      <w:r>
        <w:lastRenderedPageBreak/>
        <w:t>legales sobre el régimen tarifario, así como de los principios constitucionales que rigen la prestación de los servicios públicos domiciliarios, sino que la administración debe actuar conforme a los principios y límites previstos en la Constitución y la Ley.</w:t>
      </w:r>
    </w:p>
    <w:p w14:paraId="596B4640" w14:textId="77777777" w:rsidR="00431AD8" w:rsidRDefault="00431AD8" w:rsidP="00431AD8">
      <w:r>
        <w:t xml:space="preserve">Es por esto </w:t>
      </w:r>
      <w:proofErr w:type="gramStart"/>
      <w:r>
        <w:t>que</w:t>
      </w:r>
      <w:proofErr w:type="gramEnd"/>
      <w:r>
        <w:t xml:space="preserve"> dicha causal tiene fundamento en razones que ameriten ajustes en las tarifas para garantizar a las empresas el cumplimiento de los criterios tarifarios definidos en el artículo 87 de la Ley 142 de 1994. En el evento del mutuo acuerdo, la modificación puede proceder por hechos o circunstancias de la prestación del servicio generadas en un evento posterior, que no se reflejan adecuadamente en los costos incorporados en las tarifas aprobadas a una empresa. Así mismo, la procedencia del mutuo acuerdo entre la Comisión y la empresa se debe fundar en razones que ameriten ajustes en las tarifas para garantizar a las empresas el cumplimiento de los criterios tarifarios definidos en la Ley.</w:t>
      </w:r>
    </w:p>
    <w:p w14:paraId="0372E4F0" w14:textId="77777777" w:rsidR="00431AD8" w:rsidRDefault="00431AD8" w:rsidP="00431AD8">
      <w:r>
        <w:t>Frente a los eventos expuestos, en el presente caso estos se adecuan a la causal de muto acuerdo previsto en el artículo 126 de la Ley 142 de 1994, toda vez que su incorporación dentro de los costos de prestación del servicio y determinación de las tarifas garantiza la correcta aplicación de los criterios tarifarios a que hacen referencia el artículo 87 de la Ley 142 de 1994 dentro del servicio público domiciliario de energía eléctrica. Así mismo, estos se presentan con posterioridad a la definición de la fórmula prevista en el artículo 2º de la Resolución CREG 012 de 2020.</w:t>
      </w:r>
    </w:p>
    <w:p w14:paraId="69C57CF0" w14:textId="597E4EA8" w:rsidR="00431AD8" w:rsidRDefault="00431AD8" w:rsidP="00431AD8">
      <w:r>
        <w:t>En este sentido, estima la Comisión que en la presente propuesta se da una correcta aplicación de los criterios tarifarios en la medida que permite la recuperación de unos valores que se consideran eficientes en el marco del criterio de eficiencia económica, toda vez que dichos valores no incorporan gestiones ineficientes o son resultado de prácticas anticompetitivas o abusivas; reflejan una estructura de costos que permite una adecuada recuperación de los mismos, protegiendo el interés de los usuarios en la medida en que se establecen condiciones para que se prestación sea sostenible en el largo plazo, garantizando la continuidad en las actividades que deben desplegar los comercializadores en el marco del criterio de suficiencia financiera; así como que al ser sufragados por todos los usuarios en cada mercado de comercialización se garantiza un tratamiento neutral dadas las características de costos que tienen estos usuarios (</w:t>
      </w:r>
      <w:proofErr w:type="spellStart"/>
      <w:r>
        <w:t>i.e</w:t>
      </w:r>
      <w:proofErr w:type="spellEnd"/>
      <w:r>
        <w:t>, en cada nivel de tensión), en el marco del criterio de neutralidad.</w:t>
      </w:r>
    </w:p>
    <w:p w14:paraId="5856F467" w14:textId="249CE92A" w:rsidR="00431AD8" w:rsidRDefault="00431AD8" w:rsidP="00431AD8">
      <w:r>
        <w:t xml:space="preserve">Así mismo, teniendo en cuenta </w:t>
      </w:r>
      <w:r w:rsidR="00A949E1">
        <w:t xml:space="preserve">que </w:t>
      </w:r>
      <w:r>
        <w:t>las gestiones realizadas en aplicación de la opción tarifaria actual han sido desarrolladas por los comercializadores, los efectos económicos y siendo dichos agentes a los que les corresponde la aplicación de la formula tarifaria general, el reconocimiento de estos saldos dentro de dicha fórmula se debe consignar dentro del componente variable que remunera costos asociados a la atención de usuarios regulados por parte del comercializador minorista. Por estas mismas razones, es frente a estos agentes con los que se considera se debe llevar a cabo el mutuo acuerdo en la fórmula tarifaria general.</w:t>
      </w:r>
    </w:p>
    <w:p w14:paraId="1AEAFEDE" w14:textId="1C15CC56" w:rsidR="00431AD8" w:rsidRDefault="00431AD8" w:rsidP="00431AD8">
      <w:r>
        <w:t xml:space="preserve">Igualmente, dicho reconocimiento está asociado </w:t>
      </w:r>
      <w:r w:rsidR="002E1F27">
        <w:t xml:space="preserve">con los </w:t>
      </w:r>
      <w:r>
        <w:t xml:space="preserve">elementos previstos en la Ley 142 de 1994 que deben ser incorporados en las tarifas, como lo son la estructura de los costos económicos que varíen con el nivel de consumo como la demanda por el servicio, lo cual se refleja en el nivel de recuperación de los saldos; así mismo, que dichos costos </w:t>
      </w:r>
      <w:proofErr w:type="spellStart"/>
      <w:r>
        <w:t>esta</w:t>
      </w:r>
      <w:r w:rsidR="002E1F27">
        <w:t>n</w:t>
      </w:r>
      <w:proofErr w:type="spellEnd"/>
      <w:r>
        <w:t xml:space="preserve"> dirigidos a garantizar la disponibilidad permanente del servicio para el usuario, sin solución de continuidad y con eficiencia.</w:t>
      </w:r>
    </w:p>
    <w:p w14:paraId="44405042" w14:textId="54FC6DA7" w:rsidR="00431AD8" w:rsidRDefault="00431AD8" w:rsidP="00431AD8">
      <w:r>
        <w:t xml:space="preserve">De acuerdo con lo anterior, la presente propuesta regulatoria permite dar cumplimiento a los principios constitucionales y legales que rigen la prestación de los servicios públicos </w:t>
      </w:r>
      <w:r>
        <w:lastRenderedPageBreak/>
        <w:t xml:space="preserve">domiciliarios, previstos en el artículo 370 constitucional y en la Ley 142 de 1994 en sus artículos 1 al 13, relacionados entre otros con la prestación continua e ininterrumpida en condiciones de eficiencia, facilitando </w:t>
      </w:r>
      <w:r w:rsidR="00CC0D60">
        <w:t>que</w:t>
      </w:r>
      <w:r>
        <w:t xml:space="preserve"> los usuarios puedan sufragar la tarifa (i.e. incluido el valor del saldo acumulado) sin incrementos excesivos.</w:t>
      </w:r>
    </w:p>
    <w:p w14:paraId="506E53C0" w14:textId="7253C3FF" w:rsidR="00D45525" w:rsidRDefault="00431AD8" w:rsidP="00431AD8">
      <w:r>
        <w:t xml:space="preserve">Es por esto </w:t>
      </w:r>
      <w:proofErr w:type="gramStart"/>
      <w:r>
        <w:t>que</w:t>
      </w:r>
      <w:proofErr w:type="gramEnd"/>
      <w:r>
        <w:t xml:space="preserve"> la alternativa consignada en la presente resolución permite dar cumplimiento a los objetivos expuestos en relación con la problemática identificada frente a la aplicación de la opción tarifaria actual. </w:t>
      </w:r>
      <w:r w:rsidR="00D45525">
        <w:t xml:space="preserve"> </w:t>
      </w:r>
      <w:bookmarkStart w:id="129" w:name="_Toc45821482"/>
      <w:bookmarkStart w:id="130" w:name="_Toc57992633"/>
      <w:bookmarkStart w:id="131" w:name="_Toc58246325"/>
      <w:bookmarkStart w:id="132" w:name="_Toc58312353"/>
      <w:bookmarkStart w:id="133" w:name="_Toc58405830"/>
    </w:p>
    <w:p w14:paraId="0D56DF01" w14:textId="47E2B860" w:rsidR="00D6789B" w:rsidRDefault="00D45525" w:rsidP="00D45525">
      <w:pPr>
        <w:pStyle w:val="Ttulo1"/>
      </w:pPr>
      <w:bookmarkStart w:id="134" w:name="_Toc152921873"/>
      <w:r>
        <w:t>A</w:t>
      </w:r>
      <w:r w:rsidR="00286898" w:rsidRPr="00061307">
        <w:t>NÁLISIS DE IMPACTOS</w:t>
      </w:r>
      <w:bookmarkEnd w:id="129"/>
      <w:bookmarkEnd w:id="130"/>
      <w:bookmarkEnd w:id="131"/>
      <w:bookmarkEnd w:id="132"/>
      <w:bookmarkEnd w:id="133"/>
      <w:r w:rsidR="005738C6">
        <w:t xml:space="preserve"> </w:t>
      </w:r>
      <w:r w:rsidR="005738C6" w:rsidRPr="005738C6">
        <w:t>DE LO PROPUESTO EN EL PROYECTO DE RESOLUCIÓN 701 023 DE 2023.</w:t>
      </w:r>
      <w:bookmarkEnd w:id="134"/>
    </w:p>
    <w:p w14:paraId="63536144" w14:textId="3DA00160" w:rsidR="005738C6" w:rsidRPr="005738C6" w:rsidRDefault="005738C6" w:rsidP="005738C6">
      <w:r>
        <w:t xml:space="preserve">En este apartado se encuentra el análisis de impactos de lo propuesto en el proyecto de resolución CREG 701 023 de 2023 </w:t>
      </w:r>
      <w:r w:rsidR="00841351">
        <w:t xml:space="preserve">puesto a consulta pública y se repite en el presente documento solamente para efectos </w:t>
      </w:r>
      <w:r w:rsidR="00F972D0">
        <w:t>conservar</w:t>
      </w:r>
      <w:r w:rsidR="00841351">
        <w:t xml:space="preserve"> la trazabilidad de eventos dado que, en numerales posteriores </w:t>
      </w:r>
      <w:r w:rsidR="00F972D0">
        <w:t xml:space="preserve">de este mismo documento </w:t>
      </w:r>
      <w:r w:rsidR="00841351">
        <w:t xml:space="preserve">se </w:t>
      </w:r>
      <w:r w:rsidR="00A346F5">
        <w:t>detallan los cambios introducidos en la resolución definitiva como resultado de los análisis de comentarios recibidos</w:t>
      </w:r>
      <w:r w:rsidR="00F972D0">
        <w:t xml:space="preserve"> y la evolución del tema</w:t>
      </w:r>
      <w:r w:rsidR="00A346F5">
        <w:t xml:space="preserve">. </w:t>
      </w:r>
    </w:p>
    <w:p w14:paraId="6066E193" w14:textId="77413CB6" w:rsidR="00646445" w:rsidRPr="00D45525" w:rsidRDefault="00C50AD4" w:rsidP="00DB3094">
      <w:pPr>
        <w:pStyle w:val="Ttulo2"/>
      </w:pPr>
      <w:bookmarkStart w:id="135" w:name="_Toc152921874"/>
      <w:r w:rsidRPr="00D45525">
        <w:t>Impacto opción no hacer nada</w:t>
      </w:r>
      <w:bookmarkEnd w:id="135"/>
      <w:r w:rsidRPr="00D45525">
        <w:t xml:space="preserve"> </w:t>
      </w:r>
    </w:p>
    <w:p w14:paraId="77A03CC4" w14:textId="1761209E" w:rsidR="009E44C9" w:rsidRDefault="00032CF9" w:rsidP="00D45525">
      <w:r>
        <w:t xml:space="preserve">Los impactos de esta alternativa se presentan en dos </w:t>
      </w:r>
      <w:r w:rsidR="00434473">
        <w:t>aristas</w:t>
      </w:r>
      <w:r>
        <w:t xml:space="preserve">: i) </w:t>
      </w:r>
      <w:r w:rsidR="00434473">
        <w:t xml:space="preserve">la primera relacionada con el pico al que puede llegar el costo unitario de prestación del servicio considerando </w:t>
      </w:r>
      <w:r w:rsidR="005816F0">
        <w:t xml:space="preserve">la aplicación de la opción tarifaria según lo establecido en la Resolución CREG 012 de 2020 y </w:t>
      </w:r>
      <w:proofErr w:type="spellStart"/>
      <w:r w:rsidR="005816F0">
        <w:t>ii</w:t>
      </w:r>
      <w:proofErr w:type="spellEnd"/>
      <w:r w:rsidR="005816F0">
        <w:t xml:space="preserve">) </w:t>
      </w:r>
      <w:r w:rsidR="00FB5103">
        <w:t xml:space="preserve">el efecto que tiene </w:t>
      </w:r>
      <w:r w:rsidR="003306DB">
        <w:t xml:space="preserve">la “competencia </w:t>
      </w:r>
      <w:r w:rsidR="001B4C2A">
        <w:t xml:space="preserve">artificial” </w:t>
      </w:r>
      <w:r w:rsidR="00560A1B">
        <w:t xml:space="preserve">sobre </w:t>
      </w:r>
      <w:r w:rsidR="009E44C9">
        <w:t>el mercado responsable de a</w:t>
      </w:r>
      <w:r w:rsidR="009B7663">
        <w:t>s</w:t>
      </w:r>
      <w:r w:rsidR="009E44C9">
        <w:t>umir el pago del saldo acumulado.</w:t>
      </w:r>
    </w:p>
    <w:p w14:paraId="30DDD5B7" w14:textId="67D4B7D7" w:rsidR="00CF2EA0" w:rsidRDefault="009E44C9" w:rsidP="00D45525">
      <w:r>
        <w:t xml:space="preserve">Para </w:t>
      </w:r>
      <w:r w:rsidR="009950F8">
        <w:t>ejempli</w:t>
      </w:r>
      <w:r w:rsidR="008A46B5">
        <w:t>ficar</w:t>
      </w:r>
      <w:r w:rsidR="009950F8">
        <w:t xml:space="preserve"> </w:t>
      </w:r>
      <w:r w:rsidR="007E4023">
        <w:t>esto</w:t>
      </w:r>
      <w:r>
        <w:t xml:space="preserve">, </w:t>
      </w:r>
      <w:r w:rsidR="007E4023">
        <w:t>se tomaron como referencia dos mercados de comercialización</w:t>
      </w:r>
      <w:r w:rsidR="002668D3">
        <w:t>: Air</w:t>
      </w:r>
      <w:r w:rsidR="00C11565">
        <w:noBreakHyphen/>
      </w:r>
      <w:r w:rsidR="002668D3">
        <w:t xml:space="preserve">e y </w:t>
      </w:r>
      <w:proofErr w:type="spellStart"/>
      <w:r w:rsidR="002668D3">
        <w:t>Electrohuila</w:t>
      </w:r>
      <w:proofErr w:type="spellEnd"/>
      <w:r w:rsidR="0021705A">
        <w:t xml:space="preserve"> donde, a partir de la</w:t>
      </w:r>
      <w:r w:rsidR="00AE2B48">
        <w:t xml:space="preserve">s tarifas de mayo de 2022 </w:t>
      </w:r>
      <w:r w:rsidR="00C11565">
        <w:t>y la energía vendida en cada uno de dichos mercados</w:t>
      </w:r>
      <w:r w:rsidR="008131FC">
        <w:t xml:space="preserve">, </w:t>
      </w:r>
      <w:r w:rsidR="00AE2B48">
        <w:t>se realiz</w:t>
      </w:r>
      <w:r w:rsidR="00A87062">
        <w:t xml:space="preserve">aron </w:t>
      </w:r>
      <w:r w:rsidR="00AE2B48">
        <w:t>simulaci</w:t>
      </w:r>
      <w:r w:rsidR="00A87062">
        <w:t>ones</w:t>
      </w:r>
      <w:r w:rsidR="00AE2B48">
        <w:t xml:space="preserve"> </w:t>
      </w:r>
      <w:r w:rsidR="002F2D1E">
        <w:t>de</w:t>
      </w:r>
      <w:r w:rsidR="008B757B">
        <w:t>l comportamiento del CU</w:t>
      </w:r>
      <w:r w:rsidR="00646E54">
        <w:t xml:space="preserve"> </w:t>
      </w:r>
      <w:r w:rsidR="003B647B">
        <w:t>aplicado</w:t>
      </w:r>
      <w:r w:rsidR="008B757B">
        <w:t>,</w:t>
      </w:r>
      <w:r w:rsidR="002F2D1E">
        <w:t xml:space="preserve"> </w:t>
      </w:r>
      <w:r w:rsidR="00AE2B48">
        <w:t>sin considerar el efecto de la Resolución CREG 101</w:t>
      </w:r>
      <w:r w:rsidR="00FB630A">
        <w:t>_031 de 2022</w:t>
      </w:r>
      <w:r w:rsidR="00AE0370">
        <w:t>, sin considerar la evolución del cargo de generación</w:t>
      </w:r>
      <w:r w:rsidR="003B647B">
        <w:t xml:space="preserve"> ni ninguno de los otros componentes </w:t>
      </w:r>
      <w:r w:rsidR="00CF2EA0">
        <w:t xml:space="preserve">y con base en los siguientes supuestos: </w:t>
      </w:r>
    </w:p>
    <w:p w14:paraId="4A428FB0" w14:textId="768F3098" w:rsidR="00CF2EA0" w:rsidRDefault="00CF2EA0" w:rsidP="00CF2EA0">
      <w:pPr>
        <w:pStyle w:val="Prrafodelista"/>
        <w:numPr>
          <w:ilvl w:val="0"/>
          <w:numId w:val="21"/>
        </w:numPr>
      </w:pPr>
      <w:r w:rsidRPr="00C50AD4">
        <w:t>porcentaje de variación mensual de 1,5%,</w:t>
      </w:r>
    </w:p>
    <w:p w14:paraId="50ED692A" w14:textId="753D6084" w:rsidR="00CF2EA0" w:rsidRDefault="00CF2EA0" w:rsidP="00CF2EA0">
      <w:pPr>
        <w:pStyle w:val="Prrafodelista"/>
        <w:numPr>
          <w:ilvl w:val="0"/>
          <w:numId w:val="21"/>
        </w:numPr>
      </w:pPr>
      <w:r w:rsidRPr="00C50AD4">
        <w:t xml:space="preserve">tasa anual del 7,8%, </w:t>
      </w:r>
    </w:p>
    <w:p w14:paraId="4F9C6536" w14:textId="77777777" w:rsidR="00CF2EA0" w:rsidRDefault="00CF2EA0" w:rsidP="00CF2EA0">
      <w:pPr>
        <w:pStyle w:val="Prrafodelista"/>
        <w:numPr>
          <w:ilvl w:val="0"/>
          <w:numId w:val="21"/>
        </w:numPr>
      </w:pPr>
      <w:r w:rsidRPr="00C50AD4">
        <w:t xml:space="preserve">se mantiene el valor de los componentes del CU de mayo de 2022, </w:t>
      </w:r>
    </w:p>
    <w:p w14:paraId="5EED28FD" w14:textId="77777777" w:rsidR="00582F7C" w:rsidRDefault="00CF2EA0" w:rsidP="00CF2EA0">
      <w:pPr>
        <w:pStyle w:val="Prrafodelista"/>
        <w:numPr>
          <w:ilvl w:val="0"/>
          <w:numId w:val="21"/>
        </w:numPr>
      </w:pPr>
      <w:r w:rsidRPr="00C50AD4">
        <w:t xml:space="preserve">crecimiento estimado del IPP del 1,2% mensual durante el primer año - 15% anual, 0,5% durante el segundo año - 6% anual y 0.3% a partir del tercer año - 4% anual y </w:t>
      </w:r>
    </w:p>
    <w:p w14:paraId="01EACDB5" w14:textId="7DA99036" w:rsidR="00CF2EA0" w:rsidRDefault="00CF2EA0" w:rsidP="00CF2EA0">
      <w:pPr>
        <w:pStyle w:val="Prrafodelista"/>
        <w:numPr>
          <w:ilvl w:val="0"/>
          <w:numId w:val="21"/>
        </w:numPr>
      </w:pPr>
      <w:r w:rsidRPr="00C50AD4">
        <w:t>para e</w:t>
      </w:r>
      <w:r w:rsidR="000C2F6F">
        <w:t>l mercado de Air-e</w:t>
      </w:r>
      <w:r w:rsidRPr="00C50AD4">
        <w:t xml:space="preserve"> se considera una reducción de 97 $/kWh en el componente PR a partir de agosto de 2022.</w:t>
      </w:r>
    </w:p>
    <w:p w14:paraId="45C49CD5" w14:textId="0B18436E" w:rsidR="008F333D" w:rsidRDefault="00A960C8" w:rsidP="00D45525">
      <w:r>
        <w:t>Es de anotar que esta</w:t>
      </w:r>
      <w:r w:rsidR="00DB3D1D">
        <w:t>s</w:t>
      </w:r>
      <w:r>
        <w:t xml:space="preserve"> simulaci</w:t>
      </w:r>
      <w:r w:rsidR="00DB3D1D">
        <w:t>ones</w:t>
      </w:r>
      <w:r>
        <w:t xml:space="preserve"> solamente pretende</w:t>
      </w:r>
      <w:r w:rsidR="00A03669">
        <w:t>n</w:t>
      </w:r>
      <w:r>
        <w:t xml:space="preserve"> recrear los efectos inicialmente mencionados y</w:t>
      </w:r>
      <w:r w:rsidR="00FD37B0">
        <w:t xml:space="preserve">, aunque </w:t>
      </w:r>
      <w:proofErr w:type="gramStart"/>
      <w:r w:rsidR="00D15207">
        <w:t>seguram</w:t>
      </w:r>
      <w:r w:rsidR="00FD37B0">
        <w:t>ente</w:t>
      </w:r>
      <w:proofErr w:type="gramEnd"/>
      <w:r w:rsidR="00D15207">
        <w:t xml:space="preserve"> dista</w:t>
      </w:r>
      <w:r w:rsidR="00A03669">
        <w:t>n</w:t>
      </w:r>
      <w:r w:rsidR="00D15207">
        <w:t xml:space="preserve"> de lo efectivamente ocurrido en el periodo </w:t>
      </w:r>
      <w:r w:rsidR="00FD37B0">
        <w:t xml:space="preserve">mayo 2022 – </w:t>
      </w:r>
      <w:r w:rsidR="00A17523">
        <w:t>junio</w:t>
      </w:r>
      <w:r w:rsidR="00FD37B0" w:rsidRPr="00A17523">
        <w:t xml:space="preserve"> 2023</w:t>
      </w:r>
      <w:r w:rsidR="00A03669">
        <w:t xml:space="preserve"> para las empresas en comento</w:t>
      </w:r>
      <w:r w:rsidR="00FD37B0">
        <w:t xml:space="preserve">, </w:t>
      </w:r>
      <w:r w:rsidR="0095662E">
        <w:t>no persigue</w:t>
      </w:r>
      <w:r w:rsidR="00A03669">
        <w:t>n</w:t>
      </w:r>
      <w:r w:rsidR="0095662E">
        <w:t xml:space="preserve"> objetivos adicionales</w:t>
      </w:r>
      <w:r w:rsidR="008F333D">
        <w:t>.</w:t>
      </w:r>
    </w:p>
    <w:p w14:paraId="7E1AD9B4" w14:textId="0FA2DDE2" w:rsidR="00646445" w:rsidRPr="00C50AD4" w:rsidRDefault="0095662E" w:rsidP="00D45525">
      <w:r>
        <w:t>E</w:t>
      </w:r>
      <w:r w:rsidR="00646445" w:rsidRPr="00C50AD4">
        <w:t>n la</w:t>
      </w:r>
      <w:r w:rsidR="006773DC">
        <w:t xml:space="preserve"> </w:t>
      </w:r>
      <w:r>
        <w:t xml:space="preserve">siguiente gráfica </w:t>
      </w:r>
      <w:r w:rsidR="00646445" w:rsidRPr="00C50AD4">
        <w:t>se presenta una estimación del CU calculado y el CU aplicado (con base en la formulación de la opción tarifaria actual</w:t>
      </w:r>
      <w:r w:rsidR="004B3B06">
        <w:t xml:space="preserve"> y los supuestos anotados anteriormente</w:t>
      </w:r>
      <w:r w:rsidR="006B34CF">
        <w:t xml:space="preserve"> para el mercado de Air-e</w:t>
      </w:r>
      <w:r w:rsidR="00646445" w:rsidRPr="00C50AD4">
        <w:t xml:space="preserve">: </w:t>
      </w:r>
    </w:p>
    <w:p w14:paraId="671EDB1B" w14:textId="306562D3" w:rsidR="00646445" w:rsidRPr="00C50AD4" w:rsidRDefault="00A17523" w:rsidP="00646445">
      <w:pPr>
        <w:pStyle w:val="Descripcin"/>
        <w:spacing w:before="240" w:after="240"/>
        <w:jc w:val="center"/>
        <w:rPr>
          <w:spacing w:val="-5"/>
          <w:sz w:val="22"/>
          <w:szCs w:val="22"/>
        </w:rPr>
      </w:pPr>
      <w:r>
        <w:lastRenderedPageBreak/>
        <w:t xml:space="preserve">Gráfica </w:t>
      </w:r>
      <w:r w:rsidR="002D3811">
        <w:fldChar w:fldCharType="begin"/>
      </w:r>
      <w:r w:rsidR="002D3811">
        <w:instrText xml:space="preserve"> SEQ Gráfica \* ARABIC </w:instrText>
      </w:r>
      <w:r w:rsidR="002D3811">
        <w:fldChar w:fldCharType="separate"/>
      </w:r>
      <w:r w:rsidR="00C85F0B">
        <w:rPr>
          <w:noProof/>
        </w:rPr>
        <w:t>9</w:t>
      </w:r>
      <w:r w:rsidR="002D3811">
        <w:rPr>
          <w:noProof/>
        </w:rPr>
        <w:fldChar w:fldCharType="end"/>
      </w:r>
      <w:r>
        <w:t xml:space="preserve"> </w:t>
      </w:r>
      <w:r w:rsidR="00646445" w:rsidRPr="00E32035">
        <w:t xml:space="preserve"> </w:t>
      </w:r>
      <w:fldSimple w:instr=" SEQ Gráfica \* ARABIC "/>
      <w:r w:rsidR="00397C55" w:rsidRPr="00E32035">
        <w:t xml:space="preserve"> </w:t>
      </w:r>
      <w:r w:rsidR="00646445" w:rsidRPr="00E32035">
        <w:t xml:space="preserve"> Competencia en los mercados por el pago del saldo acumulado - mercado Air-e</w:t>
      </w:r>
    </w:p>
    <w:p w14:paraId="25C87972" w14:textId="77777777" w:rsidR="00646445" w:rsidRPr="00C50AD4" w:rsidRDefault="00646445" w:rsidP="00D45525">
      <w:pPr>
        <w:jc w:val="center"/>
        <w:rPr>
          <w:spacing w:val="-5"/>
          <w:szCs w:val="22"/>
        </w:rPr>
      </w:pPr>
      <w:r w:rsidRPr="00C50AD4">
        <w:rPr>
          <w:noProof/>
        </w:rPr>
        <w:drawing>
          <wp:inline distT="0" distB="0" distL="0" distR="0" wp14:anchorId="3833CD09" wp14:editId="01C1C554">
            <wp:extent cx="3970800" cy="18288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70800" cy="1828800"/>
                    </a:xfrm>
                    <a:prstGeom prst="rect">
                      <a:avLst/>
                    </a:prstGeom>
                    <a:noFill/>
                    <a:ln>
                      <a:noFill/>
                    </a:ln>
                  </pic:spPr>
                </pic:pic>
              </a:graphicData>
            </a:graphic>
          </wp:inline>
        </w:drawing>
      </w:r>
    </w:p>
    <w:p w14:paraId="099BA286" w14:textId="77777777" w:rsidR="0087664D" w:rsidRDefault="00646445" w:rsidP="00D45525">
      <w:r w:rsidRPr="00C50AD4">
        <w:t xml:space="preserve">Se observa que, a partir del cruce de las dos curvas, en septiembre de 2023, a los usuarios del comercializador incumbente se les aplicaría un CU mayor al calculado con base en la metodología definida en la Resolución CREG 119 de 2007, llegando incluso a diferencias del orden de 300 $/kWh (30% del CU calculado), se observa además que, con los supuestos de este ejercicio, se aplicaría un valor adicional asociado al pago de la opción tarifaria por un periodo de cerca de dos años. </w:t>
      </w:r>
    </w:p>
    <w:p w14:paraId="5026C0E0" w14:textId="2794343B" w:rsidR="00D95248" w:rsidRDefault="00646445" w:rsidP="00D45525">
      <w:r w:rsidRPr="00C50AD4">
        <w:t xml:space="preserve">Teniendo en cuenta que otros comercializadores podrían ofrecer a los usuarios </w:t>
      </w:r>
      <w:r w:rsidR="00B104C9">
        <w:t xml:space="preserve">de ese mercado </w:t>
      </w:r>
      <w:r w:rsidRPr="00C50AD4">
        <w:t xml:space="preserve">un CU similar al del CU calculado, durante estos dos años se podría presentar un traslado importante de usuarios a otro comercializador </w:t>
      </w:r>
      <w:r w:rsidR="003D7B9C">
        <w:t>y/</w:t>
      </w:r>
      <w:r w:rsidRPr="00C50AD4">
        <w:t xml:space="preserve">o se habilitaría la entrada de tecnologías incluso más costosas por condiciones de competencia desigual. </w:t>
      </w:r>
    </w:p>
    <w:p w14:paraId="55CB2A36" w14:textId="5BC282F4" w:rsidR="00646445" w:rsidRPr="00C50AD4" w:rsidRDefault="00646445" w:rsidP="00D45525">
      <w:r w:rsidRPr="00C50AD4">
        <w:t>En el caso que se diera este efecto, el impacto directo sería sobre los usuarios que no cambian de comercializador ya que el saldo acumulado sería pagado por ellos incrementando el periodo de pago y el pico del CU y un impacto indirecto en el comercializador incumbente al afectar el periodo de recuperación del saldo.</w:t>
      </w:r>
    </w:p>
    <w:p w14:paraId="3FE02BD6" w14:textId="2916DE0D" w:rsidR="00646445" w:rsidRPr="00C50AD4" w:rsidRDefault="00646445" w:rsidP="00D45525">
      <w:r w:rsidRPr="00C50AD4">
        <w:t xml:space="preserve">En la </w:t>
      </w:r>
      <w:r w:rsidR="0032467D">
        <w:t>g</w:t>
      </w:r>
      <w:r w:rsidR="009917CC" w:rsidRPr="00C50AD4">
        <w:t xml:space="preserve">ráfica </w:t>
      </w:r>
      <w:r w:rsidRPr="00C50AD4">
        <w:t xml:space="preserve">se estima el efecto que podría darse en el CU aplicado a los usuarios que no cambian de comercializador en caso de una pérdida de demanda del 30%, (por cambio de comercializador o uso de otras tecnologías incluso más costosas) en este caso, el pago del saldo se prolongaría por unos meses adicionales y el CU máximo aplicado se incrementaría 62 $/kWh. </w:t>
      </w:r>
    </w:p>
    <w:p w14:paraId="629E3636" w14:textId="71A1B189" w:rsidR="00646445" w:rsidRPr="00C50AD4" w:rsidRDefault="00A17523" w:rsidP="00646445">
      <w:pPr>
        <w:pStyle w:val="Descripcin"/>
        <w:spacing w:before="240" w:after="240"/>
        <w:jc w:val="center"/>
        <w:rPr>
          <w:spacing w:val="-5"/>
          <w:sz w:val="22"/>
          <w:szCs w:val="22"/>
        </w:rPr>
      </w:pPr>
      <w:bookmarkStart w:id="136" w:name="_Ref108706746"/>
      <w:r>
        <w:t xml:space="preserve">Gráfica </w:t>
      </w:r>
      <w:bookmarkEnd w:id="136"/>
      <w:r w:rsidR="00610873">
        <w:t xml:space="preserve">10 </w:t>
      </w:r>
      <w:r w:rsidR="00610873" w:rsidRPr="00E32035">
        <w:t>Efectos</w:t>
      </w:r>
      <w:r w:rsidR="00646445" w:rsidRPr="00C50AD4">
        <w:t xml:space="preserve"> en la senda del CU por pérdida de demanda</w:t>
      </w:r>
    </w:p>
    <w:p w14:paraId="6A929DFD" w14:textId="77777777" w:rsidR="00646445" w:rsidRPr="00C50AD4" w:rsidRDefault="00646445" w:rsidP="00D45525">
      <w:pPr>
        <w:jc w:val="center"/>
        <w:rPr>
          <w:spacing w:val="-5"/>
          <w:szCs w:val="22"/>
        </w:rPr>
      </w:pPr>
      <w:r w:rsidRPr="00C50AD4">
        <w:rPr>
          <w:noProof/>
        </w:rPr>
        <w:drawing>
          <wp:inline distT="0" distB="0" distL="0" distR="0" wp14:anchorId="5B9A0DCF" wp14:editId="01BBE111">
            <wp:extent cx="3967200" cy="1825200"/>
            <wp:effectExtent l="0" t="0" r="0" b="381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967200" cy="1825200"/>
                    </a:xfrm>
                    <a:prstGeom prst="rect">
                      <a:avLst/>
                    </a:prstGeom>
                    <a:noFill/>
                    <a:ln>
                      <a:noFill/>
                    </a:ln>
                  </pic:spPr>
                </pic:pic>
              </a:graphicData>
            </a:graphic>
          </wp:inline>
        </w:drawing>
      </w:r>
    </w:p>
    <w:p w14:paraId="1977CF87" w14:textId="35C0F823" w:rsidR="00646445" w:rsidRPr="00C50AD4" w:rsidRDefault="00646445" w:rsidP="00B9227A">
      <w:r w:rsidRPr="00C50AD4">
        <w:lastRenderedPageBreak/>
        <w:t xml:space="preserve">En la </w:t>
      </w:r>
      <w:r w:rsidRPr="00C50AD4">
        <w:fldChar w:fldCharType="begin"/>
      </w:r>
      <w:r w:rsidRPr="00C50AD4">
        <w:instrText xml:space="preserve"> REF _Ref108704638 \h  \* MERGEFORMAT </w:instrText>
      </w:r>
      <w:r w:rsidRPr="00C50AD4">
        <w:fldChar w:fldCharType="separate"/>
      </w:r>
      <w:r w:rsidR="00CF6C85" w:rsidRPr="00C50AD4">
        <w:t xml:space="preserve">Gráfica </w:t>
      </w:r>
      <w:r w:rsidRPr="00C50AD4">
        <w:fldChar w:fldCharType="end"/>
      </w:r>
      <w:r w:rsidRPr="00C50AD4">
        <w:t xml:space="preserve"> se presenta una estimación de la diferencia entre el CU calculado y el CU aplicado para el mercado de la Electrificadora del Huila, empleando los supuestos i) a </w:t>
      </w:r>
      <w:proofErr w:type="spellStart"/>
      <w:r w:rsidRPr="00C50AD4">
        <w:t>iv</w:t>
      </w:r>
      <w:proofErr w:type="spellEnd"/>
      <w:r w:rsidRPr="00C50AD4">
        <w:t>) del ejemplo presentado anteriormente, en esta simulación se observa que el periodo durante el cual se podría generar competencia por efectos del pago del saldo acumulado sería de un año con una diferencia máxima del orden de 125 $/kWh.</w:t>
      </w:r>
    </w:p>
    <w:p w14:paraId="24613839" w14:textId="7FBE7739" w:rsidR="00646445" w:rsidRPr="00C50AD4" w:rsidRDefault="0032467D" w:rsidP="00646445">
      <w:pPr>
        <w:pStyle w:val="Descripcin"/>
        <w:spacing w:before="240" w:after="240"/>
        <w:jc w:val="center"/>
        <w:rPr>
          <w:spacing w:val="-5"/>
          <w:sz w:val="22"/>
          <w:szCs w:val="22"/>
        </w:rPr>
      </w:pPr>
      <w:r>
        <w:t xml:space="preserve">Gráfica </w:t>
      </w:r>
      <w:r w:rsidR="002D3811">
        <w:fldChar w:fldCharType="begin"/>
      </w:r>
      <w:r w:rsidR="002D3811">
        <w:instrText xml:space="preserve"> SEQ Gráfica \* ARABIC </w:instrText>
      </w:r>
      <w:r w:rsidR="002D3811">
        <w:fldChar w:fldCharType="separate"/>
      </w:r>
      <w:r w:rsidR="00C85F0B">
        <w:rPr>
          <w:noProof/>
        </w:rPr>
        <w:t>11</w:t>
      </w:r>
      <w:r w:rsidR="002D3811">
        <w:rPr>
          <w:noProof/>
        </w:rPr>
        <w:fldChar w:fldCharType="end"/>
      </w:r>
      <w:r>
        <w:t xml:space="preserve"> </w:t>
      </w:r>
      <w:r w:rsidRPr="00E32035">
        <w:t xml:space="preserve"> </w:t>
      </w:r>
      <w:r w:rsidR="00646445" w:rsidRPr="00C50AD4">
        <w:t>Competencia en los mercados por el pago del saldo acumulado – mercado Huila</w:t>
      </w:r>
    </w:p>
    <w:p w14:paraId="40B6B5CE" w14:textId="77777777" w:rsidR="00646445" w:rsidRPr="00C50AD4" w:rsidRDefault="00646445" w:rsidP="00B9227A">
      <w:pPr>
        <w:jc w:val="center"/>
        <w:rPr>
          <w:spacing w:val="-5"/>
          <w:szCs w:val="22"/>
        </w:rPr>
      </w:pPr>
      <w:r w:rsidRPr="00C50AD4">
        <w:rPr>
          <w:noProof/>
        </w:rPr>
        <w:drawing>
          <wp:inline distT="0" distB="0" distL="0" distR="0" wp14:anchorId="5B09A23F" wp14:editId="50C0ECBA">
            <wp:extent cx="3970800" cy="18288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70800" cy="1828800"/>
                    </a:xfrm>
                    <a:prstGeom prst="rect">
                      <a:avLst/>
                    </a:prstGeom>
                    <a:noFill/>
                    <a:ln>
                      <a:noFill/>
                    </a:ln>
                  </pic:spPr>
                </pic:pic>
              </a:graphicData>
            </a:graphic>
          </wp:inline>
        </w:drawing>
      </w:r>
    </w:p>
    <w:p w14:paraId="3234B8A3" w14:textId="77777777" w:rsidR="00646445" w:rsidRPr="00C50AD4" w:rsidRDefault="00646445" w:rsidP="00B9227A">
      <w:r w:rsidRPr="00C50AD4">
        <w:t xml:space="preserve">En la siguiente gráfica se estima el efecto que podría darse en el CU aplicado a los usuarios que no cambian de comercializador en caso de una pérdida de demanda del 30%, (por cambio de comercializador o uso de otras tecnologías incluso más costosas) en este caso, el pago del saldo se prolongaría por unos meses adicionales y el CU máximo aplicado se incrementaría en 23 $/kWh. </w:t>
      </w:r>
    </w:p>
    <w:p w14:paraId="2B9C1816" w14:textId="1A36E24D" w:rsidR="00646445" w:rsidRPr="00C50AD4" w:rsidRDefault="0032467D" w:rsidP="00646445">
      <w:pPr>
        <w:pStyle w:val="Descripcin"/>
        <w:spacing w:before="240" w:after="240"/>
        <w:jc w:val="center"/>
        <w:rPr>
          <w:spacing w:val="-5"/>
          <w:szCs w:val="22"/>
        </w:rPr>
      </w:pPr>
      <w:r>
        <w:t xml:space="preserve">Gráfica </w:t>
      </w:r>
      <w:r w:rsidR="002D3811">
        <w:fldChar w:fldCharType="begin"/>
      </w:r>
      <w:r w:rsidR="002D3811">
        <w:instrText xml:space="preserve"> SEQ Gráfica \* ARABIC </w:instrText>
      </w:r>
      <w:r w:rsidR="002D3811">
        <w:fldChar w:fldCharType="separate"/>
      </w:r>
      <w:r w:rsidR="00C85F0B">
        <w:rPr>
          <w:noProof/>
        </w:rPr>
        <w:t>12</w:t>
      </w:r>
      <w:r w:rsidR="002D3811">
        <w:rPr>
          <w:noProof/>
        </w:rPr>
        <w:fldChar w:fldCharType="end"/>
      </w:r>
      <w:r>
        <w:t xml:space="preserve"> </w:t>
      </w:r>
      <w:r w:rsidRPr="00E32035">
        <w:t xml:space="preserve"> </w:t>
      </w:r>
      <w:r w:rsidR="00646445" w:rsidRPr="00C50AD4">
        <w:t>Efectos en la senda del CU por pérdida de demanda</w:t>
      </w:r>
    </w:p>
    <w:p w14:paraId="1E54D9CA" w14:textId="77777777" w:rsidR="00646445" w:rsidRDefault="00646445" w:rsidP="00B9227A">
      <w:pPr>
        <w:jc w:val="center"/>
        <w:rPr>
          <w:spacing w:val="-5"/>
          <w:szCs w:val="22"/>
        </w:rPr>
      </w:pPr>
      <w:r w:rsidRPr="00C50AD4">
        <w:rPr>
          <w:noProof/>
        </w:rPr>
        <w:drawing>
          <wp:inline distT="0" distB="0" distL="0" distR="0" wp14:anchorId="398CA108" wp14:editId="14467AA8">
            <wp:extent cx="3967200" cy="1825200"/>
            <wp:effectExtent l="0" t="0" r="0" b="381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967200" cy="1825200"/>
                    </a:xfrm>
                    <a:prstGeom prst="rect">
                      <a:avLst/>
                    </a:prstGeom>
                    <a:noFill/>
                    <a:ln>
                      <a:noFill/>
                    </a:ln>
                  </pic:spPr>
                </pic:pic>
              </a:graphicData>
            </a:graphic>
          </wp:inline>
        </w:drawing>
      </w:r>
    </w:p>
    <w:p w14:paraId="47D64651" w14:textId="62066601" w:rsidR="00E8102E" w:rsidRPr="00C50AD4" w:rsidRDefault="00445F37" w:rsidP="00DB3094">
      <w:pPr>
        <w:pStyle w:val="Ttulo2"/>
      </w:pPr>
      <w:bookmarkStart w:id="137" w:name="_Toc152921875"/>
      <w:r w:rsidRPr="00C50AD4">
        <w:t xml:space="preserve">Impacto </w:t>
      </w:r>
      <w:r w:rsidR="00B705EF">
        <w:t xml:space="preserve">opción de </w:t>
      </w:r>
      <w:r w:rsidR="00354349" w:rsidRPr="00C50AD4">
        <w:t>individualización de saldo</w:t>
      </w:r>
      <w:bookmarkEnd w:id="137"/>
    </w:p>
    <w:p w14:paraId="33D0665B" w14:textId="2164A886" w:rsidR="00F46412" w:rsidRDefault="00F46412" w:rsidP="00B9227A">
      <w:r w:rsidRPr="00397C55">
        <w:t xml:space="preserve">Para este caso, </w:t>
      </w:r>
      <w:r w:rsidR="00627CE9" w:rsidRPr="00397C55">
        <w:t xml:space="preserve">el usuario final enfrenta dos tipos de circunstancias: i) </w:t>
      </w:r>
      <w:r w:rsidR="002C3562" w:rsidRPr="00397C55">
        <w:t xml:space="preserve">el pago del CU calculado con base en la Resolución CREG 119 de 2007, lo que significa un aumento </w:t>
      </w:r>
      <w:r w:rsidR="00491105" w:rsidRPr="00397C55">
        <w:t xml:space="preserve">sin gradualidad respecto del valor que se cobra actualmente en una opción y </w:t>
      </w:r>
      <w:proofErr w:type="spellStart"/>
      <w:r w:rsidR="00491105" w:rsidRPr="00397C55">
        <w:t>ii</w:t>
      </w:r>
      <w:proofErr w:type="spellEnd"/>
      <w:r w:rsidR="00491105" w:rsidRPr="00397C55">
        <w:t>) el pago del saldo, que se ha calculado por mercado y que se</w:t>
      </w:r>
      <w:r w:rsidR="00491105">
        <w:t xml:space="preserve"> muestra en la siguiente gráfica</w:t>
      </w:r>
      <w:r w:rsidR="00BD4A25">
        <w:t>.</w:t>
      </w:r>
    </w:p>
    <w:p w14:paraId="5E8D7192" w14:textId="11ED5909" w:rsidR="00152B72" w:rsidRDefault="0032467D" w:rsidP="00152B72">
      <w:pPr>
        <w:pStyle w:val="Descripcin"/>
        <w:spacing w:before="240" w:after="240"/>
        <w:jc w:val="center"/>
      </w:pPr>
      <w:r>
        <w:lastRenderedPageBreak/>
        <w:t xml:space="preserve">Gráfica </w:t>
      </w:r>
      <w:r w:rsidR="002D3811">
        <w:fldChar w:fldCharType="begin"/>
      </w:r>
      <w:r w:rsidR="002D3811">
        <w:instrText xml:space="preserve"> SEQ Gráfica \* ARABIC </w:instrText>
      </w:r>
      <w:r w:rsidR="002D3811">
        <w:fldChar w:fldCharType="separate"/>
      </w:r>
      <w:r w:rsidR="00C85F0B">
        <w:rPr>
          <w:noProof/>
        </w:rPr>
        <w:t>13</w:t>
      </w:r>
      <w:r w:rsidR="002D3811">
        <w:rPr>
          <w:noProof/>
        </w:rPr>
        <w:fldChar w:fldCharType="end"/>
      </w:r>
      <w:r>
        <w:t xml:space="preserve"> </w:t>
      </w:r>
      <w:r w:rsidRPr="00E32035">
        <w:t xml:space="preserve"> </w:t>
      </w:r>
      <w:r w:rsidR="00152B72">
        <w:t>Estimación de deuda individualizada y valor de factura promedio mensual a agosto de 2023</w:t>
      </w:r>
    </w:p>
    <w:p w14:paraId="7DF406BB" w14:textId="6A56C1BF" w:rsidR="00E8102E" w:rsidRDefault="00152B72" w:rsidP="00B9227A">
      <w:pPr>
        <w:jc w:val="center"/>
        <w:rPr>
          <w:spacing w:val="-5"/>
        </w:rPr>
      </w:pPr>
      <w:r w:rsidRPr="00735B11">
        <w:rPr>
          <w:noProof/>
        </w:rPr>
        <w:drawing>
          <wp:inline distT="0" distB="0" distL="0" distR="0" wp14:anchorId="1D53A8CF" wp14:editId="2D7FE0AC">
            <wp:extent cx="5112385" cy="2029950"/>
            <wp:effectExtent l="0" t="0" r="0" b="8890"/>
            <wp:docPr id="869109085" name="Gráfico 869109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566870" name="Imagen 867566870"/>
                    <pic:cNvPicPr>
                      <a:picLocks noChangeAspect="1" noChangeArrowheads="1"/>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bwMode="auto">
                    <a:xfrm>
                      <a:off x="0" y="0"/>
                      <a:ext cx="5117688" cy="2032056"/>
                    </a:xfrm>
                    <a:prstGeom prst="rect">
                      <a:avLst/>
                    </a:prstGeom>
                  </pic:spPr>
                </pic:pic>
              </a:graphicData>
            </a:graphic>
          </wp:inline>
        </w:drawing>
      </w:r>
    </w:p>
    <w:p w14:paraId="5DB6653F" w14:textId="77777777" w:rsidR="00703125" w:rsidRDefault="00BD4A25" w:rsidP="00B9227A">
      <w:r>
        <w:t xml:space="preserve">En la gráfica </w:t>
      </w:r>
      <w:r w:rsidR="00152B72">
        <w:t xml:space="preserve">anterior, </w:t>
      </w:r>
      <w:r w:rsidR="00703125">
        <w:t xml:space="preserve">igual a la anterior gráfica 8, </w:t>
      </w:r>
      <w:r>
        <w:t xml:space="preserve">se presenta, en promedio, en cada mercado, </w:t>
      </w:r>
      <w:r w:rsidR="00D87400">
        <w:t xml:space="preserve">lo que tendría que asumir cada uno de los usuarios, comparado con la facturación promedio mensual que reciben actualmente.  </w:t>
      </w:r>
    </w:p>
    <w:p w14:paraId="06A89820" w14:textId="6F709B63" w:rsidR="00C50AD4" w:rsidRDefault="00D87400" w:rsidP="00B9227A">
      <w:r>
        <w:t xml:space="preserve">De esta forma, encontramos que para casos como el del mercado del Tolima, </w:t>
      </w:r>
      <w:r w:rsidR="00A46522">
        <w:t xml:space="preserve">si bien un usuario en promedio paga cerca de $200.000 pesos (estrato 4 sin subsidios ni contribuciones), </w:t>
      </w:r>
      <w:r w:rsidR="00532EF6">
        <w:t xml:space="preserve">en el siguiente mes al de finalización de la opción tarifaria e inicio de la individualización de saldos dicho usuario deberá pagar, además de su factura normal, el cargo individualizado que se estima en un valor </w:t>
      </w:r>
      <w:r w:rsidR="0001303C">
        <w:t>alrededor de un</w:t>
      </w:r>
      <w:r w:rsidR="00532EF6">
        <w:t xml:space="preserve"> millón de pesos</w:t>
      </w:r>
      <w:r w:rsidR="007C4BA1">
        <w:t>.</w:t>
      </w:r>
    </w:p>
    <w:p w14:paraId="28C26082" w14:textId="5649EC1B" w:rsidR="007C4BA1" w:rsidRDefault="00DA6A8E" w:rsidP="00B9227A">
      <w:r>
        <w:t>Así</w:t>
      </w:r>
      <w:r w:rsidR="007C4BA1">
        <w:t xml:space="preserve">, se observa que existen </w:t>
      </w:r>
      <w:r>
        <w:t xml:space="preserve">tres situaciones distintas de mercados: el primero donde la individualización del saldo representa </w:t>
      </w:r>
      <w:r w:rsidR="00C06EE9">
        <w:t xml:space="preserve">un valor superior a tres facturas normales, el segundo donde </w:t>
      </w:r>
      <w:r w:rsidR="00B86E06">
        <w:t>el mismo valor se encuentra en valores entre 1 y 2 facturas mensuales y el tercero donde el saldo acumulado representa menos de media factura mensual.</w:t>
      </w:r>
    </w:p>
    <w:p w14:paraId="23ABCCEF" w14:textId="68236125" w:rsidR="00B86E06" w:rsidRDefault="00B86E06" w:rsidP="00B9227A">
      <w:r>
        <w:t xml:space="preserve">De cualquier forma, en esta opción no se ha previsto la normalización de pago de dicha </w:t>
      </w:r>
      <w:r w:rsidR="00AE49BF">
        <w:t>individualización</w:t>
      </w:r>
      <w:r>
        <w:t xml:space="preserve"> por lo que sería el agente quien ofrezca, </w:t>
      </w:r>
      <w:r w:rsidR="00AE49BF">
        <w:t xml:space="preserve">a su discreción, métodos de pago y alternativas de financiación que pueden ser muy disímiles entre </w:t>
      </w:r>
      <w:r w:rsidR="00F12824">
        <w:t>los usuarios en un mismo mercado de comercialización.</w:t>
      </w:r>
    </w:p>
    <w:p w14:paraId="210BE93A" w14:textId="396D0A37" w:rsidR="00354349" w:rsidRDefault="00354349" w:rsidP="00DB3094">
      <w:pPr>
        <w:pStyle w:val="Ttulo2"/>
      </w:pPr>
      <w:bookmarkStart w:id="138" w:name="_Toc152921876"/>
      <w:r w:rsidRPr="00C50AD4">
        <w:t xml:space="preserve">Impacto </w:t>
      </w:r>
      <w:r w:rsidR="00B705EF">
        <w:t xml:space="preserve">opción </w:t>
      </w:r>
      <w:r w:rsidRPr="00C50AD4">
        <w:t>de cargo por mercado</w:t>
      </w:r>
      <w:bookmarkEnd w:id="138"/>
      <w:r w:rsidR="007F1CCE">
        <w:t xml:space="preserve"> </w:t>
      </w:r>
    </w:p>
    <w:p w14:paraId="15DDF0D7" w14:textId="13CD361C" w:rsidR="009227BA" w:rsidRPr="00B017D9" w:rsidRDefault="00BF54B9" w:rsidP="00B9227A">
      <w:r w:rsidRPr="00B017D9">
        <w:t>En</w:t>
      </w:r>
      <w:r w:rsidR="00F12824" w:rsidRPr="00B017D9">
        <w:t xml:space="preserve"> la siguiente tabla se registra, por cada uno de los mercados, el saldo acumulado </w:t>
      </w:r>
      <w:r w:rsidR="00A86D6F" w:rsidRPr="00B017D9">
        <w:t xml:space="preserve">de nivel de tensión 1 </w:t>
      </w:r>
      <w:r w:rsidR="00F12824" w:rsidRPr="00B017D9">
        <w:t xml:space="preserve">a </w:t>
      </w:r>
      <w:r w:rsidR="00A86D6F" w:rsidRPr="00B017D9">
        <w:t>agosto</w:t>
      </w:r>
      <w:r w:rsidR="00F12824" w:rsidRPr="00B017D9">
        <w:t xml:space="preserve"> de 202</w:t>
      </w:r>
      <w:r w:rsidR="009D2C1C" w:rsidRPr="00B017D9">
        <w:t>3</w:t>
      </w:r>
      <w:r w:rsidR="001D500F" w:rsidRPr="00B017D9">
        <w:t xml:space="preserve"> en términos de </w:t>
      </w:r>
      <w:r w:rsidR="00A86D6F" w:rsidRPr="00B017D9">
        <w:t xml:space="preserve">millones de pesos y de </w:t>
      </w:r>
      <w:r w:rsidR="001D500F" w:rsidRPr="00B017D9">
        <w:t>$/kWh</w:t>
      </w:r>
      <w:r w:rsidR="00A24669" w:rsidRPr="00B017D9">
        <w:t>, el CU calculado con base en la resolución CREG 119 de 2007</w:t>
      </w:r>
      <w:r w:rsidR="004727BC" w:rsidRPr="00B017D9">
        <w:t xml:space="preserve"> y la brecha, definida como la diferencia entre </w:t>
      </w:r>
      <w:r w:rsidR="003F24F2" w:rsidRPr="00B017D9">
        <w:t>el CU calculado y el aplicado</w:t>
      </w:r>
      <w:r w:rsidR="004727BC" w:rsidRPr="00B017D9">
        <w:t xml:space="preserve">. </w:t>
      </w:r>
    </w:p>
    <w:p w14:paraId="0E3B831A" w14:textId="6C7C958C" w:rsidR="008A6CAE" w:rsidRPr="00B017D9" w:rsidRDefault="004727BC" w:rsidP="00B9227A">
      <w:r w:rsidRPr="00B017D9">
        <w:t>Adicionalmente se presenta</w:t>
      </w:r>
      <w:r w:rsidR="00F47E5B" w:rsidRPr="00B017D9">
        <w:t xml:space="preserve"> una simulación del cargo </w:t>
      </w:r>
      <w:r w:rsidR="00CD30B2" w:rsidRPr="00B017D9">
        <w:t xml:space="preserve">de mercado resultante a cobrar a todos los usuarios </w:t>
      </w:r>
      <w:proofErr w:type="gramStart"/>
      <w:r w:rsidR="00CD30B2" w:rsidRPr="00B017D9">
        <w:t>del mismo</w:t>
      </w:r>
      <w:proofErr w:type="gramEnd"/>
      <w:r w:rsidR="00ED4D2F" w:rsidRPr="00B017D9">
        <w:t>,</w:t>
      </w:r>
      <w:r w:rsidR="008B4864" w:rsidRPr="00B017D9">
        <w:t xml:space="preserve"> considerando el saldo acumulado en cada mercado de comercialización</w:t>
      </w:r>
      <w:r w:rsidR="00CD30B2" w:rsidRPr="00B017D9">
        <w:t xml:space="preserve"> y, posteriormente, los incrementos que representan tanto el cargo de mercado como el cierre de brecha respecto de cada costo unitario </w:t>
      </w:r>
      <w:r w:rsidR="00F97083" w:rsidRPr="00B017D9">
        <w:t>para finalizar con la</w:t>
      </w:r>
      <w:r w:rsidR="00EC1506" w:rsidRPr="00B017D9">
        <w:t>s</w:t>
      </w:r>
      <w:r w:rsidR="00F97083" w:rsidRPr="00B017D9">
        <w:t xml:space="preserve"> columna</w:t>
      </w:r>
      <w:r w:rsidR="00EC1506" w:rsidRPr="00B017D9">
        <w:t>s</w:t>
      </w:r>
      <w:r w:rsidR="00F97083" w:rsidRPr="00B017D9">
        <w:t xml:space="preserve"> de </w:t>
      </w:r>
      <w:r w:rsidR="00EC1506" w:rsidRPr="00B017D9">
        <w:t xml:space="preserve">incremento </w:t>
      </w:r>
      <w:r w:rsidR="002E78A3" w:rsidRPr="00B017D9">
        <w:t xml:space="preserve">del CU </w:t>
      </w:r>
      <w:r w:rsidR="00723F6D" w:rsidRPr="00B017D9">
        <w:t xml:space="preserve">y el tiempo </w:t>
      </w:r>
      <w:r w:rsidR="003E14CC" w:rsidRPr="00B017D9">
        <w:t>durante el cual se efectuaría el cobro del cargo de mercado para el cubrimiento de los saldos acumulados.</w:t>
      </w:r>
      <w:r w:rsidRPr="00B017D9">
        <w:t xml:space="preserve"> </w:t>
      </w:r>
    </w:p>
    <w:p w14:paraId="416614D4" w14:textId="77777777" w:rsidR="008A6CAE" w:rsidRPr="00B017D9" w:rsidRDefault="008A6CAE" w:rsidP="00B9227A"/>
    <w:p w14:paraId="197B33B7" w14:textId="77777777" w:rsidR="00256764" w:rsidRPr="00E32035" w:rsidRDefault="00256764" w:rsidP="00B9227A">
      <w:pPr>
        <w:rPr>
          <w:highlight w:val="yellow"/>
        </w:rPr>
      </w:pPr>
    </w:p>
    <w:p w14:paraId="3A147080" w14:textId="07852626" w:rsidR="008A6CAE" w:rsidRPr="00B017D9" w:rsidRDefault="00256764" w:rsidP="003A0FD0">
      <w:pPr>
        <w:pStyle w:val="Descripcin"/>
        <w:jc w:val="center"/>
      </w:pPr>
      <w:r w:rsidRPr="00B017D9">
        <w:lastRenderedPageBreak/>
        <w:t xml:space="preserve">Tabla </w:t>
      </w:r>
      <w:fldSimple w:instr=" SEQ Tabla \* ARABIC ">
        <w:r w:rsidR="00C85F0B">
          <w:rPr>
            <w:noProof/>
          </w:rPr>
          <w:t>2</w:t>
        </w:r>
      </w:fldSimple>
      <w:r w:rsidRPr="00B017D9">
        <w:t xml:space="preserve"> Impacto de la alternativa propuesta </w:t>
      </w:r>
      <w:r w:rsidR="003A0FD0" w:rsidRPr="00B017D9">
        <w:t>en el CU nivel de tensión 1 y duración</w:t>
      </w:r>
      <w:r w:rsidR="008A6CAE" w:rsidRPr="00B017D9">
        <w:rPr>
          <w:noProof/>
        </w:rPr>
        <w:drawing>
          <wp:inline distT="0" distB="0" distL="0" distR="0" wp14:anchorId="3CEF5029" wp14:editId="1F124CCE">
            <wp:extent cx="5613400" cy="4361180"/>
            <wp:effectExtent l="0" t="0" r="0" b="0"/>
            <wp:docPr id="3" name="Imagen 3">
              <a:extLst xmlns:a="http://schemas.openxmlformats.org/drawingml/2006/main">
                <a:ext uri="{FF2B5EF4-FFF2-40B4-BE49-F238E27FC236}">
                  <a16:creationId xmlns:a16="http://schemas.microsoft.com/office/drawing/2014/main" id="{E7CFD0C6-4915-9663-6BD5-0B9211FE8B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E7CFD0C6-4915-9663-6BD5-0B9211FE8B69}"/>
                        </a:ext>
                      </a:extLst>
                    </pic:cNvPr>
                    <pic:cNvPicPr>
                      <a:picLocks noChangeAspect="1"/>
                    </pic:cNvPicPr>
                  </pic:nvPicPr>
                  <pic:blipFill>
                    <a:blip r:embed="rId36"/>
                    <a:stretch>
                      <a:fillRect/>
                    </a:stretch>
                  </pic:blipFill>
                  <pic:spPr>
                    <a:xfrm>
                      <a:off x="0" y="0"/>
                      <a:ext cx="5613400" cy="4361180"/>
                    </a:xfrm>
                    <a:prstGeom prst="rect">
                      <a:avLst/>
                    </a:prstGeom>
                  </pic:spPr>
                </pic:pic>
              </a:graphicData>
            </a:graphic>
          </wp:inline>
        </w:drawing>
      </w:r>
    </w:p>
    <w:p w14:paraId="31E46FF4" w14:textId="3D919046" w:rsidR="00F97083" w:rsidRPr="005738C6" w:rsidRDefault="003A0FD0" w:rsidP="00B9227A">
      <w:r w:rsidRPr="005738C6">
        <w:t>S</w:t>
      </w:r>
      <w:r w:rsidR="00F97083" w:rsidRPr="005738C6">
        <w:t>e pueden diferenciar tres agrupaciones de mercado</w:t>
      </w:r>
      <w:r w:rsidR="00377277" w:rsidRPr="005738C6">
        <w:t xml:space="preserve">. El primer grupo, asociado con </w:t>
      </w:r>
      <w:r w:rsidR="00545086" w:rsidRPr="005738C6">
        <w:t>los mercados donde la suma de los impactos</w:t>
      </w:r>
      <w:r w:rsidR="00393E8D" w:rsidRPr="005738C6">
        <w:t xml:space="preserve"> (incremento real)</w:t>
      </w:r>
      <w:r w:rsidR="00545086" w:rsidRPr="005738C6">
        <w:t xml:space="preserve"> representaría </w:t>
      </w:r>
      <w:r w:rsidR="00D543B1" w:rsidRPr="005738C6">
        <w:t xml:space="preserve">un valor inferior al </w:t>
      </w:r>
      <w:r w:rsidR="00A567B2" w:rsidRPr="005738C6">
        <w:t>6</w:t>
      </w:r>
      <w:r w:rsidR="00D543B1" w:rsidRPr="005738C6">
        <w:t xml:space="preserve">% respecto del CU calculado donde se </w:t>
      </w:r>
      <w:r w:rsidR="008A1FE4" w:rsidRPr="005738C6">
        <w:t>considera que la solución</w:t>
      </w:r>
      <w:r w:rsidR="00AC6C61" w:rsidRPr="005738C6">
        <w:t>,</w:t>
      </w:r>
      <w:r w:rsidR="008A1FE4" w:rsidRPr="005738C6">
        <w:t xml:space="preserve"> tanto al cierre de brecha como al incremento del cargo</w:t>
      </w:r>
      <w:r w:rsidR="00AC6C61" w:rsidRPr="005738C6">
        <w:t xml:space="preserve">, podría darse en un solo evento. Esta agrupación de mercados se distingue en la tabla </w:t>
      </w:r>
      <w:r w:rsidR="00526C44" w:rsidRPr="005738C6">
        <w:t xml:space="preserve">como aquellos </w:t>
      </w:r>
      <w:r w:rsidR="00622384" w:rsidRPr="005738C6">
        <w:t xml:space="preserve">cuyos </w:t>
      </w:r>
      <w:r w:rsidR="00AF369A" w:rsidRPr="005738C6">
        <w:t xml:space="preserve">impactos en porcentaje están </w:t>
      </w:r>
      <w:r w:rsidR="00526C44" w:rsidRPr="005738C6">
        <w:t>resaltados en amarillo</w:t>
      </w:r>
      <w:r w:rsidR="00AC6C61" w:rsidRPr="005738C6">
        <w:t>.</w:t>
      </w:r>
      <w:r w:rsidR="003F405D" w:rsidRPr="005738C6">
        <w:t xml:space="preserve"> Es de anotar que la solución planteada, para algunos mercados </w:t>
      </w:r>
      <w:r w:rsidR="00A10E67" w:rsidRPr="005738C6">
        <w:t xml:space="preserve">puede representar una disminución de tarifas como es el caso de los mercados de Celsia y </w:t>
      </w:r>
      <w:proofErr w:type="spellStart"/>
      <w:r w:rsidR="00A10E67" w:rsidRPr="005738C6">
        <w:t>Cetsa</w:t>
      </w:r>
      <w:proofErr w:type="spellEnd"/>
      <w:r w:rsidR="00A10E67" w:rsidRPr="005738C6">
        <w:t>.</w:t>
      </w:r>
    </w:p>
    <w:p w14:paraId="259FFD99" w14:textId="6C8D37C5" w:rsidR="00AC6C61" w:rsidRPr="005738C6" w:rsidRDefault="00AC6C61" w:rsidP="00B9227A">
      <w:r w:rsidRPr="005738C6">
        <w:t xml:space="preserve">El segundo </w:t>
      </w:r>
      <w:r w:rsidR="00F65AD6" w:rsidRPr="005738C6">
        <w:t xml:space="preserve">y tercer </w:t>
      </w:r>
      <w:r w:rsidRPr="005738C6">
        <w:t xml:space="preserve">grupo de mercados, con aumentos </w:t>
      </w:r>
      <w:r w:rsidR="00F65AD6" w:rsidRPr="005738C6">
        <w:t>superiores al</w:t>
      </w:r>
      <w:r w:rsidR="000E7C8D" w:rsidRPr="005738C6">
        <w:t xml:space="preserve"> </w:t>
      </w:r>
      <w:r w:rsidR="00B6075A" w:rsidRPr="005738C6">
        <w:t>6</w:t>
      </w:r>
      <w:r w:rsidR="000E7C8D" w:rsidRPr="005738C6">
        <w:t>%</w:t>
      </w:r>
      <w:r w:rsidR="00B6075A" w:rsidRPr="005738C6">
        <w:t xml:space="preserve"> del CU aplicado</w:t>
      </w:r>
      <w:r w:rsidR="00A14C63" w:rsidRPr="005738C6">
        <w:t xml:space="preserve">, donde </w:t>
      </w:r>
      <w:r w:rsidR="004B6B51" w:rsidRPr="005738C6">
        <w:t xml:space="preserve">para alcanzar el cierre de brechas y el incremento por cargo de mercado es necesario continuar con la opción tarifaria actual hasta alcanzar la condición del </w:t>
      </w:r>
      <w:r w:rsidR="00B6075A" w:rsidRPr="005738C6">
        <w:t>6</w:t>
      </w:r>
      <w:r w:rsidR="004B6B51" w:rsidRPr="005738C6">
        <w:t>%</w:t>
      </w:r>
      <w:r w:rsidR="00A00325" w:rsidRPr="005738C6">
        <w:t>. En estos casos el periodo de recuperación de los saldos</w:t>
      </w:r>
      <w:r w:rsidR="003451BC" w:rsidRPr="005738C6">
        <w:t xml:space="preserve"> podrá </w:t>
      </w:r>
      <w:r w:rsidR="007F4C63" w:rsidRPr="005738C6">
        <w:t xml:space="preserve">aumentar </w:t>
      </w:r>
      <w:r w:rsidR="003D104E" w:rsidRPr="005738C6">
        <w:t xml:space="preserve">en la medida que se requerirá </w:t>
      </w:r>
      <w:r w:rsidR="007C48E6" w:rsidRPr="005738C6">
        <w:t xml:space="preserve">continuar </w:t>
      </w:r>
      <w:r w:rsidR="003D104E" w:rsidRPr="005738C6">
        <w:t>acumula</w:t>
      </w:r>
      <w:r w:rsidR="007C48E6" w:rsidRPr="005738C6">
        <w:t>ndo</w:t>
      </w:r>
      <w:r w:rsidR="003D104E" w:rsidRPr="005738C6">
        <w:t xml:space="preserve"> saldo</w:t>
      </w:r>
      <w:r w:rsidR="007C48E6" w:rsidRPr="005738C6">
        <w:t>s</w:t>
      </w:r>
      <w:r w:rsidR="003D104E" w:rsidRPr="005738C6">
        <w:t xml:space="preserve"> para alcanzar la condición mencionada.</w:t>
      </w:r>
    </w:p>
    <w:p w14:paraId="7BF090C7" w14:textId="667FA3AF" w:rsidR="00B42083" w:rsidRPr="005738C6" w:rsidRDefault="003B5B9E" w:rsidP="00B9227A">
      <w:r w:rsidRPr="005738C6">
        <w:t xml:space="preserve">En la gráfica 14 se presenta el </w:t>
      </w:r>
      <w:r w:rsidR="00C32749" w:rsidRPr="005738C6">
        <w:t xml:space="preserve">comportamiento del </w:t>
      </w:r>
      <w:r w:rsidRPr="005738C6">
        <w:t xml:space="preserve">CU </w:t>
      </w:r>
      <w:r w:rsidR="00C32749" w:rsidRPr="005738C6">
        <w:t xml:space="preserve">calculado con base en la resolución CREG 119 de 2007 (ponderado por energía) y el del CU aplicado </w:t>
      </w:r>
      <w:r w:rsidR="00BD30AF" w:rsidRPr="005738C6">
        <w:t>entre enero de 2020 y agosto de 2023</w:t>
      </w:r>
      <w:r w:rsidR="004135AC" w:rsidRPr="005738C6">
        <w:t xml:space="preserve">, resaltando la ventana de tiempo en la cual </w:t>
      </w:r>
      <w:r w:rsidR="001430B8" w:rsidRPr="005738C6">
        <w:t xml:space="preserve">estuvo vigente </w:t>
      </w:r>
      <w:r w:rsidR="00613F23" w:rsidRPr="005738C6">
        <w:t xml:space="preserve">el crecimiento del CU </w:t>
      </w:r>
      <w:r w:rsidR="00FA5C02" w:rsidRPr="005738C6">
        <w:t xml:space="preserve">establecido en la Resolución CREG 101 031 de 2022. En la misma gráfica se encuentra simulado el </w:t>
      </w:r>
      <w:r w:rsidR="00931917" w:rsidRPr="005738C6">
        <w:t xml:space="preserve">comportamiento del </w:t>
      </w:r>
      <w:r w:rsidR="00FA5C02" w:rsidRPr="005738C6">
        <w:t xml:space="preserve">CU </w:t>
      </w:r>
      <w:r w:rsidR="00931917" w:rsidRPr="005738C6">
        <w:t>(calculado y aplicado) a</w:t>
      </w:r>
      <w:r w:rsidR="00FA5C02" w:rsidRPr="005738C6">
        <w:t xml:space="preserve"> partir de septiembre de 2023 </w:t>
      </w:r>
      <w:r w:rsidR="00931917" w:rsidRPr="005738C6">
        <w:t>y hasta agosto</w:t>
      </w:r>
      <w:r w:rsidR="00FA5C02" w:rsidRPr="005738C6">
        <w:t xml:space="preserve"> </w:t>
      </w:r>
      <w:r w:rsidR="003E0F38" w:rsidRPr="005738C6">
        <w:t xml:space="preserve">de 2024, suponiendo que </w:t>
      </w:r>
      <w:r w:rsidR="007546A9" w:rsidRPr="005738C6">
        <w:t xml:space="preserve">todas las variables del CU calculado son iguales a los de agosto de 2023 y simulando solamente un posible comportamiento con </w:t>
      </w:r>
      <w:r w:rsidR="007546A9" w:rsidRPr="005738C6">
        <w:lastRenderedPageBreak/>
        <w:t xml:space="preserve">base en la propuesta (línea gris) </w:t>
      </w:r>
      <w:r w:rsidR="00B56278" w:rsidRPr="005738C6">
        <w:t xml:space="preserve">y otro posible comportamiento </w:t>
      </w:r>
      <w:r w:rsidR="00442708" w:rsidRPr="005738C6">
        <w:t xml:space="preserve">(línea naranja) </w:t>
      </w:r>
      <w:r w:rsidR="002E0E73" w:rsidRPr="005738C6">
        <w:t xml:space="preserve">con aumentos del 4% </w:t>
      </w:r>
      <w:r w:rsidR="00453EB5" w:rsidRPr="005738C6">
        <w:t xml:space="preserve">mensual </w:t>
      </w:r>
      <w:r w:rsidR="002E0E73" w:rsidRPr="005738C6">
        <w:t xml:space="preserve">en el CU </w:t>
      </w:r>
      <w:r w:rsidR="00FB2DB8" w:rsidRPr="005738C6">
        <w:t>en los últimos meses del año y de</w:t>
      </w:r>
      <w:r w:rsidR="002E0E73" w:rsidRPr="005738C6">
        <w:t xml:space="preserve"> </w:t>
      </w:r>
      <w:r w:rsidR="00453EB5" w:rsidRPr="005738C6">
        <w:t>1% mensual a partir de enero de 2024</w:t>
      </w:r>
      <w:r w:rsidR="004B64CD" w:rsidRPr="005738C6">
        <w:t xml:space="preserve">. </w:t>
      </w:r>
    </w:p>
    <w:p w14:paraId="6E66AC8F" w14:textId="4791AF16" w:rsidR="00397C55" w:rsidRPr="005738C6" w:rsidRDefault="00397C55" w:rsidP="00397C55">
      <w:pPr>
        <w:pStyle w:val="Descripcin"/>
        <w:spacing w:before="240" w:after="240"/>
        <w:jc w:val="center"/>
      </w:pPr>
      <w:r w:rsidRPr="005738C6">
        <w:t xml:space="preserve">Gráfica </w:t>
      </w:r>
      <w:fldSimple w:instr=" SEQ Gráfica \* ARABIC ">
        <w:r w:rsidR="00C85F0B">
          <w:rPr>
            <w:noProof/>
          </w:rPr>
          <w:t>14</w:t>
        </w:r>
      </w:fldSimple>
      <w:r w:rsidRPr="005738C6">
        <w:t xml:space="preserve"> </w:t>
      </w:r>
      <w:r w:rsidR="008D43E1" w:rsidRPr="005738C6">
        <w:t>Comportamiento C</w:t>
      </w:r>
      <w:r w:rsidR="003B5B9E" w:rsidRPr="005738C6">
        <w:t>U</w:t>
      </w:r>
      <w:r w:rsidR="008D43E1" w:rsidRPr="005738C6">
        <w:t xml:space="preserve"> enero 2020 – agosto </w:t>
      </w:r>
      <w:r w:rsidR="004063EF" w:rsidRPr="005738C6">
        <w:t>2023 y proyección sep</w:t>
      </w:r>
      <w:r w:rsidR="003B5B9E" w:rsidRPr="005738C6">
        <w:t>tiembre</w:t>
      </w:r>
      <w:r w:rsidR="004063EF" w:rsidRPr="005738C6">
        <w:t xml:space="preserve"> 2023 </w:t>
      </w:r>
      <w:r w:rsidR="003B5B9E" w:rsidRPr="005738C6">
        <w:t>–</w:t>
      </w:r>
      <w:r w:rsidR="004063EF" w:rsidRPr="005738C6">
        <w:t xml:space="preserve"> </w:t>
      </w:r>
      <w:r w:rsidR="003B5B9E" w:rsidRPr="005738C6">
        <w:t>agosto 2024</w:t>
      </w:r>
    </w:p>
    <w:p w14:paraId="7AD64267" w14:textId="461935A6" w:rsidR="00B42083" w:rsidRPr="005738C6" w:rsidRDefault="00B42083" w:rsidP="00B9227A">
      <w:r w:rsidRPr="005738C6">
        <w:rPr>
          <w:noProof/>
        </w:rPr>
        <w:drawing>
          <wp:inline distT="0" distB="0" distL="0" distR="0" wp14:anchorId="4ABDBA6B" wp14:editId="4B31E8A6">
            <wp:extent cx="5613400" cy="3365500"/>
            <wp:effectExtent l="0" t="0" r="6350" b="6350"/>
            <wp:docPr id="1529109207" name="Imagen 1529109207"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109207" name="Imagen 1" descr="Gráfico, Gráfico de líneas&#10;&#10;Descripción generada automáticamente"/>
                    <pic:cNvPicPr/>
                  </pic:nvPicPr>
                  <pic:blipFill>
                    <a:blip r:embed="rId37"/>
                    <a:stretch>
                      <a:fillRect/>
                    </a:stretch>
                  </pic:blipFill>
                  <pic:spPr>
                    <a:xfrm>
                      <a:off x="0" y="0"/>
                      <a:ext cx="5613400" cy="3365500"/>
                    </a:xfrm>
                    <a:prstGeom prst="rect">
                      <a:avLst/>
                    </a:prstGeom>
                  </pic:spPr>
                </pic:pic>
              </a:graphicData>
            </a:graphic>
          </wp:inline>
        </w:drawing>
      </w:r>
    </w:p>
    <w:p w14:paraId="44CF2DAA" w14:textId="4B32F186" w:rsidR="00C02190" w:rsidRDefault="00FB4368" w:rsidP="00B9227A">
      <w:r w:rsidRPr="005738C6">
        <w:t>En</w:t>
      </w:r>
      <w:r w:rsidR="004B64CD" w:rsidRPr="005738C6">
        <w:t xml:space="preserve"> la gráfica se puede </w:t>
      </w:r>
      <w:r w:rsidRPr="005738C6">
        <w:t>observar</w:t>
      </w:r>
      <w:r w:rsidR="004B64CD" w:rsidRPr="005738C6">
        <w:t xml:space="preserve"> que la alternativa de </w:t>
      </w:r>
      <w:r w:rsidR="00DD67B6" w:rsidRPr="005738C6">
        <w:t>“</w:t>
      </w:r>
      <w:r w:rsidR="004B64CD" w:rsidRPr="005738C6">
        <w:t>no hacer nada</w:t>
      </w:r>
      <w:r w:rsidR="00DD67B6" w:rsidRPr="005738C6">
        <w:t>”</w:t>
      </w:r>
      <w:r w:rsidR="004B64CD" w:rsidRPr="005738C6">
        <w:t xml:space="preserve"> se puede asociar con la línea naranja a partir de </w:t>
      </w:r>
      <w:r w:rsidR="0023014E" w:rsidRPr="005738C6">
        <w:t>octubre</w:t>
      </w:r>
      <w:r w:rsidR="00C757FE" w:rsidRPr="005738C6">
        <w:t xml:space="preserve"> de 2023 donde</w:t>
      </w:r>
      <w:r w:rsidR="0023014E" w:rsidRPr="005738C6">
        <w:t>, considerando que se termina la vigencia de</w:t>
      </w:r>
      <w:r w:rsidR="00C757FE" w:rsidRPr="005738C6">
        <w:t xml:space="preserve"> </w:t>
      </w:r>
      <w:r w:rsidR="00195C40" w:rsidRPr="005738C6">
        <w:t>lo establecido en la Resolución  CREG 101 031 de 2022 respecto del aumento máximo de la variable PV</w:t>
      </w:r>
      <w:r w:rsidR="00065C77" w:rsidRPr="005738C6">
        <w:t xml:space="preserve">, </w:t>
      </w:r>
      <w:r w:rsidR="008A0DD9" w:rsidRPr="005738C6">
        <w:t>se podría</w:t>
      </w:r>
      <w:r w:rsidR="00E22E19" w:rsidRPr="005738C6">
        <w:t>n</w:t>
      </w:r>
      <w:r w:rsidR="008A0DD9" w:rsidRPr="005738C6">
        <w:t xml:space="preserve"> </w:t>
      </w:r>
      <w:r w:rsidR="00FA2F2C" w:rsidRPr="005738C6">
        <w:t xml:space="preserve">encontrar aumentos del orden del 4% </w:t>
      </w:r>
      <w:r w:rsidR="00BB2490" w:rsidRPr="005738C6">
        <w:t xml:space="preserve">en lo que resta del año, con la posibilidad de continuar en ascenso </w:t>
      </w:r>
      <w:r w:rsidR="001B71A4" w:rsidRPr="005738C6">
        <w:t>el próximo año</w:t>
      </w:r>
      <w:r w:rsidR="008548A5" w:rsidRPr="005738C6">
        <w:t>,</w:t>
      </w:r>
      <w:r w:rsidR="001B71A4" w:rsidRPr="005738C6">
        <w:t xml:space="preserve"> mientras que con la </w:t>
      </w:r>
      <w:r w:rsidR="003E5F8A" w:rsidRPr="005738C6">
        <w:t>aplicación de</w:t>
      </w:r>
      <w:r w:rsidR="001B71A4" w:rsidRPr="005738C6">
        <w:t xml:space="preserve"> la propuesta realizada (línea gris) se simula el aumento de</w:t>
      </w:r>
      <w:r w:rsidR="00C460D2" w:rsidRPr="005738C6">
        <w:t>l CU en</w:t>
      </w:r>
      <w:r w:rsidR="001B71A4" w:rsidRPr="005738C6">
        <w:t xml:space="preserve"> aquellos mercados que no han alcanzado la condición del 6% </w:t>
      </w:r>
      <w:r w:rsidR="00EE4A43" w:rsidRPr="005738C6">
        <w:t xml:space="preserve">pero </w:t>
      </w:r>
      <w:r w:rsidR="00FF79A4" w:rsidRPr="005738C6">
        <w:t xml:space="preserve">que </w:t>
      </w:r>
      <w:r w:rsidR="00EE4A43" w:rsidRPr="005738C6">
        <w:t>a partir de</w:t>
      </w:r>
      <w:r w:rsidR="00FF79A4" w:rsidRPr="005738C6">
        <w:t>l</w:t>
      </w:r>
      <w:r w:rsidR="00EE4A43" w:rsidRPr="005738C6">
        <w:t xml:space="preserve"> momento en el que todos los comercializadores inicien con el cobro del </w:t>
      </w:r>
      <w:r w:rsidR="00620B1D" w:rsidRPr="005738C6">
        <w:t>costo de mercado</w:t>
      </w:r>
      <w:r w:rsidR="00A41DA7" w:rsidRPr="005738C6">
        <w:t>,</w:t>
      </w:r>
      <w:r w:rsidR="00620B1D" w:rsidRPr="005738C6">
        <w:t xml:space="preserve"> las tarifas se estabilizan a partir de enero del 2024, </w:t>
      </w:r>
      <w:r w:rsidR="00B93E81" w:rsidRPr="005738C6">
        <w:t xml:space="preserve">encontrando un mejor control de las </w:t>
      </w:r>
      <w:r w:rsidR="00E75C12" w:rsidRPr="005738C6">
        <w:t>mismas</w:t>
      </w:r>
      <w:r w:rsidR="00B93E81" w:rsidRPr="005738C6">
        <w:t>.</w:t>
      </w:r>
    </w:p>
    <w:p w14:paraId="76D0E225" w14:textId="0F7B677B" w:rsidR="00286898" w:rsidRDefault="00286898" w:rsidP="00B9227A">
      <w:pPr>
        <w:pStyle w:val="Ttulo1"/>
      </w:pPr>
      <w:bookmarkStart w:id="139" w:name="_Toc45821485"/>
      <w:bookmarkStart w:id="140" w:name="_Toc57992636"/>
      <w:bookmarkStart w:id="141" w:name="_Toc58246328"/>
      <w:bookmarkStart w:id="142" w:name="_Toc58312356"/>
      <w:bookmarkStart w:id="143" w:name="_Toc58405833"/>
      <w:bookmarkStart w:id="144" w:name="_Toc152921877"/>
      <w:r w:rsidRPr="00061307">
        <w:t>CONSULTA PÚBLICA</w:t>
      </w:r>
      <w:bookmarkEnd w:id="139"/>
      <w:bookmarkEnd w:id="140"/>
      <w:bookmarkEnd w:id="141"/>
      <w:bookmarkEnd w:id="142"/>
      <w:bookmarkEnd w:id="143"/>
      <w:bookmarkEnd w:id="144"/>
    </w:p>
    <w:p w14:paraId="64ADD033" w14:textId="40FDE90C" w:rsidR="008149DE" w:rsidRDefault="0027443B" w:rsidP="008149DE">
      <w:r>
        <w:t>En la elaboración de los proyectos de resoluciones a consulta como en l</w:t>
      </w:r>
      <w:r w:rsidR="00CB59A4">
        <w:t xml:space="preserve">as definitivas se tuvieron en cuenta </w:t>
      </w:r>
      <w:r w:rsidR="008149DE">
        <w:t xml:space="preserve">todas las propuestas </w:t>
      </w:r>
      <w:r w:rsidR="00CB59A4">
        <w:t>que habían sido presentadas</w:t>
      </w:r>
      <w:r w:rsidR="00D12726">
        <w:t>,</w:t>
      </w:r>
      <w:r w:rsidR="00CB59A4">
        <w:t xml:space="preserve"> anterior a la consulta</w:t>
      </w:r>
      <w:r w:rsidR="00D12726">
        <w:t>,</w:t>
      </w:r>
      <w:r w:rsidR="008149DE">
        <w:t xml:space="preserve"> por parte de agremiaciones, agentes y terceros interesados, muchas de las cuales </w:t>
      </w:r>
      <w:r w:rsidR="00E144D1">
        <w:t xml:space="preserve">fueron objeto de incorporación </w:t>
      </w:r>
      <w:r w:rsidR="008149DE">
        <w:t>en la propuesta presentada y otras, como la de diferenciación de saldos por tipos de usuarios, no; dado que se pondría en riesgo la recuperación del saldo.</w:t>
      </w:r>
    </w:p>
    <w:p w14:paraId="7B192943" w14:textId="67E236E4" w:rsidR="008149DE" w:rsidRDefault="008149DE" w:rsidP="008149DE">
      <w:r>
        <w:t xml:space="preserve">Respecto de la diferenciación de usuarios para poder aplicar un saldo y porcentaje de variación por tipo de usuario o estrato socioeconómico, es necesario recordar que la solidez jurídica con base en la cual </w:t>
      </w:r>
      <w:r w:rsidR="00D346C1">
        <w:t xml:space="preserve">se fundó la </w:t>
      </w:r>
      <w:r>
        <w:t xml:space="preserve">propuesta se basa, principalmente, en la validación realizada por el Consejo de Estado al esquema de la Resolución CREG 012 de 2020, en el cual, las únicas subdivisiones de usuarios que se consideran, son por nivel de tensión, sin </w:t>
      </w:r>
      <w:r>
        <w:lastRenderedPageBreak/>
        <w:t>hacer ninguna otra diferenciación (por tipo de usuario o estrato) para aplicar condiciones distintas y por tanto, el hecho de realizar diferenciaciones de este tipo podrían asimilarse a la situación de la individualización de saldos, donde se pone en tela de juicio el reconocimiento del saldo por las razones allí expresadas.</w:t>
      </w:r>
    </w:p>
    <w:p w14:paraId="085A7564" w14:textId="6C60B83E" w:rsidR="00511710" w:rsidRDefault="00D346C1" w:rsidP="00D346C1">
      <w:r>
        <w:t xml:space="preserve">Con base en los análisis realizados al respecto, </w:t>
      </w:r>
      <w:r w:rsidR="0020702D">
        <w:t>e</w:t>
      </w:r>
      <w:r w:rsidR="0020702D" w:rsidRPr="0020702D">
        <w:t>l 14 de septiembre de 2023</w:t>
      </w:r>
      <w:r w:rsidR="0020702D">
        <w:t xml:space="preserve"> </w:t>
      </w:r>
      <w:r>
        <w:t>s</w:t>
      </w:r>
      <w:r w:rsidR="00EC708E">
        <w:t xml:space="preserve">e </w:t>
      </w:r>
      <w:r w:rsidR="00A1192A">
        <w:t xml:space="preserve">desarrolló una consulta mediante la </w:t>
      </w:r>
      <w:r w:rsidR="008E784D">
        <w:t xml:space="preserve">publicación de los proyectos de resolución CREG 701 023 y 701 023A de 2023 </w:t>
      </w:r>
      <w:r w:rsidR="005963EC">
        <w:t xml:space="preserve">a través los cuales se propuso un esquema para la recuperación de los saldos </w:t>
      </w:r>
      <w:r w:rsidR="00F3517C">
        <w:t xml:space="preserve">invocando el mutuo acuerdo de que trata el artículo 126 de la Ley 142 de 1994 </w:t>
      </w:r>
      <w:r w:rsidR="00511710">
        <w:t>y se propuso una modificación al esquema de opción tarifaria establecido mediante la Resolución CREG 012 de 2020 respectivamente.</w:t>
      </w:r>
    </w:p>
    <w:p w14:paraId="65077A5C" w14:textId="328AF1AB" w:rsidR="00E035D7" w:rsidRDefault="00E035D7" w:rsidP="00E035D7">
      <w:r>
        <w:t>Con respecto al plazo de consulta</w:t>
      </w:r>
      <w:r w:rsidR="00BB4E43">
        <w:t>,</w:t>
      </w:r>
      <w:r w:rsidR="00D912A9">
        <w:t xml:space="preserve"> cinco </w:t>
      </w:r>
      <w:r w:rsidR="00BB4E43">
        <w:t>(5</w:t>
      </w:r>
      <w:r w:rsidR="00D912A9">
        <w:t>) días hábiles</w:t>
      </w:r>
      <w:r>
        <w:t>, se precisa que el mismo se definió atendiendo la causal prevista en el numeral 1 del artículo 33 de la Resolución CREG 039 de 2017 “Por la cual se establece el Reglamento Interno de la Comisión de Regulación de Energía y Gas”, el cual establec</w:t>
      </w:r>
      <w:r w:rsidR="00BB4E43">
        <w:t>ía</w:t>
      </w:r>
      <w:r>
        <w:t xml:space="preserve"> lo siguiente:</w:t>
      </w:r>
    </w:p>
    <w:p w14:paraId="6AEDFEB3" w14:textId="77777777" w:rsidR="00E035D7" w:rsidRPr="006F2299" w:rsidRDefault="00E035D7" w:rsidP="006F2299">
      <w:pPr>
        <w:ind w:left="426" w:right="335"/>
        <w:rPr>
          <w:i/>
          <w:iCs/>
        </w:rPr>
      </w:pPr>
      <w:r w:rsidRPr="006F2299">
        <w:rPr>
          <w:i/>
          <w:iCs/>
        </w:rPr>
        <w:t>“Artículo 33. PLAZOS DE PUBLICIDAD DE LOS PROYECTOS DE REGULACIÓN DE CARÁCTER GENERAL. La Comisión publicará en su portal web, con antelación a la fecha de su expedición no inferior a treinta (30) días hábiles, todos los proyectos de resoluciones de carácter general que pretendan adoptar, excepto los relativos a fórmulas tarifarias, en cuyo caso se seguirá el procedimiento previsto en los artículos 35 y 36 de este reglamento. También se exceptúan los casos que se relacionan en este artículo.</w:t>
      </w:r>
    </w:p>
    <w:p w14:paraId="0B61B3B5" w14:textId="77777777" w:rsidR="00E035D7" w:rsidRPr="006F2299" w:rsidRDefault="00E035D7" w:rsidP="006F2299">
      <w:pPr>
        <w:ind w:left="426" w:right="335"/>
        <w:rPr>
          <w:i/>
          <w:iCs/>
        </w:rPr>
      </w:pPr>
      <w:r w:rsidRPr="006F2299">
        <w:rPr>
          <w:i/>
          <w:iCs/>
        </w:rPr>
        <w:t>El término para la recepción de las observaciones, reparos o sugerencias no podrá ser menor a diez (10) días hábiles, contados a partir de la fecha en que se haga público el proyecto de regulación, salvo en los casos y condiciones que se relacionan en el siguiente inciso. Este plazo podrá prorrogarse por solicitud de parte u oficiosamente.</w:t>
      </w:r>
    </w:p>
    <w:p w14:paraId="7F517FE3" w14:textId="77777777" w:rsidR="00E035D7" w:rsidRPr="006F2299" w:rsidRDefault="00E035D7" w:rsidP="006F2299">
      <w:pPr>
        <w:ind w:left="426" w:right="335"/>
        <w:rPr>
          <w:i/>
          <w:iCs/>
        </w:rPr>
      </w:pPr>
      <w:r w:rsidRPr="006F2299">
        <w:rPr>
          <w:i/>
          <w:iCs/>
        </w:rPr>
        <w:t>La CREG podrá publicar los proyectos específicos de regulación que pretenda expedir, con una antelación a la fecha de su expedición inferior a treinta (30) días hábiles, y establecer un término para la recepción de las observaciones, reparos o sugerencias menor a diez (10) días hábiles, en los siguientes casos:</w:t>
      </w:r>
    </w:p>
    <w:p w14:paraId="585BFF40" w14:textId="77777777" w:rsidR="00E035D7" w:rsidRDefault="00E035D7" w:rsidP="006F2299">
      <w:pPr>
        <w:ind w:left="426" w:right="335"/>
      </w:pPr>
      <w:r w:rsidRPr="006F2299">
        <w:rPr>
          <w:i/>
          <w:iCs/>
        </w:rPr>
        <w:t>1. Cuando se requiera tomar medidas urgentes para garantizar el abastecimiento del producto o la continuidad y confiabilidad del servicio. (…)”</w:t>
      </w:r>
    </w:p>
    <w:p w14:paraId="5C5C1549" w14:textId="52CE3704" w:rsidR="00E035D7" w:rsidRDefault="00E035D7" w:rsidP="00E035D7">
      <w:r>
        <w:t xml:space="preserve">Frente a la procedencia de dicha causal, a partir de lo expuesto en la parte motiva de </w:t>
      </w:r>
      <w:r w:rsidR="007D0346">
        <w:t>dicho proyecto de</w:t>
      </w:r>
      <w:r>
        <w:t xml:space="preserve"> resolución, la necesidad y el carácter apremiante de </w:t>
      </w:r>
      <w:r w:rsidR="006F38FF">
        <w:t>dicha</w:t>
      </w:r>
      <w:r>
        <w:t xml:space="preserve"> propuesta se da</w:t>
      </w:r>
      <w:r w:rsidR="006F38FF">
        <w:t>ba</w:t>
      </w:r>
      <w:r>
        <w:t xml:space="preserve"> toda vez que de no contar con una decisión regulatoria vigente a partir del mes de octubre de 2023, no se podría dar cumplimiento a los objetivos relacionados particularmente con minimizar los altos valores (picos) en el CU, así como evitar alzas excesivas inmediatas en el CU aplicado a los usuarios, al darse aplicación nuevamente a la fórmula de recuperación de saldos de la opción tarifaria actual. </w:t>
      </w:r>
    </w:p>
    <w:p w14:paraId="7ED7F8CB" w14:textId="2E6D1BF6" w:rsidR="00E65B04" w:rsidRDefault="00E65B04" w:rsidP="00E035D7">
      <w:r>
        <w:t xml:space="preserve">No obstante, </w:t>
      </w:r>
      <w:r w:rsidR="0020702D">
        <w:t xml:space="preserve">posterior a </w:t>
      </w:r>
      <w:r w:rsidR="006111FE">
        <w:t xml:space="preserve">la etapa de análisis de comentarios </w:t>
      </w:r>
      <w:r w:rsidR="00634A54">
        <w:t>y</w:t>
      </w:r>
      <w:r w:rsidR="005333F2">
        <w:t xml:space="preserve"> una vez finalizada la vigencia de la Resolución CREG 101 031 de </w:t>
      </w:r>
      <w:r w:rsidR="00485E99">
        <w:t xml:space="preserve">2022, </w:t>
      </w:r>
      <w:r w:rsidR="0085274F">
        <w:t xml:space="preserve">los comercializadores </w:t>
      </w:r>
      <w:r w:rsidR="00485E99">
        <w:t>efectuar</w:t>
      </w:r>
      <w:r w:rsidR="003425E9">
        <w:t>on</w:t>
      </w:r>
      <w:r w:rsidR="00485E99">
        <w:t xml:space="preserve"> los incrementos que se presentaron anteriormente</w:t>
      </w:r>
      <w:r w:rsidR="00A10AD2">
        <w:t xml:space="preserve">, donde se puede </w:t>
      </w:r>
      <w:r w:rsidR="00341A34">
        <w:t>observar</w:t>
      </w:r>
      <w:r w:rsidR="00A10AD2">
        <w:t xml:space="preserve"> que algunos de ellos superaron, en un</w:t>
      </w:r>
      <w:r w:rsidR="00341A34">
        <w:t>o o dos meses,</w:t>
      </w:r>
      <w:r w:rsidR="00A10AD2">
        <w:t xml:space="preserve"> el </w:t>
      </w:r>
      <w:r w:rsidR="00C05824">
        <w:t>índice de inflación acumulado anual.</w:t>
      </w:r>
      <w:r w:rsidR="00485E99">
        <w:t xml:space="preserve"> </w:t>
      </w:r>
      <w:r w:rsidR="005333F2">
        <w:t xml:space="preserve"> </w:t>
      </w:r>
    </w:p>
    <w:p w14:paraId="54025D54" w14:textId="2D9295CB" w:rsidR="000E3920" w:rsidRPr="00E32035" w:rsidRDefault="0038714E" w:rsidP="00E32035">
      <w:r>
        <w:lastRenderedPageBreak/>
        <w:t xml:space="preserve">Respecto de </w:t>
      </w:r>
      <w:r w:rsidR="00D55169">
        <w:t xml:space="preserve">los proyectos de resolución mencionados </w:t>
      </w:r>
      <w:r w:rsidR="000E3920" w:rsidRPr="00E32035">
        <w:t>se recibieron 121 comentarios contenidos en 17 comunicaciones enviadas mediante los radicados que se relacionan a continuación:</w:t>
      </w:r>
    </w:p>
    <w:p w14:paraId="79C34869" w14:textId="77777777" w:rsidR="000E3920" w:rsidRPr="000E3920" w:rsidRDefault="000E3920" w:rsidP="000E3920">
      <w:pPr>
        <w:widowControl w:val="0"/>
        <w:spacing w:before="240" w:after="240"/>
        <w:ind w:right="47"/>
        <w:jc w:val="center"/>
        <w:rPr>
          <w:rFonts w:ascii="Bookman Old Style" w:hAnsi="Bookman Old Style" w:cs="Arial"/>
          <w:sz w:val="24"/>
          <w:szCs w:val="24"/>
          <w:lang w:eastAsia="es-ES"/>
        </w:rPr>
      </w:pPr>
      <w:r w:rsidRPr="000E3920">
        <w:rPr>
          <w:rFonts w:ascii="Times New Roman" w:hAnsi="Times New Roman"/>
          <w:noProof/>
          <w:sz w:val="24"/>
          <w:szCs w:val="24"/>
          <w:lang w:val="es-ES" w:eastAsia="es-ES"/>
        </w:rPr>
        <w:drawing>
          <wp:inline distT="0" distB="0" distL="0" distR="0" wp14:anchorId="53BDEFBC" wp14:editId="38A2E86C">
            <wp:extent cx="3382982" cy="1665027"/>
            <wp:effectExtent l="0" t="0" r="8255" b="0"/>
            <wp:docPr id="1533317369" name="Imagen 1533317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00202" cy="1673502"/>
                    </a:xfrm>
                    <a:prstGeom prst="rect">
                      <a:avLst/>
                    </a:prstGeom>
                    <a:noFill/>
                    <a:ln>
                      <a:noFill/>
                    </a:ln>
                  </pic:spPr>
                </pic:pic>
              </a:graphicData>
            </a:graphic>
          </wp:inline>
        </w:drawing>
      </w:r>
    </w:p>
    <w:p w14:paraId="422EB7AB" w14:textId="45AFC34D" w:rsidR="005F0772" w:rsidRPr="003F7DEC" w:rsidRDefault="005F0772" w:rsidP="00E32035">
      <w:pPr>
        <w:pStyle w:val="Ttulo1"/>
        <w:ind w:left="431" w:hanging="431"/>
      </w:pPr>
      <w:bookmarkStart w:id="145" w:name="_Toc152921878"/>
      <w:r w:rsidRPr="005742A9">
        <w:t xml:space="preserve">ANÁLISIS </w:t>
      </w:r>
      <w:r w:rsidRPr="003F7DEC">
        <w:t>DE COMENTARIOS Y MODIFICACI</w:t>
      </w:r>
      <w:r w:rsidR="00AB0BD7">
        <w:t>ONES REALIZADAS</w:t>
      </w:r>
      <w:bookmarkEnd w:id="145"/>
    </w:p>
    <w:p w14:paraId="73D3855F" w14:textId="77777777" w:rsidR="00B6390B" w:rsidRDefault="005F0772" w:rsidP="00B9227A">
      <w:r w:rsidRPr="005F0772">
        <w:t xml:space="preserve">Los comentarios recibidos a la propuesta planteada en la </w:t>
      </w:r>
      <w:r w:rsidR="00D13C86">
        <w:t>r</w:t>
      </w:r>
      <w:r w:rsidRPr="005F0772">
        <w:t xml:space="preserve">esolución CREG </w:t>
      </w:r>
      <w:r w:rsidR="00D13C86">
        <w:t>701 023</w:t>
      </w:r>
      <w:r w:rsidRPr="005F0772">
        <w:t xml:space="preserve"> de 202</w:t>
      </w:r>
      <w:r w:rsidR="00D13C86">
        <w:t>3</w:t>
      </w:r>
      <w:r w:rsidRPr="005F0772">
        <w:t xml:space="preserve"> </w:t>
      </w:r>
      <w:r w:rsidRPr="007E0FC1">
        <w:t>fueron objeto de análisis y compilación, cuyos textos se encuentran en los</w:t>
      </w:r>
      <w:r w:rsidR="00D13C86" w:rsidRPr="007E0FC1">
        <w:t xml:space="preserve"> </w:t>
      </w:r>
      <w:r w:rsidRPr="007E0FC1">
        <w:t xml:space="preserve">cuadros del Anexo </w:t>
      </w:r>
      <w:r w:rsidR="00411832" w:rsidRPr="007E0FC1">
        <w:t>1</w:t>
      </w:r>
      <w:r w:rsidRPr="007E0FC1">
        <w:t>.</w:t>
      </w:r>
      <w:r w:rsidR="00747A3D">
        <w:t xml:space="preserve"> </w:t>
      </w:r>
    </w:p>
    <w:p w14:paraId="7869AC03" w14:textId="15FF079B" w:rsidR="00747A3D" w:rsidRDefault="00747A3D" w:rsidP="00B9227A">
      <w:r>
        <w:t xml:space="preserve">A partir de lo consignado en dicho Anexo, se </w:t>
      </w:r>
      <w:r w:rsidRPr="00747A3D">
        <w:t>considera que se han atendido todas las inquietudes que se han planteado y se han analizado todos los comentarios que enriquecieron el proceso normativo, permitiendo presentar la normatividad de que trata el presente documento</w:t>
      </w:r>
      <w:r>
        <w:t>.</w:t>
      </w:r>
    </w:p>
    <w:p w14:paraId="1D7A5F90" w14:textId="75C8C562" w:rsidR="004E59CA" w:rsidRDefault="00747A3D" w:rsidP="00B9227A">
      <w:r>
        <w:t xml:space="preserve">Así mismo, </w:t>
      </w:r>
      <w:r w:rsidR="004E660D">
        <w:t xml:space="preserve">en la resolución definitiva </w:t>
      </w:r>
      <w:r w:rsidR="00CE2570">
        <w:t xml:space="preserve">se identifican cambios </w:t>
      </w:r>
      <w:r w:rsidR="00A44C7A">
        <w:t>respecto de</w:t>
      </w:r>
      <w:r w:rsidR="00CE2570">
        <w:t xml:space="preserve"> la propuesta regulatoria</w:t>
      </w:r>
      <w:r w:rsidR="00D851EC">
        <w:t xml:space="preserve"> en los siguientes temas</w:t>
      </w:r>
      <w:r w:rsidR="00CE2570">
        <w:t>:</w:t>
      </w:r>
    </w:p>
    <w:p w14:paraId="6BE3468E" w14:textId="0B40837C" w:rsidR="004E59CA" w:rsidRDefault="00D851EC" w:rsidP="00E32035">
      <w:pPr>
        <w:pStyle w:val="Prrafodelista"/>
        <w:numPr>
          <w:ilvl w:val="0"/>
          <w:numId w:val="33"/>
        </w:numPr>
      </w:pPr>
      <w:r>
        <w:t xml:space="preserve">Variación del costo de la opción tarifaria por comercializador a costo </w:t>
      </w:r>
      <w:r w:rsidR="00ED4F75">
        <w:t>de la opción tarifaria por mercado</w:t>
      </w:r>
      <w:r w:rsidR="00DA410B">
        <w:t>.</w:t>
      </w:r>
    </w:p>
    <w:p w14:paraId="62AE0AAA" w14:textId="66264AFE" w:rsidR="00ED4F75" w:rsidRDefault="00ED4F75" w:rsidP="00E32035">
      <w:pPr>
        <w:pStyle w:val="Prrafodelista"/>
        <w:numPr>
          <w:ilvl w:val="0"/>
          <w:numId w:val="33"/>
        </w:numPr>
      </w:pPr>
      <w:r>
        <w:t>Cambios en la tasa reconocida para incluir otras fuentes de créditos distintas a Findeter</w:t>
      </w:r>
      <w:r w:rsidR="00DA410B">
        <w:t>.</w:t>
      </w:r>
    </w:p>
    <w:p w14:paraId="74B18E58" w14:textId="0E26226B" w:rsidR="00ED4F75" w:rsidRDefault="00ED4F75" w:rsidP="00E32035">
      <w:pPr>
        <w:pStyle w:val="Prrafodelista"/>
        <w:numPr>
          <w:ilvl w:val="0"/>
          <w:numId w:val="33"/>
        </w:numPr>
      </w:pPr>
      <w:r>
        <w:t xml:space="preserve">Cambio en el porcentaje </w:t>
      </w:r>
      <w:r w:rsidR="00094CE9">
        <w:t xml:space="preserve">(condición inicial) </w:t>
      </w:r>
      <w:r>
        <w:t xml:space="preserve">para </w:t>
      </w:r>
      <w:r w:rsidR="005A6E0D">
        <w:t>iniciar el cobro de opción tarifaria propuesto</w:t>
      </w:r>
      <w:r w:rsidR="00DA410B">
        <w:t>.</w:t>
      </w:r>
    </w:p>
    <w:p w14:paraId="083122B9" w14:textId="1486470F" w:rsidR="005A6E0D" w:rsidRDefault="005A6E0D" w:rsidP="00094CE9">
      <w:pPr>
        <w:pStyle w:val="Prrafodelista"/>
        <w:numPr>
          <w:ilvl w:val="0"/>
          <w:numId w:val="33"/>
        </w:numPr>
      </w:pPr>
      <w:r>
        <w:t xml:space="preserve">Cambio en </w:t>
      </w:r>
      <w:r w:rsidR="00094CE9">
        <w:t xml:space="preserve">el método </w:t>
      </w:r>
      <w:r w:rsidR="00DA410B">
        <w:t xml:space="preserve">de recuperación de saldos </w:t>
      </w:r>
      <w:r w:rsidR="00094CE9">
        <w:t>para quienes no cumplan la condición inicial</w:t>
      </w:r>
      <w:r w:rsidR="00DA410B">
        <w:t>.</w:t>
      </w:r>
    </w:p>
    <w:p w14:paraId="6EDE70D5" w14:textId="504B38E8" w:rsidR="004E59CA" w:rsidRDefault="00094CE9" w:rsidP="007E0FC1">
      <w:pPr>
        <w:spacing w:after="240"/>
      </w:pPr>
      <w:r>
        <w:t xml:space="preserve">A </w:t>
      </w:r>
      <w:proofErr w:type="gramStart"/>
      <w:r>
        <w:t>continuación</w:t>
      </w:r>
      <w:proofErr w:type="gramEnd"/>
      <w:r>
        <w:t xml:space="preserve"> se detallan </w:t>
      </w:r>
      <w:r w:rsidR="00F532F3">
        <w:t>l</w:t>
      </w:r>
      <w:r>
        <w:t xml:space="preserve">os cambios </w:t>
      </w:r>
      <w:r w:rsidR="00F532F3">
        <w:t>mencionados.</w:t>
      </w:r>
    </w:p>
    <w:p w14:paraId="0FE06990" w14:textId="4003D5FE" w:rsidR="00F532F3" w:rsidRDefault="00C673D0" w:rsidP="009F4139">
      <w:pPr>
        <w:spacing w:before="240" w:after="240"/>
      </w:pPr>
      <w:r>
        <w:rPr>
          <w:b/>
          <w:bCs/>
        </w:rPr>
        <w:t>C</w:t>
      </w:r>
      <w:r w:rsidR="000B0BF1" w:rsidRPr="00E32035">
        <w:rPr>
          <w:b/>
          <w:bCs/>
        </w:rPr>
        <w:t xml:space="preserve">osto de la opción tarifaria único </w:t>
      </w:r>
      <w:r w:rsidR="00E379D3" w:rsidRPr="00E32035">
        <w:rPr>
          <w:b/>
          <w:bCs/>
        </w:rPr>
        <w:t>por mercado</w:t>
      </w:r>
      <w:r w:rsidR="005C60BE">
        <w:t xml:space="preserve"> </w:t>
      </w:r>
    </w:p>
    <w:p w14:paraId="5A4BE815" w14:textId="112BC8ED" w:rsidR="00E35DC1" w:rsidRDefault="00F532F3" w:rsidP="00E32035">
      <w:r>
        <w:t>D</w:t>
      </w:r>
      <w:r w:rsidR="005C60BE">
        <w:t xml:space="preserve">e acuerdo con los comentarios presentados por varios de los agentes </w:t>
      </w:r>
      <w:r w:rsidR="00B82F17">
        <w:t xml:space="preserve">se podría presentar, en un mismo mercado, que dos comercializadores se acogieran al esquema produciendo dos </w:t>
      </w:r>
      <w:r w:rsidR="00447CAF">
        <w:t>costos de opción</w:t>
      </w:r>
      <w:r w:rsidR="00C673D0">
        <w:t xml:space="preserve"> tarifaria </w:t>
      </w:r>
      <w:r w:rsidR="00656FDB">
        <w:t xml:space="preserve">distintos lo cual </w:t>
      </w:r>
      <w:r w:rsidR="00D90626">
        <w:t xml:space="preserve">se </w:t>
      </w:r>
      <w:r w:rsidR="00656FDB">
        <w:t xml:space="preserve">podría </w:t>
      </w:r>
      <w:r w:rsidR="002A003B">
        <w:t>convertir en un elemento que incid</w:t>
      </w:r>
      <w:r w:rsidR="00E35DC1">
        <w:t>iera</w:t>
      </w:r>
      <w:r w:rsidR="002A003B">
        <w:t xml:space="preserve"> directamente en la competencia de forma artificial entre los comercializadores que atiendan usuarios en un mercado, ya que los usuarios se verían incentivados a pasarse a comercializadores con COT inferiores o sin COT</w:t>
      </w:r>
      <w:r w:rsidR="00E35DC1">
        <w:t xml:space="preserve">. </w:t>
      </w:r>
    </w:p>
    <w:p w14:paraId="6DEE3DA4" w14:textId="289F8A2C" w:rsidR="00AC6728" w:rsidRDefault="00BB2D97" w:rsidP="00BB2D97">
      <w:r>
        <w:lastRenderedPageBreak/>
        <w:t xml:space="preserve">Como resultado </w:t>
      </w:r>
      <w:r w:rsidR="00B37C22">
        <w:t>del análisis realizado</w:t>
      </w:r>
      <w:r>
        <w:t xml:space="preserve">, se cambió </w:t>
      </w:r>
      <w:r w:rsidR="00413268">
        <w:t xml:space="preserve">la propuesta </w:t>
      </w:r>
      <w:r w:rsidR="00AC6728">
        <w:t>para incluir que el cobro a todos los usuarios de un mismo mercado se hiciera con base en un COT de mercado</w:t>
      </w:r>
      <w:r w:rsidR="00F92583">
        <w:t>, resulta</w:t>
      </w:r>
      <w:r w:rsidR="000A2572">
        <w:t>n</w:t>
      </w:r>
      <w:r w:rsidR="00F92583">
        <w:t>te de la ponderación del COT de cada comercializador con base e</w:t>
      </w:r>
      <w:r w:rsidR="00AC6728">
        <w:t>n sus ventas en dicho mercado</w:t>
      </w:r>
      <w:r w:rsidR="000A2572">
        <w:t xml:space="preserve"> y, de esta manera, se eliminan los problemas en competencia</w:t>
      </w:r>
      <w:r w:rsidR="00AC6728">
        <w:t>.</w:t>
      </w:r>
    </w:p>
    <w:p w14:paraId="7E7D62CC" w14:textId="1D201DDD" w:rsidR="00B37C22" w:rsidRDefault="00273145" w:rsidP="00E32035">
      <w:r>
        <w:t>Adicionalmente, por sugerencia de los agentes</w:t>
      </w:r>
      <w:r w:rsidR="00E633B7">
        <w:t>,</w:t>
      </w:r>
      <w:r>
        <w:t xml:space="preserve"> se </w:t>
      </w:r>
      <w:r w:rsidR="00AA1EB4">
        <w:t>aclaran las reglas para usuarios inmersos en diferentes situaciones:</w:t>
      </w:r>
    </w:p>
    <w:p w14:paraId="43031D46" w14:textId="0BF4C98C" w:rsidR="00AA1EB4" w:rsidRDefault="00D56F26" w:rsidP="00CA0D38">
      <w:pPr>
        <w:pStyle w:val="Prrafodelista"/>
        <w:numPr>
          <w:ilvl w:val="1"/>
          <w:numId w:val="31"/>
        </w:numPr>
        <w:ind w:left="709" w:hanging="567"/>
      </w:pPr>
      <w:r>
        <w:t>Incluir en el cobro a los u</w:t>
      </w:r>
      <w:r w:rsidR="00AA1EB4">
        <w:t>suarios nuevos en un mercado de comercialización</w:t>
      </w:r>
      <w:r>
        <w:t xml:space="preserve"> de manera explícita</w:t>
      </w:r>
      <w:r w:rsidR="00AA1EB4">
        <w:t xml:space="preserve">. </w:t>
      </w:r>
    </w:p>
    <w:p w14:paraId="42EEEA08" w14:textId="48E4B8CE" w:rsidR="00AA1EB4" w:rsidRDefault="00D56F26" w:rsidP="00E32035">
      <w:pPr>
        <w:pStyle w:val="Prrafodelista"/>
        <w:numPr>
          <w:ilvl w:val="1"/>
          <w:numId w:val="31"/>
        </w:numPr>
        <w:ind w:left="709" w:hanging="567"/>
      </w:pPr>
      <w:r>
        <w:t>Incluir en el cobro a los u</w:t>
      </w:r>
      <w:r w:rsidR="00624441">
        <w:t xml:space="preserve">suarios que cambian de nivel de tensión. </w:t>
      </w:r>
    </w:p>
    <w:p w14:paraId="4D7EE151" w14:textId="0992927A" w:rsidR="00624441" w:rsidRDefault="00BD1D62" w:rsidP="00E32035">
      <w:pPr>
        <w:pStyle w:val="Prrafodelista"/>
        <w:numPr>
          <w:ilvl w:val="1"/>
          <w:numId w:val="31"/>
        </w:numPr>
        <w:ind w:left="709" w:hanging="567"/>
      </w:pPr>
      <w:r>
        <w:t>Incluir en el cobro a los u</w:t>
      </w:r>
      <w:r w:rsidR="00624441">
        <w:t xml:space="preserve">suarios que pasan del mercado regulado al no regulado y viceversa. </w:t>
      </w:r>
      <w:r>
        <w:t>(</w:t>
      </w:r>
      <w:r w:rsidR="00EA35C4">
        <w:t>exceptuando a los usuarios no regulados que cambian al mercado regulado como producto de la limitación de sumini</w:t>
      </w:r>
      <w:r w:rsidR="00FE54C7">
        <w:t>s</w:t>
      </w:r>
      <w:r w:rsidR="00EA35C4">
        <w:t>tro al comercializa</w:t>
      </w:r>
      <w:r w:rsidR="00FE54C7">
        <w:t xml:space="preserve">dor </w:t>
      </w:r>
      <w:r w:rsidR="00EA35C4">
        <w:t xml:space="preserve">que lo antedía, entendiendo que el cambio entre mercados no es producto de la </w:t>
      </w:r>
      <w:r w:rsidR="00FE54C7">
        <w:t xml:space="preserve">voluntad </w:t>
      </w:r>
      <w:r w:rsidR="00EA35C4">
        <w:t>del usuario no regulado</w:t>
      </w:r>
      <w:r>
        <w:t>)</w:t>
      </w:r>
      <w:r w:rsidR="00FE54C7">
        <w:t>.</w:t>
      </w:r>
    </w:p>
    <w:p w14:paraId="221A3289" w14:textId="570A0B6A" w:rsidR="00624441" w:rsidRDefault="00BD1D62" w:rsidP="00E32035">
      <w:pPr>
        <w:pStyle w:val="Prrafodelista"/>
        <w:numPr>
          <w:ilvl w:val="1"/>
          <w:numId w:val="31"/>
        </w:numPr>
        <w:ind w:left="709" w:hanging="567"/>
      </w:pPr>
      <w:r>
        <w:t xml:space="preserve">Exceptuar del cobro </w:t>
      </w:r>
      <w:r w:rsidR="00F75C26">
        <w:t xml:space="preserve">de mercado </w:t>
      </w:r>
      <w:r>
        <w:t>a u</w:t>
      </w:r>
      <w:r w:rsidR="00B34126">
        <w:t>suarios atendidos por un comercializador sin saldos de la opción tarifaria</w:t>
      </w:r>
      <w:r w:rsidR="00B1503B">
        <w:t xml:space="preserve">, dado que estos usuarios ya debieron pagar los saldos de opción tarifaria </w:t>
      </w:r>
      <w:r w:rsidR="00A11B9B">
        <w:t>en su respectivo comercializador</w:t>
      </w:r>
      <w:r w:rsidR="00CA0D38">
        <w:t>.</w:t>
      </w:r>
    </w:p>
    <w:p w14:paraId="4F07CE83" w14:textId="20AA8D64" w:rsidR="00F75C26" w:rsidRDefault="00CA0D38" w:rsidP="00AE31B8">
      <w:r>
        <w:t xml:space="preserve">Dado que se entiende que son cálculos </w:t>
      </w:r>
      <w:r w:rsidR="00926217">
        <w:t>que podrían causar inquietudes al interior de los comercial</w:t>
      </w:r>
      <w:r w:rsidR="00750F5C">
        <w:t>i</w:t>
      </w:r>
      <w:r w:rsidR="00926217">
        <w:t>zadores, se establece que sea el Comité Asesor de Comercialización,</w:t>
      </w:r>
      <w:r w:rsidR="00580EB7">
        <w:t xml:space="preserve"> </w:t>
      </w:r>
      <w:r w:rsidR="00B96A3D">
        <w:t>CAC, donde</w:t>
      </w:r>
      <w:r w:rsidR="00926217">
        <w:t xml:space="preserve"> se encuentra la representación de</w:t>
      </w:r>
      <w:r w:rsidR="00750F5C">
        <w:t xml:space="preserve"> </w:t>
      </w:r>
      <w:r w:rsidR="00926217">
        <w:t>los comercial</w:t>
      </w:r>
      <w:r w:rsidR="00750F5C">
        <w:t>i</w:t>
      </w:r>
      <w:r w:rsidR="00926217">
        <w:t xml:space="preserve">zadores del país, </w:t>
      </w:r>
      <w:r w:rsidR="00750F5C">
        <w:t>donde salga la propuesta de cálculo del costo de opción tarifaria unificado</w:t>
      </w:r>
      <w:r w:rsidR="000667D4">
        <w:t>,</w:t>
      </w:r>
      <w:r w:rsidR="00750F5C">
        <w:t xml:space="preserve"> </w:t>
      </w:r>
      <w:r w:rsidR="00580EB7">
        <w:t>así como del método para la liquidación y distribución de recursos.</w:t>
      </w:r>
    </w:p>
    <w:p w14:paraId="4BB02BA1" w14:textId="41471A8B" w:rsidR="00F75C26" w:rsidRDefault="00FF7215" w:rsidP="007E0FC1">
      <w:pPr>
        <w:spacing w:after="240"/>
      </w:pPr>
      <w:r>
        <w:t xml:space="preserve">Las propuestas del CAC deberán ser enviadas a la CREG para revisión y publicación a través de circular </w:t>
      </w:r>
      <w:r w:rsidR="00B96A3D">
        <w:t>para su efectiva aplicación.</w:t>
      </w:r>
    </w:p>
    <w:p w14:paraId="29EA2B6D" w14:textId="77777777" w:rsidR="00B96A3D" w:rsidRDefault="00AE31B8" w:rsidP="009F4139">
      <w:pPr>
        <w:spacing w:before="240" w:after="240"/>
        <w:rPr>
          <w:b/>
          <w:bCs/>
        </w:rPr>
      </w:pPr>
      <w:r w:rsidRPr="00B96A3D">
        <w:rPr>
          <w:b/>
          <w:bCs/>
        </w:rPr>
        <w:t xml:space="preserve">Tasa Reconocida </w:t>
      </w:r>
      <w:r w:rsidR="00FC456B" w:rsidRPr="00B96A3D">
        <w:rPr>
          <w:b/>
          <w:bCs/>
        </w:rPr>
        <w:t>por los Saldos de la Opción Tarifaria</w:t>
      </w:r>
    </w:p>
    <w:p w14:paraId="337CD86D" w14:textId="27A010D0" w:rsidR="004C3D22" w:rsidRDefault="00B96A3D" w:rsidP="00B96A3D">
      <w:r w:rsidRPr="007E0FC1">
        <w:t>S</w:t>
      </w:r>
      <w:r w:rsidR="007D56AD">
        <w:t>egún los comen</w:t>
      </w:r>
      <w:r w:rsidR="00657ECB">
        <w:t xml:space="preserve">tarios de los agentes, los créditos con </w:t>
      </w:r>
      <w:r w:rsidR="0018090F">
        <w:t xml:space="preserve">la tasa propuesta </w:t>
      </w:r>
      <w:r w:rsidR="00393975">
        <w:t xml:space="preserve">de IBR + 2 puntos </w:t>
      </w:r>
      <w:r w:rsidR="0018090F">
        <w:t>solo</w:t>
      </w:r>
      <w:r w:rsidR="00393975">
        <w:t xml:space="preserve"> cubren los préstamos que otorgue Findeter </w:t>
      </w:r>
      <w:r w:rsidR="0087680A">
        <w:t>quien ha anunciado recursos disponibles para aproximadamente e</w:t>
      </w:r>
      <w:r w:rsidR="0018090F">
        <w:t>l 20% de</w:t>
      </w:r>
      <w:r w:rsidR="0087680A">
        <w:t>l</w:t>
      </w:r>
      <w:r w:rsidR="0018090F">
        <w:t xml:space="preserve"> </w:t>
      </w:r>
      <w:r w:rsidR="0087680A">
        <w:t xml:space="preserve">total de los saldos, </w:t>
      </w:r>
      <w:r w:rsidR="0018090F">
        <w:t xml:space="preserve">lo cual ocasiona que los comercializadores deban ir al mercado </w:t>
      </w:r>
      <w:r w:rsidR="000441A9">
        <w:t>a buscar financiamiento para el capital restante</w:t>
      </w:r>
      <w:r w:rsidR="001058CD">
        <w:t>,</w:t>
      </w:r>
      <w:r w:rsidR="000441A9">
        <w:t xml:space="preserve"> con tasas de </w:t>
      </w:r>
      <w:r w:rsidR="001058CD">
        <w:t>interés que están por encima de la tasa de la propuesta</w:t>
      </w:r>
      <w:r w:rsidR="00AE31B8">
        <w:t>.</w:t>
      </w:r>
      <w:r w:rsidR="005D7479">
        <w:t xml:space="preserve"> </w:t>
      </w:r>
    </w:p>
    <w:p w14:paraId="20632BF9" w14:textId="4D2C3AB9" w:rsidR="004811BA" w:rsidRDefault="005D7479" w:rsidP="007E0FC1">
      <w:pPr>
        <w:spacing w:after="240"/>
      </w:pPr>
      <w:r>
        <w:t xml:space="preserve">En ese sentido y con el </w:t>
      </w:r>
      <w:r w:rsidR="004C3D22">
        <w:t>objeto</w:t>
      </w:r>
      <w:r>
        <w:t xml:space="preserve"> de reconocer las tasas de interés</w:t>
      </w:r>
      <w:r w:rsidR="004C3D22">
        <w:t xml:space="preserve"> </w:t>
      </w:r>
      <w:r w:rsidR="00A72AFE">
        <w:t xml:space="preserve">que se aproximen </w:t>
      </w:r>
      <w:r>
        <w:t>a las que enfrentan los comercializadores</w:t>
      </w:r>
      <w:r w:rsidR="006844CC">
        <w:t xml:space="preserve"> para financiar los saldos, </w:t>
      </w:r>
      <w:r w:rsidR="00A72AFE">
        <w:t>pero que</w:t>
      </w:r>
      <w:r w:rsidR="00CC3AAE">
        <w:t xml:space="preserve"> representen tasas eficientes para </w:t>
      </w:r>
      <w:r w:rsidR="0026713B">
        <w:t>traslad</w:t>
      </w:r>
      <w:r w:rsidR="00CC3AAE">
        <w:t xml:space="preserve">ar </w:t>
      </w:r>
      <w:r w:rsidR="0026713B">
        <w:t>a los usuarios</w:t>
      </w:r>
      <w:r w:rsidR="00CC3AAE">
        <w:t>,</w:t>
      </w:r>
      <w:r w:rsidR="00275B96">
        <w:t xml:space="preserve"> se incluye </w:t>
      </w:r>
      <w:r w:rsidR="00AD574C">
        <w:t xml:space="preserve">en </w:t>
      </w:r>
      <w:r w:rsidR="00275B96">
        <w:t xml:space="preserve">la tasa de interés por los saldos de la opción tarifaria la ponderación de las tasas de los créditos a los que pueda acceder el </w:t>
      </w:r>
      <w:r w:rsidR="00706DDA">
        <w:t xml:space="preserve">comercializador por el saldo de cada </w:t>
      </w:r>
      <w:r w:rsidR="007E661A">
        <w:t>uno</w:t>
      </w:r>
      <w:r w:rsidR="00AD574C">
        <w:t xml:space="preserve">, manteniendo </w:t>
      </w:r>
      <w:r w:rsidR="00CC3AAE">
        <w:t xml:space="preserve">un </w:t>
      </w:r>
      <w:r w:rsidR="00FC00B5">
        <w:t>l</w:t>
      </w:r>
      <w:r w:rsidR="00CC3AAE">
        <w:t>í</w:t>
      </w:r>
      <w:r w:rsidR="00FC00B5">
        <w:t>mite</w:t>
      </w:r>
      <w:r w:rsidR="00CC3AAE">
        <w:t xml:space="preserve"> igual a la tasa </w:t>
      </w:r>
      <w:r w:rsidR="00771D4E">
        <w:t xml:space="preserve">a la que se venían reconociendo los saldos de la opción tarifaria de que trata la Resolución CREG 012 </w:t>
      </w:r>
      <w:r w:rsidR="00FC00B5">
        <w:t>de 2020.</w:t>
      </w:r>
    </w:p>
    <w:p w14:paraId="4CC271A8" w14:textId="222518E4" w:rsidR="004811BA" w:rsidRDefault="004811BA" w:rsidP="009F4139">
      <w:pPr>
        <w:spacing w:before="240" w:after="240"/>
        <w:rPr>
          <w:b/>
          <w:bCs/>
        </w:rPr>
      </w:pPr>
      <w:r>
        <w:rPr>
          <w:b/>
          <w:bCs/>
        </w:rPr>
        <w:t>C</w:t>
      </w:r>
      <w:r w:rsidR="00C741AE" w:rsidRPr="00C741AE">
        <w:rPr>
          <w:b/>
          <w:bCs/>
        </w:rPr>
        <w:t>ondición para iniciar con el cobro del COT</w:t>
      </w:r>
    </w:p>
    <w:p w14:paraId="1D1D078E" w14:textId="0E7FCB3F" w:rsidR="00522C6A" w:rsidRDefault="00C741AE" w:rsidP="004811BA">
      <w:r>
        <w:t xml:space="preserve">La propuesta inicial </w:t>
      </w:r>
      <w:r w:rsidR="00CF72F6">
        <w:t>con</w:t>
      </w:r>
      <w:r w:rsidR="005D181F">
        <w:t>sideraba una condición para que un comercializador pudiese acceder a la finalización de la opción tarifaria e inicio del cobro de la variable COT</w:t>
      </w:r>
      <w:r w:rsidR="00CE2589">
        <w:t xml:space="preserve">. </w:t>
      </w:r>
    </w:p>
    <w:p w14:paraId="79F3C167" w14:textId="332E835C" w:rsidR="003F7B26" w:rsidRDefault="00CE2589" w:rsidP="004811BA">
      <w:r>
        <w:lastRenderedPageBreak/>
        <w:t xml:space="preserve">Dicha condición </w:t>
      </w:r>
      <w:r w:rsidR="00522C6A">
        <w:t xml:space="preserve">consistía en </w:t>
      </w:r>
      <w:r>
        <w:t xml:space="preserve">que la suma de </w:t>
      </w:r>
      <w:r w:rsidR="001C7C9E">
        <w:t xml:space="preserve">la brecha </w:t>
      </w:r>
      <w:r>
        <w:t>(</w:t>
      </w:r>
      <w:r w:rsidR="001C7C9E">
        <w:t>diferencia</w:t>
      </w:r>
      <w:r>
        <w:t xml:space="preserve"> entre el costo unitario de prestación del servicio aplicado y el calculado con base en la resolución CREG 119 de 2007</w:t>
      </w:r>
      <w:r w:rsidR="001C7C9E">
        <w:t xml:space="preserve">) y la variable COT </w:t>
      </w:r>
      <w:r w:rsidR="00D123ED">
        <w:t xml:space="preserve">(costo de opción tarifaria mensual calculado con base </w:t>
      </w:r>
      <w:r w:rsidR="00344DC0">
        <w:t xml:space="preserve">en las condiciones iniciales de saldo, tasa y plazo) no podía superar el 6% del costo unitario cobrado, esto con el fin de no trasladar a los usuarios aumentos superiores </w:t>
      </w:r>
      <w:r w:rsidR="003F7B26">
        <w:t>en las tarifas</w:t>
      </w:r>
      <w:r w:rsidR="00DA62E5">
        <w:t xml:space="preserve"> por este motivo, a la vez que se pudiese viabilizar</w:t>
      </w:r>
      <w:r w:rsidR="00481F59">
        <w:t xml:space="preserve"> la finalización de la opción tarifaria y la recuperación de los saldos</w:t>
      </w:r>
      <w:r w:rsidR="003F7B26">
        <w:t>.</w:t>
      </w:r>
    </w:p>
    <w:p w14:paraId="688895C5" w14:textId="18EB5FCF" w:rsidR="00190C5B" w:rsidRDefault="00C93856" w:rsidP="004811BA">
      <w:r>
        <w:t>A</w:t>
      </w:r>
      <w:r w:rsidR="005C36DB">
        <w:t xml:space="preserve"> juicio de varios agentes, </w:t>
      </w:r>
      <w:r>
        <w:t xml:space="preserve">dicha condición </w:t>
      </w:r>
      <w:r w:rsidR="007E72BE">
        <w:t>exclu</w:t>
      </w:r>
      <w:r w:rsidR="009A3000">
        <w:t>ía a algunos de ellos para poder finalizar la opción tarifaria e iniciar el cobro del saldo</w:t>
      </w:r>
      <w:r w:rsidR="00B569B6">
        <w:t>, dad</w:t>
      </w:r>
      <w:r w:rsidR="006D5C54">
        <w:t>a</w:t>
      </w:r>
      <w:r w:rsidR="00B569B6">
        <w:t xml:space="preserve">s las posibles variaciones de tarifas como consecuencia de los costos </w:t>
      </w:r>
      <w:r w:rsidR="006D5C54">
        <w:t>d</w:t>
      </w:r>
      <w:r w:rsidR="00B569B6">
        <w:t>e generación en el fenómeno del niño</w:t>
      </w:r>
      <w:r w:rsidR="006D5C54">
        <w:t>.</w:t>
      </w:r>
    </w:p>
    <w:p w14:paraId="4F4D9507" w14:textId="77777777" w:rsidR="005E1086" w:rsidRDefault="005E1086" w:rsidP="005E1086">
      <w:r>
        <w:t>Es de recordar que el límite del 6% de variación máxima del CU propuesto para iniciar el esquema se realizó con base en el comportamiento de las tarifas a la fecha de consulta (septiembre de 2023).</w:t>
      </w:r>
    </w:p>
    <w:p w14:paraId="2BED212D" w14:textId="64B15BDE" w:rsidR="00677BF4" w:rsidRDefault="006D5C54" w:rsidP="004E6C4A">
      <w:r>
        <w:t xml:space="preserve">Al respecto, </w:t>
      </w:r>
      <w:r w:rsidR="00A335DA">
        <w:t>para la revisión de la condición inicial mencionada en este aparte</w:t>
      </w:r>
      <w:r w:rsidR="0042107F">
        <w:t xml:space="preserve">, </w:t>
      </w:r>
      <w:r>
        <w:t xml:space="preserve">además del análisis de los </w:t>
      </w:r>
      <w:r w:rsidR="00993793">
        <w:t>comentarios de los agentes</w:t>
      </w:r>
      <w:r w:rsidR="004E6C4A">
        <w:t xml:space="preserve">, se revisaron </w:t>
      </w:r>
      <w:r w:rsidR="00993793">
        <w:t>l</w:t>
      </w:r>
      <w:r w:rsidR="00127469">
        <w:t xml:space="preserve">as variaciones </w:t>
      </w:r>
      <w:r w:rsidR="004630BC">
        <w:t>en</w:t>
      </w:r>
      <w:r w:rsidR="00127469">
        <w:t xml:space="preserve"> las tarifas aplicadas a los usuarios en los meses de octubre y noviembre de 2023, </w:t>
      </w:r>
      <w:r w:rsidR="00677BF4">
        <w:t>como se presentan a continuación:</w:t>
      </w:r>
    </w:p>
    <w:p w14:paraId="0EF14F06" w14:textId="77777777" w:rsidR="005E7D91" w:rsidRDefault="005E7D91" w:rsidP="004E6C4A"/>
    <w:p w14:paraId="34393B53" w14:textId="73EF484F" w:rsidR="005E7D91" w:rsidRPr="00C85F0B" w:rsidRDefault="00C85F0B" w:rsidP="00C85F0B">
      <w:pPr>
        <w:jc w:val="center"/>
        <w:rPr>
          <w:i/>
          <w:iCs/>
          <w:color w:val="44546A" w:themeColor="text2"/>
          <w:sz w:val="18"/>
          <w:szCs w:val="18"/>
        </w:rPr>
      </w:pPr>
      <w:r w:rsidRPr="00C85F0B">
        <w:rPr>
          <w:i/>
          <w:iCs/>
          <w:color w:val="44546A" w:themeColor="text2"/>
          <w:sz w:val="18"/>
          <w:szCs w:val="18"/>
        </w:rPr>
        <w:t xml:space="preserve">Tabla </w:t>
      </w:r>
      <w:r w:rsidRPr="00C85F0B">
        <w:rPr>
          <w:i/>
          <w:iCs/>
          <w:color w:val="44546A" w:themeColor="text2"/>
          <w:sz w:val="18"/>
          <w:szCs w:val="18"/>
        </w:rPr>
        <w:fldChar w:fldCharType="begin"/>
      </w:r>
      <w:r w:rsidRPr="00C85F0B">
        <w:rPr>
          <w:i/>
          <w:iCs/>
          <w:color w:val="44546A" w:themeColor="text2"/>
          <w:sz w:val="18"/>
          <w:szCs w:val="18"/>
        </w:rPr>
        <w:instrText xml:space="preserve"> SEQ Tabla \* ARABIC </w:instrText>
      </w:r>
      <w:r w:rsidRPr="00C85F0B">
        <w:rPr>
          <w:i/>
          <w:iCs/>
          <w:color w:val="44546A" w:themeColor="text2"/>
          <w:sz w:val="18"/>
          <w:szCs w:val="18"/>
        </w:rPr>
        <w:fldChar w:fldCharType="separate"/>
      </w:r>
      <w:r w:rsidRPr="00C85F0B">
        <w:rPr>
          <w:i/>
          <w:iCs/>
          <w:color w:val="44546A" w:themeColor="text2"/>
          <w:sz w:val="18"/>
          <w:szCs w:val="18"/>
        </w:rPr>
        <w:t>3</w:t>
      </w:r>
      <w:r w:rsidRPr="00C85F0B">
        <w:rPr>
          <w:i/>
          <w:iCs/>
          <w:color w:val="44546A" w:themeColor="text2"/>
          <w:sz w:val="18"/>
          <w:szCs w:val="18"/>
        </w:rPr>
        <w:fldChar w:fldCharType="end"/>
      </w:r>
      <w:r w:rsidRPr="00C85F0B">
        <w:rPr>
          <w:i/>
          <w:iCs/>
          <w:color w:val="44546A" w:themeColor="text2"/>
          <w:sz w:val="18"/>
          <w:szCs w:val="18"/>
        </w:rPr>
        <w:t xml:space="preserve"> </w:t>
      </w:r>
      <w:r w:rsidR="005E7D91" w:rsidRPr="00C85F0B">
        <w:rPr>
          <w:i/>
          <w:iCs/>
          <w:color w:val="44546A" w:themeColor="text2"/>
          <w:sz w:val="18"/>
          <w:szCs w:val="18"/>
        </w:rPr>
        <w:t xml:space="preserve">Costo unitario de nivel de tensión 1 calculado y aplicado </w:t>
      </w:r>
      <w:r w:rsidR="007703D5" w:rsidRPr="00C85F0B">
        <w:rPr>
          <w:i/>
          <w:iCs/>
          <w:color w:val="44546A" w:themeColor="text2"/>
          <w:sz w:val="18"/>
          <w:szCs w:val="18"/>
        </w:rPr>
        <w:t>entre septiembre y noviembre de 2023.</w:t>
      </w:r>
    </w:p>
    <w:p w14:paraId="034BF248" w14:textId="3294A8B7" w:rsidR="00677BF4" w:rsidRDefault="00694465" w:rsidP="004E6C4A">
      <w:r w:rsidRPr="00694465">
        <w:rPr>
          <w:noProof/>
        </w:rPr>
        <w:drawing>
          <wp:inline distT="0" distB="0" distL="0" distR="0" wp14:anchorId="2FA4A833" wp14:editId="75E7FBA2">
            <wp:extent cx="5613400" cy="3868420"/>
            <wp:effectExtent l="0" t="0" r="6350" b="0"/>
            <wp:docPr id="1722269317" name="Imagen 1722269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13400" cy="3868420"/>
                    </a:xfrm>
                    <a:prstGeom prst="rect">
                      <a:avLst/>
                    </a:prstGeom>
                    <a:noFill/>
                    <a:ln>
                      <a:noFill/>
                    </a:ln>
                  </pic:spPr>
                </pic:pic>
              </a:graphicData>
            </a:graphic>
          </wp:inline>
        </w:drawing>
      </w:r>
    </w:p>
    <w:p w14:paraId="56BF3128" w14:textId="6DA6F22B" w:rsidR="00677BF4" w:rsidRPr="00E32035" w:rsidRDefault="007703D5" w:rsidP="004E6C4A">
      <w:pPr>
        <w:rPr>
          <w:sz w:val="18"/>
          <w:szCs w:val="18"/>
        </w:rPr>
      </w:pPr>
      <w:r w:rsidRPr="00E32035">
        <w:rPr>
          <w:sz w:val="18"/>
          <w:szCs w:val="18"/>
        </w:rPr>
        <w:t xml:space="preserve">Fuente: </w:t>
      </w:r>
      <w:r w:rsidR="00957DDE" w:rsidRPr="00E32035">
        <w:rPr>
          <w:sz w:val="18"/>
          <w:szCs w:val="18"/>
        </w:rPr>
        <w:t>Elaboración propia con base en datos disponibles en el SUI</w:t>
      </w:r>
      <w:r w:rsidR="00617787">
        <w:rPr>
          <w:sz w:val="18"/>
          <w:szCs w:val="18"/>
        </w:rPr>
        <w:t xml:space="preserve"> a la fecha de análisis </w:t>
      </w:r>
    </w:p>
    <w:p w14:paraId="0F2F3935" w14:textId="77777777" w:rsidR="004453F7" w:rsidRDefault="0042107F" w:rsidP="0042107F">
      <w:r>
        <w:lastRenderedPageBreak/>
        <w:t xml:space="preserve">Las variaciones de las tarifas a partir de octubre de 2023 se presentaron como efecto de la </w:t>
      </w:r>
      <w:r w:rsidR="004453F7">
        <w:t xml:space="preserve">vigencia de </w:t>
      </w:r>
      <w:r>
        <w:t xml:space="preserve">la normatividad establecida en la Resolución CREG 101 031 de 2022 donde el aumento de las tarifas estaba sujeto a la variación del IPC </w:t>
      </w:r>
      <w:r w:rsidR="004453F7">
        <w:t>hasta octubre de 2023.</w:t>
      </w:r>
    </w:p>
    <w:p w14:paraId="2DD71E0B" w14:textId="4959BB6C" w:rsidR="00677BF4" w:rsidRDefault="004E05BF" w:rsidP="004E6C4A">
      <w:r>
        <w:t>En la anterior tabla se pueden observar varios aspectos:</w:t>
      </w:r>
    </w:p>
    <w:p w14:paraId="2777CD27" w14:textId="2E03E605" w:rsidR="00677BF4" w:rsidRDefault="00802C8D" w:rsidP="00E32035">
      <w:pPr>
        <w:pStyle w:val="Prrafodelista"/>
        <w:numPr>
          <w:ilvl w:val="0"/>
          <w:numId w:val="34"/>
        </w:numPr>
        <w:ind w:left="426" w:hanging="426"/>
      </w:pPr>
      <w:r>
        <w:t>Las tarifas de varios mercados tuvieron incrementos superiores al 1</w:t>
      </w:r>
      <w:r w:rsidR="00836424">
        <w:t>1</w:t>
      </w:r>
      <w:r>
        <w:t xml:space="preserve">% </w:t>
      </w:r>
      <w:r w:rsidR="00275C7B">
        <w:t xml:space="preserve">entre septiembre y noviembre, </w:t>
      </w:r>
      <w:r w:rsidR="00836424">
        <w:t>superior al porcentaje de inflación de los últimos doce meses</w:t>
      </w:r>
      <w:r w:rsidR="00275C7B">
        <w:t xml:space="preserve"> </w:t>
      </w:r>
    </w:p>
    <w:p w14:paraId="37A480B8" w14:textId="0E627D71" w:rsidR="003C6B2B" w:rsidRDefault="00BD4739" w:rsidP="00E32035">
      <w:pPr>
        <w:pStyle w:val="Prrafodelista"/>
        <w:numPr>
          <w:ilvl w:val="0"/>
          <w:numId w:val="34"/>
        </w:numPr>
        <w:ind w:left="426" w:hanging="426"/>
      </w:pPr>
      <w:r>
        <w:t xml:space="preserve">Mientras en septiembre menos de la mitad de los mercados presentaban brecha positiva </w:t>
      </w:r>
      <w:r w:rsidR="00F27F9F">
        <w:t>(</w:t>
      </w:r>
      <w:r>
        <w:t xml:space="preserve">CU calculado </w:t>
      </w:r>
      <w:r w:rsidR="00F27F9F">
        <w:t xml:space="preserve">inferior al aplicado), en noviembre la </w:t>
      </w:r>
      <w:r w:rsidR="003C6B2B">
        <w:t xml:space="preserve">brecha en la </w:t>
      </w:r>
      <w:r w:rsidR="00F27F9F">
        <w:t xml:space="preserve">mayoría de los mercados ya se </w:t>
      </w:r>
      <w:r w:rsidR="003C6B2B">
        <w:t>había cerrado.</w:t>
      </w:r>
    </w:p>
    <w:p w14:paraId="6758494C" w14:textId="59CF5FF9" w:rsidR="00275C7B" w:rsidRDefault="0072491A" w:rsidP="00E32035">
      <w:pPr>
        <w:pStyle w:val="Prrafodelista"/>
        <w:numPr>
          <w:ilvl w:val="0"/>
          <w:numId w:val="34"/>
        </w:numPr>
        <w:ind w:left="426" w:hanging="426"/>
      </w:pPr>
      <w:r>
        <w:t>La mayoría de c</w:t>
      </w:r>
      <w:r w:rsidR="00CD21A7">
        <w:t xml:space="preserve">omercializadores que aumentaron </w:t>
      </w:r>
      <w:r w:rsidR="007140F6">
        <w:t xml:space="preserve">por encima del 10% entre septiembre y octubre, </w:t>
      </w:r>
      <w:r w:rsidR="00F21F4F">
        <w:t xml:space="preserve">entre octubre y noviembre presentaron aumentos inferiores </w:t>
      </w:r>
      <w:r w:rsidR="00617787">
        <w:t xml:space="preserve">al </w:t>
      </w:r>
      <w:r w:rsidR="00B53013">
        <w:t>1</w:t>
      </w:r>
      <w:r w:rsidR="00617787">
        <w:t>%</w:t>
      </w:r>
      <w:r w:rsidR="00B53013">
        <w:t>.</w:t>
      </w:r>
    </w:p>
    <w:p w14:paraId="46488791" w14:textId="4533FE6B" w:rsidR="00B53013" w:rsidRDefault="00753360" w:rsidP="004E6C4A">
      <w:r>
        <w:t xml:space="preserve">Entendiendo que estos comportamientos en las tarifas son producto de </w:t>
      </w:r>
      <w:r w:rsidR="00A73A5D">
        <w:t xml:space="preserve">la necesidad de recuperación de saldos por parte de los prestadores, </w:t>
      </w:r>
      <w:r w:rsidR="00AB13C4">
        <w:t>es necesario encontrar un balance adecuado para que los usuarios no se sigan viendo enfrentados a grandes aumentos tarifarios por este efecto.</w:t>
      </w:r>
    </w:p>
    <w:p w14:paraId="09E7B756" w14:textId="23FA2F70" w:rsidR="00997418" w:rsidRDefault="003955CD" w:rsidP="007E0FC1">
      <w:pPr>
        <w:spacing w:after="240"/>
      </w:pPr>
      <w:r>
        <w:t xml:space="preserve">Dadas las condiciones actuales, donde </w:t>
      </w:r>
      <w:r w:rsidR="00A37EBC">
        <w:t xml:space="preserve">la mayoría de comercializadores del país han cerrado la brecha tarifaria, contrario a lo solicitado por los agentes en sus comentarios, </w:t>
      </w:r>
      <w:r w:rsidR="00D02279">
        <w:t xml:space="preserve">se encuentra necesario </w:t>
      </w:r>
      <w:r w:rsidR="00997418">
        <w:t xml:space="preserve">disminuir a 3% el límite </w:t>
      </w:r>
      <w:r w:rsidR="00D02279">
        <w:t xml:space="preserve">para </w:t>
      </w:r>
      <w:r w:rsidR="00997418">
        <w:t>el inicio del esquema propuesto.</w:t>
      </w:r>
    </w:p>
    <w:p w14:paraId="1B52117F" w14:textId="77777777" w:rsidR="004C0B80" w:rsidRPr="00E32035" w:rsidRDefault="004C0B80" w:rsidP="009F4139">
      <w:pPr>
        <w:spacing w:before="240" w:after="240"/>
        <w:rPr>
          <w:b/>
          <w:bCs/>
        </w:rPr>
      </w:pPr>
      <w:r w:rsidRPr="00E32035">
        <w:rPr>
          <w:b/>
          <w:bCs/>
        </w:rPr>
        <w:t>Cambio en el método para quienes no cumplan la condición inicial</w:t>
      </w:r>
    </w:p>
    <w:p w14:paraId="097CD304" w14:textId="32CCCB45" w:rsidR="00591F29" w:rsidRDefault="00CB7398" w:rsidP="004E6C4A">
      <w:r>
        <w:t xml:space="preserve">En </w:t>
      </w:r>
      <w:r w:rsidR="0097366F">
        <w:t xml:space="preserve">el proyecto de resolución CREG </w:t>
      </w:r>
      <w:r w:rsidR="00861B01">
        <w:t>701 023 de 2023</w:t>
      </w:r>
      <w:r w:rsidR="00504634">
        <w:t xml:space="preserve"> se propuso que aquellos comercializadores que no superaran la condición inicial (aumento máximo de 6% que en la resolución definitiva cambia a máximo 3%) </w:t>
      </w:r>
      <w:r w:rsidR="00591F29">
        <w:t xml:space="preserve">no podían iniciar el esquema y estaban sujetos a continuar con la aplicación de la Resolución CREG 012 de 2020 hasta alcanzar </w:t>
      </w:r>
      <w:r w:rsidR="00435E40">
        <w:t>dicha</w:t>
      </w:r>
      <w:r w:rsidR="00591F29">
        <w:t xml:space="preserve"> condición de inicio.</w:t>
      </w:r>
    </w:p>
    <w:p w14:paraId="22DC42B8" w14:textId="6525C43C" w:rsidR="00675FF8" w:rsidRDefault="00435E40" w:rsidP="004E6C4A">
      <w:r>
        <w:t>Considerando que todos los comercializadores deben tener la opción de iniciar el esquema de pago de la opción tarifaria</w:t>
      </w:r>
      <w:r w:rsidR="0070379F">
        <w:t xml:space="preserve"> sin que implique aumentos superiores al 3% </w:t>
      </w:r>
      <w:r w:rsidR="002573C2">
        <w:t>en las tarifas del servicio</w:t>
      </w:r>
      <w:r w:rsidR="00C5705A">
        <w:t xml:space="preserve">, para aquellos mercados donde no se cumpla la condición mencionada se estableció otro perfil de pagos que considera, </w:t>
      </w:r>
      <w:r w:rsidR="00983A9B">
        <w:t>para el primer año</w:t>
      </w:r>
      <w:r w:rsidR="00C5705A">
        <w:t xml:space="preserve">, </w:t>
      </w:r>
      <w:r w:rsidR="00983A9B">
        <w:t xml:space="preserve">el cálculo de la variable COT </w:t>
      </w:r>
      <w:r w:rsidR="00C95BD4">
        <w:t xml:space="preserve">en función del máximo incremento posible (3% del </w:t>
      </w:r>
      <w:r w:rsidR="00AC59F2">
        <w:t>CU</w:t>
      </w:r>
      <w:r w:rsidR="00C95BD4">
        <w:t xml:space="preserve"> aplicado) </w:t>
      </w:r>
      <w:r w:rsidR="00AC59F2">
        <w:t>pudiendo aumentar dicha recuperación de forma anual</w:t>
      </w:r>
      <w:r w:rsidR="002E3D9E">
        <w:t xml:space="preserve">, bajo un perfil de pagos de </w:t>
      </w:r>
      <w:r w:rsidR="00983A9B">
        <w:t xml:space="preserve">gradiente </w:t>
      </w:r>
      <w:r w:rsidR="002E3D9E">
        <w:t>aritmético que le permita a esos prestadores la recuperación de sus saldos en un máximo de diez (10) años</w:t>
      </w:r>
      <w:r w:rsidR="003C49B0">
        <w:t xml:space="preserve"> cómo se presenta </w:t>
      </w:r>
      <w:r w:rsidR="00675FF8">
        <w:t>en la siguiente gráfica:</w:t>
      </w:r>
    </w:p>
    <w:p w14:paraId="3B1E56A2" w14:textId="77777777" w:rsidR="00675FF8" w:rsidRDefault="00675FF8" w:rsidP="004E6C4A"/>
    <w:p w14:paraId="260EC279" w14:textId="4E2146C3" w:rsidR="00A16532" w:rsidRPr="0003489B" w:rsidRDefault="00C85F0B" w:rsidP="0003489B">
      <w:pPr>
        <w:keepNext/>
        <w:jc w:val="center"/>
        <w:rPr>
          <w:i/>
          <w:iCs/>
          <w:color w:val="44546A" w:themeColor="text2"/>
          <w:sz w:val="18"/>
          <w:szCs w:val="18"/>
        </w:rPr>
      </w:pPr>
      <w:r w:rsidRPr="0003489B">
        <w:rPr>
          <w:i/>
          <w:iCs/>
          <w:color w:val="44546A" w:themeColor="text2"/>
          <w:sz w:val="18"/>
          <w:szCs w:val="18"/>
        </w:rPr>
        <w:lastRenderedPageBreak/>
        <w:t xml:space="preserve">Gráfica </w:t>
      </w:r>
      <w:r w:rsidRPr="0003489B">
        <w:rPr>
          <w:i/>
          <w:iCs/>
          <w:color w:val="44546A" w:themeColor="text2"/>
          <w:sz w:val="18"/>
          <w:szCs w:val="18"/>
        </w:rPr>
        <w:fldChar w:fldCharType="begin"/>
      </w:r>
      <w:r w:rsidRPr="0003489B">
        <w:rPr>
          <w:i/>
          <w:iCs/>
          <w:color w:val="44546A" w:themeColor="text2"/>
          <w:sz w:val="18"/>
          <w:szCs w:val="18"/>
        </w:rPr>
        <w:instrText xml:space="preserve"> SEQ Gráfica \* ARABIC </w:instrText>
      </w:r>
      <w:r w:rsidRPr="0003489B">
        <w:rPr>
          <w:i/>
          <w:iCs/>
          <w:color w:val="44546A" w:themeColor="text2"/>
          <w:sz w:val="18"/>
          <w:szCs w:val="18"/>
        </w:rPr>
        <w:fldChar w:fldCharType="separate"/>
      </w:r>
      <w:r w:rsidRPr="0003489B">
        <w:rPr>
          <w:i/>
          <w:iCs/>
          <w:color w:val="44546A" w:themeColor="text2"/>
          <w:sz w:val="18"/>
          <w:szCs w:val="18"/>
        </w:rPr>
        <w:t>15</w:t>
      </w:r>
      <w:r w:rsidRPr="0003489B">
        <w:rPr>
          <w:i/>
          <w:iCs/>
          <w:color w:val="44546A" w:themeColor="text2"/>
          <w:sz w:val="18"/>
          <w:szCs w:val="18"/>
        </w:rPr>
        <w:fldChar w:fldCharType="end"/>
      </w:r>
      <w:r w:rsidRPr="0003489B">
        <w:rPr>
          <w:i/>
          <w:iCs/>
          <w:color w:val="44546A" w:themeColor="text2"/>
          <w:sz w:val="18"/>
          <w:szCs w:val="18"/>
        </w:rPr>
        <w:t xml:space="preserve"> </w:t>
      </w:r>
      <w:r w:rsidR="00050C4E" w:rsidRPr="0003489B">
        <w:rPr>
          <w:i/>
          <w:iCs/>
          <w:color w:val="44546A" w:themeColor="text2"/>
          <w:sz w:val="18"/>
          <w:szCs w:val="18"/>
        </w:rPr>
        <w:t>Ejemplo del sistema de p</w:t>
      </w:r>
      <w:r w:rsidR="00A851C3" w:rsidRPr="0003489B">
        <w:rPr>
          <w:i/>
          <w:iCs/>
          <w:color w:val="44546A" w:themeColor="text2"/>
          <w:sz w:val="18"/>
          <w:szCs w:val="18"/>
        </w:rPr>
        <w:t xml:space="preserve">ago del saldo </w:t>
      </w:r>
      <w:r w:rsidR="00404986" w:rsidRPr="0003489B">
        <w:rPr>
          <w:i/>
          <w:iCs/>
          <w:color w:val="44546A" w:themeColor="text2"/>
          <w:sz w:val="18"/>
          <w:szCs w:val="18"/>
        </w:rPr>
        <w:t>-</w:t>
      </w:r>
      <w:r w:rsidR="00A851C3" w:rsidRPr="0003489B">
        <w:rPr>
          <w:i/>
          <w:iCs/>
          <w:color w:val="44546A" w:themeColor="text2"/>
          <w:sz w:val="18"/>
          <w:szCs w:val="18"/>
        </w:rPr>
        <w:t xml:space="preserve"> </w:t>
      </w:r>
      <w:r w:rsidR="00A16532" w:rsidRPr="0003489B">
        <w:rPr>
          <w:i/>
          <w:iCs/>
          <w:color w:val="44546A" w:themeColor="text2"/>
          <w:sz w:val="18"/>
          <w:szCs w:val="18"/>
        </w:rPr>
        <w:t xml:space="preserve">gradiente </w:t>
      </w:r>
      <w:r w:rsidR="00F8152D" w:rsidRPr="0003489B">
        <w:rPr>
          <w:i/>
          <w:iCs/>
          <w:color w:val="44546A" w:themeColor="text2"/>
          <w:sz w:val="18"/>
          <w:szCs w:val="18"/>
        </w:rPr>
        <w:t xml:space="preserve">aritmético </w:t>
      </w:r>
      <w:r w:rsidR="00A16532" w:rsidRPr="0003489B">
        <w:rPr>
          <w:i/>
          <w:iCs/>
          <w:color w:val="44546A" w:themeColor="text2"/>
          <w:sz w:val="18"/>
          <w:szCs w:val="18"/>
        </w:rPr>
        <w:t>anual</w:t>
      </w:r>
    </w:p>
    <w:p w14:paraId="5A81E6B8" w14:textId="7E9F4DD4" w:rsidR="00675FF8" w:rsidRDefault="004D44F2" w:rsidP="00E32035">
      <w:pPr>
        <w:jc w:val="center"/>
      </w:pPr>
      <w:r>
        <w:rPr>
          <w:noProof/>
        </w:rPr>
        <w:drawing>
          <wp:inline distT="0" distB="0" distL="0" distR="0" wp14:anchorId="6341545D" wp14:editId="4E0F4850">
            <wp:extent cx="3212916" cy="1951908"/>
            <wp:effectExtent l="0" t="0" r="6985" b="0"/>
            <wp:docPr id="225569433" name="Imagen 225569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39143" cy="1967842"/>
                    </a:xfrm>
                    <a:prstGeom prst="rect">
                      <a:avLst/>
                    </a:prstGeom>
                    <a:noFill/>
                  </pic:spPr>
                </pic:pic>
              </a:graphicData>
            </a:graphic>
          </wp:inline>
        </w:drawing>
      </w:r>
    </w:p>
    <w:p w14:paraId="49B4B5A0" w14:textId="78353261" w:rsidR="0070379F" w:rsidRDefault="00FB1B5B" w:rsidP="004E6C4A">
      <w:r>
        <w:t xml:space="preserve">De esta manera, los comercializadores que no cumplen con la condición de aumento máximo del 3% del CU pueden entrar al esquema donde el saldo se recupera mediante esta forma de recuperación que considera que entre </w:t>
      </w:r>
      <w:r w:rsidR="00464851">
        <w:t xml:space="preserve">un año y otro </w:t>
      </w:r>
      <w:r>
        <w:t xml:space="preserve">se puede aumentar </w:t>
      </w:r>
      <w:r w:rsidR="00464851">
        <w:t xml:space="preserve">la variable COT hasta en un 50% respecto del COT del primer año </w:t>
      </w:r>
      <w:r w:rsidR="009773AF">
        <w:t xml:space="preserve">(valor que se conserva </w:t>
      </w:r>
      <w:r w:rsidR="00536C16">
        <w:t>constante</w:t>
      </w:r>
      <w:r w:rsidR="009773AF">
        <w:t xml:space="preserve"> para los años siguientes) </w:t>
      </w:r>
      <w:r w:rsidR="00464851">
        <w:t>igual al 3% del C</w:t>
      </w:r>
      <w:r w:rsidR="00536C16">
        <w:t>U</w:t>
      </w:r>
      <w:r w:rsidR="00464851">
        <w:t xml:space="preserve"> aplicado al momento de acogerse a la opción.</w:t>
      </w:r>
    </w:p>
    <w:p w14:paraId="19E62A98" w14:textId="7B687076" w:rsidR="005742A9" w:rsidRDefault="005742A9" w:rsidP="00E32035">
      <w:pPr>
        <w:pStyle w:val="Prrafodelista"/>
        <w:ind w:left="0"/>
      </w:pPr>
      <w:r>
        <w:t>Es as</w:t>
      </w:r>
      <w:r w:rsidR="00857A4D">
        <w:t>í</w:t>
      </w:r>
      <w:r>
        <w:t xml:space="preserve"> como</w:t>
      </w:r>
      <w:r w:rsidR="00857A4D">
        <w:t>,</w:t>
      </w:r>
      <w:r>
        <w:t xml:space="preserve"> de acuerdo con los comentarios de los agentes</w:t>
      </w:r>
      <w:r w:rsidR="009C060E">
        <w:t xml:space="preserve"> y a las recientes variaciones en las tarifas</w:t>
      </w:r>
      <w:r>
        <w:t>, se flexibiliza la condición para iniciar con e</w:t>
      </w:r>
      <w:r w:rsidR="009C060E">
        <w:t>l</w:t>
      </w:r>
      <w:r>
        <w:t xml:space="preserve"> recaudo de los saldos, y se incluye una alternativa adicional para los comercializadores que requieran incrementos superiores</w:t>
      </w:r>
      <w:r w:rsidR="009C060E">
        <w:t xml:space="preserve"> al 3%</w:t>
      </w:r>
      <w:r>
        <w:t xml:space="preserve"> en el CU aplicado. </w:t>
      </w:r>
    </w:p>
    <w:p w14:paraId="7E8C77DD" w14:textId="5BC589E0" w:rsidR="00B23AF3" w:rsidRDefault="0047553B" w:rsidP="0096581E">
      <w:r>
        <w:t>Frente a esto, s</w:t>
      </w:r>
      <w:r w:rsidR="002614A5">
        <w:t xml:space="preserve">e considera que </w:t>
      </w:r>
      <w:r w:rsidR="0096581E">
        <w:t xml:space="preserve">estas </w:t>
      </w:r>
      <w:r w:rsidR="0096581E" w:rsidRPr="0096581E">
        <w:t xml:space="preserve">modificaciones guardan una correspondencia lógica </w:t>
      </w:r>
      <w:r w:rsidR="00CF2E88">
        <w:t>con</w:t>
      </w:r>
      <w:r w:rsidR="0096581E" w:rsidRPr="0096581E">
        <w:t xml:space="preserve"> la propuesta regulatoria desarrollada en el proyecto CREG 701 023 de 2023</w:t>
      </w:r>
      <w:r w:rsidR="00062F20">
        <w:t xml:space="preserve">, </w:t>
      </w:r>
      <w:r w:rsidR="00146142">
        <w:t>al referirse a materias y asuntos allí consultados</w:t>
      </w:r>
      <w:r w:rsidR="00F11C45">
        <w:t xml:space="preserve"> en el marco de la modificación de la Resolución CREG 119 de 2007</w:t>
      </w:r>
      <w:r w:rsidR="00EE5EAB">
        <w:t>,</w:t>
      </w:r>
      <w:r w:rsidR="00146142">
        <w:t xml:space="preserve"> como </w:t>
      </w:r>
      <w:r w:rsidR="0061420D">
        <w:t xml:space="preserve">son </w:t>
      </w:r>
      <w:r w:rsidR="00CF7AD4">
        <w:t xml:space="preserve">el </w:t>
      </w:r>
      <w:r w:rsidR="00EE5EAB">
        <w:t xml:space="preserve">artículo </w:t>
      </w:r>
      <w:r w:rsidR="00857A4D">
        <w:t xml:space="preserve">2 y el </w:t>
      </w:r>
      <w:r w:rsidR="00CF7AD4">
        <w:t xml:space="preserve">cobro de un COT, </w:t>
      </w:r>
      <w:r w:rsidR="00CF7AD4" w:rsidRPr="00CF7AD4">
        <w:t>costo de la opción tarifari</w:t>
      </w:r>
      <w:r w:rsidR="00CF7AD4">
        <w:t>a,</w:t>
      </w:r>
      <w:r w:rsidR="00CF7AD4" w:rsidRPr="00CF7AD4">
        <w:t xml:space="preserve"> único por mercado</w:t>
      </w:r>
      <w:r w:rsidR="00CF7AD4">
        <w:t xml:space="preserve"> y no </w:t>
      </w:r>
      <w:r w:rsidR="00EE5EAB">
        <w:t>por comercializador</w:t>
      </w:r>
      <w:r w:rsidR="00485FFA">
        <w:t>;</w:t>
      </w:r>
      <w:r w:rsidR="00EE5EAB">
        <w:t xml:space="preserve"> </w:t>
      </w:r>
      <w:r w:rsidR="0061420D">
        <w:t xml:space="preserve">la </w:t>
      </w:r>
      <w:r w:rsidR="00146142">
        <w:t>t</w:t>
      </w:r>
      <w:r w:rsidR="0061420D">
        <w:t xml:space="preserve">asa de </w:t>
      </w:r>
      <w:r w:rsidR="00146142">
        <w:t>i</w:t>
      </w:r>
      <w:r w:rsidR="0061420D">
        <w:t xml:space="preserve">nterés </w:t>
      </w:r>
      <w:r w:rsidR="0059605A">
        <w:t>a reconocer dentro del c</w:t>
      </w:r>
      <w:r w:rsidR="003418AD" w:rsidRPr="003418AD">
        <w:t>osto asociado con la recuperación de los saldos de la opción tarifaria</w:t>
      </w:r>
      <w:r w:rsidR="0059605A">
        <w:t xml:space="preserve"> del Anexo 3 de la propuesta</w:t>
      </w:r>
      <w:r w:rsidR="00485FFA">
        <w:t>;</w:t>
      </w:r>
      <w:r w:rsidR="0059605A">
        <w:t xml:space="preserve"> </w:t>
      </w:r>
      <w:r w:rsidR="00241D0F">
        <w:t xml:space="preserve">así como </w:t>
      </w:r>
      <w:r w:rsidR="0059605A" w:rsidRPr="0059605A">
        <w:t>la condición para iniciar con el cobro del COT</w:t>
      </w:r>
      <w:r w:rsidR="009D724B">
        <w:t xml:space="preserve"> del numeral 2 del Anexo</w:t>
      </w:r>
      <w:r w:rsidR="00404986">
        <w:t> </w:t>
      </w:r>
      <w:r w:rsidR="009D724B">
        <w:t>3</w:t>
      </w:r>
      <w:r w:rsidR="00485FFA">
        <w:t xml:space="preserve">. </w:t>
      </w:r>
    </w:p>
    <w:p w14:paraId="0F1613C9" w14:textId="14AAFBD9" w:rsidR="00CE7465" w:rsidRDefault="00485FFA" w:rsidP="007E0FC1">
      <w:pPr>
        <w:spacing w:after="240"/>
      </w:pPr>
      <w:r>
        <w:t xml:space="preserve">En este sentido, se concluye que </w:t>
      </w:r>
      <w:r w:rsidR="00062F20">
        <w:t>existe una</w:t>
      </w:r>
      <w:r w:rsidR="00062F20" w:rsidRPr="00062F20">
        <w:t xml:space="preserve"> </w:t>
      </w:r>
      <w:r w:rsidR="00647949">
        <w:t xml:space="preserve">relación de </w:t>
      </w:r>
      <w:r w:rsidR="00062F20" w:rsidRPr="00062F20">
        <w:t xml:space="preserve">conexidad </w:t>
      </w:r>
      <w:r w:rsidR="00647949">
        <w:t xml:space="preserve">y coherencia temática </w:t>
      </w:r>
      <w:r w:rsidR="00062F20">
        <w:t xml:space="preserve">entre </w:t>
      </w:r>
      <w:r w:rsidR="00647949">
        <w:t>las modificaciones</w:t>
      </w:r>
      <w:r w:rsidR="00E81F32">
        <w:t xml:space="preserve"> y las demás disposiciones que hacen parte del proyecto regulatorio</w:t>
      </w:r>
      <w:r w:rsidR="0096581E" w:rsidRPr="0096581E">
        <w:t xml:space="preserve">, </w:t>
      </w:r>
      <w:r w:rsidR="00E81F32">
        <w:t xml:space="preserve">en este caso, </w:t>
      </w:r>
      <w:r w:rsidR="0096581E" w:rsidRPr="0096581E">
        <w:t>con respecto a la recuperación de los saldos acumulados por parte de los comercializadores.</w:t>
      </w:r>
    </w:p>
    <w:p w14:paraId="45CFAA63" w14:textId="1C9390CA" w:rsidR="00357544" w:rsidRPr="00E32035" w:rsidRDefault="00AB0BD7" w:rsidP="009F4139">
      <w:pPr>
        <w:spacing w:before="240" w:after="240"/>
        <w:rPr>
          <w:b/>
          <w:bCs/>
        </w:rPr>
      </w:pPr>
      <w:r w:rsidRPr="00E32035">
        <w:rPr>
          <w:b/>
          <w:bCs/>
        </w:rPr>
        <w:t xml:space="preserve">Simulación de </w:t>
      </w:r>
      <w:r w:rsidR="00B37725" w:rsidRPr="00E32035">
        <w:rPr>
          <w:b/>
          <w:bCs/>
        </w:rPr>
        <w:t>aplicación</w:t>
      </w:r>
    </w:p>
    <w:p w14:paraId="08D1EAAD" w14:textId="390429EC" w:rsidR="00EA5911" w:rsidRDefault="00F05E9D" w:rsidP="00B9227A">
      <w:r>
        <w:t xml:space="preserve">En </w:t>
      </w:r>
      <w:r w:rsidR="00725F00">
        <w:t xml:space="preserve">esta sección </w:t>
      </w:r>
      <w:r>
        <w:t xml:space="preserve">se presenta </w:t>
      </w:r>
      <w:r w:rsidR="00E40CD4">
        <w:t>una</w:t>
      </w:r>
      <w:r>
        <w:t xml:space="preserve"> simulación efectuada </w:t>
      </w:r>
      <w:r w:rsidR="00BA5AC2">
        <w:t xml:space="preserve">con base en la información disponible en la fecha de presentación del tema, para revisar un posible comportamiento </w:t>
      </w:r>
      <w:r w:rsidR="00757272">
        <w:t>de los comercializadores</w:t>
      </w:r>
      <w:r w:rsidR="0032444C">
        <w:t xml:space="preserve"> y </w:t>
      </w:r>
      <w:r w:rsidR="00EA5911">
        <w:t>el posible efecto en las tarifas al usuario final</w:t>
      </w:r>
      <w:r w:rsidR="00A20BB9">
        <w:t>, considerando que los agentes cumplen con la condición de que la suma de la brecha más el costo de opción tarifaria es inferior al 3% del CU aplicado</w:t>
      </w:r>
      <w:r w:rsidR="000C5C41">
        <w:t>.</w:t>
      </w:r>
    </w:p>
    <w:p w14:paraId="73950740" w14:textId="58902F50" w:rsidR="0052530D" w:rsidRDefault="000C5C41" w:rsidP="00B9227A">
      <w:r>
        <w:t xml:space="preserve">La simulación </w:t>
      </w:r>
      <w:r w:rsidR="00942F08">
        <w:t>considera que</w:t>
      </w:r>
      <w:r w:rsidR="005C2656">
        <w:t>,</w:t>
      </w:r>
      <w:r w:rsidR="00942F08">
        <w:t xml:space="preserve"> </w:t>
      </w:r>
      <w:r w:rsidR="00A93988">
        <w:t xml:space="preserve">dado que </w:t>
      </w:r>
      <w:r w:rsidR="00B9370D">
        <w:t xml:space="preserve">la tasa cubre los costos financieros </w:t>
      </w:r>
      <w:r w:rsidR="00214092">
        <w:t>de un prestador del servicio</w:t>
      </w:r>
      <w:r w:rsidR="00A93988">
        <w:t xml:space="preserve"> y</w:t>
      </w:r>
      <w:r w:rsidR="0058394D">
        <w:t xml:space="preserve"> que los problemas de l</w:t>
      </w:r>
      <w:r w:rsidR="00E02E0C">
        <w:t xml:space="preserve">iquidez desaparecen al momento en el que el prestador adquiere del sistema financiero los recursos de los saldos acumulados, </w:t>
      </w:r>
      <w:r w:rsidR="005C2656">
        <w:t xml:space="preserve">se </w:t>
      </w:r>
      <w:r w:rsidR="004F1979">
        <w:t xml:space="preserve">calcula </w:t>
      </w:r>
      <w:r w:rsidR="00B40E8C">
        <w:t xml:space="preserve">el periodo </w:t>
      </w:r>
      <w:r w:rsidR="00C604A5">
        <w:t xml:space="preserve">para </w:t>
      </w:r>
      <w:r w:rsidR="0008446A">
        <w:t xml:space="preserve">la recuperación del saldo </w:t>
      </w:r>
      <w:r w:rsidR="007D0F04">
        <w:t xml:space="preserve">de tal forma que </w:t>
      </w:r>
      <w:r w:rsidR="00C90FF7">
        <w:t xml:space="preserve">se </w:t>
      </w:r>
      <w:r w:rsidR="007D0F04">
        <w:t xml:space="preserve">pueda </w:t>
      </w:r>
      <w:r>
        <w:t xml:space="preserve">minimizar el impacto </w:t>
      </w:r>
      <w:r w:rsidR="002B7B40">
        <w:t>en las tarifas</w:t>
      </w:r>
      <w:r w:rsidR="00C90FF7">
        <w:t xml:space="preserve"> </w:t>
      </w:r>
      <w:r w:rsidR="00C90FF7">
        <w:lastRenderedPageBreak/>
        <w:t>a los usuarios</w:t>
      </w:r>
      <w:r>
        <w:t>, inclusive disminuyéndolas</w:t>
      </w:r>
      <w:r w:rsidR="002B7B40">
        <w:t xml:space="preserve">, permitiendo a su vez </w:t>
      </w:r>
      <w:r w:rsidR="00A9576B">
        <w:t xml:space="preserve">tener un “colchón” </w:t>
      </w:r>
      <w:r w:rsidR="007C432A">
        <w:t xml:space="preserve">que permita mitigar posibles variaciones de otros componentes </w:t>
      </w:r>
      <w:r w:rsidR="00725BBA">
        <w:t>(</w:t>
      </w:r>
      <w:proofErr w:type="spellStart"/>
      <w:r w:rsidR="00725BBA">
        <w:t>p.e</w:t>
      </w:r>
      <w:proofErr w:type="spellEnd"/>
      <w:r w:rsidR="0058394D">
        <w:t>. aumentos de precios por efectos del fenómeno del niño)</w:t>
      </w:r>
      <w:r w:rsidR="00EE79D6">
        <w:t xml:space="preserve">, encontrando un balance entre el tiempo de recuperación del saldo (respecto del tiempo </w:t>
      </w:r>
      <w:r w:rsidR="00763D7C">
        <w:t>otorgado por las entidades para el pago de los créditos)</w:t>
      </w:r>
      <w:r w:rsidR="005B6C3B">
        <w:t xml:space="preserve"> y el impacto en ta</w:t>
      </w:r>
      <w:r w:rsidR="00840ED8">
        <w:t>r</w:t>
      </w:r>
      <w:r w:rsidR="005B6C3B">
        <w:t>ifas</w:t>
      </w:r>
      <w:r w:rsidR="00840ED8">
        <w:t>.</w:t>
      </w:r>
      <w:r w:rsidR="0058394D">
        <w:t xml:space="preserve"> </w:t>
      </w:r>
    </w:p>
    <w:p w14:paraId="3A8CC654" w14:textId="5399827E" w:rsidR="0003489B" w:rsidRDefault="0003489B" w:rsidP="0003489B">
      <w:pPr>
        <w:jc w:val="center"/>
        <w:rPr>
          <w:i/>
          <w:iCs/>
          <w:color w:val="44546A" w:themeColor="text2"/>
          <w:sz w:val="18"/>
          <w:szCs w:val="18"/>
        </w:rPr>
      </w:pPr>
      <w:r w:rsidRPr="00C85F0B">
        <w:rPr>
          <w:i/>
          <w:iCs/>
          <w:color w:val="44546A" w:themeColor="text2"/>
          <w:sz w:val="18"/>
          <w:szCs w:val="18"/>
        </w:rPr>
        <w:t xml:space="preserve">Tabla </w:t>
      </w:r>
      <w:r w:rsidRPr="00C85F0B">
        <w:rPr>
          <w:i/>
          <w:iCs/>
          <w:color w:val="44546A" w:themeColor="text2"/>
          <w:sz w:val="18"/>
          <w:szCs w:val="18"/>
        </w:rPr>
        <w:fldChar w:fldCharType="begin"/>
      </w:r>
      <w:r w:rsidRPr="00C85F0B">
        <w:rPr>
          <w:i/>
          <w:iCs/>
          <w:color w:val="44546A" w:themeColor="text2"/>
          <w:sz w:val="18"/>
          <w:szCs w:val="18"/>
        </w:rPr>
        <w:instrText xml:space="preserve"> SEQ Tabla \* ARABIC </w:instrText>
      </w:r>
      <w:r w:rsidRPr="00C85F0B">
        <w:rPr>
          <w:i/>
          <w:iCs/>
          <w:color w:val="44546A" w:themeColor="text2"/>
          <w:sz w:val="18"/>
          <w:szCs w:val="18"/>
        </w:rPr>
        <w:fldChar w:fldCharType="separate"/>
      </w:r>
      <w:r>
        <w:rPr>
          <w:i/>
          <w:iCs/>
          <w:noProof/>
          <w:color w:val="44546A" w:themeColor="text2"/>
          <w:sz w:val="18"/>
          <w:szCs w:val="18"/>
        </w:rPr>
        <w:t>4</w:t>
      </w:r>
      <w:r w:rsidRPr="00C85F0B">
        <w:rPr>
          <w:i/>
          <w:iCs/>
          <w:color w:val="44546A" w:themeColor="text2"/>
          <w:sz w:val="18"/>
          <w:szCs w:val="18"/>
        </w:rPr>
        <w:fldChar w:fldCharType="end"/>
      </w:r>
      <w:r w:rsidRPr="00C85F0B">
        <w:rPr>
          <w:i/>
          <w:iCs/>
          <w:color w:val="44546A" w:themeColor="text2"/>
          <w:sz w:val="18"/>
          <w:szCs w:val="18"/>
        </w:rPr>
        <w:t xml:space="preserve"> </w:t>
      </w:r>
      <w:r w:rsidRPr="0003489B">
        <w:rPr>
          <w:i/>
          <w:iCs/>
          <w:color w:val="44546A" w:themeColor="text2"/>
          <w:sz w:val="18"/>
          <w:szCs w:val="18"/>
        </w:rPr>
        <w:t>Simulación de costo de opción tarifaria y meses de recuperación del saldo por empresa.</w:t>
      </w:r>
    </w:p>
    <w:p w14:paraId="026F5C05" w14:textId="315017F8" w:rsidR="00EA5911" w:rsidRDefault="008E2329" w:rsidP="00E32035">
      <w:pPr>
        <w:jc w:val="center"/>
      </w:pPr>
      <w:r w:rsidRPr="008E2329">
        <w:rPr>
          <w:noProof/>
        </w:rPr>
        <w:drawing>
          <wp:inline distT="0" distB="0" distL="0" distR="0" wp14:anchorId="2F7F3F10" wp14:editId="2F25F529">
            <wp:extent cx="4669366" cy="3690595"/>
            <wp:effectExtent l="0" t="0" r="0" b="5715"/>
            <wp:docPr id="3912722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75082" cy="3695113"/>
                    </a:xfrm>
                    <a:prstGeom prst="rect">
                      <a:avLst/>
                    </a:prstGeom>
                    <a:noFill/>
                    <a:ln>
                      <a:noFill/>
                    </a:ln>
                  </pic:spPr>
                </pic:pic>
              </a:graphicData>
            </a:graphic>
          </wp:inline>
        </w:drawing>
      </w:r>
    </w:p>
    <w:p w14:paraId="0BF19E86" w14:textId="5F8FAE69" w:rsidR="00BA5AC2" w:rsidRPr="00E32035" w:rsidRDefault="00757272" w:rsidP="00B9227A">
      <w:pPr>
        <w:rPr>
          <w:sz w:val="18"/>
          <w:szCs w:val="18"/>
        </w:rPr>
      </w:pPr>
      <w:r>
        <w:t xml:space="preserve"> </w:t>
      </w:r>
      <w:r w:rsidR="005A6089" w:rsidRPr="00E32035">
        <w:rPr>
          <w:sz w:val="18"/>
          <w:szCs w:val="18"/>
        </w:rPr>
        <w:t xml:space="preserve">Fuente: Elaboración propia con base en la información SUI disponible </w:t>
      </w:r>
    </w:p>
    <w:p w14:paraId="075C2BF3" w14:textId="329274CE" w:rsidR="00BA5AC2" w:rsidRDefault="005A6089" w:rsidP="00B9227A">
      <w:r>
        <w:t>En el cuadro anterior se observa que</w:t>
      </w:r>
      <w:r w:rsidR="00E97318">
        <w:t xml:space="preserve"> el cargo de opción tarifaria inicial (COT) se encuentra </w:t>
      </w:r>
      <w:r w:rsidR="00817279">
        <w:t xml:space="preserve">en promedio </w:t>
      </w:r>
      <w:r w:rsidR="00B369F4">
        <w:t>alrededor de $</w:t>
      </w:r>
      <w:r w:rsidR="00817279">
        <w:t>43</w:t>
      </w:r>
      <w:r w:rsidR="00B369F4">
        <w:t xml:space="preserve">/ kWh </w:t>
      </w:r>
      <w:r w:rsidR="00634B4D">
        <w:t xml:space="preserve">donde en muchos mercados </w:t>
      </w:r>
      <w:r w:rsidR="004E22A4">
        <w:t>es posible una disminución importante en tarifas</w:t>
      </w:r>
      <w:r w:rsidR="00B410D2">
        <w:t xml:space="preserve">, lo que posiblemente </w:t>
      </w:r>
      <w:r w:rsidR="004E22A4">
        <w:t>ten</w:t>
      </w:r>
      <w:r w:rsidR="00B410D2">
        <w:t xml:space="preserve">ga </w:t>
      </w:r>
      <w:r w:rsidR="00625143">
        <w:t xml:space="preserve">impactos positivos </w:t>
      </w:r>
      <w:r w:rsidR="004E22A4">
        <w:t xml:space="preserve">en </w:t>
      </w:r>
      <w:r w:rsidR="004E270E">
        <w:t xml:space="preserve">la </w:t>
      </w:r>
      <w:r w:rsidR="004E22A4">
        <w:t>cartera</w:t>
      </w:r>
      <w:r w:rsidR="00AC4286">
        <w:t>, representando un impacto de</w:t>
      </w:r>
      <w:r w:rsidR="00DB202E">
        <w:t xml:space="preserve"> disminución </w:t>
      </w:r>
      <w:r w:rsidR="00834A42">
        <w:t>ponderada nacional del 2%.</w:t>
      </w:r>
      <w:r w:rsidR="00AB555C">
        <w:t xml:space="preserve"> </w:t>
      </w:r>
    </w:p>
    <w:p w14:paraId="6FD52A4D" w14:textId="4742956F" w:rsidR="00754849" w:rsidRDefault="009E2DED" w:rsidP="00754849">
      <w:bookmarkStart w:id="146" w:name="_Toc456963919"/>
      <w:bookmarkStart w:id="147" w:name="_Toc461716225"/>
      <w:bookmarkStart w:id="148" w:name="_Toc502151630"/>
      <w:bookmarkStart w:id="149" w:name="_Toc57992640"/>
      <w:bookmarkStart w:id="150" w:name="_Toc58246334"/>
      <w:bookmarkStart w:id="151" w:name="_Toc58312362"/>
      <w:bookmarkStart w:id="152" w:name="_Toc58405840"/>
      <w:bookmarkStart w:id="153" w:name="_Toc68777726"/>
      <w:r>
        <w:t xml:space="preserve">Se considera que el anterior escenario cumple con los objetivos de disminuir tarifas </w:t>
      </w:r>
      <w:r w:rsidR="00AD572E">
        <w:t xml:space="preserve">y </w:t>
      </w:r>
      <w:r w:rsidR="00D7091E">
        <w:t>recuperar el saldo en un periodo razonable</w:t>
      </w:r>
      <w:r w:rsidR="00F86672">
        <w:t xml:space="preserve">. No obstante, </w:t>
      </w:r>
      <w:r w:rsidR="00754849">
        <w:t>el ejercicio presentado puede ser mejorado, según los cálculos con mejor información por parte de los agentes, considerando como objetivo principal el disminuir la tarifa al usuario final sin que se aumente en forma importante el tiempo de recuperación del saldo acumulado.</w:t>
      </w:r>
    </w:p>
    <w:p w14:paraId="47A4DED8" w14:textId="77777777" w:rsidR="009E2DED" w:rsidRDefault="009E2DED"/>
    <w:p w14:paraId="054B04A1" w14:textId="77777777" w:rsidR="0044739E" w:rsidRPr="004C0AB4" w:rsidRDefault="0044739E" w:rsidP="0044739E">
      <w:pPr>
        <w:keepNext/>
        <w:suppressAutoHyphens/>
        <w:spacing w:before="0" w:after="240"/>
        <w:outlineLvl w:val="0"/>
        <w:rPr>
          <w:bCs/>
          <w:spacing w:val="-5"/>
          <w:sz w:val="24"/>
          <w:lang w:val="es-ES" w:eastAsia="es-ES"/>
        </w:rPr>
      </w:pPr>
      <w:bookmarkStart w:id="154" w:name="_Toc152921879"/>
      <w:r w:rsidRPr="004C0AB4">
        <w:rPr>
          <w:bCs/>
          <w:spacing w:val="-5"/>
          <w:sz w:val="24"/>
          <w:lang w:val="es-ES" w:eastAsia="es-ES"/>
        </w:rPr>
        <w:lastRenderedPageBreak/>
        <w:t>ANEXO 1. MATRIZ COMENTARIOS AGENTES</w:t>
      </w:r>
      <w:bookmarkEnd w:id="154"/>
      <w:r w:rsidRPr="004C0AB4">
        <w:rPr>
          <w:bCs/>
          <w:spacing w:val="-5"/>
          <w:sz w:val="24"/>
          <w:lang w:val="es-ES" w:eastAsia="es-ES"/>
        </w:rPr>
        <w:t xml:space="preserve">  </w:t>
      </w:r>
    </w:p>
    <w:p w14:paraId="124AB388" w14:textId="30415F35" w:rsidR="00177CF0" w:rsidRPr="00E32035" w:rsidRDefault="00177CF0" w:rsidP="0044739E">
      <w:pPr>
        <w:keepNext/>
        <w:suppressAutoHyphens/>
        <w:spacing w:before="0" w:after="240"/>
        <w:outlineLvl w:val="0"/>
        <w:rPr>
          <w:bCs/>
          <w:spacing w:val="-5"/>
          <w:sz w:val="24"/>
          <w:lang w:val="es-ES" w:eastAsia="es-ES"/>
        </w:rPr>
      </w:pPr>
      <w:bookmarkStart w:id="155" w:name="_Toc152921880"/>
      <w:r w:rsidRPr="00E32035">
        <w:rPr>
          <w:bCs/>
          <w:spacing w:val="-5"/>
          <w:sz w:val="24"/>
          <w:lang w:val="es-ES" w:eastAsia="es-ES"/>
        </w:rPr>
        <w:t>En esta sección se presentan, de manera resumida, los comentarios</w:t>
      </w:r>
      <w:r>
        <w:rPr>
          <w:bCs/>
          <w:spacing w:val="-5"/>
          <w:sz w:val="24"/>
          <w:lang w:val="es-ES" w:eastAsia="es-ES"/>
        </w:rPr>
        <w:t xml:space="preserve"> recibidos en la Comisión y su respectiva respuesta.</w:t>
      </w:r>
      <w:bookmarkEnd w:id="155"/>
    </w:p>
    <w:tbl>
      <w:tblPr>
        <w:tblStyle w:val="Tablaconcuadrcula"/>
        <w:tblW w:w="5000" w:type="pct"/>
        <w:tblLayout w:type="fixed"/>
        <w:tblLook w:val="04A0" w:firstRow="1" w:lastRow="0" w:firstColumn="1" w:lastColumn="0" w:noHBand="0" w:noVBand="1"/>
      </w:tblPr>
      <w:tblGrid>
        <w:gridCol w:w="1556"/>
        <w:gridCol w:w="3968"/>
        <w:gridCol w:w="3306"/>
      </w:tblGrid>
      <w:tr w:rsidR="005E727D" w:rsidRPr="007E00DB" w14:paraId="52BD2350" w14:textId="77777777" w:rsidTr="007E0FC1">
        <w:trPr>
          <w:trHeight w:val="53"/>
          <w:tblHeader/>
        </w:trPr>
        <w:tc>
          <w:tcPr>
            <w:tcW w:w="881" w:type="pct"/>
            <w:shd w:val="clear" w:color="auto" w:fill="3B3838" w:themeFill="background2" w:themeFillShade="40"/>
            <w:hideMark/>
          </w:tcPr>
          <w:p w14:paraId="7D6C5BD6" w14:textId="0745CAF6" w:rsidR="005E727D" w:rsidRPr="009D701F" w:rsidRDefault="005E727D" w:rsidP="00E32035">
            <w:pPr>
              <w:autoSpaceDE w:val="0"/>
              <w:autoSpaceDN w:val="0"/>
              <w:adjustRightInd w:val="0"/>
              <w:spacing w:before="0" w:after="0"/>
              <w:ind w:right="-108"/>
              <w:jc w:val="center"/>
              <w:rPr>
                <w:rFonts w:eastAsia="Calibri" w:cs="Arial"/>
                <w:b/>
                <w:color w:val="FFFFFF" w:themeColor="background1"/>
                <w:spacing w:val="-5"/>
                <w:sz w:val="18"/>
                <w:szCs w:val="18"/>
                <w:lang w:val="es-ES" w:eastAsia="en-US"/>
              </w:rPr>
            </w:pPr>
            <w:r w:rsidRPr="009D701F">
              <w:rPr>
                <w:rFonts w:eastAsia="Calibri" w:cs="Arial"/>
                <w:b/>
                <w:color w:val="FFFFFF" w:themeColor="background1"/>
                <w:spacing w:val="-5"/>
                <w:sz w:val="18"/>
                <w:szCs w:val="18"/>
                <w:lang w:val="es-ES" w:eastAsia="en-US"/>
              </w:rPr>
              <w:t>RADICADO</w:t>
            </w:r>
            <w:r w:rsidR="009D701F">
              <w:rPr>
                <w:rFonts w:eastAsia="Calibri" w:cs="Arial"/>
                <w:b/>
                <w:color w:val="FFFFFF" w:themeColor="background1"/>
                <w:spacing w:val="-5"/>
                <w:sz w:val="18"/>
                <w:szCs w:val="18"/>
                <w:lang w:val="es-ES" w:eastAsia="en-US"/>
              </w:rPr>
              <w:t xml:space="preserve"> </w:t>
            </w:r>
            <w:r w:rsidRPr="009D701F">
              <w:rPr>
                <w:rFonts w:eastAsia="Calibri" w:cs="Arial"/>
                <w:b/>
                <w:color w:val="FFFFFF" w:themeColor="background1"/>
                <w:spacing w:val="-5"/>
                <w:sz w:val="18"/>
                <w:szCs w:val="18"/>
                <w:lang w:val="es-ES" w:eastAsia="en-US"/>
              </w:rPr>
              <w:t>AGENTE</w:t>
            </w:r>
          </w:p>
        </w:tc>
        <w:tc>
          <w:tcPr>
            <w:tcW w:w="2247" w:type="pct"/>
            <w:shd w:val="clear" w:color="auto" w:fill="3B3838" w:themeFill="background2" w:themeFillShade="40"/>
            <w:hideMark/>
          </w:tcPr>
          <w:p w14:paraId="410C1C73" w14:textId="77777777" w:rsidR="005E727D" w:rsidRPr="009D701F" w:rsidRDefault="005E727D" w:rsidP="00E32035">
            <w:pPr>
              <w:autoSpaceDE w:val="0"/>
              <w:autoSpaceDN w:val="0"/>
              <w:adjustRightInd w:val="0"/>
              <w:spacing w:before="0" w:after="0"/>
              <w:ind w:right="-108"/>
              <w:jc w:val="center"/>
              <w:rPr>
                <w:rFonts w:eastAsia="Calibri" w:cs="Arial"/>
                <w:b/>
                <w:color w:val="FFFFFF" w:themeColor="background1"/>
                <w:spacing w:val="-5"/>
                <w:sz w:val="18"/>
                <w:szCs w:val="18"/>
                <w:lang w:val="es-ES" w:eastAsia="en-US"/>
              </w:rPr>
            </w:pPr>
            <w:r w:rsidRPr="009D701F">
              <w:rPr>
                <w:rFonts w:eastAsia="Calibri" w:cs="Arial"/>
                <w:b/>
                <w:color w:val="FFFFFF" w:themeColor="background1"/>
                <w:spacing w:val="-5"/>
                <w:sz w:val="18"/>
                <w:szCs w:val="18"/>
                <w:lang w:val="es-ES" w:eastAsia="en-US"/>
              </w:rPr>
              <w:t>COMENTARIO / PROPUESTA DE AJUSTE</w:t>
            </w:r>
          </w:p>
        </w:tc>
        <w:tc>
          <w:tcPr>
            <w:tcW w:w="1872" w:type="pct"/>
            <w:shd w:val="clear" w:color="auto" w:fill="3B3838" w:themeFill="background2" w:themeFillShade="40"/>
            <w:hideMark/>
          </w:tcPr>
          <w:p w14:paraId="08AC3D6D" w14:textId="77777777" w:rsidR="005E727D" w:rsidRPr="009D701F" w:rsidRDefault="005E727D" w:rsidP="00E32035">
            <w:pPr>
              <w:autoSpaceDE w:val="0"/>
              <w:autoSpaceDN w:val="0"/>
              <w:adjustRightInd w:val="0"/>
              <w:spacing w:before="0" w:after="0"/>
              <w:ind w:right="-108"/>
              <w:jc w:val="center"/>
              <w:rPr>
                <w:rFonts w:eastAsia="Calibri" w:cs="Arial"/>
                <w:b/>
                <w:color w:val="FFFFFF" w:themeColor="background1"/>
                <w:spacing w:val="-5"/>
                <w:sz w:val="18"/>
                <w:szCs w:val="18"/>
                <w:lang w:val="es-ES" w:eastAsia="en-US"/>
              </w:rPr>
            </w:pPr>
            <w:r w:rsidRPr="009D701F">
              <w:rPr>
                <w:rFonts w:eastAsia="Calibri" w:cs="Arial"/>
                <w:b/>
                <w:color w:val="FFFFFF" w:themeColor="background1"/>
                <w:spacing w:val="-5"/>
                <w:sz w:val="18"/>
                <w:szCs w:val="18"/>
                <w:lang w:val="es-ES" w:eastAsia="en-US"/>
              </w:rPr>
              <w:t>RESPUESTA</w:t>
            </w:r>
          </w:p>
        </w:tc>
      </w:tr>
      <w:tr w:rsidR="005E727D" w:rsidRPr="007E00DB" w14:paraId="460A1984" w14:textId="77777777" w:rsidTr="009D701F">
        <w:trPr>
          <w:trHeight w:val="580"/>
        </w:trPr>
        <w:tc>
          <w:tcPr>
            <w:tcW w:w="881" w:type="pct"/>
            <w:hideMark/>
          </w:tcPr>
          <w:p w14:paraId="3D008E0D"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E2023017889_GEB</w:t>
            </w:r>
          </w:p>
        </w:tc>
        <w:tc>
          <w:tcPr>
            <w:tcW w:w="2247" w:type="pct"/>
            <w:hideMark/>
          </w:tcPr>
          <w:p w14:paraId="59566854"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Incluir regla de cobro de COT cuando un usuario cambia de regulado a no regulado</w:t>
            </w:r>
          </w:p>
        </w:tc>
        <w:tc>
          <w:tcPr>
            <w:tcW w:w="1872" w:type="pct"/>
            <w:hideMark/>
          </w:tcPr>
          <w:p w14:paraId="62ED5606" w14:textId="5A33ECD3" w:rsidR="005E727D" w:rsidRPr="009D701F" w:rsidRDefault="005E727D" w:rsidP="005E727D">
            <w:pPr>
              <w:spacing w:before="0" w:after="0"/>
              <w:jc w:val="left"/>
              <w:rPr>
                <w:rFonts w:cs="Arial"/>
                <w:color w:val="000000"/>
                <w:sz w:val="18"/>
                <w:szCs w:val="18"/>
              </w:rPr>
            </w:pPr>
            <w:r w:rsidRPr="009D701F">
              <w:rPr>
                <w:rFonts w:cs="Arial"/>
                <w:color w:val="000000"/>
                <w:sz w:val="18"/>
                <w:szCs w:val="18"/>
              </w:rPr>
              <w:t>Se incluye</w:t>
            </w:r>
            <w:r w:rsidR="00FD673E" w:rsidRPr="009D701F">
              <w:rPr>
                <w:rFonts w:cs="Arial"/>
                <w:color w:val="000000"/>
                <w:sz w:val="18"/>
                <w:szCs w:val="18"/>
              </w:rPr>
              <w:t xml:space="preserve"> regla.</w:t>
            </w:r>
          </w:p>
        </w:tc>
      </w:tr>
      <w:tr w:rsidR="005E727D" w:rsidRPr="007E00DB" w14:paraId="0F657434" w14:textId="77777777" w:rsidTr="009D701F">
        <w:trPr>
          <w:trHeight w:val="870"/>
        </w:trPr>
        <w:tc>
          <w:tcPr>
            <w:tcW w:w="881" w:type="pct"/>
            <w:hideMark/>
          </w:tcPr>
          <w:p w14:paraId="0C81C807"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E2023017889_GEB</w:t>
            </w:r>
          </w:p>
        </w:tc>
        <w:tc>
          <w:tcPr>
            <w:tcW w:w="2247" w:type="pct"/>
            <w:hideMark/>
          </w:tcPr>
          <w:p w14:paraId="69E37DAC" w14:textId="59E2A25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Incluir una regla para asegurar que en la próxima metodología del C se incluya la variable COT para su cobro</w:t>
            </w:r>
          </w:p>
        </w:tc>
        <w:tc>
          <w:tcPr>
            <w:tcW w:w="1872" w:type="pct"/>
            <w:hideMark/>
          </w:tcPr>
          <w:p w14:paraId="5759141D" w14:textId="370F5456" w:rsidR="005E727D" w:rsidRPr="009D701F" w:rsidRDefault="005E727D" w:rsidP="005E727D">
            <w:pPr>
              <w:spacing w:before="0" w:after="0"/>
              <w:jc w:val="left"/>
              <w:rPr>
                <w:rFonts w:cs="Arial"/>
                <w:color w:val="000000"/>
                <w:sz w:val="18"/>
                <w:szCs w:val="18"/>
              </w:rPr>
            </w:pPr>
            <w:r w:rsidRPr="009D701F">
              <w:rPr>
                <w:rFonts w:cs="Arial"/>
                <w:color w:val="000000"/>
                <w:sz w:val="18"/>
                <w:szCs w:val="18"/>
              </w:rPr>
              <w:t>No es necesario incluir ninguna regla adicional, dado que la metodología deberá recoger los costos a remunerar en cada caso</w:t>
            </w:r>
            <w:r w:rsidR="00FD673E" w:rsidRPr="009D701F">
              <w:rPr>
                <w:rFonts w:cs="Arial"/>
                <w:color w:val="000000"/>
                <w:sz w:val="18"/>
                <w:szCs w:val="18"/>
              </w:rPr>
              <w:t>.</w:t>
            </w:r>
          </w:p>
        </w:tc>
      </w:tr>
      <w:tr w:rsidR="005E727D" w:rsidRPr="007E00DB" w14:paraId="40922D5F" w14:textId="77777777" w:rsidTr="009D701F">
        <w:trPr>
          <w:trHeight w:val="580"/>
        </w:trPr>
        <w:tc>
          <w:tcPr>
            <w:tcW w:w="881" w:type="pct"/>
            <w:hideMark/>
          </w:tcPr>
          <w:p w14:paraId="4227B64C"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E2023017889_GEB</w:t>
            </w:r>
          </w:p>
        </w:tc>
        <w:tc>
          <w:tcPr>
            <w:tcW w:w="2247" w:type="pct"/>
            <w:hideMark/>
          </w:tcPr>
          <w:p w14:paraId="08895F6C"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Ante cambio en las condiciones de CU, permitir que el comercializador pueda cambiar el plazo de pago</w:t>
            </w:r>
          </w:p>
        </w:tc>
        <w:tc>
          <w:tcPr>
            <w:tcW w:w="1872" w:type="pct"/>
            <w:hideMark/>
          </w:tcPr>
          <w:p w14:paraId="191E7599" w14:textId="190A7D9C" w:rsidR="005E727D" w:rsidRPr="009D701F" w:rsidRDefault="005E727D" w:rsidP="005E727D">
            <w:pPr>
              <w:spacing w:before="0" w:after="0"/>
              <w:jc w:val="left"/>
              <w:rPr>
                <w:rFonts w:cs="Arial"/>
                <w:color w:val="000000"/>
                <w:sz w:val="18"/>
                <w:szCs w:val="18"/>
              </w:rPr>
            </w:pPr>
            <w:r w:rsidRPr="009D701F">
              <w:rPr>
                <w:rFonts w:cs="Arial"/>
                <w:color w:val="000000"/>
                <w:sz w:val="18"/>
                <w:szCs w:val="18"/>
              </w:rPr>
              <w:t>Se incluye</w:t>
            </w:r>
            <w:r w:rsidR="004A75B1" w:rsidRPr="009D701F">
              <w:rPr>
                <w:rFonts w:cs="Arial"/>
                <w:color w:val="000000"/>
                <w:sz w:val="18"/>
                <w:szCs w:val="18"/>
              </w:rPr>
              <w:t xml:space="preserve"> regla para revisión del SAOT</w:t>
            </w:r>
            <w:r w:rsidR="00FD673E" w:rsidRPr="009D701F">
              <w:rPr>
                <w:rFonts w:cs="Arial"/>
                <w:color w:val="000000"/>
                <w:sz w:val="18"/>
                <w:szCs w:val="18"/>
              </w:rPr>
              <w:t>.</w:t>
            </w:r>
          </w:p>
        </w:tc>
      </w:tr>
      <w:tr w:rsidR="005E727D" w:rsidRPr="007E00DB" w14:paraId="3D952EAA" w14:textId="77777777" w:rsidTr="009D701F">
        <w:trPr>
          <w:trHeight w:val="580"/>
        </w:trPr>
        <w:tc>
          <w:tcPr>
            <w:tcW w:w="881" w:type="pct"/>
            <w:hideMark/>
          </w:tcPr>
          <w:p w14:paraId="42E37798"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E2023017889_GEB</w:t>
            </w:r>
          </w:p>
        </w:tc>
        <w:tc>
          <w:tcPr>
            <w:tcW w:w="2247" w:type="pct"/>
            <w:hideMark/>
          </w:tcPr>
          <w:p w14:paraId="2B6FD325"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En el numeral 2 del artículo 4 existe una restricción de aumento del 106% cuando se considera que es del 6%</w:t>
            </w:r>
          </w:p>
        </w:tc>
        <w:tc>
          <w:tcPr>
            <w:tcW w:w="1872" w:type="pct"/>
            <w:hideMark/>
          </w:tcPr>
          <w:p w14:paraId="7C03EC82" w14:textId="10E0BB59" w:rsidR="005E727D" w:rsidRPr="009D701F" w:rsidRDefault="005E727D" w:rsidP="005E727D">
            <w:pPr>
              <w:spacing w:before="0" w:after="0"/>
              <w:jc w:val="left"/>
              <w:rPr>
                <w:rFonts w:cs="Arial"/>
                <w:color w:val="000000"/>
                <w:sz w:val="18"/>
                <w:szCs w:val="18"/>
              </w:rPr>
            </w:pPr>
            <w:r w:rsidRPr="009D701F">
              <w:rPr>
                <w:rFonts w:cs="Arial"/>
                <w:color w:val="000000"/>
                <w:sz w:val="18"/>
                <w:szCs w:val="18"/>
              </w:rPr>
              <w:t>Se corrige</w:t>
            </w:r>
            <w:r w:rsidR="00356F55" w:rsidRPr="009D701F">
              <w:rPr>
                <w:rFonts w:cs="Arial"/>
                <w:color w:val="000000"/>
                <w:sz w:val="18"/>
                <w:szCs w:val="18"/>
              </w:rPr>
              <w:t>.</w:t>
            </w:r>
          </w:p>
        </w:tc>
      </w:tr>
      <w:tr w:rsidR="005E727D" w:rsidRPr="007E00DB" w14:paraId="644A03CF" w14:textId="77777777" w:rsidTr="009D701F">
        <w:trPr>
          <w:trHeight w:val="1740"/>
        </w:trPr>
        <w:tc>
          <w:tcPr>
            <w:tcW w:w="881" w:type="pct"/>
            <w:hideMark/>
          </w:tcPr>
          <w:p w14:paraId="1F2BF7EB"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E2023017889_GEB</w:t>
            </w:r>
          </w:p>
        </w:tc>
        <w:tc>
          <w:tcPr>
            <w:tcW w:w="2247" w:type="pct"/>
            <w:hideMark/>
          </w:tcPr>
          <w:p w14:paraId="74D2A2C6"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Permitir que, para algunos agentes, el plazo pueda ser superior a los 120 meses</w:t>
            </w:r>
          </w:p>
        </w:tc>
        <w:tc>
          <w:tcPr>
            <w:tcW w:w="1872" w:type="pct"/>
            <w:hideMark/>
          </w:tcPr>
          <w:p w14:paraId="4FBB6CCE" w14:textId="3D5ADCC8" w:rsidR="005E727D" w:rsidRPr="009D701F" w:rsidRDefault="005E727D" w:rsidP="005E727D">
            <w:pPr>
              <w:spacing w:before="0" w:after="0"/>
              <w:jc w:val="left"/>
              <w:rPr>
                <w:rFonts w:cs="Arial"/>
                <w:color w:val="000000"/>
                <w:sz w:val="18"/>
                <w:szCs w:val="18"/>
              </w:rPr>
            </w:pPr>
            <w:r w:rsidRPr="009D701F">
              <w:rPr>
                <w:rFonts w:cs="Arial"/>
                <w:color w:val="000000"/>
                <w:sz w:val="18"/>
                <w:szCs w:val="18"/>
              </w:rPr>
              <w:t>Dado que es posible ajustar el tiempo de recuperación, ante condiciones de menores costos, se entiende que es posible recuperar el saldo en 120 meses. No obstante, el prestador siempre podrá hacer solicitudes a la CREG cuando, en la ejecución de la propuesta, considere que se requieren mayores plazos.</w:t>
            </w:r>
          </w:p>
        </w:tc>
      </w:tr>
      <w:tr w:rsidR="005E727D" w:rsidRPr="007E00DB" w14:paraId="21309B7A" w14:textId="77777777" w:rsidTr="009D701F">
        <w:trPr>
          <w:trHeight w:val="870"/>
        </w:trPr>
        <w:tc>
          <w:tcPr>
            <w:tcW w:w="881" w:type="pct"/>
            <w:hideMark/>
          </w:tcPr>
          <w:p w14:paraId="06810866"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E2023017889_GEB</w:t>
            </w:r>
          </w:p>
        </w:tc>
        <w:tc>
          <w:tcPr>
            <w:tcW w:w="2247" w:type="pct"/>
            <w:hideMark/>
          </w:tcPr>
          <w:p w14:paraId="1F2BEF9F" w14:textId="4B5F24BA" w:rsidR="005E727D" w:rsidRPr="009D701F" w:rsidRDefault="005E727D" w:rsidP="005E727D">
            <w:pPr>
              <w:spacing w:before="0" w:after="0"/>
              <w:jc w:val="left"/>
              <w:rPr>
                <w:rFonts w:cs="Arial"/>
                <w:color w:val="000000"/>
                <w:sz w:val="18"/>
                <w:szCs w:val="18"/>
              </w:rPr>
            </w:pPr>
            <w:r w:rsidRPr="009D701F">
              <w:rPr>
                <w:rFonts w:cs="Arial"/>
                <w:color w:val="000000"/>
                <w:sz w:val="18"/>
                <w:szCs w:val="18"/>
              </w:rPr>
              <w:t>Los créditos Findeter sólo alcanzan para el 17% de la deuda.</w:t>
            </w:r>
            <w:r w:rsidRPr="009D701F">
              <w:rPr>
                <w:rFonts w:cs="Arial"/>
                <w:color w:val="000000"/>
                <w:sz w:val="18"/>
                <w:szCs w:val="18"/>
              </w:rPr>
              <w:br/>
              <w:t>Reconocer la tasa menor entre tasa ponderada con los otros créditos obtenidos y la tasa de la actual 012</w:t>
            </w:r>
            <w:r w:rsidR="00BD5983" w:rsidRPr="009D701F">
              <w:rPr>
                <w:rFonts w:cs="Arial"/>
                <w:color w:val="000000"/>
                <w:sz w:val="18"/>
                <w:szCs w:val="18"/>
              </w:rPr>
              <w:t>.</w:t>
            </w:r>
          </w:p>
        </w:tc>
        <w:tc>
          <w:tcPr>
            <w:tcW w:w="1872" w:type="pct"/>
            <w:hideMark/>
          </w:tcPr>
          <w:p w14:paraId="739473EF"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 xml:space="preserve">Se incluye en la tasa reconocida para recuperar el saldo de la opción tarifaria. </w:t>
            </w:r>
          </w:p>
        </w:tc>
      </w:tr>
      <w:tr w:rsidR="005E727D" w:rsidRPr="007E00DB" w14:paraId="26BE4097" w14:textId="77777777" w:rsidTr="009D701F">
        <w:trPr>
          <w:trHeight w:val="1160"/>
        </w:trPr>
        <w:tc>
          <w:tcPr>
            <w:tcW w:w="881" w:type="pct"/>
            <w:hideMark/>
          </w:tcPr>
          <w:p w14:paraId="60C95057"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E2023017889_GEB</w:t>
            </w:r>
          </w:p>
        </w:tc>
        <w:tc>
          <w:tcPr>
            <w:tcW w:w="2247" w:type="pct"/>
            <w:hideMark/>
          </w:tcPr>
          <w:p w14:paraId="261BFC37"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Es necesario mantener los precios de bolsa como señal de abundancia o escasez.</w:t>
            </w:r>
            <w:r w:rsidRPr="009D701F">
              <w:rPr>
                <w:rFonts w:cs="Arial"/>
                <w:color w:val="000000"/>
                <w:sz w:val="18"/>
                <w:szCs w:val="18"/>
              </w:rPr>
              <w:br/>
              <w:t>Habilitar la respuesta de la demanda en la bolsa de energía igual que en el niño pasado (modificar artículos 7 y 10 de la 011 de 2015)</w:t>
            </w:r>
          </w:p>
        </w:tc>
        <w:tc>
          <w:tcPr>
            <w:tcW w:w="1872" w:type="pct"/>
            <w:hideMark/>
          </w:tcPr>
          <w:p w14:paraId="1AA77EF5"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Estas propuestas exceden el alcance del proyecto de resolución, por lo que no es posible incorporar su análisis en el diseño de la norma definitiva.</w:t>
            </w:r>
          </w:p>
        </w:tc>
      </w:tr>
      <w:tr w:rsidR="005E727D" w:rsidRPr="007E00DB" w14:paraId="2D104074" w14:textId="77777777" w:rsidTr="009D701F">
        <w:trPr>
          <w:trHeight w:val="2320"/>
        </w:trPr>
        <w:tc>
          <w:tcPr>
            <w:tcW w:w="881" w:type="pct"/>
            <w:hideMark/>
          </w:tcPr>
          <w:p w14:paraId="6BC0B48C"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E2023017889_GEB</w:t>
            </w:r>
          </w:p>
        </w:tc>
        <w:tc>
          <w:tcPr>
            <w:tcW w:w="2247" w:type="pct"/>
            <w:hideMark/>
          </w:tcPr>
          <w:p w14:paraId="5ADB5AF0" w14:textId="2304B096" w:rsidR="005E727D" w:rsidRPr="009D701F" w:rsidRDefault="005E727D" w:rsidP="005E727D">
            <w:pPr>
              <w:spacing w:before="0" w:after="0"/>
              <w:jc w:val="left"/>
              <w:rPr>
                <w:rFonts w:cs="Arial"/>
                <w:color w:val="000000"/>
                <w:sz w:val="18"/>
                <w:szCs w:val="18"/>
              </w:rPr>
            </w:pPr>
            <w:r w:rsidRPr="009D701F">
              <w:rPr>
                <w:rFonts w:cs="Arial"/>
                <w:color w:val="000000"/>
                <w:sz w:val="18"/>
                <w:szCs w:val="18"/>
              </w:rPr>
              <w:t>Se debe ajustar el artículo 8 de la 011 de 2015 para que la remuneración sea coherente con los recursos de generación</w:t>
            </w:r>
            <w:r w:rsidR="003D262F" w:rsidRPr="009D701F">
              <w:rPr>
                <w:rFonts w:cs="Arial"/>
                <w:color w:val="000000"/>
                <w:sz w:val="18"/>
                <w:szCs w:val="18"/>
              </w:rPr>
              <w:t>.</w:t>
            </w:r>
            <w:r w:rsidRPr="009D701F">
              <w:rPr>
                <w:rFonts w:cs="Arial"/>
                <w:color w:val="000000"/>
                <w:sz w:val="18"/>
                <w:szCs w:val="18"/>
              </w:rPr>
              <w:br/>
              <w:t>Implementar tarifas diferenciales según rangos de consumo</w:t>
            </w:r>
            <w:r w:rsidRPr="009D701F">
              <w:rPr>
                <w:rFonts w:cs="Arial"/>
                <w:color w:val="000000"/>
                <w:sz w:val="18"/>
                <w:szCs w:val="18"/>
              </w:rPr>
              <w:br/>
              <w:t>Establecer mercado de restricciones</w:t>
            </w:r>
            <w:r w:rsidRPr="009D701F">
              <w:rPr>
                <w:rFonts w:cs="Arial"/>
                <w:color w:val="000000"/>
                <w:sz w:val="18"/>
                <w:szCs w:val="18"/>
              </w:rPr>
              <w:br/>
              <w:t>Comercializadores con baja capacidad de pago pueden respaldar con mecanismos flexibles (pignoración de ingresos o activos productivos, cesión de contratos o constitución de esquema centralizado de riesgo de contraparte)</w:t>
            </w:r>
            <w:r w:rsidR="003D262F" w:rsidRPr="009D701F">
              <w:rPr>
                <w:rFonts w:cs="Arial"/>
                <w:color w:val="000000"/>
                <w:sz w:val="18"/>
                <w:szCs w:val="18"/>
              </w:rPr>
              <w:t>.</w:t>
            </w:r>
          </w:p>
        </w:tc>
        <w:tc>
          <w:tcPr>
            <w:tcW w:w="1872" w:type="pct"/>
            <w:hideMark/>
          </w:tcPr>
          <w:p w14:paraId="2C3CA199" w14:textId="387E14EA" w:rsidR="005E727D" w:rsidRPr="009D701F" w:rsidRDefault="005E727D" w:rsidP="005E727D">
            <w:pPr>
              <w:spacing w:before="0" w:after="0"/>
              <w:jc w:val="left"/>
              <w:rPr>
                <w:rFonts w:cs="Arial"/>
                <w:color w:val="000000"/>
                <w:sz w:val="18"/>
                <w:szCs w:val="18"/>
              </w:rPr>
            </w:pPr>
            <w:r w:rsidRPr="009D701F">
              <w:rPr>
                <w:rFonts w:cs="Arial"/>
                <w:color w:val="000000"/>
                <w:sz w:val="18"/>
                <w:szCs w:val="18"/>
              </w:rPr>
              <w:t>Estas propuestas exceden el</w:t>
            </w:r>
            <w:r w:rsidR="00867483" w:rsidRPr="009D701F">
              <w:rPr>
                <w:rFonts w:cs="Arial"/>
                <w:color w:val="000000"/>
                <w:sz w:val="18"/>
                <w:szCs w:val="18"/>
              </w:rPr>
              <w:t xml:space="preserve"> objeto y</w:t>
            </w:r>
            <w:r w:rsidRPr="009D701F">
              <w:rPr>
                <w:rFonts w:cs="Arial"/>
                <w:color w:val="000000"/>
                <w:sz w:val="18"/>
                <w:szCs w:val="18"/>
              </w:rPr>
              <w:t xml:space="preserve"> alcance del proyecto de resolución, por lo que no es </w:t>
            </w:r>
            <w:r w:rsidR="001E7E04" w:rsidRPr="009D701F">
              <w:rPr>
                <w:rFonts w:cs="Arial"/>
                <w:color w:val="000000"/>
                <w:sz w:val="18"/>
                <w:szCs w:val="18"/>
              </w:rPr>
              <w:t>válido</w:t>
            </w:r>
            <w:r w:rsidRPr="009D701F">
              <w:rPr>
                <w:rFonts w:cs="Arial"/>
                <w:color w:val="000000"/>
                <w:sz w:val="18"/>
                <w:szCs w:val="18"/>
              </w:rPr>
              <w:t xml:space="preserve"> incorporar su análisis en el diseño de la norma definitiva.</w:t>
            </w:r>
          </w:p>
        </w:tc>
      </w:tr>
      <w:tr w:rsidR="005E727D" w:rsidRPr="007E00DB" w14:paraId="7A57084F" w14:textId="77777777" w:rsidTr="009D701F">
        <w:trPr>
          <w:trHeight w:val="1160"/>
        </w:trPr>
        <w:tc>
          <w:tcPr>
            <w:tcW w:w="881" w:type="pct"/>
            <w:hideMark/>
          </w:tcPr>
          <w:p w14:paraId="63855BC2"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E2023017879_EMSA</w:t>
            </w:r>
          </w:p>
        </w:tc>
        <w:tc>
          <w:tcPr>
            <w:tcW w:w="2247" w:type="pct"/>
            <w:hideMark/>
          </w:tcPr>
          <w:p w14:paraId="0E1E1578" w14:textId="39625CFC" w:rsidR="005E727D" w:rsidRPr="009D701F" w:rsidRDefault="005E727D" w:rsidP="005E727D">
            <w:pPr>
              <w:spacing w:before="0" w:after="0"/>
              <w:jc w:val="left"/>
              <w:rPr>
                <w:rFonts w:cs="Arial"/>
                <w:color w:val="000000"/>
                <w:sz w:val="18"/>
                <w:szCs w:val="18"/>
              </w:rPr>
            </w:pPr>
            <w:r w:rsidRPr="009D701F">
              <w:rPr>
                <w:rFonts w:cs="Arial"/>
                <w:color w:val="000000"/>
                <w:sz w:val="18"/>
                <w:szCs w:val="18"/>
              </w:rPr>
              <w:t>Se debe aclarar que cuando el cambio de comercializador se da entre el mismo comercializador</w:t>
            </w:r>
            <w:r w:rsidR="00883C0E" w:rsidRPr="009D701F">
              <w:rPr>
                <w:rFonts w:cs="Arial"/>
                <w:color w:val="000000"/>
                <w:sz w:val="18"/>
                <w:szCs w:val="18"/>
              </w:rPr>
              <w:t>,</w:t>
            </w:r>
            <w:r w:rsidRPr="009D701F">
              <w:rPr>
                <w:rFonts w:cs="Arial"/>
                <w:color w:val="000000"/>
                <w:sz w:val="18"/>
                <w:szCs w:val="18"/>
              </w:rPr>
              <w:t xml:space="preserve"> pero en diferentes mercados, al igual hay que reconocer el COT</w:t>
            </w:r>
          </w:p>
        </w:tc>
        <w:tc>
          <w:tcPr>
            <w:tcW w:w="1872" w:type="pct"/>
            <w:hideMark/>
          </w:tcPr>
          <w:p w14:paraId="332A56F7" w14:textId="0E8ACE18" w:rsidR="005E727D" w:rsidRPr="009D701F" w:rsidRDefault="005E727D" w:rsidP="005E727D">
            <w:pPr>
              <w:spacing w:before="0" w:after="0"/>
              <w:jc w:val="left"/>
              <w:rPr>
                <w:rFonts w:cs="Arial"/>
                <w:color w:val="000000"/>
                <w:sz w:val="18"/>
                <w:szCs w:val="18"/>
              </w:rPr>
            </w:pPr>
            <w:r w:rsidRPr="009D701F">
              <w:rPr>
                <w:rFonts w:cs="Arial"/>
                <w:color w:val="000000"/>
                <w:sz w:val="18"/>
                <w:szCs w:val="18"/>
              </w:rPr>
              <w:t xml:space="preserve">Entendiendo que en un mismo mercado de comercialización un usuario pueda cambiar de Regulado a No Regulado, se introducen </w:t>
            </w:r>
            <w:r w:rsidR="00883C0E" w:rsidRPr="009D701F">
              <w:rPr>
                <w:rFonts w:cs="Arial"/>
                <w:color w:val="000000"/>
                <w:sz w:val="18"/>
                <w:szCs w:val="18"/>
              </w:rPr>
              <w:t>condiciones</w:t>
            </w:r>
            <w:r w:rsidRPr="009D701F">
              <w:rPr>
                <w:rFonts w:cs="Arial"/>
                <w:color w:val="000000"/>
                <w:sz w:val="18"/>
                <w:szCs w:val="18"/>
              </w:rPr>
              <w:t xml:space="preserve"> para el reconocimiento del costo de la </w:t>
            </w:r>
            <w:r w:rsidR="00883C0E" w:rsidRPr="009D701F">
              <w:rPr>
                <w:rFonts w:cs="Arial"/>
                <w:color w:val="000000"/>
                <w:sz w:val="18"/>
                <w:szCs w:val="18"/>
              </w:rPr>
              <w:t>opción</w:t>
            </w:r>
            <w:r w:rsidRPr="009D701F">
              <w:rPr>
                <w:rFonts w:cs="Arial"/>
                <w:color w:val="000000"/>
                <w:sz w:val="18"/>
                <w:szCs w:val="18"/>
              </w:rPr>
              <w:t xml:space="preserve"> tarifaria en cada caso.</w:t>
            </w:r>
          </w:p>
        </w:tc>
      </w:tr>
      <w:tr w:rsidR="005E727D" w:rsidRPr="007E00DB" w14:paraId="3F9AA2E6" w14:textId="77777777" w:rsidTr="009D701F">
        <w:trPr>
          <w:trHeight w:val="1160"/>
        </w:trPr>
        <w:tc>
          <w:tcPr>
            <w:tcW w:w="881" w:type="pct"/>
            <w:hideMark/>
          </w:tcPr>
          <w:p w14:paraId="77E6C2F2"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lastRenderedPageBreak/>
              <w:t>E2023017879_EMSA</w:t>
            </w:r>
          </w:p>
        </w:tc>
        <w:tc>
          <w:tcPr>
            <w:tcW w:w="2247" w:type="pct"/>
            <w:hideMark/>
          </w:tcPr>
          <w:p w14:paraId="6AD1AEAE" w14:textId="59425EDE" w:rsidR="005E727D" w:rsidRPr="009D701F" w:rsidRDefault="005E727D" w:rsidP="005E727D">
            <w:pPr>
              <w:spacing w:before="0" w:after="0"/>
              <w:jc w:val="left"/>
              <w:rPr>
                <w:rFonts w:cs="Arial"/>
                <w:color w:val="000000"/>
                <w:sz w:val="18"/>
                <w:szCs w:val="18"/>
              </w:rPr>
            </w:pPr>
            <w:r w:rsidRPr="009D701F">
              <w:rPr>
                <w:rFonts w:cs="Arial"/>
                <w:color w:val="000000"/>
                <w:sz w:val="18"/>
                <w:szCs w:val="18"/>
              </w:rPr>
              <w:t xml:space="preserve">Sin importar el tiempo que la frontera caiga al mercado incumbente </w:t>
            </w:r>
            <w:r w:rsidR="00883C0E" w:rsidRPr="009D701F">
              <w:rPr>
                <w:rFonts w:cs="Arial"/>
                <w:color w:val="000000"/>
                <w:sz w:val="18"/>
                <w:szCs w:val="18"/>
              </w:rPr>
              <w:t>para</w:t>
            </w:r>
            <w:r w:rsidRPr="009D701F">
              <w:rPr>
                <w:rFonts w:cs="Arial"/>
                <w:color w:val="000000"/>
                <w:sz w:val="18"/>
                <w:szCs w:val="18"/>
              </w:rPr>
              <w:t xml:space="preserve"> luego ser retomada por otro agente ¿a este le será incluido el COT?</w:t>
            </w:r>
          </w:p>
        </w:tc>
        <w:tc>
          <w:tcPr>
            <w:tcW w:w="1872" w:type="pct"/>
            <w:hideMark/>
          </w:tcPr>
          <w:p w14:paraId="0927314A" w14:textId="0312164C" w:rsidR="005E727D" w:rsidRPr="009D701F" w:rsidRDefault="005E727D" w:rsidP="005E727D">
            <w:pPr>
              <w:spacing w:before="0" w:after="0"/>
              <w:jc w:val="left"/>
              <w:rPr>
                <w:rFonts w:cs="Arial"/>
                <w:color w:val="000000"/>
                <w:sz w:val="18"/>
                <w:szCs w:val="18"/>
              </w:rPr>
            </w:pPr>
            <w:r w:rsidRPr="009D701F">
              <w:rPr>
                <w:rFonts w:cs="Arial"/>
                <w:color w:val="000000"/>
                <w:sz w:val="18"/>
                <w:szCs w:val="18"/>
              </w:rPr>
              <w:t xml:space="preserve">La única excepción en el que un usuario No regulado que cambia al mercado regulado no pague el Costo de Opción Tarifaria es cuando dicho cambio se </w:t>
            </w:r>
            <w:r w:rsidR="00883C0E" w:rsidRPr="009D701F">
              <w:rPr>
                <w:rFonts w:cs="Arial"/>
                <w:color w:val="000000"/>
                <w:sz w:val="18"/>
                <w:szCs w:val="18"/>
              </w:rPr>
              <w:t>da</w:t>
            </w:r>
            <w:r w:rsidRPr="009D701F">
              <w:rPr>
                <w:rFonts w:cs="Arial"/>
                <w:color w:val="000000"/>
                <w:sz w:val="18"/>
                <w:szCs w:val="18"/>
              </w:rPr>
              <w:t xml:space="preserve"> por situación de limitación de suministro del comercializador que lo atendía.</w:t>
            </w:r>
          </w:p>
        </w:tc>
      </w:tr>
      <w:tr w:rsidR="005E727D" w:rsidRPr="007E00DB" w14:paraId="76B173C8" w14:textId="77777777" w:rsidTr="009D701F">
        <w:trPr>
          <w:trHeight w:val="1740"/>
        </w:trPr>
        <w:tc>
          <w:tcPr>
            <w:tcW w:w="881" w:type="pct"/>
            <w:hideMark/>
          </w:tcPr>
          <w:p w14:paraId="2A68222E"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E2023017879_EMSA</w:t>
            </w:r>
          </w:p>
        </w:tc>
        <w:tc>
          <w:tcPr>
            <w:tcW w:w="2247" w:type="pct"/>
            <w:hideMark/>
          </w:tcPr>
          <w:p w14:paraId="77F40344" w14:textId="4BC39D38" w:rsidR="005E727D" w:rsidRPr="009D701F" w:rsidRDefault="005E727D" w:rsidP="005E727D">
            <w:pPr>
              <w:spacing w:before="0" w:after="0"/>
              <w:jc w:val="left"/>
              <w:rPr>
                <w:rFonts w:cs="Arial"/>
                <w:color w:val="000000"/>
                <w:sz w:val="18"/>
                <w:szCs w:val="18"/>
              </w:rPr>
            </w:pPr>
            <w:r w:rsidRPr="009D701F">
              <w:rPr>
                <w:rFonts w:cs="Arial"/>
                <w:color w:val="000000"/>
                <w:sz w:val="18"/>
                <w:szCs w:val="18"/>
              </w:rPr>
              <w:t xml:space="preserve">La fecha del 14 es muy justa porque hasta ese día se conocen las variables. extender el plazo a la </w:t>
            </w:r>
            <w:r w:rsidR="00883C0E" w:rsidRPr="009D701F">
              <w:rPr>
                <w:rFonts w:cs="Arial"/>
                <w:color w:val="000000"/>
                <w:sz w:val="18"/>
                <w:szCs w:val="18"/>
              </w:rPr>
              <w:t>publicación</w:t>
            </w:r>
            <w:r w:rsidRPr="009D701F">
              <w:rPr>
                <w:rFonts w:cs="Arial"/>
                <w:color w:val="000000"/>
                <w:sz w:val="18"/>
                <w:szCs w:val="18"/>
              </w:rPr>
              <w:t xml:space="preserve"> general de tarifas</w:t>
            </w:r>
          </w:p>
        </w:tc>
        <w:tc>
          <w:tcPr>
            <w:tcW w:w="1872" w:type="pct"/>
            <w:hideMark/>
          </w:tcPr>
          <w:p w14:paraId="672E4F9F" w14:textId="480DDE81" w:rsidR="005E727D" w:rsidRPr="009D701F" w:rsidRDefault="005E727D" w:rsidP="005E727D">
            <w:pPr>
              <w:spacing w:before="0" w:after="0"/>
              <w:jc w:val="left"/>
              <w:rPr>
                <w:rFonts w:cs="Arial"/>
                <w:color w:val="000000"/>
                <w:sz w:val="18"/>
                <w:szCs w:val="18"/>
              </w:rPr>
            </w:pPr>
            <w:r w:rsidRPr="009D701F">
              <w:rPr>
                <w:rFonts w:cs="Arial"/>
                <w:color w:val="000000"/>
                <w:sz w:val="18"/>
                <w:szCs w:val="18"/>
              </w:rPr>
              <w:t xml:space="preserve">El Comité Asesor de la </w:t>
            </w:r>
            <w:r w:rsidR="00883C0E" w:rsidRPr="009D701F">
              <w:rPr>
                <w:rFonts w:cs="Arial"/>
                <w:color w:val="000000"/>
                <w:sz w:val="18"/>
                <w:szCs w:val="18"/>
              </w:rPr>
              <w:t>Comercialización</w:t>
            </w:r>
            <w:r w:rsidRPr="009D701F">
              <w:rPr>
                <w:rFonts w:cs="Arial"/>
                <w:color w:val="000000"/>
                <w:sz w:val="18"/>
                <w:szCs w:val="18"/>
              </w:rPr>
              <w:t xml:space="preserve"> deberá enviar a la CREG una propuesta de cálculo y publicación del costo asociado con la recuperación del saldo de la opción tarifaria en un mercado determinado. Teniendo en cuenta que dicha </w:t>
            </w:r>
            <w:r w:rsidR="00883C0E" w:rsidRPr="009D701F">
              <w:rPr>
                <w:rFonts w:cs="Arial"/>
                <w:color w:val="000000"/>
                <w:sz w:val="18"/>
                <w:szCs w:val="18"/>
              </w:rPr>
              <w:t>información</w:t>
            </w:r>
            <w:r w:rsidRPr="009D701F">
              <w:rPr>
                <w:rFonts w:cs="Arial"/>
                <w:color w:val="000000"/>
                <w:sz w:val="18"/>
                <w:szCs w:val="18"/>
              </w:rPr>
              <w:t xml:space="preserve"> debe estar disponible antes del 15 del mes que corresponda.</w:t>
            </w:r>
          </w:p>
        </w:tc>
      </w:tr>
      <w:tr w:rsidR="005E727D" w:rsidRPr="007E00DB" w14:paraId="32A654AB" w14:textId="77777777" w:rsidTr="009D701F">
        <w:trPr>
          <w:trHeight w:val="1560"/>
        </w:trPr>
        <w:tc>
          <w:tcPr>
            <w:tcW w:w="881" w:type="pct"/>
            <w:hideMark/>
          </w:tcPr>
          <w:p w14:paraId="10B3A483"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E2023017879_EMSA</w:t>
            </w:r>
          </w:p>
        </w:tc>
        <w:tc>
          <w:tcPr>
            <w:tcW w:w="2247" w:type="pct"/>
            <w:hideMark/>
          </w:tcPr>
          <w:p w14:paraId="56BAFBF2"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Una vez que el comercializador acepte entrar en el mutuo acuerdo, ¿los P.V. se podrán ajustar por nivel de tensión hasta el 3%?</w:t>
            </w:r>
          </w:p>
        </w:tc>
        <w:tc>
          <w:tcPr>
            <w:tcW w:w="1872" w:type="pct"/>
            <w:hideMark/>
          </w:tcPr>
          <w:p w14:paraId="5E606242" w14:textId="56ED29BE" w:rsidR="005E727D" w:rsidRPr="009D701F" w:rsidRDefault="005E727D" w:rsidP="005E727D">
            <w:pPr>
              <w:spacing w:before="0" w:after="0"/>
              <w:jc w:val="left"/>
              <w:rPr>
                <w:rFonts w:cs="Arial"/>
                <w:color w:val="000000"/>
                <w:sz w:val="18"/>
                <w:szCs w:val="18"/>
              </w:rPr>
            </w:pPr>
            <w:r w:rsidRPr="009D701F">
              <w:rPr>
                <w:rFonts w:cs="Arial"/>
                <w:color w:val="000000"/>
                <w:sz w:val="18"/>
                <w:szCs w:val="18"/>
              </w:rPr>
              <w:t xml:space="preserve">Una vez que un prestador se acoja al mutuo acuerdo, no es necesario calcular un PV, dado que </w:t>
            </w:r>
            <w:r w:rsidR="00F8796D" w:rsidRPr="009D701F">
              <w:rPr>
                <w:rFonts w:cs="Arial"/>
                <w:color w:val="000000"/>
                <w:sz w:val="18"/>
                <w:szCs w:val="18"/>
              </w:rPr>
              <w:t xml:space="preserve">al desaparecer la </w:t>
            </w:r>
            <w:proofErr w:type="gramStart"/>
            <w:r w:rsidR="00F8796D" w:rsidRPr="009D701F">
              <w:rPr>
                <w:rFonts w:cs="Arial"/>
                <w:color w:val="000000"/>
                <w:sz w:val="18"/>
                <w:szCs w:val="18"/>
              </w:rPr>
              <w:t>opción  tarifaria</w:t>
            </w:r>
            <w:proofErr w:type="gramEnd"/>
            <w:r w:rsidR="00C81B26" w:rsidRPr="009D701F">
              <w:rPr>
                <w:rFonts w:cs="Arial"/>
                <w:color w:val="000000"/>
                <w:sz w:val="18"/>
                <w:szCs w:val="18"/>
              </w:rPr>
              <w:t xml:space="preserve"> y el saldo es remunerado mediante la variable COT, desaparece la variable PV.</w:t>
            </w:r>
            <w:r w:rsidR="00C81B26" w:rsidRPr="009D701F" w:rsidDel="00F8796D">
              <w:rPr>
                <w:rFonts w:cs="Arial"/>
                <w:color w:val="000000"/>
                <w:sz w:val="18"/>
                <w:szCs w:val="18"/>
              </w:rPr>
              <w:t xml:space="preserve"> </w:t>
            </w:r>
          </w:p>
        </w:tc>
      </w:tr>
      <w:tr w:rsidR="005E727D" w:rsidRPr="007E00DB" w14:paraId="4BB3C1FA" w14:textId="77777777" w:rsidTr="009D701F">
        <w:trPr>
          <w:trHeight w:val="1450"/>
        </w:trPr>
        <w:tc>
          <w:tcPr>
            <w:tcW w:w="881" w:type="pct"/>
            <w:hideMark/>
          </w:tcPr>
          <w:p w14:paraId="320B0408"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E2023017879_EMSA</w:t>
            </w:r>
          </w:p>
        </w:tc>
        <w:tc>
          <w:tcPr>
            <w:tcW w:w="2247" w:type="pct"/>
            <w:hideMark/>
          </w:tcPr>
          <w:p w14:paraId="6BA66D90"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Cuando un usuario cambia de comercializador, ¿cómo se asegura el pago del COT y cómo riñe este aseguramiento con lo descrito en los artículos 54 y 56 de la CREG 156 de 2011?</w:t>
            </w:r>
          </w:p>
        </w:tc>
        <w:tc>
          <w:tcPr>
            <w:tcW w:w="1872" w:type="pct"/>
            <w:hideMark/>
          </w:tcPr>
          <w:p w14:paraId="6AC6122A"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 xml:space="preserve">El pago del COT no riñe con dichos artículos porque no se traslada una deuda. </w:t>
            </w:r>
            <w:proofErr w:type="gramStart"/>
            <w:r w:rsidRPr="009D701F">
              <w:rPr>
                <w:rFonts w:cs="Arial"/>
                <w:color w:val="000000"/>
                <w:sz w:val="18"/>
                <w:szCs w:val="18"/>
              </w:rPr>
              <w:t>El paz</w:t>
            </w:r>
            <w:proofErr w:type="gramEnd"/>
            <w:r w:rsidRPr="009D701F">
              <w:rPr>
                <w:rFonts w:cs="Arial"/>
                <w:color w:val="000000"/>
                <w:sz w:val="18"/>
                <w:szCs w:val="18"/>
              </w:rPr>
              <w:t xml:space="preserve"> y salvo no tiene relación con el costo de la opción tarifaria. El nuevo comercializador debe cobrar el COT y trasladar los recursos a los comercializadores que correspondan</w:t>
            </w:r>
          </w:p>
        </w:tc>
      </w:tr>
      <w:tr w:rsidR="005E727D" w:rsidRPr="007E00DB" w14:paraId="0AB9A24D" w14:textId="77777777" w:rsidTr="009D701F">
        <w:trPr>
          <w:trHeight w:val="2030"/>
        </w:trPr>
        <w:tc>
          <w:tcPr>
            <w:tcW w:w="881" w:type="pct"/>
            <w:hideMark/>
          </w:tcPr>
          <w:p w14:paraId="4A25833D"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E2023017879_EMSA</w:t>
            </w:r>
          </w:p>
        </w:tc>
        <w:tc>
          <w:tcPr>
            <w:tcW w:w="2247" w:type="pct"/>
            <w:hideMark/>
          </w:tcPr>
          <w:p w14:paraId="1C2898D3"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¿los nuevos usuarios en un mercado deben ingresar de manera automática a la opción tarifaria o tiene la opción la empresa o el usuario de no acogerse, con el fin de no seguir acumulando estos saldos en el mercado?</w:t>
            </w:r>
          </w:p>
        </w:tc>
        <w:tc>
          <w:tcPr>
            <w:tcW w:w="1872" w:type="pct"/>
            <w:hideMark/>
          </w:tcPr>
          <w:p w14:paraId="5C7B8C13"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En caso de que la pregunta se encuentre asociada con la aplicación de la opción tarifaria de que trata la Resolución CREG 012 de 2020, en el caso de que un comercializador haya iniciado una opción tarifaria con anterioridad a enero de 2022 y la misma se encuentre vigente, todos los usuarios del mercado atendidos por el usuario, así como los nuevos, son sujetos de la aplicación de la misma opción tarifaria.</w:t>
            </w:r>
          </w:p>
        </w:tc>
      </w:tr>
      <w:tr w:rsidR="005E727D" w:rsidRPr="007E00DB" w14:paraId="52FBDD1F" w14:textId="77777777" w:rsidTr="009D701F">
        <w:trPr>
          <w:trHeight w:val="1160"/>
        </w:trPr>
        <w:tc>
          <w:tcPr>
            <w:tcW w:w="881" w:type="pct"/>
            <w:hideMark/>
          </w:tcPr>
          <w:p w14:paraId="0E941EF2"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E2023017879_EMSA</w:t>
            </w:r>
          </w:p>
        </w:tc>
        <w:tc>
          <w:tcPr>
            <w:tcW w:w="2247" w:type="pct"/>
            <w:hideMark/>
          </w:tcPr>
          <w:p w14:paraId="6373DB84"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¿Cómo se verá reflejado o se contempla en el COT la recuperación del valor monetario de los subsidios?</w:t>
            </w:r>
          </w:p>
        </w:tc>
        <w:tc>
          <w:tcPr>
            <w:tcW w:w="1872" w:type="pct"/>
            <w:hideMark/>
          </w:tcPr>
          <w:p w14:paraId="6EB93A3B"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Tanto los subsidios como las contribuciones se otorgan o aplican en función del costo unitario de prestación del servicio que a su vez integra el COT, es decir, de manera proporcional serán cobrados o aplicados.</w:t>
            </w:r>
          </w:p>
        </w:tc>
      </w:tr>
      <w:tr w:rsidR="005E727D" w:rsidRPr="007E00DB" w14:paraId="35F22327" w14:textId="77777777" w:rsidTr="009D701F">
        <w:trPr>
          <w:trHeight w:val="2030"/>
        </w:trPr>
        <w:tc>
          <w:tcPr>
            <w:tcW w:w="881" w:type="pct"/>
            <w:hideMark/>
          </w:tcPr>
          <w:p w14:paraId="235ED97C"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lastRenderedPageBreak/>
              <w:t>E2023017879_EMSA</w:t>
            </w:r>
          </w:p>
        </w:tc>
        <w:tc>
          <w:tcPr>
            <w:tcW w:w="2247" w:type="pct"/>
            <w:hideMark/>
          </w:tcPr>
          <w:p w14:paraId="08CA411E"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¿qué medida o mecanismo de control se tomarán para los clientes que cambien de mercado en un periodo de dos años, toda vez que en el tiempo contemplado para recuperación puede realizar cambio a 5 comercializadores y con cada mercado puede tomarse el tiempo de 120 meses con lo cual generaría una reacción en cadena?</w:t>
            </w:r>
          </w:p>
        </w:tc>
        <w:tc>
          <w:tcPr>
            <w:tcW w:w="1872" w:type="pct"/>
            <w:hideMark/>
          </w:tcPr>
          <w:p w14:paraId="5230D1EC"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No se entiende de qué manera un usuario en un mercado de comercialización pueda cambiar 5 veces para generar un cobro de 120 meses con cada nuevo comercializador. El cobro del COT en un mercado específico, para aquellos comercializadores que se acojan al mutuo acuerdo y cuando se termine el pago del saldo, se termina la responsabilidad de pago del COT para ese usuario.</w:t>
            </w:r>
          </w:p>
        </w:tc>
      </w:tr>
      <w:tr w:rsidR="005E727D" w:rsidRPr="007E00DB" w14:paraId="3DAB53C6" w14:textId="77777777" w:rsidTr="009D701F">
        <w:trPr>
          <w:trHeight w:val="1450"/>
        </w:trPr>
        <w:tc>
          <w:tcPr>
            <w:tcW w:w="881" w:type="pct"/>
            <w:hideMark/>
          </w:tcPr>
          <w:p w14:paraId="253B4F89"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E2023017879_EMSA</w:t>
            </w:r>
          </w:p>
        </w:tc>
        <w:tc>
          <w:tcPr>
            <w:tcW w:w="2247" w:type="pct"/>
            <w:hideMark/>
          </w:tcPr>
          <w:p w14:paraId="6F66EF5E" w14:textId="10912F80" w:rsidR="005E727D" w:rsidRPr="009D701F" w:rsidRDefault="00C94FBA" w:rsidP="005E727D">
            <w:pPr>
              <w:spacing w:before="0" w:after="0"/>
              <w:jc w:val="left"/>
              <w:rPr>
                <w:rFonts w:cs="Arial"/>
                <w:color w:val="000000"/>
                <w:sz w:val="18"/>
                <w:szCs w:val="18"/>
              </w:rPr>
            </w:pPr>
            <w:r w:rsidRPr="009D701F">
              <w:rPr>
                <w:rFonts w:cs="Arial"/>
                <w:color w:val="000000"/>
                <w:sz w:val="18"/>
                <w:szCs w:val="18"/>
              </w:rPr>
              <w:t>¿</w:t>
            </w:r>
            <w:r w:rsidR="005E727D" w:rsidRPr="009D701F">
              <w:rPr>
                <w:rFonts w:cs="Arial"/>
                <w:color w:val="000000"/>
                <w:sz w:val="18"/>
                <w:szCs w:val="18"/>
              </w:rPr>
              <w:t>El valor del COT debe sumarse a los MUNTS?</w:t>
            </w:r>
          </w:p>
        </w:tc>
        <w:tc>
          <w:tcPr>
            <w:tcW w:w="1872" w:type="pct"/>
            <w:hideMark/>
          </w:tcPr>
          <w:p w14:paraId="5AF9D69E"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En caso de que la consulta se refiera a ¿si un usuario que migra a otro nivel de tensión debe pagar COT?, la respuesta es que dicho usuario, independientemente del nivel de tensión al que migre, deberá pagar el COT del nivel de tensión de donde salió y hasta su finalización.</w:t>
            </w:r>
          </w:p>
        </w:tc>
      </w:tr>
      <w:tr w:rsidR="005E727D" w:rsidRPr="007E00DB" w14:paraId="660975F4" w14:textId="77777777" w:rsidTr="009D701F">
        <w:trPr>
          <w:trHeight w:val="1740"/>
        </w:trPr>
        <w:tc>
          <w:tcPr>
            <w:tcW w:w="881" w:type="pct"/>
            <w:hideMark/>
          </w:tcPr>
          <w:p w14:paraId="70B9ADBD"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E2023017879_EMSA</w:t>
            </w:r>
          </w:p>
        </w:tc>
        <w:tc>
          <w:tcPr>
            <w:tcW w:w="2247" w:type="pct"/>
            <w:hideMark/>
          </w:tcPr>
          <w:p w14:paraId="1E4B318F"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 xml:space="preserve">¿cómo se registrará el ingreso transferido por el nuevo comercializador al anterior comercializador? </w:t>
            </w:r>
          </w:p>
        </w:tc>
        <w:tc>
          <w:tcPr>
            <w:tcW w:w="1872" w:type="pct"/>
            <w:hideMark/>
          </w:tcPr>
          <w:p w14:paraId="45B90534" w14:textId="257F9264" w:rsidR="005E727D" w:rsidRPr="009D701F" w:rsidRDefault="005E727D" w:rsidP="005E727D">
            <w:pPr>
              <w:spacing w:before="0" w:after="0"/>
              <w:jc w:val="left"/>
              <w:rPr>
                <w:rFonts w:cs="Arial"/>
                <w:color w:val="000000"/>
                <w:sz w:val="18"/>
                <w:szCs w:val="18"/>
              </w:rPr>
            </w:pPr>
            <w:r w:rsidRPr="009D701F">
              <w:rPr>
                <w:rFonts w:cs="Arial"/>
                <w:color w:val="000000"/>
                <w:sz w:val="18"/>
                <w:szCs w:val="18"/>
              </w:rPr>
              <w:t xml:space="preserve">El registro contable es similar al que se efectúa para registrar costos de otros agentes pero que un comercializador recauda. No obstante, el Comité Asesor de la </w:t>
            </w:r>
            <w:r w:rsidR="00C94FBA" w:rsidRPr="009D701F">
              <w:rPr>
                <w:rFonts w:cs="Arial"/>
                <w:color w:val="000000"/>
                <w:sz w:val="18"/>
                <w:szCs w:val="18"/>
              </w:rPr>
              <w:t>Comercialización</w:t>
            </w:r>
            <w:r w:rsidRPr="009D701F">
              <w:rPr>
                <w:rFonts w:cs="Arial"/>
                <w:color w:val="000000"/>
                <w:sz w:val="18"/>
                <w:szCs w:val="18"/>
              </w:rPr>
              <w:t xml:space="preserve"> deberá enviar a la CREG una propuesta para la liquidación del costo asociado con la recuperación del saldo de la opción tarifaria en un mercado determinado</w:t>
            </w:r>
          </w:p>
        </w:tc>
      </w:tr>
      <w:tr w:rsidR="005E727D" w:rsidRPr="007E00DB" w14:paraId="6D2E2F78" w14:textId="77777777" w:rsidTr="009D701F">
        <w:trPr>
          <w:trHeight w:val="580"/>
        </w:trPr>
        <w:tc>
          <w:tcPr>
            <w:tcW w:w="881" w:type="pct"/>
            <w:hideMark/>
          </w:tcPr>
          <w:p w14:paraId="13FEF838"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E2023017879_EMSA</w:t>
            </w:r>
          </w:p>
        </w:tc>
        <w:tc>
          <w:tcPr>
            <w:tcW w:w="2247" w:type="pct"/>
            <w:hideMark/>
          </w:tcPr>
          <w:p w14:paraId="3785495F"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¿el plazo estimado para la línea de créditos de Findeter es el mismo definido de 120 meses?</w:t>
            </w:r>
          </w:p>
        </w:tc>
        <w:tc>
          <w:tcPr>
            <w:tcW w:w="1872" w:type="pct"/>
            <w:hideMark/>
          </w:tcPr>
          <w:p w14:paraId="0F5C90DD"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Si, el plazo se ajusta para que sean iguales.</w:t>
            </w:r>
          </w:p>
        </w:tc>
      </w:tr>
      <w:tr w:rsidR="005E727D" w:rsidRPr="007E00DB" w14:paraId="5FB3B250" w14:textId="77777777" w:rsidTr="009D701F">
        <w:trPr>
          <w:trHeight w:val="1160"/>
        </w:trPr>
        <w:tc>
          <w:tcPr>
            <w:tcW w:w="881" w:type="pct"/>
            <w:hideMark/>
          </w:tcPr>
          <w:p w14:paraId="1FE00FD9"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E2023017879_EMSA</w:t>
            </w:r>
          </w:p>
        </w:tc>
        <w:tc>
          <w:tcPr>
            <w:tcW w:w="2247" w:type="pct"/>
            <w:hideMark/>
          </w:tcPr>
          <w:p w14:paraId="71CCB80B" w14:textId="3DF39EE6" w:rsidR="005E727D" w:rsidRPr="009D701F" w:rsidRDefault="005E727D" w:rsidP="005E727D">
            <w:pPr>
              <w:spacing w:before="0" w:after="0"/>
              <w:jc w:val="left"/>
              <w:rPr>
                <w:rFonts w:cs="Arial"/>
                <w:color w:val="000000"/>
                <w:sz w:val="18"/>
                <w:szCs w:val="18"/>
              </w:rPr>
            </w:pPr>
            <w:r w:rsidRPr="009D701F">
              <w:rPr>
                <w:rFonts w:cs="Arial"/>
                <w:color w:val="000000"/>
                <w:sz w:val="18"/>
                <w:szCs w:val="18"/>
              </w:rPr>
              <w:t xml:space="preserve">¿Al plantearse el saldo como un costo asociado con la </w:t>
            </w:r>
            <w:proofErr w:type="gramStart"/>
            <w:r w:rsidRPr="009D701F">
              <w:rPr>
                <w:rFonts w:cs="Arial"/>
                <w:color w:val="000000"/>
                <w:sz w:val="18"/>
                <w:szCs w:val="18"/>
              </w:rPr>
              <w:t>prestación  del</w:t>
            </w:r>
            <w:proofErr w:type="gramEnd"/>
            <w:r w:rsidRPr="009D701F">
              <w:rPr>
                <w:rFonts w:cs="Arial"/>
                <w:color w:val="000000"/>
                <w:sz w:val="18"/>
                <w:szCs w:val="18"/>
              </w:rPr>
              <w:t xml:space="preserve"> servicio, se debe reflejar este concepto en la facturación mensual, bimestral o trimestral emitida a los usuarios o se tomará intrínseco dentro del CU calculado?</w:t>
            </w:r>
          </w:p>
        </w:tc>
        <w:tc>
          <w:tcPr>
            <w:tcW w:w="1872" w:type="pct"/>
            <w:hideMark/>
          </w:tcPr>
          <w:p w14:paraId="55BD7162"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El COT es una variable que forma parte del costo de comercialización para el cálculo del Costo Unitario de prestación del servicio correspondiente.</w:t>
            </w:r>
          </w:p>
        </w:tc>
      </w:tr>
      <w:tr w:rsidR="005E727D" w:rsidRPr="007E00DB" w14:paraId="43D28D38" w14:textId="77777777" w:rsidTr="009D701F">
        <w:trPr>
          <w:trHeight w:val="1450"/>
        </w:trPr>
        <w:tc>
          <w:tcPr>
            <w:tcW w:w="881" w:type="pct"/>
            <w:hideMark/>
          </w:tcPr>
          <w:p w14:paraId="0BCC8E9E"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E2023017878_ACCE</w:t>
            </w:r>
          </w:p>
        </w:tc>
        <w:tc>
          <w:tcPr>
            <w:tcW w:w="2247" w:type="pct"/>
            <w:hideMark/>
          </w:tcPr>
          <w:p w14:paraId="4187F7EC" w14:textId="200C4BF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 xml:space="preserve">Adicionalmente, </w:t>
            </w:r>
            <w:proofErr w:type="gramStart"/>
            <w:r w:rsidRPr="009D701F">
              <w:rPr>
                <w:rFonts w:cs="Arial"/>
                <w:color w:val="000000"/>
                <w:sz w:val="18"/>
                <w:szCs w:val="18"/>
              </w:rPr>
              <w:t>proponemos  que</w:t>
            </w:r>
            <w:proofErr w:type="gramEnd"/>
            <w:r w:rsidRPr="009D701F">
              <w:rPr>
                <w:rFonts w:cs="Arial"/>
                <w:color w:val="000000"/>
                <w:sz w:val="18"/>
                <w:szCs w:val="18"/>
              </w:rPr>
              <w:t xml:space="preserve">  se  amplíe  el  mecanismo,  no  sólo  para  los comercializadores  integrados  con  el  distribuidor,  sino  que  aplique  para  todo Comercializador  (integrado  o  no)  que  tenga  saldos  en  Opción  Tarifaria,  sin </w:t>
            </w:r>
            <w:r w:rsidRPr="009D701F">
              <w:rPr>
                <w:rFonts w:cs="Arial"/>
                <w:color w:val="000000"/>
                <w:sz w:val="18"/>
                <w:szCs w:val="18"/>
              </w:rPr>
              <w:br/>
              <w:t>importar el monto de dichos saldos</w:t>
            </w:r>
          </w:p>
        </w:tc>
        <w:tc>
          <w:tcPr>
            <w:tcW w:w="1872" w:type="pct"/>
            <w:hideMark/>
          </w:tcPr>
          <w:p w14:paraId="183EFF3D"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En el objeto y alcance de la resolución se puede observar que la misma no restringe su aplicación a ningún agente y por tanto está dirigida a todos los comercializadores minoristas, independientemente de que estén integrados con el Operador de Red o no.</w:t>
            </w:r>
          </w:p>
        </w:tc>
      </w:tr>
      <w:tr w:rsidR="005E727D" w:rsidRPr="007E00DB" w14:paraId="0835863B" w14:textId="77777777" w:rsidTr="009D701F">
        <w:trPr>
          <w:trHeight w:val="1160"/>
        </w:trPr>
        <w:tc>
          <w:tcPr>
            <w:tcW w:w="881" w:type="pct"/>
            <w:hideMark/>
          </w:tcPr>
          <w:p w14:paraId="7F8070CF"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E2023017878_ACCE</w:t>
            </w:r>
          </w:p>
        </w:tc>
        <w:tc>
          <w:tcPr>
            <w:tcW w:w="2247" w:type="pct"/>
            <w:hideMark/>
          </w:tcPr>
          <w:p w14:paraId="7D74C2BC"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En cuanto a la fórmula de cálculo de la variable, sugerimos que, en la variable de ventas de energía, se incluya también la energía de los clientes que cambian de comercializador cuando el comercializador esté aplicando la opción tarifaria.</w:t>
            </w:r>
          </w:p>
        </w:tc>
        <w:tc>
          <w:tcPr>
            <w:tcW w:w="1872" w:type="pct"/>
            <w:hideMark/>
          </w:tcPr>
          <w:p w14:paraId="035FAB26"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Se corrige</w:t>
            </w:r>
          </w:p>
        </w:tc>
      </w:tr>
      <w:tr w:rsidR="005E727D" w:rsidRPr="007E00DB" w14:paraId="75942512" w14:textId="77777777" w:rsidTr="009D701F">
        <w:trPr>
          <w:trHeight w:val="2320"/>
        </w:trPr>
        <w:tc>
          <w:tcPr>
            <w:tcW w:w="881" w:type="pct"/>
            <w:hideMark/>
          </w:tcPr>
          <w:p w14:paraId="086B4C78"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lastRenderedPageBreak/>
              <w:t>E2023017878_ACCE</w:t>
            </w:r>
          </w:p>
        </w:tc>
        <w:tc>
          <w:tcPr>
            <w:tcW w:w="2247" w:type="pct"/>
            <w:hideMark/>
          </w:tcPr>
          <w:p w14:paraId="17615291"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Finalmente, en cuanto a las reglas para la asignación del COT a usuarios ante cambios de comercializador, sugerimos a la Comisión, incluir en la reglamentación las reglas asociadas al pago de la variable COT para los casos en los cuales los usuarios decidan cambiar del mercado regulado al no regulado y precisar cual COT debe aplicarse a los usuarios, para el caso en el cual en un mercado  de  comercialización  exista  más  de  un  comercializador  aplicando  la opción tarifaria y los clientes decidan cambiar de comercializador.</w:t>
            </w:r>
          </w:p>
        </w:tc>
        <w:tc>
          <w:tcPr>
            <w:tcW w:w="1872" w:type="pct"/>
            <w:hideMark/>
          </w:tcPr>
          <w:p w14:paraId="0BA93648"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Se incluye</w:t>
            </w:r>
          </w:p>
        </w:tc>
      </w:tr>
      <w:tr w:rsidR="005E727D" w:rsidRPr="007E00DB" w14:paraId="6DC70C72" w14:textId="77777777" w:rsidTr="009D701F">
        <w:trPr>
          <w:trHeight w:val="1665"/>
        </w:trPr>
        <w:tc>
          <w:tcPr>
            <w:tcW w:w="881" w:type="pct"/>
            <w:hideMark/>
          </w:tcPr>
          <w:p w14:paraId="4F5F173A"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E2023017874_CELSIA</w:t>
            </w:r>
          </w:p>
        </w:tc>
        <w:tc>
          <w:tcPr>
            <w:tcW w:w="2247" w:type="pct"/>
            <w:hideMark/>
          </w:tcPr>
          <w:p w14:paraId="0E0AF74C" w14:textId="505B0989" w:rsidR="005E727D" w:rsidRPr="009D701F" w:rsidRDefault="005E727D" w:rsidP="005E727D">
            <w:pPr>
              <w:spacing w:before="0" w:after="0"/>
              <w:jc w:val="left"/>
              <w:rPr>
                <w:rFonts w:cs="Arial"/>
                <w:color w:val="000000"/>
                <w:sz w:val="18"/>
                <w:szCs w:val="18"/>
              </w:rPr>
            </w:pPr>
            <w:r w:rsidRPr="009D701F">
              <w:rPr>
                <w:rFonts w:cs="Arial"/>
                <w:color w:val="000000"/>
                <w:sz w:val="18"/>
                <w:szCs w:val="18"/>
              </w:rPr>
              <w:t xml:space="preserve">Con </w:t>
            </w:r>
            <w:proofErr w:type="gramStart"/>
            <w:r w:rsidRPr="009D701F">
              <w:rPr>
                <w:rFonts w:cs="Arial"/>
                <w:color w:val="000000"/>
                <w:sz w:val="18"/>
                <w:szCs w:val="18"/>
              </w:rPr>
              <w:t>relación  a</w:t>
            </w:r>
            <w:proofErr w:type="gramEnd"/>
            <w:r w:rsidRPr="009D701F">
              <w:rPr>
                <w:rFonts w:cs="Arial"/>
                <w:color w:val="000000"/>
                <w:sz w:val="18"/>
                <w:szCs w:val="18"/>
              </w:rPr>
              <w:t xml:space="preserve">  la  fórmula  de  cálculo  de  la  variable </w:t>
            </w:r>
            <w:r w:rsidRPr="009D701F">
              <w:rPr>
                <w:rFonts w:ascii="Cambria Math" w:hAnsi="Cambria Math" w:cs="Cambria Math"/>
                <w:color w:val="000000"/>
                <w:sz w:val="18"/>
                <w:szCs w:val="18"/>
              </w:rPr>
              <w:t>𝐶𝑂𝑇𝑛</w:t>
            </w:r>
            <w:r w:rsidRPr="009D701F">
              <w:rPr>
                <w:rFonts w:cs="Arial"/>
                <w:color w:val="000000"/>
                <w:sz w:val="18"/>
                <w:szCs w:val="18"/>
              </w:rPr>
              <w:t>,</w:t>
            </w:r>
            <w:r w:rsidRPr="009D701F">
              <w:rPr>
                <w:rFonts w:ascii="Cambria Math" w:hAnsi="Cambria Math" w:cs="Cambria Math"/>
                <w:color w:val="000000"/>
                <w:sz w:val="18"/>
                <w:szCs w:val="18"/>
              </w:rPr>
              <w:t>𝑖</w:t>
            </w:r>
            <w:r w:rsidRPr="009D701F">
              <w:rPr>
                <w:rFonts w:cs="Arial"/>
                <w:color w:val="000000"/>
                <w:sz w:val="18"/>
                <w:szCs w:val="18"/>
              </w:rPr>
              <w:t>,</w:t>
            </w:r>
            <w:r w:rsidRPr="009D701F">
              <w:rPr>
                <w:rFonts w:ascii="Cambria Math" w:hAnsi="Cambria Math" w:cs="Cambria Math"/>
                <w:color w:val="000000"/>
                <w:sz w:val="18"/>
                <w:szCs w:val="18"/>
              </w:rPr>
              <w:t>𝑗</w:t>
            </w:r>
            <w:r w:rsidRPr="009D701F">
              <w:rPr>
                <w:rFonts w:cs="Arial"/>
                <w:color w:val="000000"/>
                <w:sz w:val="18"/>
                <w:szCs w:val="18"/>
              </w:rPr>
              <w:t>,</w:t>
            </w:r>
            <w:r w:rsidRPr="009D701F">
              <w:rPr>
                <w:rFonts w:ascii="Cambria Math" w:hAnsi="Cambria Math" w:cs="Cambria Math"/>
                <w:color w:val="000000"/>
                <w:sz w:val="18"/>
                <w:szCs w:val="18"/>
              </w:rPr>
              <w:t>𝑚</w:t>
            </w:r>
            <w:r w:rsidRPr="009D701F">
              <w:rPr>
                <w:rFonts w:cs="Arial"/>
                <w:color w:val="000000"/>
                <w:sz w:val="18"/>
                <w:szCs w:val="18"/>
              </w:rPr>
              <w:t>,  vemos  necesario  que  en  la variable relacionada con las ventas de energía (</w:t>
            </w:r>
            <w:proofErr w:type="spellStart"/>
            <w:r w:rsidRPr="009D701F">
              <w:rPr>
                <w:rFonts w:cs="Arial"/>
                <w:color w:val="000000"/>
                <w:sz w:val="18"/>
                <w:szCs w:val="18"/>
              </w:rPr>
              <w:t>VRn,i,j,m</w:t>
            </w:r>
            <w:proofErr w:type="spellEnd"/>
            <w:r w:rsidRPr="009D701F">
              <w:rPr>
                <w:rFonts w:cs="Arial"/>
                <w:color w:val="000000"/>
                <w:sz w:val="18"/>
                <w:szCs w:val="18"/>
              </w:rPr>
              <w:t xml:space="preserve">), se incluya también la energía de los clientes que deciden cambiar de comercializador cuando el comercializador esté aplicando la opción tarifaria. </w:t>
            </w:r>
          </w:p>
        </w:tc>
        <w:tc>
          <w:tcPr>
            <w:tcW w:w="1872" w:type="pct"/>
            <w:hideMark/>
          </w:tcPr>
          <w:p w14:paraId="55BDCF50"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Se incluye</w:t>
            </w:r>
          </w:p>
        </w:tc>
      </w:tr>
      <w:tr w:rsidR="005E727D" w:rsidRPr="007E00DB" w14:paraId="0E8BEFD6" w14:textId="77777777" w:rsidTr="009D701F">
        <w:trPr>
          <w:trHeight w:val="3075"/>
        </w:trPr>
        <w:tc>
          <w:tcPr>
            <w:tcW w:w="881" w:type="pct"/>
            <w:hideMark/>
          </w:tcPr>
          <w:p w14:paraId="08357032"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E2023017874_CELSIA</w:t>
            </w:r>
          </w:p>
        </w:tc>
        <w:tc>
          <w:tcPr>
            <w:tcW w:w="2247" w:type="pct"/>
            <w:hideMark/>
          </w:tcPr>
          <w:p w14:paraId="051DEE88"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 xml:space="preserve">Para efectos de asegurar que la variación máxima del CU no supere el 6%, en las siguientes fórmulas se debe tomar como referencia los valores del CU calculado mes m-1. </w:t>
            </w:r>
            <w:r w:rsidRPr="009D701F">
              <w:rPr>
                <w:rFonts w:cs="Arial"/>
                <w:color w:val="000000"/>
                <w:sz w:val="18"/>
                <w:szCs w:val="18"/>
              </w:rPr>
              <w:br/>
              <w:t xml:space="preserve">i. </w:t>
            </w:r>
            <w:proofErr w:type="gramStart"/>
            <w:r w:rsidRPr="009D701F">
              <w:rPr>
                <w:rFonts w:ascii="Cambria Math" w:hAnsi="Cambria Math" w:cs="Cambria Math"/>
                <w:color w:val="000000"/>
                <w:sz w:val="18"/>
                <w:szCs w:val="18"/>
              </w:rPr>
              <w:t>𝐵𝐶𝑈𝑛</w:t>
            </w:r>
            <w:r w:rsidRPr="009D701F">
              <w:rPr>
                <w:rFonts w:cs="Arial"/>
                <w:color w:val="000000"/>
                <w:sz w:val="18"/>
                <w:szCs w:val="18"/>
              </w:rPr>
              <w:t>,</w:t>
            </w:r>
            <w:r w:rsidRPr="009D701F">
              <w:rPr>
                <w:rFonts w:ascii="Cambria Math" w:hAnsi="Cambria Math" w:cs="Cambria Math"/>
                <w:color w:val="000000"/>
                <w:sz w:val="18"/>
                <w:szCs w:val="18"/>
              </w:rPr>
              <w:t>𝑖</w:t>
            </w:r>
            <w:proofErr w:type="gramEnd"/>
            <w:r w:rsidRPr="009D701F">
              <w:rPr>
                <w:rFonts w:cs="Arial"/>
                <w:color w:val="000000"/>
                <w:sz w:val="18"/>
                <w:szCs w:val="18"/>
              </w:rPr>
              <w:t>,</w:t>
            </w:r>
            <w:r w:rsidRPr="009D701F">
              <w:rPr>
                <w:rFonts w:ascii="Cambria Math" w:hAnsi="Cambria Math" w:cs="Cambria Math"/>
                <w:color w:val="000000"/>
                <w:sz w:val="18"/>
                <w:szCs w:val="18"/>
              </w:rPr>
              <w:t>𝑗</w:t>
            </w:r>
            <w:r w:rsidRPr="009D701F">
              <w:rPr>
                <w:rFonts w:cs="Arial"/>
                <w:color w:val="000000"/>
                <w:sz w:val="18"/>
                <w:szCs w:val="18"/>
              </w:rPr>
              <w:t>,</w:t>
            </w:r>
            <w:r w:rsidRPr="009D701F">
              <w:rPr>
                <w:rFonts w:ascii="Cambria Math" w:hAnsi="Cambria Math" w:cs="Cambria Math"/>
                <w:color w:val="000000"/>
                <w:sz w:val="18"/>
                <w:szCs w:val="18"/>
              </w:rPr>
              <w:t>𝑚</w:t>
            </w:r>
            <w:r w:rsidRPr="009D701F">
              <w:rPr>
                <w:rFonts w:cs="Arial"/>
                <w:color w:val="000000"/>
                <w:sz w:val="18"/>
                <w:szCs w:val="18"/>
              </w:rPr>
              <w:t xml:space="preserve"> = </w:t>
            </w:r>
            <w:r w:rsidRPr="009D701F">
              <w:rPr>
                <w:rFonts w:ascii="Cambria Math" w:hAnsi="Cambria Math" w:cs="Cambria Math"/>
                <w:color w:val="000000"/>
                <w:sz w:val="18"/>
                <w:szCs w:val="18"/>
              </w:rPr>
              <w:t>𝐶𝑈𝑉𝑐𝑛</w:t>
            </w:r>
            <w:r w:rsidRPr="009D701F">
              <w:rPr>
                <w:rFonts w:cs="Arial"/>
                <w:color w:val="000000"/>
                <w:sz w:val="18"/>
                <w:szCs w:val="18"/>
              </w:rPr>
              <w:t>,</w:t>
            </w:r>
            <w:r w:rsidRPr="009D701F">
              <w:rPr>
                <w:rFonts w:ascii="Cambria Math" w:hAnsi="Cambria Math" w:cs="Cambria Math"/>
                <w:color w:val="000000"/>
                <w:sz w:val="18"/>
                <w:szCs w:val="18"/>
              </w:rPr>
              <w:t>𝑚</w:t>
            </w:r>
            <w:r w:rsidRPr="009D701F">
              <w:rPr>
                <w:rFonts w:cs="Arial"/>
                <w:color w:val="000000"/>
                <w:sz w:val="18"/>
                <w:szCs w:val="18"/>
              </w:rPr>
              <w:t>,</w:t>
            </w:r>
            <w:r w:rsidRPr="009D701F">
              <w:rPr>
                <w:rFonts w:ascii="Cambria Math" w:hAnsi="Cambria Math" w:cs="Cambria Math"/>
                <w:color w:val="000000"/>
                <w:sz w:val="18"/>
                <w:szCs w:val="18"/>
              </w:rPr>
              <w:t>𝑖</w:t>
            </w:r>
            <w:r w:rsidRPr="009D701F">
              <w:rPr>
                <w:rFonts w:cs="Arial"/>
                <w:color w:val="000000"/>
                <w:sz w:val="18"/>
                <w:szCs w:val="18"/>
              </w:rPr>
              <w:t>,</w:t>
            </w:r>
            <w:r w:rsidRPr="009D701F">
              <w:rPr>
                <w:rFonts w:ascii="Cambria Math" w:hAnsi="Cambria Math" w:cs="Cambria Math"/>
                <w:color w:val="000000"/>
                <w:sz w:val="18"/>
                <w:szCs w:val="18"/>
              </w:rPr>
              <w:t>𝑗</w:t>
            </w:r>
            <w:r w:rsidRPr="009D701F">
              <w:rPr>
                <w:rFonts w:cs="Arial"/>
                <w:color w:val="000000"/>
                <w:sz w:val="18"/>
                <w:szCs w:val="18"/>
              </w:rPr>
              <w:t xml:space="preserve"> −</w:t>
            </w:r>
            <w:r w:rsidRPr="009D701F">
              <w:rPr>
                <w:rFonts w:ascii="Cambria Math" w:hAnsi="Cambria Math" w:cs="Cambria Math"/>
                <w:color w:val="000000"/>
                <w:sz w:val="18"/>
                <w:szCs w:val="18"/>
              </w:rPr>
              <w:t>𝐶𝑈𝑣𝑛</w:t>
            </w:r>
            <w:r w:rsidRPr="009D701F">
              <w:rPr>
                <w:rFonts w:cs="Arial"/>
                <w:color w:val="000000"/>
                <w:sz w:val="18"/>
                <w:szCs w:val="18"/>
              </w:rPr>
              <w:t>,</w:t>
            </w:r>
            <w:r w:rsidRPr="009D701F">
              <w:rPr>
                <w:rFonts w:ascii="Cambria Math" w:hAnsi="Cambria Math" w:cs="Cambria Math"/>
                <w:color w:val="000000"/>
                <w:sz w:val="18"/>
                <w:szCs w:val="18"/>
              </w:rPr>
              <w:t>𝑚</w:t>
            </w:r>
            <w:r w:rsidRPr="009D701F">
              <w:rPr>
                <w:rFonts w:cs="Arial"/>
                <w:color w:val="000000"/>
                <w:sz w:val="18"/>
                <w:szCs w:val="18"/>
              </w:rPr>
              <w:t>,</w:t>
            </w:r>
            <w:r w:rsidRPr="009D701F">
              <w:rPr>
                <w:rFonts w:ascii="Cambria Math" w:hAnsi="Cambria Math" w:cs="Cambria Math"/>
                <w:color w:val="000000"/>
                <w:sz w:val="18"/>
                <w:szCs w:val="18"/>
              </w:rPr>
              <w:t>𝑖</w:t>
            </w:r>
            <w:r w:rsidRPr="009D701F">
              <w:rPr>
                <w:rFonts w:cs="Arial"/>
                <w:color w:val="000000"/>
                <w:sz w:val="18"/>
                <w:szCs w:val="18"/>
              </w:rPr>
              <w:t>,</w:t>
            </w:r>
            <w:r w:rsidRPr="009D701F">
              <w:rPr>
                <w:rFonts w:ascii="Cambria Math" w:hAnsi="Cambria Math" w:cs="Cambria Math"/>
                <w:color w:val="000000"/>
                <w:sz w:val="18"/>
                <w:szCs w:val="18"/>
              </w:rPr>
              <w:t>𝑗</w:t>
            </w:r>
            <w:r w:rsidRPr="009D701F">
              <w:rPr>
                <w:rFonts w:cs="Arial"/>
                <w:color w:val="000000"/>
                <w:sz w:val="18"/>
                <w:szCs w:val="18"/>
              </w:rPr>
              <w:t xml:space="preserve"> </w:t>
            </w:r>
            <w:r w:rsidRPr="009D701F">
              <w:rPr>
                <w:rFonts w:cs="Arial"/>
                <w:color w:val="000000"/>
                <w:sz w:val="18"/>
                <w:szCs w:val="18"/>
              </w:rPr>
              <w:br/>
            </w:r>
            <w:proofErr w:type="spellStart"/>
            <w:r w:rsidRPr="009D701F">
              <w:rPr>
                <w:rFonts w:cs="Arial"/>
                <w:color w:val="000000"/>
                <w:sz w:val="18"/>
                <w:szCs w:val="18"/>
              </w:rPr>
              <w:t>ii</w:t>
            </w:r>
            <w:proofErr w:type="spellEnd"/>
            <w:r w:rsidRPr="009D701F">
              <w:rPr>
                <w:rFonts w:cs="Arial"/>
                <w:color w:val="000000"/>
                <w:sz w:val="18"/>
                <w:szCs w:val="18"/>
              </w:rPr>
              <w:t xml:space="preserve">. </w:t>
            </w:r>
            <w:proofErr w:type="gramStart"/>
            <w:r w:rsidRPr="009D701F">
              <w:rPr>
                <w:rFonts w:ascii="Cambria Math" w:hAnsi="Cambria Math" w:cs="Cambria Math"/>
                <w:color w:val="000000"/>
                <w:sz w:val="18"/>
                <w:szCs w:val="18"/>
              </w:rPr>
              <w:t>𝑆𝐵𝐶𝑛</w:t>
            </w:r>
            <w:r w:rsidRPr="009D701F">
              <w:rPr>
                <w:rFonts w:cs="Arial"/>
                <w:color w:val="000000"/>
                <w:sz w:val="18"/>
                <w:szCs w:val="18"/>
              </w:rPr>
              <w:t>,</w:t>
            </w:r>
            <w:r w:rsidRPr="009D701F">
              <w:rPr>
                <w:rFonts w:ascii="Cambria Math" w:hAnsi="Cambria Math" w:cs="Cambria Math"/>
                <w:color w:val="000000"/>
                <w:sz w:val="18"/>
                <w:szCs w:val="18"/>
              </w:rPr>
              <w:t>𝑖</w:t>
            </w:r>
            <w:proofErr w:type="gramEnd"/>
            <w:r w:rsidRPr="009D701F">
              <w:rPr>
                <w:rFonts w:cs="Arial"/>
                <w:color w:val="000000"/>
                <w:sz w:val="18"/>
                <w:szCs w:val="18"/>
              </w:rPr>
              <w:t>,</w:t>
            </w:r>
            <w:r w:rsidRPr="009D701F">
              <w:rPr>
                <w:rFonts w:ascii="Cambria Math" w:hAnsi="Cambria Math" w:cs="Cambria Math"/>
                <w:color w:val="000000"/>
                <w:sz w:val="18"/>
                <w:szCs w:val="18"/>
              </w:rPr>
              <w:t>𝑗</w:t>
            </w:r>
            <w:r w:rsidRPr="009D701F">
              <w:rPr>
                <w:rFonts w:cs="Arial"/>
                <w:color w:val="000000"/>
                <w:sz w:val="18"/>
                <w:szCs w:val="18"/>
              </w:rPr>
              <w:t>,</w:t>
            </w:r>
            <w:r w:rsidRPr="009D701F">
              <w:rPr>
                <w:rFonts w:ascii="Cambria Math" w:hAnsi="Cambria Math" w:cs="Cambria Math"/>
                <w:color w:val="000000"/>
                <w:sz w:val="18"/>
                <w:szCs w:val="18"/>
              </w:rPr>
              <w:t>𝑚</w:t>
            </w:r>
            <w:r w:rsidRPr="009D701F">
              <w:rPr>
                <w:rFonts w:cs="Arial"/>
                <w:color w:val="000000"/>
                <w:sz w:val="18"/>
                <w:szCs w:val="18"/>
              </w:rPr>
              <w:t xml:space="preserve"> ≤</w:t>
            </w:r>
            <w:r w:rsidRPr="009D701F">
              <w:rPr>
                <w:rFonts w:ascii="Cambria Math" w:hAnsi="Cambria Math" w:cs="Cambria Math"/>
                <w:color w:val="000000"/>
                <w:sz w:val="18"/>
                <w:szCs w:val="18"/>
              </w:rPr>
              <w:t>𝐶𝑈𝑣𝑛</w:t>
            </w:r>
            <w:r w:rsidRPr="009D701F">
              <w:rPr>
                <w:rFonts w:cs="Arial"/>
                <w:color w:val="000000"/>
                <w:sz w:val="18"/>
                <w:szCs w:val="18"/>
              </w:rPr>
              <w:t>,</w:t>
            </w:r>
            <w:r w:rsidRPr="009D701F">
              <w:rPr>
                <w:rFonts w:ascii="Cambria Math" w:hAnsi="Cambria Math" w:cs="Cambria Math"/>
                <w:color w:val="000000"/>
                <w:sz w:val="18"/>
                <w:szCs w:val="18"/>
              </w:rPr>
              <w:t>𝑚</w:t>
            </w:r>
            <w:r w:rsidRPr="009D701F">
              <w:rPr>
                <w:rFonts w:cs="Arial"/>
                <w:color w:val="000000"/>
                <w:sz w:val="18"/>
                <w:szCs w:val="18"/>
              </w:rPr>
              <w:t>,</w:t>
            </w:r>
            <w:r w:rsidRPr="009D701F">
              <w:rPr>
                <w:rFonts w:ascii="Cambria Math" w:hAnsi="Cambria Math" w:cs="Cambria Math"/>
                <w:color w:val="000000"/>
                <w:sz w:val="18"/>
                <w:szCs w:val="18"/>
              </w:rPr>
              <w:t>𝑖</w:t>
            </w:r>
            <w:r w:rsidRPr="009D701F">
              <w:rPr>
                <w:rFonts w:cs="Arial"/>
                <w:color w:val="000000"/>
                <w:sz w:val="18"/>
                <w:szCs w:val="18"/>
              </w:rPr>
              <w:t>,</w:t>
            </w:r>
            <w:r w:rsidRPr="009D701F">
              <w:rPr>
                <w:rFonts w:ascii="Cambria Math" w:hAnsi="Cambria Math" w:cs="Cambria Math"/>
                <w:color w:val="000000"/>
                <w:sz w:val="18"/>
                <w:szCs w:val="18"/>
              </w:rPr>
              <w:t>𝑗</w:t>
            </w:r>
            <w:r w:rsidRPr="009D701F">
              <w:rPr>
                <w:rFonts w:cs="Arial"/>
                <w:color w:val="000000"/>
                <w:sz w:val="18"/>
                <w:szCs w:val="18"/>
              </w:rPr>
              <w:t xml:space="preserve"> </w:t>
            </w:r>
            <w:r w:rsidRPr="009D701F">
              <w:rPr>
                <w:rFonts w:ascii="Cambria Math" w:hAnsi="Cambria Math" w:cs="Cambria Math"/>
                <w:color w:val="000000"/>
                <w:sz w:val="18"/>
                <w:szCs w:val="18"/>
              </w:rPr>
              <w:t>∗</w:t>
            </w:r>
            <w:r w:rsidRPr="009D701F">
              <w:rPr>
                <w:rFonts w:cs="Arial"/>
                <w:color w:val="000000"/>
                <w:sz w:val="18"/>
                <w:szCs w:val="18"/>
              </w:rPr>
              <w:t xml:space="preserve">(1+0,06) </w:t>
            </w:r>
            <w:r w:rsidRPr="009D701F">
              <w:rPr>
                <w:rFonts w:cs="Arial"/>
                <w:color w:val="000000"/>
                <w:sz w:val="18"/>
                <w:szCs w:val="18"/>
              </w:rPr>
              <w:br/>
              <w:t xml:space="preserve">Respecto a la última fórmula relacionada, se debe eliminar el “1”, de manera que se calcule adecuadamente la condición de  que el incremento sea del 6%  sobre el </w:t>
            </w:r>
            <w:r w:rsidRPr="009D701F">
              <w:rPr>
                <w:rFonts w:ascii="Cambria Math" w:hAnsi="Cambria Math" w:cs="Cambria Math"/>
                <w:color w:val="000000"/>
                <w:sz w:val="18"/>
                <w:szCs w:val="18"/>
              </w:rPr>
              <w:t>𝐶𝑈𝑣𝑛</w:t>
            </w:r>
            <w:r w:rsidRPr="009D701F">
              <w:rPr>
                <w:rFonts w:cs="Arial"/>
                <w:color w:val="000000"/>
                <w:sz w:val="18"/>
                <w:szCs w:val="18"/>
              </w:rPr>
              <w:t>,</w:t>
            </w:r>
            <w:r w:rsidRPr="009D701F">
              <w:rPr>
                <w:rFonts w:ascii="Cambria Math" w:hAnsi="Cambria Math" w:cs="Cambria Math"/>
                <w:color w:val="000000"/>
                <w:sz w:val="18"/>
                <w:szCs w:val="18"/>
              </w:rPr>
              <w:t>𝑚</w:t>
            </w:r>
            <w:r w:rsidRPr="009D701F">
              <w:rPr>
                <w:rFonts w:cs="Arial"/>
                <w:color w:val="000000"/>
                <w:sz w:val="18"/>
                <w:szCs w:val="18"/>
              </w:rPr>
              <w:t>,</w:t>
            </w:r>
            <w:r w:rsidRPr="009D701F">
              <w:rPr>
                <w:rFonts w:ascii="Cambria Math" w:hAnsi="Cambria Math" w:cs="Cambria Math"/>
                <w:color w:val="000000"/>
                <w:sz w:val="18"/>
                <w:szCs w:val="18"/>
              </w:rPr>
              <w:t>𝑖</w:t>
            </w:r>
            <w:r w:rsidRPr="009D701F">
              <w:rPr>
                <w:rFonts w:cs="Arial"/>
                <w:color w:val="000000"/>
                <w:sz w:val="18"/>
                <w:szCs w:val="18"/>
              </w:rPr>
              <w:t>,</w:t>
            </w:r>
            <w:r w:rsidRPr="009D701F">
              <w:rPr>
                <w:rFonts w:ascii="Cambria Math" w:hAnsi="Cambria Math" w:cs="Cambria Math"/>
                <w:color w:val="000000"/>
                <w:sz w:val="18"/>
                <w:szCs w:val="18"/>
              </w:rPr>
              <w:t>𝑗</w:t>
            </w:r>
            <w:r w:rsidRPr="009D701F">
              <w:rPr>
                <w:rFonts w:cs="Arial"/>
                <w:color w:val="000000"/>
                <w:sz w:val="18"/>
                <w:szCs w:val="18"/>
              </w:rPr>
              <w:t xml:space="preserve"> y no del 106%</w:t>
            </w:r>
          </w:p>
        </w:tc>
        <w:tc>
          <w:tcPr>
            <w:tcW w:w="1872" w:type="pct"/>
            <w:hideMark/>
          </w:tcPr>
          <w:p w14:paraId="68548C01"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Se corrige</w:t>
            </w:r>
          </w:p>
        </w:tc>
      </w:tr>
      <w:tr w:rsidR="005E727D" w:rsidRPr="007E00DB" w14:paraId="0F386BD5" w14:textId="77777777" w:rsidTr="009D701F">
        <w:trPr>
          <w:trHeight w:val="1740"/>
        </w:trPr>
        <w:tc>
          <w:tcPr>
            <w:tcW w:w="881" w:type="pct"/>
            <w:hideMark/>
          </w:tcPr>
          <w:p w14:paraId="297CA6AE"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E2023017874_CELSIA</w:t>
            </w:r>
          </w:p>
        </w:tc>
        <w:tc>
          <w:tcPr>
            <w:tcW w:w="2247" w:type="pct"/>
            <w:hideMark/>
          </w:tcPr>
          <w:p w14:paraId="2E13350F" w14:textId="4277CC6A" w:rsidR="005E727D" w:rsidRPr="009D701F" w:rsidRDefault="005E727D" w:rsidP="005E727D">
            <w:pPr>
              <w:spacing w:before="0" w:after="0"/>
              <w:jc w:val="left"/>
              <w:rPr>
                <w:rFonts w:cs="Arial"/>
                <w:color w:val="000000"/>
                <w:sz w:val="18"/>
                <w:szCs w:val="18"/>
              </w:rPr>
            </w:pPr>
            <w:r w:rsidRPr="009D701F">
              <w:rPr>
                <w:rFonts w:cs="Arial"/>
                <w:color w:val="000000"/>
                <w:sz w:val="18"/>
                <w:szCs w:val="18"/>
              </w:rPr>
              <w:t xml:space="preserve">Cuando en un mercado de comercialización existan más de un comercializador aplicando la opción tarifaria </w:t>
            </w:r>
            <w:proofErr w:type="gramStart"/>
            <w:r w:rsidRPr="009D701F">
              <w:rPr>
                <w:rFonts w:cs="Arial"/>
                <w:color w:val="000000"/>
                <w:sz w:val="18"/>
                <w:szCs w:val="18"/>
              </w:rPr>
              <w:t>y  los</w:t>
            </w:r>
            <w:proofErr w:type="gramEnd"/>
            <w:r w:rsidRPr="009D701F">
              <w:rPr>
                <w:rFonts w:cs="Arial"/>
                <w:color w:val="000000"/>
                <w:sz w:val="18"/>
                <w:szCs w:val="18"/>
              </w:rPr>
              <w:t xml:space="preserve">  clientes  decidan  cambiar  de  comercializador,  debe  especificarse  cual </w:t>
            </w:r>
            <w:r w:rsidRPr="009D701F">
              <w:rPr>
                <w:rFonts w:cs="Arial"/>
                <w:color w:val="000000"/>
                <w:sz w:val="18"/>
                <w:szCs w:val="18"/>
              </w:rPr>
              <w:br/>
              <w:t xml:space="preserve">COT  debe  aplicarle.  Además, </w:t>
            </w:r>
            <w:proofErr w:type="gramStart"/>
            <w:r w:rsidRPr="009D701F">
              <w:rPr>
                <w:rFonts w:cs="Arial"/>
                <w:color w:val="000000"/>
                <w:sz w:val="18"/>
                <w:szCs w:val="18"/>
              </w:rPr>
              <w:t>se  aclare</w:t>
            </w:r>
            <w:proofErr w:type="gramEnd"/>
            <w:r w:rsidRPr="009D701F">
              <w:rPr>
                <w:rFonts w:cs="Arial"/>
                <w:color w:val="000000"/>
                <w:sz w:val="18"/>
                <w:szCs w:val="18"/>
              </w:rPr>
              <w:t xml:space="preserve">  el  tratamiento  que  se  debe  tener  sobre  los  clientes que pasan del mercado regulado al mercado no regulado.</w:t>
            </w:r>
          </w:p>
        </w:tc>
        <w:tc>
          <w:tcPr>
            <w:tcW w:w="1872" w:type="pct"/>
            <w:hideMark/>
          </w:tcPr>
          <w:p w14:paraId="31E73DBE" w14:textId="0CA36D33" w:rsidR="005E727D" w:rsidRPr="009D701F" w:rsidRDefault="005E727D" w:rsidP="005E727D">
            <w:pPr>
              <w:spacing w:before="0" w:after="0"/>
              <w:jc w:val="left"/>
              <w:rPr>
                <w:rFonts w:cs="Arial"/>
                <w:color w:val="000000"/>
                <w:sz w:val="18"/>
                <w:szCs w:val="18"/>
              </w:rPr>
            </w:pPr>
            <w:r w:rsidRPr="009D701F">
              <w:rPr>
                <w:rFonts w:cs="Arial"/>
                <w:color w:val="000000"/>
                <w:sz w:val="18"/>
                <w:szCs w:val="18"/>
              </w:rPr>
              <w:t xml:space="preserve">Se incluye un </w:t>
            </w:r>
            <w:r w:rsidR="00971CCB" w:rsidRPr="009D701F">
              <w:rPr>
                <w:rFonts w:cs="Arial"/>
                <w:color w:val="000000"/>
                <w:sz w:val="18"/>
                <w:szCs w:val="18"/>
              </w:rPr>
              <w:t>único</w:t>
            </w:r>
            <w:r w:rsidRPr="009D701F">
              <w:rPr>
                <w:rFonts w:cs="Arial"/>
                <w:color w:val="000000"/>
                <w:sz w:val="18"/>
                <w:szCs w:val="18"/>
              </w:rPr>
              <w:t xml:space="preserve"> COT por mercado, producto de la </w:t>
            </w:r>
            <w:r w:rsidR="00971CCB" w:rsidRPr="009D701F">
              <w:rPr>
                <w:rFonts w:cs="Arial"/>
                <w:color w:val="000000"/>
                <w:sz w:val="18"/>
                <w:szCs w:val="18"/>
              </w:rPr>
              <w:t>ponderación</w:t>
            </w:r>
            <w:r w:rsidRPr="009D701F">
              <w:rPr>
                <w:rFonts w:cs="Arial"/>
                <w:color w:val="000000"/>
                <w:sz w:val="18"/>
                <w:szCs w:val="18"/>
              </w:rPr>
              <w:t xml:space="preserve"> por las ventas de los COT de cada comercializado</w:t>
            </w:r>
            <w:r w:rsidR="008F52C9" w:rsidRPr="009D701F">
              <w:rPr>
                <w:rFonts w:cs="Arial"/>
                <w:color w:val="000000"/>
                <w:sz w:val="18"/>
                <w:szCs w:val="18"/>
              </w:rPr>
              <w:t>r</w:t>
            </w:r>
            <w:r w:rsidRPr="009D701F">
              <w:rPr>
                <w:rFonts w:cs="Arial"/>
                <w:color w:val="000000"/>
                <w:sz w:val="18"/>
                <w:szCs w:val="18"/>
              </w:rPr>
              <w:t xml:space="preserve"> en ese mercado. </w:t>
            </w:r>
            <w:r w:rsidRPr="009D701F">
              <w:rPr>
                <w:rFonts w:cs="Arial"/>
                <w:color w:val="000000"/>
                <w:sz w:val="18"/>
                <w:szCs w:val="18"/>
              </w:rPr>
              <w:br/>
            </w:r>
            <w:r w:rsidRPr="009D701F">
              <w:rPr>
                <w:rFonts w:cs="Arial"/>
                <w:color w:val="000000"/>
                <w:sz w:val="18"/>
                <w:szCs w:val="18"/>
              </w:rPr>
              <w:br/>
              <w:t>Se aclarará el caso de los clientes que cambian de regulado a No regulado.</w:t>
            </w:r>
          </w:p>
        </w:tc>
      </w:tr>
      <w:tr w:rsidR="005E727D" w:rsidRPr="007E00DB" w14:paraId="5EF36727" w14:textId="77777777" w:rsidTr="009D701F">
        <w:trPr>
          <w:trHeight w:val="870"/>
        </w:trPr>
        <w:tc>
          <w:tcPr>
            <w:tcW w:w="881" w:type="pct"/>
            <w:hideMark/>
          </w:tcPr>
          <w:p w14:paraId="028D7AA3"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E2023017874_CELSIA</w:t>
            </w:r>
          </w:p>
        </w:tc>
        <w:tc>
          <w:tcPr>
            <w:tcW w:w="2247" w:type="pct"/>
            <w:hideMark/>
          </w:tcPr>
          <w:p w14:paraId="08A671CC" w14:textId="5A6B2A9C" w:rsidR="005E727D" w:rsidRPr="009D701F" w:rsidRDefault="005E727D" w:rsidP="005E727D">
            <w:pPr>
              <w:spacing w:before="0" w:after="0"/>
              <w:jc w:val="left"/>
              <w:rPr>
                <w:rFonts w:cs="Arial"/>
                <w:color w:val="000000"/>
                <w:sz w:val="18"/>
                <w:szCs w:val="18"/>
              </w:rPr>
            </w:pPr>
            <w:r w:rsidRPr="009D701F">
              <w:rPr>
                <w:rFonts w:cs="Arial"/>
                <w:color w:val="000000"/>
                <w:sz w:val="18"/>
                <w:szCs w:val="18"/>
              </w:rPr>
              <w:t xml:space="preserve">Sugerimos </w:t>
            </w:r>
            <w:proofErr w:type="gramStart"/>
            <w:r w:rsidRPr="009D701F">
              <w:rPr>
                <w:rFonts w:cs="Arial"/>
                <w:color w:val="000000"/>
                <w:sz w:val="18"/>
                <w:szCs w:val="18"/>
              </w:rPr>
              <w:t>que  el</w:t>
            </w:r>
            <w:proofErr w:type="gramEnd"/>
            <w:r w:rsidRPr="009D701F">
              <w:rPr>
                <w:rFonts w:cs="Arial"/>
                <w:color w:val="000000"/>
                <w:sz w:val="18"/>
                <w:szCs w:val="18"/>
              </w:rPr>
              <w:t xml:space="preserve">  valor  de la  tasa mensual  para  recuperación,  </w:t>
            </w:r>
            <w:proofErr w:type="spellStart"/>
            <w:r w:rsidRPr="009D701F">
              <w:rPr>
                <w:rFonts w:cs="Arial"/>
                <w:color w:val="000000"/>
                <w:sz w:val="18"/>
                <w:szCs w:val="18"/>
              </w:rPr>
              <w:t>rOTm,i,j</w:t>
            </w:r>
            <w:proofErr w:type="spellEnd"/>
            <w:r w:rsidRPr="009D701F">
              <w:rPr>
                <w:rFonts w:cs="Arial"/>
                <w:color w:val="000000"/>
                <w:sz w:val="18"/>
                <w:szCs w:val="18"/>
              </w:rPr>
              <w:t>,  se  defina  como  un valor máximo, con el fin de que cada comercializador pueda cobrar un valor inferior si así lo decide.</w:t>
            </w:r>
          </w:p>
        </w:tc>
        <w:tc>
          <w:tcPr>
            <w:tcW w:w="1872" w:type="pct"/>
            <w:hideMark/>
          </w:tcPr>
          <w:p w14:paraId="74684386" w14:textId="6913E809" w:rsidR="005E727D" w:rsidRPr="009D701F" w:rsidRDefault="005E727D" w:rsidP="005E727D">
            <w:pPr>
              <w:spacing w:before="0" w:after="0"/>
              <w:jc w:val="left"/>
              <w:rPr>
                <w:rFonts w:cs="Arial"/>
                <w:color w:val="000000"/>
                <w:sz w:val="18"/>
                <w:szCs w:val="18"/>
              </w:rPr>
            </w:pPr>
            <w:r w:rsidRPr="009D701F">
              <w:rPr>
                <w:rFonts w:cs="Arial"/>
                <w:color w:val="000000"/>
                <w:sz w:val="18"/>
                <w:szCs w:val="18"/>
              </w:rPr>
              <w:t xml:space="preserve">Se incluye, en el cálculo del </w:t>
            </w:r>
            <w:proofErr w:type="spellStart"/>
            <w:proofErr w:type="gramStart"/>
            <w:r w:rsidR="00F34141" w:rsidRPr="009D701F">
              <w:rPr>
                <w:rFonts w:cs="Arial"/>
                <w:color w:val="000000"/>
                <w:sz w:val="18"/>
                <w:szCs w:val="18"/>
              </w:rPr>
              <w:t>rOTm,i</w:t>
            </w:r>
            <w:proofErr w:type="gramEnd"/>
            <w:r w:rsidR="00F34141" w:rsidRPr="009D701F">
              <w:rPr>
                <w:rFonts w:cs="Arial"/>
                <w:color w:val="000000"/>
                <w:sz w:val="18"/>
                <w:szCs w:val="18"/>
              </w:rPr>
              <w:t>,j</w:t>
            </w:r>
            <w:proofErr w:type="spellEnd"/>
            <w:r w:rsidRPr="009D701F">
              <w:rPr>
                <w:rFonts w:cs="Arial"/>
                <w:color w:val="000000"/>
                <w:sz w:val="18"/>
                <w:szCs w:val="18"/>
              </w:rPr>
              <w:t xml:space="preserve"> la posibilidad de cobrar valores inferiores, con un máximo asociado a la tasa mensual que se viene aplicando en la Resolución CREG 012/20.</w:t>
            </w:r>
          </w:p>
        </w:tc>
      </w:tr>
      <w:tr w:rsidR="005E727D" w:rsidRPr="007E00DB" w14:paraId="45AA375E" w14:textId="77777777" w:rsidTr="009D701F">
        <w:trPr>
          <w:trHeight w:val="2320"/>
        </w:trPr>
        <w:tc>
          <w:tcPr>
            <w:tcW w:w="881" w:type="pct"/>
            <w:hideMark/>
          </w:tcPr>
          <w:p w14:paraId="3AC91B0F"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lastRenderedPageBreak/>
              <w:t>E2023017873_VATIA</w:t>
            </w:r>
          </w:p>
        </w:tc>
        <w:tc>
          <w:tcPr>
            <w:tcW w:w="2247" w:type="pct"/>
            <w:hideMark/>
          </w:tcPr>
          <w:p w14:paraId="501FEAC3" w14:textId="6F904E29" w:rsidR="005E727D" w:rsidRPr="009D701F" w:rsidRDefault="005E727D" w:rsidP="005E727D">
            <w:pPr>
              <w:spacing w:before="0" w:after="0"/>
              <w:jc w:val="left"/>
              <w:rPr>
                <w:rFonts w:cs="Arial"/>
                <w:color w:val="000000"/>
                <w:sz w:val="18"/>
                <w:szCs w:val="18"/>
              </w:rPr>
            </w:pPr>
            <w:r w:rsidRPr="009D701F">
              <w:rPr>
                <w:rFonts w:cs="Arial"/>
                <w:color w:val="000000"/>
                <w:sz w:val="18"/>
                <w:szCs w:val="18"/>
              </w:rPr>
              <w:t>Con relación a la aplicación de un PV en el evento que no se cumpla la condición establecida para dar finalización de la opción tarifaria, correspondiente a una br</w:t>
            </w:r>
            <w:r w:rsidR="00F34141" w:rsidRPr="009D701F">
              <w:rPr>
                <w:rFonts w:cs="Arial"/>
                <w:color w:val="000000"/>
                <w:sz w:val="18"/>
                <w:szCs w:val="18"/>
              </w:rPr>
              <w:t>e</w:t>
            </w:r>
            <w:r w:rsidRPr="009D701F">
              <w:rPr>
                <w:rFonts w:cs="Arial"/>
                <w:color w:val="000000"/>
                <w:sz w:val="18"/>
                <w:szCs w:val="18"/>
              </w:rPr>
              <w:t xml:space="preserve">cha </w:t>
            </w:r>
            <w:r w:rsidR="00F34141" w:rsidRPr="009D701F">
              <w:rPr>
                <w:rFonts w:cs="Arial"/>
                <w:color w:val="000000"/>
                <w:sz w:val="18"/>
                <w:szCs w:val="18"/>
              </w:rPr>
              <w:t>entre</w:t>
            </w:r>
            <w:r w:rsidRPr="009D701F">
              <w:rPr>
                <w:rFonts w:cs="Arial"/>
                <w:color w:val="000000"/>
                <w:sz w:val="18"/>
                <w:szCs w:val="18"/>
              </w:rPr>
              <w:t xml:space="preserve"> Cu calculado y CU aplicado sea inferior o igual al 6% del CU aplicado, se plantea se pueda aplicar un PV superior en virtud que en el corto o mediano plazo se pueda adoptar el mecanismo de recuperación establecido y más aún cuando los comercializadores tendrán incrementos superiores al 3% en la componente de generación a raíz de los altos precios de bolsa</w:t>
            </w:r>
          </w:p>
        </w:tc>
        <w:tc>
          <w:tcPr>
            <w:tcW w:w="1872" w:type="pct"/>
            <w:hideMark/>
          </w:tcPr>
          <w:p w14:paraId="737E0C49" w14:textId="7D5A542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Una vez que un prestador se acoja al mutuo acuerdo, no es necesario calcular un PV, dado que se incluye una alternativa para que el comercializador inicie la recuperación del saldo</w:t>
            </w:r>
            <w:r w:rsidR="008F52C9" w:rsidRPr="009D701F">
              <w:rPr>
                <w:rFonts w:cs="Arial"/>
                <w:color w:val="000000"/>
                <w:sz w:val="18"/>
                <w:szCs w:val="18"/>
              </w:rPr>
              <w:t xml:space="preserve"> mediante uno de </w:t>
            </w:r>
            <w:r w:rsidR="0097577A" w:rsidRPr="009D701F">
              <w:rPr>
                <w:rFonts w:cs="Arial"/>
                <w:color w:val="000000"/>
                <w:sz w:val="18"/>
                <w:szCs w:val="18"/>
              </w:rPr>
              <w:t xml:space="preserve">los </w:t>
            </w:r>
            <w:r w:rsidR="008F52C9" w:rsidRPr="009D701F">
              <w:rPr>
                <w:rFonts w:cs="Arial"/>
                <w:color w:val="000000"/>
                <w:sz w:val="18"/>
                <w:szCs w:val="18"/>
              </w:rPr>
              <w:t xml:space="preserve">dos </w:t>
            </w:r>
            <w:r w:rsidR="0097577A" w:rsidRPr="009D701F">
              <w:rPr>
                <w:rFonts w:cs="Arial"/>
                <w:color w:val="000000"/>
                <w:sz w:val="18"/>
                <w:szCs w:val="18"/>
              </w:rPr>
              <w:t>perfiles de pago disponibles, dependiendo del cumplimento de la condición del 3%</w:t>
            </w:r>
            <w:r w:rsidR="00E50B35" w:rsidRPr="009D701F">
              <w:rPr>
                <w:rFonts w:cs="Arial"/>
                <w:color w:val="000000"/>
                <w:sz w:val="18"/>
                <w:szCs w:val="18"/>
              </w:rPr>
              <w:t>.</w:t>
            </w:r>
          </w:p>
        </w:tc>
      </w:tr>
      <w:tr w:rsidR="005E727D" w:rsidRPr="007E00DB" w14:paraId="76643CF9" w14:textId="77777777" w:rsidTr="009D701F">
        <w:trPr>
          <w:trHeight w:val="2320"/>
        </w:trPr>
        <w:tc>
          <w:tcPr>
            <w:tcW w:w="881" w:type="pct"/>
            <w:hideMark/>
          </w:tcPr>
          <w:p w14:paraId="2E1AEBE3"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E2023017873_VATIA</w:t>
            </w:r>
          </w:p>
        </w:tc>
        <w:tc>
          <w:tcPr>
            <w:tcW w:w="2247" w:type="pct"/>
            <w:hideMark/>
          </w:tcPr>
          <w:p w14:paraId="59D83C07"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Se requiere aumentar el límite del 6% dado que el tiempo máximo calculado para la recuperación del saldo sería insuficiente en mercados con saldos altos.</w:t>
            </w:r>
          </w:p>
        </w:tc>
        <w:tc>
          <w:tcPr>
            <w:tcW w:w="1872" w:type="pct"/>
            <w:hideMark/>
          </w:tcPr>
          <w:p w14:paraId="5783CD35" w14:textId="0AF465CB" w:rsidR="005E727D" w:rsidRPr="009D701F" w:rsidRDefault="005E727D" w:rsidP="005E727D">
            <w:pPr>
              <w:spacing w:before="0" w:after="0"/>
              <w:jc w:val="left"/>
              <w:rPr>
                <w:rFonts w:cs="Arial"/>
                <w:color w:val="000000"/>
                <w:sz w:val="18"/>
                <w:szCs w:val="18"/>
              </w:rPr>
            </w:pPr>
            <w:r w:rsidRPr="009D701F">
              <w:rPr>
                <w:rFonts w:cs="Arial"/>
                <w:color w:val="000000"/>
                <w:sz w:val="18"/>
                <w:szCs w:val="18"/>
              </w:rPr>
              <w:t xml:space="preserve">De acuerdo con los </w:t>
            </w:r>
            <w:r w:rsidR="00F34141" w:rsidRPr="009D701F">
              <w:rPr>
                <w:rFonts w:cs="Arial"/>
                <w:color w:val="000000"/>
                <w:sz w:val="18"/>
                <w:szCs w:val="18"/>
              </w:rPr>
              <w:t>análisis</w:t>
            </w:r>
            <w:r w:rsidRPr="009D701F">
              <w:rPr>
                <w:rFonts w:cs="Arial"/>
                <w:color w:val="000000"/>
                <w:sz w:val="18"/>
                <w:szCs w:val="18"/>
              </w:rPr>
              <w:t xml:space="preserve"> realizados por la comisión y dados los incrementos realizados en el CU aplicado en los meses de octubre y noviembre de 2023 por los comercializadores, no se considera necesario aumentar dicho limite. </w:t>
            </w:r>
            <w:r w:rsidRPr="009D701F">
              <w:rPr>
                <w:rFonts w:cs="Arial"/>
                <w:color w:val="000000"/>
                <w:sz w:val="18"/>
                <w:szCs w:val="18"/>
              </w:rPr>
              <w:br/>
            </w:r>
            <w:r w:rsidRPr="009D701F">
              <w:rPr>
                <w:rFonts w:cs="Arial"/>
                <w:color w:val="000000"/>
                <w:sz w:val="18"/>
                <w:szCs w:val="18"/>
              </w:rPr>
              <w:br/>
              <w:t xml:space="preserve">Adicionalmente, se incluye alternativa para que el comercializador inicie la recuperación del saldo con un perfil de pago de gradiente </w:t>
            </w:r>
            <w:r w:rsidR="00F34141" w:rsidRPr="009D701F">
              <w:rPr>
                <w:rFonts w:cs="Arial"/>
                <w:color w:val="000000"/>
                <w:sz w:val="18"/>
                <w:szCs w:val="18"/>
              </w:rPr>
              <w:t>aritmético</w:t>
            </w:r>
            <w:r w:rsidRPr="009D701F">
              <w:rPr>
                <w:rFonts w:cs="Arial"/>
                <w:color w:val="000000"/>
                <w:sz w:val="18"/>
                <w:szCs w:val="18"/>
              </w:rPr>
              <w:t xml:space="preserve"> creciente. </w:t>
            </w:r>
          </w:p>
        </w:tc>
      </w:tr>
      <w:tr w:rsidR="005E727D" w:rsidRPr="007E00DB" w14:paraId="672EEBFF" w14:textId="77777777" w:rsidTr="009D701F">
        <w:trPr>
          <w:trHeight w:val="2030"/>
        </w:trPr>
        <w:tc>
          <w:tcPr>
            <w:tcW w:w="881" w:type="pct"/>
            <w:hideMark/>
          </w:tcPr>
          <w:p w14:paraId="7E840AAC"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E2023017873_VATIA</w:t>
            </w:r>
          </w:p>
        </w:tc>
        <w:tc>
          <w:tcPr>
            <w:tcW w:w="2247" w:type="pct"/>
            <w:hideMark/>
          </w:tcPr>
          <w:p w14:paraId="2A9A702E"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Con el propósito de que la variable COT, no se vea alterada por los movimientos de demanda causados por el cambio de comercializador, es necesario que dicha variable en su denominador incluya la demanda del agente comercializador que haya sido sujeta de financiación, es decir más la demanda que haya migrado hacia otros comercializadores y descontando la nueva demanda que haya ingresado.</w:t>
            </w:r>
          </w:p>
        </w:tc>
        <w:tc>
          <w:tcPr>
            <w:tcW w:w="1872" w:type="pct"/>
            <w:hideMark/>
          </w:tcPr>
          <w:p w14:paraId="01CE6CC1"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Se Incluye</w:t>
            </w:r>
          </w:p>
        </w:tc>
      </w:tr>
      <w:tr w:rsidR="005E727D" w:rsidRPr="007E00DB" w14:paraId="08589039" w14:textId="77777777" w:rsidTr="009D701F">
        <w:trPr>
          <w:trHeight w:val="1263"/>
        </w:trPr>
        <w:tc>
          <w:tcPr>
            <w:tcW w:w="881" w:type="pct"/>
            <w:hideMark/>
          </w:tcPr>
          <w:p w14:paraId="0E208536"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E2023017873_VATIA</w:t>
            </w:r>
          </w:p>
        </w:tc>
        <w:tc>
          <w:tcPr>
            <w:tcW w:w="2247" w:type="pct"/>
            <w:hideMark/>
          </w:tcPr>
          <w:p w14:paraId="10A31E7E" w14:textId="575AE3C8" w:rsidR="005E727D" w:rsidRPr="009D701F" w:rsidRDefault="005E727D" w:rsidP="005E727D">
            <w:pPr>
              <w:spacing w:before="0" w:after="0"/>
              <w:jc w:val="left"/>
              <w:rPr>
                <w:rFonts w:cs="Arial"/>
                <w:color w:val="000000"/>
                <w:sz w:val="18"/>
                <w:szCs w:val="18"/>
              </w:rPr>
            </w:pPr>
            <w:r w:rsidRPr="009D701F">
              <w:rPr>
                <w:rFonts w:cs="Arial"/>
                <w:color w:val="000000"/>
                <w:sz w:val="18"/>
                <w:szCs w:val="18"/>
              </w:rPr>
              <w:t xml:space="preserve">Se deben prever situaciones particulares en la aplicación del costo COT, como es el caso de los nuevos usuarios en el SIN, a los cuales, no deberían asignársele el costo de recuperación COT, dado que en </w:t>
            </w:r>
            <w:r w:rsidR="00F34141" w:rsidRPr="009D701F">
              <w:rPr>
                <w:rFonts w:cs="Arial"/>
                <w:color w:val="000000"/>
                <w:sz w:val="18"/>
                <w:szCs w:val="18"/>
              </w:rPr>
              <w:t>periodos</w:t>
            </w:r>
            <w:r w:rsidRPr="009D701F">
              <w:rPr>
                <w:rFonts w:cs="Arial"/>
                <w:color w:val="000000"/>
                <w:sz w:val="18"/>
                <w:szCs w:val="18"/>
              </w:rPr>
              <w:t xml:space="preserve"> anteriores no existían como usuarios.</w:t>
            </w:r>
          </w:p>
        </w:tc>
        <w:tc>
          <w:tcPr>
            <w:tcW w:w="1872" w:type="pct"/>
            <w:hideMark/>
          </w:tcPr>
          <w:p w14:paraId="5CD59240"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Se considera que la recuperación del saldo debe realizarse dentro de un mercado de comercialización para todos los usuarios que hacen parte de dicho mercado. Lo anterior se concluye a partir del análisis de los esquemas de implementación y el análisis jurídico incluido en el documento soporte de la propuesta regulatoria.</w:t>
            </w:r>
          </w:p>
        </w:tc>
      </w:tr>
      <w:tr w:rsidR="005E727D" w:rsidRPr="007E00DB" w14:paraId="6DA44BAE" w14:textId="77777777" w:rsidTr="009D701F">
        <w:trPr>
          <w:trHeight w:val="2040"/>
        </w:trPr>
        <w:tc>
          <w:tcPr>
            <w:tcW w:w="881" w:type="pct"/>
            <w:hideMark/>
          </w:tcPr>
          <w:p w14:paraId="48A18E8F"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E2023017873_VATIA</w:t>
            </w:r>
          </w:p>
        </w:tc>
        <w:tc>
          <w:tcPr>
            <w:tcW w:w="2247" w:type="pct"/>
            <w:hideMark/>
          </w:tcPr>
          <w:p w14:paraId="78E6D219" w14:textId="70157EB5" w:rsidR="005E727D" w:rsidRPr="009D701F" w:rsidRDefault="005E727D" w:rsidP="005E727D">
            <w:pPr>
              <w:spacing w:before="0" w:after="0"/>
              <w:jc w:val="left"/>
              <w:rPr>
                <w:rFonts w:cs="Arial"/>
                <w:color w:val="000000"/>
                <w:sz w:val="18"/>
                <w:szCs w:val="18"/>
              </w:rPr>
            </w:pPr>
            <w:r w:rsidRPr="009D701F">
              <w:rPr>
                <w:rFonts w:cs="Arial"/>
                <w:color w:val="000000"/>
                <w:sz w:val="18"/>
                <w:szCs w:val="18"/>
              </w:rPr>
              <w:t xml:space="preserve">Igual se debe indicar que sucede con los usuarios que provienen de un </w:t>
            </w:r>
            <w:r w:rsidR="00F34141" w:rsidRPr="009D701F">
              <w:rPr>
                <w:rFonts w:cs="Arial"/>
                <w:color w:val="000000"/>
                <w:sz w:val="18"/>
                <w:szCs w:val="18"/>
              </w:rPr>
              <w:t>comercializador</w:t>
            </w:r>
            <w:r w:rsidRPr="009D701F">
              <w:rPr>
                <w:rFonts w:cs="Arial"/>
                <w:color w:val="000000"/>
                <w:sz w:val="18"/>
                <w:szCs w:val="18"/>
              </w:rPr>
              <w:t xml:space="preserve"> que aplica la opción tarifaria de la Resolución CREG 012 de 2020, es decir no se acogió a este alcance regulatorio, en donde el comercializador que lo atendía no le corresponde el cobro del COT, se entiende que a estos usuarios no les aplica el cobro de COT, se sugiere dejar establecido en parágrafo en la resolución definitiva.</w:t>
            </w:r>
          </w:p>
        </w:tc>
        <w:tc>
          <w:tcPr>
            <w:tcW w:w="1872" w:type="pct"/>
            <w:hideMark/>
          </w:tcPr>
          <w:p w14:paraId="4A16F43B" w14:textId="72182E5A" w:rsidR="005E727D" w:rsidRPr="009D701F" w:rsidRDefault="005E727D" w:rsidP="005E727D">
            <w:pPr>
              <w:spacing w:before="0" w:after="0"/>
              <w:jc w:val="left"/>
              <w:rPr>
                <w:rFonts w:cs="Arial"/>
                <w:color w:val="000000"/>
                <w:sz w:val="18"/>
                <w:szCs w:val="18"/>
              </w:rPr>
            </w:pPr>
            <w:r w:rsidRPr="009D701F">
              <w:rPr>
                <w:rFonts w:cs="Arial"/>
                <w:color w:val="000000"/>
                <w:sz w:val="18"/>
                <w:szCs w:val="18"/>
              </w:rPr>
              <w:t xml:space="preserve">Se considera que no es necesaria la anotación por cuanto los usuarios de un mercado en el que ningún prestador se acoja al mutuo acuerdo, </w:t>
            </w:r>
            <w:r w:rsidR="00F34141" w:rsidRPr="009D701F">
              <w:rPr>
                <w:rFonts w:cs="Arial"/>
                <w:color w:val="000000"/>
                <w:sz w:val="18"/>
                <w:szCs w:val="18"/>
              </w:rPr>
              <w:t>seguirán</w:t>
            </w:r>
            <w:r w:rsidRPr="009D701F">
              <w:rPr>
                <w:rFonts w:cs="Arial"/>
                <w:color w:val="000000"/>
                <w:sz w:val="18"/>
                <w:szCs w:val="18"/>
              </w:rPr>
              <w:t xml:space="preserve"> siendo sujetos de la aplicación de la Resolución CREG 012 de 2020 y en dicho mercado </w:t>
            </w:r>
            <w:r w:rsidR="00F34141" w:rsidRPr="009D701F">
              <w:rPr>
                <w:rFonts w:cs="Arial"/>
                <w:color w:val="000000"/>
                <w:sz w:val="18"/>
                <w:szCs w:val="18"/>
              </w:rPr>
              <w:t>existirán</w:t>
            </w:r>
            <w:r w:rsidRPr="009D701F">
              <w:rPr>
                <w:rFonts w:cs="Arial"/>
                <w:color w:val="000000"/>
                <w:sz w:val="18"/>
                <w:szCs w:val="18"/>
              </w:rPr>
              <w:t xml:space="preserve"> las distorsiones que se presentan actualmente y que se corrigen con el mutuo acuerdo planteado.</w:t>
            </w:r>
          </w:p>
        </w:tc>
      </w:tr>
      <w:tr w:rsidR="005E727D" w:rsidRPr="007E00DB" w14:paraId="29AE3B66" w14:textId="77777777" w:rsidTr="009D701F">
        <w:trPr>
          <w:trHeight w:val="334"/>
        </w:trPr>
        <w:tc>
          <w:tcPr>
            <w:tcW w:w="881" w:type="pct"/>
            <w:hideMark/>
          </w:tcPr>
          <w:p w14:paraId="52F840A8"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lastRenderedPageBreak/>
              <w:t>E2023017873_VATIA</w:t>
            </w:r>
          </w:p>
        </w:tc>
        <w:tc>
          <w:tcPr>
            <w:tcW w:w="2247" w:type="pct"/>
            <w:hideMark/>
          </w:tcPr>
          <w:p w14:paraId="18D53CFC"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Se propone modificar la aplicación de la variable AJ por la exigencia financiera que supone esta variable actualmente. Se propone que el factor máximo de referencia cambie de 1.3 a 1.8.</w:t>
            </w:r>
          </w:p>
        </w:tc>
        <w:tc>
          <w:tcPr>
            <w:tcW w:w="1872" w:type="pct"/>
            <w:hideMark/>
          </w:tcPr>
          <w:p w14:paraId="47913BC1" w14:textId="195F37C5" w:rsidR="005E727D" w:rsidRPr="009D701F" w:rsidRDefault="005E727D" w:rsidP="005E727D">
            <w:pPr>
              <w:spacing w:before="0" w:after="0"/>
              <w:jc w:val="left"/>
              <w:rPr>
                <w:rFonts w:cs="Arial"/>
                <w:color w:val="000000"/>
                <w:sz w:val="18"/>
                <w:szCs w:val="18"/>
              </w:rPr>
            </w:pPr>
            <w:r w:rsidRPr="009D701F">
              <w:rPr>
                <w:rFonts w:cs="Arial"/>
                <w:color w:val="000000"/>
                <w:sz w:val="18"/>
                <w:szCs w:val="18"/>
              </w:rPr>
              <w:t xml:space="preserve">Esta propuesta está fuera del alcance de la resolución. Las medidas regulatorias respecto a los saldos acumulados en Aj son objeto de </w:t>
            </w:r>
            <w:r w:rsidR="00F34141" w:rsidRPr="009D701F">
              <w:rPr>
                <w:rFonts w:cs="Arial"/>
                <w:color w:val="000000"/>
                <w:sz w:val="18"/>
                <w:szCs w:val="18"/>
              </w:rPr>
              <w:t>análisis</w:t>
            </w:r>
            <w:r w:rsidRPr="009D701F">
              <w:rPr>
                <w:rFonts w:cs="Arial"/>
                <w:color w:val="000000"/>
                <w:sz w:val="18"/>
                <w:szCs w:val="18"/>
              </w:rPr>
              <w:t xml:space="preserve"> y proyectos regulatorios adicionales que viene adelantando la Comisión. </w:t>
            </w:r>
          </w:p>
        </w:tc>
      </w:tr>
      <w:tr w:rsidR="005E727D" w:rsidRPr="007E00DB" w14:paraId="71640FC8" w14:textId="77777777" w:rsidTr="009D701F">
        <w:trPr>
          <w:trHeight w:val="2030"/>
        </w:trPr>
        <w:tc>
          <w:tcPr>
            <w:tcW w:w="881" w:type="pct"/>
            <w:hideMark/>
          </w:tcPr>
          <w:p w14:paraId="1C297B31"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E2023017872</w:t>
            </w:r>
            <w:r w:rsidRPr="009D701F">
              <w:rPr>
                <w:rFonts w:cs="Arial"/>
                <w:color w:val="000000"/>
                <w:sz w:val="18"/>
                <w:szCs w:val="18"/>
              </w:rPr>
              <w:br/>
              <w:t>_AIR-E</w:t>
            </w:r>
          </w:p>
        </w:tc>
        <w:tc>
          <w:tcPr>
            <w:tcW w:w="2247" w:type="pct"/>
            <w:hideMark/>
          </w:tcPr>
          <w:p w14:paraId="7E67D70C"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Considerando que algunos comercializadores atraviesan situaciones críticas de flujo de caja y liquidez, y asimismo que la tarifa de energía puede estar presentando un crecimiento superior al 30%, respetuosamente se sugiere que el valor del 6% del que trata el Título 2. (Finalización de la opción tarifaria), se incremente al menos al 10%.</w:t>
            </w:r>
          </w:p>
        </w:tc>
        <w:tc>
          <w:tcPr>
            <w:tcW w:w="1872" w:type="pct"/>
            <w:hideMark/>
          </w:tcPr>
          <w:p w14:paraId="70B1D5CD" w14:textId="5C61710F" w:rsidR="005E727D" w:rsidRPr="009D701F" w:rsidRDefault="005E727D" w:rsidP="005E727D">
            <w:pPr>
              <w:spacing w:before="0" w:after="0"/>
              <w:jc w:val="left"/>
              <w:rPr>
                <w:rFonts w:cs="Arial"/>
                <w:color w:val="000000"/>
                <w:sz w:val="18"/>
                <w:szCs w:val="18"/>
              </w:rPr>
            </w:pPr>
            <w:r w:rsidRPr="009D701F">
              <w:rPr>
                <w:rFonts w:cs="Arial"/>
                <w:color w:val="000000"/>
                <w:sz w:val="18"/>
                <w:szCs w:val="18"/>
              </w:rPr>
              <w:t xml:space="preserve">De acuerdo con los </w:t>
            </w:r>
            <w:r w:rsidR="00F34141" w:rsidRPr="009D701F">
              <w:rPr>
                <w:rFonts w:cs="Arial"/>
                <w:color w:val="000000"/>
                <w:sz w:val="18"/>
                <w:szCs w:val="18"/>
              </w:rPr>
              <w:t>análisis</w:t>
            </w:r>
            <w:r w:rsidRPr="009D701F">
              <w:rPr>
                <w:rFonts w:cs="Arial"/>
                <w:color w:val="000000"/>
                <w:sz w:val="18"/>
                <w:szCs w:val="18"/>
              </w:rPr>
              <w:t xml:space="preserve"> realizados por la comisión y dados los incrementos realizados en el CU aplicado en los meses de octubre y noviembre de 2023 por los comercializadores no se considera necesario aumentar dicho limite. Adicionalmente, es de anotar que el factor propuesto propende por un aumento moderado a los usuarios o para que no existan picos indeseables.</w:t>
            </w:r>
          </w:p>
        </w:tc>
      </w:tr>
      <w:tr w:rsidR="005E727D" w:rsidRPr="007E00DB" w14:paraId="44258D79" w14:textId="77777777" w:rsidTr="009D701F">
        <w:trPr>
          <w:trHeight w:val="2610"/>
        </w:trPr>
        <w:tc>
          <w:tcPr>
            <w:tcW w:w="881" w:type="pct"/>
            <w:hideMark/>
          </w:tcPr>
          <w:p w14:paraId="26BE64AB"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E2023017872</w:t>
            </w:r>
            <w:r w:rsidRPr="009D701F">
              <w:rPr>
                <w:rFonts w:cs="Arial"/>
                <w:color w:val="000000"/>
                <w:sz w:val="18"/>
                <w:szCs w:val="18"/>
              </w:rPr>
              <w:br/>
              <w:t>_AIR-E</w:t>
            </w:r>
          </w:p>
        </w:tc>
        <w:tc>
          <w:tcPr>
            <w:tcW w:w="2247" w:type="pct"/>
            <w:hideMark/>
          </w:tcPr>
          <w:p w14:paraId="7128B515"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 xml:space="preserve">Respecto a la Certificación que deberá realizar la Superintendencia de Servicios Públicos Domiciliarios -SSPD- sobre el saldo acumulado, es importante que se considere que los comercializadores mensualmente y, a más tardar el día 24 de cada mes, envían a través del formato T6, el último valor de Saldo Acumulado derivado de la aplicación de las Resoluciones CREG 012 y 058 de 2020; por lo que, con el fin de dar agilidad al proceso, se podría utilizar el último valor reportado por el comercializador a la SSPD, el cual podrá ser sujeto de certificación. </w:t>
            </w:r>
          </w:p>
        </w:tc>
        <w:tc>
          <w:tcPr>
            <w:tcW w:w="1872" w:type="pct"/>
            <w:hideMark/>
          </w:tcPr>
          <w:p w14:paraId="41B7D2FA"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Esto es competencia de la SSPD y excede el alcance de esta resolución</w:t>
            </w:r>
          </w:p>
        </w:tc>
      </w:tr>
      <w:tr w:rsidR="005E727D" w:rsidRPr="007E00DB" w14:paraId="575060AC" w14:textId="77777777" w:rsidTr="009D701F">
        <w:trPr>
          <w:trHeight w:val="5510"/>
        </w:trPr>
        <w:tc>
          <w:tcPr>
            <w:tcW w:w="881" w:type="pct"/>
            <w:hideMark/>
          </w:tcPr>
          <w:p w14:paraId="6FB12DD3"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lastRenderedPageBreak/>
              <w:t>E2023017872</w:t>
            </w:r>
            <w:r w:rsidRPr="009D701F">
              <w:rPr>
                <w:rFonts w:cs="Arial"/>
                <w:color w:val="000000"/>
                <w:sz w:val="18"/>
                <w:szCs w:val="18"/>
              </w:rPr>
              <w:br/>
              <w:t>_AIR-E</w:t>
            </w:r>
          </w:p>
        </w:tc>
        <w:tc>
          <w:tcPr>
            <w:tcW w:w="2247" w:type="pct"/>
            <w:hideMark/>
          </w:tcPr>
          <w:p w14:paraId="7B37F3CE"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 xml:space="preserve">Con relación a la fórmula de cálculo de la </w:t>
            </w:r>
            <w:proofErr w:type="gramStart"/>
            <w:r w:rsidRPr="009D701F">
              <w:rPr>
                <w:rFonts w:cs="Arial"/>
                <w:color w:val="000000"/>
                <w:sz w:val="18"/>
                <w:szCs w:val="18"/>
              </w:rPr>
              <w:t>variable  COT</w:t>
            </w:r>
            <w:proofErr w:type="gramEnd"/>
            <w:r w:rsidRPr="009D701F">
              <w:rPr>
                <w:rFonts w:cs="Arial"/>
                <w:color w:val="000000"/>
                <w:sz w:val="18"/>
                <w:szCs w:val="18"/>
              </w:rPr>
              <w:t xml:space="preserve"> es necesario que en la variable relacionada con las ventas de energía VR se considere:</w:t>
            </w:r>
            <w:r w:rsidRPr="009D701F">
              <w:rPr>
                <w:rFonts w:cs="Arial"/>
                <w:color w:val="000000"/>
                <w:sz w:val="18"/>
                <w:szCs w:val="18"/>
              </w:rPr>
              <w:br/>
              <w:t>a) Incluir la energía de los clientes que deciden cambiar de comercializador cuando el comercializador esté aplicando la opción tarifaria.</w:t>
            </w:r>
            <w:r w:rsidRPr="009D701F">
              <w:rPr>
                <w:rFonts w:cs="Arial"/>
                <w:color w:val="000000"/>
                <w:sz w:val="18"/>
                <w:szCs w:val="18"/>
              </w:rPr>
              <w:br/>
              <w:t xml:space="preserve">b) En caso de que los Nuevos Usuarios del comercializador no deban percibir los costos asociados a la variable COT, estas ventas deberán ser descontadas. </w:t>
            </w:r>
            <w:r w:rsidRPr="009D701F">
              <w:rPr>
                <w:rFonts w:cs="Arial"/>
                <w:color w:val="000000"/>
                <w:sz w:val="18"/>
                <w:szCs w:val="18"/>
              </w:rPr>
              <w:br/>
              <w:t>c) Los usuarios que pasan de un comercializador en aplicación del Proyecto de Resolución a un comercializador que también se encuentra en la misma condición, solo percibirían el valor de la COT del comercializador inicial y no del nuevo comercializador que lo atiende; en este caso, las ventas de dichos usuarios también deberían descontarse.</w:t>
            </w:r>
            <w:r w:rsidRPr="009D701F">
              <w:rPr>
                <w:rFonts w:cs="Arial"/>
                <w:color w:val="000000"/>
                <w:sz w:val="18"/>
                <w:szCs w:val="18"/>
              </w:rPr>
              <w:br/>
              <w:t>d) Similar al caso anterior, se deben descontar las ventas de los usuarios que llegan de un nivel de tensión diferente y considerar dentro de las ventas del nivel de tensión al cual se le está realizando el cobro de la variable COT.</w:t>
            </w:r>
          </w:p>
        </w:tc>
        <w:tc>
          <w:tcPr>
            <w:tcW w:w="1872" w:type="pct"/>
            <w:hideMark/>
          </w:tcPr>
          <w:p w14:paraId="2C91254A" w14:textId="799F4DC3" w:rsidR="005E727D" w:rsidRPr="009D701F" w:rsidRDefault="005E727D" w:rsidP="005E727D">
            <w:pPr>
              <w:spacing w:before="0" w:after="0"/>
              <w:jc w:val="left"/>
              <w:rPr>
                <w:rFonts w:cs="Arial"/>
                <w:color w:val="000000"/>
                <w:sz w:val="18"/>
                <w:szCs w:val="18"/>
              </w:rPr>
            </w:pPr>
            <w:r w:rsidRPr="009D701F">
              <w:rPr>
                <w:rFonts w:cs="Arial"/>
                <w:color w:val="000000"/>
                <w:sz w:val="18"/>
                <w:szCs w:val="18"/>
              </w:rPr>
              <w:t>Se revisa en el siguiente sentido:</w:t>
            </w:r>
            <w:r w:rsidRPr="009D701F">
              <w:rPr>
                <w:rFonts w:cs="Arial"/>
                <w:color w:val="000000"/>
                <w:sz w:val="18"/>
                <w:szCs w:val="18"/>
              </w:rPr>
              <w:br/>
              <w:t>a) se incluye</w:t>
            </w:r>
            <w:r w:rsidRPr="009D701F">
              <w:rPr>
                <w:rFonts w:cs="Arial"/>
                <w:color w:val="000000"/>
                <w:sz w:val="18"/>
                <w:szCs w:val="18"/>
              </w:rPr>
              <w:br/>
              <w:t xml:space="preserve">b) los nuevos usuarios deben pagar el COT del mercado al que ingresan </w:t>
            </w:r>
            <w:r w:rsidRPr="009D701F">
              <w:rPr>
                <w:rFonts w:cs="Arial"/>
                <w:color w:val="000000"/>
                <w:sz w:val="18"/>
                <w:szCs w:val="18"/>
              </w:rPr>
              <w:br/>
              <w:t xml:space="preserve">c) se incluye, en el sentido de cobrar un </w:t>
            </w:r>
            <w:r w:rsidR="00F34141" w:rsidRPr="009D701F">
              <w:rPr>
                <w:rFonts w:cs="Arial"/>
                <w:color w:val="000000"/>
                <w:sz w:val="18"/>
                <w:szCs w:val="18"/>
              </w:rPr>
              <w:t>único</w:t>
            </w:r>
            <w:r w:rsidRPr="009D701F">
              <w:rPr>
                <w:rFonts w:cs="Arial"/>
                <w:color w:val="000000"/>
                <w:sz w:val="18"/>
                <w:szCs w:val="18"/>
              </w:rPr>
              <w:t xml:space="preserve"> COT por mercado</w:t>
            </w:r>
            <w:r w:rsidRPr="009D701F">
              <w:rPr>
                <w:rFonts w:cs="Arial"/>
                <w:color w:val="000000"/>
                <w:sz w:val="18"/>
                <w:szCs w:val="18"/>
              </w:rPr>
              <w:br/>
              <w:t xml:space="preserve">d) Se incluye </w:t>
            </w:r>
          </w:p>
        </w:tc>
      </w:tr>
      <w:tr w:rsidR="005E727D" w:rsidRPr="007E00DB" w14:paraId="4F19BE91" w14:textId="77777777" w:rsidTr="009D701F">
        <w:trPr>
          <w:trHeight w:val="2320"/>
        </w:trPr>
        <w:tc>
          <w:tcPr>
            <w:tcW w:w="881" w:type="pct"/>
            <w:hideMark/>
          </w:tcPr>
          <w:p w14:paraId="419989B1"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E2023017872</w:t>
            </w:r>
            <w:r w:rsidRPr="009D701F">
              <w:rPr>
                <w:rFonts w:cs="Arial"/>
                <w:color w:val="000000"/>
                <w:sz w:val="18"/>
                <w:szCs w:val="18"/>
              </w:rPr>
              <w:br/>
              <w:t>_AIR-E</w:t>
            </w:r>
          </w:p>
        </w:tc>
        <w:tc>
          <w:tcPr>
            <w:tcW w:w="2247" w:type="pct"/>
            <w:hideMark/>
          </w:tcPr>
          <w:p w14:paraId="3A4411A9"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Evaluar la pertinencia de que los agentes que están en la aplicación de la Resolución CREG 012 de 2020 puedan aplicar un PV superior al 3% cuando estos no cumplan con la condición propuesta en el Proyecto de Resolución, por los crecimientos tarifarios actuales que, como se mencionó, pueden superar el 30% del valor del CU.</w:t>
            </w:r>
          </w:p>
        </w:tc>
        <w:tc>
          <w:tcPr>
            <w:tcW w:w="1872" w:type="pct"/>
            <w:hideMark/>
          </w:tcPr>
          <w:p w14:paraId="6066495F" w14:textId="355AF973" w:rsidR="005E727D" w:rsidRPr="009D701F" w:rsidRDefault="005E727D" w:rsidP="005E727D">
            <w:pPr>
              <w:spacing w:before="0" w:after="0"/>
              <w:jc w:val="left"/>
              <w:rPr>
                <w:rFonts w:cs="Arial"/>
                <w:color w:val="000000"/>
                <w:sz w:val="18"/>
                <w:szCs w:val="18"/>
              </w:rPr>
            </w:pPr>
            <w:r w:rsidRPr="009D701F">
              <w:rPr>
                <w:rFonts w:cs="Arial"/>
                <w:color w:val="000000"/>
                <w:sz w:val="18"/>
                <w:szCs w:val="18"/>
              </w:rPr>
              <w:t xml:space="preserve">De acuerdo con los análisis realizados por la comisión y dados los incrementos realizados en el CU aplicado en los meses de octubre y noviembre de 2023 por los comercializadores, no se considera necesario aumentar dicho limite. </w:t>
            </w:r>
            <w:r w:rsidRPr="009D701F">
              <w:rPr>
                <w:rFonts w:cs="Arial"/>
                <w:color w:val="000000"/>
                <w:sz w:val="18"/>
                <w:szCs w:val="18"/>
              </w:rPr>
              <w:br/>
            </w:r>
            <w:r w:rsidRPr="009D701F">
              <w:rPr>
                <w:rFonts w:cs="Arial"/>
                <w:color w:val="000000"/>
                <w:sz w:val="18"/>
                <w:szCs w:val="18"/>
              </w:rPr>
              <w:br/>
              <w:t xml:space="preserve">Adicionalmente, se incluye alternativa para que el comercializador inicie la recuperación del saldo con un perfil de pago de gradiente aritmético creciente. </w:t>
            </w:r>
          </w:p>
        </w:tc>
      </w:tr>
      <w:tr w:rsidR="005E727D" w:rsidRPr="007E00DB" w14:paraId="3548C0C1" w14:textId="77777777" w:rsidTr="009D701F">
        <w:trPr>
          <w:trHeight w:val="1160"/>
        </w:trPr>
        <w:tc>
          <w:tcPr>
            <w:tcW w:w="881" w:type="pct"/>
            <w:hideMark/>
          </w:tcPr>
          <w:p w14:paraId="29B0A096"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E2023017872</w:t>
            </w:r>
            <w:r w:rsidRPr="009D701F">
              <w:rPr>
                <w:rFonts w:cs="Arial"/>
                <w:color w:val="000000"/>
                <w:sz w:val="18"/>
                <w:szCs w:val="18"/>
              </w:rPr>
              <w:br/>
              <w:t>_AIR-E</w:t>
            </w:r>
          </w:p>
        </w:tc>
        <w:tc>
          <w:tcPr>
            <w:tcW w:w="2247" w:type="pct"/>
            <w:hideMark/>
          </w:tcPr>
          <w:p w14:paraId="780D6125"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Modificar la fórmula de la condición para la finalización de la opción tarifaria, pues la gramática difiere de lo establecido matemáticamente; adicionalmente, incrementar este valor al 10%, de la siguiente manera: SBC&lt;= CU * (0.1)</w:t>
            </w:r>
          </w:p>
        </w:tc>
        <w:tc>
          <w:tcPr>
            <w:tcW w:w="1872" w:type="pct"/>
            <w:hideMark/>
          </w:tcPr>
          <w:p w14:paraId="3454D3A9"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Se corrige.</w:t>
            </w:r>
          </w:p>
        </w:tc>
      </w:tr>
      <w:tr w:rsidR="005E727D" w:rsidRPr="007E00DB" w14:paraId="7852FBBD" w14:textId="77777777" w:rsidTr="009D701F">
        <w:trPr>
          <w:trHeight w:val="2397"/>
        </w:trPr>
        <w:tc>
          <w:tcPr>
            <w:tcW w:w="881" w:type="pct"/>
            <w:hideMark/>
          </w:tcPr>
          <w:p w14:paraId="43177518"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E2023017872</w:t>
            </w:r>
            <w:r w:rsidRPr="009D701F">
              <w:rPr>
                <w:rFonts w:cs="Arial"/>
                <w:color w:val="000000"/>
                <w:sz w:val="18"/>
                <w:szCs w:val="18"/>
              </w:rPr>
              <w:br/>
              <w:t>_AIR-E</w:t>
            </w:r>
          </w:p>
        </w:tc>
        <w:tc>
          <w:tcPr>
            <w:tcW w:w="2247" w:type="pct"/>
            <w:hideMark/>
          </w:tcPr>
          <w:p w14:paraId="75F3F068" w14:textId="53653F4D" w:rsidR="005E727D" w:rsidRPr="009D701F" w:rsidRDefault="005E727D" w:rsidP="005E727D">
            <w:pPr>
              <w:spacing w:before="0" w:after="0"/>
              <w:jc w:val="left"/>
              <w:rPr>
                <w:rFonts w:cs="Arial"/>
                <w:color w:val="000000"/>
                <w:sz w:val="18"/>
                <w:szCs w:val="18"/>
              </w:rPr>
            </w:pPr>
            <w:r w:rsidRPr="009D701F">
              <w:rPr>
                <w:rFonts w:cs="Arial"/>
                <w:color w:val="000000"/>
                <w:sz w:val="18"/>
                <w:szCs w:val="18"/>
              </w:rPr>
              <w:t xml:space="preserve">Consideramos necesario que los meses de recuperación del saldo acumulado de la opción tarifaria contenida en la variable </w:t>
            </w:r>
            <w:proofErr w:type="spellStart"/>
            <w:r w:rsidRPr="009D701F">
              <w:rPr>
                <w:rFonts w:cs="Arial"/>
                <w:color w:val="000000"/>
                <w:sz w:val="18"/>
                <w:szCs w:val="18"/>
              </w:rPr>
              <w:t>ma</w:t>
            </w:r>
            <w:proofErr w:type="spellEnd"/>
            <w:r w:rsidRPr="009D701F">
              <w:rPr>
                <w:rFonts w:cs="Arial"/>
                <w:color w:val="000000"/>
                <w:sz w:val="18"/>
                <w:szCs w:val="18"/>
              </w:rPr>
              <w:t xml:space="preserve"> pueda ser modificado a lo largo de la aplicación de la resolución, es decir, que pueda ser recalculado el valor mensual para la recuperación del saldo de la opción </w:t>
            </w:r>
            <w:proofErr w:type="gramStart"/>
            <w:r w:rsidRPr="009D701F">
              <w:rPr>
                <w:rFonts w:cs="Arial"/>
                <w:color w:val="000000"/>
                <w:sz w:val="18"/>
                <w:szCs w:val="18"/>
              </w:rPr>
              <w:t>tarifaria  SAOT</w:t>
            </w:r>
            <w:proofErr w:type="gramEnd"/>
            <w:r w:rsidRPr="009D701F">
              <w:rPr>
                <w:rFonts w:cs="Arial"/>
                <w:color w:val="000000"/>
                <w:sz w:val="18"/>
                <w:szCs w:val="18"/>
              </w:rPr>
              <w:t xml:space="preserve">. Lo anterior permitiría una variación de la tarifa percibida por los usuarios, de manera que una vez finalice la coyuntura de fenómeno de El Niño, los comercializadores que se </w:t>
            </w:r>
            <w:r w:rsidRPr="009D701F">
              <w:rPr>
                <w:rFonts w:cs="Arial"/>
                <w:color w:val="000000"/>
                <w:sz w:val="18"/>
                <w:szCs w:val="18"/>
              </w:rPr>
              <w:lastRenderedPageBreak/>
              <w:t>acogieron a lo establecido en la resolución puedan trasladar un menor valor de COT.</w:t>
            </w:r>
          </w:p>
        </w:tc>
        <w:tc>
          <w:tcPr>
            <w:tcW w:w="1872" w:type="pct"/>
            <w:hideMark/>
          </w:tcPr>
          <w:p w14:paraId="2A5ACC0E" w14:textId="082D7E81" w:rsidR="005E727D" w:rsidRPr="009D701F" w:rsidRDefault="005E727D" w:rsidP="005E727D">
            <w:pPr>
              <w:spacing w:before="0" w:after="0"/>
              <w:jc w:val="left"/>
              <w:rPr>
                <w:rFonts w:cs="Arial"/>
                <w:color w:val="000000"/>
                <w:sz w:val="18"/>
                <w:szCs w:val="18"/>
              </w:rPr>
            </w:pPr>
            <w:r w:rsidRPr="009D701F">
              <w:rPr>
                <w:rFonts w:cs="Arial"/>
                <w:color w:val="000000"/>
                <w:sz w:val="18"/>
                <w:szCs w:val="18"/>
              </w:rPr>
              <w:lastRenderedPageBreak/>
              <w:t xml:space="preserve">Se incluyen procedimientos y condiciones para el </w:t>
            </w:r>
            <w:r w:rsidR="00F34141" w:rsidRPr="009D701F">
              <w:rPr>
                <w:rFonts w:cs="Arial"/>
                <w:color w:val="000000"/>
                <w:sz w:val="18"/>
                <w:szCs w:val="18"/>
              </w:rPr>
              <w:t>cálculo</w:t>
            </w:r>
            <w:r w:rsidRPr="009D701F">
              <w:rPr>
                <w:rFonts w:cs="Arial"/>
                <w:color w:val="000000"/>
                <w:sz w:val="18"/>
                <w:szCs w:val="18"/>
              </w:rPr>
              <w:t xml:space="preserve"> del SAOT.</w:t>
            </w:r>
          </w:p>
        </w:tc>
      </w:tr>
      <w:tr w:rsidR="005E727D" w:rsidRPr="007E00DB" w14:paraId="0EFA4E82" w14:textId="77777777" w:rsidTr="009D701F">
        <w:trPr>
          <w:trHeight w:val="3770"/>
        </w:trPr>
        <w:tc>
          <w:tcPr>
            <w:tcW w:w="881" w:type="pct"/>
            <w:hideMark/>
          </w:tcPr>
          <w:p w14:paraId="22908CE1"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E2023017867</w:t>
            </w:r>
            <w:r w:rsidRPr="009D701F">
              <w:rPr>
                <w:rFonts w:cs="Arial"/>
                <w:color w:val="000000"/>
                <w:sz w:val="18"/>
                <w:szCs w:val="18"/>
              </w:rPr>
              <w:br/>
              <w:t>_ACOLGEN</w:t>
            </w:r>
          </w:p>
        </w:tc>
        <w:tc>
          <w:tcPr>
            <w:tcW w:w="2247" w:type="pct"/>
            <w:hideMark/>
          </w:tcPr>
          <w:p w14:paraId="1E795A19"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 xml:space="preserve">La  primera  propuesta,  la  cual  hemos  denominado  Bonos  de  Alivio  Tarifario  –  BAT,  permite  al mercado  financiar  con  mayores  plazos,  mejores  tasas  y  con  menor  riesgo,  los  pagos  de  facturas actuales;  la  segunda  propuesta,  consiste  en  realizar  una  subasta  de  excedentes  de  energía,  con participación voluntaria de los agentes para que, de manera centralizada, se asigne una cantidad de energía con precios estables para aquellos agentes con mayores niveles de exposición a bolsa a su demanda regulada. La socialización de estas propuestas con la CREG y otras entidades del Gobierno se ha desarrollado en diferentes espacios; sin embargo, nos encontramos dispuestos a profundizarlas, con el gran objetivo de contribuir a la prestación continua y eficiente del servicio de </w:t>
            </w:r>
            <w:r w:rsidRPr="009D701F">
              <w:rPr>
                <w:rFonts w:cs="Arial"/>
                <w:color w:val="000000"/>
                <w:sz w:val="18"/>
                <w:szCs w:val="18"/>
              </w:rPr>
              <w:br/>
              <w:t xml:space="preserve">energía eléctrica. </w:t>
            </w:r>
          </w:p>
        </w:tc>
        <w:tc>
          <w:tcPr>
            <w:tcW w:w="1872" w:type="pct"/>
            <w:hideMark/>
          </w:tcPr>
          <w:p w14:paraId="30823A10"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Estas propuestas deben ser analizadas en desarrollo de los temas de mercado y exceden el alcance del proyecto propuesto.</w:t>
            </w:r>
          </w:p>
        </w:tc>
      </w:tr>
      <w:tr w:rsidR="005E727D" w:rsidRPr="007E00DB" w14:paraId="2B87D3B1" w14:textId="77777777" w:rsidTr="009D701F">
        <w:trPr>
          <w:trHeight w:val="412"/>
        </w:trPr>
        <w:tc>
          <w:tcPr>
            <w:tcW w:w="881" w:type="pct"/>
            <w:hideMark/>
          </w:tcPr>
          <w:p w14:paraId="33A28AC6"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E2023017867</w:t>
            </w:r>
            <w:r w:rsidRPr="009D701F">
              <w:rPr>
                <w:rFonts w:cs="Arial"/>
                <w:color w:val="000000"/>
                <w:sz w:val="18"/>
                <w:szCs w:val="18"/>
              </w:rPr>
              <w:br/>
              <w:t>_ACOLGEN</w:t>
            </w:r>
          </w:p>
        </w:tc>
        <w:tc>
          <w:tcPr>
            <w:tcW w:w="2247" w:type="pct"/>
            <w:hideMark/>
          </w:tcPr>
          <w:p w14:paraId="7DB29495" w14:textId="2DFB7515" w:rsidR="005E727D" w:rsidRPr="009D701F" w:rsidRDefault="005E727D" w:rsidP="005E727D">
            <w:pPr>
              <w:spacing w:before="0" w:after="0"/>
              <w:jc w:val="left"/>
              <w:rPr>
                <w:rFonts w:cs="Arial"/>
                <w:color w:val="000000"/>
                <w:sz w:val="18"/>
                <w:szCs w:val="18"/>
              </w:rPr>
            </w:pPr>
            <w:r w:rsidRPr="009D701F">
              <w:rPr>
                <w:rFonts w:cs="Arial"/>
                <w:color w:val="000000"/>
                <w:sz w:val="18"/>
                <w:szCs w:val="18"/>
              </w:rPr>
              <w:t xml:space="preserve">se  establezcan criterios  que  definan la posibilidad de  </w:t>
            </w:r>
            <w:r w:rsidRPr="009D701F">
              <w:rPr>
                <w:rFonts w:cs="Arial"/>
                <w:color w:val="000000"/>
                <w:sz w:val="18"/>
                <w:szCs w:val="18"/>
              </w:rPr>
              <w:br/>
              <w:t xml:space="preserve">acceder a un mecanismo alternativo a la propuesta ya planteada; lo anterior, pues el límite del 6% </w:t>
            </w:r>
            <w:r w:rsidRPr="009D701F">
              <w:rPr>
                <w:rFonts w:cs="Arial"/>
                <w:color w:val="000000"/>
                <w:sz w:val="18"/>
                <w:szCs w:val="18"/>
              </w:rPr>
              <w:br/>
              <w:t xml:space="preserve">de la variable  </w:t>
            </w:r>
            <w:r w:rsidRPr="009D701F">
              <w:rPr>
                <w:rFonts w:ascii="Cambria Math" w:hAnsi="Cambria Math" w:cs="Cambria Math"/>
                <w:color w:val="000000"/>
                <w:sz w:val="18"/>
                <w:szCs w:val="18"/>
              </w:rPr>
              <w:t>𝑆𝐵𝐶𝑛</w:t>
            </w:r>
            <w:r w:rsidRPr="009D701F">
              <w:rPr>
                <w:rFonts w:cs="Arial"/>
                <w:color w:val="000000"/>
                <w:sz w:val="18"/>
                <w:szCs w:val="18"/>
              </w:rPr>
              <w:t>,</w:t>
            </w:r>
            <w:r w:rsidRPr="009D701F">
              <w:rPr>
                <w:rFonts w:ascii="Cambria Math" w:hAnsi="Cambria Math" w:cs="Cambria Math"/>
                <w:color w:val="000000"/>
                <w:sz w:val="18"/>
                <w:szCs w:val="18"/>
              </w:rPr>
              <w:t>𝑖</w:t>
            </w:r>
            <w:r w:rsidRPr="009D701F">
              <w:rPr>
                <w:rFonts w:cs="Arial"/>
                <w:color w:val="000000"/>
                <w:sz w:val="18"/>
                <w:szCs w:val="18"/>
              </w:rPr>
              <w:t>,</w:t>
            </w:r>
            <w:r w:rsidRPr="009D701F">
              <w:rPr>
                <w:rFonts w:ascii="Cambria Math" w:hAnsi="Cambria Math" w:cs="Cambria Math"/>
                <w:color w:val="000000"/>
                <w:sz w:val="18"/>
                <w:szCs w:val="18"/>
              </w:rPr>
              <w:t>𝑗</w:t>
            </w:r>
            <w:r w:rsidRPr="009D701F">
              <w:rPr>
                <w:rFonts w:cs="Arial"/>
                <w:color w:val="000000"/>
                <w:sz w:val="18"/>
                <w:szCs w:val="18"/>
              </w:rPr>
              <w:t>,</w:t>
            </w:r>
            <w:r w:rsidRPr="009D701F">
              <w:rPr>
                <w:rFonts w:ascii="Cambria Math" w:hAnsi="Cambria Math" w:cs="Cambria Math"/>
                <w:color w:val="000000"/>
                <w:sz w:val="18"/>
                <w:szCs w:val="18"/>
              </w:rPr>
              <w:t>𝑚</w:t>
            </w:r>
            <w:r w:rsidRPr="009D701F">
              <w:rPr>
                <w:rFonts w:cs="Arial"/>
                <w:color w:val="000000"/>
                <w:sz w:val="18"/>
                <w:szCs w:val="18"/>
              </w:rPr>
              <w:t>, contenida en el numeral 2 del anexo 3 de la propuesta, aplica inmediatamente  a  los  comercializadores  que  actualmente,  bajo  la  Resolución CREG  012  de  2020, están en una fase de recuperación de saldos (CU</w:t>
            </w:r>
            <w:r w:rsidR="00F34141" w:rsidRPr="009D701F">
              <w:rPr>
                <w:rFonts w:cs="Arial"/>
                <w:color w:val="000000"/>
                <w:sz w:val="18"/>
                <w:szCs w:val="18"/>
              </w:rPr>
              <w:t xml:space="preserve"> </w:t>
            </w:r>
            <w:r w:rsidRPr="009D701F">
              <w:rPr>
                <w:rFonts w:cs="Arial"/>
                <w:color w:val="000000"/>
                <w:sz w:val="18"/>
                <w:szCs w:val="18"/>
              </w:rPr>
              <w:t>aplicado mayor que CU</w:t>
            </w:r>
            <w:r w:rsidR="00F34141" w:rsidRPr="009D701F">
              <w:rPr>
                <w:rFonts w:cs="Arial"/>
                <w:color w:val="000000"/>
                <w:sz w:val="18"/>
                <w:szCs w:val="18"/>
              </w:rPr>
              <w:t xml:space="preserve"> </w:t>
            </w:r>
            <w:r w:rsidRPr="009D701F">
              <w:rPr>
                <w:rFonts w:cs="Arial"/>
                <w:color w:val="000000"/>
                <w:sz w:val="18"/>
                <w:szCs w:val="18"/>
              </w:rPr>
              <w:t xml:space="preserve">119), mientras que para aquellos </w:t>
            </w:r>
            <w:r w:rsidRPr="009D701F">
              <w:rPr>
                <w:rFonts w:cs="Arial"/>
                <w:color w:val="000000"/>
                <w:sz w:val="18"/>
                <w:szCs w:val="18"/>
              </w:rPr>
              <w:br/>
              <w:t xml:space="preserve">que están en fase de financiación, tendrían que seguir aplicando la OT con un PV no mayor al 3%, lo  cual  podría  retrasar  la  oportunidad  de  iniciar  la  aplicación  del  esquema  propuesto  para  la recuperación de saldos, agravando de esta manera los inconvenientes de caja </w:t>
            </w:r>
          </w:p>
        </w:tc>
        <w:tc>
          <w:tcPr>
            <w:tcW w:w="1872" w:type="pct"/>
            <w:hideMark/>
          </w:tcPr>
          <w:p w14:paraId="46FB2358" w14:textId="2275F993" w:rsidR="005E727D" w:rsidRPr="009D701F" w:rsidRDefault="005E727D" w:rsidP="005E727D">
            <w:pPr>
              <w:spacing w:before="0" w:after="0"/>
              <w:jc w:val="left"/>
              <w:rPr>
                <w:rFonts w:cs="Arial"/>
                <w:color w:val="000000"/>
                <w:sz w:val="18"/>
                <w:szCs w:val="18"/>
              </w:rPr>
            </w:pPr>
            <w:r w:rsidRPr="009D701F">
              <w:rPr>
                <w:rFonts w:cs="Arial"/>
                <w:color w:val="000000"/>
                <w:sz w:val="18"/>
                <w:szCs w:val="18"/>
              </w:rPr>
              <w:t xml:space="preserve">De acuerdo con los </w:t>
            </w:r>
            <w:r w:rsidR="00F34141" w:rsidRPr="009D701F">
              <w:rPr>
                <w:rFonts w:cs="Arial"/>
                <w:color w:val="000000"/>
                <w:sz w:val="18"/>
                <w:szCs w:val="18"/>
              </w:rPr>
              <w:t>análisis</w:t>
            </w:r>
            <w:r w:rsidRPr="009D701F">
              <w:rPr>
                <w:rFonts w:cs="Arial"/>
                <w:color w:val="000000"/>
                <w:sz w:val="18"/>
                <w:szCs w:val="18"/>
              </w:rPr>
              <w:t xml:space="preserve"> realizados por la comisión y dados los incrementos realizados en el CU aplicado en los meses de octubre y noviembre de 2023 por los comercializadores, no se considera necesario aumentar dicho limite. </w:t>
            </w:r>
            <w:r w:rsidRPr="009D701F">
              <w:rPr>
                <w:rFonts w:cs="Arial"/>
                <w:color w:val="000000"/>
                <w:sz w:val="18"/>
                <w:szCs w:val="18"/>
              </w:rPr>
              <w:br/>
            </w:r>
            <w:r w:rsidRPr="009D701F">
              <w:rPr>
                <w:rFonts w:cs="Arial"/>
                <w:color w:val="000000"/>
                <w:sz w:val="18"/>
                <w:szCs w:val="18"/>
              </w:rPr>
              <w:br/>
              <w:t>Adicionalmente, se incluye alternativa para que el comercializador</w:t>
            </w:r>
            <w:r w:rsidR="00744C80" w:rsidRPr="009D701F">
              <w:rPr>
                <w:rFonts w:cs="Arial"/>
                <w:color w:val="000000"/>
                <w:sz w:val="18"/>
                <w:szCs w:val="18"/>
              </w:rPr>
              <w:t xml:space="preserve"> que no cumpla la condición inicial del 3</w:t>
            </w:r>
            <w:proofErr w:type="gramStart"/>
            <w:r w:rsidR="00744C80" w:rsidRPr="009D701F">
              <w:rPr>
                <w:rFonts w:cs="Arial"/>
                <w:color w:val="000000"/>
                <w:sz w:val="18"/>
                <w:szCs w:val="18"/>
              </w:rPr>
              <w:t xml:space="preserve">% </w:t>
            </w:r>
            <w:r w:rsidRPr="009D701F">
              <w:rPr>
                <w:rFonts w:cs="Arial"/>
                <w:color w:val="000000"/>
                <w:sz w:val="18"/>
                <w:szCs w:val="18"/>
              </w:rPr>
              <w:t xml:space="preserve"> inicie</w:t>
            </w:r>
            <w:proofErr w:type="gramEnd"/>
            <w:r w:rsidRPr="009D701F">
              <w:rPr>
                <w:rFonts w:cs="Arial"/>
                <w:color w:val="000000"/>
                <w:sz w:val="18"/>
                <w:szCs w:val="18"/>
              </w:rPr>
              <w:t xml:space="preserve"> la recuperación del saldo con un perfil de pago de gradiente </w:t>
            </w:r>
            <w:r w:rsidR="00F34141" w:rsidRPr="009D701F">
              <w:rPr>
                <w:rFonts w:cs="Arial"/>
                <w:color w:val="000000"/>
                <w:sz w:val="18"/>
                <w:szCs w:val="18"/>
              </w:rPr>
              <w:t>aritmético</w:t>
            </w:r>
            <w:r w:rsidRPr="009D701F">
              <w:rPr>
                <w:rFonts w:cs="Arial"/>
                <w:color w:val="000000"/>
                <w:sz w:val="18"/>
                <w:szCs w:val="18"/>
              </w:rPr>
              <w:t xml:space="preserve"> creciente. </w:t>
            </w:r>
          </w:p>
        </w:tc>
      </w:tr>
      <w:tr w:rsidR="005E727D" w:rsidRPr="007E00DB" w14:paraId="387001AE" w14:textId="77777777" w:rsidTr="009D701F">
        <w:trPr>
          <w:trHeight w:val="2320"/>
        </w:trPr>
        <w:tc>
          <w:tcPr>
            <w:tcW w:w="881" w:type="pct"/>
            <w:hideMark/>
          </w:tcPr>
          <w:p w14:paraId="14D0F649"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lastRenderedPageBreak/>
              <w:t>E2023017865</w:t>
            </w:r>
            <w:r w:rsidRPr="009D701F">
              <w:rPr>
                <w:rFonts w:cs="Arial"/>
                <w:color w:val="000000"/>
                <w:sz w:val="18"/>
                <w:szCs w:val="18"/>
              </w:rPr>
              <w:br/>
              <w:t>_ASOCODIS</w:t>
            </w:r>
          </w:p>
        </w:tc>
        <w:tc>
          <w:tcPr>
            <w:tcW w:w="2247" w:type="pct"/>
            <w:hideMark/>
          </w:tcPr>
          <w:p w14:paraId="2F84FEDA"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Reconsiderar el aumento máximo del 6% dado que varias empresas no alcanzan a iniciar el mutuo acuerdo dado que, por los precios de bolsa que elevan el G, el 6% no alcanzará para cerrar brecha y calcular el COT.</w:t>
            </w:r>
          </w:p>
        </w:tc>
        <w:tc>
          <w:tcPr>
            <w:tcW w:w="1872" w:type="pct"/>
            <w:hideMark/>
          </w:tcPr>
          <w:p w14:paraId="1C31AABE" w14:textId="1B56BD41" w:rsidR="005E727D" w:rsidRPr="009D701F" w:rsidRDefault="005E727D" w:rsidP="005E727D">
            <w:pPr>
              <w:spacing w:before="0" w:after="0"/>
              <w:jc w:val="left"/>
              <w:rPr>
                <w:rFonts w:cs="Arial"/>
                <w:color w:val="000000"/>
                <w:sz w:val="18"/>
                <w:szCs w:val="18"/>
              </w:rPr>
            </w:pPr>
            <w:r w:rsidRPr="009D701F">
              <w:rPr>
                <w:rFonts w:cs="Arial"/>
                <w:color w:val="000000"/>
                <w:sz w:val="18"/>
                <w:szCs w:val="18"/>
              </w:rPr>
              <w:t xml:space="preserve">De acuerdo con los </w:t>
            </w:r>
            <w:r w:rsidR="007066DC" w:rsidRPr="009D701F">
              <w:rPr>
                <w:rFonts w:cs="Arial"/>
                <w:color w:val="000000"/>
                <w:sz w:val="18"/>
                <w:szCs w:val="18"/>
              </w:rPr>
              <w:t>análisis</w:t>
            </w:r>
            <w:r w:rsidRPr="009D701F">
              <w:rPr>
                <w:rFonts w:cs="Arial"/>
                <w:color w:val="000000"/>
                <w:sz w:val="18"/>
                <w:szCs w:val="18"/>
              </w:rPr>
              <w:t xml:space="preserve"> realizados por la comisión y dados los incrementos realizados en el CU aplicado en los meses de octubre y noviembre de 2023 por los comercializadores, no se considera necesario aumentar dicho limite. </w:t>
            </w:r>
            <w:r w:rsidRPr="009D701F">
              <w:rPr>
                <w:rFonts w:cs="Arial"/>
                <w:color w:val="000000"/>
                <w:sz w:val="18"/>
                <w:szCs w:val="18"/>
              </w:rPr>
              <w:br/>
            </w:r>
            <w:r w:rsidRPr="009D701F">
              <w:rPr>
                <w:rFonts w:cs="Arial"/>
                <w:color w:val="000000"/>
                <w:sz w:val="18"/>
                <w:szCs w:val="18"/>
              </w:rPr>
              <w:br/>
              <w:t xml:space="preserve">Adicionalmente, se incluye alternativa para que el comercializador </w:t>
            </w:r>
            <w:r w:rsidR="00744C80" w:rsidRPr="009D701F">
              <w:rPr>
                <w:rFonts w:cs="Arial"/>
                <w:color w:val="000000"/>
                <w:sz w:val="18"/>
                <w:szCs w:val="18"/>
              </w:rPr>
              <w:t>que no cumpla la condición inicial del 3</w:t>
            </w:r>
            <w:proofErr w:type="gramStart"/>
            <w:r w:rsidR="00744C80" w:rsidRPr="009D701F">
              <w:rPr>
                <w:rFonts w:cs="Arial"/>
                <w:color w:val="000000"/>
                <w:sz w:val="18"/>
                <w:szCs w:val="18"/>
              </w:rPr>
              <w:t xml:space="preserve">%  </w:t>
            </w:r>
            <w:r w:rsidRPr="009D701F">
              <w:rPr>
                <w:rFonts w:cs="Arial"/>
                <w:color w:val="000000"/>
                <w:sz w:val="18"/>
                <w:szCs w:val="18"/>
              </w:rPr>
              <w:t>inicie</w:t>
            </w:r>
            <w:proofErr w:type="gramEnd"/>
            <w:r w:rsidRPr="009D701F">
              <w:rPr>
                <w:rFonts w:cs="Arial"/>
                <w:color w:val="000000"/>
                <w:sz w:val="18"/>
                <w:szCs w:val="18"/>
              </w:rPr>
              <w:t xml:space="preserve"> la recuperación del saldo con un perfil de pago de gradiente </w:t>
            </w:r>
            <w:r w:rsidR="007066DC" w:rsidRPr="009D701F">
              <w:rPr>
                <w:rFonts w:cs="Arial"/>
                <w:color w:val="000000"/>
                <w:sz w:val="18"/>
                <w:szCs w:val="18"/>
              </w:rPr>
              <w:t>aritmético</w:t>
            </w:r>
            <w:r w:rsidRPr="009D701F">
              <w:rPr>
                <w:rFonts w:cs="Arial"/>
                <w:color w:val="000000"/>
                <w:sz w:val="18"/>
                <w:szCs w:val="18"/>
              </w:rPr>
              <w:t xml:space="preserve"> creciente. </w:t>
            </w:r>
          </w:p>
        </w:tc>
      </w:tr>
      <w:tr w:rsidR="005E727D" w:rsidRPr="007E00DB" w14:paraId="6D82E3A9" w14:textId="77777777" w:rsidTr="009D701F">
        <w:trPr>
          <w:trHeight w:val="3480"/>
        </w:trPr>
        <w:tc>
          <w:tcPr>
            <w:tcW w:w="881" w:type="pct"/>
            <w:hideMark/>
          </w:tcPr>
          <w:p w14:paraId="3BFD5511"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E2023017865</w:t>
            </w:r>
            <w:r w:rsidRPr="009D701F">
              <w:rPr>
                <w:rFonts w:cs="Arial"/>
                <w:color w:val="000000"/>
                <w:sz w:val="18"/>
                <w:szCs w:val="18"/>
              </w:rPr>
              <w:br/>
              <w:t>_ASOCODIS</w:t>
            </w:r>
          </w:p>
        </w:tc>
        <w:tc>
          <w:tcPr>
            <w:tcW w:w="2247" w:type="pct"/>
            <w:hideMark/>
          </w:tcPr>
          <w:p w14:paraId="00B53363"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Revisar la aplicación de tasas para que se puedan cubrir los costos financieros de los créditos que se obtengan, entendiendo que Findeter no va a cubrir la totalidad de la deuda</w:t>
            </w:r>
            <w:r w:rsidRPr="009D701F">
              <w:rPr>
                <w:rFonts w:cs="Arial"/>
                <w:color w:val="000000"/>
                <w:sz w:val="18"/>
                <w:szCs w:val="18"/>
              </w:rPr>
              <w:br/>
            </w:r>
            <w:r w:rsidRPr="009D701F">
              <w:rPr>
                <w:rFonts w:cs="Arial"/>
                <w:color w:val="000000"/>
                <w:sz w:val="18"/>
                <w:szCs w:val="18"/>
              </w:rPr>
              <w:br/>
              <w:t>De otro lado, es preciso aclarar que el momento en que se dará cumplimiento a la tasa que se defina, debe ser a partir de la utilización de los créditos respectivos.</w:t>
            </w:r>
            <w:r w:rsidRPr="009D701F">
              <w:rPr>
                <w:rFonts w:cs="Arial"/>
                <w:color w:val="000000"/>
                <w:sz w:val="18"/>
                <w:szCs w:val="18"/>
              </w:rPr>
              <w:br/>
            </w:r>
            <w:r w:rsidRPr="009D701F">
              <w:rPr>
                <w:rFonts w:cs="Arial"/>
                <w:color w:val="000000"/>
                <w:sz w:val="18"/>
                <w:szCs w:val="18"/>
              </w:rPr>
              <w:br/>
              <w:t>La tasa que se reconozca sobre los saldos acumulados de la opción tarifaria corresponda al promedio ponderado de las tasas de los créditos a los que el comercializador pueda acceder con el fin de financiar los saldos acumulados</w:t>
            </w:r>
          </w:p>
        </w:tc>
        <w:tc>
          <w:tcPr>
            <w:tcW w:w="1872" w:type="pct"/>
            <w:hideMark/>
          </w:tcPr>
          <w:p w14:paraId="42811802" w14:textId="4B8305C1" w:rsidR="005E727D" w:rsidRPr="009D701F" w:rsidRDefault="005E727D" w:rsidP="005E727D">
            <w:pPr>
              <w:spacing w:before="0" w:after="0"/>
              <w:jc w:val="left"/>
              <w:rPr>
                <w:rFonts w:cs="Arial"/>
                <w:color w:val="000000"/>
                <w:sz w:val="18"/>
                <w:szCs w:val="18"/>
              </w:rPr>
            </w:pPr>
            <w:r w:rsidRPr="009D701F">
              <w:rPr>
                <w:rFonts w:cs="Arial"/>
                <w:color w:val="000000"/>
                <w:sz w:val="18"/>
                <w:szCs w:val="18"/>
              </w:rPr>
              <w:t xml:space="preserve">Se incluye en la tasa para recuperar los saldos de la </w:t>
            </w:r>
            <w:r w:rsidR="007066DC" w:rsidRPr="009D701F">
              <w:rPr>
                <w:rFonts w:cs="Arial"/>
                <w:color w:val="000000"/>
                <w:sz w:val="18"/>
                <w:szCs w:val="18"/>
              </w:rPr>
              <w:t>opción</w:t>
            </w:r>
            <w:r w:rsidRPr="009D701F">
              <w:rPr>
                <w:rFonts w:cs="Arial"/>
                <w:color w:val="000000"/>
                <w:sz w:val="18"/>
                <w:szCs w:val="18"/>
              </w:rPr>
              <w:t xml:space="preserve"> tarifaria como el ponderado de las tasas de los </w:t>
            </w:r>
            <w:r w:rsidR="007066DC" w:rsidRPr="009D701F">
              <w:rPr>
                <w:rFonts w:cs="Arial"/>
                <w:color w:val="000000"/>
                <w:sz w:val="18"/>
                <w:szCs w:val="18"/>
              </w:rPr>
              <w:t>créditos</w:t>
            </w:r>
            <w:r w:rsidRPr="009D701F">
              <w:rPr>
                <w:rFonts w:cs="Arial"/>
                <w:color w:val="000000"/>
                <w:sz w:val="18"/>
                <w:szCs w:val="18"/>
              </w:rPr>
              <w:t xml:space="preserve"> a los q</w:t>
            </w:r>
            <w:r w:rsidR="007066DC" w:rsidRPr="009D701F">
              <w:rPr>
                <w:rFonts w:cs="Arial"/>
                <w:color w:val="000000"/>
                <w:sz w:val="18"/>
                <w:szCs w:val="18"/>
              </w:rPr>
              <w:t>u</w:t>
            </w:r>
            <w:r w:rsidRPr="009D701F">
              <w:rPr>
                <w:rFonts w:cs="Arial"/>
                <w:color w:val="000000"/>
                <w:sz w:val="18"/>
                <w:szCs w:val="18"/>
              </w:rPr>
              <w:t xml:space="preserve">e pueda acceder el comercializador, conservando el </w:t>
            </w:r>
            <w:r w:rsidR="007066DC" w:rsidRPr="009D701F">
              <w:rPr>
                <w:rFonts w:cs="Arial"/>
                <w:color w:val="000000"/>
                <w:sz w:val="18"/>
                <w:szCs w:val="18"/>
              </w:rPr>
              <w:t>límite</w:t>
            </w:r>
            <w:r w:rsidRPr="009D701F">
              <w:rPr>
                <w:rFonts w:cs="Arial"/>
                <w:color w:val="000000"/>
                <w:sz w:val="18"/>
                <w:szCs w:val="18"/>
              </w:rPr>
              <w:t xml:space="preserve"> establecido en la </w:t>
            </w:r>
            <w:r w:rsidR="007066DC" w:rsidRPr="009D701F">
              <w:rPr>
                <w:rFonts w:cs="Arial"/>
                <w:color w:val="000000"/>
                <w:sz w:val="18"/>
                <w:szCs w:val="18"/>
              </w:rPr>
              <w:t>resolución</w:t>
            </w:r>
            <w:r w:rsidRPr="009D701F">
              <w:rPr>
                <w:rFonts w:cs="Arial"/>
                <w:color w:val="000000"/>
                <w:sz w:val="18"/>
                <w:szCs w:val="18"/>
              </w:rPr>
              <w:t xml:space="preserve"> CREG 012 de 2020. </w:t>
            </w:r>
          </w:p>
        </w:tc>
      </w:tr>
      <w:tr w:rsidR="005E727D" w:rsidRPr="007E00DB" w14:paraId="0BF3E816" w14:textId="77777777" w:rsidTr="009D701F">
        <w:trPr>
          <w:trHeight w:val="1160"/>
        </w:trPr>
        <w:tc>
          <w:tcPr>
            <w:tcW w:w="881" w:type="pct"/>
            <w:hideMark/>
          </w:tcPr>
          <w:p w14:paraId="5164B504"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E2023017865</w:t>
            </w:r>
            <w:r w:rsidRPr="009D701F">
              <w:rPr>
                <w:rFonts w:cs="Arial"/>
                <w:color w:val="000000"/>
                <w:sz w:val="18"/>
                <w:szCs w:val="18"/>
              </w:rPr>
              <w:br/>
              <w:t>_ASOCODIS</w:t>
            </w:r>
          </w:p>
        </w:tc>
        <w:tc>
          <w:tcPr>
            <w:tcW w:w="2247" w:type="pct"/>
            <w:hideMark/>
          </w:tcPr>
          <w:p w14:paraId="1F814694"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Revisar la modificación de la variable Aj que está causando acumulación de saldos importantes</w:t>
            </w:r>
          </w:p>
        </w:tc>
        <w:tc>
          <w:tcPr>
            <w:tcW w:w="1872" w:type="pct"/>
            <w:hideMark/>
          </w:tcPr>
          <w:p w14:paraId="3D7D535D" w14:textId="6A7A4BAE" w:rsidR="005E727D" w:rsidRPr="009D701F" w:rsidRDefault="005E727D" w:rsidP="005E727D">
            <w:pPr>
              <w:spacing w:before="0" w:after="0"/>
              <w:jc w:val="left"/>
              <w:rPr>
                <w:rFonts w:cs="Arial"/>
                <w:color w:val="000000"/>
                <w:sz w:val="18"/>
                <w:szCs w:val="18"/>
              </w:rPr>
            </w:pPr>
            <w:r w:rsidRPr="009D701F">
              <w:rPr>
                <w:rFonts w:cs="Arial"/>
                <w:color w:val="000000"/>
                <w:sz w:val="18"/>
                <w:szCs w:val="18"/>
              </w:rPr>
              <w:t xml:space="preserve">Esta propuesta está fuera del alcance de la resolución. Las medidas regulatorias respecto a los saldos acumulados en Aj son objeto de </w:t>
            </w:r>
            <w:r w:rsidR="007066DC" w:rsidRPr="009D701F">
              <w:rPr>
                <w:rFonts w:cs="Arial"/>
                <w:color w:val="000000"/>
                <w:sz w:val="18"/>
                <w:szCs w:val="18"/>
              </w:rPr>
              <w:t>análisis</w:t>
            </w:r>
            <w:r w:rsidRPr="009D701F">
              <w:rPr>
                <w:rFonts w:cs="Arial"/>
                <w:color w:val="000000"/>
                <w:sz w:val="18"/>
                <w:szCs w:val="18"/>
              </w:rPr>
              <w:t xml:space="preserve"> y proyectos regulatorios adicionales que viene adelantando la Comisión. </w:t>
            </w:r>
          </w:p>
        </w:tc>
      </w:tr>
      <w:tr w:rsidR="005E727D" w:rsidRPr="007E00DB" w14:paraId="78AC3941" w14:textId="77777777" w:rsidTr="009D701F">
        <w:trPr>
          <w:trHeight w:val="580"/>
        </w:trPr>
        <w:tc>
          <w:tcPr>
            <w:tcW w:w="881" w:type="pct"/>
            <w:hideMark/>
          </w:tcPr>
          <w:p w14:paraId="271B4A8B"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E2023017865</w:t>
            </w:r>
            <w:r w:rsidRPr="009D701F">
              <w:rPr>
                <w:rFonts w:cs="Arial"/>
                <w:color w:val="000000"/>
                <w:sz w:val="18"/>
                <w:szCs w:val="18"/>
              </w:rPr>
              <w:br/>
              <w:t>_ASOCODIS</w:t>
            </w:r>
          </w:p>
        </w:tc>
        <w:tc>
          <w:tcPr>
            <w:tcW w:w="2247" w:type="pct"/>
            <w:hideMark/>
          </w:tcPr>
          <w:p w14:paraId="5D0772F6" w14:textId="66C3F17B" w:rsidR="005E727D" w:rsidRPr="009D701F" w:rsidRDefault="005E727D" w:rsidP="005E727D">
            <w:pPr>
              <w:spacing w:before="0" w:after="0"/>
              <w:jc w:val="left"/>
              <w:rPr>
                <w:rFonts w:cs="Arial"/>
                <w:color w:val="000000"/>
                <w:sz w:val="18"/>
                <w:szCs w:val="18"/>
              </w:rPr>
            </w:pPr>
            <w:r w:rsidRPr="009D701F">
              <w:rPr>
                <w:rFonts w:cs="Arial"/>
                <w:color w:val="000000"/>
                <w:sz w:val="18"/>
                <w:szCs w:val="18"/>
              </w:rPr>
              <w:t xml:space="preserve">el plazo de los 5 </w:t>
            </w:r>
            <w:r w:rsidR="007066DC" w:rsidRPr="009D701F">
              <w:rPr>
                <w:rFonts w:cs="Arial"/>
                <w:color w:val="000000"/>
                <w:sz w:val="18"/>
                <w:szCs w:val="18"/>
              </w:rPr>
              <w:t>días</w:t>
            </w:r>
            <w:r w:rsidRPr="009D701F">
              <w:rPr>
                <w:rFonts w:cs="Arial"/>
                <w:color w:val="000000"/>
                <w:sz w:val="18"/>
                <w:szCs w:val="18"/>
              </w:rPr>
              <w:t xml:space="preserve"> para acogerse al mutuo acuerdo es insuficiente para realizar los análisis. Ampliar</w:t>
            </w:r>
          </w:p>
        </w:tc>
        <w:tc>
          <w:tcPr>
            <w:tcW w:w="1872" w:type="pct"/>
            <w:hideMark/>
          </w:tcPr>
          <w:p w14:paraId="01D2379D" w14:textId="58DE7204" w:rsidR="005E727D" w:rsidRPr="009D701F" w:rsidRDefault="005E727D" w:rsidP="005E727D">
            <w:pPr>
              <w:spacing w:before="0" w:after="0"/>
              <w:jc w:val="left"/>
              <w:rPr>
                <w:rFonts w:cs="Arial"/>
                <w:color w:val="000000"/>
                <w:sz w:val="18"/>
                <w:szCs w:val="18"/>
              </w:rPr>
            </w:pPr>
            <w:r w:rsidRPr="009D701F">
              <w:rPr>
                <w:rFonts w:cs="Arial"/>
                <w:color w:val="000000"/>
                <w:sz w:val="18"/>
                <w:szCs w:val="18"/>
              </w:rPr>
              <w:t xml:space="preserve">Se </w:t>
            </w:r>
            <w:r w:rsidR="007066DC" w:rsidRPr="009D701F">
              <w:rPr>
                <w:rFonts w:cs="Arial"/>
                <w:color w:val="000000"/>
                <w:sz w:val="18"/>
                <w:szCs w:val="18"/>
              </w:rPr>
              <w:t>amplía</w:t>
            </w:r>
            <w:r w:rsidRPr="009D701F">
              <w:rPr>
                <w:rFonts w:cs="Arial"/>
                <w:color w:val="000000"/>
                <w:sz w:val="18"/>
                <w:szCs w:val="18"/>
              </w:rPr>
              <w:t xml:space="preserve"> el plazo a 10 </w:t>
            </w:r>
            <w:r w:rsidR="007066DC" w:rsidRPr="009D701F">
              <w:rPr>
                <w:rFonts w:cs="Arial"/>
                <w:color w:val="000000"/>
                <w:sz w:val="18"/>
                <w:szCs w:val="18"/>
              </w:rPr>
              <w:t>días</w:t>
            </w:r>
          </w:p>
        </w:tc>
      </w:tr>
      <w:tr w:rsidR="005E727D" w:rsidRPr="007E00DB" w14:paraId="2075416D" w14:textId="77777777" w:rsidTr="009D701F">
        <w:trPr>
          <w:trHeight w:val="2610"/>
        </w:trPr>
        <w:tc>
          <w:tcPr>
            <w:tcW w:w="881" w:type="pct"/>
            <w:hideMark/>
          </w:tcPr>
          <w:p w14:paraId="021D6DCD"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E2023017865</w:t>
            </w:r>
            <w:r w:rsidRPr="009D701F">
              <w:rPr>
                <w:rFonts w:cs="Arial"/>
                <w:color w:val="000000"/>
                <w:sz w:val="18"/>
                <w:szCs w:val="18"/>
              </w:rPr>
              <w:br/>
              <w:t>_ASOCODIS</w:t>
            </w:r>
          </w:p>
        </w:tc>
        <w:tc>
          <w:tcPr>
            <w:tcW w:w="2247" w:type="pct"/>
            <w:hideMark/>
          </w:tcPr>
          <w:p w14:paraId="3E0A0D57"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Las reglas para el descreme del mercado deben operar independientemente de que un prestador se acoja o no al mutuo acuerdo o de que se cumplan o no las condiciones para la finalización de la opción tarifaria.</w:t>
            </w:r>
          </w:p>
        </w:tc>
        <w:tc>
          <w:tcPr>
            <w:tcW w:w="1872" w:type="pct"/>
            <w:hideMark/>
          </w:tcPr>
          <w:p w14:paraId="22AEA178" w14:textId="0D5B4825" w:rsidR="005E727D" w:rsidRPr="009D701F" w:rsidRDefault="005E727D" w:rsidP="005E727D">
            <w:pPr>
              <w:spacing w:before="0" w:after="0"/>
              <w:jc w:val="left"/>
              <w:rPr>
                <w:rFonts w:cs="Arial"/>
                <w:color w:val="000000"/>
                <w:sz w:val="18"/>
                <w:szCs w:val="18"/>
              </w:rPr>
            </w:pPr>
            <w:r w:rsidRPr="009D701F">
              <w:rPr>
                <w:rFonts w:cs="Arial"/>
                <w:color w:val="000000"/>
                <w:sz w:val="18"/>
                <w:szCs w:val="18"/>
              </w:rPr>
              <w:t>Las reglas que evitan el descreme del mercado están sujetas a que el prestador, en un mercado determinado, se acoja al mutuo acuerdo pues, de lo contrario continuará expuesto a las condiciones vigentes para quienes no se acojan.</w:t>
            </w:r>
            <w:r w:rsidRPr="009D701F">
              <w:rPr>
                <w:rFonts w:cs="Arial"/>
                <w:color w:val="000000"/>
                <w:sz w:val="18"/>
                <w:szCs w:val="18"/>
              </w:rPr>
              <w:br/>
            </w:r>
            <w:r w:rsidRPr="009D701F">
              <w:rPr>
                <w:rFonts w:cs="Arial"/>
                <w:color w:val="000000"/>
                <w:sz w:val="18"/>
                <w:szCs w:val="18"/>
              </w:rPr>
              <w:br/>
            </w:r>
          </w:p>
        </w:tc>
      </w:tr>
      <w:tr w:rsidR="005E727D" w:rsidRPr="007E00DB" w14:paraId="61084B8E" w14:textId="77777777" w:rsidTr="009D701F">
        <w:trPr>
          <w:trHeight w:val="580"/>
        </w:trPr>
        <w:tc>
          <w:tcPr>
            <w:tcW w:w="881" w:type="pct"/>
            <w:hideMark/>
          </w:tcPr>
          <w:p w14:paraId="4D5BBB5A"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E2023017865</w:t>
            </w:r>
            <w:r w:rsidRPr="009D701F">
              <w:rPr>
                <w:rFonts w:cs="Arial"/>
                <w:color w:val="000000"/>
                <w:sz w:val="18"/>
                <w:szCs w:val="18"/>
              </w:rPr>
              <w:br/>
              <w:t>_ASOCODIS</w:t>
            </w:r>
          </w:p>
        </w:tc>
        <w:tc>
          <w:tcPr>
            <w:tcW w:w="2247" w:type="pct"/>
            <w:hideMark/>
          </w:tcPr>
          <w:p w14:paraId="532F53D8"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 xml:space="preserve">considerar también la situación del cambio de usuarios regulados al mercado no regulado. </w:t>
            </w:r>
          </w:p>
        </w:tc>
        <w:tc>
          <w:tcPr>
            <w:tcW w:w="1872" w:type="pct"/>
            <w:hideMark/>
          </w:tcPr>
          <w:p w14:paraId="59B071BD"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Se incluye</w:t>
            </w:r>
          </w:p>
        </w:tc>
      </w:tr>
      <w:tr w:rsidR="005E727D" w:rsidRPr="007E00DB" w14:paraId="54988020" w14:textId="77777777" w:rsidTr="009D701F">
        <w:trPr>
          <w:trHeight w:val="2410"/>
        </w:trPr>
        <w:tc>
          <w:tcPr>
            <w:tcW w:w="881" w:type="pct"/>
            <w:hideMark/>
          </w:tcPr>
          <w:p w14:paraId="16477602"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lastRenderedPageBreak/>
              <w:t>E2023017865</w:t>
            </w:r>
            <w:r w:rsidRPr="009D701F">
              <w:rPr>
                <w:rFonts w:cs="Arial"/>
                <w:color w:val="000000"/>
                <w:sz w:val="18"/>
                <w:szCs w:val="18"/>
              </w:rPr>
              <w:br/>
              <w:t>_ASOCODIS</w:t>
            </w:r>
          </w:p>
        </w:tc>
        <w:tc>
          <w:tcPr>
            <w:tcW w:w="2247" w:type="pct"/>
            <w:hideMark/>
          </w:tcPr>
          <w:p w14:paraId="4E86E206"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En adición, consideramos importante que un comercializador pueda manifestar su intención de acogerse a esta metodología de recuperación de saldos tanto por mercado de comercializador donde atienda usuarios, así como por nivel de tensión sobre el cual esté aplicando la opción tarifaria, esto es, por ejemplo, NT1 Propiedad OR, NT1 Propiedad Cliente, NT1 Propiedad Mixta, NT2, NT3 y NT4.</w:t>
            </w:r>
          </w:p>
        </w:tc>
        <w:tc>
          <w:tcPr>
            <w:tcW w:w="1872" w:type="pct"/>
            <w:hideMark/>
          </w:tcPr>
          <w:p w14:paraId="2799DBF8"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La seguridad jurídica del cobro del saldo de la opción tarifaria se encuentra fundamentada en el control automático de legalidad del H. Consejo de Estado sobre la resolución CREG 058 de 2020, donde se encuentra la obligación de aplicar la resolución CREG 012 de 2020 que define el saldo por mercado de comercialización, lo que se debe conservar.</w:t>
            </w:r>
            <w:r w:rsidRPr="009D701F">
              <w:rPr>
                <w:rFonts w:cs="Arial"/>
                <w:color w:val="000000"/>
                <w:sz w:val="18"/>
                <w:szCs w:val="18"/>
              </w:rPr>
              <w:br/>
              <w:t>Por otro lado, el costo de opción tarifaria es independiente del tipo de tarifa que se le aplique al usuario en el nivel de tensión 1 por lo que tampoco se debe hacer ninguna diferenciación del estilo propuesto.</w:t>
            </w:r>
          </w:p>
        </w:tc>
      </w:tr>
      <w:tr w:rsidR="005E727D" w:rsidRPr="007E00DB" w14:paraId="51B502F1" w14:textId="77777777" w:rsidTr="009D701F">
        <w:trPr>
          <w:trHeight w:val="3825"/>
        </w:trPr>
        <w:tc>
          <w:tcPr>
            <w:tcW w:w="881" w:type="pct"/>
            <w:hideMark/>
          </w:tcPr>
          <w:p w14:paraId="79782CF4"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E2023017865</w:t>
            </w:r>
            <w:r w:rsidRPr="009D701F">
              <w:rPr>
                <w:rFonts w:cs="Arial"/>
                <w:color w:val="000000"/>
                <w:sz w:val="18"/>
                <w:szCs w:val="18"/>
              </w:rPr>
              <w:br/>
              <w:t>_ASOCODIS</w:t>
            </w:r>
          </w:p>
        </w:tc>
        <w:tc>
          <w:tcPr>
            <w:tcW w:w="2247" w:type="pct"/>
            <w:hideMark/>
          </w:tcPr>
          <w:p w14:paraId="12618AF9"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 xml:space="preserve">Respecto al cálculo de la variable </w:t>
            </w:r>
            <w:r w:rsidRPr="009D701F">
              <w:rPr>
                <w:rFonts w:eastAsia="Cambria Math" w:cs="Arial"/>
                <w:color w:val="000000"/>
                <w:sz w:val="18"/>
                <w:szCs w:val="18"/>
              </w:rPr>
              <w:t>〖</w:t>
            </w:r>
            <w:r w:rsidRPr="009D701F">
              <w:rPr>
                <w:rFonts w:cs="Arial"/>
                <w:color w:val="000000"/>
                <w:sz w:val="18"/>
                <w:szCs w:val="18"/>
              </w:rPr>
              <w:t>COT</w:t>
            </w:r>
            <w:r w:rsidRPr="009D701F">
              <w:rPr>
                <w:rFonts w:eastAsia="Cambria Math" w:cs="Arial"/>
                <w:color w:val="000000"/>
                <w:sz w:val="18"/>
                <w:szCs w:val="18"/>
              </w:rPr>
              <w:t>〗</w:t>
            </w:r>
            <w:r w:rsidRPr="009D701F">
              <w:rPr>
                <w:rFonts w:cs="Arial"/>
                <w:color w:val="000000"/>
                <w:sz w:val="18"/>
                <w:szCs w:val="18"/>
              </w:rPr>
              <w:t>_(</w:t>
            </w:r>
            <w:proofErr w:type="spellStart"/>
            <w:proofErr w:type="gramStart"/>
            <w:r w:rsidRPr="009D701F">
              <w:rPr>
                <w:rFonts w:cs="Arial"/>
                <w:color w:val="000000"/>
                <w:sz w:val="18"/>
                <w:szCs w:val="18"/>
              </w:rPr>
              <w:t>n,i</w:t>
            </w:r>
            <w:proofErr w:type="gramEnd"/>
            <w:r w:rsidRPr="009D701F">
              <w:rPr>
                <w:rFonts w:cs="Arial"/>
                <w:color w:val="000000"/>
                <w:sz w:val="18"/>
                <w:szCs w:val="18"/>
              </w:rPr>
              <w:t>,j,m</w:t>
            </w:r>
            <w:proofErr w:type="spellEnd"/>
            <w:r w:rsidRPr="009D701F">
              <w:rPr>
                <w:rFonts w:cs="Arial"/>
                <w:color w:val="000000"/>
                <w:sz w:val="18"/>
                <w:szCs w:val="18"/>
              </w:rPr>
              <w:t xml:space="preserve">), y considerando lo establecido en los parágrafos 4, 5 y 6 del artículo 3 del proyecto de resolución, es necesario que se modifique las ventas que se toman en cuenta para el cálculo de dicha variable; pues, se deben incluir dentro de las mismas, las ventas del nivel de tensión que correspondan a usuarios que i) hayan cambiado de comercializador y </w:t>
            </w:r>
            <w:proofErr w:type="spellStart"/>
            <w:r w:rsidRPr="009D701F">
              <w:rPr>
                <w:rFonts w:cs="Arial"/>
                <w:color w:val="000000"/>
                <w:sz w:val="18"/>
                <w:szCs w:val="18"/>
              </w:rPr>
              <w:t>ii</w:t>
            </w:r>
            <w:proofErr w:type="spellEnd"/>
            <w:r w:rsidRPr="009D701F">
              <w:rPr>
                <w:rFonts w:cs="Arial"/>
                <w:color w:val="000000"/>
                <w:sz w:val="18"/>
                <w:szCs w:val="18"/>
              </w:rPr>
              <w:t xml:space="preserve">) hayan migrado a otro nivel de tensión. </w:t>
            </w:r>
            <w:r w:rsidRPr="009D701F">
              <w:rPr>
                <w:rFonts w:cs="Arial"/>
                <w:color w:val="000000"/>
                <w:sz w:val="18"/>
                <w:szCs w:val="18"/>
              </w:rPr>
              <w:br/>
              <w:t xml:space="preserve">Asimismo, se debe aclarar en el proyecto de resolución, si a los usuarios nuevos se les debe cobrar el </w:t>
            </w:r>
            <w:r w:rsidRPr="009D701F">
              <w:rPr>
                <w:rFonts w:eastAsia="Cambria Math" w:cs="Arial"/>
                <w:color w:val="000000"/>
                <w:sz w:val="18"/>
                <w:szCs w:val="18"/>
              </w:rPr>
              <w:t>〖</w:t>
            </w:r>
            <w:r w:rsidRPr="009D701F">
              <w:rPr>
                <w:rFonts w:cs="Arial"/>
                <w:color w:val="000000"/>
                <w:sz w:val="18"/>
                <w:szCs w:val="18"/>
              </w:rPr>
              <w:t>COT</w:t>
            </w:r>
            <w:r w:rsidRPr="009D701F">
              <w:rPr>
                <w:rFonts w:eastAsia="Cambria Math" w:cs="Arial"/>
                <w:color w:val="000000"/>
                <w:sz w:val="18"/>
                <w:szCs w:val="18"/>
              </w:rPr>
              <w:t>〗</w:t>
            </w:r>
            <w:r w:rsidRPr="009D701F">
              <w:rPr>
                <w:rFonts w:cs="Arial"/>
                <w:color w:val="000000"/>
                <w:sz w:val="18"/>
                <w:szCs w:val="18"/>
              </w:rPr>
              <w:t>_(</w:t>
            </w:r>
            <w:proofErr w:type="spellStart"/>
            <w:proofErr w:type="gramStart"/>
            <w:r w:rsidRPr="009D701F">
              <w:rPr>
                <w:rFonts w:cs="Arial"/>
                <w:color w:val="000000"/>
                <w:sz w:val="18"/>
                <w:szCs w:val="18"/>
              </w:rPr>
              <w:t>n,i</w:t>
            </w:r>
            <w:proofErr w:type="gramEnd"/>
            <w:r w:rsidRPr="009D701F">
              <w:rPr>
                <w:rFonts w:cs="Arial"/>
                <w:color w:val="000000"/>
                <w:sz w:val="18"/>
                <w:szCs w:val="18"/>
              </w:rPr>
              <w:t>,j,m</w:t>
            </w:r>
            <w:proofErr w:type="spellEnd"/>
            <w:r w:rsidRPr="009D701F">
              <w:rPr>
                <w:rFonts w:cs="Arial"/>
                <w:color w:val="000000"/>
                <w:sz w:val="18"/>
                <w:szCs w:val="18"/>
              </w:rPr>
              <w:t>). En caso de una respuesta negativa a lo anterior, se debe descontar de las ventas lo correspondiente a estos usuarios.</w:t>
            </w:r>
          </w:p>
        </w:tc>
        <w:tc>
          <w:tcPr>
            <w:tcW w:w="1872" w:type="pct"/>
            <w:hideMark/>
          </w:tcPr>
          <w:p w14:paraId="431D2F86"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Se incluye</w:t>
            </w:r>
          </w:p>
        </w:tc>
      </w:tr>
      <w:tr w:rsidR="005E727D" w:rsidRPr="007E00DB" w14:paraId="11C70B4B" w14:textId="77777777" w:rsidTr="009D701F">
        <w:trPr>
          <w:trHeight w:val="580"/>
        </w:trPr>
        <w:tc>
          <w:tcPr>
            <w:tcW w:w="881" w:type="pct"/>
            <w:hideMark/>
          </w:tcPr>
          <w:p w14:paraId="283EBA88"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E2023017865</w:t>
            </w:r>
            <w:r w:rsidRPr="009D701F">
              <w:rPr>
                <w:rFonts w:cs="Arial"/>
                <w:color w:val="000000"/>
                <w:sz w:val="18"/>
                <w:szCs w:val="18"/>
              </w:rPr>
              <w:br/>
              <w:t>_ASOCODIS</w:t>
            </w:r>
          </w:p>
        </w:tc>
        <w:tc>
          <w:tcPr>
            <w:tcW w:w="2247" w:type="pct"/>
            <w:hideMark/>
          </w:tcPr>
          <w:p w14:paraId="0986CB3A"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corregir la condición del 6% para finalizar la opción tarifaria porque aparece como del 106%</w:t>
            </w:r>
          </w:p>
        </w:tc>
        <w:tc>
          <w:tcPr>
            <w:tcW w:w="1872" w:type="pct"/>
            <w:hideMark/>
          </w:tcPr>
          <w:p w14:paraId="132F1F0E"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Se Corrige</w:t>
            </w:r>
          </w:p>
        </w:tc>
      </w:tr>
      <w:tr w:rsidR="005E727D" w:rsidRPr="007E00DB" w14:paraId="7B4AFF39" w14:textId="77777777" w:rsidTr="009D701F">
        <w:trPr>
          <w:trHeight w:val="4060"/>
        </w:trPr>
        <w:tc>
          <w:tcPr>
            <w:tcW w:w="881" w:type="pct"/>
            <w:hideMark/>
          </w:tcPr>
          <w:p w14:paraId="1C09005C"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E2023017865</w:t>
            </w:r>
            <w:r w:rsidRPr="009D701F">
              <w:rPr>
                <w:rFonts w:cs="Arial"/>
                <w:color w:val="000000"/>
                <w:sz w:val="18"/>
                <w:szCs w:val="18"/>
              </w:rPr>
              <w:br/>
              <w:t>_ASOCODIS</w:t>
            </w:r>
          </w:p>
        </w:tc>
        <w:tc>
          <w:tcPr>
            <w:tcW w:w="2247" w:type="pct"/>
            <w:hideMark/>
          </w:tcPr>
          <w:p w14:paraId="205F812C"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con base en reuniones con FINDETER donde nos han manifestado que para efectos de constituir las garantías para acceder a la línea de crédito, estas deben tener una vigencia igual al plazo del crédito más tres (3) meses, y teniendo en cuenta que el Decreto de la línea de Crédito de FINDETER se está tramitando por un plazo de 10 años, podría darse la situación de que el plazo de recuperación de los saldos de la OT, que son los que servirán de garantía, tengan un plazo menor y finalmente no puedan ser utilizados para acceder a dicha línea de crédito o en su defecto que el plazo de las operaciones de crédito sea menor a los 10 años.</w:t>
            </w:r>
            <w:r w:rsidRPr="009D701F">
              <w:rPr>
                <w:rFonts w:cs="Arial"/>
                <w:color w:val="000000"/>
                <w:sz w:val="18"/>
                <w:szCs w:val="18"/>
              </w:rPr>
              <w:br/>
            </w:r>
            <w:r w:rsidRPr="009D701F">
              <w:rPr>
                <w:rFonts w:cs="Arial"/>
                <w:color w:val="000000"/>
                <w:sz w:val="18"/>
                <w:szCs w:val="18"/>
              </w:rPr>
              <w:br/>
              <w:t>Por lo anterior, sugerimos que los meses de recuperación que finalmente se definan sean de ciento veintitrés (123) meses, para el caso que una empresa seleccione el mayor plazo</w:t>
            </w:r>
          </w:p>
        </w:tc>
        <w:tc>
          <w:tcPr>
            <w:tcW w:w="1872" w:type="pct"/>
            <w:hideMark/>
          </w:tcPr>
          <w:p w14:paraId="0AEB2DDC" w14:textId="24C84DD5" w:rsidR="005E727D" w:rsidRPr="009D701F" w:rsidRDefault="005E727D" w:rsidP="005E727D">
            <w:pPr>
              <w:spacing w:before="0" w:after="0"/>
              <w:jc w:val="left"/>
              <w:rPr>
                <w:rFonts w:cs="Arial"/>
                <w:color w:val="000000"/>
                <w:sz w:val="18"/>
                <w:szCs w:val="18"/>
              </w:rPr>
            </w:pPr>
            <w:r w:rsidRPr="009D701F">
              <w:rPr>
                <w:rFonts w:cs="Arial"/>
                <w:color w:val="000000"/>
                <w:sz w:val="18"/>
                <w:szCs w:val="18"/>
              </w:rPr>
              <w:t>El plazo para la recuperación de saldos será máximo de 120 meses, en línea con el plazo máximo de los créditos de FINDETER.</w:t>
            </w:r>
          </w:p>
        </w:tc>
      </w:tr>
      <w:tr w:rsidR="005E727D" w:rsidRPr="007E00DB" w14:paraId="6C044D66" w14:textId="77777777" w:rsidTr="009D701F">
        <w:trPr>
          <w:trHeight w:val="2030"/>
        </w:trPr>
        <w:tc>
          <w:tcPr>
            <w:tcW w:w="881" w:type="pct"/>
            <w:hideMark/>
          </w:tcPr>
          <w:p w14:paraId="072E37A7"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lastRenderedPageBreak/>
              <w:t>E2023017801_CEO</w:t>
            </w:r>
          </w:p>
        </w:tc>
        <w:tc>
          <w:tcPr>
            <w:tcW w:w="2247" w:type="pct"/>
            <w:hideMark/>
          </w:tcPr>
          <w:p w14:paraId="1319C495" w14:textId="64D3BEE8" w:rsidR="005E727D" w:rsidRPr="009D701F" w:rsidRDefault="005E727D" w:rsidP="005E727D">
            <w:pPr>
              <w:spacing w:before="0" w:after="0"/>
              <w:jc w:val="left"/>
              <w:rPr>
                <w:rFonts w:cs="Arial"/>
                <w:color w:val="000000"/>
                <w:sz w:val="18"/>
                <w:szCs w:val="18"/>
              </w:rPr>
            </w:pPr>
            <w:r w:rsidRPr="009D701F">
              <w:rPr>
                <w:rFonts w:cs="Arial"/>
                <w:color w:val="000000"/>
                <w:sz w:val="18"/>
                <w:szCs w:val="18"/>
              </w:rPr>
              <w:t>Incluir dentro del proyecto de resolución los saldos acumulados de AJ como uno de los objetivos de mitigación de riesgos en la prestación del servicio.</w:t>
            </w:r>
            <w:r w:rsidRPr="009D701F">
              <w:rPr>
                <w:rFonts w:cs="Arial"/>
                <w:color w:val="000000"/>
                <w:sz w:val="18"/>
                <w:szCs w:val="18"/>
              </w:rPr>
              <w:br/>
            </w:r>
            <w:r w:rsidRPr="009D701F">
              <w:rPr>
                <w:rFonts w:cs="Arial"/>
                <w:color w:val="000000"/>
                <w:sz w:val="18"/>
                <w:szCs w:val="18"/>
              </w:rPr>
              <w:br/>
              <w:t xml:space="preserve">Incluir en las medidas adoptadas respecto a los saldos de </w:t>
            </w:r>
            <w:proofErr w:type="gramStart"/>
            <w:r w:rsidRPr="009D701F">
              <w:rPr>
                <w:rFonts w:cs="Arial"/>
                <w:color w:val="000000"/>
                <w:sz w:val="18"/>
                <w:szCs w:val="18"/>
              </w:rPr>
              <w:t>Aj,.</w:t>
            </w:r>
            <w:proofErr w:type="gramEnd"/>
            <w:r w:rsidRPr="009D701F">
              <w:rPr>
                <w:rFonts w:cs="Arial"/>
                <w:color w:val="000000"/>
                <w:sz w:val="18"/>
                <w:szCs w:val="18"/>
              </w:rPr>
              <w:t xml:space="preserve"> flexibilización del porcentaje de activación del factor de ajuste en el componente G y nueva variable para recuperar los saldos. </w:t>
            </w:r>
          </w:p>
        </w:tc>
        <w:tc>
          <w:tcPr>
            <w:tcW w:w="1872" w:type="pct"/>
            <w:hideMark/>
          </w:tcPr>
          <w:p w14:paraId="5E974378" w14:textId="69A61BE8" w:rsidR="005E727D" w:rsidRPr="009D701F" w:rsidRDefault="005E727D" w:rsidP="005E727D">
            <w:pPr>
              <w:spacing w:before="0" w:after="0"/>
              <w:jc w:val="left"/>
              <w:rPr>
                <w:rFonts w:cs="Arial"/>
                <w:color w:val="000000"/>
                <w:sz w:val="18"/>
                <w:szCs w:val="18"/>
              </w:rPr>
            </w:pPr>
            <w:r w:rsidRPr="009D701F">
              <w:rPr>
                <w:rFonts w:cs="Arial"/>
                <w:color w:val="000000"/>
                <w:sz w:val="18"/>
                <w:szCs w:val="18"/>
              </w:rPr>
              <w:t xml:space="preserve">Esta propuesta está fuera del alcance de la resolución. Las medidas regulatorias respecto a los saldos acumulados en Aj son objeto de análisis y proyectos regulatorios adicionales que viene adelantando la Comisión. </w:t>
            </w:r>
          </w:p>
        </w:tc>
      </w:tr>
      <w:tr w:rsidR="005E727D" w:rsidRPr="007E00DB" w14:paraId="6BFF1C54" w14:textId="77777777" w:rsidTr="009D701F">
        <w:trPr>
          <w:trHeight w:val="1160"/>
        </w:trPr>
        <w:tc>
          <w:tcPr>
            <w:tcW w:w="881" w:type="pct"/>
            <w:hideMark/>
          </w:tcPr>
          <w:p w14:paraId="7C1A3717"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E2023017801_CEO</w:t>
            </w:r>
          </w:p>
        </w:tc>
        <w:tc>
          <w:tcPr>
            <w:tcW w:w="2247" w:type="pct"/>
            <w:hideMark/>
          </w:tcPr>
          <w:p w14:paraId="14C06312"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Incorporar alternativas de financiación de los saldos derivados del factor de ajuste AJ.</w:t>
            </w:r>
          </w:p>
        </w:tc>
        <w:tc>
          <w:tcPr>
            <w:tcW w:w="1872" w:type="pct"/>
            <w:hideMark/>
          </w:tcPr>
          <w:p w14:paraId="33A56ACD" w14:textId="2F9B4129" w:rsidR="005E727D" w:rsidRPr="009D701F" w:rsidRDefault="005E727D" w:rsidP="005E727D">
            <w:pPr>
              <w:spacing w:before="0" w:after="0"/>
              <w:jc w:val="left"/>
              <w:rPr>
                <w:rFonts w:cs="Arial"/>
                <w:color w:val="000000"/>
                <w:sz w:val="18"/>
                <w:szCs w:val="18"/>
              </w:rPr>
            </w:pPr>
            <w:r w:rsidRPr="009D701F">
              <w:rPr>
                <w:rFonts w:cs="Arial"/>
                <w:color w:val="000000"/>
                <w:sz w:val="18"/>
                <w:szCs w:val="18"/>
              </w:rPr>
              <w:t xml:space="preserve">Esta propuesta está fuera del alcance de la resolución. Las medidas regulatorias respecto a los saldos acumulados en Aj son objeto de análisis y proyectos regulatorios adicionales que viene adelantando la Comisión. </w:t>
            </w:r>
          </w:p>
        </w:tc>
      </w:tr>
      <w:tr w:rsidR="005E727D" w:rsidRPr="007E00DB" w14:paraId="52408262" w14:textId="77777777" w:rsidTr="009D701F">
        <w:trPr>
          <w:trHeight w:val="1740"/>
        </w:trPr>
        <w:tc>
          <w:tcPr>
            <w:tcW w:w="881" w:type="pct"/>
            <w:hideMark/>
          </w:tcPr>
          <w:p w14:paraId="34EEA4E6"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E2023017808_DISPAC S. A. ESP</w:t>
            </w:r>
          </w:p>
        </w:tc>
        <w:tc>
          <w:tcPr>
            <w:tcW w:w="2247" w:type="pct"/>
            <w:hideMark/>
          </w:tcPr>
          <w:p w14:paraId="4238D210" w14:textId="0132A263" w:rsidR="005E727D" w:rsidRPr="009D701F" w:rsidRDefault="005E727D" w:rsidP="005E727D">
            <w:pPr>
              <w:spacing w:before="0" w:after="0"/>
              <w:jc w:val="left"/>
              <w:rPr>
                <w:rFonts w:cs="Arial"/>
                <w:color w:val="000000"/>
                <w:sz w:val="18"/>
                <w:szCs w:val="18"/>
              </w:rPr>
            </w:pPr>
            <w:r w:rsidRPr="009D701F">
              <w:rPr>
                <w:rFonts w:cs="Arial"/>
                <w:color w:val="000000"/>
                <w:sz w:val="18"/>
                <w:szCs w:val="18"/>
              </w:rPr>
              <w:t xml:space="preserve">No es posible aplicar el parágrafo 6 del artículo 3, ya que la información para el cálculo del CU solo se conoce el 14 de cada mes. </w:t>
            </w:r>
            <w:r w:rsidRPr="009D701F">
              <w:rPr>
                <w:rFonts w:cs="Arial"/>
                <w:color w:val="000000"/>
                <w:sz w:val="18"/>
                <w:szCs w:val="18"/>
              </w:rPr>
              <w:br/>
              <w:t>Todos los comercializadores que se encuentren aplicando una opción tarifaria deberán publicar el COT, a más tardar el día 18 de cada mes en su página web.</w:t>
            </w:r>
          </w:p>
        </w:tc>
        <w:tc>
          <w:tcPr>
            <w:tcW w:w="1872" w:type="pct"/>
            <w:hideMark/>
          </w:tcPr>
          <w:p w14:paraId="18DF86BB" w14:textId="4486C23E" w:rsidR="005E727D" w:rsidRPr="009D701F" w:rsidRDefault="005E727D" w:rsidP="005E727D">
            <w:pPr>
              <w:spacing w:before="0" w:after="0"/>
              <w:jc w:val="left"/>
              <w:rPr>
                <w:rFonts w:cs="Arial"/>
                <w:color w:val="000000"/>
                <w:sz w:val="18"/>
                <w:szCs w:val="18"/>
              </w:rPr>
            </w:pPr>
            <w:r w:rsidRPr="009D701F">
              <w:rPr>
                <w:rFonts w:cs="Arial"/>
                <w:color w:val="000000"/>
                <w:sz w:val="18"/>
                <w:szCs w:val="18"/>
              </w:rPr>
              <w:t>El Comité Asesor de la Comercialización deberá enviar a la CREG una propuesta de cálculo y publicación del costo asociado con la recuperación del saldo de la opción tarifaria en un mercado determinado. Teniendo en cuenta que dicha información debe estar disponible antes del 15 del mes que corresponda.</w:t>
            </w:r>
          </w:p>
        </w:tc>
      </w:tr>
      <w:tr w:rsidR="005E727D" w:rsidRPr="007E00DB" w14:paraId="7C52D741" w14:textId="77777777" w:rsidTr="009D701F">
        <w:trPr>
          <w:trHeight w:val="1450"/>
        </w:trPr>
        <w:tc>
          <w:tcPr>
            <w:tcW w:w="881" w:type="pct"/>
            <w:hideMark/>
          </w:tcPr>
          <w:p w14:paraId="0FD6CA43"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E2023017808_DISPAC S. A. ESP</w:t>
            </w:r>
          </w:p>
        </w:tc>
        <w:tc>
          <w:tcPr>
            <w:tcW w:w="2247" w:type="pct"/>
            <w:hideMark/>
          </w:tcPr>
          <w:p w14:paraId="3E1A2BF4" w14:textId="20CC8A1F" w:rsidR="005E727D" w:rsidRPr="009D701F" w:rsidRDefault="005E727D" w:rsidP="005E727D">
            <w:pPr>
              <w:spacing w:before="0" w:after="0"/>
              <w:jc w:val="left"/>
              <w:rPr>
                <w:rFonts w:cs="Arial"/>
                <w:color w:val="000000"/>
                <w:sz w:val="18"/>
                <w:szCs w:val="18"/>
              </w:rPr>
            </w:pPr>
            <w:r w:rsidRPr="009D701F">
              <w:rPr>
                <w:rFonts w:cs="Arial"/>
                <w:color w:val="000000"/>
                <w:sz w:val="18"/>
                <w:szCs w:val="18"/>
              </w:rPr>
              <w:t>Se debe contar con una reglamentación para la aplicación de la variable COT de anterior al traslado.</w:t>
            </w:r>
            <w:r w:rsidRPr="009D701F">
              <w:rPr>
                <w:rFonts w:cs="Arial"/>
                <w:color w:val="000000"/>
                <w:sz w:val="18"/>
                <w:szCs w:val="18"/>
              </w:rPr>
              <w:br/>
            </w:r>
            <w:r w:rsidRPr="009D701F">
              <w:rPr>
                <w:rFonts w:cs="Arial"/>
                <w:color w:val="000000"/>
                <w:sz w:val="18"/>
                <w:szCs w:val="18"/>
              </w:rPr>
              <w:br/>
              <w:t>Se debe contar con un formato de reporte y procedimiento de recaudo y traslado de los recursos al agente que le corresponden.</w:t>
            </w:r>
          </w:p>
        </w:tc>
        <w:tc>
          <w:tcPr>
            <w:tcW w:w="1872" w:type="pct"/>
            <w:hideMark/>
          </w:tcPr>
          <w:p w14:paraId="0D1511A6" w14:textId="64107238" w:rsidR="005E727D" w:rsidRPr="009D701F" w:rsidRDefault="005E727D" w:rsidP="005E727D">
            <w:pPr>
              <w:spacing w:before="0" w:after="0"/>
              <w:jc w:val="left"/>
              <w:rPr>
                <w:rFonts w:cs="Arial"/>
                <w:color w:val="000000"/>
                <w:sz w:val="18"/>
                <w:szCs w:val="18"/>
              </w:rPr>
            </w:pPr>
            <w:r w:rsidRPr="009D701F">
              <w:rPr>
                <w:rFonts w:cs="Arial"/>
                <w:color w:val="000000"/>
                <w:sz w:val="18"/>
                <w:szCs w:val="18"/>
              </w:rPr>
              <w:t xml:space="preserve">El Comité Asesor de la Comercialización deberá enviar a la CREG una propuesta de liquidación del costo asociado con la recuperación del saldo de la opción tarifaria en un mercado determinado. </w:t>
            </w:r>
          </w:p>
        </w:tc>
      </w:tr>
      <w:tr w:rsidR="005E727D" w:rsidRPr="007E00DB" w14:paraId="497D6076" w14:textId="77777777" w:rsidTr="009D701F">
        <w:trPr>
          <w:trHeight w:val="870"/>
        </w:trPr>
        <w:tc>
          <w:tcPr>
            <w:tcW w:w="881" w:type="pct"/>
            <w:hideMark/>
          </w:tcPr>
          <w:p w14:paraId="1118E389"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E2023017808_DISPAC S. A. ESP</w:t>
            </w:r>
          </w:p>
        </w:tc>
        <w:tc>
          <w:tcPr>
            <w:tcW w:w="2247" w:type="pct"/>
            <w:hideMark/>
          </w:tcPr>
          <w:p w14:paraId="02DDA942" w14:textId="720F904E" w:rsidR="005E727D" w:rsidRPr="009D701F" w:rsidRDefault="005E727D" w:rsidP="005E727D">
            <w:pPr>
              <w:spacing w:before="0" w:after="0"/>
              <w:jc w:val="left"/>
              <w:rPr>
                <w:rFonts w:cs="Arial"/>
                <w:color w:val="000000"/>
                <w:sz w:val="18"/>
                <w:szCs w:val="18"/>
              </w:rPr>
            </w:pPr>
            <w:r w:rsidRPr="009D701F">
              <w:rPr>
                <w:rFonts w:cs="Arial"/>
                <w:color w:val="000000"/>
                <w:sz w:val="18"/>
                <w:szCs w:val="18"/>
              </w:rPr>
              <w:t>Se debe aclarar si el cambio de nivel de tensión implica tener que pagar el COT del nuevo nivel de tensión y el COT del anterior nivel de tensión.</w:t>
            </w:r>
          </w:p>
        </w:tc>
        <w:tc>
          <w:tcPr>
            <w:tcW w:w="1872" w:type="pct"/>
            <w:hideMark/>
          </w:tcPr>
          <w:p w14:paraId="0CB2FC15" w14:textId="6E804B76" w:rsidR="005E727D" w:rsidRPr="009D701F" w:rsidRDefault="005E727D" w:rsidP="005E727D">
            <w:pPr>
              <w:spacing w:before="0" w:after="0"/>
              <w:jc w:val="left"/>
              <w:rPr>
                <w:rFonts w:cs="Arial"/>
                <w:color w:val="000000"/>
                <w:sz w:val="18"/>
                <w:szCs w:val="18"/>
              </w:rPr>
            </w:pPr>
            <w:r w:rsidRPr="009D701F">
              <w:rPr>
                <w:rFonts w:cs="Arial"/>
                <w:color w:val="000000"/>
                <w:sz w:val="18"/>
                <w:szCs w:val="18"/>
              </w:rPr>
              <w:t xml:space="preserve">Se aclara que el pago del COT corresponde únicamente al del mercado y nivel de tensión al que pertenezca el usuario al momento del mutuo acuerdo. </w:t>
            </w:r>
          </w:p>
        </w:tc>
      </w:tr>
      <w:tr w:rsidR="005E727D" w:rsidRPr="007E00DB" w14:paraId="2C0DCA61" w14:textId="77777777" w:rsidTr="009D701F">
        <w:trPr>
          <w:trHeight w:val="580"/>
        </w:trPr>
        <w:tc>
          <w:tcPr>
            <w:tcW w:w="881" w:type="pct"/>
            <w:hideMark/>
          </w:tcPr>
          <w:p w14:paraId="69EA6D7D"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E2023017808_DISPAC S. A. ESP</w:t>
            </w:r>
          </w:p>
        </w:tc>
        <w:tc>
          <w:tcPr>
            <w:tcW w:w="2247" w:type="pct"/>
            <w:hideMark/>
          </w:tcPr>
          <w:p w14:paraId="61775523" w14:textId="5A4D334F" w:rsidR="005E727D" w:rsidRPr="009D701F" w:rsidRDefault="005E727D" w:rsidP="005E727D">
            <w:pPr>
              <w:spacing w:before="0" w:after="0"/>
              <w:jc w:val="left"/>
              <w:rPr>
                <w:rFonts w:cs="Arial"/>
                <w:color w:val="000000"/>
                <w:sz w:val="18"/>
                <w:szCs w:val="18"/>
              </w:rPr>
            </w:pPr>
            <w:r w:rsidRPr="009D701F">
              <w:rPr>
                <w:rFonts w:cs="Arial"/>
                <w:color w:val="000000"/>
                <w:sz w:val="18"/>
                <w:szCs w:val="18"/>
              </w:rPr>
              <w:t xml:space="preserve">Se debe aclarar el cálculo del numeral 2 del anexo 3 respecto al porcentaje y la sumatoria de la brecha y el COT. </w:t>
            </w:r>
          </w:p>
        </w:tc>
        <w:tc>
          <w:tcPr>
            <w:tcW w:w="1872" w:type="pct"/>
            <w:hideMark/>
          </w:tcPr>
          <w:p w14:paraId="3A09FBCD"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Se corrige</w:t>
            </w:r>
          </w:p>
        </w:tc>
      </w:tr>
      <w:tr w:rsidR="005E727D" w:rsidRPr="007E00DB" w14:paraId="145C1CBD" w14:textId="77777777" w:rsidTr="009D701F">
        <w:trPr>
          <w:trHeight w:val="1740"/>
        </w:trPr>
        <w:tc>
          <w:tcPr>
            <w:tcW w:w="881" w:type="pct"/>
            <w:hideMark/>
          </w:tcPr>
          <w:p w14:paraId="2819BC16"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E2023017808_DISPAC S. A. ESP</w:t>
            </w:r>
          </w:p>
        </w:tc>
        <w:tc>
          <w:tcPr>
            <w:tcW w:w="2247" w:type="pct"/>
            <w:hideMark/>
          </w:tcPr>
          <w:p w14:paraId="7E517174" w14:textId="23C5B771" w:rsidR="005E727D" w:rsidRPr="009D701F" w:rsidRDefault="005E727D" w:rsidP="005E727D">
            <w:pPr>
              <w:spacing w:before="0" w:after="0"/>
              <w:jc w:val="left"/>
              <w:rPr>
                <w:rFonts w:cs="Arial"/>
                <w:color w:val="000000"/>
                <w:sz w:val="18"/>
                <w:szCs w:val="18"/>
              </w:rPr>
            </w:pPr>
            <w:r w:rsidRPr="009D701F">
              <w:rPr>
                <w:rFonts w:cs="Arial"/>
                <w:color w:val="000000"/>
                <w:sz w:val="18"/>
                <w:szCs w:val="18"/>
              </w:rPr>
              <w:t xml:space="preserve">La información para el cierre de la OT del numeral 3 del anexo 3 se ha venido reportando a la SSPD. </w:t>
            </w:r>
            <w:r w:rsidRPr="009D701F">
              <w:rPr>
                <w:rFonts w:cs="Arial"/>
                <w:color w:val="000000"/>
                <w:sz w:val="18"/>
                <w:szCs w:val="18"/>
              </w:rPr>
              <w:br/>
            </w:r>
            <w:r w:rsidRPr="009D701F">
              <w:rPr>
                <w:rFonts w:cs="Arial"/>
                <w:color w:val="000000"/>
                <w:sz w:val="18"/>
                <w:szCs w:val="18"/>
              </w:rPr>
              <w:br/>
              <w:t>Incluir que la información de los saldos acumulados puede ser solicitada y consultada a la SSPD por los comercializadores</w:t>
            </w:r>
          </w:p>
        </w:tc>
        <w:tc>
          <w:tcPr>
            <w:tcW w:w="1872" w:type="pct"/>
            <w:hideMark/>
          </w:tcPr>
          <w:p w14:paraId="157A6AB3" w14:textId="170E4B82" w:rsidR="005E727D" w:rsidRPr="009D701F" w:rsidRDefault="005E727D" w:rsidP="005E727D">
            <w:pPr>
              <w:spacing w:before="0" w:after="0"/>
              <w:jc w:val="left"/>
              <w:rPr>
                <w:rFonts w:cs="Arial"/>
                <w:color w:val="000000"/>
                <w:sz w:val="18"/>
                <w:szCs w:val="18"/>
              </w:rPr>
            </w:pPr>
            <w:r w:rsidRPr="009D701F">
              <w:rPr>
                <w:rFonts w:cs="Arial"/>
                <w:color w:val="000000"/>
                <w:sz w:val="18"/>
                <w:szCs w:val="18"/>
              </w:rPr>
              <w:t>El Comité Asesor de la Comercialización deberá enviar a la CREG una propuesta de cálculo y publicación del costo asociado con la recuperación del saldo de la opción tarifaria en un mercado determinado. Teniendo en cuenta que dicha información debe estar disponible antes del 15 del mes que corresponda.</w:t>
            </w:r>
          </w:p>
        </w:tc>
      </w:tr>
      <w:tr w:rsidR="005E727D" w:rsidRPr="007E00DB" w14:paraId="2D264CCB" w14:textId="77777777" w:rsidTr="009D701F">
        <w:trPr>
          <w:trHeight w:val="1440"/>
        </w:trPr>
        <w:tc>
          <w:tcPr>
            <w:tcW w:w="881" w:type="pct"/>
            <w:hideMark/>
          </w:tcPr>
          <w:p w14:paraId="2CC72B9E"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lastRenderedPageBreak/>
              <w:t>E2023017828_ENEL</w:t>
            </w:r>
          </w:p>
        </w:tc>
        <w:tc>
          <w:tcPr>
            <w:tcW w:w="2247" w:type="pct"/>
            <w:hideMark/>
          </w:tcPr>
          <w:p w14:paraId="6FE125A3" w14:textId="3AACCDB0" w:rsidR="005E727D" w:rsidRPr="009D701F" w:rsidRDefault="005E727D" w:rsidP="005E727D">
            <w:pPr>
              <w:spacing w:before="0" w:after="0"/>
              <w:jc w:val="left"/>
              <w:rPr>
                <w:rFonts w:cs="Arial"/>
                <w:color w:val="000000"/>
                <w:sz w:val="18"/>
                <w:szCs w:val="18"/>
              </w:rPr>
            </w:pPr>
            <w:r w:rsidRPr="009D701F">
              <w:rPr>
                <w:rFonts w:cs="Arial"/>
                <w:color w:val="000000"/>
                <w:sz w:val="18"/>
                <w:szCs w:val="18"/>
              </w:rPr>
              <w:t>Es necesario recuperar la totalidad del saldo a cierre de la opción tarifaria.</w:t>
            </w:r>
            <w:r w:rsidRPr="009D701F">
              <w:rPr>
                <w:rFonts w:cs="Arial"/>
                <w:color w:val="000000"/>
                <w:sz w:val="18"/>
                <w:szCs w:val="18"/>
              </w:rPr>
              <w:br/>
            </w:r>
            <w:r w:rsidRPr="009D701F">
              <w:rPr>
                <w:rFonts w:cs="Arial"/>
                <w:color w:val="000000"/>
                <w:sz w:val="18"/>
                <w:szCs w:val="18"/>
              </w:rPr>
              <w:br/>
              <w:t>Plantear dentro de la fórmula un mecanismo que permita incluir y recuperar los saldos que no han sido calculados en la fecha de finalización de la opción.</w:t>
            </w:r>
          </w:p>
        </w:tc>
        <w:tc>
          <w:tcPr>
            <w:tcW w:w="1872" w:type="pct"/>
            <w:hideMark/>
          </w:tcPr>
          <w:p w14:paraId="2B6DC4DE"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Se incluyen oportunidades de revisión de cumplimiento de pago del saldo, lo que se podrá incluir en la liquidación que corresponda y sustentado a la SSPD en caso de que dicha entidad así lo considere.</w:t>
            </w:r>
          </w:p>
        </w:tc>
      </w:tr>
      <w:tr w:rsidR="005E727D" w:rsidRPr="007E00DB" w14:paraId="362E01B5" w14:textId="77777777" w:rsidTr="009D701F">
        <w:trPr>
          <w:trHeight w:val="1740"/>
        </w:trPr>
        <w:tc>
          <w:tcPr>
            <w:tcW w:w="881" w:type="pct"/>
            <w:hideMark/>
          </w:tcPr>
          <w:p w14:paraId="315CE0E9"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E2023017828_ENEL</w:t>
            </w:r>
          </w:p>
        </w:tc>
        <w:tc>
          <w:tcPr>
            <w:tcW w:w="2247" w:type="pct"/>
            <w:hideMark/>
          </w:tcPr>
          <w:p w14:paraId="532D2A54" w14:textId="38CA0DAC" w:rsidR="005E727D" w:rsidRPr="009D701F" w:rsidRDefault="005E727D" w:rsidP="005E727D">
            <w:pPr>
              <w:spacing w:before="0" w:after="0"/>
              <w:jc w:val="left"/>
              <w:rPr>
                <w:rFonts w:cs="Arial"/>
                <w:color w:val="000000"/>
                <w:sz w:val="18"/>
                <w:szCs w:val="18"/>
              </w:rPr>
            </w:pPr>
            <w:r w:rsidRPr="009D701F">
              <w:rPr>
                <w:rFonts w:cs="Arial"/>
                <w:color w:val="000000"/>
                <w:sz w:val="18"/>
                <w:szCs w:val="18"/>
              </w:rPr>
              <w:t>No es posible contar con toda la información para cálculo del CU el día 14</w:t>
            </w:r>
          </w:p>
        </w:tc>
        <w:tc>
          <w:tcPr>
            <w:tcW w:w="1872" w:type="pct"/>
            <w:hideMark/>
          </w:tcPr>
          <w:p w14:paraId="06BDB0A3" w14:textId="63125ACB" w:rsidR="005E727D" w:rsidRPr="009D701F" w:rsidRDefault="005E727D" w:rsidP="005E727D">
            <w:pPr>
              <w:spacing w:before="0" w:after="0"/>
              <w:jc w:val="left"/>
              <w:rPr>
                <w:rFonts w:cs="Arial"/>
                <w:color w:val="000000"/>
                <w:sz w:val="18"/>
                <w:szCs w:val="18"/>
              </w:rPr>
            </w:pPr>
            <w:r w:rsidRPr="009D701F">
              <w:rPr>
                <w:rFonts w:cs="Arial"/>
                <w:color w:val="000000"/>
                <w:sz w:val="18"/>
                <w:szCs w:val="18"/>
              </w:rPr>
              <w:t>El Comité Asesor de la Comercialización deberá enviar a la CREG una propuesta de cálculo y publicación del costo asociado con la recuperación del saldo de la opción tarifaria en un mercado determinado. Teniendo en cuenta que dicha información debe estar disponible antes del 15 del mes que corresponda.</w:t>
            </w:r>
          </w:p>
        </w:tc>
      </w:tr>
      <w:tr w:rsidR="005E727D" w:rsidRPr="007E00DB" w14:paraId="3D9EE467" w14:textId="77777777" w:rsidTr="009D701F">
        <w:trPr>
          <w:trHeight w:val="53"/>
        </w:trPr>
        <w:tc>
          <w:tcPr>
            <w:tcW w:w="881" w:type="pct"/>
            <w:hideMark/>
          </w:tcPr>
          <w:p w14:paraId="1E0441D7"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E2023017828_ENEL</w:t>
            </w:r>
          </w:p>
        </w:tc>
        <w:tc>
          <w:tcPr>
            <w:tcW w:w="2247" w:type="pct"/>
            <w:hideMark/>
          </w:tcPr>
          <w:p w14:paraId="245E9AB7"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Durante un mismo mes calendario se pueden tener consumos facturados con diferentes CU, se entiende que, para determinar el saldo acumulado de la opción tarifaria de un mes determinado, debe calcularse de manera independiente el saldo correspondiente a cada segmento de consumo y, posteriormente, agregar los saldos de cada segmento del mes.</w:t>
            </w:r>
            <w:r w:rsidRPr="009D701F">
              <w:rPr>
                <w:rFonts w:cs="Arial"/>
                <w:color w:val="000000"/>
                <w:sz w:val="18"/>
                <w:szCs w:val="18"/>
              </w:rPr>
              <w:br/>
            </w:r>
            <w:r w:rsidRPr="009D701F">
              <w:rPr>
                <w:rFonts w:cs="Arial"/>
                <w:color w:val="000000"/>
                <w:sz w:val="18"/>
                <w:szCs w:val="18"/>
              </w:rPr>
              <w:br/>
              <w:t xml:space="preserve">Una vez se cumplan las condiciones para finalizar la aplicación de la opción tarifaria, planteadas en el numeral 2 del anexo 3 , se permita a los agentes comercializadores calcular el saldo acumulado por mínimo tres meses más, para posteriormente llevarlo a tarifa a través de la variable </w:t>
            </w:r>
            <w:proofErr w:type="spellStart"/>
            <w:r w:rsidRPr="009D701F">
              <w:rPr>
                <w:rFonts w:cs="Arial"/>
                <w:color w:val="000000"/>
                <w:sz w:val="18"/>
                <w:szCs w:val="18"/>
              </w:rPr>
              <w:t>COTn,i,j,m</w:t>
            </w:r>
            <w:proofErr w:type="spellEnd"/>
            <w:r w:rsidRPr="009D701F">
              <w:rPr>
                <w:rFonts w:cs="Arial"/>
                <w:color w:val="000000"/>
                <w:sz w:val="18"/>
                <w:szCs w:val="18"/>
              </w:rPr>
              <w:t xml:space="preserve"> o un delta asociado a esta variable.</w:t>
            </w:r>
          </w:p>
        </w:tc>
        <w:tc>
          <w:tcPr>
            <w:tcW w:w="1872" w:type="pct"/>
            <w:hideMark/>
          </w:tcPr>
          <w:p w14:paraId="5C622E81"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Se incluyen oportunidades de revisión de cumplimiento de pago del saldo, lo que se podrá incluir en la liquidación que corresponda y sustentado a la SSPD en caso de que dicha entidad así lo considere.</w:t>
            </w:r>
          </w:p>
        </w:tc>
      </w:tr>
      <w:tr w:rsidR="005E727D" w:rsidRPr="007E00DB" w14:paraId="130E142E" w14:textId="77777777" w:rsidTr="009D701F">
        <w:trPr>
          <w:trHeight w:val="2610"/>
        </w:trPr>
        <w:tc>
          <w:tcPr>
            <w:tcW w:w="881" w:type="pct"/>
            <w:hideMark/>
          </w:tcPr>
          <w:p w14:paraId="13AD1F95"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E2023017828_ENEL</w:t>
            </w:r>
          </w:p>
        </w:tc>
        <w:tc>
          <w:tcPr>
            <w:tcW w:w="2247" w:type="pct"/>
            <w:hideMark/>
          </w:tcPr>
          <w:p w14:paraId="73A15AA3"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Recuperación de saldos ocasionados por los distintos CU, calculados en virtud de criterios como la propiedad de los activos y/o franja horaria, que son calculados y aplicados a los usuarios, generando saldos y tiempos estimados de recuperación distintos.</w:t>
            </w:r>
            <w:r w:rsidRPr="009D701F">
              <w:rPr>
                <w:rFonts w:cs="Arial"/>
                <w:color w:val="000000"/>
                <w:sz w:val="18"/>
                <w:szCs w:val="18"/>
              </w:rPr>
              <w:br/>
            </w:r>
            <w:r w:rsidRPr="009D701F">
              <w:rPr>
                <w:rFonts w:cs="Arial"/>
                <w:color w:val="000000"/>
                <w:sz w:val="18"/>
                <w:szCs w:val="18"/>
              </w:rPr>
              <w:br/>
              <w:t>Considerar un cargo de recuperación no solo por nivel de tensión sino además que contemple la discriminación por propiedad de los activos, en el caso de nivel de tensión 1, y las distintas franjas horarias trasladadas a los usuarios.</w:t>
            </w:r>
          </w:p>
        </w:tc>
        <w:tc>
          <w:tcPr>
            <w:tcW w:w="1872" w:type="pct"/>
            <w:hideMark/>
          </w:tcPr>
          <w:p w14:paraId="101F124F" w14:textId="01EB5D2E" w:rsidR="005E727D" w:rsidRPr="009D701F" w:rsidRDefault="005E727D" w:rsidP="005E727D">
            <w:pPr>
              <w:spacing w:before="0" w:after="0"/>
              <w:jc w:val="left"/>
              <w:rPr>
                <w:rFonts w:cs="Arial"/>
                <w:color w:val="000000"/>
                <w:sz w:val="18"/>
                <w:szCs w:val="18"/>
              </w:rPr>
            </w:pPr>
            <w:r w:rsidRPr="009D701F">
              <w:rPr>
                <w:rFonts w:cs="Arial"/>
                <w:color w:val="000000"/>
                <w:sz w:val="18"/>
                <w:szCs w:val="18"/>
              </w:rPr>
              <w:t xml:space="preserve">El COT es calculado por nivel de </w:t>
            </w:r>
            <w:r w:rsidR="00590EA5" w:rsidRPr="009D701F">
              <w:rPr>
                <w:rFonts w:cs="Arial"/>
                <w:color w:val="000000"/>
                <w:sz w:val="18"/>
                <w:szCs w:val="18"/>
              </w:rPr>
              <w:t>tensión</w:t>
            </w:r>
            <w:r w:rsidRPr="009D701F">
              <w:rPr>
                <w:rFonts w:cs="Arial"/>
                <w:color w:val="000000"/>
                <w:sz w:val="18"/>
                <w:szCs w:val="18"/>
              </w:rPr>
              <w:t>, no se considera</w:t>
            </w:r>
            <w:r w:rsidR="00590EA5" w:rsidRPr="009D701F">
              <w:rPr>
                <w:rFonts w:cs="Arial"/>
                <w:color w:val="000000"/>
                <w:sz w:val="18"/>
                <w:szCs w:val="18"/>
              </w:rPr>
              <w:t>n</w:t>
            </w:r>
            <w:r w:rsidRPr="009D701F">
              <w:rPr>
                <w:rFonts w:cs="Arial"/>
                <w:color w:val="000000"/>
                <w:sz w:val="18"/>
                <w:szCs w:val="18"/>
              </w:rPr>
              <w:t xml:space="preserve"> discriminaciones diferentes. </w:t>
            </w:r>
          </w:p>
        </w:tc>
      </w:tr>
      <w:tr w:rsidR="005E727D" w:rsidRPr="007E00DB" w14:paraId="2D10E270" w14:textId="77777777" w:rsidTr="009D701F">
        <w:trPr>
          <w:trHeight w:val="2320"/>
        </w:trPr>
        <w:tc>
          <w:tcPr>
            <w:tcW w:w="881" w:type="pct"/>
            <w:hideMark/>
          </w:tcPr>
          <w:p w14:paraId="1E28D406"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E2023017828_ENEL</w:t>
            </w:r>
          </w:p>
        </w:tc>
        <w:tc>
          <w:tcPr>
            <w:tcW w:w="2247" w:type="pct"/>
            <w:hideMark/>
          </w:tcPr>
          <w:p w14:paraId="1F5A9D35" w14:textId="41383A10" w:rsidR="005E727D" w:rsidRPr="009D701F" w:rsidRDefault="005E727D" w:rsidP="005E727D">
            <w:pPr>
              <w:spacing w:before="0" w:after="0"/>
              <w:jc w:val="left"/>
              <w:rPr>
                <w:rFonts w:cs="Arial"/>
                <w:color w:val="000000"/>
                <w:sz w:val="18"/>
                <w:szCs w:val="18"/>
              </w:rPr>
            </w:pPr>
            <w:r w:rsidRPr="009D701F">
              <w:rPr>
                <w:rFonts w:cs="Arial"/>
                <w:color w:val="000000"/>
                <w:sz w:val="18"/>
                <w:szCs w:val="18"/>
              </w:rPr>
              <w:t>No se conocen las condiciones definitivas de la línea de crédito Findeter. Adicionalmente, el monto de 1 billón de pesos asignado para la línea de crédito solo alcanza para cubrir el 20% de los saldos acumulados a nivel nacional.</w:t>
            </w:r>
            <w:r w:rsidRPr="009D701F">
              <w:rPr>
                <w:rFonts w:cs="Arial"/>
                <w:color w:val="000000"/>
                <w:sz w:val="18"/>
                <w:szCs w:val="18"/>
              </w:rPr>
              <w:br/>
            </w:r>
            <w:r w:rsidRPr="009D701F">
              <w:rPr>
                <w:rFonts w:cs="Arial"/>
                <w:color w:val="000000"/>
                <w:sz w:val="18"/>
                <w:szCs w:val="18"/>
              </w:rPr>
              <w:br/>
              <w:t>Aplicar el promedio ponderado de las tasas de los créditos de cada agente, relacionados con el apalancamiento de capital de trabajo para soportar el déficit por el saldo de la opción</w:t>
            </w:r>
          </w:p>
        </w:tc>
        <w:tc>
          <w:tcPr>
            <w:tcW w:w="1872" w:type="pct"/>
            <w:hideMark/>
          </w:tcPr>
          <w:p w14:paraId="724DC87A" w14:textId="31830164" w:rsidR="005E727D" w:rsidRPr="009D701F" w:rsidRDefault="005E727D" w:rsidP="005E727D">
            <w:pPr>
              <w:spacing w:before="0" w:after="0"/>
              <w:jc w:val="left"/>
              <w:rPr>
                <w:rFonts w:cs="Arial"/>
                <w:color w:val="000000"/>
                <w:sz w:val="18"/>
                <w:szCs w:val="18"/>
              </w:rPr>
            </w:pPr>
            <w:r w:rsidRPr="009D701F">
              <w:rPr>
                <w:rFonts w:cs="Arial"/>
                <w:color w:val="000000"/>
                <w:sz w:val="18"/>
                <w:szCs w:val="18"/>
              </w:rPr>
              <w:t xml:space="preserve">Se incluye en la tasa para recuperar los saldos de la </w:t>
            </w:r>
            <w:r w:rsidR="00EE067F" w:rsidRPr="009D701F">
              <w:rPr>
                <w:rFonts w:cs="Arial"/>
                <w:color w:val="000000"/>
                <w:sz w:val="18"/>
                <w:szCs w:val="18"/>
              </w:rPr>
              <w:t>opción</w:t>
            </w:r>
            <w:r w:rsidRPr="009D701F">
              <w:rPr>
                <w:rFonts w:cs="Arial"/>
                <w:color w:val="000000"/>
                <w:sz w:val="18"/>
                <w:szCs w:val="18"/>
              </w:rPr>
              <w:t xml:space="preserve"> tarifaria como el ponderado de las tasas de los </w:t>
            </w:r>
            <w:r w:rsidR="00EE067F" w:rsidRPr="009D701F">
              <w:rPr>
                <w:rFonts w:cs="Arial"/>
                <w:color w:val="000000"/>
                <w:sz w:val="18"/>
                <w:szCs w:val="18"/>
              </w:rPr>
              <w:t>créditos</w:t>
            </w:r>
            <w:r w:rsidRPr="009D701F">
              <w:rPr>
                <w:rFonts w:cs="Arial"/>
                <w:color w:val="000000"/>
                <w:sz w:val="18"/>
                <w:szCs w:val="18"/>
              </w:rPr>
              <w:t xml:space="preserve"> a los que pueda acceder el comercializador, conservando el </w:t>
            </w:r>
            <w:r w:rsidR="00EE067F" w:rsidRPr="009D701F">
              <w:rPr>
                <w:rFonts w:cs="Arial"/>
                <w:color w:val="000000"/>
                <w:sz w:val="18"/>
                <w:szCs w:val="18"/>
              </w:rPr>
              <w:t>límite</w:t>
            </w:r>
            <w:r w:rsidRPr="009D701F">
              <w:rPr>
                <w:rFonts w:cs="Arial"/>
                <w:color w:val="000000"/>
                <w:sz w:val="18"/>
                <w:szCs w:val="18"/>
              </w:rPr>
              <w:t xml:space="preserve"> superior establecido en la </w:t>
            </w:r>
            <w:r w:rsidR="00EE067F" w:rsidRPr="009D701F">
              <w:rPr>
                <w:rFonts w:cs="Arial"/>
                <w:color w:val="000000"/>
                <w:sz w:val="18"/>
                <w:szCs w:val="18"/>
              </w:rPr>
              <w:t>resolución</w:t>
            </w:r>
            <w:r w:rsidRPr="009D701F">
              <w:rPr>
                <w:rFonts w:cs="Arial"/>
                <w:color w:val="000000"/>
                <w:sz w:val="18"/>
                <w:szCs w:val="18"/>
              </w:rPr>
              <w:t xml:space="preserve"> CREG 012 de 2020. </w:t>
            </w:r>
          </w:p>
        </w:tc>
      </w:tr>
      <w:tr w:rsidR="005E727D" w:rsidRPr="007E00DB" w14:paraId="44E27CAB" w14:textId="77777777" w:rsidTr="009D701F">
        <w:trPr>
          <w:trHeight w:val="1740"/>
        </w:trPr>
        <w:tc>
          <w:tcPr>
            <w:tcW w:w="881" w:type="pct"/>
            <w:hideMark/>
          </w:tcPr>
          <w:p w14:paraId="7BCBAEBD"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lastRenderedPageBreak/>
              <w:t>E2023017828_ENEL</w:t>
            </w:r>
          </w:p>
        </w:tc>
        <w:tc>
          <w:tcPr>
            <w:tcW w:w="2247" w:type="pct"/>
            <w:hideMark/>
          </w:tcPr>
          <w:p w14:paraId="4FFB7083"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Establecer un plazo máximo para la expedición de dicho documento y se indique el procedimiento a seguir en el caso de presentarse diferencias.</w:t>
            </w:r>
            <w:r w:rsidRPr="009D701F">
              <w:rPr>
                <w:rFonts w:cs="Arial"/>
                <w:color w:val="000000"/>
                <w:sz w:val="18"/>
                <w:szCs w:val="18"/>
              </w:rPr>
              <w:br/>
            </w:r>
            <w:r w:rsidRPr="009D701F">
              <w:rPr>
                <w:rFonts w:cs="Arial"/>
                <w:color w:val="000000"/>
                <w:sz w:val="18"/>
                <w:szCs w:val="18"/>
              </w:rPr>
              <w:br/>
              <w:t>Es importante que ésta contenga explícitamente el valor del saldo acumulado para su reconocimiento y aplicación.</w:t>
            </w:r>
          </w:p>
        </w:tc>
        <w:tc>
          <w:tcPr>
            <w:tcW w:w="1872" w:type="pct"/>
            <w:hideMark/>
          </w:tcPr>
          <w:p w14:paraId="7C182222" w14:textId="77777777" w:rsidR="005E727D" w:rsidRPr="009D701F" w:rsidRDefault="005E727D" w:rsidP="005E727D">
            <w:pPr>
              <w:spacing w:before="0" w:after="0"/>
              <w:jc w:val="left"/>
              <w:rPr>
                <w:rFonts w:cs="Arial"/>
                <w:sz w:val="18"/>
                <w:szCs w:val="18"/>
              </w:rPr>
            </w:pPr>
            <w:r w:rsidRPr="009D701F">
              <w:rPr>
                <w:rFonts w:cs="Arial"/>
                <w:sz w:val="18"/>
                <w:szCs w:val="18"/>
              </w:rPr>
              <w:t>Se aclara que la expedición de dicho certificado es competencia de la SSPD.</w:t>
            </w:r>
          </w:p>
        </w:tc>
      </w:tr>
      <w:tr w:rsidR="005E727D" w:rsidRPr="007E00DB" w14:paraId="677529EC" w14:textId="77777777" w:rsidTr="009D701F">
        <w:trPr>
          <w:trHeight w:val="870"/>
        </w:trPr>
        <w:tc>
          <w:tcPr>
            <w:tcW w:w="881" w:type="pct"/>
            <w:hideMark/>
          </w:tcPr>
          <w:p w14:paraId="3FD591F3"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E2023017828_ENEL</w:t>
            </w:r>
          </w:p>
        </w:tc>
        <w:tc>
          <w:tcPr>
            <w:tcW w:w="2247" w:type="pct"/>
            <w:hideMark/>
          </w:tcPr>
          <w:p w14:paraId="7F4CEB58"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 xml:space="preserve">Confirmar si la variable, </w:t>
            </w:r>
            <w:proofErr w:type="spellStart"/>
            <w:r w:rsidRPr="009D701F">
              <w:rPr>
                <w:rFonts w:cs="Arial"/>
                <w:color w:val="000000"/>
                <w:sz w:val="18"/>
                <w:szCs w:val="18"/>
              </w:rPr>
              <w:t>ma</w:t>
            </w:r>
            <w:proofErr w:type="spellEnd"/>
            <w:r w:rsidRPr="009D701F">
              <w:rPr>
                <w:rFonts w:cs="Arial"/>
                <w:color w:val="000000"/>
                <w:sz w:val="18"/>
                <w:szCs w:val="18"/>
              </w:rPr>
              <w:t>, se debe calcular por una única vez, en el mes en que se dará inicio al traslado en tarifa de la variable COT.</w:t>
            </w:r>
          </w:p>
        </w:tc>
        <w:tc>
          <w:tcPr>
            <w:tcW w:w="1872" w:type="pct"/>
            <w:hideMark/>
          </w:tcPr>
          <w:p w14:paraId="44ED8787" w14:textId="0D89090A" w:rsidR="005E727D" w:rsidRPr="009D701F" w:rsidRDefault="005E727D" w:rsidP="005E727D">
            <w:pPr>
              <w:spacing w:before="0" w:after="0"/>
              <w:jc w:val="left"/>
              <w:rPr>
                <w:rFonts w:cs="Arial"/>
                <w:color w:val="000000"/>
                <w:sz w:val="18"/>
                <w:szCs w:val="18"/>
              </w:rPr>
            </w:pPr>
            <w:r w:rsidRPr="009D701F">
              <w:rPr>
                <w:rFonts w:cs="Arial"/>
                <w:color w:val="000000"/>
                <w:sz w:val="18"/>
                <w:szCs w:val="18"/>
              </w:rPr>
              <w:t xml:space="preserve">Se incluye regla para realizar ajustes al SAOT siempre considerando que ni la variable COT ni el plazo inicial aumenten respecto de los </w:t>
            </w:r>
            <w:r w:rsidR="00EE067F" w:rsidRPr="009D701F">
              <w:rPr>
                <w:rFonts w:cs="Arial"/>
                <w:color w:val="000000"/>
                <w:sz w:val="18"/>
                <w:szCs w:val="18"/>
              </w:rPr>
              <w:t>inicialmente</w:t>
            </w:r>
            <w:r w:rsidRPr="009D701F">
              <w:rPr>
                <w:rFonts w:cs="Arial"/>
                <w:color w:val="000000"/>
                <w:sz w:val="18"/>
                <w:szCs w:val="18"/>
              </w:rPr>
              <w:t xml:space="preserve"> calculados.</w:t>
            </w:r>
          </w:p>
        </w:tc>
      </w:tr>
      <w:tr w:rsidR="005E727D" w:rsidRPr="007E00DB" w14:paraId="4C37FFCD" w14:textId="77777777" w:rsidTr="009D701F">
        <w:trPr>
          <w:trHeight w:val="1530"/>
        </w:trPr>
        <w:tc>
          <w:tcPr>
            <w:tcW w:w="881" w:type="pct"/>
            <w:hideMark/>
          </w:tcPr>
          <w:p w14:paraId="14D62172"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E2023017828_ENEL</w:t>
            </w:r>
          </w:p>
        </w:tc>
        <w:tc>
          <w:tcPr>
            <w:tcW w:w="2247" w:type="pct"/>
            <w:hideMark/>
          </w:tcPr>
          <w:p w14:paraId="75CDDCAA"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Incluir los lineamientos dados en los casos en que un usuario cambie de comercializador y/o nivel tensión, para los casos en los que el usuario cambia del mercado regulado al no regulado</w:t>
            </w:r>
          </w:p>
        </w:tc>
        <w:tc>
          <w:tcPr>
            <w:tcW w:w="1872" w:type="pct"/>
            <w:hideMark/>
          </w:tcPr>
          <w:p w14:paraId="7597662F"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Se Incluye</w:t>
            </w:r>
          </w:p>
        </w:tc>
      </w:tr>
      <w:tr w:rsidR="005E727D" w:rsidRPr="007E00DB" w14:paraId="165AC969" w14:textId="77777777" w:rsidTr="009D701F">
        <w:trPr>
          <w:trHeight w:val="870"/>
        </w:trPr>
        <w:tc>
          <w:tcPr>
            <w:tcW w:w="881" w:type="pct"/>
            <w:hideMark/>
          </w:tcPr>
          <w:p w14:paraId="1B5D3683"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E2023017828_ENEL</w:t>
            </w:r>
          </w:p>
        </w:tc>
        <w:tc>
          <w:tcPr>
            <w:tcW w:w="2247" w:type="pct"/>
            <w:hideMark/>
          </w:tcPr>
          <w:p w14:paraId="62010DAA"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Aclarar si el usuario que cambia de comercializador deberá pagar también el costo definido en la variable COT del nuevo comercializador</w:t>
            </w:r>
          </w:p>
        </w:tc>
        <w:tc>
          <w:tcPr>
            <w:tcW w:w="1872" w:type="pct"/>
            <w:hideMark/>
          </w:tcPr>
          <w:p w14:paraId="5D7616EF" w14:textId="6755A9FF" w:rsidR="005E727D" w:rsidRPr="009D701F" w:rsidRDefault="005E727D" w:rsidP="005E727D">
            <w:pPr>
              <w:spacing w:before="0" w:after="0"/>
              <w:jc w:val="left"/>
              <w:rPr>
                <w:rFonts w:cs="Arial"/>
                <w:color w:val="000000"/>
                <w:sz w:val="18"/>
                <w:szCs w:val="18"/>
              </w:rPr>
            </w:pPr>
            <w:r w:rsidRPr="009D701F">
              <w:rPr>
                <w:rFonts w:cs="Arial"/>
                <w:color w:val="000000"/>
                <w:sz w:val="18"/>
                <w:szCs w:val="18"/>
              </w:rPr>
              <w:t xml:space="preserve">Se aclara que el pago del COT corresponde </w:t>
            </w:r>
            <w:r w:rsidR="00C5725A" w:rsidRPr="009D701F">
              <w:rPr>
                <w:rFonts w:cs="Arial"/>
                <w:color w:val="000000"/>
                <w:sz w:val="18"/>
                <w:szCs w:val="18"/>
              </w:rPr>
              <w:t>únicamente</w:t>
            </w:r>
            <w:r w:rsidRPr="009D701F">
              <w:rPr>
                <w:rFonts w:cs="Arial"/>
                <w:color w:val="000000"/>
                <w:sz w:val="18"/>
                <w:szCs w:val="18"/>
              </w:rPr>
              <w:t xml:space="preserve"> al del mercado y nivel de tensión al que pertenezca el usuario al momento del mutuo acuerdo. </w:t>
            </w:r>
          </w:p>
        </w:tc>
      </w:tr>
      <w:tr w:rsidR="005E727D" w:rsidRPr="007E00DB" w14:paraId="05040BBE" w14:textId="77777777" w:rsidTr="009D701F">
        <w:trPr>
          <w:trHeight w:val="1450"/>
        </w:trPr>
        <w:tc>
          <w:tcPr>
            <w:tcW w:w="881" w:type="pct"/>
            <w:hideMark/>
          </w:tcPr>
          <w:p w14:paraId="33ED7AEA"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E2023017828_ENEL</w:t>
            </w:r>
          </w:p>
        </w:tc>
        <w:tc>
          <w:tcPr>
            <w:tcW w:w="2247" w:type="pct"/>
            <w:hideMark/>
          </w:tcPr>
          <w:p w14:paraId="38913E92"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 xml:space="preserve">Resulta esencial que se garantice que ante eventuales cambios en la metodología de remuneración de la actividad de comercialización, la variable de recuperación de saldos, </w:t>
            </w:r>
            <w:proofErr w:type="spellStart"/>
            <w:proofErr w:type="gramStart"/>
            <w:r w:rsidRPr="009D701F">
              <w:rPr>
                <w:rFonts w:cs="Arial"/>
                <w:color w:val="000000"/>
                <w:sz w:val="18"/>
                <w:szCs w:val="18"/>
              </w:rPr>
              <w:t>COTn,i</w:t>
            </w:r>
            <w:proofErr w:type="gramEnd"/>
            <w:r w:rsidRPr="009D701F">
              <w:rPr>
                <w:rFonts w:cs="Arial"/>
                <w:color w:val="000000"/>
                <w:sz w:val="18"/>
                <w:szCs w:val="18"/>
              </w:rPr>
              <w:t>,j,m</w:t>
            </w:r>
            <w:proofErr w:type="spellEnd"/>
            <w:r w:rsidRPr="009D701F">
              <w:rPr>
                <w:rFonts w:cs="Arial"/>
                <w:color w:val="000000"/>
                <w:sz w:val="18"/>
                <w:szCs w:val="18"/>
              </w:rPr>
              <w:t>, no se vea modificada, hasta que en efecto el agente recupere la totalidad del saldo acumulado.</w:t>
            </w:r>
          </w:p>
        </w:tc>
        <w:tc>
          <w:tcPr>
            <w:tcW w:w="1872" w:type="pct"/>
            <w:hideMark/>
          </w:tcPr>
          <w:p w14:paraId="371A3F88" w14:textId="3B0491B3" w:rsidR="005E727D" w:rsidRPr="009D701F" w:rsidRDefault="005E727D" w:rsidP="005E727D">
            <w:pPr>
              <w:spacing w:before="0" w:after="0"/>
              <w:jc w:val="left"/>
              <w:rPr>
                <w:rFonts w:cs="Arial"/>
                <w:color w:val="000000"/>
                <w:sz w:val="18"/>
                <w:szCs w:val="18"/>
              </w:rPr>
            </w:pPr>
            <w:r w:rsidRPr="009D701F">
              <w:rPr>
                <w:rFonts w:cs="Arial"/>
                <w:color w:val="000000"/>
                <w:sz w:val="18"/>
                <w:szCs w:val="18"/>
              </w:rPr>
              <w:t xml:space="preserve">Se aclara que la </w:t>
            </w:r>
            <w:r w:rsidR="00C5725A" w:rsidRPr="009D701F">
              <w:rPr>
                <w:rFonts w:cs="Arial"/>
                <w:color w:val="000000"/>
                <w:sz w:val="18"/>
                <w:szCs w:val="18"/>
              </w:rPr>
              <w:t>metodología</w:t>
            </w:r>
            <w:r w:rsidRPr="009D701F">
              <w:rPr>
                <w:rFonts w:cs="Arial"/>
                <w:color w:val="000000"/>
                <w:sz w:val="18"/>
                <w:szCs w:val="18"/>
              </w:rPr>
              <w:t xml:space="preserve"> de remuneración de la comercialización a usuarios regulados contenida en la RES CREG 180 de 2014, deberá recoger los costos a remunerar en cada caso.</w:t>
            </w:r>
          </w:p>
        </w:tc>
      </w:tr>
      <w:tr w:rsidR="005E727D" w:rsidRPr="007E00DB" w14:paraId="4B0C8CFD" w14:textId="77777777" w:rsidTr="009D701F">
        <w:trPr>
          <w:trHeight w:val="960"/>
        </w:trPr>
        <w:tc>
          <w:tcPr>
            <w:tcW w:w="881" w:type="pct"/>
            <w:hideMark/>
          </w:tcPr>
          <w:p w14:paraId="07432881"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E2023017828_ENEL</w:t>
            </w:r>
          </w:p>
        </w:tc>
        <w:tc>
          <w:tcPr>
            <w:tcW w:w="2247" w:type="pct"/>
            <w:hideMark/>
          </w:tcPr>
          <w:p w14:paraId="3675A459"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 xml:space="preserve">Encontramos una inconsistencia en la formulación asociada a la finalización de la aplicación de la opción tarifaria, ya que entendemos que se requiere verificar que la variable </w:t>
            </w:r>
            <w:proofErr w:type="spellStart"/>
            <w:proofErr w:type="gramStart"/>
            <w:r w:rsidRPr="009D701F">
              <w:rPr>
                <w:rFonts w:cs="Arial"/>
                <w:color w:val="000000"/>
                <w:sz w:val="18"/>
                <w:szCs w:val="18"/>
              </w:rPr>
              <w:t>SBCn,i</w:t>
            </w:r>
            <w:proofErr w:type="gramEnd"/>
            <w:r w:rsidRPr="009D701F">
              <w:rPr>
                <w:rFonts w:cs="Arial"/>
                <w:color w:val="000000"/>
                <w:sz w:val="18"/>
                <w:szCs w:val="18"/>
              </w:rPr>
              <w:t>,j,m</w:t>
            </w:r>
            <w:proofErr w:type="spellEnd"/>
            <w:r w:rsidRPr="009D701F">
              <w:rPr>
                <w:rFonts w:cs="Arial"/>
                <w:color w:val="000000"/>
                <w:sz w:val="18"/>
                <w:szCs w:val="18"/>
              </w:rPr>
              <w:t xml:space="preserve"> sea igual o menor al 6% del último costo unitario de prestación del servicio publicado, para lo cual es necesario indicar en la fórmula el subíndice m-1 a la variable CU y adicionalmente el factor es 0.06, en lugar de (1+0.06).</w:t>
            </w:r>
          </w:p>
        </w:tc>
        <w:tc>
          <w:tcPr>
            <w:tcW w:w="1872" w:type="pct"/>
            <w:hideMark/>
          </w:tcPr>
          <w:p w14:paraId="5A2EA8BF"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 xml:space="preserve">Se Corrige </w:t>
            </w:r>
          </w:p>
        </w:tc>
      </w:tr>
      <w:tr w:rsidR="005E727D" w:rsidRPr="007E00DB" w14:paraId="326C39FC" w14:textId="77777777" w:rsidTr="009D701F">
        <w:trPr>
          <w:trHeight w:val="1160"/>
        </w:trPr>
        <w:tc>
          <w:tcPr>
            <w:tcW w:w="881" w:type="pct"/>
            <w:hideMark/>
          </w:tcPr>
          <w:p w14:paraId="3B89AB70"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E2023017834_CAC</w:t>
            </w:r>
          </w:p>
        </w:tc>
        <w:tc>
          <w:tcPr>
            <w:tcW w:w="2247" w:type="pct"/>
            <w:hideMark/>
          </w:tcPr>
          <w:p w14:paraId="2B82C640" w14:textId="1B37B4FB" w:rsidR="005E727D" w:rsidRPr="009D701F" w:rsidRDefault="005E727D" w:rsidP="005E727D">
            <w:pPr>
              <w:spacing w:before="0" w:after="0"/>
              <w:jc w:val="left"/>
              <w:rPr>
                <w:rFonts w:cs="Arial"/>
                <w:color w:val="000000"/>
                <w:sz w:val="18"/>
                <w:szCs w:val="18"/>
              </w:rPr>
            </w:pPr>
            <w:r w:rsidRPr="009D701F">
              <w:rPr>
                <w:rFonts w:cs="Arial"/>
                <w:color w:val="000000"/>
                <w:sz w:val="18"/>
                <w:szCs w:val="18"/>
              </w:rPr>
              <w:t xml:space="preserve">Sugerimos que la resolución definitiva se expida, y se publique en la página web </w:t>
            </w:r>
            <w:proofErr w:type="gramStart"/>
            <w:r w:rsidRPr="009D701F">
              <w:rPr>
                <w:rFonts w:cs="Arial"/>
                <w:color w:val="000000"/>
                <w:sz w:val="18"/>
                <w:szCs w:val="18"/>
              </w:rPr>
              <w:t>de  la</w:t>
            </w:r>
            <w:proofErr w:type="gramEnd"/>
            <w:r w:rsidRPr="009D701F">
              <w:rPr>
                <w:rFonts w:cs="Arial"/>
                <w:color w:val="000000"/>
                <w:sz w:val="18"/>
                <w:szCs w:val="18"/>
              </w:rPr>
              <w:t xml:space="preserve">  Comisión,  antes  del  14  de  octubre  de  2023, teniendo  en cuenta  que  la  mayoría  de  los comercializadores publican sus tarifas en fechas cercanas al día 16 de cada mes</w:t>
            </w:r>
          </w:p>
        </w:tc>
        <w:tc>
          <w:tcPr>
            <w:tcW w:w="1872" w:type="pct"/>
            <w:hideMark/>
          </w:tcPr>
          <w:p w14:paraId="52FC4191"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Se aclara las reglas de aplicación del mutuo acuerdo.</w:t>
            </w:r>
          </w:p>
        </w:tc>
      </w:tr>
      <w:tr w:rsidR="005E727D" w:rsidRPr="007E00DB" w14:paraId="1219A7FB" w14:textId="77777777" w:rsidTr="009D701F">
        <w:trPr>
          <w:trHeight w:val="870"/>
        </w:trPr>
        <w:tc>
          <w:tcPr>
            <w:tcW w:w="881" w:type="pct"/>
            <w:hideMark/>
          </w:tcPr>
          <w:p w14:paraId="7CF93802"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E2023017834_CAC</w:t>
            </w:r>
          </w:p>
        </w:tc>
        <w:tc>
          <w:tcPr>
            <w:tcW w:w="2247" w:type="pct"/>
            <w:hideMark/>
          </w:tcPr>
          <w:p w14:paraId="7FE69F28"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Existen comercializadores independientes que también están aplicando esta medida</w:t>
            </w:r>
          </w:p>
        </w:tc>
        <w:tc>
          <w:tcPr>
            <w:tcW w:w="1872" w:type="pct"/>
            <w:hideMark/>
          </w:tcPr>
          <w:p w14:paraId="4D74BA3E" w14:textId="0E4C6884" w:rsidR="005E727D" w:rsidRPr="009D701F" w:rsidRDefault="005E727D" w:rsidP="005E727D">
            <w:pPr>
              <w:spacing w:before="0" w:after="0"/>
              <w:jc w:val="left"/>
              <w:rPr>
                <w:rFonts w:cs="Arial"/>
                <w:color w:val="000000"/>
                <w:sz w:val="18"/>
                <w:szCs w:val="18"/>
              </w:rPr>
            </w:pPr>
            <w:r w:rsidRPr="009D701F">
              <w:rPr>
                <w:rFonts w:cs="Arial"/>
                <w:color w:val="000000"/>
                <w:sz w:val="18"/>
                <w:szCs w:val="18"/>
              </w:rPr>
              <w:t xml:space="preserve">Se incluye procedimiento </w:t>
            </w:r>
            <w:r w:rsidR="00C5725A" w:rsidRPr="009D701F">
              <w:rPr>
                <w:rFonts w:cs="Arial"/>
                <w:color w:val="000000"/>
                <w:sz w:val="18"/>
                <w:szCs w:val="18"/>
              </w:rPr>
              <w:t>para</w:t>
            </w:r>
            <w:r w:rsidRPr="009D701F">
              <w:rPr>
                <w:rFonts w:cs="Arial"/>
                <w:color w:val="000000"/>
                <w:sz w:val="18"/>
                <w:szCs w:val="18"/>
              </w:rPr>
              <w:t xml:space="preserve"> calcular un COT de mercado que incluye los COT de todos los comercializadores en un mismo mercado y que se acojan a la medida.</w:t>
            </w:r>
          </w:p>
        </w:tc>
      </w:tr>
      <w:tr w:rsidR="005E727D" w:rsidRPr="007E00DB" w14:paraId="7932F4A5" w14:textId="77777777" w:rsidTr="009D701F">
        <w:trPr>
          <w:trHeight w:val="2320"/>
        </w:trPr>
        <w:tc>
          <w:tcPr>
            <w:tcW w:w="881" w:type="pct"/>
            <w:hideMark/>
          </w:tcPr>
          <w:p w14:paraId="7D4DF849"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lastRenderedPageBreak/>
              <w:t>E2023017834_CAC</w:t>
            </w:r>
          </w:p>
        </w:tc>
        <w:tc>
          <w:tcPr>
            <w:tcW w:w="2247" w:type="pct"/>
            <w:hideMark/>
          </w:tcPr>
          <w:p w14:paraId="333AF9E3" w14:textId="7F2658FB" w:rsidR="005E727D" w:rsidRPr="009D701F" w:rsidRDefault="005E727D" w:rsidP="005E727D">
            <w:pPr>
              <w:spacing w:before="0" w:after="0"/>
              <w:jc w:val="left"/>
              <w:rPr>
                <w:rFonts w:cs="Arial"/>
                <w:color w:val="000000"/>
                <w:sz w:val="18"/>
                <w:szCs w:val="18"/>
              </w:rPr>
            </w:pPr>
            <w:r w:rsidRPr="009D701F">
              <w:rPr>
                <w:rFonts w:cs="Arial"/>
                <w:color w:val="000000"/>
                <w:sz w:val="18"/>
                <w:szCs w:val="18"/>
              </w:rPr>
              <w:t>Hay empresas que requieren aplicar incrementos tarifarios superiores al 3% durante algunos meses, para poder acceder al esquema que propone la Comisión.</w:t>
            </w:r>
            <w:r w:rsidRPr="009D701F">
              <w:rPr>
                <w:rFonts w:cs="Arial"/>
                <w:color w:val="000000"/>
                <w:sz w:val="18"/>
                <w:szCs w:val="18"/>
              </w:rPr>
              <w:br/>
            </w:r>
            <w:r w:rsidRPr="009D701F">
              <w:rPr>
                <w:rFonts w:cs="Arial"/>
                <w:color w:val="000000"/>
                <w:sz w:val="18"/>
                <w:szCs w:val="18"/>
              </w:rPr>
              <w:br/>
              <w:t>Contemplar que para dichas empresas la Comisión limite el periodo de aplicación de la Resolución CREG 012 de 2020, y una vez se venza ese plazo inicie la etapa de recuperación de saldos conforme al esquema propuesto en la Resolución CREG 701_023 de 2013</w:t>
            </w:r>
          </w:p>
        </w:tc>
        <w:tc>
          <w:tcPr>
            <w:tcW w:w="1872" w:type="pct"/>
            <w:hideMark/>
          </w:tcPr>
          <w:p w14:paraId="78914C8F" w14:textId="47275D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 xml:space="preserve">De acuerdo con los </w:t>
            </w:r>
            <w:r w:rsidR="00C5725A" w:rsidRPr="009D701F">
              <w:rPr>
                <w:rFonts w:cs="Arial"/>
                <w:color w:val="000000"/>
                <w:sz w:val="18"/>
                <w:szCs w:val="18"/>
              </w:rPr>
              <w:t>análisis</w:t>
            </w:r>
            <w:r w:rsidRPr="009D701F">
              <w:rPr>
                <w:rFonts w:cs="Arial"/>
                <w:color w:val="000000"/>
                <w:sz w:val="18"/>
                <w:szCs w:val="18"/>
              </w:rPr>
              <w:t xml:space="preserve"> realizados por la comisión y dados los incrementos realizados en el CU aplicado en los meses de octubre y noviembre de 2023 por los comercializadores, no se considera necesario aumentar dicho limite. </w:t>
            </w:r>
            <w:r w:rsidRPr="009D701F">
              <w:rPr>
                <w:rFonts w:cs="Arial"/>
                <w:color w:val="000000"/>
                <w:sz w:val="18"/>
                <w:szCs w:val="18"/>
              </w:rPr>
              <w:br/>
            </w:r>
            <w:r w:rsidRPr="009D701F">
              <w:rPr>
                <w:rFonts w:cs="Arial"/>
                <w:color w:val="000000"/>
                <w:sz w:val="18"/>
                <w:szCs w:val="18"/>
              </w:rPr>
              <w:br/>
              <w:t>Adicionalmente, se incluye alternativa para que el comercializador</w:t>
            </w:r>
            <w:r w:rsidR="009713DD" w:rsidRPr="009D701F">
              <w:rPr>
                <w:rFonts w:cs="Arial"/>
                <w:color w:val="000000"/>
                <w:sz w:val="18"/>
                <w:szCs w:val="18"/>
              </w:rPr>
              <w:t xml:space="preserve"> que no cumpla la condición inicial del 3</w:t>
            </w:r>
            <w:proofErr w:type="gramStart"/>
            <w:r w:rsidR="009713DD" w:rsidRPr="009D701F">
              <w:rPr>
                <w:rFonts w:cs="Arial"/>
                <w:color w:val="000000"/>
                <w:sz w:val="18"/>
                <w:szCs w:val="18"/>
              </w:rPr>
              <w:t xml:space="preserve">% </w:t>
            </w:r>
            <w:r w:rsidRPr="009D701F">
              <w:rPr>
                <w:rFonts w:cs="Arial"/>
                <w:color w:val="000000"/>
                <w:sz w:val="18"/>
                <w:szCs w:val="18"/>
              </w:rPr>
              <w:t xml:space="preserve"> inicie</w:t>
            </w:r>
            <w:proofErr w:type="gramEnd"/>
            <w:r w:rsidRPr="009D701F">
              <w:rPr>
                <w:rFonts w:cs="Arial"/>
                <w:color w:val="000000"/>
                <w:sz w:val="18"/>
                <w:szCs w:val="18"/>
              </w:rPr>
              <w:t xml:space="preserve"> la recuperación del saldo con un perfil de pago de gradiente </w:t>
            </w:r>
            <w:r w:rsidR="00C5725A" w:rsidRPr="009D701F">
              <w:rPr>
                <w:rFonts w:cs="Arial"/>
                <w:color w:val="000000"/>
                <w:sz w:val="18"/>
                <w:szCs w:val="18"/>
              </w:rPr>
              <w:t>aritmético</w:t>
            </w:r>
            <w:r w:rsidRPr="009D701F">
              <w:rPr>
                <w:rFonts w:cs="Arial"/>
                <w:color w:val="000000"/>
                <w:sz w:val="18"/>
                <w:szCs w:val="18"/>
              </w:rPr>
              <w:t xml:space="preserve"> creciente. </w:t>
            </w:r>
          </w:p>
        </w:tc>
      </w:tr>
      <w:tr w:rsidR="005E727D" w:rsidRPr="007E00DB" w14:paraId="1C6A4087" w14:textId="77777777" w:rsidTr="009D701F">
        <w:trPr>
          <w:trHeight w:val="53"/>
        </w:trPr>
        <w:tc>
          <w:tcPr>
            <w:tcW w:w="881" w:type="pct"/>
            <w:hideMark/>
          </w:tcPr>
          <w:p w14:paraId="32E050F5"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E2023017834_CAC</w:t>
            </w:r>
          </w:p>
        </w:tc>
        <w:tc>
          <w:tcPr>
            <w:tcW w:w="2247" w:type="pct"/>
            <w:hideMark/>
          </w:tcPr>
          <w:p w14:paraId="628E99F3"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 xml:space="preserve">Hay empresas que requieren mayor flexibilidad en el parámetro </w:t>
            </w:r>
            <w:proofErr w:type="spellStart"/>
            <w:r w:rsidRPr="009D701F">
              <w:rPr>
                <w:rFonts w:cs="Arial"/>
                <w:color w:val="000000"/>
                <w:sz w:val="18"/>
                <w:szCs w:val="18"/>
              </w:rPr>
              <w:t>ma</w:t>
            </w:r>
            <w:proofErr w:type="spellEnd"/>
            <w:r w:rsidRPr="009D701F">
              <w:rPr>
                <w:rFonts w:cs="Arial"/>
                <w:color w:val="000000"/>
                <w:sz w:val="18"/>
                <w:szCs w:val="18"/>
              </w:rPr>
              <w:t xml:space="preserve"> con el fin de gestionar una recuperación de saldos más acorde con la evolución de las ventas en sus mercados. </w:t>
            </w:r>
          </w:p>
        </w:tc>
        <w:tc>
          <w:tcPr>
            <w:tcW w:w="1872" w:type="pct"/>
            <w:hideMark/>
          </w:tcPr>
          <w:p w14:paraId="13B4DC0B" w14:textId="69C5251D" w:rsidR="005E727D" w:rsidRPr="009D701F" w:rsidRDefault="005E727D" w:rsidP="005E727D">
            <w:pPr>
              <w:spacing w:before="0" w:after="0"/>
              <w:jc w:val="left"/>
              <w:rPr>
                <w:rFonts w:cs="Arial"/>
                <w:color w:val="000000"/>
                <w:sz w:val="18"/>
                <w:szCs w:val="18"/>
              </w:rPr>
            </w:pPr>
            <w:r w:rsidRPr="009D701F">
              <w:rPr>
                <w:rFonts w:cs="Arial"/>
                <w:color w:val="000000"/>
                <w:sz w:val="18"/>
                <w:szCs w:val="18"/>
              </w:rPr>
              <w:t xml:space="preserve">Según los ajustes, esta variable se podrá actualizar cada cierto tiempo (en función del saldo acumulado y su recuperación) siempre considerando que ni la variable COT ni el plazo inicial aumenten respecto de los </w:t>
            </w:r>
            <w:r w:rsidR="00C5725A" w:rsidRPr="009D701F">
              <w:rPr>
                <w:rFonts w:cs="Arial"/>
                <w:color w:val="000000"/>
                <w:sz w:val="18"/>
                <w:szCs w:val="18"/>
              </w:rPr>
              <w:t>inicialmente</w:t>
            </w:r>
            <w:r w:rsidRPr="009D701F">
              <w:rPr>
                <w:rFonts w:cs="Arial"/>
                <w:color w:val="000000"/>
                <w:sz w:val="18"/>
                <w:szCs w:val="18"/>
              </w:rPr>
              <w:t xml:space="preserve"> calculados.</w:t>
            </w:r>
          </w:p>
        </w:tc>
      </w:tr>
      <w:tr w:rsidR="005E727D" w:rsidRPr="007E00DB" w14:paraId="23332F22" w14:textId="77777777" w:rsidTr="009D701F">
        <w:trPr>
          <w:trHeight w:val="1740"/>
        </w:trPr>
        <w:tc>
          <w:tcPr>
            <w:tcW w:w="881" w:type="pct"/>
            <w:hideMark/>
          </w:tcPr>
          <w:p w14:paraId="333A4D2A"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E2023017834_CAC</w:t>
            </w:r>
          </w:p>
        </w:tc>
        <w:tc>
          <w:tcPr>
            <w:tcW w:w="2247" w:type="pct"/>
            <w:hideMark/>
          </w:tcPr>
          <w:p w14:paraId="5EAF2118" w14:textId="14EBA9AB" w:rsidR="005E727D" w:rsidRPr="009D701F" w:rsidRDefault="005E727D" w:rsidP="005E727D">
            <w:pPr>
              <w:spacing w:before="0" w:after="0"/>
              <w:jc w:val="left"/>
              <w:rPr>
                <w:rFonts w:cs="Arial"/>
                <w:color w:val="000000"/>
                <w:sz w:val="18"/>
                <w:szCs w:val="18"/>
              </w:rPr>
            </w:pPr>
            <w:r w:rsidRPr="009D701F">
              <w:rPr>
                <w:rFonts w:cs="Arial"/>
                <w:color w:val="000000"/>
                <w:sz w:val="18"/>
                <w:szCs w:val="18"/>
              </w:rPr>
              <w:t xml:space="preserve">Sugerimos que el </w:t>
            </w:r>
            <w:proofErr w:type="gramStart"/>
            <w:r w:rsidRPr="009D701F">
              <w:rPr>
                <w:rFonts w:cs="Arial"/>
                <w:color w:val="000000"/>
                <w:sz w:val="18"/>
                <w:szCs w:val="18"/>
              </w:rPr>
              <w:t>valor  de</w:t>
            </w:r>
            <w:proofErr w:type="gramEnd"/>
            <w:r w:rsidRPr="009D701F">
              <w:rPr>
                <w:rFonts w:cs="Arial"/>
                <w:color w:val="000000"/>
                <w:sz w:val="18"/>
                <w:szCs w:val="18"/>
              </w:rPr>
              <w:t xml:space="preserve">  la  tasa  mensual  para  recuperación,  </w:t>
            </w:r>
            <w:proofErr w:type="spellStart"/>
            <w:r w:rsidRPr="009D701F">
              <w:rPr>
                <w:rFonts w:cs="Arial"/>
                <w:color w:val="000000"/>
                <w:sz w:val="18"/>
                <w:szCs w:val="18"/>
              </w:rPr>
              <w:t>rOTm,i,j</w:t>
            </w:r>
            <w:proofErr w:type="spellEnd"/>
            <w:r w:rsidRPr="009D701F">
              <w:rPr>
                <w:rFonts w:cs="Arial"/>
                <w:color w:val="000000"/>
                <w:sz w:val="18"/>
                <w:szCs w:val="18"/>
              </w:rPr>
              <w:t xml:space="preserve">, tenga en cuenta las tasas de los créditos con que cada empresa apalanca su capital  de  trabajo  para  soportar  el  déficit  por  el  saldo  de  la  opción . Así mismo, </w:t>
            </w:r>
            <w:proofErr w:type="gramStart"/>
            <w:r w:rsidRPr="009D701F">
              <w:rPr>
                <w:rFonts w:cs="Arial"/>
                <w:color w:val="000000"/>
                <w:sz w:val="18"/>
                <w:szCs w:val="18"/>
              </w:rPr>
              <w:t>respecto  al</w:t>
            </w:r>
            <w:proofErr w:type="gramEnd"/>
            <w:r w:rsidRPr="009D701F">
              <w:rPr>
                <w:rFonts w:cs="Arial"/>
                <w:color w:val="000000"/>
                <w:sz w:val="18"/>
                <w:szCs w:val="18"/>
              </w:rPr>
              <w:t xml:space="preserve">  valor  resultante,  sugerimos  incluir  que  los  comercializadores  puedan aplicar un valor inferior si así lo deciden</w:t>
            </w:r>
          </w:p>
        </w:tc>
        <w:tc>
          <w:tcPr>
            <w:tcW w:w="1872" w:type="pct"/>
            <w:hideMark/>
          </w:tcPr>
          <w:p w14:paraId="7F957194" w14:textId="5C8C8FD6" w:rsidR="005E727D" w:rsidRPr="009D701F" w:rsidRDefault="005E727D" w:rsidP="005E727D">
            <w:pPr>
              <w:spacing w:before="0" w:after="0"/>
              <w:jc w:val="left"/>
              <w:rPr>
                <w:rFonts w:cs="Arial"/>
                <w:color w:val="000000"/>
                <w:sz w:val="18"/>
                <w:szCs w:val="18"/>
              </w:rPr>
            </w:pPr>
            <w:r w:rsidRPr="009D701F">
              <w:rPr>
                <w:rFonts w:cs="Arial"/>
                <w:color w:val="000000"/>
                <w:sz w:val="18"/>
                <w:szCs w:val="18"/>
              </w:rPr>
              <w:t xml:space="preserve">Se incluye en la tasa para recuperar los saldos de la </w:t>
            </w:r>
            <w:r w:rsidR="00C5725A" w:rsidRPr="009D701F">
              <w:rPr>
                <w:rFonts w:cs="Arial"/>
                <w:color w:val="000000"/>
                <w:sz w:val="18"/>
                <w:szCs w:val="18"/>
              </w:rPr>
              <w:t>opción</w:t>
            </w:r>
            <w:r w:rsidRPr="009D701F">
              <w:rPr>
                <w:rFonts w:cs="Arial"/>
                <w:color w:val="000000"/>
                <w:sz w:val="18"/>
                <w:szCs w:val="18"/>
              </w:rPr>
              <w:t xml:space="preserve"> tarifaria como el ponderado de las tasas de los </w:t>
            </w:r>
            <w:r w:rsidR="00C5725A" w:rsidRPr="009D701F">
              <w:rPr>
                <w:rFonts w:cs="Arial"/>
                <w:color w:val="000000"/>
                <w:sz w:val="18"/>
                <w:szCs w:val="18"/>
              </w:rPr>
              <w:t>créditos</w:t>
            </w:r>
            <w:r w:rsidRPr="009D701F">
              <w:rPr>
                <w:rFonts w:cs="Arial"/>
                <w:color w:val="000000"/>
                <w:sz w:val="18"/>
                <w:szCs w:val="18"/>
              </w:rPr>
              <w:t xml:space="preserve"> a los que pueda acceder el comercializador, conservando el </w:t>
            </w:r>
            <w:r w:rsidR="00C5725A" w:rsidRPr="009D701F">
              <w:rPr>
                <w:rFonts w:cs="Arial"/>
                <w:color w:val="000000"/>
                <w:sz w:val="18"/>
                <w:szCs w:val="18"/>
              </w:rPr>
              <w:t>límite</w:t>
            </w:r>
            <w:r w:rsidRPr="009D701F">
              <w:rPr>
                <w:rFonts w:cs="Arial"/>
                <w:color w:val="000000"/>
                <w:sz w:val="18"/>
                <w:szCs w:val="18"/>
              </w:rPr>
              <w:t xml:space="preserve"> superior establecido en la </w:t>
            </w:r>
            <w:r w:rsidR="00C5725A" w:rsidRPr="009D701F">
              <w:rPr>
                <w:rFonts w:cs="Arial"/>
                <w:color w:val="000000"/>
                <w:sz w:val="18"/>
                <w:szCs w:val="18"/>
              </w:rPr>
              <w:t>resolución</w:t>
            </w:r>
            <w:r w:rsidRPr="009D701F">
              <w:rPr>
                <w:rFonts w:cs="Arial"/>
                <w:color w:val="000000"/>
                <w:sz w:val="18"/>
                <w:szCs w:val="18"/>
              </w:rPr>
              <w:t xml:space="preserve"> CREG 012 de 2020. </w:t>
            </w:r>
          </w:p>
        </w:tc>
      </w:tr>
      <w:tr w:rsidR="005E727D" w:rsidRPr="007E00DB" w14:paraId="00E89F12" w14:textId="77777777" w:rsidTr="009D701F">
        <w:trPr>
          <w:trHeight w:val="1450"/>
        </w:trPr>
        <w:tc>
          <w:tcPr>
            <w:tcW w:w="881" w:type="pct"/>
            <w:hideMark/>
          </w:tcPr>
          <w:p w14:paraId="7DA3E245"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E2023017834_CAC</w:t>
            </w:r>
          </w:p>
        </w:tc>
        <w:tc>
          <w:tcPr>
            <w:tcW w:w="2247" w:type="pct"/>
            <w:hideMark/>
          </w:tcPr>
          <w:p w14:paraId="132C76BE" w14:textId="255BC819" w:rsidR="005E727D" w:rsidRPr="009D701F" w:rsidRDefault="005E727D" w:rsidP="005E727D">
            <w:pPr>
              <w:spacing w:before="0" w:after="0"/>
              <w:jc w:val="left"/>
              <w:rPr>
                <w:rFonts w:cs="Arial"/>
                <w:color w:val="000000"/>
                <w:sz w:val="18"/>
                <w:szCs w:val="18"/>
              </w:rPr>
            </w:pPr>
            <w:r w:rsidRPr="009D701F">
              <w:rPr>
                <w:rFonts w:cs="Arial"/>
                <w:color w:val="000000"/>
                <w:sz w:val="18"/>
                <w:szCs w:val="18"/>
              </w:rPr>
              <w:t xml:space="preserve">Sugerimos que la adopción de la formula contemplada en la resolución definitiva, permita ser aplicada por los comercializadores por nivel de tensión, de manera que sea </w:t>
            </w:r>
            <w:proofErr w:type="gramStart"/>
            <w:r w:rsidRPr="009D701F">
              <w:rPr>
                <w:rFonts w:cs="Arial"/>
                <w:color w:val="000000"/>
                <w:sz w:val="18"/>
                <w:szCs w:val="18"/>
              </w:rPr>
              <w:t>posible  aplicarla</w:t>
            </w:r>
            <w:proofErr w:type="gramEnd"/>
            <w:r w:rsidRPr="009D701F">
              <w:rPr>
                <w:rFonts w:cs="Arial"/>
                <w:color w:val="000000"/>
                <w:sz w:val="18"/>
                <w:szCs w:val="18"/>
              </w:rPr>
              <w:t xml:space="preserve">  de  manera  diferencial,  sin  la  obligación  de  aplicarla  a  todos  los niveles de tensión. </w:t>
            </w:r>
          </w:p>
        </w:tc>
        <w:tc>
          <w:tcPr>
            <w:tcW w:w="1872" w:type="pct"/>
            <w:hideMark/>
          </w:tcPr>
          <w:p w14:paraId="2BD40C4D" w14:textId="77777777" w:rsidR="005E727D" w:rsidRPr="009D701F" w:rsidRDefault="005E727D" w:rsidP="005E727D">
            <w:pPr>
              <w:spacing w:before="0" w:after="0"/>
              <w:jc w:val="left"/>
              <w:rPr>
                <w:rFonts w:cs="Arial"/>
                <w:sz w:val="18"/>
                <w:szCs w:val="18"/>
              </w:rPr>
            </w:pPr>
            <w:r w:rsidRPr="009D701F">
              <w:rPr>
                <w:rFonts w:cs="Arial"/>
                <w:sz w:val="18"/>
                <w:szCs w:val="18"/>
              </w:rPr>
              <w:t>Una vez que el prestador se acoge al mutuo acuerdo, la resolución aplica para todo el mercado donde efectivamente se diferencia la aplicación por nivel de tensión</w:t>
            </w:r>
          </w:p>
        </w:tc>
      </w:tr>
      <w:tr w:rsidR="005E727D" w:rsidRPr="007E00DB" w14:paraId="16B09F59" w14:textId="77777777" w:rsidTr="009D701F">
        <w:trPr>
          <w:trHeight w:val="870"/>
        </w:trPr>
        <w:tc>
          <w:tcPr>
            <w:tcW w:w="881" w:type="pct"/>
            <w:hideMark/>
          </w:tcPr>
          <w:p w14:paraId="772B38BF"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E2023017834_CAC</w:t>
            </w:r>
          </w:p>
        </w:tc>
        <w:tc>
          <w:tcPr>
            <w:tcW w:w="2247" w:type="pct"/>
            <w:hideMark/>
          </w:tcPr>
          <w:p w14:paraId="502CF4F8"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 xml:space="preserve">Con el fin de evitar una referencia circular en el cálculo de las variables, entendemos que el subíndice de mes para la variable </w:t>
            </w:r>
            <w:proofErr w:type="spellStart"/>
            <w:proofErr w:type="gramStart"/>
            <w:r w:rsidRPr="009D701F">
              <w:rPr>
                <w:rFonts w:cs="Arial"/>
                <w:color w:val="000000"/>
                <w:sz w:val="18"/>
                <w:szCs w:val="18"/>
              </w:rPr>
              <w:t>CUvn,m</w:t>
            </w:r>
            <w:proofErr w:type="gramEnd"/>
            <w:r w:rsidRPr="009D701F">
              <w:rPr>
                <w:rFonts w:cs="Arial"/>
                <w:color w:val="000000"/>
                <w:sz w:val="18"/>
                <w:szCs w:val="18"/>
              </w:rPr>
              <w:t>,i,j</w:t>
            </w:r>
            <w:proofErr w:type="spellEnd"/>
            <w:r w:rsidRPr="009D701F">
              <w:rPr>
                <w:rFonts w:cs="Arial"/>
                <w:color w:val="000000"/>
                <w:sz w:val="18"/>
                <w:szCs w:val="18"/>
              </w:rPr>
              <w:t xml:space="preserve"> debería ser m-1 y no m en la fórmula</w:t>
            </w:r>
          </w:p>
        </w:tc>
        <w:tc>
          <w:tcPr>
            <w:tcW w:w="1872" w:type="pct"/>
            <w:hideMark/>
          </w:tcPr>
          <w:p w14:paraId="67BE9D97"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Se corrige</w:t>
            </w:r>
          </w:p>
        </w:tc>
      </w:tr>
      <w:tr w:rsidR="005E727D" w:rsidRPr="007E00DB" w14:paraId="3882E02E" w14:textId="77777777" w:rsidTr="009D701F">
        <w:trPr>
          <w:trHeight w:val="1470"/>
        </w:trPr>
        <w:tc>
          <w:tcPr>
            <w:tcW w:w="881" w:type="pct"/>
            <w:hideMark/>
          </w:tcPr>
          <w:p w14:paraId="10DDC59E"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E2023017834_CAC</w:t>
            </w:r>
          </w:p>
        </w:tc>
        <w:tc>
          <w:tcPr>
            <w:tcW w:w="2247" w:type="pct"/>
            <w:hideMark/>
          </w:tcPr>
          <w:p w14:paraId="26F2FF4A"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 xml:space="preserve">La variable </w:t>
            </w:r>
            <w:proofErr w:type="spellStart"/>
            <w:proofErr w:type="gramStart"/>
            <w:r w:rsidRPr="009D701F">
              <w:rPr>
                <w:rFonts w:cs="Arial"/>
                <w:color w:val="000000"/>
                <w:sz w:val="18"/>
                <w:szCs w:val="18"/>
              </w:rPr>
              <w:t>CUvn,m</w:t>
            </w:r>
            <w:proofErr w:type="gramEnd"/>
            <w:r w:rsidRPr="009D701F">
              <w:rPr>
                <w:rFonts w:cs="Arial"/>
                <w:color w:val="000000"/>
                <w:sz w:val="18"/>
                <w:szCs w:val="18"/>
              </w:rPr>
              <w:t>,i,j</w:t>
            </w:r>
            <w:proofErr w:type="spellEnd"/>
            <w:r w:rsidRPr="009D701F">
              <w:rPr>
                <w:rFonts w:cs="Arial"/>
                <w:color w:val="000000"/>
                <w:sz w:val="18"/>
                <w:szCs w:val="18"/>
              </w:rPr>
              <w:t xml:space="preserve"> se está multiplicando por 1,06. Dado que en el texto se indica que “cuando la variable </w:t>
            </w:r>
            <w:proofErr w:type="spellStart"/>
            <w:proofErr w:type="gramStart"/>
            <w:r w:rsidRPr="009D701F">
              <w:rPr>
                <w:rFonts w:cs="Arial"/>
                <w:color w:val="000000"/>
                <w:sz w:val="18"/>
                <w:szCs w:val="18"/>
              </w:rPr>
              <w:t>SBCn,i</w:t>
            </w:r>
            <w:proofErr w:type="gramEnd"/>
            <w:r w:rsidRPr="009D701F">
              <w:rPr>
                <w:rFonts w:cs="Arial"/>
                <w:color w:val="000000"/>
                <w:sz w:val="18"/>
                <w:szCs w:val="18"/>
              </w:rPr>
              <w:t>,j,m</w:t>
            </w:r>
            <w:proofErr w:type="spellEnd"/>
            <w:r w:rsidRPr="009D701F">
              <w:rPr>
                <w:rFonts w:cs="Arial"/>
                <w:color w:val="000000"/>
                <w:sz w:val="18"/>
                <w:szCs w:val="18"/>
              </w:rPr>
              <w:t xml:space="preserve"> sea  igual  o  menor  al  6%  del  último  costo  unitario  de prestación del servicio publicado (...)”, entendemos es que el  CUvn,m-1,i,j  se  debería </w:t>
            </w:r>
            <w:r w:rsidRPr="009D701F">
              <w:rPr>
                <w:rFonts w:cs="Arial"/>
                <w:color w:val="000000"/>
                <w:sz w:val="18"/>
                <w:szCs w:val="18"/>
              </w:rPr>
              <w:br/>
              <w:t xml:space="preserve">multiplicar por 0,06. </w:t>
            </w:r>
          </w:p>
        </w:tc>
        <w:tc>
          <w:tcPr>
            <w:tcW w:w="1872" w:type="pct"/>
            <w:hideMark/>
          </w:tcPr>
          <w:p w14:paraId="533878E6"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Se corrige</w:t>
            </w:r>
          </w:p>
        </w:tc>
      </w:tr>
      <w:tr w:rsidR="005E727D" w:rsidRPr="007E00DB" w14:paraId="16F502D9" w14:textId="77777777" w:rsidTr="009D701F">
        <w:trPr>
          <w:trHeight w:val="1160"/>
        </w:trPr>
        <w:tc>
          <w:tcPr>
            <w:tcW w:w="881" w:type="pct"/>
            <w:hideMark/>
          </w:tcPr>
          <w:p w14:paraId="0FDF0946"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E2023017834_CAC</w:t>
            </w:r>
          </w:p>
        </w:tc>
        <w:tc>
          <w:tcPr>
            <w:tcW w:w="2247" w:type="pct"/>
            <w:hideMark/>
          </w:tcPr>
          <w:p w14:paraId="7A737D9F"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 xml:space="preserve">No incluye el artículo de vigencias y derogaciones, por lo que sugerimos que se indique de manera expresa, que se conservará el reconocimiento del </w:t>
            </w:r>
            <w:proofErr w:type="spellStart"/>
            <w:proofErr w:type="gramStart"/>
            <w:r w:rsidRPr="009D701F">
              <w:rPr>
                <w:rFonts w:cs="Arial"/>
                <w:color w:val="000000"/>
                <w:sz w:val="18"/>
                <w:szCs w:val="18"/>
              </w:rPr>
              <w:t>COTn,i</w:t>
            </w:r>
            <w:proofErr w:type="gramEnd"/>
            <w:r w:rsidRPr="009D701F">
              <w:rPr>
                <w:rFonts w:cs="Arial"/>
                <w:color w:val="000000"/>
                <w:sz w:val="18"/>
                <w:szCs w:val="18"/>
              </w:rPr>
              <w:t>,j,m</w:t>
            </w:r>
            <w:proofErr w:type="spellEnd"/>
            <w:r w:rsidRPr="009D701F">
              <w:rPr>
                <w:rFonts w:cs="Arial"/>
                <w:color w:val="000000"/>
                <w:sz w:val="18"/>
                <w:szCs w:val="18"/>
              </w:rPr>
              <w:t xml:space="preserve"> en caso de modificaciones de fórmula tarifaria</w:t>
            </w:r>
          </w:p>
        </w:tc>
        <w:tc>
          <w:tcPr>
            <w:tcW w:w="1872" w:type="pct"/>
            <w:hideMark/>
          </w:tcPr>
          <w:p w14:paraId="3BA729A2" w14:textId="44C1054A" w:rsidR="005E727D" w:rsidRPr="009D701F" w:rsidRDefault="005E727D" w:rsidP="005E727D">
            <w:pPr>
              <w:spacing w:before="0" w:after="0"/>
              <w:jc w:val="left"/>
              <w:rPr>
                <w:rFonts w:cs="Arial"/>
                <w:color w:val="000000"/>
                <w:sz w:val="18"/>
                <w:szCs w:val="18"/>
              </w:rPr>
            </w:pPr>
            <w:r w:rsidRPr="009D701F">
              <w:rPr>
                <w:rFonts w:cs="Arial"/>
                <w:color w:val="000000"/>
                <w:sz w:val="18"/>
                <w:szCs w:val="18"/>
              </w:rPr>
              <w:t xml:space="preserve">Se aclara que la </w:t>
            </w:r>
            <w:r w:rsidR="00C5725A" w:rsidRPr="009D701F">
              <w:rPr>
                <w:rFonts w:cs="Arial"/>
                <w:color w:val="000000"/>
                <w:sz w:val="18"/>
                <w:szCs w:val="18"/>
              </w:rPr>
              <w:t>metodología</w:t>
            </w:r>
            <w:r w:rsidRPr="009D701F">
              <w:rPr>
                <w:rFonts w:cs="Arial"/>
                <w:color w:val="000000"/>
                <w:sz w:val="18"/>
                <w:szCs w:val="18"/>
              </w:rPr>
              <w:t xml:space="preserve"> de remuneración de la comercialización a usuarios regulados contenida en la RES CREG 180 de 2014, deberá recoger los costos a remunerar en cada caso.</w:t>
            </w:r>
          </w:p>
        </w:tc>
      </w:tr>
      <w:tr w:rsidR="004D2584" w:rsidRPr="007E00DB" w14:paraId="421B3A68" w14:textId="77777777" w:rsidTr="009D701F">
        <w:trPr>
          <w:trHeight w:val="5510"/>
        </w:trPr>
        <w:tc>
          <w:tcPr>
            <w:tcW w:w="881" w:type="pct"/>
          </w:tcPr>
          <w:p w14:paraId="6BD78EF5" w14:textId="68C47127" w:rsidR="004D2584" w:rsidRPr="009D701F" w:rsidRDefault="004D2584" w:rsidP="005E727D">
            <w:pPr>
              <w:spacing w:before="0" w:after="0"/>
              <w:jc w:val="left"/>
              <w:rPr>
                <w:rFonts w:cs="Arial"/>
                <w:color w:val="000000"/>
                <w:sz w:val="18"/>
                <w:szCs w:val="18"/>
              </w:rPr>
            </w:pPr>
            <w:r w:rsidRPr="009D701F">
              <w:rPr>
                <w:rFonts w:cs="Arial"/>
                <w:color w:val="000000"/>
                <w:sz w:val="18"/>
                <w:szCs w:val="18"/>
              </w:rPr>
              <w:lastRenderedPageBreak/>
              <w:t>E2023017850_Bia Energy S.A.S. E.S.P.</w:t>
            </w:r>
          </w:p>
        </w:tc>
        <w:tc>
          <w:tcPr>
            <w:tcW w:w="2247" w:type="pct"/>
          </w:tcPr>
          <w:p w14:paraId="18F431C1" w14:textId="77777777" w:rsidR="004D2584" w:rsidRDefault="004D2584" w:rsidP="004D2584">
            <w:pPr>
              <w:shd w:val="clear" w:color="auto" w:fill="FFFFFF"/>
              <w:spacing w:before="0" w:after="0"/>
              <w:jc w:val="left"/>
              <w:rPr>
                <w:rFonts w:cs="Arial"/>
                <w:color w:val="000000"/>
                <w:sz w:val="18"/>
                <w:szCs w:val="18"/>
              </w:rPr>
            </w:pPr>
            <w:r w:rsidRPr="004D2584">
              <w:rPr>
                <w:rFonts w:cs="Arial"/>
                <w:color w:val="000000"/>
                <w:sz w:val="18"/>
                <w:szCs w:val="18"/>
              </w:rPr>
              <w:t>En primer lugar, solicitamos a la CREG que considere remitir el</w:t>
            </w:r>
            <w:r>
              <w:rPr>
                <w:rFonts w:cs="Arial"/>
                <w:color w:val="000000"/>
                <w:sz w:val="18"/>
                <w:szCs w:val="18"/>
              </w:rPr>
              <w:t xml:space="preserve"> </w:t>
            </w:r>
            <w:r w:rsidRPr="004D2584">
              <w:rPr>
                <w:rFonts w:cs="Arial"/>
                <w:color w:val="000000"/>
                <w:sz w:val="18"/>
                <w:szCs w:val="18"/>
              </w:rPr>
              <w:t xml:space="preserve">proyecto de resolución ante la </w:t>
            </w:r>
            <w:r>
              <w:rPr>
                <w:rFonts w:cs="Arial"/>
                <w:color w:val="000000"/>
                <w:sz w:val="18"/>
                <w:szCs w:val="18"/>
              </w:rPr>
              <w:t>SIC</w:t>
            </w:r>
            <w:r w:rsidRPr="004D2584">
              <w:rPr>
                <w:rFonts w:cs="Arial"/>
                <w:color w:val="000000"/>
                <w:sz w:val="18"/>
                <w:szCs w:val="18"/>
              </w:rPr>
              <w:t xml:space="preserve"> para que emita su concepto previo</w:t>
            </w:r>
            <w:r w:rsidRPr="004D2584">
              <w:rPr>
                <w:rFonts w:cs="Arial"/>
                <w:color w:val="000000"/>
                <w:sz w:val="18"/>
                <w:szCs w:val="18"/>
              </w:rPr>
              <w:br/>
              <w:t>en el marco del procedimiento de abogacía de la competencia. Para los</w:t>
            </w:r>
            <w:r>
              <w:rPr>
                <w:rFonts w:cs="Arial"/>
                <w:color w:val="000000"/>
                <w:sz w:val="18"/>
                <w:szCs w:val="18"/>
              </w:rPr>
              <w:t xml:space="preserve"> </w:t>
            </w:r>
            <w:r w:rsidRPr="004D2584">
              <w:rPr>
                <w:rFonts w:cs="Arial"/>
                <w:color w:val="000000"/>
                <w:sz w:val="18"/>
                <w:szCs w:val="18"/>
              </w:rPr>
              <w:t>agentes del mercado que no aplicaron opción tarifaria y aquellos</w:t>
            </w:r>
            <w:r w:rsidRPr="004D2584">
              <w:rPr>
                <w:rFonts w:cs="Arial"/>
                <w:color w:val="000000"/>
                <w:sz w:val="18"/>
                <w:szCs w:val="18"/>
              </w:rPr>
              <w:br/>
              <w:t>nuevos competidores potenciales es de suma relevancia que la medida</w:t>
            </w:r>
            <w:r>
              <w:rPr>
                <w:rFonts w:cs="Arial"/>
                <w:color w:val="000000"/>
                <w:sz w:val="18"/>
                <w:szCs w:val="18"/>
              </w:rPr>
              <w:t xml:space="preserve"> </w:t>
            </w:r>
            <w:r w:rsidRPr="004D2584">
              <w:rPr>
                <w:rFonts w:cs="Arial"/>
                <w:color w:val="000000"/>
                <w:sz w:val="18"/>
                <w:szCs w:val="18"/>
              </w:rPr>
              <w:t>de recuperación de saldos acumulados planteada por la CREG no tenga</w:t>
            </w:r>
            <w:r>
              <w:rPr>
                <w:rFonts w:cs="Arial"/>
                <w:color w:val="000000"/>
                <w:sz w:val="18"/>
                <w:szCs w:val="18"/>
              </w:rPr>
              <w:t xml:space="preserve"> </w:t>
            </w:r>
            <w:r w:rsidRPr="004D2584">
              <w:rPr>
                <w:rFonts w:cs="Arial"/>
                <w:color w:val="000000"/>
                <w:sz w:val="18"/>
                <w:szCs w:val="18"/>
              </w:rPr>
              <w:t xml:space="preserve">ninguna incidencia en la libre competencia, más </w:t>
            </w:r>
            <w:proofErr w:type="spellStart"/>
            <w:r w:rsidRPr="004D2584">
              <w:rPr>
                <w:rFonts w:cs="Arial"/>
                <w:color w:val="000000"/>
                <w:sz w:val="18"/>
                <w:szCs w:val="18"/>
              </w:rPr>
              <w:t>aún</w:t>
            </w:r>
            <w:proofErr w:type="spellEnd"/>
            <w:r w:rsidRPr="004D2584">
              <w:rPr>
                <w:rFonts w:cs="Arial"/>
                <w:color w:val="000000"/>
                <w:sz w:val="18"/>
                <w:szCs w:val="18"/>
              </w:rPr>
              <w:t xml:space="preserve"> considerando que</w:t>
            </w:r>
            <w:r w:rsidRPr="004D2584">
              <w:rPr>
                <w:rFonts w:cs="Arial"/>
                <w:color w:val="000000"/>
                <w:sz w:val="18"/>
                <w:szCs w:val="18"/>
              </w:rPr>
              <w:br/>
              <w:t>los agentes que han aplicado OT son los competidores con mayor</w:t>
            </w:r>
            <w:r>
              <w:rPr>
                <w:rFonts w:cs="Arial"/>
                <w:color w:val="000000"/>
                <w:sz w:val="18"/>
                <w:szCs w:val="18"/>
              </w:rPr>
              <w:t xml:space="preserve"> p</w:t>
            </w:r>
            <w:r w:rsidRPr="004D2584">
              <w:rPr>
                <w:rFonts w:cs="Arial"/>
                <w:color w:val="000000"/>
                <w:sz w:val="18"/>
                <w:szCs w:val="18"/>
              </w:rPr>
              <w:t xml:space="preserve">oder de mercado. </w:t>
            </w:r>
          </w:p>
          <w:p w14:paraId="181993A1" w14:textId="77777777" w:rsidR="004D2584" w:rsidRDefault="004D2584" w:rsidP="004D2584">
            <w:pPr>
              <w:shd w:val="clear" w:color="auto" w:fill="FFFFFF"/>
              <w:spacing w:before="0" w:after="0"/>
              <w:jc w:val="left"/>
              <w:rPr>
                <w:rFonts w:cs="Arial"/>
                <w:color w:val="000000"/>
                <w:sz w:val="18"/>
                <w:szCs w:val="18"/>
              </w:rPr>
            </w:pPr>
          </w:p>
          <w:p w14:paraId="44390865" w14:textId="77777777" w:rsidR="004D2584" w:rsidRDefault="004D2584" w:rsidP="004D2584">
            <w:pPr>
              <w:shd w:val="clear" w:color="auto" w:fill="FFFFFF"/>
              <w:spacing w:before="0" w:after="0"/>
              <w:jc w:val="left"/>
              <w:rPr>
                <w:rFonts w:cs="Arial"/>
                <w:color w:val="000000"/>
                <w:sz w:val="18"/>
                <w:szCs w:val="18"/>
              </w:rPr>
            </w:pPr>
            <w:r w:rsidRPr="004D2584">
              <w:rPr>
                <w:rFonts w:cs="Arial"/>
                <w:color w:val="000000"/>
                <w:sz w:val="18"/>
                <w:szCs w:val="18"/>
              </w:rPr>
              <w:t>De forma preliminar hemos evidenciado que el</w:t>
            </w:r>
            <w:r w:rsidRPr="004D2584">
              <w:rPr>
                <w:rFonts w:cs="Arial"/>
                <w:color w:val="000000"/>
                <w:sz w:val="18"/>
                <w:szCs w:val="18"/>
              </w:rPr>
              <w:br/>
              <w:t>proyecto de resolución se debe someter a abogacía de la competencia,</w:t>
            </w:r>
            <w:r>
              <w:rPr>
                <w:rFonts w:cs="Arial"/>
                <w:color w:val="000000"/>
                <w:sz w:val="18"/>
                <w:szCs w:val="18"/>
              </w:rPr>
              <w:t xml:space="preserve"> </w:t>
            </w:r>
            <w:r w:rsidRPr="004D2584">
              <w:rPr>
                <w:rFonts w:cs="Arial"/>
                <w:color w:val="000000"/>
                <w:sz w:val="18"/>
                <w:szCs w:val="18"/>
              </w:rPr>
              <w:t>por lo siguiente:</w:t>
            </w:r>
            <w:r w:rsidRPr="004D2584">
              <w:rPr>
                <w:rFonts w:cs="Arial"/>
                <w:color w:val="000000"/>
                <w:sz w:val="18"/>
                <w:szCs w:val="18"/>
              </w:rPr>
              <w:br/>
            </w:r>
          </w:p>
          <w:p w14:paraId="655DE549" w14:textId="5E32216C" w:rsidR="004D2584" w:rsidRDefault="004D2584" w:rsidP="004D2584">
            <w:pPr>
              <w:shd w:val="clear" w:color="auto" w:fill="FFFFFF"/>
              <w:spacing w:before="0" w:after="0"/>
              <w:jc w:val="left"/>
              <w:rPr>
                <w:rFonts w:cs="Arial"/>
                <w:color w:val="000000"/>
                <w:sz w:val="18"/>
                <w:szCs w:val="18"/>
              </w:rPr>
            </w:pPr>
            <w:r w:rsidRPr="004D2584">
              <w:rPr>
                <w:rFonts w:cs="Arial"/>
                <w:color w:val="000000"/>
                <w:sz w:val="18"/>
                <w:szCs w:val="18"/>
              </w:rPr>
              <w:t>● Posible restricción a la libre competencia respecto de competidores</w:t>
            </w:r>
            <w:r>
              <w:rPr>
                <w:rFonts w:cs="Arial"/>
                <w:color w:val="000000"/>
                <w:sz w:val="18"/>
                <w:szCs w:val="18"/>
              </w:rPr>
              <w:t xml:space="preserve"> </w:t>
            </w:r>
            <w:r w:rsidRPr="004D2584">
              <w:rPr>
                <w:rFonts w:cs="Arial"/>
                <w:color w:val="000000"/>
                <w:sz w:val="18"/>
                <w:szCs w:val="18"/>
              </w:rPr>
              <w:t>existentes al momento de expedición de la Resolución. Al no permitir a</w:t>
            </w:r>
            <w:r>
              <w:rPr>
                <w:rFonts w:cs="Arial"/>
                <w:color w:val="000000"/>
                <w:sz w:val="18"/>
                <w:szCs w:val="18"/>
              </w:rPr>
              <w:t xml:space="preserve"> </w:t>
            </w:r>
            <w:r w:rsidRPr="004D2584">
              <w:rPr>
                <w:rFonts w:cs="Arial"/>
                <w:color w:val="000000"/>
                <w:sz w:val="18"/>
                <w:szCs w:val="18"/>
              </w:rPr>
              <w:t>las empresas libremente recuperar sus SA de acuerdo con su</w:t>
            </w:r>
            <w:r w:rsidRPr="004D2584">
              <w:rPr>
                <w:rFonts w:cs="Arial"/>
                <w:color w:val="000000"/>
                <w:sz w:val="18"/>
                <w:szCs w:val="18"/>
              </w:rPr>
              <w:br/>
              <w:t>estrategia de mercado y competitividad, habría desigualdad en los</w:t>
            </w:r>
            <w:r>
              <w:rPr>
                <w:rFonts w:cs="Arial"/>
                <w:color w:val="000000"/>
                <w:sz w:val="18"/>
                <w:szCs w:val="18"/>
              </w:rPr>
              <w:t xml:space="preserve"> </w:t>
            </w:r>
            <w:r w:rsidRPr="004D2584">
              <w:rPr>
                <w:rFonts w:cs="Arial"/>
                <w:color w:val="000000"/>
                <w:sz w:val="18"/>
                <w:szCs w:val="18"/>
              </w:rPr>
              <w:t>incrementos de todos los mercados, haciendo que algunos puedan</w:t>
            </w:r>
            <w:r w:rsidRPr="004D2584">
              <w:rPr>
                <w:rFonts w:cs="Arial"/>
                <w:color w:val="000000"/>
                <w:sz w:val="18"/>
                <w:szCs w:val="18"/>
              </w:rPr>
              <w:br/>
              <w:t>recuperar en cuestión de meses, mientras que otros podrían durar</w:t>
            </w:r>
            <w:r>
              <w:rPr>
                <w:rFonts w:cs="Arial"/>
                <w:color w:val="000000"/>
                <w:sz w:val="18"/>
                <w:szCs w:val="18"/>
              </w:rPr>
              <w:t xml:space="preserve"> </w:t>
            </w:r>
            <w:r w:rsidRPr="004D2584">
              <w:rPr>
                <w:rFonts w:cs="Arial"/>
                <w:color w:val="000000"/>
                <w:sz w:val="18"/>
                <w:szCs w:val="18"/>
              </w:rPr>
              <w:t>años en recuperar.</w:t>
            </w:r>
            <w:r w:rsidRPr="004D2584">
              <w:rPr>
                <w:rFonts w:cs="Arial"/>
                <w:color w:val="000000"/>
                <w:sz w:val="18"/>
                <w:szCs w:val="18"/>
              </w:rPr>
              <w:br/>
            </w:r>
          </w:p>
          <w:p w14:paraId="713083CB" w14:textId="77777777" w:rsidR="004D2584" w:rsidRDefault="004D2584" w:rsidP="004D2584">
            <w:pPr>
              <w:shd w:val="clear" w:color="auto" w:fill="FFFFFF"/>
              <w:spacing w:before="0" w:after="0"/>
              <w:jc w:val="left"/>
              <w:rPr>
                <w:rFonts w:cs="Arial"/>
                <w:color w:val="000000"/>
                <w:sz w:val="18"/>
                <w:szCs w:val="18"/>
              </w:rPr>
            </w:pPr>
            <w:r w:rsidRPr="004D2584">
              <w:rPr>
                <w:rFonts w:cs="Arial"/>
                <w:color w:val="000000"/>
                <w:sz w:val="18"/>
                <w:szCs w:val="18"/>
              </w:rPr>
              <w:t>● Posible restricción a la libre competencia respecto de competidores</w:t>
            </w:r>
            <w:r>
              <w:rPr>
                <w:rFonts w:cs="Arial"/>
                <w:color w:val="000000"/>
                <w:sz w:val="18"/>
                <w:szCs w:val="18"/>
              </w:rPr>
              <w:t xml:space="preserve"> </w:t>
            </w:r>
            <w:r w:rsidRPr="004D2584">
              <w:rPr>
                <w:rFonts w:cs="Arial"/>
                <w:color w:val="000000"/>
                <w:sz w:val="18"/>
                <w:szCs w:val="18"/>
              </w:rPr>
              <w:t>potenciales. El mercado de energía tiene un crecimiento exponencial</w:t>
            </w:r>
            <w:r>
              <w:rPr>
                <w:rFonts w:cs="Arial"/>
                <w:color w:val="000000"/>
                <w:sz w:val="18"/>
                <w:szCs w:val="18"/>
              </w:rPr>
              <w:t xml:space="preserve"> </w:t>
            </w:r>
            <w:r w:rsidRPr="004D2584">
              <w:rPr>
                <w:rFonts w:cs="Arial"/>
                <w:color w:val="000000"/>
                <w:sz w:val="18"/>
                <w:szCs w:val="18"/>
              </w:rPr>
              <w:t>de competidores que atraen a los usuarios que prefieren soluciones</w:t>
            </w:r>
            <w:r w:rsidRPr="004D2584">
              <w:rPr>
                <w:rFonts w:cs="Arial"/>
                <w:color w:val="000000"/>
                <w:sz w:val="18"/>
                <w:szCs w:val="18"/>
              </w:rPr>
              <w:br/>
              <w:t>tecnológicas antes que mantener el servicio con el comercializador</w:t>
            </w:r>
            <w:r>
              <w:rPr>
                <w:rFonts w:cs="Arial"/>
                <w:color w:val="000000"/>
                <w:sz w:val="18"/>
                <w:szCs w:val="18"/>
              </w:rPr>
              <w:t xml:space="preserve"> </w:t>
            </w:r>
            <w:r w:rsidRPr="004D2584">
              <w:rPr>
                <w:rFonts w:cs="Arial"/>
                <w:color w:val="000000"/>
                <w:sz w:val="18"/>
                <w:szCs w:val="18"/>
              </w:rPr>
              <w:t>incumbente. Si un potencial competidor quiere ingresar a un mercado</w:t>
            </w:r>
            <w:r>
              <w:rPr>
                <w:rFonts w:cs="Arial"/>
                <w:color w:val="000000"/>
                <w:sz w:val="18"/>
                <w:szCs w:val="18"/>
              </w:rPr>
              <w:t xml:space="preserve"> </w:t>
            </w:r>
            <w:r w:rsidRPr="004D2584">
              <w:rPr>
                <w:rFonts w:cs="Arial"/>
                <w:color w:val="000000"/>
                <w:sz w:val="18"/>
                <w:szCs w:val="18"/>
              </w:rPr>
              <w:t>de comercialización, sin la medida propuesta por la Resolución,</w:t>
            </w:r>
            <w:r w:rsidRPr="004D2584">
              <w:rPr>
                <w:rFonts w:cs="Arial"/>
                <w:color w:val="000000"/>
                <w:sz w:val="18"/>
                <w:szCs w:val="18"/>
              </w:rPr>
              <w:br/>
              <w:t>únicamente debe tener capacidad financiera, operativa y</w:t>
            </w:r>
            <w:r>
              <w:rPr>
                <w:rFonts w:cs="Arial"/>
                <w:color w:val="000000"/>
                <w:sz w:val="18"/>
                <w:szCs w:val="18"/>
              </w:rPr>
              <w:t xml:space="preserve"> </w:t>
            </w:r>
            <w:r w:rsidRPr="004D2584">
              <w:rPr>
                <w:rFonts w:cs="Arial"/>
                <w:color w:val="000000"/>
                <w:sz w:val="18"/>
                <w:szCs w:val="18"/>
              </w:rPr>
              <w:t>administrativa para llevar a cabo las actividades de facturación y</w:t>
            </w:r>
            <w:r w:rsidRPr="004D2584">
              <w:rPr>
                <w:rFonts w:cs="Arial"/>
                <w:color w:val="000000"/>
                <w:sz w:val="18"/>
                <w:szCs w:val="18"/>
              </w:rPr>
              <w:br/>
              <w:t>recaudo propias. Con la medida propuesta por la Resolución, los costos</w:t>
            </w:r>
            <w:r>
              <w:rPr>
                <w:rFonts w:cs="Arial"/>
                <w:color w:val="000000"/>
                <w:sz w:val="18"/>
                <w:szCs w:val="18"/>
              </w:rPr>
              <w:t xml:space="preserve"> </w:t>
            </w:r>
            <w:r w:rsidRPr="004D2584">
              <w:rPr>
                <w:rFonts w:cs="Arial"/>
                <w:color w:val="000000"/>
                <w:sz w:val="18"/>
                <w:szCs w:val="18"/>
              </w:rPr>
              <w:t>de prestación aumentan al tener que incluir en su capacidad</w:t>
            </w:r>
            <w:r w:rsidRPr="004D2584">
              <w:rPr>
                <w:rFonts w:cs="Arial"/>
                <w:color w:val="000000"/>
                <w:sz w:val="18"/>
                <w:szCs w:val="18"/>
              </w:rPr>
              <w:br/>
              <w:t>financiera, operativa y administrativa el recaudo de un componente</w:t>
            </w:r>
            <w:r>
              <w:rPr>
                <w:rFonts w:cs="Arial"/>
                <w:color w:val="000000"/>
                <w:sz w:val="18"/>
                <w:szCs w:val="18"/>
              </w:rPr>
              <w:t xml:space="preserve"> </w:t>
            </w:r>
            <w:r w:rsidRPr="004D2584">
              <w:rPr>
                <w:rFonts w:cs="Arial"/>
                <w:color w:val="000000"/>
                <w:sz w:val="18"/>
                <w:szCs w:val="18"/>
              </w:rPr>
              <w:t>que será trasladado a otro comercializador que recibe una</w:t>
            </w:r>
            <w:r>
              <w:rPr>
                <w:rFonts w:cs="Arial"/>
                <w:color w:val="000000"/>
                <w:sz w:val="18"/>
                <w:szCs w:val="18"/>
              </w:rPr>
              <w:t xml:space="preserve"> </w:t>
            </w:r>
            <w:r w:rsidRPr="004D2584">
              <w:rPr>
                <w:rFonts w:cs="Arial"/>
                <w:color w:val="000000"/>
                <w:sz w:val="18"/>
                <w:szCs w:val="18"/>
              </w:rPr>
              <w:t>remuneración por el recaudo, sin que en la práctica lleve a cabo el</w:t>
            </w:r>
            <w:r>
              <w:rPr>
                <w:rFonts w:cs="Arial"/>
                <w:color w:val="000000"/>
                <w:sz w:val="18"/>
                <w:szCs w:val="18"/>
              </w:rPr>
              <w:t xml:space="preserve"> </w:t>
            </w:r>
            <w:r w:rsidRPr="004D2584">
              <w:rPr>
                <w:rFonts w:cs="Arial"/>
                <w:color w:val="000000"/>
                <w:sz w:val="18"/>
                <w:szCs w:val="18"/>
              </w:rPr>
              <w:t>recaudo a todos sus usuarios.</w:t>
            </w:r>
          </w:p>
          <w:p w14:paraId="47943322" w14:textId="74298222" w:rsidR="004D2584" w:rsidRPr="004D2584" w:rsidRDefault="004D2584" w:rsidP="004D2584">
            <w:pPr>
              <w:shd w:val="clear" w:color="auto" w:fill="FFFFFF"/>
              <w:spacing w:before="0" w:after="0"/>
              <w:jc w:val="left"/>
              <w:rPr>
                <w:rFonts w:cs="Arial"/>
                <w:color w:val="000000"/>
                <w:sz w:val="18"/>
                <w:szCs w:val="18"/>
              </w:rPr>
            </w:pPr>
            <w:r w:rsidRPr="004D2584">
              <w:rPr>
                <w:rFonts w:cs="Arial"/>
                <w:color w:val="000000"/>
                <w:sz w:val="18"/>
                <w:szCs w:val="18"/>
              </w:rPr>
              <w:br/>
              <w:t>Por lo anterior, es trascendental conocer la opinión de la autoridad única de</w:t>
            </w:r>
            <w:r>
              <w:rPr>
                <w:rFonts w:cs="Arial"/>
                <w:color w:val="000000"/>
                <w:sz w:val="18"/>
                <w:szCs w:val="18"/>
              </w:rPr>
              <w:t xml:space="preserve"> </w:t>
            </w:r>
            <w:r w:rsidRPr="004D2584">
              <w:rPr>
                <w:rFonts w:cs="Arial"/>
                <w:color w:val="000000"/>
                <w:sz w:val="18"/>
                <w:szCs w:val="18"/>
              </w:rPr>
              <w:t>competencia del país. Adicionalmente, es necesario evitar vicios de</w:t>
            </w:r>
            <w:r>
              <w:rPr>
                <w:rFonts w:cs="Arial"/>
                <w:color w:val="000000"/>
                <w:sz w:val="18"/>
                <w:szCs w:val="18"/>
              </w:rPr>
              <w:t xml:space="preserve"> </w:t>
            </w:r>
            <w:r w:rsidRPr="004D2584">
              <w:rPr>
                <w:rFonts w:cs="Arial"/>
                <w:color w:val="000000"/>
                <w:sz w:val="18"/>
                <w:szCs w:val="18"/>
              </w:rPr>
              <w:t>procedimiento en la norma que impliquen una declaratoria de nulidad</w:t>
            </w:r>
            <w:r w:rsidRPr="004D2584">
              <w:rPr>
                <w:rFonts w:cs="Arial"/>
                <w:color w:val="000000"/>
                <w:sz w:val="18"/>
                <w:szCs w:val="18"/>
              </w:rPr>
              <w:br/>
              <w:t xml:space="preserve">posterior. Como se mencionó al inicio de la </w:t>
            </w:r>
            <w:r w:rsidRPr="004D2584">
              <w:rPr>
                <w:rFonts w:cs="Arial"/>
                <w:color w:val="000000"/>
                <w:sz w:val="18"/>
                <w:szCs w:val="18"/>
              </w:rPr>
              <w:lastRenderedPageBreak/>
              <w:t>comunicación, entendemos la</w:t>
            </w:r>
            <w:r>
              <w:rPr>
                <w:rFonts w:cs="Arial"/>
                <w:color w:val="000000"/>
                <w:sz w:val="18"/>
                <w:szCs w:val="18"/>
              </w:rPr>
              <w:t xml:space="preserve"> </w:t>
            </w:r>
            <w:r w:rsidRPr="004D2584">
              <w:rPr>
                <w:rFonts w:cs="Arial"/>
                <w:color w:val="000000"/>
                <w:sz w:val="18"/>
                <w:szCs w:val="18"/>
              </w:rPr>
              <w:t>importancia de la medida propuesta y sería un esfuerzo que no tendría el</w:t>
            </w:r>
            <w:r>
              <w:rPr>
                <w:rFonts w:cs="Arial"/>
                <w:color w:val="000000"/>
                <w:sz w:val="18"/>
                <w:szCs w:val="18"/>
              </w:rPr>
              <w:t xml:space="preserve"> </w:t>
            </w:r>
            <w:r w:rsidRPr="004D2584">
              <w:rPr>
                <w:rFonts w:cs="Arial"/>
                <w:color w:val="000000"/>
                <w:sz w:val="18"/>
                <w:szCs w:val="18"/>
              </w:rPr>
              <w:t>resultado esperado en caso de que se ponga en entredicho la legalidad de la</w:t>
            </w:r>
            <w:r w:rsidRPr="004D2584">
              <w:rPr>
                <w:rFonts w:cs="Arial"/>
                <w:color w:val="000000"/>
                <w:sz w:val="18"/>
                <w:szCs w:val="18"/>
              </w:rPr>
              <w:br/>
              <w:t>norma por no haber agotado la abogacía de la competencia.</w:t>
            </w:r>
          </w:p>
        </w:tc>
        <w:tc>
          <w:tcPr>
            <w:tcW w:w="1872" w:type="pct"/>
          </w:tcPr>
          <w:p w14:paraId="1B7A6902" w14:textId="77777777" w:rsidR="004D2584" w:rsidRPr="009D701F" w:rsidRDefault="004D2584" w:rsidP="005E727D">
            <w:pPr>
              <w:spacing w:before="0" w:after="0"/>
              <w:jc w:val="left"/>
              <w:rPr>
                <w:rFonts w:cs="Arial"/>
                <w:color w:val="000000"/>
                <w:sz w:val="18"/>
                <w:szCs w:val="18"/>
              </w:rPr>
            </w:pPr>
          </w:p>
        </w:tc>
      </w:tr>
      <w:tr w:rsidR="005E727D" w:rsidRPr="007E00DB" w14:paraId="1E68332F" w14:textId="77777777" w:rsidTr="009D701F">
        <w:trPr>
          <w:trHeight w:val="5510"/>
        </w:trPr>
        <w:tc>
          <w:tcPr>
            <w:tcW w:w="881" w:type="pct"/>
            <w:hideMark/>
          </w:tcPr>
          <w:p w14:paraId="507AEDE3"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E2023017850_Bia Energy S.A.S. E.S.P.</w:t>
            </w:r>
          </w:p>
        </w:tc>
        <w:tc>
          <w:tcPr>
            <w:tcW w:w="2247" w:type="pct"/>
            <w:hideMark/>
          </w:tcPr>
          <w:p w14:paraId="1704FA01"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Consideramos necesario que la regulación a cargo de la CREG tenga cohesión con la política pública a cargo del Ministerio de Minas y Energía. Por lo anterior, es importante que en las consideraciones sea incluido el Decreto 929 de 2023 en el cual se dan lineamientos de justicia tarifaria y se estableció techo a las Opciones Tarifarias ("OT"). Como consecuencia, el proyecto de resolución no debería cerrar la posibilidad de que los comercializadores que nunca han aplicado OT o aquellos nuevos agentes en el mercado puedan volver a retomar libremente lo indicado en la Resolución CREG 012 de 2020, esto es, que se permita a las empresas incluir un Porcentaje de Variación PV acorde con su estrategia empresarial de manera que se permita un incremento una única vez de $X/kWh para poder lograr recuperación de saldos, antes de cambiar la metodología de cálculo del Cu o de alguna de sus componentes.</w:t>
            </w:r>
            <w:r w:rsidRPr="009D701F">
              <w:rPr>
                <w:rFonts w:cs="Arial"/>
                <w:color w:val="000000"/>
                <w:sz w:val="18"/>
                <w:szCs w:val="18"/>
              </w:rPr>
              <w:br/>
            </w:r>
            <w:r w:rsidRPr="009D701F">
              <w:rPr>
                <w:rFonts w:cs="Arial"/>
                <w:color w:val="000000"/>
                <w:sz w:val="18"/>
                <w:szCs w:val="18"/>
              </w:rPr>
              <w:br/>
              <w:t>Incluir en la parte considerativa la política de justicia tarifaria y, como consecuencia de lo anterior, incluir en la parte resolutiva la posibilidad de que los agentes puedan volver a aplicar la Resolución CREG 012 de 2020.</w:t>
            </w:r>
          </w:p>
        </w:tc>
        <w:tc>
          <w:tcPr>
            <w:tcW w:w="1872" w:type="pct"/>
            <w:hideMark/>
          </w:tcPr>
          <w:p w14:paraId="34F7B85A" w14:textId="3D6267DB" w:rsidR="005E727D" w:rsidRPr="009D701F" w:rsidRDefault="005E727D" w:rsidP="005E727D">
            <w:pPr>
              <w:spacing w:before="0" w:after="0"/>
              <w:jc w:val="left"/>
              <w:rPr>
                <w:rFonts w:cs="Arial"/>
                <w:color w:val="000000"/>
                <w:sz w:val="18"/>
                <w:szCs w:val="18"/>
              </w:rPr>
            </w:pPr>
            <w:r w:rsidRPr="009D701F">
              <w:rPr>
                <w:rFonts w:cs="Arial"/>
                <w:color w:val="000000"/>
                <w:sz w:val="18"/>
                <w:szCs w:val="18"/>
              </w:rPr>
              <w:t>Esta resolución no limita la aplicación de la 012 de 2020. Independientemente de que un agente se acoja a lo establecido en esta resolución o no, podrá aplicar la resolución CREG 012 de 2020 posteriormente a la vigencia de la resolución de mutuo acuerdo.</w:t>
            </w:r>
            <w:r w:rsidRPr="009D701F">
              <w:rPr>
                <w:rFonts w:cs="Arial"/>
                <w:color w:val="000000"/>
                <w:sz w:val="18"/>
                <w:szCs w:val="18"/>
              </w:rPr>
              <w:br/>
            </w:r>
            <w:r w:rsidRPr="009D701F">
              <w:rPr>
                <w:rFonts w:cs="Arial"/>
                <w:color w:val="000000"/>
                <w:sz w:val="18"/>
                <w:szCs w:val="18"/>
              </w:rPr>
              <w:br/>
              <w:t>Adicionalmente, con el objetivo de que los comercializadores</w:t>
            </w:r>
            <w:r w:rsidR="007857EA" w:rsidRPr="009D701F">
              <w:rPr>
                <w:rFonts w:cs="Arial"/>
                <w:color w:val="000000"/>
                <w:sz w:val="18"/>
                <w:szCs w:val="18"/>
              </w:rPr>
              <w:t xml:space="preserve"> que no se acojan</w:t>
            </w:r>
            <w:r w:rsidR="007B5066" w:rsidRPr="009D701F">
              <w:rPr>
                <w:rFonts w:cs="Arial"/>
                <w:color w:val="000000"/>
                <w:sz w:val="18"/>
                <w:szCs w:val="18"/>
              </w:rPr>
              <w:t xml:space="preserve"> al mutuo acuerdo</w:t>
            </w:r>
            <w:r w:rsidRPr="009D701F">
              <w:rPr>
                <w:rFonts w:cs="Arial"/>
                <w:color w:val="000000"/>
                <w:sz w:val="18"/>
                <w:szCs w:val="18"/>
              </w:rPr>
              <w:t xml:space="preserve"> puedan continuar aplicando la Resolución 012 de 2020 se establece un porcentaje de variación </w:t>
            </w:r>
            <w:r w:rsidR="007B5066" w:rsidRPr="009D701F">
              <w:rPr>
                <w:rFonts w:cs="Arial"/>
                <w:color w:val="000000"/>
                <w:sz w:val="18"/>
                <w:szCs w:val="18"/>
              </w:rPr>
              <w:t xml:space="preserve">máxima </w:t>
            </w:r>
            <w:r w:rsidRPr="009D701F">
              <w:rPr>
                <w:rFonts w:cs="Arial"/>
                <w:color w:val="000000"/>
                <w:sz w:val="18"/>
                <w:szCs w:val="18"/>
              </w:rPr>
              <w:t>de 0,9*IPC</w:t>
            </w:r>
            <w:r w:rsidR="003E3335" w:rsidRPr="009D701F">
              <w:rPr>
                <w:rFonts w:cs="Arial"/>
                <w:color w:val="000000"/>
                <w:sz w:val="18"/>
                <w:szCs w:val="18"/>
              </w:rPr>
              <w:t xml:space="preserve"> para que los usuarios mantengan una tarifa más estable durante los 12 meses siguientes</w:t>
            </w:r>
            <w:r w:rsidRPr="009D701F">
              <w:rPr>
                <w:rFonts w:cs="Arial"/>
                <w:color w:val="000000"/>
                <w:sz w:val="18"/>
                <w:szCs w:val="18"/>
              </w:rPr>
              <w:t>.</w:t>
            </w:r>
          </w:p>
        </w:tc>
      </w:tr>
      <w:tr w:rsidR="005E727D" w:rsidRPr="007E00DB" w14:paraId="66AF946C" w14:textId="77777777" w:rsidTr="009D701F">
        <w:trPr>
          <w:trHeight w:val="53"/>
        </w:trPr>
        <w:tc>
          <w:tcPr>
            <w:tcW w:w="881" w:type="pct"/>
            <w:hideMark/>
          </w:tcPr>
          <w:p w14:paraId="1E80476D"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E2023017850_Bia Energy S.A.S. E.S.P.</w:t>
            </w:r>
          </w:p>
        </w:tc>
        <w:tc>
          <w:tcPr>
            <w:tcW w:w="2247" w:type="pct"/>
            <w:hideMark/>
          </w:tcPr>
          <w:p w14:paraId="3A40E0A9"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 xml:space="preserve">Debe tenerse en cuenta por la CREG que la mayoría de comercializadores minoristas no integrados y algunos comercializadores </w:t>
            </w:r>
            <w:r w:rsidRPr="009D701F">
              <w:rPr>
                <w:rFonts w:cs="Arial"/>
                <w:color w:val="000000"/>
                <w:sz w:val="18"/>
                <w:szCs w:val="18"/>
              </w:rPr>
              <w:lastRenderedPageBreak/>
              <w:t xml:space="preserve">incumbentes lograron la recuperación de saldos de forma exitosa, una vez se permitió estratégicamente mover el PV, equilibrando entre los incrementos a los usuarios y la necesidad de flujo de caja.                                                                                                          Adicionalmente, se observa que de no acogerse el comentario y mantenerse como única alternativa de recuperación de saldos la prevista en la Resolución CREG 701 023 de 2023 se estaría obligando a los comercializadores puros a realizar un cobro nuevamente, para recuperar saldos de incumbentes, que lamentablemente por sus condiciones propias tuvieron un retraso en esa recuperación. </w:t>
            </w:r>
          </w:p>
        </w:tc>
        <w:tc>
          <w:tcPr>
            <w:tcW w:w="1872" w:type="pct"/>
            <w:hideMark/>
          </w:tcPr>
          <w:p w14:paraId="65F798D8" w14:textId="0337149B" w:rsidR="005E727D" w:rsidRPr="009D701F" w:rsidRDefault="005E727D" w:rsidP="005E727D">
            <w:pPr>
              <w:spacing w:before="0" w:after="0"/>
              <w:jc w:val="left"/>
              <w:rPr>
                <w:rFonts w:cs="Arial"/>
                <w:color w:val="000000"/>
                <w:sz w:val="18"/>
                <w:szCs w:val="18"/>
              </w:rPr>
            </w:pPr>
            <w:r w:rsidRPr="009D701F">
              <w:rPr>
                <w:rFonts w:cs="Arial"/>
                <w:color w:val="000000"/>
                <w:sz w:val="18"/>
                <w:szCs w:val="18"/>
              </w:rPr>
              <w:lastRenderedPageBreak/>
              <w:t xml:space="preserve">Se aclara que los usuarios de comercializadores que ya recuperaron el saldo de la </w:t>
            </w:r>
            <w:r w:rsidR="00C5725A" w:rsidRPr="009D701F">
              <w:rPr>
                <w:rFonts w:cs="Arial"/>
                <w:color w:val="000000"/>
                <w:sz w:val="18"/>
                <w:szCs w:val="18"/>
              </w:rPr>
              <w:t>opción</w:t>
            </w:r>
            <w:r w:rsidRPr="009D701F">
              <w:rPr>
                <w:rFonts w:cs="Arial"/>
                <w:color w:val="000000"/>
                <w:sz w:val="18"/>
                <w:szCs w:val="18"/>
              </w:rPr>
              <w:t xml:space="preserve"> tarifaria no son </w:t>
            </w:r>
            <w:r w:rsidR="00C5725A" w:rsidRPr="009D701F">
              <w:rPr>
                <w:rFonts w:cs="Arial"/>
                <w:color w:val="000000"/>
                <w:sz w:val="18"/>
                <w:szCs w:val="18"/>
              </w:rPr>
              <w:lastRenderedPageBreak/>
              <w:t>objeto</w:t>
            </w:r>
            <w:r w:rsidRPr="009D701F">
              <w:rPr>
                <w:rFonts w:cs="Arial"/>
                <w:color w:val="000000"/>
                <w:sz w:val="18"/>
                <w:szCs w:val="18"/>
              </w:rPr>
              <w:t xml:space="preserve"> del mutuo acuerdo y </w:t>
            </w:r>
            <w:r w:rsidR="00BB26CB" w:rsidRPr="009D701F">
              <w:rPr>
                <w:rFonts w:cs="Arial"/>
                <w:color w:val="000000"/>
                <w:sz w:val="18"/>
                <w:szCs w:val="18"/>
              </w:rPr>
              <w:t>tampoco</w:t>
            </w:r>
            <w:r w:rsidRPr="009D701F">
              <w:rPr>
                <w:rFonts w:cs="Arial"/>
                <w:color w:val="000000"/>
                <w:sz w:val="18"/>
                <w:szCs w:val="18"/>
              </w:rPr>
              <w:t xml:space="preserve"> deben asumir el costo del COT.</w:t>
            </w:r>
          </w:p>
        </w:tc>
      </w:tr>
      <w:tr w:rsidR="005E727D" w:rsidRPr="007E00DB" w14:paraId="1FF727FF" w14:textId="77777777" w:rsidTr="009D701F">
        <w:trPr>
          <w:trHeight w:val="53"/>
        </w:trPr>
        <w:tc>
          <w:tcPr>
            <w:tcW w:w="881" w:type="pct"/>
            <w:hideMark/>
          </w:tcPr>
          <w:p w14:paraId="78DDDA08"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lastRenderedPageBreak/>
              <w:t>E2023017850_Bia Energy S.A.S. E.S.P.</w:t>
            </w:r>
          </w:p>
        </w:tc>
        <w:tc>
          <w:tcPr>
            <w:tcW w:w="2247" w:type="pct"/>
            <w:hideMark/>
          </w:tcPr>
          <w:p w14:paraId="72026D33" w14:textId="2B579973" w:rsidR="005E727D" w:rsidRPr="009D701F" w:rsidRDefault="005E727D" w:rsidP="005E727D">
            <w:pPr>
              <w:spacing w:before="0" w:after="0"/>
              <w:jc w:val="left"/>
              <w:rPr>
                <w:rFonts w:cs="Arial"/>
                <w:color w:val="000000"/>
                <w:sz w:val="18"/>
                <w:szCs w:val="18"/>
              </w:rPr>
            </w:pPr>
            <w:r w:rsidRPr="009D701F">
              <w:rPr>
                <w:rFonts w:cs="Arial"/>
                <w:color w:val="000000"/>
                <w:sz w:val="18"/>
                <w:szCs w:val="18"/>
              </w:rPr>
              <w:t xml:space="preserve">Se solicita a la CREG aclarar a partir de </w:t>
            </w:r>
            <w:r w:rsidR="00C5725A" w:rsidRPr="009D701F">
              <w:rPr>
                <w:rFonts w:cs="Arial"/>
                <w:color w:val="000000"/>
                <w:sz w:val="18"/>
                <w:szCs w:val="18"/>
              </w:rPr>
              <w:t>cuándo</w:t>
            </w:r>
            <w:r w:rsidRPr="009D701F">
              <w:rPr>
                <w:rFonts w:cs="Arial"/>
                <w:color w:val="000000"/>
                <w:sz w:val="18"/>
                <w:szCs w:val="18"/>
              </w:rPr>
              <w:t xml:space="preserve"> será vinculante para los demás agentes el recaudo del COT de los comercializadores que se acojan a la medida de recuperación de saldos. En particular, se solicita esclarecer si la facturación y recaudo del COT será ¿A partir de que el comercializador que aplicó OT informe a la CREG y a la Superintendencia de Servicios Públicos Domiciliarios que se acoge a la medida? o ¿a partir de la publicación que realiza la CREG de la lista de agentes que se acogieron? </w:t>
            </w:r>
            <w:r w:rsidRPr="009D701F">
              <w:rPr>
                <w:rFonts w:cs="Arial"/>
                <w:color w:val="000000"/>
                <w:sz w:val="18"/>
                <w:szCs w:val="18"/>
              </w:rPr>
              <w:br/>
              <w:t>Se propone que el cálculo, publicación y el cobro del COT por parte de todos los comercializadores involucrados se inicie, como mínimo, dentro de los treinta (30) días calendario siguientes a la publicación de la lista de agentes que se acogen a la medida por parte de la CREG. Lo anterior es necesario para ajustar los sistemas tarifarios de todos los comercializadores para adoptar el COT. Adicional, se solicita tener en cuenta que un comercializador independiente tendría que ajustar la fórmula para cada mercado de comercialización donde atiende usuarios, por lo que se podría revisar una regla especial de cobro en este caso.</w:t>
            </w:r>
          </w:p>
        </w:tc>
        <w:tc>
          <w:tcPr>
            <w:tcW w:w="1872" w:type="pct"/>
            <w:hideMark/>
          </w:tcPr>
          <w:p w14:paraId="622426F3" w14:textId="46433030" w:rsidR="005E727D" w:rsidRPr="009D701F" w:rsidRDefault="005E727D" w:rsidP="005E727D">
            <w:pPr>
              <w:spacing w:before="0" w:after="0"/>
              <w:jc w:val="left"/>
              <w:rPr>
                <w:rFonts w:cs="Arial"/>
                <w:color w:val="000000"/>
                <w:sz w:val="18"/>
                <w:szCs w:val="18"/>
              </w:rPr>
            </w:pPr>
            <w:r w:rsidRPr="009D701F">
              <w:rPr>
                <w:rFonts w:cs="Arial"/>
                <w:color w:val="000000"/>
                <w:sz w:val="18"/>
                <w:szCs w:val="18"/>
              </w:rPr>
              <w:t xml:space="preserve">El Comité Asesor de la </w:t>
            </w:r>
            <w:r w:rsidR="00C5725A" w:rsidRPr="009D701F">
              <w:rPr>
                <w:rFonts w:cs="Arial"/>
                <w:color w:val="000000"/>
                <w:sz w:val="18"/>
                <w:szCs w:val="18"/>
              </w:rPr>
              <w:t>Comercialización</w:t>
            </w:r>
            <w:r w:rsidRPr="009D701F">
              <w:rPr>
                <w:rFonts w:cs="Arial"/>
                <w:color w:val="000000"/>
                <w:sz w:val="18"/>
                <w:szCs w:val="18"/>
              </w:rPr>
              <w:t xml:space="preserve"> deberá enviar a la CREG una propuesta de cálculo y publicación del costo asociado con la recuperación del saldo de la opción tarifaria en un mercado determinado. Teniendo en cuenta que dicha </w:t>
            </w:r>
            <w:r w:rsidR="00C5725A" w:rsidRPr="009D701F">
              <w:rPr>
                <w:rFonts w:cs="Arial"/>
                <w:color w:val="000000"/>
                <w:sz w:val="18"/>
                <w:szCs w:val="18"/>
              </w:rPr>
              <w:t>información</w:t>
            </w:r>
            <w:r w:rsidRPr="009D701F">
              <w:rPr>
                <w:rFonts w:cs="Arial"/>
                <w:color w:val="000000"/>
                <w:sz w:val="18"/>
                <w:szCs w:val="18"/>
              </w:rPr>
              <w:t xml:space="preserve"> debe estar disponible antes del 15 del mes que corresponda.</w:t>
            </w:r>
          </w:p>
        </w:tc>
      </w:tr>
      <w:tr w:rsidR="005E727D" w:rsidRPr="007E00DB" w14:paraId="5389D2F0" w14:textId="77777777" w:rsidTr="009D701F">
        <w:trPr>
          <w:trHeight w:val="1251"/>
        </w:trPr>
        <w:tc>
          <w:tcPr>
            <w:tcW w:w="881" w:type="pct"/>
            <w:hideMark/>
          </w:tcPr>
          <w:p w14:paraId="67C634CE"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E2023017850_Bia Energy S.A.S. E.S.P.</w:t>
            </w:r>
          </w:p>
        </w:tc>
        <w:tc>
          <w:tcPr>
            <w:tcW w:w="2247" w:type="pct"/>
            <w:hideMark/>
          </w:tcPr>
          <w:p w14:paraId="39E4B481" w14:textId="6E5D5A6F" w:rsidR="005E727D" w:rsidRPr="009D701F" w:rsidRDefault="005E727D" w:rsidP="005E727D">
            <w:pPr>
              <w:spacing w:before="0" w:after="0"/>
              <w:jc w:val="left"/>
              <w:rPr>
                <w:rFonts w:cs="Arial"/>
                <w:color w:val="000000"/>
                <w:sz w:val="18"/>
                <w:szCs w:val="18"/>
              </w:rPr>
            </w:pPr>
            <w:r w:rsidRPr="009D701F">
              <w:rPr>
                <w:rFonts w:cs="Arial"/>
                <w:color w:val="000000"/>
                <w:sz w:val="18"/>
                <w:szCs w:val="18"/>
              </w:rPr>
              <w:t xml:space="preserve">La política de mejora regulatoria sugiere que cuando hay una intervención del regulador, es ideal abarcar todos o la mayoría de </w:t>
            </w:r>
            <w:r w:rsidR="00C5725A" w:rsidRPr="009D701F">
              <w:rPr>
                <w:rFonts w:cs="Arial"/>
                <w:color w:val="000000"/>
                <w:sz w:val="18"/>
                <w:szCs w:val="18"/>
              </w:rPr>
              <w:t xml:space="preserve">los </w:t>
            </w:r>
            <w:r w:rsidRPr="009D701F">
              <w:rPr>
                <w:rFonts w:cs="Arial"/>
                <w:color w:val="000000"/>
                <w:sz w:val="18"/>
                <w:szCs w:val="18"/>
              </w:rPr>
              <w:t xml:space="preserve">escenarios posibles y señalar reglas claras evitando la dispersión normativa y faltas de interpretación. Por esta razón, vemos sumamente necesario indicar que el proyecto normativo no está teniendo en cuenta los siguientes escenarios que se pueden presentar: (i) Cuando un usuario inicia el proceso de cambio de comercializador y en el marco del proceso se evidencia que el usuario no puede ser inscrito ante el administrador del mercado por razones técnicas o es inscrito pero, por razones técnicas su frontera </w:t>
            </w:r>
            <w:r w:rsidRPr="009D701F">
              <w:rPr>
                <w:rFonts w:cs="Arial"/>
                <w:color w:val="000000"/>
                <w:sz w:val="18"/>
                <w:szCs w:val="18"/>
              </w:rPr>
              <w:lastRenderedPageBreak/>
              <w:t xml:space="preserve">comercial es reportada en falla, dicho usuario deberá ingresar al mercado de comercialización del comercializador integrado con el operador de red. Esta situación generaría que el usuario deba pagar una deuda que ya </w:t>
            </w:r>
            <w:r w:rsidR="00C5725A" w:rsidRPr="009D701F">
              <w:rPr>
                <w:rFonts w:cs="Arial"/>
                <w:color w:val="000000"/>
                <w:sz w:val="18"/>
                <w:szCs w:val="18"/>
              </w:rPr>
              <w:t>había</w:t>
            </w:r>
            <w:r w:rsidRPr="009D701F">
              <w:rPr>
                <w:rFonts w:cs="Arial"/>
                <w:color w:val="000000"/>
                <w:sz w:val="18"/>
                <w:szCs w:val="18"/>
              </w:rPr>
              <w:t xml:space="preserve"> sido saldado, existiendo un detrimento patrimonial injustificado que se cargaría a dicho usuario; (</w:t>
            </w:r>
            <w:proofErr w:type="spellStart"/>
            <w:r w:rsidRPr="009D701F">
              <w:rPr>
                <w:rFonts w:cs="Arial"/>
                <w:color w:val="000000"/>
                <w:sz w:val="18"/>
                <w:szCs w:val="18"/>
              </w:rPr>
              <w:t>ii</w:t>
            </w:r>
            <w:proofErr w:type="spellEnd"/>
            <w:r w:rsidRPr="009D701F">
              <w:rPr>
                <w:rFonts w:cs="Arial"/>
                <w:color w:val="000000"/>
                <w:sz w:val="18"/>
                <w:szCs w:val="18"/>
              </w:rPr>
              <w:t>) nos preguntamos ¿qué pasa cuando un cliente no regulado pasa al mercado regulado con un incumbente con COT? Si el usuario pasa al mercado no regulado y, posteriormente, vuelve al mercado regulado dicho cliente va a tener que pagar una deuda que nunca asumió y nunca representó un menor valor en su factura de energía pues nunca hizo parte de la OT. Este escenario podría ser muy frecuente toda vez que, debido a la escasez de energía, muchos usuarios que podrían ser atendidos como usuarios no regulados no encuentran oferta en el mercado como usuarios no regulados, por lo que deben pasarse al mercado regulado asumiendo un saldo del que nunca fue partícipe. (</w:t>
            </w:r>
            <w:proofErr w:type="spellStart"/>
            <w:r w:rsidRPr="009D701F">
              <w:rPr>
                <w:rFonts w:cs="Arial"/>
                <w:color w:val="000000"/>
                <w:sz w:val="18"/>
                <w:szCs w:val="18"/>
              </w:rPr>
              <w:t>iii</w:t>
            </w:r>
            <w:proofErr w:type="spellEnd"/>
            <w:r w:rsidRPr="009D701F">
              <w:rPr>
                <w:rFonts w:cs="Arial"/>
                <w:color w:val="000000"/>
                <w:sz w:val="18"/>
                <w:szCs w:val="18"/>
              </w:rPr>
              <w:t>) Así mismo, si un usuario regulado pasa al mercado no regulado, este debería asumir la deuda COT? Solicitamos aclarar.</w:t>
            </w:r>
            <w:r w:rsidRPr="009D701F">
              <w:rPr>
                <w:rFonts w:cs="Arial"/>
                <w:color w:val="000000"/>
                <w:sz w:val="18"/>
                <w:szCs w:val="18"/>
              </w:rPr>
              <w:br/>
            </w:r>
            <w:r w:rsidRPr="009D701F">
              <w:rPr>
                <w:rFonts w:cs="Arial"/>
                <w:color w:val="000000"/>
                <w:sz w:val="18"/>
                <w:szCs w:val="18"/>
              </w:rPr>
              <w:br/>
              <w:t xml:space="preserve">Se sugiere que la Resolución </w:t>
            </w:r>
            <w:r w:rsidR="00C5725A" w:rsidRPr="009D701F">
              <w:rPr>
                <w:rFonts w:cs="Arial"/>
                <w:color w:val="000000"/>
                <w:sz w:val="18"/>
                <w:szCs w:val="18"/>
              </w:rPr>
              <w:t>contemple</w:t>
            </w:r>
            <w:r w:rsidRPr="009D701F">
              <w:rPr>
                <w:rFonts w:cs="Arial"/>
                <w:color w:val="000000"/>
                <w:sz w:val="18"/>
                <w:szCs w:val="18"/>
              </w:rPr>
              <w:t xml:space="preserve"> que</w:t>
            </w:r>
            <w:r w:rsidR="00C5725A" w:rsidRPr="009D701F">
              <w:rPr>
                <w:rFonts w:cs="Arial"/>
                <w:color w:val="000000"/>
                <w:sz w:val="18"/>
                <w:szCs w:val="18"/>
              </w:rPr>
              <w:t>,</w:t>
            </w:r>
            <w:r w:rsidR="001F39A3" w:rsidRPr="009D701F">
              <w:rPr>
                <w:rFonts w:cs="Arial"/>
                <w:color w:val="000000"/>
                <w:sz w:val="18"/>
                <w:szCs w:val="18"/>
              </w:rPr>
              <w:t xml:space="preserve"> </w:t>
            </w:r>
            <w:r w:rsidRPr="009D701F">
              <w:rPr>
                <w:rFonts w:cs="Arial"/>
                <w:color w:val="000000"/>
                <w:sz w:val="18"/>
                <w:szCs w:val="18"/>
              </w:rPr>
              <w:t>en los casos señalados en el presente comentario, los usuarios no deberán asumir el COT en ningún caso, ni siquiera cuando decidan libremente cambiar de comercializador.</w:t>
            </w:r>
          </w:p>
        </w:tc>
        <w:tc>
          <w:tcPr>
            <w:tcW w:w="1872" w:type="pct"/>
            <w:hideMark/>
          </w:tcPr>
          <w:p w14:paraId="15ED8166" w14:textId="2B2A713F" w:rsidR="005E727D" w:rsidRPr="009D701F" w:rsidRDefault="005E727D" w:rsidP="005E727D">
            <w:pPr>
              <w:spacing w:before="0" w:after="0"/>
              <w:jc w:val="left"/>
              <w:rPr>
                <w:rFonts w:cs="Arial"/>
                <w:color w:val="000000"/>
                <w:sz w:val="18"/>
                <w:szCs w:val="18"/>
              </w:rPr>
            </w:pPr>
            <w:r w:rsidRPr="009D701F">
              <w:rPr>
                <w:rFonts w:cs="Arial"/>
                <w:color w:val="000000"/>
                <w:sz w:val="18"/>
                <w:szCs w:val="18"/>
              </w:rPr>
              <w:lastRenderedPageBreak/>
              <w:t>Los comercializadores deberán enviar listado de los usuarios que ya pagaron saldos acumulados por aplicación de la Resolución CREG 012 de 2020 para que no se les cobre nuevamente</w:t>
            </w:r>
            <w:r w:rsidRPr="009D701F">
              <w:rPr>
                <w:rFonts w:cs="Arial"/>
                <w:color w:val="000000"/>
                <w:sz w:val="18"/>
                <w:szCs w:val="18"/>
              </w:rPr>
              <w:br/>
            </w:r>
            <w:r w:rsidRPr="009D701F">
              <w:rPr>
                <w:rFonts w:cs="Arial"/>
                <w:color w:val="000000"/>
                <w:sz w:val="18"/>
                <w:szCs w:val="18"/>
              </w:rPr>
              <w:br/>
            </w:r>
            <w:r w:rsidRPr="009D701F">
              <w:rPr>
                <w:rFonts w:cs="Arial"/>
                <w:sz w:val="18"/>
                <w:szCs w:val="18"/>
              </w:rPr>
              <w:t xml:space="preserve">Sobre el caso planteado en (i) </w:t>
            </w:r>
            <w:r w:rsidRPr="009D701F">
              <w:rPr>
                <w:rFonts w:cs="Arial"/>
                <w:color w:val="000000"/>
                <w:sz w:val="18"/>
                <w:szCs w:val="18"/>
              </w:rPr>
              <w:t>se comenta que existe una excepción en el caso de que el usuario No regulado cambie al mercado regulado, p</w:t>
            </w:r>
            <w:r w:rsidR="001A081F" w:rsidRPr="009D701F">
              <w:rPr>
                <w:rFonts w:cs="Arial"/>
                <w:color w:val="000000"/>
                <w:sz w:val="18"/>
                <w:szCs w:val="18"/>
              </w:rPr>
              <w:t>or</w:t>
            </w:r>
            <w:r w:rsidRPr="009D701F">
              <w:rPr>
                <w:rFonts w:cs="Arial"/>
                <w:color w:val="000000"/>
                <w:sz w:val="18"/>
                <w:szCs w:val="18"/>
              </w:rPr>
              <w:t xml:space="preserve"> </w:t>
            </w:r>
            <w:r w:rsidR="00C5725A" w:rsidRPr="009D701F">
              <w:rPr>
                <w:rFonts w:cs="Arial"/>
                <w:color w:val="000000"/>
                <w:sz w:val="18"/>
                <w:szCs w:val="18"/>
              </w:rPr>
              <w:t>obligación</w:t>
            </w:r>
            <w:r w:rsidRPr="009D701F">
              <w:rPr>
                <w:rFonts w:cs="Arial"/>
                <w:color w:val="000000"/>
                <w:sz w:val="18"/>
                <w:szCs w:val="18"/>
              </w:rPr>
              <w:t xml:space="preserve"> a causa de limitación de suministro </w:t>
            </w:r>
            <w:r w:rsidR="00C5725A" w:rsidRPr="009D701F">
              <w:rPr>
                <w:rFonts w:cs="Arial"/>
                <w:color w:val="000000"/>
                <w:sz w:val="18"/>
                <w:szCs w:val="18"/>
              </w:rPr>
              <w:t>dirigida</w:t>
            </w:r>
            <w:r w:rsidRPr="009D701F">
              <w:rPr>
                <w:rFonts w:cs="Arial"/>
                <w:color w:val="000000"/>
                <w:sz w:val="18"/>
                <w:szCs w:val="18"/>
              </w:rPr>
              <w:t xml:space="preserve"> al comercializador que lo antedía en el mercado No Regulado. Los casos </w:t>
            </w:r>
            <w:r w:rsidR="001A081F" w:rsidRPr="009D701F">
              <w:rPr>
                <w:rFonts w:cs="Arial"/>
                <w:color w:val="000000"/>
                <w:sz w:val="18"/>
                <w:szCs w:val="18"/>
              </w:rPr>
              <w:t>restantes deberán</w:t>
            </w:r>
            <w:r w:rsidRPr="009D701F">
              <w:rPr>
                <w:rFonts w:cs="Arial"/>
                <w:color w:val="000000"/>
                <w:sz w:val="18"/>
                <w:szCs w:val="18"/>
              </w:rPr>
              <w:t xml:space="preserve"> considerar el cobro del COT </w:t>
            </w:r>
            <w:r w:rsidRPr="009D701F">
              <w:rPr>
                <w:rFonts w:cs="Arial"/>
                <w:color w:val="000000"/>
                <w:sz w:val="18"/>
                <w:szCs w:val="18"/>
              </w:rPr>
              <w:lastRenderedPageBreak/>
              <w:t>del mercado que corresponda y, una vez que regrese al mercado no regulado, deberá seguirlo pagando hasta su terminación.</w:t>
            </w:r>
            <w:r w:rsidRPr="009D701F">
              <w:rPr>
                <w:rFonts w:cs="Arial"/>
                <w:color w:val="000000"/>
                <w:sz w:val="18"/>
                <w:szCs w:val="18"/>
              </w:rPr>
              <w:br/>
            </w:r>
            <w:r w:rsidRPr="009D701F">
              <w:rPr>
                <w:rFonts w:cs="Arial"/>
                <w:color w:val="000000"/>
                <w:sz w:val="18"/>
                <w:szCs w:val="18"/>
              </w:rPr>
              <w:br/>
              <w:t>Respecto al caso (</w:t>
            </w:r>
            <w:proofErr w:type="spellStart"/>
            <w:r w:rsidRPr="009D701F">
              <w:rPr>
                <w:rFonts w:cs="Arial"/>
                <w:color w:val="000000"/>
                <w:sz w:val="18"/>
                <w:szCs w:val="18"/>
              </w:rPr>
              <w:t>ii</w:t>
            </w:r>
            <w:proofErr w:type="spellEnd"/>
            <w:r w:rsidRPr="009D701F">
              <w:rPr>
                <w:rFonts w:cs="Arial"/>
                <w:color w:val="000000"/>
                <w:sz w:val="18"/>
                <w:szCs w:val="18"/>
              </w:rPr>
              <w:t>) en el caso en el que un no regulado se integre por voluntad propia al mercado regulado, éste deberá enfrentar los costos de dicho mercado, es decir, incluyendo el COT correspondiente.</w:t>
            </w:r>
            <w:r w:rsidRPr="009D701F">
              <w:rPr>
                <w:rFonts w:cs="Arial"/>
                <w:color w:val="000000"/>
                <w:sz w:val="18"/>
                <w:szCs w:val="18"/>
              </w:rPr>
              <w:br/>
            </w:r>
            <w:r w:rsidRPr="009D701F">
              <w:rPr>
                <w:rFonts w:cs="Arial"/>
                <w:color w:val="000000"/>
                <w:sz w:val="18"/>
                <w:szCs w:val="18"/>
              </w:rPr>
              <w:br/>
              <w:t>Sobre el caso en el que un usuario regulado pasa al mercado no regulado, éste deberá seguir pagando el COT.</w:t>
            </w:r>
          </w:p>
        </w:tc>
      </w:tr>
      <w:tr w:rsidR="005E727D" w:rsidRPr="007E00DB" w14:paraId="381A9642" w14:textId="77777777" w:rsidTr="009D701F">
        <w:trPr>
          <w:trHeight w:val="542"/>
        </w:trPr>
        <w:tc>
          <w:tcPr>
            <w:tcW w:w="881" w:type="pct"/>
            <w:hideMark/>
          </w:tcPr>
          <w:p w14:paraId="696E1375"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lastRenderedPageBreak/>
              <w:t>E2023017850_Bia Energy S.A.S. E.S.P.</w:t>
            </w:r>
          </w:p>
        </w:tc>
        <w:tc>
          <w:tcPr>
            <w:tcW w:w="2247" w:type="pct"/>
            <w:hideMark/>
          </w:tcPr>
          <w:p w14:paraId="3EED5A47" w14:textId="6C7C543A" w:rsidR="005E727D" w:rsidRPr="009D701F" w:rsidRDefault="005E727D" w:rsidP="005E727D">
            <w:pPr>
              <w:spacing w:before="0" w:after="0"/>
              <w:jc w:val="left"/>
              <w:rPr>
                <w:rFonts w:cs="Arial"/>
                <w:color w:val="000000"/>
                <w:sz w:val="18"/>
                <w:szCs w:val="18"/>
              </w:rPr>
            </w:pPr>
            <w:r w:rsidRPr="009D701F">
              <w:rPr>
                <w:rFonts w:cs="Arial"/>
                <w:color w:val="000000"/>
                <w:sz w:val="18"/>
                <w:szCs w:val="18"/>
              </w:rPr>
              <w:t>Se entiende que</w:t>
            </w:r>
            <w:r w:rsidR="00C5725A" w:rsidRPr="009D701F">
              <w:rPr>
                <w:rFonts w:cs="Arial"/>
                <w:color w:val="000000"/>
                <w:sz w:val="18"/>
                <w:szCs w:val="18"/>
              </w:rPr>
              <w:t>,</w:t>
            </w:r>
            <w:r w:rsidRPr="009D701F">
              <w:rPr>
                <w:rFonts w:cs="Arial"/>
                <w:color w:val="000000"/>
                <w:sz w:val="18"/>
                <w:szCs w:val="18"/>
              </w:rPr>
              <w:t xml:space="preserve"> si el comercializador no atiende usuarios en el mes anterior, se debe publicar la c del operador de red hasta que ingrese el usuario. Lo anterior tiene un inconveniente y es que si por </w:t>
            </w:r>
            <w:r w:rsidR="00C5725A" w:rsidRPr="009D701F">
              <w:rPr>
                <w:rFonts w:cs="Arial"/>
                <w:color w:val="000000"/>
                <w:sz w:val="18"/>
                <w:szCs w:val="18"/>
              </w:rPr>
              <w:t>alguna</w:t>
            </w:r>
            <w:r w:rsidRPr="009D701F">
              <w:rPr>
                <w:rFonts w:cs="Arial"/>
                <w:color w:val="000000"/>
                <w:sz w:val="18"/>
                <w:szCs w:val="18"/>
              </w:rPr>
              <w:t xml:space="preserve"> razón técnica particular, se dejan de tener usuarios se </w:t>
            </w:r>
            <w:r w:rsidR="00C5725A" w:rsidRPr="009D701F">
              <w:rPr>
                <w:rFonts w:cs="Arial"/>
                <w:color w:val="000000"/>
                <w:sz w:val="18"/>
                <w:szCs w:val="18"/>
              </w:rPr>
              <w:t>debería</w:t>
            </w:r>
            <w:r w:rsidRPr="009D701F">
              <w:rPr>
                <w:rFonts w:cs="Arial"/>
                <w:color w:val="000000"/>
                <w:sz w:val="18"/>
                <w:szCs w:val="18"/>
              </w:rPr>
              <w:t xml:space="preserve"> hacer una </w:t>
            </w:r>
            <w:r w:rsidR="00C5725A" w:rsidRPr="009D701F">
              <w:rPr>
                <w:rFonts w:cs="Arial"/>
                <w:color w:val="000000"/>
                <w:sz w:val="18"/>
                <w:szCs w:val="18"/>
              </w:rPr>
              <w:t>publicación</w:t>
            </w:r>
            <w:r w:rsidRPr="009D701F">
              <w:rPr>
                <w:rFonts w:cs="Arial"/>
                <w:color w:val="000000"/>
                <w:sz w:val="18"/>
                <w:szCs w:val="18"/>
              </w:rPr>
              <w:t xml:space="preserve"> de tarifa con un cargo equivalente al OR, incrementando los costos que se transfieren a los usuarios una vez haya sido registrado.</w:t>
            </w:r>
            <w:r w:rsidRPr="009D701F">
              <w:rPr>
                <w:rFonts w:cs="Arial"/>
                <w:color w:val="000000"/>
                <w:sz w:val="18"/>
                <w:szCs w:val="18"/>
              </w:rPr>
              <w:br/>
            </w:r>
            <w:r w:rsidRPr="009D701F">
              <w:rPr>
                <w:rFonts w:cs="Arial"/>
                <w:color w:val="000000"/>
                <w:sz w:val="18"/>
                <w:szCs w:val="18"/>
              </w:rPr>
              <w:br/>
              <w:t>Se sugiere que se flexibilice un poco y se pueda permitir que se traslade el último valor de C publicado siempre que no se superen 3 meses.</w:t>
            </w:r>
          </w:p>
        </w:tc>
        <w:tc>
          <w:tcPr>
            <w:tcW w:w="1872" w:type="pct"/>
            <w:hideMark/>
          </w:tcPr>
          <w:p w14:paraId="32AD296A" w14:textId="16DF1A50" w:rsidR="005E727D" w:rsidRPr="009D701F" w:rsidRDefault="005E727D" w:rsidP="005E727D">
            <w:pPr>
              <w:spacing w:before="0" w:after="0"/>
              <w:jc w:val="left"/>
              <w:rPr>
                <w:rFonts w:cs="Arial"/>
                <w:color w:val="000000"/>
                <w:sz w:val="18"/>
                <w:szCs w:val="18"/>
              </w:rPr>
            </w:pPr>
            <w:r w:rsidRPr="009D701F">
              <w:rPr>
                <w:rFonts w:cs="Arial"/>
                <w:color w:val="000000"/>
                <w:sz w:val="18"/>
                <w:szCs w:val="18"/>
              </w:rPr>
              <w:t xml:space="preserve">No es clara la "razón técnica particular" ni la situación presentada, además porque parece que está relacionado con la aplicación de la metodología de </w:t>
            </w:r>
            <w:r w:rsidR="00C5725A" w:rsidRPr="009D701F">
              <w:rPr>
                <w:rFonts w:cs="Arial"/>
                <w:color w:val="000000"/>
                <w:sz w:val="18"/>
                <w:szCs w:val="18"/>
              </w:rPr>
              <w:t>comercialización</w:t>
            </w:r>
            <w:r w:rsidRPr="009D701F">
              <w:rPr>
                <w:rFonts w:cs="Arial"/>
                <w:color w:val="000000"/>
                <w:sz w:val="18"/>
                <w:szCs w:val="18"/>
              </w:rPr>
              <w:t xml:space="preserve"> que está fuera del alcance de esta resolución.</w:t>
            </w:r>
          </w:p>
        </w:tc>
      </w:tr>
      <w:tr w:rsidR="005E727D" w:rsidRPr="007E00DB" w14:paraId="7FA3349D" w14:textId="77777777" w:rsidTr="009D701F">
        <w:trPr>
          <w:trHeight w:val="7540"/>
        </w:trPr>
        <w:tc>
          <w:tcPr>
            <w:tcW w:w="881" w:type="pct"/>
            <w:hideMark/>
          </w:tcPr>
          <w:p w14:paraId="6F033824"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lastRenderedPageBreak/>
              <w:t>E2023017850_Bia Energy S.A.S. E.S.P.</w:t>
            </w:r>
          </w:p>
        </w:tc>
        <w:tc>
          <w:tcPr>
            <w:tcW w:w="2247" w:type="pct"/>
            <w:hideMark/>
          </w:tcPr>
          <w:p w14:paraId="698DB8EF"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 xml:space="preserve">Consideramos que el nuevo comercializador no debería ser el encargado de realizar el recaudo. Esto porque la relación obligacional surgida de la OT existe únicamente respecto del comercializador que aplicó la OT y el usuario, por lo que no se entiende cuál es el fundamento legal para que se cargue con una nueva obligación, </w:t>
            </w:r>
            <w:proofErr w:type="spellStart"/>
            <w:r w:rsidRPr="009D701F">
              <w:rPr>
                <w:rFonts w:cs="Arial"/>
                <w:color w:val="000000"/>
                <w:sz w:val="18"/>
                <w:szCs w:val="18"/>
              </w:rPr>
              <w:t>via</w:t>
            </w:r>
            <w:proofErr w:type="spellEnd"/>
            <w:r w:rsidRPr="009D701F">
              <w:rPr>
                <w:rFonts w:cs="Arial"/>
                <w:color w:val="000000"/>
                <w:sz w:val="18"/>
                <w:szCs w:val="18"/>
              </w:rPr>
              <w:t xml:space="preserve"> acto administrativo general, a un agente que no participó en la acumulación de saldos.</w:t>
            </w:r>
            <w:r w:rsidRPr="009D701F">
              <w:rPr>
                <w:rFonts w:cs="Arial"/>
                <w:color w:val="000000"/>
                <w:sz w:val="18"/>
                <w:szCs w:val="18"/>
              </w:rPr>
              <w:br/>
            </w:r>
            <w:r w:rsidRPr="009D701F">
              <w:rPr>
                <w:rFonts w:cs="Arial"/>
                <w:color w:val="000000"/>
                <w:sz w:val="18"/>
                <w:szCs w:val="18"/>
              </w:rPr>
              <w:br/>
              <w:t>Ahora, si en todo caso, la medida es aplicable a los nuevos comercializadores es necesario que quede claro que el nuevo comercializador no va a asumir el 4x1000, pues esto último se presenta cuando el comercializador recibe usuarios nuevos que traen consigo el COT de otro comercializador. El recaudo de este dinero genera un costo transaccional adicional del 4x1000 para el nuevo comercializador del usuario, el cual está establecido en artículo 214 de la Ley 1819 de 2016, perjudicando de forma financiera a la nueva empresa prestadora del servicio.</w:t>
            </w:r>
            <w:r w:rsidRPr="009D701F">
              <w:rPr>
                <w:rFonts w:cs="Arial"/>
                <w:color w:val="000000"/>
                <w:sz w:val="18"/>
                <w:szCs w:val="18"/>
              </w:rPr>
              <w:br/>
            </w:r>
            <w:r w:rsidRPr="009D701F">
              <w:rPr>
                <w:rFonts w:cs="Arial"/>
                <w:color w:val="000000"/>
                <w:sz w:val="18"/>
                <w:szCs w:val="18"/>
              </w:rPr>
              <w:br/>
              <w:t>Se sugiere eliminar la obligación del nuevo comercializador de realizar el recaudo del COT que remunera costos únicamente del anterior comercializador. En caso de que no se atienda la propuesta, se debe incluir en el proyecto normativo que los costos transaccionales por el recaudo de los saldos acumulados, como lo es el gravamen a los movimientos financieros, no será asumido por el nuevo comercializador sino por el agente que se beneficie del recaudo del COT.</w:t>
            </w:r>
          </w:p>
        </w:tc>
        <w:tc>
          <w:tcPr>
            <w:tcW w:w="1872" w:type="pct"/>
            <w:hideMark/>
          </w:tcPr>
          <w:p w14:paraId="7CFC8C67" w14:textId="2F2D7EB2" w:rsidR="005E727D" w:rsidRPr="009D701F" w:rsidRDefault="005E727D" w:rsidP="005E727D">
            <w:pPr>
              <w:spacing w:before="0" w:after="0"/>
              <w:jc w:val="left"/>
              <w:rPr>
                <w:rFonts w:cs="Arial"/>
                <w:color w:val="000000"/>
                <w:sz w:val="18"/>
                <w:szCs w:val="18"/>
              </w:rPr>
            </w:pPr>
            <w:r w:rsidRPr="009D701F">
              <w:rPr>
                <w:rFonts w:cs="Arial"/>
                <w:color w:val="000000"/>
                <w:sz w:val="18"/>
                <w:szCs w:val="18"/>
              </w:rPr>
              <w:t xml:space="preserve">El fundamento legal está basado en el reconocimiento del saldo a cargo de un mercado de comercialización sin importar el comercializador que atiende a un usuario en dicho mercado. </w:t>
            </w:r>
            <w:r w:rsidRPr="009D701F">
              <w:rPr>
                <w:rFonts w:cs="Arial"/>
                <w:color w:val="000000"/>
                <w:sz w:val="18"/>
                <w:szCs w:val="18"/>
              </w:rPr>
              <w:br/>
            </w:r>
            <w:r w:rsidRPr="009D701F">
              <w:rPr>
                <w:rFonts w:cs="Arial"/>
                <w:color w:val="000000"/>
                <w:sz w:val="18"/>
                <w:szCs w:val="18"/>
              </w:rPr>
              <w:br/>
              <w:t xml:space="preserve">No </w:t>
            </w:r>
            <w:r w:rsidR="00C5725A" w:rsidRPr="009D701F">
              <w:rPr>
                <w:rFonts w:cs="Arial"/>
                <w:color w:val="000000"/>
                <w:sz w:val="18"/>
                <w:szCs w:val="18"/>
              </w:rPr>
              <w:t>obstante</w:t>
            </w:r>
            <w:r w:rsidRPr="009D701F">
              <w:rPr>
                <w:rFonts w:cs="Arial"/>
                <w:color w:val="000000"/>
                <w:sz w:val="18"/>
                <w:szCs w:val="18"/>
              </w:rPr>
              <w:t xml:space="preserve">, se </w:t>
            </w:r>
            <w:r w:rsidR="00392D4F" w:rsidRPr="009D701F">
              <w:rPr>
                <w:rFonts w:cs="Arial"/>
                <w:color w:val="000000"/>
                <w:sz w:val="18"/>
                <w:szCs w:val="18"/>
              </w:rPr>
              <w:t xml:space="preserve">excluyen </w:t>
            </w:r>
            <w:r w:rsidRPr="009D701F">
              <w:rPr>
                <w:rFonts w:cs="Arial"/>
                <w:color w:val="000000"/>
                <w:sz w:val="18"/>
                <w:szCs w:val="18"/>
              </w:rPr>
              <w:t>los costos transaccionales</w:t>
            </w:r>
            <w:r w:rsidR="00392D4F" w:rsidRPr="009D701F">
              <w:rPr>
                <w:rFonts w:cs="Arial"/>
                <w:color w:val="000000"/>
                <w:sz w:val="18"/>
                <w:szCs w:val="18"/>
              </w:rPr>
              <w:t xml:space="preserve"> de los traslados a efectuar.</w:t>
            </w:r>
          </w:p>
        </w:tc>
      </w:tr>
      <w:tr w:rsidR="005E727D" w:rsidRPr="007E00DB" w14:paraId="2ED6281E" w14:textId="77777777" w:rsidTr="009D701F">
        <w:trPr>
          <w:trHeight w:val="4185"/>
        </w:trPr>
        <w:tc>
          <w:tcPr>
            <w:tcW w:w="881" w:type="pct"/>
            <w:hideMark/>
          </w:tcPr>
          <w:p w14:paraId="33266C23"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E2023017850_Bia Energy S.A.S. E.S.P.</w:t>
            </w:r>
          </w:p>
        </w:tc>
        <w:tc>
          <w:tcPr>
            <w:tcW w:w="2247" w:type="pct"/>
            <w:hideMark/>
          </w:tcPr>
          <w:p w14:paraId="640F535A"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 xml:space="preserve">No se debe olvidar la realidad de los sistemas de liquidación y facturación implementados actualmente en todas las empresas. Hemos evidenciado </w:t>
            </w:r>
            <w:proofErr w:type="gramStart"/>
            <w:r w:rsidRPr="009D701F">
              <w:rPr>
                <w:rFonts w:cs="Arial"/>
                <w:color w:val="000000"/>
                <w:sz w:val="18"/>
                <w:szCs w:val="18"/>
              </w:rPr>
              <w:t>que</w:t>
            </w:r>
            <w:proofErr w:type="gramEnd"/>
            <w:r w:rsidRPr="009D701F">
              <w:rPr>
                <w:rFonts w:cs="Arial"/>
                <w:color w:val="000000"/>
                <w:sz w:val="18"/>
                <w:szCs w:val="18"/>
              </w:rPr>
              <w:t xml:space="preserve"> si se publica el valor del COT el día 14, se interpreta que se podrá publicar este concepto hasta las 11:59 p.m. de dicho día. Esto puede afectar el proceso de publicación de tarifa usual que tiene el nuevo comercializador.</w:t>
            </w:r>
            <w:r w:rsidRPr="009D701F">
              <w:rPr>
                <w:rFonts w:cs="Arial"/>
                <w:color w:val="000000"/>
                <w:sz w:val="18"/>
                <w:szCs w:val="18"/>
              </w:rPr>
              <w:br/>
            </w:r>
            <w:r w:rsidRPr="009D701F">
              <w:rPr>
                <w:rFonts w:cs="Arial"/>
                <w:color w:val="000000"/>
                <w:sz w:val="18"/>
                <w:szCs w:val="18"/>
              </w:rPr>
              <w:br/>
              <w:t>Adicionalmente, es sumamente fundamental centralizar la información de los COT a cobrar en un único servidor o una única fuente de información. Esto se requiere para que los usuarios puedan conocer de forma transparente y sencilla cuál es el COT que se le está aplicando.</w:t>
            </w:r>
            <w:r w:rsidRPr="009D701F">
              <w:rPr>
                <w:rFonts w:cs="Arial"/>
                <w:color w:val="000000"/>
                <w:sz w:val="18"/>
                <w:szCs w:val="18"/>
              </w:rPr>
              <w:br/>
            </w:r>
            <w:r w:rsidRPr="009D701F">
              <w:rPr>
                <w:rFonts w:cs="Arial"/>
                <w:color w:val="000000"/>
                <w:sz w:val="18"/>
                <w:szCs w:val="18"/>
              </w:rPr>
              <w:br/>
              <w:t xml:space="preserve">Se propone que la publicación se realice en el día 12. Adicionalmente, se propone que cada comercializador que calcule el COT publique el valor que deberá cobrar dicho </w:t>
            </w:r>
            <w:r w:rsidRPr="009D701F">
              <w:rPr>
                <w:rFonts w:cs="Arial"/>
                <w:color w:val="000000"/>
                <w:sz w:val="18"/>
                <w:szCs w:val="18"/>
              </w:rPr>
              <w:lastRenderedPageBreak/>
              <w:t>comercializador o cualquier otro comercializador que atienda a un usuario que provenga de su mercado de comercialización, en una única fuente de información. Se propone que se publique el valor del COT en la página web de XM como administrador del sistema de intercambios comerciales.</w:t>
            </w:r>
          </w:p>
        </w:tc>
        <w:tc>
          <w:tcPr>
            <w:tcW w:w="1872" w:type="pct"/>
            <w:hideMark/>
          </w:tcPr>
          <w:p w14:paraId="3AFD9F54" w14:textId="44D37518" w:rsidR="005E727D" w:rsidRPr="009D701F" w:rsidRDefault="005E727D" w:rsidP="005E727D">
            <w:pPr>
              <w:spacing w:before="0" w:after="0"/>
              <w:jc w:val="left"/>
              <w:rPr>
                <w:rFonts w:cs="Arial"/>
                <w:color w:val="000000"/>
                <w:sz w:val="18"/>
                <w:szCs w:val="18"/>
              </w:rPr>
            </w:pPr>
            <w:r w:rsidRPr="009D701F">
              <w:rPr>
                <w:rFonts w:cs="Arial"/>
                <w:color w:val="000000"/>
                <w:sz w:val="18"/>
                <w:szCs w:val="18"/>
              </w:rPr>
              <w:lastRenderedPageBreak/>
              <w:t xml:space="preserve">El Comité Asesor de la </w:t>
            </w:r>
            <w:r w:rsidR="00C5725A" w:rsidRPr="009D701F">
              <w:rPr>
                <w:rFonts w:cs="Arial"/>
                <w:color w:val="000000"/>
                <w:sz w:val="18"/>
                <w:szCs w:val="18"/>
              </w:rPr>
              <w:t>Comercialización</w:t>
            </w:r>
            <w:r w:rsidRPr="009D701F">
              <w:rPr>
                <w:rFonts w:cs="Arial"/>
                <w:color w:val="000000"/>
                <w:sz w:val="18"/>
                <w:szCs w:val="18"/>
              </w:rPr>
              <w:t xml:space="preserve"> deberá enviar a la CREG una propuesta de cálculo y publicación del costo asociado con la recuperación del saldo de la opción tarifaria en un mercado determinado. Teniendo en cuenta que dicha </w:t>
            </w:r>
            <w:r w:rsidR="00C5725A" w:rsidRPr="009D701F">
              <w:rPr>
                <w:rFonts w:cs="Arial"/>
                <w:color w:val="000000"/>
                <w:sz w:val="18"/>
                <w:szCs w:val="18"/>
              </w:rPr>
              <w:t>información</w:t>
            </w:r>
            <w:r w:rsidRPr="009D701F">
              <w:rPr>
                <w:rFonts w:cs="Arial"/>
                <w:color w:val="000000"/>
                <w:sz w:val="18"/>
                <w:szCs w:val="18"/>
              </w:rPr>
              <w:t xml:space="preserve"> debe estar disponible antes del 15 del mes que corresponda.</w:t>
            </w:r>
          </w:p>
        </w:tc>
      </w:tr>
      <w:tr w:rsidR="005E727D" w:rsidRPr="007E00DB" w14:paraId="4A7FA7A4" w14:textId="77777777" w:rsidTr="009D701F">
        <w:trPr>
          <w:trHeight w:val="968"/>
        </w:trPr>
        <w:tc>
          <w:tcPr>
            <w:tcW w:w="881" w:type="pct"/>
            <w:hideMark/>
          </w:tcPr>
          <w:p w14:paraId="68CDCF21"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E2023017850_Bia Energy S.A.S. E.S.P.</w:t>
            </w:r>
          </w:p>
        </w:tc>
        <w:tc>
          <w:tcPr>
            <w:tcW w:w="2247" w:type="pct"/>
            <w:hideMark/>
          </w:tcPr>
          <w:p w14:paraId="3A9002B9" w14:textId="14CD6700" w:rsidR="005E727D" w:rsidRPr="009D701F" w:rsidRDefault="005E727D" w:rsidP="005E727D">
            <w:pPr>
              <w:spacing w:before="0" w:after="0"/>
              <w:jc w:val="left"/>
              <w:rPr>
                <w:rFonts w:cs="Arial"/>
                <w:color w:val="000000"/>
                <w:sz w:val="18"/>
                <w:szCs w:val="18"/>
              </w:rPr>
            </w:pPr>
            <w:r w:rsidRPr="009D701F">
              <w:rPr>
                <w:rFonts w:cs="Arial"/>
                <w:color w:val="000000"/>
                <w:sz w:val="18"/>
                <w:szCs w:val="18"/>
              </w:rPr>
              <w:t xml:space="preserve">Solicitamos aclarar qué se entiende por clientes potenciales. Podría suceder que exista más de </w:t>
            </w:r>
            <w:r w:rsidR="00C5725A" w:rsidRPr="009D701F">
              <w:rPr>
                <w:rFonts w:cs="Arial"/>
                <w:color w:val="000000"/>
                <w:sz w:val="18"/>
                <w:szCs w:val="18"/>
              </w:rPr>
              <w:t>una</w:t>
            </w:r>
            <w:r w:rsidRPr="009D701F">
              <w:rPr>
                <w:rFonts w:cs="Arial"/>
                <w:color w:val="000000"/>
                <w:sz w:val="18"/>
                <w:szCs w:val="18"/>
              </w:rPr>
              <w:t xml:space="preserve"> interpretación que genere falta de seguridad jurídica y escenarios de incumplimiento de la norma. Por ejemplo, se puede interpretar que un cliente potencial es aquel cuya frontera comercial sea registrada ante el administrador del mercado de energía con posterioridad a la vigencia de la medida de recuperación de saldos. </w:t>
            </w:r>
            <w:r w:rsidRPr="009D701F">
              <w:rPr>
                <w:rFonts w:cs="Arial"/>
                <w:color w:val="000000"/>
                <w:sz w:val="18"/>
                <w:szCs w:val="18"/>
              </w:rPr>
              <w:br/>
            </w:r>
            <w:r w:rsidRPr="009D701F">
              <w:rPr>
                <w:rFonts w:cs="Arial"/>
                <w:color w:val="000000"/>
                <w:sz w:val="18"/>
                <w:szCs w:val="18"/>
              </w:rPr>
              <w:br/>
              <w:t>Se sugiere incorporar un artículo con la definición de "usuarios potenciales" en donde la CREG señale con claridad que se trata de usuarios que al ser registrados ante el administrador del mercado de energía culminan el proceso de cambio de comercializador, con posterioridad a la fecha en que se debe realizar el primer cobro del COT para dicho usuario conforme a los ciclos de facturación de cada compañía.</w:t>
            </w:r>
          </w:p>
        </w:tc>
        <w:tc>
          <w:tcPr>
            <w:tcW w:w="1872" w:type="pct"/>
            <w:hideMark/>
          </w:tcPr>
          <w:p w14:paraId="41C555F6" w14:textId="419EB542" w:rsidR="005E727D" w:rsidRPr="009D701F" w:rsidRDefault="005E727D" w:rsidP="005E727D">
            <w:pPr>
              <w:spacing w:before="0" w:after="0"/>
              <w:jc w:val="left"/>
              <w:rPr>
                <w:rFonts w:cs="Arial"/>
                <w:color w:val="000000"/>
                <w:sz w:val="18"/>
                <w:szCs w:val="18"/>
              </w:rPr>
            </w:pPr>
            <w:r w:rsidRPr="009D701F">
              <w:rPr>
                <w:rFonts w:cs="Arial"/>
                <w:color w:val="000000"/>
                <w:sz w:val="18"/>
                <w:szCs w:val="18"/>
              </w:rPr>
              <w:t xml:space="preserve">Los usuarios potenciales a que se refiere esta resolución obedecen a los mismos de que trata la </w:t>
            </w:r>
            <w:r w:rsidR="00C5725A" w:rsidRPr="009D701F">
              <w:rPr>
                <w:rFonts w:cs="Arial"/>
                <w:color w:val="000000"/>
                <w:sz w:val="18"/>
                <w:szCs w:val="18"/>
              </w:rPr>
              <w:t>Resolución</w:t>
            </w:r>
            <w:r w:rsidRPr="009D701F">
              <w:rPr>
                <w:rFonts w:cs="Arial"/>
                <w:color w:val="000000"/>
                <w:sz w:val="18"/>
                <w:szCs w:val="18"/>
              </w:rPr>
              <w:t xml:space="preserve"> CREG 225 de 1997.</w:t>
            </w:r>
          </w:p>
        </w:tc>
      </w:tr>
      <w:tr w:rsidR="005E727D" w:rsidRPr="007E00DB" w14:paraId="374A32FB" w14:textId="77777777" w:rsidTr="009D701F">
        <w:trPr>
          <w:trHeight w:val="6375"/>
        </w:trPr>
        <w:tc>
          <w:tcPr>
            <w:tcW w:w="881" w:type="pct"/>
            <w:hideMark/>
          </w:tcPr>
          <w:p w14:paraId="1E4F2049"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lastRenderedPageBreak/>
              <w:t>E2023017850_Bia Energy S.A.S. E.S.P.</w:t>
            </w:r>
          </w:p>
        </w:tc>
        <w:tc>
          <w:tcPr>
            <w:tcW w:w="2247" w:type="pct"/>
            <w:hideMark/>
          </w:tcPr>
          <w:p w14:paraId="5C9664F6" w14:textId="77777777" w:rsidR="005E727D" w:rsidRPr="009D701F" w:rsidRDefault="005E727D" w:rsidP="005E727D">
            <w:pPr>
              <w:spacing w:before="0" w:after="240"/>
              <w:jc w:val="left"/>
              <w:rPr>
                <w:rFonts w:cs="Arial"/>
                <w:color w:val="000000"/>
                <w:sz w:val="18"/>
                <w:szCs w:val="18"/>
              </w:rPr>
            </w:pPr>
            <w:r w:rsidRPr="009D701F">
              <w:rPr>
                <w:rFonts w:cs="Arial"/>
                <w:color w:val="000000"/>
                <w:sz w:val="18"/>
                <w:szCs w:val="18"/>
              </w:rPr>
              <w:t>Es necesario aclarar si el COT será un valor fijo para todos los meses en que sea cobrado o se trata de un valor variable. De la redacción de la norma se entiende que es un costo fijo. Sin embargo, considerando que este valor incorpora una tasa de interés que es variable de conformidad con las condiciones de mercado, no es claro si se trata de un valor fijo o es un valor que cada mes podrá ser diferente.</w:t>
            </w:r>
            <w:r w:rsidRPr="009D701F">
              <w:rPr>
                <w:rFonts w:cs="Arial"/>
                <w:color w:val="000000"/>
                <w:sz w:val="18"/>
                <w:szCs w:val="18"/>
              </w:rPr>
              <w:br/>
            </w:r>
            <w:r w:rsidRPr="009D701F">
              <w:rPr>
                <w:rFonts w:cs="Arial"/>
                <w:color w:val="000000"/>
                <w:sz w:val="18"/>
                <w:szCs w:val="18"/>
              </w:rPr>
              <w:br/>
              <w:t>Adicionalmente, entendemos que el COT depende del SAOT y VR que son las ventas totales. Esto implica que, si un comercializador pierde demanda el COT va a tener un valor más alto y adicional, a pesar de que ya es más alto para los usuarios de ese comercializador se le dirá al nuevo comercializador que aplique el COT que es más alto. Por lo anterior, también podría interpretarse que el COT sería un valor variable.                                                                                                                                                   En caso de que el COT sea un valor variable mes a mes, esto sería un desincentivo al cambio de comercializador porque entre más grande sea el comercializador más barato va a ser el COT. Si el COT se calculara una única vez sería más transparente.</w:t>
            </w:r>
            <w:r w:rsidRPr="009D701F">
              <w:rPr>
                <w:rFonts w:cs="Arial"/>
                <w:color w:val="000000"/>
                <w:sz w:val="18"/>
                <w:szCs w:val="18"/>
              </w:rPr>
              <w:br/>
            </w:r>
            <w:r w:rsidRPr="009D701F">
              <w:rPr>
                <w:rFonts w:cs="Arial"/>
                <w:color w:val="000000"/>
                <w:sz w:val="18"/>
                <w:szCs w:val="18"/>
              </w:rPr>
              <w:br/>
              <w:t>Es necesario aclarar que el COT es un valor fijo y adecuar toda la redacción de la resolución en ese sentido.</w:t>
            </w:r>
          </w:p>
        </w:tc>
        <w:tc>
          <w:tcPr>
            <w:tcW w:w="1872" w:type="pct"/>
            <w:hideMark/>
          </w:tcPr>
          <w:p w14:paraId="10AC2669" w14:textId="102E6AB9" w:rsidR="005E727D" w:rsidRPr="009D701F" w:rsidRDefault="005E727D" w:rsidP="005E727D">
            <w:pPr>
              <w:spacing w:before="0" w:after="0"/>
              <w:jc w:val="left"/>
              <w:rPr>
                <w:rFonts w:cs="Arial"/>
                <w:color w:val="000000"/>
                <w:sz w:val="18"/>
                <w:szCs w:val="18"/>
              </w:rPr>
            </w:pPr>
            <w:r w:rsidRPr="009D701F">
              <w:rPr>
                <w:rFonts w:cs="Arial"/>
                <w:color w:val="000000"/>
                <w:sz w:val="18"/>
                <w:szCs w:val="18"/>
              </w:rPr>
              <w:t xml:space="preserve">Se aclara que el COT es variable, toda vez que depende de la tasa de </w:t>
            </w:r>
            <w:r w:rsidR="00AC41AF" w:rsidRPr="009D701F">
              <w:rPr>
                <w:rFonts w:cs="Arial"/>
                <w:color w:val="000000"/>
                <w:sz w:val="18"/>
                <w:szCs w:val="18"/>
              </w:rPr>
              <w:t>interés</w:t>
            </w:r>
            <w:r w:rsidRPr="009D701F">
              <w:rPr>
                <w:rFonts w:cs="Arial"/>
                <w:color w:val="000000"/>
                <w:sz w:val="18"/>
                <w:szCs w:val="18"/>
              </w:rPr>
              <w:t xml:space="preserve"> aplicada y las ventas en el mercado de comercialización.  </w:t>
            </w:r>
            <w:r w:rsidRPr="009D701F">
              <w:rPr>
                <w:rFonts w:cs="Arial"/>
                <w:color w:val="000000"/>
                <w:sz w:val="18"/>
                <w:szCs w:val="18"/>
              </w:rPr>
              <w:br/>
            </w:r>
            <w:r w:rsidRPr="009D701F">
              <w:rPr>
                <w:rFonts w:cs="Arial"/>
                <w:color w:val="000000"/>
                <w:sz w:val="18"/>
                <w:szCs w:val="18"/>
              </w:rPr>
              <w:br/>
              <w:t>No obstante</w:t>
            </w:r>
            <w:r w:rsidR="00AC41AF" w:rsidRPr="009D701F">
              <w:rPr>
                <w:rFonts w:cs="Arial"/>
                <w:color w:val="000000"/>
                <w:sz w:val="18"/>
                <w:szCs w:val="18"/>
              </w:rPr>
              <w:t>,</w:t>
            </w:r>
            <w:r w:rsidRPr="009D701F">
              <w:rPr>
                <w:rFonts w:cs="Arial"/>
                <w:color w:val="000000"/>
                <w:sz w:val="18"/>
                <w:szCs w:val="18"/>
              </w:rPr>
              <w:t xml:space="preserve"> el COT </w:t>
            </w:r>
            <w:r w:rsidR="00AC41AF" w:rsidRPr="009D701F">
              <w:rPr>
                <w:rFonts w:cs="Arial"/>
                <w:color w:val="000000"/>
                <w:sz w:val="18"/>
                <w:szCs w:val="18"/>
              </w:rPr>
              <w:t>estará</w:t>
            </w:r>
            <w:r w:rsidRPr="009D701F">
              <w:rPr>
                <w:rFonts w:cs="Arial"/>
                <w:color w:val="000000"/>
                <w:sz w:val="18"/>
                <w:szCs w:val="18"/>
              </w:rPr>
              <w:t xml:space="preserve"> definido por mercado, independientemente del comercializador que atienda al nuevo usuario. </w:t>
            </w:r>
            <w:r w:rsidRPr="009D701F">
              <w:rPr>
                <w:rFonts w:cs="Arial"/>
                <w:color w:val="000000"/>
                <w:sz w:val="18"/>
                <w:szCs w:val="18"/>
              </w:rPr>
              <w:br/>
            </w:r>
            <w:r w:rsidRPr="009D701F">
              <w:rPr>
                <w:rFonts w:cs="Arial"/>
                <w:color w:val="000000"/>
                <w:sz w:val="18"/>
                <w:szCs w:val="18"/>
              </w:rPr>
              <w:br/>
              <w:t>Así no existe ningún desincentivo al cambio de comercializador por cuanto el COT no es parte del esquema competitivo.</w:t>
            </w:r>
          </w:p>
        </w:tc>
      </w:tr>
      <w:tr w:rsidR="005E727D" w:rsidRPr="007E00DB" w14:paraId="60E42042" w14:textId="77777777" w:rsidTr="009D701F">
        <w:trPr>
          <w:trHeight w:val="2320"/>
        </w:trPr>
        <w:tc>
          <w:tcPr>
            <w:tcW w:w="881" w:type="pct"/>
            <w:hideMark/>
          </w:tcPr>
          <w:p w14:paraId="3492A0CD"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E2023017852_EPM</w:t>
            </w:r>
          </w:p>
        </w:tc>
        <w:tc>
          <w:tcPr>
            <w:tcW w:w="2247" w:type="pct"/>
            <w:hideMark/>
          </w:tcPr>
          <w:p w14:paraId="782F953D"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Modificar el límite del 6% como condición de inicio de la recuperación de saldos, variable SBC. Nuestra sugerencia es que se aumente dicho límite al 8% e incluso, que se establezca dicho límite como un rango, en función de los saldos acumulados por cada empresa, de tal suerte que aquellas empresas con mayores saldos se les permita un porcentaje mayor y viceversa.</w:t>
            </w:r>
          </w:p>
        </w:tc>
        <w:tc>
          <w:tcPr>
            <w:tcW w:w="1872" w:type="pct"/>
            <w:hideMark/>
          </w:tcPr>
          <w:p w14:paraId="547D2AE9" w14:textId="279E3A4E" w:rsidR="005E727D" w:rsidRPr="009D701F" w:rsidRDefault="005E727D" w:rsidP="005E727D">
            <w:pPr>
              <w:spacing w:before="0" w:after="0"/>
              <w:jc w:val="left"/>
              <w:rPr>
                <w:rFonts w:cs="Arial"/>
                <w:color w:val="000000"/>
                <w:sz w:val="18"/>
                <w:szCs w:val="18"/>
              </w:rPr>
            </w:pPr>
            <w:r w:rsidRPr="009D701F">
              <w:rPr>
                <w:rFonts w:cs="Arial"/>
                <w:color w:val="000000"/>
                <w:sz w:val="18"/>
                <w:szCs w:val="18"/>
              </w:rPr>
              <w:t xml:space="preserve">De acuerdo con los </w:t>
            </w:r>
            <w:r w:rsidR="00AC41AF" w:rsidRPr="009D701F">
              <w:rPr>
                <w:rFonts w:cs="Arial"/>
                <w:color w:val="000000"/>
                <w:sz w:val="18"/>
                <w:szCs w:val="18"/>
              </w:rPr>
              <w:t>análisis</w:t>
            </w:r>
            <w:r w:rsidRPr="009D701F">
              <w:rPr>
                <w:rFonts w:cs="Arial"/>
                <w:color w:val="000000"/>
                <w:sz w:val="18"/>
                <w:szCs w:val="18"/>
              </w:rPr>
              <w:t xml:space="preserve"> realizados por la comisión y dados los incrementos realizados en el CU aplicado en los meses de octubre y noviembre de 2023 por los comercializadores, no se considera necesario aumentar dicho limite. </w:t>
            </w:r>
            <w:r w:rsidRPr="009D701F">
              <w:rPr>
                <w:rFonts w:cs="Arial"/>
                <w:color w:val="000000"/>
                <w:sz w:val="18"/>
                <w:szCs w:val="18"/>
              </w:rPr>
              <w:br/>
            </w:r>
            <w:r w:rsidRPr="009D701F">
              <w:rPr>
                <w:rFonts w:cs="Arial"/>
                <w:color w:val="000000"/>
                <w:sz w:val="18"/>
                <w:szCs w:val="18"/>
              </w:rPr>
              <w:br/>
              <w:t xml:space="preserve">Adicionalmente, se incluye alternativa para que el comercializador </w:t>
            </w:r>
            <w:r w:rsidR="00E116E5" w:rsidRPr="009D701F">
              <w:rPr>
                <w:rFonts w:cs="Arial"/>
                <w:color w:val="000000"/>
                <w:sz w:val="18"/>
                <w:szCs w:val="18"/>
              </w:rPr>
              <w:t xml:space="preserve">que no cumpla con la condición del 3% </w:t>
            </w:r>
            <w:r w:rsidRPr="009D701F">
              <w:rPr>
                <w:rFonts w:cs="Arial"/>
                <w:color w:val="000000"/>
                <w:sz w:val="18"/>
                <w:szCs w:val="18"/>
              </w:rPr>
              <w:t xml:space="preserve">inicie la recuperación del saldo con un perfil de pago de gradiente </w:t>
            </w:r>
            <w:r w:rsidR="00AC41AF" w:rsidRPr="009D701F">
              <w:rPr>
                <w:rFonts w:cs="Arial"/>
                <w:color w:val="000000"/>
                <w:sz w:val="18"/>
                <w:szCs w:val="18"/>
              </w:rPr>
              <w:t>aritmético</w:t>
            </w:r>
            <w:r w:rsidRPr="009D701F">
              <w:rPr>
                <w:rFonts w:cs="Arial"/>
                <w:color w:val="000000"/>
                <w:sz w:val="18"/>
                <w:szCs w:val="18"/>
              </w:rPr>
              <w:t xml:space="preserve"> creciente. </w:t>
            </w:r>
          </w:p>
        </w:tc>
      </w:tr>
      <w:tr w:rsidR="005E727D" w:rsidRPr="007E00DB" w14:paraId="0EBAE4DF" w14:textId="77777777" w:rsidTr="009D701F">
        <w:trPr>
          <w:trHeight w:val="2325"/>
        </w:trPr>
        <w:tc>
          <w:tcPr>
            <w:tcW w:w="881" w:type="pct"/>
            <w:hideMark/>
          </w:tcPr>
          <w:p w14:paraId="2AB6683B"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E2023017852_EPM</w:t>
            </w:r>
          </w:p>
        </w:tc>
        <w:tc>
          <w:tcPr>
            <w:tcW w:w="2247" w:type="pct"/>
            <w:hideMark/>
          </w:tcPr>
          <w:p w14:paraId="32C97A9F"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Disminuir el Plazo máximo de recuperación. Nuestra propuesta es pasarlo de 120 meses a 84 meses como máximo, lo cual evidentemente sería fundamental para las empresas con saldos elevados porque no solamente recuperarían en un plazo menor, sino que podrían comenzar a recuperar saldos más rápido, siempre y cuando se flexibilice el límite del punto anterior.</w:t>
            </w:r>
          </w:p>
        </w:tc>
        <w:tc>
          <w:tcPr>
            <w:tcW w:w="1872" w:type="pct"/>
            <w:hideMark/>
          </w:tcPr>
          <w:p w14:paraId="70DD27DC" w14:textId="77777777" w:rsidR="008602D6" w:rsidRPr="009D701F" w:rsidRDefault="005E727D" w:rsidP="005E727D">
            <w:pPr>
              <w:spacing w:before="0" w:after="0"/>
              <w:jc w:val="left"/>
              <w:rPr>
                <w:rFonts w:cs="Arial"/>
                <w:sz w:val="18"/>
                <w:szCs w:val="18"/>
              </w:rPr>
            </w:pPr>
            <w:r w:rsidRPr="009D701F">
              <w:rPr>
                <w:rFonts w:cs="Arial"/>
                <w:sz w:val="18"/>
                <w:szCs w:val="18"/>
              </w:rPr>
              <w:t xml:space="preserve">Las empresas pueden recuperar su saldo en menor tiempo que los 120 siempre y cuando se cumplan con los requisitos de aumento del CU. </w:t>
            </w:r>
          </w:p>
          <w:p w14:paraId="01B79005" w14:textId="77777777" w:rsidR="008602D6" w:rsidRPr="009D701F" w:rsidRDefault="008602D6" w:rsidP="005E727D">
            <w:pPr>
              <w:spacing w:before="0" w:after="0"/>
              <w:jc w:val="left"/>
              <w:rPr>
                <w:rFonts w:cs="Arial"/>
                <w:sz w:val="18"/>
                <w:szCs w:val="18"/>
              </w:rPr>
            </w:pPr>
          </w:p>
          <w:p w14:paraId="767201C5" w14:textId="00ACD6C2" w:rsidR="005E727D" w:rsidRPr="009D701F" w:rsidRDefault="005E727D" w:rsidP="005E727D">
            <w:pPr>
              <w:spacing w:before="0" w:after="0"/>
              <w:jc w:val="left"/>
              <w:rPr>
                <w:rFonts w:cs="Arial"/>
                <w:sz w:val="18"/>
                <w:szCs w:val="18"/>
              </w:rPr>
            </w:pPr>
            <w:r w:rsidRPr="009D701F">
              <w:rPr>
                <w:rFonts w:cs="Arial"/>
                <w:sz w:val="18"/>
                <w:szCs w:val="18"/>
              </w:rPr>
              <w:t>Con un plazo de hasta 120 meses se busca permitir que los aumentos en la tarifa no sean tan altos.</w:t>
            </w:r>
          </w:p>
        </w:tc>
      </w:tr>
      <w:tr w:rsidR="005E727D" w:rsidRPr="007E00DB" w14:paraId="48289324" w14:textId="77777777" w:rsidTr="009D701F">
        <w:trPr>
          <w:trHeight w:val="1740"/>
        </w:trPr>
        <w:tc>
          <w:tcPr>
            <w:tcW w:w="881" w:type="pct"/>
            <w:hideMark/>
          </w:tcPr>
          <w:p w14:paraId="32EAEDB1"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lastRenderedPageBreak/>
              <w:t>E2023017852_EPM</w:t>
            </w:r>
          </w:p>
        </w:tc>
        <w:tc>
          <w:tcPr>
            <w:tcW w:w="2247" w:type="pct"/>
            <w:hideMark/>
          </w:tcPr>
          <w:p w14:paraId="79AD7F5B"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Establecer la posibilidad de que durante el período de recuperación definido se pueda revisar como mínimo dos veces el Plazo de recuperación (</w:t>
            </w:r>
            <w:proofErr w:type="spellStart"/>
            <w:r w:rsidRPr="009D701F">
              <w:rPr>
                <w:rFonts w:cs="Arial"/>
                <w:color w:val="000000"/>
                <w:sz w:val="18"/>
                <w:szCs w:val="18"/>
              </w:rPr>
              <w:t>ma</w:t>
            </w:r>
            <w:proofErr w:type="spellEnd"/>
            <w:r w:rsidRPr="009D701F">
              <w:rPr>
                <w:rFonts w:cs="Arial"/>
                <w:color w:val="000000"/>
                <w:sz w:val="18"/>
                <w:szCs w:val="18"/>
              </w:rPr>
              <w:t>) en función de la situación de mercado, regulatoria y macroeconómica, de tal manera que, si las condiciones lo permiten y a solicitud de las empresas, se pueda disminuir el Plazo de recuperación.</w:t>
            </w:r>
          </w:p>
        </w:tc>
        <w:tc>
          <w:tcPr>
            <w:tcW w:w="1872" w:type="pct"/>
            <w:hideMark/>
          </w:tcPr>
          <w:p w14:paraId="0FFBC105"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Se incluye en la resolución definitiva</w:t>
            </w:r>
          </w:p>
        </w:tc>
      </w:tr>
      <w:tr w:rsidR="005E727D" w:rsidRPr="007E00DB" w14:paraId="0E40411A" w14:textId="77777777" w:rsidTr="009D701F">
        <w:trPr>
          <w:trHeight w:val="2320"/>
        </w:trPr>
        <w:tc>
          <w:tcPr>
            <w:tcW w:w="881" w:type="pct"/>
            <w:hideMark/>
          </w:tcPr>
          <w:p w14:paraId="57A19A01"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E2023017852_EPM</w:t>
            </w:r>
          </w:p>
        </w:tc>
        <w:tc>
          <w:tcPr>
            <w:tcW w:w="2247" w:type="pct"/>
            <w:hideMark/>
          </w:tcPr>
          <w:p w14:paraId="6D9DEE9A"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Igualmente, y como complemento, si ante la posibilidad de que una empresa aun acogiéndose a la medida no pueda comenzar la aplicación del COT, vemos prudente aumentar el rango propuesto del PV del 3% al 4%, de tal forma que se minimice el período de tiempo en el cual las empresas que se acojan a la propuesta puedan iniciar la aplicación la recuperación de los saldos y puedan enfrentar de mejor manera la situación coyuntural del Fenómeno de El Niño.</w:t>
            </w:r>
          </w:p>
        </w:tc>
        <w:tc>
          <w:tcPr>
            <w:tcW w:w="1872" w:type="pct"/>
            <w:hideMark/>
          </w:tcPr>
          <w:p w14:paraId="5ED78CC5" w14:textId="4403FF73" w:rsidR="005E727D" w:rsidRPr="009D701F" w:rsidRDefault="005E727D" w:rsidP="005E727D">
            <w:pPr>
              <w:spacing w:before="0" w:after="0"/>
              <w:jc w:val="left"/>
              <w:rPr>
                <w:rFonts w:cs="Arial"/>
                <w:color w:val="000000"/>
                <w:sz w:val="18"/>
                <w:szCs w:val="18"/>
              </w:rPr>
            </w:pPr>
            <w:r w:rsidRPr="009D701F">
              <w:rPr>
                <w:rFonts w:cs="Arial"/>
                <w:color w:val="000000"/>
                <w:sz w:val="18"/>
                <w:szCs w:val="18"/>
              </w:rPr>
              <w:t xml:space="preserve">De acuerdo con los </w:t>
            </w:r>
            <w:r w:rsidR="00AC41AF" w:rsidRPr="009D701F">
              <w:rPr>
                <w:rFonts w:cs="Arial"/>
                <w:color w:val="000000"/>
                <w:sz w:val="18"/>
                <w:szCs w:val="18"/>
              </w:rPr>
              <w:t>análisis</w:t>
            </w:r>
            <w:r w:rsidRPr="009D701F">
              <w:rPr>
                <w:rFonts w:cs="Arial"/>
                <w:color w:val="000000"/>
                <w:sz w:val="18"/>
                <w:szCs w:val="18"/>
              </w:rPr>
              <w:t xml:space="preserve"> realizados por la comisión y dados los incrementos realizados en el CU aplicado en los meses de octubre y noviembre de 2023 por los comercializadores, no se considera necesario aumentar dicho limite. </w:t>
            </w:r>
            <w:r w:rsidRPr="009D701F">
              <w:rPr>
                <w:rFonts w:cs="Arial"/>
                <w:color w:val="000000"/>
                <w:sz w:val="18"/>
                <w:szCs w:val="18"/>
              </w:rPr>
              <w:br/>
            </w:r>
            <w:r w:rsidRPr="009D701F">
              <w:rPr>
                <w:rFonts w:cs="Arial"/>
                <w:color w:val="000000"/>
                <w:sz w:val="18"/>
                <w:szCs w:val="18"/>
              </w:rPr>
              <w:br/>
            </w:r>
            <w:r w:rsidR="009B675C" w:rsidRPr="009D701F">
              <w:rPr>
                <w:rFonts w:cs="Arial"/>
                <w:color w:val="000000"/>
                <w:sz w:val="18"/>
                <w:szCs w:val="18"/>
              </w:rPr>
              <w:t xml:space="preserve">Adicionalmente, se incluye alternativa para que el comercializador que no cumpla con la condición del 3% inicie la recuperación del saldo con un perfil de pago de gradiente aritmético creciente. </w:t>
            </w:r>
            <w:r w:rsidRPr="009D701F">
              <w:rPr>
                <w:rFonts w:cs="Arial"/>
                <w:color w:val="000000"/>
                <w:sz w:val="18"/>
                <w:szCs w:val="18"/>
              </w:rPr>
              <w:t xml:space="preserve"> </w:t>
            </w:r>
          </w:p>
        </w:tc>
      </w:tr>
      <w:tr w:rsidR="005E727D" w:rsidRPr="007E00DB" w14:paraId="736B96A5" w14:textId="77777777" w:rsidTr="009D701F">
        <w:trPr>
          <w:trHeight w:val="2610"/>
        </w:trPr>
        <w:tc>
          <w:tcPr>
            <w:tcW w:w="881" w:type="pct"/>
            <w:hideMark/>
          </w:tcPr>
          <w:p w14:paraId="520E4CA0"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E2023017857_EBSA</w:t>
            </w:r>
          </w:p>
        </w:tc>
        <w:tc>
          <w:tcPr>
            <w:tcW w:w="2247" w:type="pct"/>
            <w:hideMark/>
          </w:tcPr>
          <w:p w14:paraId="099E6939" w14:textId="4153CBD3" w:rsidR="005E727D" w:rsidRPr="009D701F" w:rsidRDefault="005E727D" w:rsidP="005E727D">
            <w:pPr>
              <w:spacing w:before="0" w:after="0"/>
              <w:jc w:val="left"/>
              <w:rPr>
                <w:rFonts w:cs="Arial"/>
                <w:color w:val="000000"/>
                <w:sz w:val="18"/>
                <w:szCs w:val="18"/>
              </w:rPr>
            </w:pPr>
            <w:r w:rsidRPr="009D701F">
              <w:rPr>
                <w:rFonts w:cs="Arial"/>
                <w:color w:val="000000"/>
                <w:sz w:val="18"/>
                <w:szCs w:val="18"/>
              </w:rPr>
              <w:t>Se debe precisar si el acogimiento a este mecanismo debe realizarse por Nivel de Tensión.</w:t>
            </w:r>
            <w:r w:rsidRPr="009D701F">
              <w:rPr>
                <w:rFonts w:cs="Arial"/>
                <w:color w:val="000000"/>
                <w:sz w:val="18"/>
                <w:szCs w:val="18"/>
              </w:rPr>
              <w:br/>
            </w:r>
            <w:r w:rsidRPr="009D701F">
              <w:rPr>
                <w:rFonts w:cs="Arial"/>
                <w:color w:val="000000"/>
                <w:sz w:val="18"/>
                <w:szCs w:val="18"/>
              </w:rPr>
              <w:br/>
              <w:t xml:space="preserve">Modificar el </w:t>
            </w:r>
            <w:r w:rsidR="001A081F" w:rsidRPr="009D701F">
              <w:rPr>
                <w:rFonts w:cs="Arial"/>
                <w:color w:val="000000"/>
                <w:sz w:val="18"/>
                <w:szCs w:val="18"/>
              </w:rPr>
              <w:t>Artículo</w:t>
            </w:r>
            <w:r w:rsidRPr="009D701F">
              <w:rPr>
                <w:rFonts w:cs="Arial"/>
                <w:color w:val="000000"/>
                <w:sz w:val="18"/>
                <w:szCs w:val="18"/>
              </w:rPr>
              <w:t xml:space="preserve"> 1, </w:t>
            </w:r>
            <w:r w:rsidR="001F439A" w:rsidRPr="009D701F">
              <w:rPr>
                <w:rFonts w:cs="Arial"/>
                <w:color w:val="000000"/>
                <w:sz w:val="18"/>
                <w:szCs w:val="18"/>
              </w:rPr>
              <w:t>así</w:t>
            </w:r>
            <w:r w:rsidRPr="009D701F">
              <w:rPr>
                <w:rFonts w:cs="Arial"/>
                <w:color w:val="000000"/>
                <w:sz w:val="18"/>
                <w:szCs w:val="18"/>
              </w:rPr>
              <w:t>:</w:t>
            </w:r>
            <w:r w:rsidRPr="009D701F">
              <w:rPr>
                <w:rFonts w:cs="Arial"/>
                <w:color w:val="000000"/>
                <w:sz w:val="18"/>
                <w:szCs w:val="18"/>
              </w:rPr>
              <w:br/>
              <w:t xml:space="preserve">"...Los comercializadores tendrán un plazo de cinco (5) días hábiles a partir de la fecha de </w:t>
            </w:r>
            <w:proofErr w:type="gramStart"/>
            <w:r w:rsidRPr="009D701F">
              <w:rPr>
                <w:rFonts w:cs="Arial"/>
                <w:color w:val="000000"/>
                <w:sz w:val="18"/>
                <w:szCs w:val="18"/>
              </w:rPr>
              <w:t>entrada en vigencia</w:t>
            </w:r>
            <w:proofErr w:type="gramEnd"/>
            <w:r w:rsidRPr="009D701F">
              <w:rPr>
                <w:rFonts w:cs="Arial"/>
                <w:color w:val="000000"/>
                <w:sz w:val="18"/>
                <w:szCs w:val="18"/>
              </w:rPr>
              <w:t xml:space="preserve"> de la presente resolución para informar a la CREG, con copia a la Superintendencia de Servicios Públicos Domiciliarios, SSPD, la decisión de acogerse a las medidas incorporadas en la presente resolución por Nivel de </w:t>
            </w:r>
            <w:r w:rsidR="001A081F" w:rsidRPr="009D701F">
              <w:rPr>
                <w:rFonts w:cs="Arial"/>
                <w:color w:val="000000"/>
                <w:sz w:val="18"/>
                <w:szCs w:val="18"/>
              </w:rPr>
              <w:t>Tensión</w:t>
            </w:r>
            <w:r w:rsidRPr="009D701F">
              <w:rPr>
                <w:rFonts w:cs="Arial"/>
                <w:color w:val="000000"/>
                <w:sz w:val="18"/>
                <w:szCs w:val="18"/>
              </w:rPr>
              <w:t>..."</w:t>
            </w:r>
          </w:p>
        </w:tc>
        <w:tc>
          <w:tcPr>
            <w:tcW w:w="1872" w:type="pct"/>
            <w:hideMark/>
          </w:tcPr>
          <w:p w14:paraId="4DFF879E" w14:textId="77777777" w:rsidR="001F439A" w:rsidRPr="009D701F" w:rsidRDefault="005E727D" w:rsidP="005E727D">
            <w:pPr>
              <w:spacing w:before="0" w:after="0"/>
              <w:jc w:val="left"/>
              <w:rPr>
                <w:rFonts w:cs="Arial"/>
                <w:color w:val="000000"/>
                <w:sz w:val="18"/>
                <w:szCs w:val="18"/>
              </w:rPr>
            </w:pPr>
            <w:r w:rsidRPr="009D701F">
              <w:rPr>
                <w:rFonts w:cs="Arial"/>
                <w:color w:val="000000"/>
                <w:sz w:val="18"/>
                <w:szCs w:val="18"/>
              </w:rPr>
              <w:t xml:space="preserve">Se aclara que el mutuo acuerdo se realiza de manera general por </w:t>
            </w:r>
            <w:r w:rsidR="00AC41AF" w:rsidRPr="009D701F">
              <w:rPr>
                <w:rFonts w:cs="Arial"/>
                <w:color w:val="000000"/>
                <w:sz w:val="18"/>
                <w:szCs w:val="18"/>
              </w:rPr>
              <w:t>prestado</w:t>
            </w:r>
            <w:r w:rsidR="008724D6" w:rsidRPr="009D701F">
              <w:rPr>
                <w:rFonts w:cs="Arial"/>
                <w:color w:val="000000"/>
                <w:sz w:val="18"/>
                <w:szCs w:val="18"/>
              </w:rPr>
              <w:t>r</w:t>
            </w:r>
            <w:r w:rsidRPr="009D701F">
              <w:rPr>
                <w:rFonts w:cs="Arial"/>
                <w:color w:val="000000"/>
                <w:sz w:val="18"/>
                <w:szCs w:val="18"/>
              </w:rPr>
              <w:t xml:space="preserve"> del servicio sin que se pueda elegir en cuales niveles de tensión se acoge y en </w:t>
            </w:r>
            <w:r w:rsidR="001A081F" w:rsidRPr="009D701F">
              <w:rPr>
                <w:rFonts w:cs="Arial"/>
                <w:color w:val="000000"/>
                <w:sz w:val="18"/>
                <w:szCs w:val="18"/>
              </w:rPr>
              <w:t>cuáles</w:t>
            </w:r>
            <w:r w:rsidRPr="009D701F">
              <w:rPr>
                <w:rFonts w:cs="Arial"/>
                <w:color w:val="000000"/>
                <w:sz w:val="18"/>
                <w:szCs w:val="18"/>
              </w:rPr>
              <w:t xml:space="preserve"> no. </w:t>
            </w:r>
          </w:p>
          <w:p w14:paraId="742F956C" w14:textId="77777777" w:rsidR="001F439A" w:rsidRPr="009D701F" w:rsidRDefault="001F439A" w:rsidP="005E727D">
            <w:pPr>
              <w:spacing w:before="0" w:after="0"/>
              <w:jc w:val="left"/>
              <w:rPr>
                <w:rFonts w:cs="Arial"/>
                <w:color w:val="000000"/>
                <w:sz w:val="18"/>
                <w:szCs w:val="18"/>
              </w:rPr>
            </w:pPr>
          </w:p>
          <w:p w14:paraId="1D37740B" w14:textId="4A48BF0D" w:rsidR="005E727D" w:rsidRPr="009D701F" w:rsidRDefault="005E727D" w:rsidP="005E727D">
            <w:pPr>
              <w:spacing w:before="0" w:after="0"/>
              <w:jc w:val="left"/>
              <w:rPr>
                <w:rFonts w:cs="Arial"/>
                <w:color w:val="000000"/>
                <w:sz w:val="18"/>
                <w:szCs w:val="18"/>
              </w:rPr>
            </w:pPr>
            <w:r w:rsidRPr="009D701F">
              <w:rPr>
                <w:rFonts w:cs="Arial"/>
                <w:color w:val="000000"/>
                <w:sz w:val="18"/>
                <w:szCs w:val="18"/>
              </w:rPr>
              <w:t>No obstante</w:t>
            </w:r>
            <w:r w:rsidR="001A081F" w:rsidRPr="009D701F">
              <w:rPr>
                <w:rFonts w:cs="Arial"/>
                <w:color w:val="000000"/>
                <w:sz w:val="18"/>
                <w:szCs w:val="18"/>
              </w:rPr>
              <w:t>,</w:t>
            </w:r>
            <w:r w:rsidRPr="009D701F">
              <w:rPr>
                <w:rFonts w:cs="Arial"/>
                <w:color w:val="000000"/>
                <w:sz w:val="18"/>
                <w:szCs w:val="18"/>
              </w:rPr>
              <w:t xml:space="preserve"> el COT </w:t>
            </w:r>
            <w:r w:rsidR="001F439A" w:rsidRPr="009D701F">
              <w:rPr>
                <w:rFonts w:cs="Arial"/>
                <w:color w:val="000000"/>
                <w:sz w:val="18"/>
                <w:szCs w:val="18"/>
              </w:rPr>
              <w:t xml:space="preserve">sí </w:t>
            </w:r>
            <w:r w:rsidRPr="009D701F">
              <w:rPr>
                <w:rFonts w:cs="Arial"/>
                <w:color w:val="000000"/>
                <w:sz w:val="18"/>
                <w:szCs w:val="18"/>
              </w:rPr>
              <w:t xml:space="preserve">se calcula por nivel de tensión.  </w:t>
            </w:r>
          </w:p>
        </w:tc>
      </w:tr>
      <w:tr w:rsidR="005E727D" w:rsidRPr="007E00DB" w14:paraId="6DD8F8BF" w14:textId="77777777" w:rsidTr="009D701F">
        <w:trPr>
          <w:trHeight w:val="2900"/>
        </w:trPr>
        <w:tc>
          <w:tcPr>
            <w:tcW w:w="881" w:type="pct"/>
            <w:hideMark/>
          </w:tcPr>
          <w:p w14:paraId="017F312E"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E2023017857_EBSA</w:t>
            </w:r>
          </w:p>
        </w:tc>
        <w:tc>
          <w:tcPr>
            <w:tcW w:w="2247" w:type="pct"/>
            <w:hideMark/>
          </w:tcPr>
          <w:p w14:paraId="078E614B" w14:textId="46537B93" w:rsidR="005E727D" w:rsidRPr="009D701F" w:rsidRDefault="005E727D" w:rsidP="005E727D">
            <w:pPr>
              <w:spacing w:before="0" w:after="0"/>
              <w:jc w:val="left"/>
              <w:rPr>
                <w:rFonts w:cs="Arial"/>
                <w:color w:val="000000"/>
                <w:sz w:val="18"/>
                <w:szCs w:val="18"/>
              </w:rPr>
            </w:pPr>
            <w:r w:rsidRPr="009D701F">
              <w:rPr>
                <w:rFonts w:cs="Arial"/>
                <w:color w:val="000000"/>
                <w:sz w:val="18"/>
                <w:szCs w:val="18"/>
              </w:rPr>
              <w:t>Se requiere explícitamente una certificación del valor del saldo acumulado del Comercializador a la fecha de finalización de la opción tarifaria.</w:t>
            </w:r>
            <w:r w:rsidRPr="009D701F">
              <w:rPr>
                <w:rFonts w:cs="Arial"/>
                <w:color w:val="000000"/>
                <w:sz w:val="18"/>
                <w:szCs w:val="18"/>
              </w:rPr>
              <w:br/>
            </w:r>
            <w:r w:rsidRPr="009D701F">
              <w:rPr>
                <w:rFonts w:cs="Arial"/>
                <w:color w:val="000000"/>
                <w:sz w:val="18"/>
                <w:szCs w:val="18"/>
              </w:rPr>
              <w:br/>
              <w:t xml:space="preserve">Modificar el Numeral 3 del </w:t>
            </w:r>
            <w:r w:rsidR="001A081F" w:rsidRPr="009D701F">
              <w:rPr>
                <w:rFonts w:cs="Arial"/>
                <w:color w:val="000000"/>
                <w:sz w:val="18"/>
                <w:szCs w:val="18"/>
              </w:rPr>
              <w:t>Artículo</w:t>
            </w:r>
            <w:r w:rsidRPr="009D701F">
              <w:rPr>
                <w:rFonts w:cs="Arial"/>
                <w:color w:val="000000"/>
                <w:sz w:val="18"/>
                <w:szCs w:val="18"/>
              </w:rPr>
              <w:t xml:space="preserve"> 4, </w:t>
            </w:r>
            <w:r w:rsidR="001A081F" w:rsidRPr="009D701F">
              <w:rPr>
                <w:rFonts w:cs="Arial"/>
                <w:color w:val="000000"/>
                <w:sz w:val="18"/>
                <w:szCs w:val="18"/>
              </w:rPr>
              <w:t>así</w:t>
            </w:r>
            <w:r w:rsidRPr="009D701F">
              <w:rPr>
                <w:rFonts w:cs="Arial"/>
                <w:color w:val="000000"/>
                <w:sz w:val="18"/>
                <w:szCs w:val="18"/>
              </w:rPr>
              <w:t>:</w:t>
            </w:r>
            <w:r w:rsidRPr="009D701F">
              <w:rPr>
                <w:rFonts w:cs="Arial"/>
                <w:color w:val="000000"/>
                <w:sz w:val="18"/>
                <w:szCs w:val="18"/>
              </w:rPr>
              <w:br/>
              <w:t>...La Superintendencia de Servicios Públicos Domiciliarios, SSPD, deberá certificar el valor del saldo acumulado, y que este corresponde a la aplicación correcta de la opción tarifaria definida en la Resolución CREG 012 de 2020 y aplicada según lo establecido en la Resolución CREG 058 de 2020..."</w:t>
            </w:r>
          </w:p>
        </w:tc>
        <w:tc>
          <w:tcPr>
            <w:tcW w:w="1872" w:type="pct"/>
            <w:hideMark/>
          </w:tcPr>
          <w:p w14:paraId="7C373AD5" w14:textId="77777777" w:rsidR="005E727D" w:rsidRPr="009D701F" w:rsidRDefault="005E727D" w:rsidP="005E727D">
            <w:pPr>
              <w:spacing w:before="0" w:after="0"/>
              <w:jc w:val="left"/>
              <w:rPr>
                <w:rFonts w:cs="Arial"/>
                <w:sz w:val="18"/>
                <w:szCs w:val="18"/>
              </w:rPr>
            </w:pPr>
            <w:r w:rsidRPr="009D701F">
              <w:rPr>
                <w:rFonts w:cs="Arial"/>
                <w:sz w:val="18"/>
                <w:szCs w:val="18"/>
              </w:rPr>
              <w:t>El saldo podrá ser objeto de revisión, para ajuste de precisiones, en los eventos de revisión de liquidaciones considerados en la resolución.</w:t>
            </w:r>
          </w:p>
        </w:tc>
      </w:tr>
      <w:tr w:rsidR="005E727D" w:rsidRPr="007E00DB" w14:paraId="1954E73D" w14:textId="77777777" w:rsidTr="009D701F">
        <w:trPr>
          <w:trHeight w:val="2900"/>
        </w:trPr>
        <w:tc>
          <w:tcPr>
            <w:tcW w:w="881" w:type="pct"/>
            <w:hideMark/>
          </w:tcPr>
          <w:p w14:paraId="37CBA741"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lastRenderedPageBreak/>
              <w:t>E2023017857_EBSA</w:t>
            </w:r>
          </w:p>
        </w:tc>
        <w:tc>
          <w:tcPr>
            <w:tcW w:w="2247" w:type="pct"/>
            <w:hideMark/>
          </w:tcPr>
          <w:p w14:paraId="1ADC49CC" w14:textId="36430D62" w:rsidR="005E727D" w:rsidRPr="009D701F" w:rsidRDefault="005E727D" w:rsidP="005E727D">
            <w:pPr>
              <w:spacing w:before="0" w:after="0"/>
              <w:jc w:val="left"/>
              <w:rPr>
                <w:rFonts w:cs="Arial"/>
                <w:color w:val="000000"/>
                <w:sz w:val="18"/>
                <w:szCs w:val="18"/>
              </w:rPr>
            </w:pPr>
            <w:r w:rsidRPr="009D701F">
              <w:rPr>
                <w:rFonts w:cs="Arial"/>
                <w:color w:val="000000"/>
                <w:sz w:val="18"/>
                <w:szCs w:val="18"/>
              </w:rPr>
              <w:t>Se requiere que se incluya cual será el mecanismo y/o metodología de conciliación de valores del Saldo Acumulado en caso de que se encuentren algunas inconsistencias en la validación de la información reportada por parte de los Comercializadores en caso de existir, así como los plazos otorgados para su revisión y env</w:t>
            </w:r>
            <w:r w:rsidR="00E931AF" w:rsidRPr="009D701F">
              <w:rPr>
                <w:rFonts w:cs="Arial"/>
                <w:color w:val="000000"/>
                <w:sz w:val="18"/>
                <w:szCs w:val="18"/>
              </w:rPr>
              <w:t>ío</w:t>
            </w:r>
            <w:r w:rsidRPr="009D701F">
              <w:rPr>
                <w:rFonts w:cs="Arial"/>
                <w:color w:val="000000"/>
                <w:sz w:val="18"/>
                <w:szCs w:val="18"/>
              </w:rPr>
              <w:t>.</w:t>
            </w:r>
            <w:r w:rsidRPr="009D701F">
              <w:rPr>
                <w:rFonts w:cs="Arial"/>
                <w:color w:val="000000"/>
                <w:sz w:val="18"/>
                <w:szCs w:val="18"/>
              </w:rPr>
              <w:br/>
            </w:r>
            <w:r w:rsidRPr="009D701F">
              <w:rPr>
                <w:rFonts w:cs="Arial"/>
                <w:color w:val="000000"/>
                <w:sz w:val="18"/>
                <w:szCs w:val="18"/>
              </w:rPr>
              <w:br/>
              <w:t>Modificar el Numeral 3 del Artículo 4, incluyendo los mecanismos y/o metodología que será empleada para realizar los ajustes y/o correcciones en caso que existan en la validación de la aplicación del cálculo del Saldo Acumulado, así como los plazos previstos.</w:t>
            </w:r>
          </w:p>
        </w:tc>
        <w:tc>
          <w:tcPr>
            <w:tcW w:w="1872" w:type="pct"/>
            <w:hideMark/>
          </w:tcPr>
          <w:p w14:paraId="1007E124" w14:textId="5AD447F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 xml:space="preserve">El Comité Asesor de la </w:t>
            </w:r>
            <w:r w:rsidR="001A081F" w:rsidRPr="009D701F">
              <w:rPr>
                <w:rFonts w:cs="Arial"/>
                <w:color w:val="000000"/>
                <w:sz w:val="18"/>
                <w:szCs w:val="18"/>
              </w:rPr>
              <w:t>Comercialización</w:t>
            </w:r>
            <w:r w:rsidRPr="009D701F">
              <w:rPr>
                <w:rFonts w:cs="Arial"/>
                <w:color w:val="000000"/>
                <w:sz w:val="18"/>
                <w:szCs w:val="18"/>
              </w:rPr>
              <w:t xml:space="preserve"> deberá enviar a la CREG una propuesta de cálculo y publicación del costo asociado con la recuperación del saldo de la opción tarifaria en un mercado determinado. Teniendo en cuenta que dicha </w:t>
            </w:r>
            <w:r w:rsidR="001A081F" w:rsidRPr="009D701F">
              <w:rPr>
                <w:rFonts w:cs="Arial"/>
                <w:color w:val="000000"/>
                <w:sz w:val="18"/>
                <w:szCs w:val="18"/>
              </w:rPr>
              <w:t>información</w:t>
            </w:r>
            <w:r w:rsidRPr="009D701F">
              <w:rPr>
                <w:rFonts w:cs="Arial"/>
                <w:color w:val="000000"/>
                <w:sz w:val="18"/>
                <w:szCs w:val="18"/>
              </w:rPr>
              <w:t xml:space="preserve"> debe estar disponible antes del 15 del mes que corresponda.</w:t>
            </w:r>
          </w:p>
        </w:tc>
      </w:tr>
      <w:tr w:rsidR="005E727D" w:rsidRPr="007E00DB" w14:paraId="558954B6" w14:textId="77777777" w:rsidTr="009D701F">
        <w:trPr>
          <w:trHeight w:val="2900"/>
        </w:trPr>
        <w:tc>
          <w:tcPr>
            <w:tcW w:w="881" w:type="pct"/>
            <w:hideMark/>
          </w:tcPr>
          <w:p w14:paraId="6937DBBC"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E2023017857_EBSA</w:t>
            </w:r>
          </w:p>
        </w:tc>
        <w:tc>
          <w:tcPr>
            <w:tcW w:w="2247" w:type="pct"/>
            <w:hideMark/>
          </w:tcPr>
          <w:p w14:paraId="1EF5AD91" w14:textId="5362C8DE" w:rsidR="005E727D" w:rsidRPr="009D701F" w:rsidRDefault="005E727D" w:rsidP="005E727D">
            <w:pPr>
              <w:spacing w:before="0" w:after="0"/>
              <w:jc w:val="left"/>
              <w:rPr>
                <w:rFonts w:cs="Arial"/>
                <w:color w:val="000000"/>
                <w:sz w:val="18"/>
                <w:szCs w:val="18"/>
              </w:rPr>
            </w:pPr>
            <w:r w:rsidRPr="009D701F">
              <w:rPr>
                <w:rFonts w:cs="Arial"/>
                <w:color w:val="000000"/>
                <w:sz w:val="18"/>
                <w:szCs w:val="18"/>
              </w:rPr>
              <w:t xml:space="preserve">Se requiere que la variable COT no sea modificada por la </w:t>
            </w:r>
            <w:r w:rsidR="001A081F" w:rsidRPr="009D701F">
              <w:rPr>
                <w:rFonts w:cs="Arial"/>
                <w:color w:val="000000"/>
                <w:sz w:val="18"/>
                <w:szCs w:val="18"/>
              </w:rPr>
              <w:t>metodología</w:t>
            </w:r>
            <w:r w:rsidRPr="009D701F">
              <w:rPr>
                <w:rFonts w:cs="Arial"/>
                <w:color w:val="000000"/>
                <w:sz w:val="18"/>
                <w:szCs w:val="18"/>
              </w:rPr>
              <w:t xml:space="preserve"> de actualización de la comercialización.</w:t>
            </w:r>
            <w:r w:rsidRPr="009D701F">
              <w:rPr>
                <w:rFonts w:cs="Arial"/>
                <w:color w:val="000000"/>
                <w:sz w:val="18"/>
                <w:szCs w:val="18"/>
              </w:rPr>
              <w:br/>
            </w:r>
            <w:r w:rsidRPr="009D701F">
              <w:rPr>
                <w:rFonts w:cs="Arial"/>
                <w:color w:val="000000"/>
                <w:sz w:val="18"/>
                <w:szCs w:val="18"/>
              </w:rPr>
              <w:br/>
              <w:t xml:space="preserve">Modificar el Numeral 1 del </w:t>
            </w:r>
            <w:r w:rsidR="001A081F" w:rsidRPr="009D701F">
              <w:rPr>
                <w:rFonts w:cs="Arial"/>
                <w:color w:val="000000"/>
                <w:sz w:val="18"/>
                <w:szCs w:val="18"/>
              </w:rPr>
              <w:t>Artículo</w:t>
            </w:r>
            <w:r w:rsidRPr="009D701F">
              <w:rPr>
                <w:rFonts w:cs="Arial"/>
                <w:color w:val="000000"/>
                <w:sz w:val="18"/>
                <w:szCs w:val="18"/>
              </w:rPr>
              <w:t xml:space="preserve"> 4, incl</w:t>
            </w:r>
            <w:r w:rsidR="001A081F" w:rsidRPr="009D701F">
              <w:rPr>
                <w:rFonts w:cs="Arial"/>
                <w:color w:val="000000"/>
                <w:sz w:val="18"/>
                <w:szCs w:val="18"/>
              </w:rPr>
              <w:t>u</w:t>
            </w:r>
            <w:r w:rsidRPr="009D701F">
              <w:rPr>
                <w:rFonts w:cs="Arial"/>
                <w:color w:val="000000"/>
                <w:sz w:val="18"/>
                <w:szCs w:val="18"/>
              </w:rPr>
              <w:t>yendo el siguiente texto:</w:t>
            </w:r>
            <w:r w:rsidRPr="009D701F">
              <w:rPr>
                <w:rFonts w:cs="Arial"/>
                <w:color w:val="000000"/>
                <w:sz w:val="18"/>
                <w:szCs w:val="18"/>
              </w:rPr>
              <w:br/>
              <w:t xml:space="preserve">El Costo asociado con la recuperación del saldo de la opción tarifaria del nivel de tensión n, del comercializador i, en el mercado de comercialización j y en el mes m. expresado en $/kWh), </w:t>
            </w:r>
            <w:proofErr w:type="spellStart"/>
            <w:r w:rsidRPr="009D701F">
              <w:rPr>
                <w:rFonts w:cs="Arial"/>
                <w:color w:val="000000"/>
                <w:sz w:val="18"/>
                <w:szCs w:val="18"/>
              </w:rPr>
              <w:t>COTn,i,j,m</w:t>
            </w:r>
            <w:proofErr w:type="spellEnd"/>
            <w:r w:rsidRPr="009D701F">
              <w:rPr>
                <w:rFonts w:cs="Arial"/>
                <w:color w:val="000000"/>
                <w:sz w:val="18"/>
                <w:szCs w:val="18"/>
              </w:rPr>
              <w:t xml:space="preserve">, previsto en la Resolución CREG 101 XX de 2023,  hará parte de la nueva Fórmula de los Costos de comercialización, </w:t>
            </w:r>
            <w:proofErr w:type="spellStart"/>
            <w:r w:rsidRPr="009D701F">
              <w:rPr>
                <w:rFonts w:cs="Arial"/>
                <w:color w:val="000000"/>
                <w:sz w:val="18"/>
                <w:szCs w:val="18"/>
              </w:rPr>
              <w:t>Cvn,m,i,j</w:t>
            </w:r>
            <w:proofErr w:type="spellEnd"/>
            <w:r w:rsidRPr="009D701F">
              <w:rPr>
                <w:rFonts w:cs="Arial"/>
                <w:color w:val="000000"/>
                <w:sz w:val="18"/>
                <w:szCs w:val="18"/>
              </w:rPr>
              <w:t xml:space="preserve">, determinada por parte de la CREG. </w:t>
            </w:r>
          </w:p>
        </w:tc>
        <w:tc>
          <w:tcPr>
            <w:tcW w:w="1872" w:type="pct"/>
            <w:hideMark/>
          </w:tcPr>
          <w:p w14:paraId="5210473A" w14:textId="5C190011" w:rsidR="005E727D" w:rsidRPr="009D701F" w:rsidRDefault="005E727D" w:rsidP="005E727D">
            <w:pPr>
              <w:spacing w:before="0" w:after="0"/>
              <w:jc w:val="left"/>
              <w:rPr>
                <w:rFonts w:cs="Arial"/>
                <w:color w:val="000000"/>
                <w:sz w:val="18"/>
                <w:szCs w:val="18"/>
              </w:rPr>
            </w:pPr>
            <w:r w:rsidRPr="009D701F">
              <w:rPr>
                <w:rFonts w:cs="Arial"/>
                <w:color w:val="000000"/>
                <w:sz w:val="18"/>
                <w:szCs w:val="18"/>
              </w:rPr>
              <w:t xml:space="preserve">Se aclara que la </w:t>
            </w:r>
            <w:r w:rsidR="001A081F" w:rsidRPr="009D701F">
              <w:rPr>
                <w:rFonts w:cs="Arial"/>
                <w:color w:val="000000"/>
                <w:sz w:val="18"/>
                <w:szCs w:val="18"/>
              </w:rPr>
              <w:t>metodología</w:t>
            </w:r>
            <w:r w:rsidRPr="009D701F">
              <w:rPr>
                <w:rFonts w:cs="Arial"/>
                <w:color w:val="000000"/>
                <w:sz w:val="18"/>
                <w:szCs w:val="18"/>
              </w:rPr>
              <w:t xml:space="preserve"> de remuneración de la comercialización a usuarios regulados </w:t>
            </w:r>
            <w:r w:rsidR="00793513" w:rsidRPr="009D701F">
              <w:rPr>
                <w:rFonts w:cs="Arial"/>
                <w:color w:val="000000"/>
                <w:sz w:val="18"/>
                <w:szCs w:val="18"/>
              </w:rPr>
              <w:t xml:space="preserve">que reemplace </w:t>
            </w:r>
            <w:r w:rsidR="00AA7D24" w:rsidRPr="009D701F">
              <w:rPr>
                <w:rFonts w:cs="Arial"/>
                <w:color w:val="000000"/>
                <w:sz w:val="18"/>
                <w:szCs w:val="18"/>
              </w:rPr>
              <w:t xml:space="preserve">la </w:t>
            </w:r>
            <w:r w:rsidRPr="009D701F">
              <w:rPr>
                <w:rFonts w:cs="Arial"/>
                <w:color w:val="000000"/>
                <w:sz w:val="18"/>
                <w:szCs w:val="18"/>
              </w:rPr>
              <w:t xml:space="preserve">contenida en la </w:t>
            </w:r>
            <w:r w:rsidR="00AA7D24" w:rsidRPr="009D701F">
              <w:rPr>
                <w:rFonts w:cs="Arial"/>
                <w:color w:val="000000"/>
                <w:sz w:val="18"/>
                <w:szCs w:val="18"/>
              </w:rPr>
              <w:t xml:space="preserve">resolución </w:t>
            </w:r>
            <w:r w:rsidRPr="009D701F">
              <w:rPr>
                <w:rFonts w:cs="Arial"/>
                <w:color w:val="000000"/>
                <w:sz w:val="18"/>
                <w:szCs w:val="18"/>
              </w:rPr>
              <w:t>CREG 180 de 2014, deberá recoger los costos a remunerar en cada caso.</w:t>
            </w:r>
          </w:p>
        </w:tc>
      </w:tr>
      <w:tr w:rsidR="005E727D" w:rsidRPr="007E00DB" w14:paraId="5696BB04" w14:textId="77777777" w:rsidTr="009D701F">
        <w:trPr>
          <w:trHeight w:val="1740"/>
        </w:trPr>
        <w:tc>
          <w:tcPr>
            <w:tcW w:w="881" w:type="pct"/>
            <w:hideMark/>
          </w:tcPr>
          <w:p w14:paraId="10839F64"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E2023017859_EEP</w:t>
            </w:r>
          </w:p>
        </w:tc>
        <w:tc>
          <w:tcPr>
            <w:tcW w:w="2247" w:type="pct"/>
            <w:hideMark/>
          </w:tcPr>
          <w:p w14:paraId="24866791" w14:textId="7FF14B44" w:rsidR="005E727D" w:rsidRPr="009D701F" w:rsidRDefault="005E727D" w:rsidP="005E727D">
            <w:pPr>
              <w:spacing w:before="0" w:after="0"/>
              <w:jc w:val="left"/>
              <w:rPr>
                <w:rFonts w:cs="Arial"/>
                <w:color w:val="000000"/>
                <w:sz w:val="18"/>
                <w:szCs w:val="18"/>
              </w:rPr>
            </w:pPr>
            <w:r w:rsidRPr="009D701F">
              <w:rPr>
                <w:rFonts w:cs="Arial"/>
                <w:color w:val="000000"/>
                <w:sz w:val="18"/>
                <w:szCs w:val="18"/>
              </w:rPr>
              <w:t xml:space="preserve">El plazo de 5 </w:t>
            </w:r>
            <w:r w:rsidR="001A081F" w:rsidRPr="009D701F">
              <w:rPr>
                <w:rFonts w:cs="Arial"/>
                <w:color w:val="000000"/>
                <w:sz w:val="18"/>
                <w:szCs w:val="18"/>
              </w:rPr>
              <w:t>días</w:t>
            </w:r>
            <w:r w:rsidRPr="009D701F">
              <w:rPr>
                <w:rFonts w:cs="Arial"/>
                <w:color w:val="000000"/>
                <w:sz w:val="18"/>
                <w:szCs w:val="18"/>
              </w:rPr>
              <w:t xml:space="preserve"> para el mutuo acuerdo es corto.</w:t>
            </w:r>
            <w:r w:rsidRPr="009D701F">
              <w:rPr>
                <w:rFonts w:cs="Arial"/>
                <w:color w:val="000000"/>
                <w:sz w:val="18"/>
                <w:szCs w:val="18"/>
              </w:rPr>
              <w:br/>
            </w:r>
            <w:r w:rsidRPr="009D701F">
              <w:rPr>
                <w:rFonts w:cs="Arial"/>
                <w:color w:val="000000"/>
                <w:sz w:val="18"/>
                <w:szCs w:val="18"/>
              </w:rPr>
              <w:br/>
            </w:r>
            <w:r w:rsidR="001A081F" w:rsidRPr="009D701F">
              <w:rPr>
                <w:rFonts w:cs="Arial"/>
                <w:color w:val="000000"/>
                <w:sz w:val="18"/>
                <w:szCs w:val="18"/>
              </w:rPr>
              <w:t>Se</w:t>
            </w:r>
            <w:r w:rsidRPr="009D701F">
              <w:rPr>
                <w:rFonts w:cs="Arial"/>
                <w:color w:val="000000"/>
                <w:sz w:val="18"/>
                <w:szCs w:val="18"/>
              </w:rPr>
              <w:t xml:space="preserve"> amplie el plazo para tomar esta decisión, dado que, es poco tiempo para que las empresas puedan realizar sus respectivos análisis financieros</w:t>
            </w:r>
            <w:r w:rsidR="005E3243" w:rsidRPr="009D701F">
              <w:rPr>
                <w:rFonts w:cs="Arial"/>
                <w:color w:val="000000"/>
                <w:sz w:val="18"/>
                <w:szCs w:val="18"/>
              </w:rPr>
              <w:t xml:space="preserve"> </w:t>
            </w:r>
            <w:r w:rsidRPr="009D701F">
              <w:rPr>
                <w:rFonts w:cs="Arial"/>
                <w:color w:val="000000"/>
                <w:sz w:val="18"/>
                <w:szCs w:val="18"/>
              </w:rPr>
              <w:t>antes de tomar la decisión de acogerse al mecanismo</w:t>
            </w:r>
          </w:p>
        </w:tc>
        <w:tc>
          <w:tcPr>
            <w:tcW w:w="1872" w:type="pct"/>
            <w:hideMark/>
          </w:tcPr>
          <w:p w14:paraId="50AB46CD" w14:textId="77777777" w:rsidR="005E3243" w:rsidRPr="009D701F" w:rsidRDefault="005E727D" w:rsidP="005E727D">
            <w:pPr>
              <w:spacing w:before="0" w:after="0"/>
              <w:jc w:val="left"/>
              <w:rPr>
                <w:rFonts w:cs="Arial"/>
                <w:color w:val="000000"/>
                <w:sz w:val="18"/>
                <w:szCs w:val="18"/>
              </w:rPr>
            </w:pPr>
            <w:r w:rsidRPr="009D701F">
              <w:rPr>
                <w:rFonts w:cs="Arial"/>
                <w:color w:val="000000"/>
                <w:sz w:val="18"/>
                <w:szCs w:val="18"/>
              </w:rPr>
              <w:t xml:space="preserve">Se entiende que, durante el tiempo entre la consulta y la resolución </w:t>
            </w:r>
            <w:r w:rsidR="001A081F" w:rsidRPr="009D701F">
              <w:rPr>
                <w:rFonts w:cs="Arial"/>
                <w:color w:val="000000"/>
                <w:sz w:val="18"/>
                <w:szCs w:val="18"/>
              </w:rPr>
              <w:t>definitiva</w:t>
            </w:r>
            <w:r w:rsidRPr="009D701F">
              <w:rPr>
                <w:rFonts w:cs="Arial"/>
                <w:color w:val="000000"/>
                <w:sz w:val="18"/>
                <w:szCs w:val="18"/>
              </w:rPr>
              <w:t>, la cual no introduce cambios grandes respecto del sistema, las empresas han podido efectuar sus ejercicios financieros para poder tomar dicha decisión.</w:t>
            </w:r>
          </w:p>
          <w:p w14:paraId="533FEDE8" w14:textId="6DB194ED" w:rsidR="005E727D" w:rsidRPr="009D701F" w:rsidRDefault="005E727D" w:rsidP="005E727D">
            <w:pPr>
              <w:spacing w:before="0" w:after="0"/>
              <w:jc w:val="left"/>
              <w:rPr>
                <w:rFonts w:cs="Arial"/>
                <w:color w:val="000000"/>
                <w:sz w:val="18"/>
                <w:szCs w:val="18"/>
              </w:rPr>
            </w:pPr>
            <w:r w:rsidRPr="009D701F">
              <w:rPr>
                <w:rFonts w:cs="Arial"/>
                <w:color w:val="000000"/>
                <w:sz w:val="18"/>
                <w:szCs w:val="18"/>
              </w:rPr>
              <w:br/>
              <w:t>El incrementar el tiempo de acogerse puede aumentar, de manera importante, el tiempo de aplicación de la medida.</w:t>
            </w:r>
          </w:p>
        </w:tc>
      </w:tr>
      <w:tr w:rsidR="005E727D" w:rsidRPr="007E00DB" w14:paraId="291BE711" w14:textId="77777777" w:rsidTr="009D701F">
        <w:trPr>
          <w:trHeight w:val="870"/>
        </w:trPr>
        <w:tc>
          <w:tcPr>
            <w:tcW w:w="881" w:type="pct"/>
            <w:hideMark/>
          </w:tcPr>
          <w:p w14:paraId="6F916B35"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E2023017859_EEP</w:t>
            </w:r>
          </w:p>
        </w:tc>
        <w:tc>
          <w:tcPr>
            <w:tcW w:w="2247" w:type="pct"/>
            <w:hideMark/>
          </w:tcPr>
          <w:p w14:paraId="38CAB987" w14:textId="4837F8DD" w:rsidR="005E727D" w:rsidRPr="009D701F" w:rsidRDefault="005E727D" w:rsidP="005E727D">
            <w:pPr>
              <w:spacing w:before="0" w:after="0"/>
              <w:jc w:val="left"/>
              <w:rPr>
                <w:rFonts w:cs="Arial"/>
                <w:color w:val="000000"/>
                <w:sz w:val="18"/>
                <w:szCs w:val="18"/>
              </w:rPr>
            </w:pPr>
            <w:r w:rsidRPr="009D701F">
              <w:rPr>
                <w:rFonts w:cs="Arial"/>
                <w:color w:val="000000"/>
                <w:sz w:val="18"/>
                <w:szCs w:val="18"/>
              </w:rPr>
              <w:t xml:space="preserve">Cuando un usuario, atendido por un comercializador i que este </w:t>
            </w:r>
            <w:r w:rsidR="005E3243" w:rsidRPr="009D701F">
              <w:rPr>
                <w:rFonts w:cs="Arial"/>
                <w:color w:val="000000"/>
                <w:sz w:val="18"/>
                <w:szCs w:val="18"/>
              </w:rPr>
              <w:t xml:space="preserve">aplicando una </w:t>
            </w:r>
            <w:r w:rsidRPr="009D701F">
              <w:rPr>
                <w:rFonts w:cs="Arial"/>
                <w:color w:val="000000"/>
                <w:sz w:val="18"/>
                <w:szCs w:val="18"/>
              </w:rPr>
              <w:t>opción</w:t>
            </w:r>
            <w:r w:rsidR="005E3243" w:rsidRPr="009D701F">
              <w:rPr>
                <w:rFonts w:cs="Arial"/>
                <w:color w:val="000000"/>
                <w:sz w:val="18"/>
                <w:szCs w:val="18"/>
              </w:rPr>
              <w:t xml:space="preserve"> </w:t>
            </w:r>
            <w:r w:rsidRPr="009D701F">
              <w:rPr>
                <w:rFonts w:cs="Arial"/>
                <w:color w:val="000000"/>
                <w:sz w:val="18"/>
                <w:szCs w:val="18"/>
              </w:rPr>
              <w:t>tarifaria,</w:t>
            </w:r>
            <w:r w:rsidR="005E3243" w:rsidRPr="009D701F">
              <w:rPr>
                <w:rFonts w:cs="Arial"/>
                <w:color w:val="000000"/>
                <w:sz w:val="18"/>
                <w:szCs w:val="18"/>
              </w:rPr>
              <w:t xml:space="preserve"> </w:t>
            </w:r>
            <w:r w:rsidRPr="009D701F">
              <w:rPr>
                <w:rFonts w:cs="Arial"/>
                <w:color w:val="000000"/>
                <w:sz w:val="18"/>
                <w:szCs w:val="18"/>
              </w:rPr>
              <w:t>cambie del mercado regulado al mercado no regulado.</w:t>
            </w:r>
          </w:p>
        </w:tc>
        <w:tc>
          <w:tcPr>
            <w:tcW w:w="1872" w:type="pct"/>
            <w:hideMark/>
          </w:tcPr>
          <w:p w14:paraId="543C51D3"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Cuando el usuario cambie del mercado regulado al no regulado, debe continuar pagando el COT del mercado inicial con el mutuo acuerdo.</w:t>
            </w:r>
          </w:p>
        </w:tc>
      </w:tr>
      <w:tr w:rsidR="005E727D" w:rsidRPr="007E00DB" w14:paraId="33620764" w14:textId="77777777" w:rsidTr="009D701F">
        <w:trPr>
          <w:trHeight w:val="2188"/>
        </w:trPr>
        <w:tc>
          <w:tcPr>
            <w:tcW w:w="881" w:type="pct"/>
            <w:hideMark/>
          </w:tcPr>
          <w:p w14:paraId="2E7C41BB"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E2023017859_EEP</w:t>
            </w:r>
          </w:p>
        </w:tc>
        <w:tc>
          <w:tcPr>
            <w:tcW w:w="2247" w:type="pct"/>
            <w:hideMark/>
          </w:tcPr>
          <w:p w14:paraId="6FF27281" w14:textId="561D5B44" w:rsidR="005E727D" w:rsidRPr="009D701F" w:rsidRDefault="005E3243" w:rsidP="005E727D">
            <w:pPr>
              <w:spacing w:before="0" w:after="0"/>
              <w:jc w:val="left"/>
              <w:rPr>
                <w:rFonts w:cs="Arial"/>
                <w:color w:val="000000"/>
                <w:sz w:val="18"/>
                <w:szCs w:val="18"/>
              </w:rPr>
            </w:pPr>
            <w:r w:rsidRPr="009D701F">
              <w:rPr>
                <w:rFonts w:cs="Arial"/>
                <w:color w:val="000000"/>
                <w:sz w:val="18"/>
                <w:szCs w:val="18"/>
              </w:rPr>
              <w:t>¿</w:t>
            </w:r>
            <w:proofErr w:type="spellStart"/>
            <w:proofErr w:type="gramStart"/>
            <w:r w:rsidRPr="009D701F">
              <w:rPr>
                <w:rFonts w:cs="Arial"/>
                <w:color w:val="000000"/>
                <w:sz w:val="18"/>
                <w:szCs w:val="18"/>
              </w:rPr>
              <w:t>Cuando</w:t>
            </w:r>
            <w:proofErr w:type="spellEnd"/>
            <w:proofErr w:type="gramEnd"/>
            <w:r w:rsidRPr="009D701F">
              <w:rPr>
                <w:rFonts w:cs="Arial"/>
                <w:color w:val="000000"/>
                <w:sz w:val="18"/>
                <w:szCs w:val="18"/>
              </w:rPr>
              <w:t xml:space="preserve"> un usuario no regulado, por temas de cancelación de frontera, cae al mercado regulado del comercializador incumbente y este último tiene saldo acumulado por opción tarifaria, el consumo de este usuario será incluido para el cálculo de la variable COT y se le realiza el cobro de esta variable en su tarifa?</w:t>
            </w:r>
            <w:r w:rsidR="005E727D" w:rsidRPr="009D701F">
              <w:rPr>
                <w:rFonts w:cs="Arial"/>
                <w:color w:val="000000"/>
                <w:sz w:val="18"/>
                <w:szCs w:val="18"/>
              </w:rPr>
              <w:t xml:space="preserve"> o no se tiene en cuenta el consumo del usuario y no se le realiza el cobro de esta variable en su tarifa?</w:t>
            </w:r>
          </w:p>
        </w:tc>
        <w:tc>
          <w:tcPr>
            <w:tcW w:w="1872" w:type="pct"/>
            <w:hideMark/>
          </w:tcPr>
          <w:p w14:paraId="431FBB52" w14:textId="286F5ED5" w:rsidR="005E727D" w:rsidRPr="009D701F" w:rsidRDefault="00CE5AA8" w:rsidP="005E727D">
            <w:pPr>
              <w:spacing w:before="0" w:after="0"/>
              <w:jc w:val="left"/>
              <w:rPr>
                <w:rFonts w:cs="Arial"/>
                <w:color w:val="FF0000"/>
                <w:sz w:val="18"/>
                <w:szCs w:val="18"/>
              </w:rPr>
            </w:pPr>
            <w:r w:rsidRPr="009D701F">
              <w:rPr>
                <w:rFonts w:cs="Arial"/>
                <w:sz w:val="18"/>
                <w:szCs w:val="18"/>
              </w:rPr>
              <w:t xml:space="preserve">Este usuario está excluido </w:t>
            </w:r>
            <w:r w:rsidR="00820AF7" w:rsidRPr="009D701F">
              <w:rPr>
                <w:rFonts w:cs="Arial"/>
                <w:sz w:val="18"/>
                <w:szCs w:val="18"/>
              </w:rPr>
              <w:t>de la responsabilidad de pago del COT siempre y cuando el cambio al mercado regulado haya sido causado por limitación de suministro al comercializador que lo atendía.</w:t>
            </w:r>
            <w:r w:rsidR="005E727D" w:rsidRPr="009D701F">
              <w:rPr>
                <w:rFonts w:cs="Arial"/>
                <w:sz w:val="18"/>
                <w:szCs w:val="18"/>
              </w:rPr>
              <w:t xml:space="preserve"> </w:t>
            </w:r>
          </w:p>
        </w:tc>
      </w:tr>
      <w:tr w:rsidR="005E727D" w:rsidRPr="007E00DB" w14:paraId="634619CA" w14:textId="77777777" w:rsidTr="009D701F">
        <w:trPr>
          <w:trHeight w:val="2595"/>
        </w:trPr>
        <w:tc>
          <w:tcPr>
            <w:tcW w:w="881" w:type="pct"/>
            <w:hideMark/>
          </w:tcPr>
          <w:p w14:paraId="52C24F8F"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lastRenderedPageBreak/>
              <w:t>E2023017859_EEP</w:t>
            </w:r>
          </w:p>
        </w:tc>
        <w:tc>
          <w:tcPr>
            <w:tcW w:w="2247" w:type="pct"/>
            <w:hideMark/>
          </w:tcPr>
          <w:p w14:paraId="0372FEB0" w14:textId="184B1A9A" w:rsidR="005E727D" w:rsidRPr="009D701F" w:rsidRDefault="005E727D" w:rsidP="005E727D">
            <w:pPr>
              <w:spacing w:before="0" w:after="0"/>
              <w:jc w:val="left"/>
              <w:rPr>
                <w:rFonts w:cs="Arial"/>
                <w:sz w:val="18"/>
                <w:szCs w:val="18"/>
              </w:rPr>
            </w:pPr>
            <w:r w:rsidRPr="009D701F">
              <w:rPr>
                <w:rFonts w:cs="Arial"/>
                <w:sz w:val="18"/>
                <w:szCs w:val="18"/>
              </w:rPr>
              <w:t>Cuando un usuario,</w:t>
            </w:r>
            <w:r w:rsidR="005E3243" w:rsidRPr="009D701F">
              <w:rPr>
                <w:rFonts w:cs="Arial"/>
                <w:sz w:val="18"/>
                <w:szCs w:val="18"/>
              </w:rPr>
              <w:t xml:space="preserve"> </w:t>
            </w:r>
            <w:r w:rsidRPr="009D701F">
              <w:rPr>
                <w:rFonts w:cs="Arial"/>
                <w:sz w:val="18"/>
                <w:szCs w:val="18"/>
              </w:rPr>
              <w:t>atendido</w:t>
            </w:r>
            <w:r w:rsidR="005E3243" w:rsidRPr="009D701F">
              <w:rPr>
                <w:rFonts w:cs="Arial"/>
                <w:sz w:val="18"/>
                <w:szCs w:val="18"/>
              </w:rPr>
              <w:t xml:space="preserve"> </w:t>
            </w:r>
            <w:r w:rsidRPr="009D701F">
              <w:rPr>
                <w:rFonts w:cs="Arial"/>
                <w:sz w:val="18"/>
                <w:szCs w:val="18"/>
              </w:rPr>
              <w:t>por</w:t>
            </w:r>
            <w:r w:rsidR="005E3243" w:rsidRPr="009D701F">
              <w:rPr>
                <w:rFonts w:cs="Arial"/>
                <w:sz w:val="18"/>
                <w:szCs w:val="18"/>
              </w:rPr>
              <w:t xml:space="preserve"> </w:t>
            </w:r>
            <w:r w:rsidRPr="009D701F">
              <w:rPr>
                <w:rFonts w:cs="Arial"/>
                <w:sz w:val="18"/>
                <w:szCs w:val="18"/>
              </w:rPr>
              <w:t>un</w:t>
            </w:r>
            <w:r w:rsidR="005E3243" w:rsidRPr="009D701F">
              <w:rPr>
                <w:rFonts w:cs="Arial"/>
                <w:sz w:val="18"/>
                <w:szCs w:val="18"/>
              </w:rPr>
              <w:t xml:space="preserve"> </w:t>
            </w:r>
            <w:r w:rsidRPr="009D701F">
              <w:rPr>
                <w:rFonts w:cs="Arial"/>
                <w:sz w:val="18"/>
                <w:szCs w:val="18"/>
              </w:rPr>
              <w:t>comercializador</w:t>
            </w:r>
            <w:r w:rsidR="005E3243" w:rsidRPr="009D701F">
              <w:rPr>
                <w:rFonts w:cs="Arial"/>
                <w:sz w:val="18"/>
                <w:szCs w:val="18"/>
              </w:rPr>
              <w:t xml:space="preserve"> </w:t>
            </w:r>
            <w:r w:rsidRPr="009D701F">
              <w:rPr>
                <w:rFonts w:cs="Arial"/>
                <w:sz w:val="18"/>
                <w:szCs w:val="18"/>
              </w:rPr>
              <w:t>i</w:t>
            </w:r>
            <w:r w:rsidR="005E3243" w:rsidRPr="009D701F">
              <w:rPr>
                <w:rFonts w:cs="Arial"/>
                <w:sz w:val="18"/>
                <w:szCs w:val="18"/>
              </w:rPr>
              <w:t xml:space="preserve"> </w:t>
            </w:r>
            <w:r w:rsidRPr="009D701F">
              <w:rPr>
                <w:rFonts w:cs="Arial"/>
                <w:sz w:val="18"/>
                <w:szCs w:val="18"/>
              </w:rPr>
              <w:t>que</w:t>
            </w:r>
            <w:r w:rsidR="005E3243" w:rsidRPr="009D701F">
              <w:rPr>
                <w:rFonts w:cs="Arial"/>
                <w:sz w:val="18"/>
                <w:szCs w:val="18"/>
              </w:rPr>
              <w:t xml:space="preserve"> </w:t>
            </w:r>
            <w:r w:rsidRPr="009D701F">
              <w:rPr>
                <w:rFonts w:cs="Arial"/>
                <w:sz w:val="18"/>
                <w:szCs w:val="18"/>
              </w:rPr>
              <w:t>no</w:t>
            </w:r>
            <w:r w:rsidR="005E3243" w:rsidRPr="009D701F">
              <w:rPr>
                <w:rFonts w:cs="Arial"/>
                <w:sz w:val="18"/>
                <w:szCs w:val="18"/>
              </w:rPr>
              <w:t xml:space="preserve"> </w:t>
            </w:r>
            <w:r w:rsidRPr="009D701F">
              <w:rPr>
                <w:rFonts w:cs="Arial"/>
                <w:sz w:val="18"/>
                <w:szCs w:val="18"/>
              </w:rPr>
              <w:t>tenga</w:t>
            </w:r>
            <w:r w:rsidR="005E3243" w:rsidRPr="009D701F">
              <w:rPr>
                <w:rFonts w:cs="Arial"/>
                <w:sz w:val="18"/>
                <w:szCs w:val="18"/>
              </w:rPr>
              <w:t xml:space="preserve"> </w:t>
            </w:r>
            <w:r w:rsidRPr="009D701F">
              <w:rPr>
                <w:rFonts w:cs="Arial"/>
                <w:sz w:val="18"/>
                <w:szCs w:val="18"/>
              </w:rPr>
              <w:t>saldos</w:t>
            </w:r>
            <w:r w:rsidR="005E3243" w:rsidRPr="009D701F">
              <w:rPr>
                <w:rFonts w:cs="Arial"/>
                <w:sz w:val="18"/>
                <w:szCs w:val="18"/>
              </w:rPr>
              <w:t xml:space="preserve"> </w:t>
            </w:r>
            <w:r w:rsidRPr="009D701F">
              <w:rPr>
                <w:rFonts w:cs="Arial"/>
                <w:sz w:val="18"/>
                <w:szCs w:val="18"/>
              </w:rPr>
              <w:t>acumulados</w:t>
            </w:r>
            <w:r w:rsidR="005E3243" w:rsidRPr="009D701F">
              <w:rPr>
                <w:rFonts w:cs="Arial"/>
                <w:sz w:val="18"/>
                <w:szCs w:val="18"/>
              </w:rPr>
              <w:t xml:space="preserve"> </w:t>
            </w:r>
            <w:r w:rsidRPr="009D701F">
              <w:rPr>
                <w:rFonts w:cs="Arial"/>
                <w:sz w:val="18"/>
                <w:szCs w:val="18"/>
              </w:rPr>
              <w:t>por</w:t>
            </w:r>
            <w:r w:rsidR="005E3243" w:rsidRPr="009D701F">
              <w:rPr>
                <w:rFonts w:cs="Arial"/>
                <w:sz w:val="18"/>
                <w:szCs w:val="18"/>
              </w:rPr>
              <w:t xml:space="preserve"> </w:t>
            </w:r>
            <w:r w:rsidRPr="009D701F">
              <w:rPr>
                <w:rFonts w:cs="Arial"/>
                <w:sz w:val="18"/>
                <w:szCs w:val="18"/>
              </w:rPr>
              <w:t>Opción Tarifaria,</w:t>
            </w:r>
            <w:r w:rsidR="005E3243" w:rsidRPr="009D701F">
              <w:rPr>
                <w:rFonts w:cs="Arial"/>
                <w:sz w:val="18"/>
                <w:szCs w:val="18"/>
              </w:rPr>
              <w:t xml:space="preserve"> </w:t>
            </w:r>
            <w:r w:rsidRPr="009D701F">
              <w:rPr>
                <w:rFonts w:cs="Arial"/>
                <w:sz w:val="18"/>
                <w:szCs w:val="18"/>
              </w:rPr>
              <w:t>cambie</w:t>
            </w:r>
            <w:r w:rsidR="005E3243" w:rsidRPr="009D701F">
              <w:rPr>
                <w:rFonts w:cs="Arial"/>
                <w:sz w:val="18"/>
                <w:szCs w:val="18"/>
              </w:rPr>
              <w:t xml:space="preserve"> </w:t>
            </w:r>
            <w:r w:rsidRPr="009D701F">
              <w:rPr>
                <w:rFonts w:cs="Arial"/>
                <w:sz w:val="18"/>
                <w:szCs w:val="18"/>
              </w:rPr>
              <w:t>de</w:t>
            </w:r>
            <w:r w:rsidR="005E3243" w:rsidRPr="009D701F">
              <w:rPr>
                <w:rFonts w:cs="Arial"/>
                <w:sz w:val="18"/>
                <w:szCs w:val="18"/>
              </w:rPr>
              <w:t xml:space="preserve"> </w:t>
            </w:r>
            <w:r w:rsidRPr="009D701F">
              <w:rPr>
                <w:rFonts w:cs="Arial"/>
                <w:sz w:val="18"/>
                <w:szCs w:val="18"/>
              </w:rPr>
              <w:t>comercializador</w:t>
            </w:r>
            <w:r w:rsidR="005E3243" w:rsidRPr="009D701F">
              <w:rPr>
                <w:rFonts w:cs="Arial"/>
                <w:sz w:val="18"/>
                <w:szCs w:val="18"/>
              </w:rPr>
              <w:t xml:space="preserve"> </w:t>
            </w:r>
            <w:r w:rsidRPr="009D701F">
              <w:rPr>
                <w:rFonts w:cs="Arial"/>
                <w:sz w:val="18"/>
                <w:szCs w:val="18"/>
              </w:rPr>
              <w:t>y</w:t>
            </w:r>
            <w:r w:rsidR="005E3243" w:rsidRPr="009D701F">
              <w:rPr>
                <w:rFonts w:cs="Arial"/>
                <w:sz w:val="18"/>
                <w:szCs w:val="18"/>
              </w:rPr>
              <w:t xml:space="preserve"> </w:t>
            </w:r>
            <w:r w:rsidRPr="009D701F">
              <w:rPr>
                <w:rFonts w:cs="Arial"/>
                <w:sz w:val="18"/>
                <w:szCs w:val="18"/>
              </w:rPr>
              <w:t>este</w:t>
            </w:r>
            <w:r w:rsidR="005E3243" w:rsidRPr="009D701F">
              <w:rPr>
                <w:rFonts w:cs="Arial"/>
                <w:sz w:val="18"/>
                <w:szCs w:val="18"/>
              </w:rPr>
              <w:t xml:space="preserve"> </w:t>
            </w:r>
            <w:r w:rsidRPr="009D701F">
              <w:rPr>
                <w:rFonts w:cs="Arial"/>
                <w:sz w:val="18"/>
                <w:szCs w:val="18"/>
              </w:rPr>
              <w:t>último</w:t>
            </w:r>
            <w:r w:rsidR="005E3243" w:rsidRPr="009D701F">
              <w:rPr>
                <w:rFonts w:cs="Arial"/>
                <w:sz w:val="18"/>
                <w:szCs w:val="18"/>
              </w:rPr>
              <w:t xml:space="preserve"> </w:t>
            </w:r>
            <w:r w:rsidRPr="009D701F">
              <w:rPr>
                <w:rFonts w:cs="Arial"/>
                <w:sz w:val="18"/>
                <w:szCs w:val="18"/>
              </w:rPr>
              <w:t>si</w:t>
            </w:r>
            <w:r w:rsidR="005E3243" w:rsidRPr="009D701F">
              <w:rPr>
                <w:rFonts w:cs="Arial"/>
                <w:sz w:val="18"/>
                <w:szCs w:val="18"/>
              </w:rPr>
              <w:t xml:space="preserve"> </w:t>
            </w:r>
            <w:r w:rsidRPr="009D701F">
              <w:rPr>
                <w:rFonts w:cs="Arial"/>
                <w:sz w:val="18"/>
                <w:szCs w:val="18"/>
              </w:rPr>
              <w:t>tenga</w:t>
            </w:r>
            <w:r w:rsidR="005E3243" w:rsidRPr="009D701F">
              <w:rPr>
                <w:rFonts w:cs="Arial"/>
                <w:sz w:val="18"/>
                <w:szCs w:val="18"/>
              </w:rPr>
              <w:t xml:space="preserve"> </w:t>
            </w:r>
            <w:r w:rsidRPr="009D701F">
              <w:rPr>
                <w:rFonts w:cs="Arial"/>
                <w:sz w:val="18"/>
                <w:szCs w:val="18"/>
              </w:rPr>
              <w:t>saldos</w:t>
            </w:r>
            <w:r w:rsidR="005E3243" w:rsidRPr="009D701F">
              <w:rPr>
                <w:rFonts w:cs="Arial"/>
                <w:sz w:val="18"/>
                <w:szCs w:val="18"/>
              </w:rPr>
              <w:t xml:space="preserve"> </w:t>
            </w:r>
            <w:r w:rsidRPr="009D701F">
              <w:rPr>
                <w:rFonts w:cs="Arial"/>
                <w:sz w:val="18"/>
                <w:szCs w:val="18"/>
              </w:rPr>
              <w:t>acumulados</w:t>
            </w:r>
            <w:r w:rsidR="005E3243" w:rsidRPr="009D701F">
              <w:rPr>
                <w:rFonts w:cs="Arial"/>
                <w:sz w:val="18"/>
                <w:szCs w:val="18"/>
              </w:rPr>
              <w:t xml:space="preserve"> </w:t>
            </w:r>
            <w:r w:rsidRPr="009D701F">
              <w:rPr>
                <w:rFonts w:cs="Arial"/>
                <w:sz w:val="18"/>
                <w:szCs w:val="18"/>
              </w:rPr>
              <w:t>por</w:t>
            </w:r>
            <w:r w:rsidR="005E3243" w:rsidRPr="009D701F">
              <w:rPr>
                <w:rFonts w:cs="Arial"/>
                <w:sz w:val="18"/>
                <w:szCs w:val="18"/>
              </w:rPr>
              <w:t xml:space="preserve"> </w:t>
            </w:r>
            <w:r w:rsidRPr="009D701F">
              <w:rPr>
                <w:rFonts w:cs="Arial"/>
                <w:sz w:val="18"/>
                <w:szCs w:val="18"/>
              </w:rPr>
              <w:t>opción</w:t>
            </w:r>
            <w:r w:rsidR="005E3243" w:rsidRPr="009D701F">
              <w:rPr>
                <w:rFonts w:cs="Arial"/>
                <w:sz w:val="18"/>
                <w:szCs w:val="18"/>
              </w:rPr>
              <w:t xml:space="preserve"> </w:t>
            </w:r>
            <w:r w:rsidRPr="009D701F">
              <w:rPr>
                <w:rFonts w:cs="Arial"/>
                <w:sz w:val="18"/>
                <w:szCs w:val="18"/>
              </w:rPr>
              <w:t>tarifaria,</w:t>
            </w:r>
            <w:r w:rsidR="005E3243" w:rsidRPr="009D701F">
              <w:rPr>
                <w:rFonts w:cs="Arial"/>
                <w:sz w:val="18"/>
                <w:szCs w:val="18"/>
              </w:rPr>
              <w:t xml:space="preserve"> </w:t>
            </w:r>
            <w:r w:rsidR="00A57D71" w:rsidRPr="009D701F">
              <w:rPr>
                <w:rFonts w:cs="Arial"/>
                <w:sz w:val="18"/>
                <w:szCs w:val="18"/>
              </w:rPr>
              <w:t>¿</w:t>
            </w:r>
            <w:r w:rsidRPr="009D701F">
              <w:rPr>
                <w:rFonts w:cs="Arial"/>
                <w:sz w:val="18"/>
                <w:szCs w:val="18"/>
              </w:rPr>
              <w:t xml:space="preserve">el consumo de este usuario será incluido para el cálculo de la variable COT y se le realiza el cobro de esta variable en su tarifa? o </w:t>
            </w:r>
            <w:r w:rsidR="00A57D71" w:rsidRPr="009D701F">
              <w:rPr>
                <w:rFonts w:cs="Arial"/>
                <w:sz w:val="18"/>
                <w:szCs w:val="18"/>
              </w:rPr>
              <w:t>¿</w:t>
            </w:r>
            <w:r w:rsidRPr="009D701F">
              <w:rPr>
                <w:rFonts w:cs="Arial"/>
                <w:sz w:val="18"/>
                <w:szCs w:val="18"/>
              </w:rPr>
              <w:t>no se tiene en cuenta el consumo del usuario y no se le realiza el cobro de esta variable en su tarifa?</w:t>
            </w:r>
          </w:p>
        </w:tc>
        <w:tc>
          <w:tcPr>
            <w:tcW w:w="1872" w:type="pct"/>
            <w:hideMark/>
          </w:tcPr>
          <w:p w14:paraId="6DA16254" w14:textId="672634C3" w:rsidR="005E727D" w:rsidRPr="009D701F" w:rsidRDefault="00435499" w:rsidP="005E727D">
            <w:pPr>
              <w:spacing w:before="0" w:after="0"/>
              <w:jc w:val="left"/>
              <w:rPr>
                <w:rFonts w:cs="Arial"/>
                <w:sz w:val="18"/>
                <w:szCs w:val="18"/>
              </w:rPr>
            </w:pPr>
            <w:r w:rsidRPr="009D701F">
              <w:rPr>
                <w:rFonts w:cs="Arial"/>
                <w:sz w:val="18"/>
                <w:szCs w:val="18"/>
              </w:rPr>
              <w:t>Este usuario no tendrá responsabilidades para el pago del COT en el nuevo comercializador</w:t>
            </w:r>
          </w:p>
        </w:tc>
      </w:tr>
      <w:tr w:rsidR="005E727D" w:rsidRPr="007E00DB" w14:paraId="3446FE35" w14:textId="77777777" w:rsidTr="009D701F">
        <w:trPr>
          <w:trHeight w:val="1740"/>
        </w:trPr>
        <w:tc>
          <w:tcPr>
            <w:tcW w:w="881" w:type="pct"/>
            <w:hideMark/>
          </w:tcPr>
          <w:p w14:paraId="13583C2B"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E2023017859_EEP</w:t>
            </w:r>
          </w:p>
        </w:tc>
        <w:tc>
          <w:tcPr>
            <w:tcW w:w="2247" w:type="pct"/>
            <w:hideMark/>
          </w:tcPr>
          <w:p w14:paraId="3B08F2AC" w14:textId="484EC094" w:rsidR="005E727D" w:rsidRPr="009D701F" w:rsidRDefault="005E727D" w:rsidP="005E727D">
            <w:pPr>
              <w:spacing w:before="0" w:after="0"/>
              <w:jc w:val="left"/>
              <w:rPr>
                <w:rFonts w:cs="Arial"/>
                <w:color w:val="000000"/>
                <w:sz w:val="18"/>
                <w:szCs w:val="18"/>
              </w:rPr>
            </w:pPr>
            <w:r w:rsidRPr="009D701F">
              <w:rPr>
                <w:rFonts w:cs="Arial"/>
                <w:color w:val="000000"/>
                <w:sz w:val="18"/>
                <w:szCs w:val="18"/>
              </w:rPr>
              <w:t xml:space="preserve">Cuando </w:t>
            </w:r>
            <w:proofErr w:type="gramStart"/>
            <w:r w:rsidRPr="009D701F">
              <w:rPr>
                <w:rFonts w:cs="Arial"/>
                <w:color w:val="000000"/>
                <w:sz w:val="18"/>
                <w:szCs w:val="18"/>
              </w:rPr>
              <w:t>se  cree</w:t>
            </w:r>
            <w:proofErr w:type="gramEnd"/>
            <w:r w:rsidRPr="009D701F">
              <w:rPr>
                <w:rFonts w:cs="Arial"/>
                <w:color w:val="000000"/>
                <w:sz w:val="18"/>
                <w:szCs w:val="18"/>
              </w:rPr>
              <w:t xml:space="preserve">  un  usuario  nuevo  y  vaya  a  ser  atendido  por  un  comercializador  que  tenga  saldos  acumulados por opción tarifaria, </w:t>
            </w:r>
            <w:r w:rsidR="00820AF7" w:rsidRPr="009D701F">
              <w:rPr>
                <w:rFonts w:cs="Arial"/>
                <w:color w:val="000000"/>
                <w:sz w:val="18"/>
                <w:szCs w:val="18"/>
              </w:rPr>
              <w:t>¿</w:t>
            </w:r>
            <w:r w:rsidRPr="009D701F">
              <w:rPr>
                <w:rFonts w:cs="Arial"/>
                <w:color w:val="000000"/>
                <w:sz w:val="18"/>
                <w:szCs w:val="18"/>
              </w:rPr>
              <w:t xml:space="preserve">el consumo de este usuario será incluido para el cálculo de la variable COT  y  se  le  realiza  el  cobro  de  esta  variable  en  su  tarifa?  </w:t>
            </w:r>
            <w:proofErr w:type="gramStart"/>
            <w:r w:rsidRPr="009D701F">
              <w:rPr>
                <w:rFonts w:cs="Arial"/>
                <w:color w:val="000000"/>
                <w:sz w:val="18"/>
                <w:szCs w:val="18"/>
              </w:rPr>
              <w:t xml:space="preserve">o  </w:t>
            </w:r>
            <w:r w:rsidR="00820AF7" w:rsidRPr="009D701F">
              <w:rPr>
                <w:rFonts w:cs="Arial"/>
                <w:color w:val="000000"/>
                <w:sz w:val="18"/>
                <w:szCs w:val="18"/>
              </w:rPr>
              <w:t>¿</w:t>
            </w:r>
            <w:proofErr w:type="gramEnd"/>
            <w:r w:rsidRPr="009D701F">
              <w:rPr>
                <w:rFonts w:cs="Arial"/>
                <w:color w:val="000000"/>
                <w:sz w:val="18"/>
                <w:szCs w:val="18"/>
              </w:rPr>
              <w:t>no  se  tiene  en  cuenta  el  consumo  del usuario y no se le realiza el cobro de esta variable en su tarifa?</w:t>
            </w:r>
          </w:p>
        </w:tc>
        <w:tc>
          <w:tcPr>
            <w:tcW w:w="1872" w:type="pct"/>
            <w:hideMark/>
          </w:tcPr>
          <w:p w14:paraId="61527B09" w14:textId="4F66BB3D" w:rsidR="005E727D" w:rsidRPr="009D701F" w:rsidRDefault="00820AF7" w:rsidP="005E727D">
            <w:pPr>
              <w:spacing w:before="0" w:after="0"/>
              <w:jc w:val="left"/>
              <w:rPr>
                <w:rFonts w:cs="Arial"/>
                <w:color w:val="FF0000"/>
                <w:sz w:val="18"/>
                <w:szCs w:val="18"/>
              </w:rPr>
            </w:pPr>
            <w:r w:rsidRPr="009D701F">
              <w:rPr>
                <w:rFonts w:cs="Arial"/>
                <w:sz w:val="18"/>
                <w:szCs w:val="18"/>
              </w:rPr>
              <w:t>Este usuario sí debe pagar el COT de mercado</w:t>
            </w:r>
            <w:r w:rsidR="005E727D" w:rsidRPr="009D701F">
              <w:rPr>
                <w:rFonts w:cs="Arial"/>
                <w:sz w:val="18"/>
                <w:szCs w:val="18"/>
              </w:rPr>
              <w:t xml:space="preserve"> </w:t>
            </w:r>
          </w:p>
        </w:tc>
      </w:tr>
      <w:tr w:rsidR="005E727D" w:rsidRPr="007E00DB" w14:paraId="7A47A701" w14:textId="77777777" w:rsidTr="009D701F">
        <w:trPr>
          <w:trHeight w:val="53"/>
        </w:trPr>
        <w:tc>
          <w:tcPr>
            <w:tcW w:w="881" w:type="pct"/>
            <w:hideMark/>
          </w:tcPr>
          <w:p w14:paraId="22930D59"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E2023017859_EEP</w:t>
            </w:r>
          </w:p>
        </w:tc>
        <w:tc>
          <w:tcPr>
            <w:tcW w:w="2247" w:type="pct"/>
            <w:hideMark/>
          </w:tcPr>
          <w:p w14:paraId="7E73DDDA" w14:textId="77777777" w:rsidR="005E727D" w:rsidRPr="009D701F" w:rsidRDefault="005E727D" w:rsidP="005E727D">
            <w:pPr>
              <w:spacing w:before="0" w:after="0"/>
              <w:jc w:val="left"/>
              <w:rPr>
                <w:rFonts w:cs="Arial"/>
                <w:sz w:val="18"/>
                <w:szCs w:val="18"/>
              </w:rPr>
            </w:pPr>
            <w:r w:rsidRPr="009D701F">
              <w:rPr>
                <w:rFonts w:cs="Arial"/>
                <w:sz w:val="18"/>
                <w:szCs w:val="18"/>
              </w:rPr>
              <w:t xml:space="preserve">Vemos necesario que para el cálculo de la variable </w:t>
            </w:r>
            <w:proofErr w:type="spellStart"/>
            <w:proofErr w:type="gramStart"/>
            <w:r w:rsidRPr="009D701F">
              <w:rPr>
                <w:rFonts w:cs="Arial"/>
                <w:sz w:val="18"/>
                <w:szCs w:val="18"/>
              </w:rPr>
              <w:t>COTn,i</w:t>
            </w:r>
            <w:proofErr w:type="gramEnd"/>
            <w:r w:rsidRPr="009D701F">
              <w:rPr>
                <w:rFonts w:cs="Arial"/>
                <w:sz w:val="18"/>
                <w:szCs w:val="18"/>
              </w:rPr>
              <w:t>,j,m</w:t>
            </w:r>
            <w:proofErr w:type="spellEnd"/>
            <w:r w:rsidRPr="009D701F">
              <w:rPr>
                <w:rFonts w:cs="Arial"/>
                <w:sz w:val="18"/>
                <w:szCs w:val="18"/>
              </w:rPr>
              <w:t xml:space="preserve"> en las ventas de energía </w:t>
            </w:r>
            <w:proofErr w:type="spellStart"/>
            <w:r w:rsidRPr="009D701F">
              <w:rPr>
                <w:rFonts w:cs="Arial"/>
                <w:sz w:val="18"/>
                <w:szCs w:val="18"/>
              </w:rPr>
              <w:t>VRn,i,j,m</w:t>
            </w:r>
            <w:proofErr w:type="spellEnd"/>
            <w:r w:rsidRPr="009D701F">
              <w:rPr>
                <w:rFonts w:cs="Arial"/>
                <w:sz w:val="18"/>
                <w:szCs w:val="18"/>
              </w:rPr>
              <w:t xml:space="preserve"> se incluya la energía de los usuarios que deciden cambiar de comercializador, cuando el comercializador esté recuperando saldos por opción tarifaria.</w:t>
            </w:r>
          </w:p>
        </w:tc>
        <w:tc>
          <w:tcPr>
            <w:tcW w:w="1872" w:type="pct"/>
            <w:hideMark/>
          </w:tcPr>
          <w:p w14:paraId="3E13022F" w14:textId="7A75A438" w:rsidR="005E727D" w:rsidRPr="009D701F" w:rsidRDefault="005E727D" w:rsidP="005E727D">
            <w:pPr>
              <w:spacing w:before="0" w:after="0"/>
              <w:jc w:val="left"/>
              <w:rPr>
                <w:rFonts w:cs="Arial"/>
                <w:sz w:val="18"/>
                <w:szCs w:val="18"/>
              </w:rPr>
            </w:pPr>
            <w:r w:rsidRPr="009D701F">
              <w:rPr>
                <w:rFonts w:cs="Arial"/>
                <w:sz w:val="18"/>
                <w:szCs w:val="18"/>
              </w:rPr>
              <w:t>Se incluye</w:t>
            </w:r>
          </w:p>
        </w:tc>
      </w:tr>
      <w:tr w:rsidR="005E727D" w:rsidRPr="007E00DB" w14:paraId="3064E15F" w14:textId="77777777" w:rsidTr="009D701F">
        <w:trPr>
          <w:trHeight w:val="1740"/>
        </w:trPr>
        <w:tc>
          <w:tcPr>
            <w:tcW w:w="881" w:type="pct"/>
            <w:hideMark/>
          </w:tcPr>
          <w:p w14:paraId="29DEBAB7"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E2023017859_EEP</w:t>
            </w:r>
          </w:p>
        </w:tc>
        <w:tc>
          <w:tcPr>
            <w:tcW w:w="2247" w:type="pct"/>
            <w:hideMark/>
          </w:tcPr>
          <w:p w14:paraId="60ADC0F1"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Que en el documento definitivo se deje más explícito que para temas de cálculo de la variable SAOT, no se debe esperar a que se cumpla con el criterio numeral 2 y por lo tanto no será cera cero, lo anterior dado que, se pueden generar varias interpretaciones ocasionando distorsión al momento de aplicar el criterio establecido en el numeral 2.</w:t>
            </w:r>
          </w:p>
        </w:tc>
        <w:tc>
          <w:tcPr>
            <w:tcW w:w="1872" w:type="pct"/>
            <w:hideMark/>
          </w:tcPr>
          <w:p w14:paraId="04CFBBD1" w14:textId="5863D780" w:rsidR="005E727D" w:rsidRPr="009D701F" w:rsidRDefault="005E727D" w:rsidP="005E727D">
            <w:pPr>
              <w:spacing w:before="0" w:after="0"/>
              <w:jc w:val="left"/>
              <w:rPr>
                <w:rFonts w:cs="Arial"/>
                <w:color w:val="000000"/>
                <w:sz w:val="18"/>
                <w:szCs w:val="18"/>
              </w:rPr>
            </w:pPr>
            <w:r w:rsidRPr="009D701F">
              <w:rPr>
                <w:rFonts w:cs="Arial"/>
                <w:color w:val="000000"/>
                <w:sz w:val="18"/>
                <w:szCs w:val="18"/>
              </w:rPr>
              <w:t xml:space="preserve">El criterio del numeral 2 protege al usuario de incrementos súbitos indeseados y por tanto es </w:t>
            </w:r>
            <w:r w:rsidR="003111C4" w:rsidRPr="009D701F">
              <w:rPr>
                <w:rFonts w:cs="Arial"/>
                <w:color w:val="000000"/>
                <w:sz w:val="18"/>
                <w:szCs w:val="18"/>
              </w:rPr>
              <w:t>una restricción para cumplir</w:t>
            </w:r>
            <w:r w:rsidRPr="009D701F">
              <w:rPr>
                <w:rFonts w:cs="Arial"/>
                <w:color w:val="000000"/>
                <w:sz w:val="18"/>
                <w:szCs w:val="18"/>
              </w:rPr>
              <w:t>.</w:t>
            </w:r>
          </w:p>
        </w:tc>
      </w:tr>
      <w:tr w:rsidR="005E727D" w:rsidRPr="007E00DB" w14:paraId="15DF9811" w14:textId="77777777" w:rsidTr="009D701F">
        <w:trPr>
          <w:trHeight w:val="1450"/>
        </w:trPr>
        <w:tc>
          <w:tcPr>
            <w:tcW w:w="881" w:type="pct"/>
            <w:hideMark/>
          </w:tcPr>
          <w:p w14:paraId="2926C5F1"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E2023017859_EEP</w:t>
            </w:r>
          </w:p>
        </w:tc>
        <w:tc>
          <w:tcPr>
            <w:tcW w:w="2247" w:type="pct"/>
            <w:hideMark/>
          </w:tcPr>
          <w:p w14:paraId="4F846C84"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Error en la formulación para el cálculo de SBC.</w:t>
            </w:r>
            <w:r w:rsidRPr="009D701F">
              <w:rPr>
                <w:rFonts w:cs="Arial"/>
                <w:color w:val="000000"/>
                <w:sz w:val="18"/>
                <w:szCs w:val="18"/>
              </w:rPr>
              <w:br/>
            </w:r>
            <w:r w:rsidRPr="009D701F">
              <w:rPr>
                <w:rFonts w:cs="Arial"/>
                <w:color w:val="000000"/>
                <w:sz w:val="18"/>
                <w:szCs w:val="18"/>
              </w:rPr>
              <w:br/>
              <w:t xml:space="preserve">La ecuación para evaluar el criterio de finalización de la opción tarifaria quede de la siguiente manera </w:t>
            </w:r>
            <w:proofErr w:type="spellStart"/>
            <w:r w:rsidRPr="009D701F">
              <w:rPr>
                <w:rFonts w:cs="Arial"/>
                <w:color w:val="000000"/>
                <w:sz w:val="18"/>
                <w:szCs w:val="18"/>
              </w:rPr>
              <w:t>SBC_</w:t>
            </w:r>
            <w:proofErr w:type="gramStart"/>
            <w:r w:rsidRPr="009D701F">
              <w:rPr>
                <w:rFonts w:cs="Arial"/>
                <w:color w:val="000000"/>
                <w:sz w:val="18"/>
                <w:szCs w:val="18"/>
              </w:rPr>
              <w:t>n,i</w:t>
            </w:r>
            <w:proofErr w:type="gramEnd"/>
            <w:r w:rsidRPr="009D701F">
              <w:rPr>
                <w:rFonts w:cs="Arial"/>
                <w:color w:val="000000"/>
                <w:sz w:val="18"/>
                <w:szCs w:val="18"/>
              </w:rPr>
              <w:t>,j,m</w:t>
            </w:r>
            <w:proofErr w:type="spellEnd"/>
            <w:r w:rsidRPr="009D701F">
              <w:rPr>
                <w:rFonts w:cs="Arial"/>
                <w:color w:val="000000"/>
                <w:sz w:val="18"/>
                <w:szCs w:val="18"/>
              </w:rPr>
              <w:t xml:space="preserve"> &lt;= </w:t>
            </w:r>
            <w:proofErr w:type="spellStart"/>
            <w:r w:rsidRPr="009D701F">
              <w:rPr>
                <w:rFonts w:cs="Arial"/>
                <w:color w:val="000000"/>
                <w:sz w:val="18"/>
                <w:szCs w:val="18"/>
              </w:rPr>
              <w:t>CUv_n,m,i,j</w:t>
            </w:r>
            <w:proofErr w:type="spellEnd"/>
            <w:r w:rsidRPr="009D701F">
              <w:rPr>
                <w:rFonts w:cs="Arial"/>
                <w:color w:val="000000"/>
                <w:sz w:val="18"/>
                <w:szCs w:val="18"/>
              </w:rPr>
              <w:t>*(0,06).</w:t>
            </w:r>
          </w:p>
        </w:tc>
        <w:tc>
          <w:tcPr>
            <w:tcW w:w="1872" w:type="pct"/>
            <w:hideMark/>
          </w:tcPr>
          <w:p w14:paraId="2643E61C"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Se corrige</w:t>
            </w:r>
          </w:p>
        </w:tc>
      </w:tr>
      <w:tr w:rsidR="005E727D" w:rsidRPr="007E00DB" w14:paraId="5062608D" w14:textId="77777777" w:rsidTr="009D701F">
        <w:trPr>
          <w:trHeight w:val="2320"/>
        </w:trPr>
        <w:tc>
          <w:tcPr>
            <w:tcW w:w="881" w:type="pct"/>
            <w:hideMark/>
          </w:tcPr>
          <w:p w14:paraId="3DD97A20"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E2023017859_EEP</w:t>
            </w:r>
          </w:p>
        </w:tc>
        <w:tc>
          <w:tcPr>
            <w:tcW w:w="2247" w:type="pct"/>
            <w:hideMark/>
          </w:tcPr>
          <w:p w14:paraId="5B2EEF12"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Evitar el incremento del saldo acumulado, considerando precios en bolsa es posible que los agentes se alejen mes a mes.</w:t>
            </w:r>
            <w:r w:rsidRPr="009D701F">
              <w:rPr>
                <w:rFonts w:cs="Arial"/>
                <w:color w:val="000000"/>
                <w:sz w:val="18"/>
                <w:szCs w:val="18"/>
              </w:rPr>
              <w:br/>
            </w:r>
            <w:r w:rsidRPr="009D701F">
              <w:rPr>
                <w:rFonts w:cs="Arial"/>
                <w:color w:val="000000"/>
                <w:sz w:val="18"/>
                <w:szCs w:val="18"/>
              </w:rPr>
              <w:br/>
              <w:t>Que aquellos agentes que no cumplan con la condición del 6% que trata este numeral y que deban seguir aplicando la resolución CREG 012 de 2020, puedan aplicar un PV superior al 3%.</w:t>
            </w:r>
          </w:p>
        </w:tc>
        <w:tc>
          <w:tcPr>
            <w:tcW w:w="1872" w:type="pct"/>
            <w:hideMark/>
          </w:tcPr>
          <w:p w14:paraId="32967063" w14:textId="5D60F2B3" w:rsidR="005E727D" w:rsidRPr="009D701F" w:rsidRDefault="005E727D" w:rsidP="005E727D">
            <w:pPr>
              <w:spacing w:before="0" w:after="0"/>
              <w:jc w:val="left"/>
              <w:rPr>
                <w:rFonts w:cs="Arial"/>
                <w:color w:val="000000"/>
                <w:sz w:val="18"/>
                <w:szCs w:val="18"/>
              </w:rPr>
            </w:pPr>
            <w:r w:rsidRPr="009D701F">
              <w:rPr>
                <w:rFonts w:cs="Arial"/>
                <w:color w:val="000000"/>
                <w:sz w:val="18"/>
                <w:szCs w:val="18"/>
              </w:rPr>
              <w:t xml:space="preserve">De acuerdo con los </w:t>
            </w:r>
            <w:r w:rsidR="001A081F" w:rsidRPr="009D701F">
              <w:rPr>
                <w:rFonts w:cs="Arial"/>
                <w:color w:val="000000"/>
                <w:sz w:val="18"/>
                <w:szCs w:val="18"/>
              </w:rPr>
              <w:t>análisis</w:t>
            </w:r>
            <w:r w:rsidRPr="009D701F">
              <w:rPr>
                <w:rFonts w:cs="Arial"/>
                <w:color w:val="000000"/>
                <w:sz w:val="18"/>
                <w:szCs w:val="18"/>
              </w:rPr>
              <w:t xml:space="preserve"> realizados por la comisión y dados los incrementos realizados en el CU aplicado en los meses de octubre y noviembre de 2023 por los comercializadores, no se considera necesario aumentar dicho limite. </w:t>
            </w:r>
            <w:r w:rsidRPr="009D701F">
              <w:rPr>
                <w:rFonts w:cs="Arial"/>
                <w:color w:val="000000"/>
                <w:sz w:val="18"/>
                <w:szCs w:val="18"/>
              </w:rPr>
              <w:br/>
            </w:r>
            <w:r w:rsidRPr="009D701F">
              <w:rPr>
                <w:rFonts w:cs="Arial"/>
                <w:color w:val="000000"/>
                <w:sz w:val="18"/>
                <w:szCs w:val="18"/>
              </w:rPr>
              <w:br/>
              <w:t xml:space="preserve">Adicionalmente, se incluye alternativa para que el comercializador </w:t>
            </w:r>
            <w:r w:rsidR="00441611" w:rsidRPr="009D701F">
              <w:rPr>
                <w:rFonts w:cs="Arial"/>
                <w:color w:val="000000"/>
                <w:sz w:val="18"/>
                <w:szCs w:val="18"/>
              </w:rPr>
              <w:t xml:space="preserve">que no cumpla con la condición del 3% </w:t>
            </w:r>
            <w:r w:rsidR="00325DF3" w:rsidRPr="009D701F">
              <w:rPr>
                <w:rFonts w:cs="Arial"/>
                <w:color w:val="000000"/>
                <w:sz w:val="18"/>
                <w:szCs w:val="18"/>
              </w:rPr>
              <w:t xml:space="preserve">pueda </w:t>
            </w:r>
            <w:r w:rsidRPr="009D701F">
              <w:rPr>
                <w:rFonts w:cs="Arial"/>
                <w:color w:val="000000"/>
                <w:sz w:val="18"/>
                <w:szCs w:val="18"/>
              </w:rPr>
              <w:t>inici</w:t>
            </w:r>
            <w:r w:rsidR="00325DF3" w:rsidRPr="009D701F">
              <w:rPr>
                <w:rFonts w:cs="Arial"/>
                <w:color w:val="000000"/>
                <w:sz w:val="18"/>
                <w:szCs w:val="18"/>
              </w:rPr>
              <w:t>ar</w:t>
            </w:r>
            <w:r w:rsidRPr="009D701F">
              <w:rPr>
                <w:rFonts w:cs="Arial"/>
                <w:color w:val="000000"/>
                <w:sz w:val="18"/>
                <w:szCs w:val="18"/>
              </w:rPr>
              <w:t xml:space="preserve"> la recuperación del saldo con un perfil de pago de gradiente </w:t>
            </w:r>
            <w:r w:rsidR="001A081F" w:rsidRPr="009D701F">
              <w:rPr>
                <w:rFonts w:cs="Arial"/>
                <w:color w:val="000000"/>
                <w:sz w:val="18"/>
                <w:szCs w:val="18"/>
              </w:rPr>
              <w:t>aritmético</w:t>
            </w:r>
            <w:r w:rsidRPr="009D701F">
              <w:rPr>
                <w:rFonts w:cs="Arial"/>
                <w:color w:val="000000"/>
                <w:sz w:val="18"/>
                <w:szCs w:val="18"/>
              </w:rPr>
              <w:t xml:space="preserve"> creciente. </w:t>
            </w:r>
          </w:p>
        </w:tc>
      </w:tr>
      <w:tr w:rsidR="005E727D" w:rsidRPr="007E00DB" w14:paraId="4838D191" w14:textId="77777777" w:rsidTr="009D701F">
        <w:trPr>
          <w:trHeight w:val="870"/>
        </w:trPr>
        <w:tc>
          <w:tcPr>
            <w:tcW w:w="881" w:type="pct"/>
            <w:hideMark/>
          </w:tcPr>
          <w:p w14:paraId="691EF236"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lastRenderedPageBreak/>
              <w:t>E2023017859_EEP</w:t>
            </w:r>
          </w:p>
        </w:tc>
        <w:tc>
          <w:tcPr>
            <w:tcW w:w="2247" w:type="pct"/>
            <w:hideMark/>
          </w:tcPr>
          <w:p w14:paraId="633EFE85"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 xml:space="preserve">Que se pueda aplicar un </w:t>
            </w:r>
            <w:proofErr w:type="spellStart"/>
            <w:proofErr w:type="gramStart"/>
            <w:r w:rsidRPr="009D701F">
              <w:rPr>
                <w:rFonts w:cs="Arial"/>
                <w:color w:val="000000"/>
                <w:sz w:val="18"/>
                <w:szCs w:val="18"/>
              </w:rPr>
              <w:t>COTn,i</w:t>
            </w:r>
            <w:proofErr w:type="gramEnd"/>
            <w:r w:rsidRPr="009D701F">
              <w:rPr>
                <w:rFonts w:cs="Arial"/>
                <w:color w:val="000000"/>
                <w:sz w:val="18"/>
                <w:szCs w:val="18"/>
              </w:rPr>
              <w:t>,j,m</w:t>
            </w:r>
            <w:proofErr w:type="spellEnd"/>
            <w:r w:rsidRPr="009D701F">
              <w:rPr>
                <w:rFonts w:cs="Arial"/>
                <w:color w:val="000000"/>
                <w:sz w:val="18"/>
                <w:szCs w:val="18"/>
              </w:rPr>
              <w:t xml:space="preserve"> que varíe con base en ajustes periódicos al </w:t>
            </w:r>
            <w:proofErr w:type="spellStart"/>
            <w:r w:rsidRPr="009D701F">
              <w:rPr>
                <w:rFonts w:cs="Arial"/>
                <w:color w:val="000000"/>
                <w:sz w:val="18"/>
                <w:szCs w:val="18"/>
              </w:rPr>
              <w:t>man,i,j</w:t>
            </w:r>
            <w:proofErr w:type="spellEnd"/>
            <w:r w:rsidRPr="009D701F">
              <w:rPr>
                <w:rFonts w:cs="Arial"/>
                <w:color w:val="000000"/>
                <w:sz w:val="18"/>
                <w:szCs w:val="18"/>
              </w:rPr>
              <w:t>.</w:t>
            </w:r>
          </w:p>
        </w:tc>
        <w:tc>
          <w:tcPr>
            <w:tcW w:w="1872" w:type="pct"/>
            <w:hideMark/>
          </w:tcPr>
          <w:p w14:paraId="02B72CA8" w14:textId="0F345469" w:rsidR="005E727D" w:rsidRPr="009D701F" w:rsidRDefault="005E727D" w:rsidP="005E727D">
            <w:pPr>
              <w:spacing w:before="0" w:after="0"/>
              <w:jc w:val="left"/>
              <w:rPr>
                <w:rFonts w:cs="Arial"/>
                <w:color w:val="000000"/>
                <w:sz w:val="18"/>
                <w:szCs w:val="18"/>
              </w:rPr>
            </w:pPr>
            <w:r w:rsidRPr="009D701F">
              <w:rPr>
                <w:rFonts w:cs="Arial"/>
                <w:color w:val="000000"/>
                <w:sz w:val="18"/>
                <w:szCs w:val="18"/>
              </w:rPr>
              <w:t xml:space="preserve">Se incluye regla para realizar ajustes al SAOT siempre considerando que ni la variable COT ni el plazo inicial aumenten respecto de los </w:t>
            </w:r>
            <w:r w:rsidR="001A081F" w:rsidRPr="009D701F">
              <w:rPr>
                <w:rFonts w:cs="Arial"/>
                <w:color w:val="000000"/>
                <w:sz w:val="18"/>
                <w:szCs w:val="18"/>
              </w:rPr>
              <w:t>inicialmente</w:t>
            </w:r>
            <w:r w:rsidRPr="009D701F">
              <w:rPr>
                <w:rFonts w:cs="Arial"/>
                <w:color w:val="000000"/>
                <w:sz w:val="18"/>
                <w:szCs w:val="18"/>
              </w:rPr>
              <w:t xml:space="preserve"> calculados.</w:t>
            </w:r>
          </w:p>
        </w:tc>
      </w:tr>
      <w:tr w:rsidR="005E727D" w:rsidRPr="007E00DB" w14:paraId="6F6ECB63" w14:textId="77777777" w:rsidTr="009D701F">
        <w:trPr>
          <w:trHeight w:val="1305"/>
        </w:trPr>
        <w:tc>
          <w:tcPr>
            <w:tcW w:w="881" w:type="pct"/>
            <w:hideMark/>
          </w:tcPr>
          <w:p w14:paraId="46CC8BC8"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E2023017859_EEP</w:t>
            </w:r>
          </w:p>
        </w:tc>
        <w:tc>
          <w:tcPr>
            <w:tcW w:w="2247" w:type="pct"/>
            <w:hideMark/>
          </w:tcPr>
          <w:p w14:paraId="301B5BE9"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Que el agente tenga la potestad para decidir en qué nivel de tensión aplicará el mecanismo propuesto por la Comisión, sin que esto lo obligue a aplicarlo en el resto de las opciones que tiene</w:t>
            </w:r>
            <w:r w:rsidRPr="009D701F">
              <w:rPr>
                <w:rFonts w:cs="Arial"/>
                <w:color w:val="000000"/>
                <w:sz w:val="18"/>
                <w:szCs w:val="18"/>
              </w:rPr>
              <w:br/>
              <w:t>activas en otros niveles de tensión.</w:t>
            </w:r>
          </w:p>
        </w:tc>
        <w:tc>
          <w:tcPr>
            <w:tcW w:w="1872" w:type="pct"/>
            <w:hideMark/>
          </w:tcPr>
          <w:p w14:paraId="24A1D4D6" w14:textId="1C472DD6" w:rsidR="005E727D" w:rsidRPr="009D701F" w:rsidRDefault="005E727D" w:rsidP="005E727D">
            <w:pPr>
              <w:spacing w:before="0" w:after="0"/>
              <w:jc w:val="left"/>
              <w:rPr>
                <w:rFonts w:cs="Arial"/>
                <w:sz w:val="18"/>
                <w:szCs w:val="18"/>
              </w:rPr>
            </w:pPr>
            <w:r w:rsidRPr="009D701F">
              <w:rPr>
                <w:rFonts w:cs="Arial"/>
                <w:sz w:val="18"/>
                <w:szCs w:val="18"/>
              </w:rPr>
              <w:t xml:space="preserve">El mutuo acuerdo se debe hacer por mercado de </w:t>
            </w:r>
            <w:r w:rsidR="001A081F" w:rsidRPr="009D701F">
              <w:rPr>
                <w:rFonts w:cs="Arial"/>
                <w:sz w:val="18"/>
                <w:szCs w:val="18"/>
              </w:rPr>
              <w:t>comercialización</w:t>
            </w:r>
            <w:r w:rsidR="00E1603D" w:rsidRPr="009D701F">
              <w:rPr>
                <w:rFonts w:cs="Arial"/>
                <w:sz w:val="18"/>
                <w:szCs w:val="18"/>
              </w:rPr>
              <w:t>,</w:t>
            </w:r>
            <w:r w:rsidRPr="009D701F">
              <w:rPr>
                <w:rFonts w:cs="Arial"/>
                <w:sz w:val="18"/>
                <w:szCs w:val="18"/>
              </w:rPr>
              <w:t xml:space="preserve"> pero no es posible acogerse "parcialmente" a un nivel de tensión y a otro no.</w:t>
            </w:r>
          </w:p>
        </w:tc>
      </w:tr>
      <w:tr w:rsidR="005E727D" w:rsidRPr="007E00DB" w14:paraId="5E3AED02" w14:textId="77777777" w:rsidTr="009D701F">
        <w:trPr>
          <w:trHeight w:val="1755"/>
        </w:trPr>
        <w:tc>
          <w:tcPr>
            <w:tcW w:w="881" w:type="pct"/>
            <w:hideMark/>
          </w:tcPr>
          <w:p w14:paraId="087D9745"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E2023017859_EEP</w:t>
            </w:r>
          </w:p>
        </w:tc>
        <w:tc>
          <w:tcPr>
            <w:tcW w:w="2247" w:type="pct"/>
            <w:hideMark/>
          </w:tcPr>
          <w:p w14:paraId="5520E0BF"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Que los agentes que representan más de un mercado ante el MEM y que estos tengan saldos acumulados por opción tarifaria, tengan la potestad para decidir en cuál de los mercados decide acogerse a este mecanismo de recuperación de saldos, sin que esto obligue a aplicarlo en el resto de los mercados que represente.</w:t>
            </w:r>
          </w:p>
        </w:tc>
        <w:tc>
          <w:tcPr>
            <w:tcW w:w="1872" w:type="pct"/>
            <w:hideMark/>
          </w:tcPr>
          <w:p w14:paraId="695ADF71" w14:textId="77777777" w:rsidR="005E727D" w:rsidRPr="009D701F" w:rsidRDefault="005E727D" w:rsidP="005E727D">
            <w:pPr>
              <w:spacing w:before="0" w:after="0"/>
              <w:jc w:val="left"/>
              <w:rPr>
                <w:rFonts w:cs="Arial"/>
                <w:sz w:val="18"/>
                <w:szCs w:val="18"/>
              </w:rPr>
            </w:pPr>
            <w:r w:rsidRPr="009D701F">
              <w:rPr>
                <w:rFonts w:cs="Arial"/>
                <w:sz w:val="18"/>
                <w:szCs w:val="18"/>
              </w:rPr>
              <w:t>Se aclara que el agente podrá acogerse al mutuo acuerdo en cada mercado de comercialización de manera independiente de otro mercado en el que pueda estar presente el mismo prestador.</w:t>
            </w:r>
          </w:p>
        </w:tc>
      </w:tr>
      <w:tr w:rsidR="005E727D" w:rsidRPr="007E00DB" w14:paraId="769158EE" w14:textId="77777777" w:rsidTr="009D701F">
        <w:trPr>
          <w:trHeight w:val="855"/>
        </w:trPr>
        <w:tc>
          <w:tcPr>
            <w:tcW w:w="881" w:type="pct"/>
            <w:hideMark/>
          </w:tcPr>
          <w:p w14:paraId="15A34257"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E2023017859_EEP</w:t>
            </w:r>
          </w:p>
        </w:tc>
        <w:tc>
          <w:tcPr>
            <w:tcW w:w="2247" w:type="pct"/>
            <w:hideMark/>
          </w:tcPr>
          <w:p w14:paraId="3334CA90"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Respecto a la variable CU, que el subíndice de mes debería ser m-1 y no m</w:t>
            </w:r>
          </w:p>
        </w:tc>
        <w:tc>
          <w:tcPr>
            <w:tcW w:w="1872" w:type="pct"/>
            <w:hideMark/>
          </w:tcPr>
          <w:p w14:paraId="0B4BD0AE"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Se corrige</w:t>
            </w:r>
          </w:p>
        </w:tc>
      </w:tr>
      <w:tr w:rsidR="005E727D" w:rsidRPr="007E00DB" w14:paraId="5BB62174" w14:textId="77777777" w:rsidTr="009D701F">
        <w:trPr>
          <w:trHeight w:val="1160"/>
        </w:trPr>
        <w:tc>
          <w:tcPr>
            <w:tcW w:w="881" w:type="pct"/>
            <w:hideMark/>
          </w:tcPr>
          <w:p w14:paraId="410DABBB"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E2023017859_EEP</w:t>
            </w:r>
          </w:p>
        </w:tc>
        <w:tc>
          <w:tcPr>
            <w:tcW w:w="2247" w:type="pct"/>
            <w:hideMark/>
          </w:tcPr>
          <w:p w14:paraId="4481F5C8"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existirán valores de saldos remanentes a ser leídos y facturados.</w:t>
            </w:r>
            <w:r w:rsidRPr="009D701F">
              <w:rPr>
                <w:rFonts w:cs="Arial"/>
                <w:color w:val="000000"/>
                <w:sz w:val="18"/>
                <w:szCs w:val="18"/>
              </w:rPr>
              <w:br/>
            </w:r>
            <w:r w:rsidRPr="009D701F">
              <w:rPr>
                <w:rFonts w:cs="Arial"/>
                <w:color w:val="000000"/>
                <w:sz w:val="18"/>
                <w:szCs w:val="18"/>
              </w:rPr>
              <w:br/>
              <w:t xml:space="preserve">Se permita incluir como un delta a la variable </w:t>
            </w:r>
            <w:proofErr w:type="spellStart"/>
            <w:proofErr w:type="gramStart"/>
            <w:r w:rsidRPr="009D701F">
              <w:rPr>
                <w:rFonts w:cs="Arial"/>
                <w:color w:val="000000"/>
                <w:sz w:val="18"/>
                <w:szCs w:val="18"/>
              </w:rPr>
              <w:t>SAn,m</w:t>
            </w:r>
            <w:proofErr w:type="gramEnd"/>
            <w:r w:rsidRPr="009D701F">
              <w:rPr>
                <w:rFonts w:cs="Arial"/>
                <w:color w:val="000000"/>
                <w:sz w:val="18"/>
                <w:szCs w:val="18"/>
              </w:rPr>
              <w:t>,i,j</w:t>
            </w:r>
            <w:proofErr w:type="spellEnd"/>
            <w:r w:rsidRPr="009D701F">
              <w:rPr>
                <w:rFonts w:cs="Arial"/>
                <w:color w:val="000000"/>
                <w:sz w:val="18"/>
                <w:szCs w:val="18"/>
              </w:rPr>
              <w:t xml:space="preserve"> los valores de los saldos que faltarían por ser incluidos.</w:t>
            </w:r>
          </w:p>
        </w:tc>
        <w:tc>
          <w:tcPr>
            <w:tcW w:w="1872" w:type="pct"/>
            <w:hideMark/>
          </w:tcPr>
          <w:p w14:paraId="48BED31F" w14:textId="77777777" w:rsidR="005E727D" w:rsidRPr="009D701F" w:rsidRDefault="005E727D" w:rsidP="005E727D">
            <w:pPr>
              <w:spacing w:before="0" w:after="0"/>
              <w:jc w:val="left"/>
              <w:rPr>
                <w:rFonts w:cs="Arial"/>
                <w:sz w:val="18"/>
                <w:szCs w:val="18"/>
              </w:rPr>
            </w:pPr>
            <w:r w:rsidRPr="009D701F">
              <w:rPr>
                <w:rFonts w:cs="Arial"/>
                <w:sz w:val="18"/>
                <w:szCs w:val="18"/>
              </w:rPr>
              <w:t>Se incluyen oportunidades de liquidación y pago de saldos</w:t>
            </w:r>
          </w:p>
        </w:tc>
      </w:tr>
      <w:tr w:rsidR="005E727D" w:rsidRPr="007E00DB" w14:paraId="6EAC96EA" w14:textId="77777777" w:rsidTr="009D701F">
        <w:trPr>
          <w:trHeight w:val="1160"/>
        </w:trPr>
        <w:tc>
          <w:tcPr>
            <w:tcW w:w="881" w:type="pct"/>
            <w:hideMark/>
          </w:tcPr>
          <w:p w14:paraId="752E4D22"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E2023017859_EEP</w:t>
            </w:r>
          </w:p>
        </w:tc>
        <w:tc>
          <w:tcPr>
            <w:tcW w:w="2247" w:type="pct"/>
            <w:hideMark/>
          </w:tcPr>
          <w:p w14:paraId="0C520412"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 xml:space="preserve">La tasa mensual para la recuperación del saldo de la opción tarifaria </w:t>
            </w:r>
            <w:proofErr w:type="spellStart"/>
            <w:proofErr w:type="gramStart"/>
            <w:r w:rsidRPr="009D701F">
              <w:rPr>
                <w:rFonts w:cs="Arial"/>
                <w:color w:val="000000"/>
                <w:sz w:val="18"/>
                <w:szCs w:val="18"/>
              </w:rPr>
              <w:t>rOTm,i</w:t>
            </w:r>
            <w:proofErr w:type="gramEnd"/>
            <w:r w:rsidRPr="009D701F">
              <w:rPr>
                <w:rFonts w:cs="Arial"/>
                <w:color w:val="000000"/>
                <w:sz w:val="18"/>
                <w:szCs w:val="18"/>
              </w:rPr>
              <w:t>,j</w:t>
            </w:r>
            <w:proofErr w:type="spellEnd"/>
            <w:r w:rsidRPr="009D701F">
              <w:rPr>
                <w:rFonts w:cs="Arial"/>
                <w:color w:val="000000"/>
                <w:sz w:val="18"/>
                <w:szCs w:val="18"/>
              </w:rPr>
              <w:t xml:space="preserve"> sugerimos que se defina como un valor máximo, con el fin que cada comercializador pueda cobrar un valor</w:t>
            </w:r>
            <w:r w:rsidRPr="009D701F">
              <w:rPr>
                <w:rFonts w:cs="Arial"/>
                <w:color w:val="000000"/>
                <w:sz w:val="18"/>
                <w:szCs w:val="18"/>
              </w:rPr>
              <w:br/>
              <w:t>inferior si así lo decide.</w:t>
            </w:r>
          </w:p>
        </w:tc>
        <w:tc>
          <w:tcPr>
            <w:tcW w:w="1872" w:type="pct"/>
            <w:hideMark/>
          </w:tcPr>
          <w:p w14:paraId="4172DD9D" w14:textId="14833A3F" w:rsidR="005E727D" w:rsidRPr="009D701F" w:rsidRDefault="005E727D" w:rsidP="005E727D">
            <w:pPr>
              <w:spacing w:before="0" w:after="0"/>
              <w:jc w:val="left"/>
              <w:rPr>
                <w:rFonts w:cs="Arial"/>
                <w:sz w:val="18"/>
                <w:szCs w:val="18"/>
              </w:rPr>
            </w:pPr>
            <w:r w:rsidRPr="009D701F">
              <w:rPr>
                <w:rFonts w:cs="Arial"/>
                <w:sz w:val="18"/>
                <w:szCs w:val="18"/>
              </w:rPr>
              <w:t xml:space="preserve">Se aclara que el </w:t>
            </w:r>
            <w:r w:rsidR="001A081F" w:rsidRPr="009D701F">
              <w:rPr>
                <w:rFonts w:cs="Arial"/>
                <w:sz w:val="18"/>
                <w:szCs w:val="18"/>
              </w:rPr>
              <w:t>valor</w:t>
            </w:r>
            <w:r w:rsidRPr="009D701F">
              <w:rPr>
                <w:rFonts w:cs="Arial"/>
                <w:sz w:val="18"/>
                <w:szCs w:val="18"/>
              </w:rPr>
              <w:t xml:space="preserve"> de la tasa </w:t>
            </w:r>
            <w:proofErr w:type="spellStart"/>
            <w:proofErr w:type="gramStart"/>
            <w:r w:rsidRPr="009D701F">
              <w:rPr>
                <w:rFonts w:cs="Arial"/>
                <w:sz w:val="18"/>
                <w:szCs w:val="18"/>
              </w:rPr>
              <w:t>ROTm,i</w:t>
            </w:r>
            <w:proofErr w:type="gramEnd"/>
            <w:r w:rsidRPr="009D701F">
              <w:rPr>
                <w:rFonts w:cs="Arial"/>
                <w:sz w:val="18"/>
                <w:szCs w:val="18"/>
              </w:rPr>
              <w:t>,j</w:t>
            </w:r>
            <w:proofErr w:type="spellEnd"/>
            <w:r w:rsidRPr="009D701F">
              <w:rPr>
                <w:rFonts w:cs="Arial"/>
                <w:sz w:val="18"/>
                <w:szCs w:val="18"/>
              </w:rPr>
              <w:t xml:space="preserve">, es un valor </w:t>
            </w:r>
            <w:r w:rsidR="001A081F" w:rsidRPr="009D701F">
              <w:rPr>
                <w:rFonts w:cs="Arial"/>
                <w:sz w:val="18"/>
                <w:szCs w:val="18"/>
              </w:rPr>
              <w:t>máximo</w:t>
            </w:r>
            <w:r w:rsidRPr="009D701F">
              <w:rPr>
                <w:rFonts w:cs="Arial"/>
                <w:sz w:val="18"/>
                <w:szCs w:val="18"/>
              </w:rPr>
              <w:t xml:space="preserve"> y el comercializador </w:t>
            </w:r>
            <w:r w:rsidR="001A081F" w:rsidRPr="009D701F">
              <w:rPr>
                <w:rFonts w:cs="Arial"/>
                <w:sz w:val="18"/>
                <w:szCs w:val="18"/>
              </w:rPr>
              <w:t>podrá</w:t>
            </w:r>
            <w:r w:rsidRPr="009D701F">
              <w:rPr>
                <w:rFonts w:cs="Arial"/>
                <w:sz w:val="18"/>
                <w:szCs w:val="18"/>
              </w:rPr>
              <w:t xml:space="preserve"> cobrar valores inferiores. </w:t>
            </w:r>
          </w:p>
        </w:tc>
      </w:tr>
      <w:tr w:rsidR="005E727D" w:rsidRPr="007E00DB" w14:paraId="00F88FFC" w14:textId="77777777" w:rsidTr="009D701F">
        <w:trPr>
          <w:trHeight w:val="1160"/>
        </w:trPr>
        <w:tc>
          <w:tcPr>
            <w:tcW w:w="881" w:type="pct"/>
            <w:hideMark/>
          </w:tcPr>
          <w:p w14:paraId="6E2688C4"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E2023017859_EEP</w:t>
            </w:r>
          </w:p>
        </w:tc>
        <w:tc>
          <w:tcPr>
            <w:tcW w:w="2247" w:type="pct"/>
            <w:hideMark/>
          </w:tcPr>
          <w:p w14:paraId="5759A77C"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Suspensión activación Aj</w:t>
            </w:r>
          </w:p>
        </w:tc>
        <w:tc>
          <w:tcPr>
            <w:tcW w:w="1872" w:type="pct"/>
            <w:hideMark/>
          </w:tcPr>
          <w:p w14:paraId="257B299F" w14:textId="32BC2FF4" w:rsidR="005E727D" w:rsidRPr="009D701F" w:rsidRDefault="005E727D" w:rsidP="005E727D">
            <w:pPr>
              <w:spacing w:before="0" w:after="0"/>
              <w:jc w:val="left"/>
              <w:rPr>
                <w:rFonts w:cs="Arial"/>
                <w:color w:val="000000"/>
                <w:sz w:val="18"/>
                <w:szCs w:val="18"/>
              </w:rPr>
            </w:pPr>
            <w:r w:rsidRPr="009D701F">
              <w:rPr>
                <w:rFonts w:cs="Arial"/>
                <w:color w:val="000000"/>
                <w:sz w:val="18"/>
                <w:szCs w:val="18"/>
              </w:rPr>
              <w:t xml:space="preserve">Esta propuesta está fuera del alcance de la resolución. Las medidas regulatorias respecto a los saldos acumulados en Aj son objeto de </w:t>
            </w:r>
            <w:r w:rsidR="001A081F" w:rsidRPr="009D701F">
              <w:rPr>
                <w:rFonts w:cs="Arial"/>
                <w:color w:val="000000"/>
                <w:sz w:val="18"/>
                <w:szCs w:val="18"/>
              </w:rPr>
              <w:t>análisis</w:t>
            </w:r>
            <w:r w:rsidRPr="009D701F">
              <w:rPr>
                <w:rFonts w:cs="Arial"/>
                <w:color w:val="000000"/>
                <w:sz w:val="18"/>
                <w:szCs w:val="18"/>
              </w:rPr>
              <w:t xml:space="preserve"> y proyectos regulatorios adicionales que viene adelantando la Comisión. </w:t>
            </w:r>
          </w:p>
        </w:tc>
      </w:tr>
      <w:tr w:rsidR="005E727D" w:rsidRPr="007E00DB" w14:paraId="183A4EE0" w14:textId="77777777" w:rsidTr="009D701F">
        <w:trPr>
          <w:trHeight w:val="1720"/>
        </w:trPr>
        <w:tc>
          <w:tcPr>
            <w:tcW w:w="881" w:type="pct"/>
            <w:hideMark/>
          </w:tcPr>
          <w:p w14:paraId="5AB85424"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E2023017860_ANDESCO</w:t>
            </w:r>
          </w:p>
        </w:tc>
        <w:tc>
          <w:tcPr>
            <w:tcW w:w="2247" w:type="pct"/>
            <w:hideMark/>
          </w:tcPr>
          <w:p w14:paraId="6C80DF9D"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La fecha de corte inicial (día 14 de cada mes) no permitiría calcular el valor total de los saldos acumulados.</w:t>
            </w:r>
            <w:r w:rsidRPr="009D701F">
              <w:rPr>
                <w:rFonts w:cs="Arial"/>
                <w:color w:val="000000"/>
                <w:sz w:val="18"/>
                <w:szCs w:val="18"/>
              </w:rPr>
              <w:br/>
            </w:r>
            <w:r w:rsidRPr="009D701F">
              <w:rPr>
                <w:rFonts w:cs="Arial"/>
                <w:color w:val="000000"/>
                <w:sz w:val="18"/>
                <w:szCs w:val="18"/>
              </w:rPr>
              <w:br/>
              <w:t>Que se incorpore un delta que permita a los agentes comercializadores recuperar la totalidad de los saldos acumulados que actualmente tienen</w:t>
            </w:r>
          </w:p>
        </w:tc>
        <w:tc>
          <w:tcPr>
            <w:tcW w:w="1872" w:type="pct"/>
            <w:hideMark/>
          </w:tcPr>
          <w:p w14:paraId="270F7CFA" w14:textId="77777777" w:rsidR="005E727D" w:rsidRPr="009D701F" w:rsidRDefault="005E727D" w:rsidP="005E727D">
            <w:pPr>
              <w:spacing w:before="0" w:after="0"/>
              <w:jc w:val="left"/>
              <w:rPr>
                <w:rFonts w:cs="Arial"/>
                <w:sz w:val="18"/>
                <w:szCs w:val="18"/>
              </w:rPr>
            </w:pPr>
            <w:r w:rsidRPr="009D701F">
              <w:rPr>
                <w:rFonts w:cs="Arial"/>
                <w:sz w:val="18"/>
                <w:szCs w:val="18"/>
              </w:rPr>
              <w:t>Se incluyen oportunidades de liquidación y pago de saldos</w:t>
            </w:r>
          </w:p>
        </w:tc>
      </w:tr>
      <w:tr w:rsidR="005E727D" w:rsidRPr="007E00DB" w14:paraId="614727C6" w14:textId="77777777" w:rsidTr="009D701F">
        <w:trPr>
          <w:trHeight w:val="870"/>
        </w:trPr>
        <w:tc>
          <w:tcPr>
            <w:tcW w:w="881" w:type="pct"/>
            <w:hideMark/>
          </w:tcPr>
          <w:p w14:paraId="0FF0A8DE"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E2023017860_ANDESCO</w:t>
            </w:r>
          </w:p>
        </w:tc>
        <w:tc>
          <w:tcPr>
            <w:tcW w:w="2247" w:type="pct"/>
            <w:hideMark/>
          </w:tcPr>
          <w:p w14:paraId="1E8AF6B0" w14:textId="2C44A64A" w:rsidR="005E727D" w:rsidRPr="009D701F" w:rsidRDefault="005E727D" w:rsidP="005E727D">
            <w:pPr>
              <w:spacing w:before="0" w:after="0"/>
              <w:jc w:val="left"/>
              <w:rPr>
                <w:rFonts w:cs="Arial"/>
                <w:color w:val="000000"/>
                <w:sz w:val="18"/>
                <w:szCs w:val="18"/>
              </w:rPr>
            </w:pPr>
            <w:r w:rsidRPr="009D701F">
              <w:rPr>
                <w:rFonts w:cs="Arial"/>
                <w:color w:val="000000"/>
                <w:sz w:val="18"/>
                <w:szCs w:val="18"/>
              </w:rPr>
              <w:t xml:space="preserve">Se incluya </w:t>
            </w:r>
            <w:r w:rsidR="00AD79E3" w:rsidRPr="009D701F">
              <w:rPr>
                <w:rFonts w:cs="Arial"/>
                <w:color w:val="000000"/>
                <w:sz w:val="18"/>
                <w:szCs w:val="18"/>
              </w:rPr>
              <w:t xml:space="preserve">también la </w:t>
            </w:r>
            <w:proofErr w:type="gramStart"/>
            <w:r w:rsidR="00AD79E3" w:rsidRPr="009D701F">
              <w:rPr>
                <w:rFonts w:cs="Arial"/>
                <w:color w:val="000000"/>
                <w:sz w:val="18"/>
                <w:szCs w:val="18"/>
              </w:rPr>
              <w:t>energía</w:t>
            </w:r>
            <w:r w:rsidRPr="009D701F">
              <w:rPr>
                <w:rFonts w:cs="Arial"/>
                <w:color w:val="000000"/>
                <w:sz w:val="18"/>
                <w:szCs w:val="18"/>
              </w:rPr>
              <w:t xml:space="preserve">  de</w:t>
            </w:r>
            <w:proofErr w:type="gramEnd"/>
            <w:r w:rsidRPr="009D701F">
              <w:rPr>
                <w:rFonts w:cs="Arial"/>
                <w:color w:val="000000"/>
                <w:sz w:val="18"/>
                <w:szCs w:val="18"/>
              </w:rPr>
              <w:t xml:space="preserve">  los  clientes  que deciden  cambiar  de  comercializador  cuando  el  comercializador  esté  aplicando  la  opción tarifaria</w:t>
            </w:r>
          </w:p>
        </w:tc>
        <w:tc>
          <w:tcPr>
            <w:tcW w:w="1872" w:type="pct"/>
            <w:hideMark/>
          </w:tcPr>
          <w:p w14:paraId="54266D97" w14:textId="77777777" w:rsidR="005E727D" w:rsidRPr="009D701F" w:rsidRDefault="005E727D" w:rsidP="005E727D">
            <w:pPr>
              <w:spacing w:before="0" w:after="0"/>
              <w:jc w:val="left"/>
              <w:rPr>
                <w:rFonts w:cs="Arial"/>
                <w:sz w:val="18"/>
                <w:szCs w:val="18"/>
              </w:rPr>
            </w:pPr>
            <w:r w:rsidRPr="009D701F">
              <w:rPr>
                <w:rFonts w:cs="Arial"/>
                <w:sz w:val="18"/>
                <w:szCs w:val="18"/>
              </w:rPr>
              <w:t>Se incluye</w:t>
            </w:r>
          </w:p>
        </w:tc>
      </w:tr>
      <w:tr w:rsidR="005E727D" w:rsidRPr="007E00DB" w14:paraId="13E98EEA" w14:textId="77777777" w:rsidTr="009D701F">
        <w:trPr>
          <w:trHeight w:val="580"/>
        </w:trPr>
        <w:tc>
          <w:tcPr>
            <w:tcW w:w="881" w:type="pct"/>
            <w:hideMark/>
          </w:tcPr>
          <w:p w14:paraId="01CDC2AE"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lastRenderedPageBreak/>
              <w:t>E2023017860_ANDESCO</w:t>
            </w:r>
          </w:p>
        </w:tc>
        <w:tc>
          <w:tcPr>
            <w:tcW w:w="2247" w:type="pct"/>
            <w:hideMark/>
          </w:tcPr>
          <w:p w14:paraId="4DB24854" w14:textId="5BC7FB40" w:rsidR="005E727D" w:rsidRPr="009D701F" w:rsidRDefault="005E727D" w:rsidP="005E727D">
            <w:pPr>
              <w:spacing w:before="0" w:after="0"/>
              <w:jc w:val="left"/>
              <w:rPr>
                <w:rFonts w:cs="Arial"/>
                <w:color w:val="000000"/>
                <w:sz w:val="18"/>
                <w:szCs w:val="18"/>
              </w:rPr>
            </w:pPr>
            <w:r w:rsidRPr="009D701F">
              <w:rPr>
                <w:rFonts w:cs="Arial"/>
                <w:color w:val="000000"/>
                <w:sz w:val="18"/>
                <w:szCs w:val="18"/>
              </w:rPr>
              <w:t>Que se especifique si los nuevos usuarios percibirían el COT del comercializado</w:t>
            </w:r>
            <w:r w:rsidR="00474C5D" w:rsidRPr="009D701F">
              <w:rPr>
                <w:rFonts w:cs="Arial"/>
                <w:color w:val="000000"/>
                <w:sz w:val="18"/>
                <w:szCs w:val="18"/>
              </w:rPr>
              <w:t>r</w:t>
            </w:r>
          </w:p>
        </w:tc>
        <w:tc>
          <w:tcPr>
            <w:tcW w:w="1872" w:type="pct"/>
            <w:hideMark/>
          </w:tcPr>
          <w:p w14:paraId="4B8DA46C" w14:textId="77777777" w:rsidR="005E727D" w:rsidRPr="009D701F" w:rsidRDefault="005E727D" w:rsidP="005E727D">
            <w:pPr>
              <w:spacing w:before="0" w:after="0"/>
              <w:jc w:val="left"/>
              <w:rPr>
                <w:rFonts w:cs="Arial"/>
                <w:sz w:val="18"/>
                <w:szCs w:val="18"/>
              </w:rPr>
            </w:pPr>
            <w:r w:rsidRPr="009D701F">
              <w:rPr>
                <w:rFonts w:cs="Arial"/>
                <w:sz w:val="18"/>
                <w:szCs w:val="18"/>
              </w:rPr>
              <w:t>Se incluye</w:t>
            </w:r>
          </w:p>
        </w:tc>
      </w:tr>
      <w:tr w:rsidR="005E727D" w:rsidRPr="007E00DB" w14:paraId="6F614678" w14:textId="77777777" w:rsidTr="009D701F">
        <w:trPr>
          <w:trHeight w:val="580"/>
        </w:trPr>
        <w:tc>
          <w:tcPr>
            <w:tcW w:w="881" w:type="pct"/>
            <w:hideMark/>
          </w:tcPr>
          <w:p w14:paraId="021C6C05"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E2023017860_ANDESCO</w:t>
            </w:r>
          </w:p>
        </w:tc>
        <w:tc>
          <w:tcPr>
            <w:tcW w:w="2247" w:type="pct"/>
            <w:hideMark/>
          </w:tcPr>
          <w:p w14:paraId="1768BA76" w14:textId="15EAACA8" w:rsidR="005E727D" w:rsidRPr="009D701F" w:rsidRDefault="005E727D" w:rsidP="005E727D">
            <w:pPr>
              <w:spacing w:before="0" w:after="0"/>
              <w:jc w:val="left"/>
              <w:rPr>
                <w:rFonts w:cs="Arial"/>
                <w:color w:val="000000"/>
                <w:sz w:val="18"/>
                <w:szCs w:val="18"/>
              </w:rPr>
            </w:pPr>
            <w:r w:rsidRPr="009D701F">
              <w:rPr>
                <w:rFonts w:cs="Arial"/>
                <w:color w:val="000000"/>
                <w:sz w:val="18"/>
                <w:szCs w:val="18"/>
              </w:rPr>
              <w:t xml:space="preserve">Se definan las condiciones para la aplicación del crédito por parte </w:t>
            </w:r>
            <w:r w:rsidR="00AD79E3" w:rsidRPr="009D701F">
              <w:rPr>
                <w:rFonts w:cs="Arial"/>
                <w:color w:val="000000"/>
                <w:sz w:val="18"/>
                <w:szCs w:val="18"/>
              </w:rPr>
              <w:t>de Financiera de</w:t>
            </w:r>
            <w:r w:rsidRPr="009D701F">
              <w:rPr>
                <w:rFonts w:cs="Arial"/>
                <w:color w:val="000000"/>
                <w:sz w:val="18"/>
                <w:szCs w:val="18"/>
              </w:rPr>
              <w:t xml:space="preserve"> </w:t>
            </w:r>
            <w:r w:rsidR="00AD79E3" w:rsidRPr="009D701F">
              <w:rPr>
                <w:rFonts w:cs="Arial"/>
                <w:color w:val="000000"/>
                <w:sz w:val="18"/>
                <w:szCs w:val="18"/>
              </w:rPr>
              <w:t>Desarrollo Territorial</w:t>
            </w:r>
            <w:r w:rsidRPr="009D701F">
              <w:rPr>
                <w:rFonts w:cs="Arial"/>
                <w:color w:val="000000"/>
                <w:sz w:val="18"/>
                <w:szCs w:val="18"/>
              </w:rPr>
              <w:t xml:space="preserve"> (FINDETER)</w:t>
            </w:r>
          </w:p>
        </w:tc>
        <w:tc>
          <w:tcPr>
            <w:tcW w:w="1872" w:type="pct"/>
            <w:hideMark/>
          </w:tcPr>
          <w:p w14:paraId="27C5EEA7" w14:textId="42E6E118" w:rsidR="005E727D" w:rsidRPr="009D701F" w:rsidRDefault="005E727D" w:rsidP="005E727D">
            <w:pPr>
              <w:spacing w:before="0" w:after="0"/>
              <w:jc w:val="left"/>
              <w:rPr>
                <w:rFonts w:cs="Arial"/>
                <w:color w:val="FF0000"/>
                <w:sz w:val="18"/>
                <w:szCs w:val="18"/>
              </w:rPr>
            </w:pPr>
            <w:r w:rsidRPr="009D701F">
              <w:rPr>
                <w:rFonts w:cs="Arial"/>
                <w:sz w:val="18"/>
                <w:szCs w:val="18"/>
              </w:rPr>
              <w:t xml:space="preserve">Las condiciones del crédito </w:t>
            </w:r>
            <w:r w:rsidR="001A081F" w:rsidRPr="009D701F">
              <w:rPr>
                <w:rFonts w:cs="Arial"/>
                <w:sz w:val="18"/>
                <w:szCs w:val="18"/>
              </w:rPr>
              <w:t>están</w:t>
            </w:r>
            <w:r w:rsidRPr="009D701F">
              <w:rPr>
                <w:rFonts w:cs="Arial"/>
                <w:sz w:val="18"/>
                <w:szCs w:val="18"/>
              </w:rPr>
              <w:t xml:space="preserve"> por fuera del alcance de la resolución </w:t>
            </w:r>
          </w:p>
        </w:tc>
      </w:tr>
      <w:tr w:rsidR="005E727D" w:rsidRPr="007E00DB" w14:paraId="6F664ADB" w14:textId="77777777" w:rsidTr="009D701F">
        <w:trPr>
          <w:trHeight w:val="1450"/>
        </w:trPr>
        <w:tc>
          <w:tcPr>
            <w:tcW w:w="881" w:type="pct"/>
            <w:hideMark/>
          </w:tcPr>
          <w:p w14:paraId="01D96694"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E2023017860_ANDESCO</w:t>
            </w:r>
          </w:p>
        </w:tc>
        <w:tc>
          <w:tcPr>
            <w:tcW w:w="2247" w:type="pct"/>
            <w:hideMark/>
          </w:tcPr>
          <w:p w14:paraId="0C40EE59" w14:textId="2E80F1A2" w:rsidR="005E727D" w:rsidRPr="009D701F" w:rsidRDefault="005E727D" w:rsidP="005E727D">
            <w:pPr>
              <w:spacing w:before="0" w:after="0"/>
              <w:jc w:val="left"/>
              <w:rPr>
                <w:rFonts w:cs="Arial"/>
                <w:color w:val="000000"/>
                <w:sz w:val="18"/>
                <w:szCs w:val="18"/>
              </w:rPr>
            </w:pPr>
            <w:r w:rsidRPr="009D701F">
              <w:rPr>
                <w:rFonts w:cs="Arial"/>
                <w:color w:val="000000"/>
                <w:sz w:val="18"/>
                <w:szCs w:val="18"/>
              </w:rPr>
              <w:t xml:space="preserve">Que se tengan en cuenta el promedio </w:t>
            </w:r>
            <w:r w:rsidR="00AD79E3" w:rsidRPr="009D701F">
              <w:rPr>
                <w:rFonts w:cs="Arial"/>
                <w:color w:val="000000"/>
                <w:sz w:val="18"/>
                <w:szCs w:val="18"/>
              </w:rPr>
              <w:t xml:space="preserve">ponderado de </w:t>
            </w:r>
            <w:proofErr w:type="gramStart"/>
            <w:r w:rsidR="00AD79E3" w:rsidRPr="009D701F">
              <w:rPr>
                <w:rFonts w:cs="Arial"/>
                <w:color w:val="000000"/>
                <w:sz w:val="18"/>
                <w:szCs w:val="18"/>
              </w:rPr>
              <w:t>las</w:t>
            </w:r>
            <w:r w:rsidRPr="009D701F">
              <w:rPr>
                <w:rFonts w:cs="Arial"/>
                <w:color w:val="000000"/>
                <w:sz w:val="18"/>
                <w:szCs w:val="18"/>
              </w:rPr>
              <w:t xml:space="preserve">  tasas</w:t>
            </w:r>
            <w:proofErr w:type="gramEnd"/>
            <w:r w:rsidRPr="009D701F">
              <w:rPr>
                <w:rFonts w:cs="Arial"/>
                <w:color w:val="000000"/>
                <w:sz w:val="18"/>
                <w:szCs w:val="18"/>
              </w:rPr>
              <w:t xml:space="preserve">  de  los  créditos  de  cada  empresa,  relacionados  con  el apalancamiento de capital de trabajo para soportar el déficit por el saldo de la opción. Es importante, que no se incluyan en este cálculo créditos obtenidos para proyectos específicos u otros fines</w:t>
            </w:r>
          </w:p>
        </w:tc>
        <w:tc>
          <w:tcPr>
            <w:tcW w:w="1872" w:type="pct"/>
            <w:hideMark/>
          </w:tcPr>
          <w:p w14:paraId="320470C0" w14:textId="77777777" w:rsidR="005E727D" w:rsidRPr="009D701F" w:rsidRDefault="005E727D" w:rsidP="005E727D">
            <w:pPr>
              <w:spacing w:before="0" w:after="0"/>
              <w:jc w:val="left"/>
              <w:rPr>
                <w:rFonts w:cs="Arial"/>
                <w:sz w:val="18"/>
                <w:szCs w:val="18"/>
              </w:rPr>
            </w:pPr>
            <w:r w:rsidRPr="009D701F">
              <w:rPr>
                <w:rFonts w:cs="Arial"/>
                <w:sz w:val="18"/>
                <w:szCs w:val="18"/>
              </w:rPr>
              <w:t>Se incluye en la propuesta final de tasas.</w:t>
            </w:r>
          </w:p>
        </w:tc>
      </w:tr>
      <w:tr w:rsidR="005E727D" w:rsidRPr="007E00DB" w14:paraId="2864ADC8" w14:textId="77777777" w:rsidTr="009D701F">
        <w:trPr>
          <w:trHeight w:val="870"/>
        </w:trPr>
        <w:tc>
          <w:tcPr>
            <w:tcW w:w="881" w:type="pct"/>
            <w:hideMark/>
          </w:tcPr>
          <w:p w14:paraId="4252B1B3"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E2023017860_ANDESCO</w:t>
            </w:r>
          </w:p>
        </w:tc>
        <w:tc>
          <w:tcPr>
            <w:tcW w:w="2247" w:type="pct"/>
            <w:hideMark/>
          </w:tcPr>
          <w:p w14:paraId="7978051A"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Incluir los lineamientos o reglas asociadas al pago de la variable COT para los casos en los cuales los usuarios decidan cambiar del mercado regulado al no regulado.</w:t>
            </w:r>
          </w:p>
        </w:tc>
        <w:tc>
          <w:tcPr>
            <w:tcW w:w="1872" w:type="pct"/>
            <w:hideMark/>
          </w:tcPr>
          <w:p w14:paraId="0C68B7ED" w14:textId="77777777" w:rsidR="005E727D" w:rsidRPr="009D701F" w:rsidRDefault="005E727D" w:rsidP="005E727D">
            <w:pPr>
              <w:spacing w:before="0" w:after="0"/>
              <w:jc w:val="left"/>
              <w:rPr>
                <w:rFonts w:cs="Arial"/>
                <w:sz w:val="18"/>
                <w:szCs w:val="18"/>
              </w:rPr>
            </w:pPr>
            <w:r w:rsidRPr="009D701F">
              <w:rPr>
                <w:rFonts w:cs="Arial"/>
                <w:sz w:val="18"/>
                <w:szCs w:val="18"/>
              </w:rPr>
              <w:t>Se incluye</w:t>
            </w:r>
          </w:p>
        </w:tc>
      </w:tr>
      <w:tr w:rsidR="005E727D" w:rsidRPr="007E00DB" w14:paraId="5A0D6618" w14:textId="77777777" w:rsidTr="009D701F">
        <w:trPr>
          <w:trHeight w:val="1160"/>
        </w:trPr>
        <w:tc>
          <w:tcPr>
            <w:tcW w:w="881" w:type="pct"/>
            <w:hideMark/>
          </w:tcPr>
          <w:p w14:paraId="396B8B5A"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E2023017860_ANDESCO</w:t>
            </w:r>
          </w:p>
        </w:tc>
        <w:tc>
          <w:tcPr>
            <w:tcW w:w="2247" w:type="pct"/>
            <w:hideMark/>
          </w:tcPr>
          <w:p w14:paraId="6DCDD049"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Precisar cual COT debe aplicarles a los usuarios, para el caso en el cual en un mercado de comercialización existan más de un comercializador aplicando la opción tarifaria y los clientes decidan cambiar de comercializador.</w:t>
            </w:r>
          </w:p>
        </w:tc>
        <w:tc>
          <w:tcPr>
            <w:tcW w:w="1872" w:type="pct"/>
            <w:hideMark/>
          </w:tcPr>
          <w:p w14:paraId="0BBC837F" w14:textId="77777777" w:rsidR="005E727D" w:rsidRPr="009D701F" w:rsidRDefault="005E727D" w:rsidP="005E727D">
            <w:pPr>
              <w:spacing w:before="0" w:after="0"/>
              <w:jc w:val="left"/>
              <w:rPr>
                <w:rFonts w:cs="Arial"/>
                <w:sz w:val="18"/>
                <w:szCs w:val="18"/>
              </w:rPr>
            </w:pPr>
            <w:r w:rsidRPr="009D701F">
              <w:rPr>
                <w:rFonts w:cs="Arial"/>
                <w:sz w:val="18"/>
                <w:szCs w:val="18"/>
              </w:rPr>
              <w:t>Se incluye</w:t>
            </w:r>
          </w:p>
        </w:tc>
      </w:tr>
      <w:tr w:rsidR="005E727D" w:rsidRPr="007E00DB" w14:paraId="16ECA7D1" w14:textId="77777777" w:rsidTr="009D701F">
        <w:trPr>
          <w:trHeight w:val="1450"/>
        </w:trPr>
        <w:tc>
          <w:tcPr>
            <w:tcW w:w="881" w:type="pct"/>
            <w:hideMark/>
          </w:tcPr>
          <w:p w14:paraId="4F128115"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E2023017860_ANDESCO</w:t>
            </w:r>
          </w:p>
        </w:tc>
        <w:tc>
          <w:tcPr>
            <w:tcW w:w="2247" w:type="pct"/>
            <w:hideMark/>
          </w:tcPr>
          <w:p w14:paraId="13EEDEB8"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 xml:space="preserve">Modificar las ventas que se toman en cuenta para el cálculo de la variable COT, ya que consideramos que se deben incluir dentro de las mismas, las ventas del nivel de tensión que correspondan a usuarios que i) hayan cambiado de comercializador y </w:t>
            </w:r>
            <w:proofErr w:type="spellStart"/>
            <w:r w:rsidRPr="009D701F">
              <w:rPr>
                <w:rFonts w:cs="Arial"/>
                <w:color w:val="000000"/>
                <w:sz w:val="18"/>
                <w:szCs w:val="18"/>
              </w:rPr>
              <w:t>ii</w:t>
            </w:r>
            <w:proofErr w:type="spellEnd"/>
            <w:r w:rsidRPr="009D701F">
              <w:rPr>
                <w:rFonts w:cs="Arial"/>
                <w:color w:val="000000"/>
                <w:sz w:val="18"/>
                <w:szCs w:val="18"/>
              </w:rPr>
              <w:t>) hayan migrado a otro nivel de tensión.</w:t>
            </w:r>
          </w:p>
        </w:tc>
        <w:tc>
          <w:tcPr>
            <w:tcW w:w="1872" w:type="pct"/>
            <w:hideMark/>
          </w:tcPr>
          <w:p w14:paraId="4DE2F563" w14:textId="77777777" w:rsidR="005E727D" w:rsidRPr="009D701F" w:rsidRDefault="005E727D" w:rsidP="005E727D">
            <w:pPr>
              <w:spacing w:before="0" w:after="0"/>
              <w:jc w:val="left"/>
              <w:rPr>
                <w:rFonts w:cs="Arial"/>
                <w:sz w:val="18"/>
                <w:szCs w:val="18"/>
              </w:rPr>
            </w:pPr>
            <w:r w:rsidRPr="009D701F">
              <w:rPr>
                <w:rFonts w:cs="Arial"/>
                <w:sz w:val="18"/>
                <w:szCs w:val="18"/>
              </w:rPr>
              <w:t>Se incluye</w:t>
            </w:r>
          </w:p>
        </w:tc>
      </w:tr>
      <w:tr w:rsidR="005E727D" w:rsidRPr="007E00DB" w14:paraId="480E9499" w14:textId="77777777" w:rsidTr="009D701F">
        <w:trPr>
          <w:trHeight w:val="870"/>
        </w:trPr>
        <w:tc>
          <w:tcPr>
            <w:tcW w:w="881" w:type="pct"/>
            <w:hideMark/>
          </w:tcPr>
          <w:p w14:paraId="0FEEB008"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E2023017860_ANDESCO</w:t>
            </w:r>
          </w:p>
        </w:tc>
        <w:tc>
          <w:tcPr>
            <w:tcW w:w="2247" w:type="pct"/>
            <w:hideMark/>
          </w:tcPr>
          <w:p w14:paraId="52E3D1BC"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Es necesaria la coordinación eficiente con la Superintendencia de Servicios Públicos Domiciliarios (SSPD), con el fin de que no se tengan retrasos y se pueda realizar en el tiempo establecido.</w:t>
            </w:r>
          </w:p>
        </w:tc>
        <w:tc>
          <w:tcPr>
            <w:tcW w:w="1872" w:type="pct"/>
            <w:hideMark/>
          </w:tcPr>
          <w:p w14:paraId="08F2074C" w14:textId="77777777" w:rsidR="005E727D" w:rsidRPr="009D701F" w:rsidRDefault="005E727D" w:rsidP="005E727D">
            <w:pPr>
              <w:spacing w:before="0" w:after="0"/>
              <w:jc w:val="left"/>
              <w:rPr>
                <w:rFonts w:cs="Arial"/>
                <w:sz w:val="18"/>
                <w:szCs w:val="18"/>
              </w:rPr>
            </w:pPr>
            <w:r w:rsidRPr="009D701F">
              <w:rPr>
                <w:rFonts w:cs="Arial"/>
                <w:sz w:val="18"/>
                <w:szCs w:val="18"/>
              </w:rPr>
              <w:t>Se aclara que la SSPD tiene voz en la Comisión y está actualizada l de las decisiones que se adoptan en la CREG.</w:t>
            </w:r>
          </w:p>
        </w:tc>
      </w:tr>
      <w:tr w:rsidR="005E727D" w:rsidRPr="007E00DB" w14:paraId="0C28EE1D" w14:textId="77777777" w:rsidTr="009D701F">
        <w:trPr>
          <w:trHeight w:val="290"/>
        </w:trPr>
        <w:tc>
          <w:tcPr>
            <w:tcW w:w="881" w:type="pct"/>
            <w:hideMark/>
          </w:tcPr>
          <w:p w14:paraId="72678EF1"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E2023017860_ANDESCO</w:t>
            </w:r>
          </w:p>
        </w:tc>
        <w:tc>
          <w:tcPr>
            <w:tcW w:w="2247" w:type="pct"/>
            <w:hideMark/>
          </w:tcPr>
          <w:p w14:paraId="09E399D5" w14:textId="24292980" w:rsidR="005E727D" w:rsidRPr="009D701F" w:rsidRDefault="005E727D" w:rsidP="005E727D">
            <w:pPr>
              <w:spacing w:before="0" w:after="0"/>
              <w:jc w:val="left"/>
              <w:rPr>
                <w:rFonts w:cs="Arial"/>
                <w:color w:val="000000"/>
                <w:sz w:val="18"/>
                <w:szCs w:val="18"/>
              </w:rPr>
            </w:pPr>
            <w:r w:rsidRPr="009D701F">
              <w:rPr>
                <w:rFonts w:cs="Arial"/>
                <w:color w:val="000000"/>
                <w:sz w:val="18"/>
                <w:szCs w:val="18"/>
              </w:rPr>
              <w:t xml:space="preserve">Cambio </w:t>
            </w:r>
            <w:proofErr w:type="gramStart"/>
            <w:r w:rsidRPr="009D701F">
              <w:rPr>
                <w:rFonts w:cs="Arial"/>
                <w:color w:val="000000"/>
                <w:sz w:val="18"/>
                <w:szCs w:val="18"/>
              </w:rPr>
              <w:t>de  la</w:t>
            </w:r>
            <w:proofErr w:type="gramEnd"/>
            <w:r w:rsidRPr="009D701F">
              <w:rPr>
                <w:rFonts w:cs="Arial"/>
                <w:color w:val="000000"/>
                <w:sz w:val="18"/>
                <w:szCs w:val="18"/>
              </w:rPr>
              <w:t xml:space="preserve"> variable  (m)  por  (m-1)</w:t>
            </w:r>
          </w:p>
        </w:tc>
        <w:tc>
          <w:tcPr>
            <w:tcW w:w="1872" w:type="pct"/>
            <w:hideMark/>
          </w:tcPr>
          <w:p w14:paraId="7B91319A"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 xml:space="preserve">Se corrige </w:t>
            </w:r>
          </w:p>
        </w:tc>
      </w:tr>
      <w:tr w:rsidR="005E727D" w:rsidRPr="007E00DB" w14:paraId="42BBF38F" w14:textId="77777777" w:rsidTr="009D701F">
        <w:trPr>
          <w:trHeight w:val="290"/>
        </w:trPr>
        <w:tc>
          <w:tcPr>
            <w:tcW w:w="881" w:type="pct"/>
            <w:hideMark/>
          </w:tcPr>
          <w:p w14:paraId="19438A1B"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E2023017860_ANDESCO</w:t>
            </w:r>
          </w:p>
        </w:tc>
        <w:tc>
          <w:tcPr>
            <w:tcW w:w="2247" w:type="pct"/>
            <w:hideMark/>
          </w:tcPr>
          <w:p w14:paraId="4F15F0CB"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Es necesario eliminar el uno (1) de la parte del CU*(1+0,06)</w:t>
            </w:r>
          </w:p>
        </w:tc>
        <w:tc>
          <w:tcPr>
            <w:tcW w:w="1872" w:type="pct"/>
            <w:hideMark/>
          </w:tcPr>
          <w:p w14:paraId="17C3846C" w14:textId="77777777" w:rsidR="005E727D" w:rsidRPr="009D701F" w:rsidRDefault="005E727D" w:rsidP="005E727D">
            <w:pPr>
              <w:spacing w:before="0" w:after="0"/>
              <w:jc w:val="left"/>
              <w:rPr>
                <w:rFonts w:cs="Arial"/>
                <w:color w:val="000000"/>
                <w:sz w:val="18"/>
                <w:szCs w:val="18"/>
              </w:rPr>
            </w:pPr>
            <w:r w:rsidRPr="009D701F">
              <w:rPr>
                <w:rFonts w:cs="Arial"/>
                <w:color w:val="000000"/>
                <w:sz w:val="18"/>
                <w:szCs w:val="18"/>
              </w:rPr>
              <w:t xml:space="preserve">Se corrige </w:t>
            </w:r>
          </w:p>
        </w:tc>
      </w:tr>
    </w:tbl>
    <w:p w14:paraId="5226D8D4" w14:textId="53C7A16D" w:rsidR="00591F96" w:rsidRDefault="00591F96"/>
    <w:tbl>
      <w:tblPr>
        <w:tblW w:w="9039" w:type="dxa"/>
        <w:tblLayout w:type="fixed"/>
        <w:tblLook w:val="04A0" w:firstRow="1" w:lastRow="0" w:firstColumn="1" w:lastColumn="0" w:noHBand="0" w:noVBand="1"/>
      </w:tblPr>
      <w:tblGrid>
        <w:gridCol w:w="9039"/>
      </w:tblGrid>
      <w:tr w:rsidR="00023BC9" w:rsidRPr="00023BC9" w14:paraId="2A585D8A" w14:textId="77777777">
        <w:trPr>
          <w:trHeight w:val="1451"/>
        </w:trPr>
        <w:tc>
          <w:tcPr>
            <w:tcW w:w="9039" w:type="dxa"/>
          </w:tcPr>
          <w:p w14:paraId="7FB01317" w14:textId="359C8F01" w:rsidR="006C2DDF" w:rsidRPr="004C0AB4" w:rsidRDefault="00D92E88" w:rsidP="006C2DDF">
            <w:pPr>
              <w:keepNext/>
              <w:suppressAutoHyphens/>
              <w:spacing w:before="0" w:after="240"/>
              <w:outlineLvl w:val="0"/>
              <w:rPr>
                <w:bCs/>
                <w:spacing w:val="-5"/>
                <w:sz w:val="24"/>
                <w:lang w:val="es-ES" w:eastAsia="es-ES"/>
              </w:rPr>
            </w:pPr>
            <w:bookmarkStart w:id="156" w:name="_Toc152921881"/>
            <w:r w:rsidRPr="004C0AB4">
              <w:rPr>
                <w:bCs/>
                <w:spacing w:val="-5"/>
                <w:sz w:val="24"/>
                <w:lang w:val="es-ES" w:eastAsia="es-ES"/>
              </w:rPr>
              <w:lastRenderedPageBreak/>
              <w:t>ANEXO 2</w:t>
            </w:r>
            <w:r w:rsidR="006C2DDF" w:rsidRPr="004C0AB4">
              <w:rPr>
                <w:bCs/>
                <w:spacing w:val="-5"/>
                <w:sz w:val="24"/>
                <w:lang w:val="es-ES" w:eastAsia="es-ES"/>
              </w:rPr>
              <w:t xml:space="preserve">. CUESTIONARIO </w:t>
            </w:r>
            <w:r w:rsidR="00AD20EA" w:rsidRPr="004C0AB4">
              <w:rPr>
                <w:bCs/>
                <w:spacing w:val="-5"/>
                <w:sz w:val="24"/>
                <w:lang w:val="es-ES" w:eastAsia="es-ES"/>
              </w:rPr>
              <w:t xml:space="preserve">DE LA </w:t>
            </w:r>
            <w:r w:rsidR="006C2DDF" w:rsidRPr="004C0AB4">
              <w:rPr>
                <w:bCs/>
                <w:spacing w:val="-5"/>
                <w:sz w:val="24"/>
                <w:lang w:val="es-ES" w:eastAsia="es-ES"/>
              </w:rPr>
              <w:t>ABOGACÍA DE LA COMPETENCIA</w:t>
            </w:r>
            <w:bookmarkEnd w:id="156"/>
          </w:p>
          <w:p w14:paraId="61275E41" w14:textId="2DE09681" w:rsidR="00023BC9" w:rsidRPr="004C0AB4" w:rsidRDefault="00023BC9" w:rsidP="00E32035">
            <w:pPr>
              <w:keepNext/>
              <w:suppressAutoHyphens/>
              <w:spacing w:before="0" w:after="240"/>
              <w:outlineLvl w:val="0"/>
              <w:rPr>
                <w:bCs/>
                <w:spacing w:val="-5"/>
                <w:sz w:val="24"/>
                <w:lang w:val="es-ES" w:eastAsia="es-ES"/>
              </w:rPr>
            </w:pPr>
            <w:bookmarkStart w:id="157" w:name="_Toc152921882"/>
            <w:r w:rsidRPr="004C0AB4">
              <w:rPr>
                <w:bCs/>
                <w:spacing w:val="-5"/>
                <w:sz w:val="24"/>
                <w:lang w:val="es-ES" w:eastAsia="es-ES"/>
              </w:rPr>
              <w:t>FORMULARIO COMPETENCIA SIC</w:t>
            </w:r>
            <w:bookmarkEnd w:id="146"/>
            <w:bookmarkEnd w:id="147"/>
            <w:bookmarkEnd w:id="148"/>
            <w:bookmarkEnd w:id="149"/>
            <w:bookmarkEnd w:id="150"/>
            <w:bookmarkEnd w:id="151"/>
            <w:bookmarkEnd w:id="152"/>
            <w:bookmarkEnd w:id="153"/>
            <w:bookmarkEnd w:id="157"/>
          </w:p>
          <w:p w14:paraId="3E57DD13" w14:textId="77777777" w:rsidR="00023BC9" w:rsidRPr="00023BC9" w:rsidRDefault="00023BC9" w:rsidP="00023BC9">
            <w:pPr>
              <w:autoSpaceDE w:val="0"/>
              <w:autoSpaceDN w:val="0"/>
              <w:adjustRightInd w:val="0"/>
              <w:spacing w:before="0" w:after="0"/>
              <w:ind w:right="-108"/>
              <w:rPr>
                <w:i/>
                <w:spacing w:val="-5"/>
                <w:u w:val="single"/>
                <w:lang w:val="es-ES" w:eastAsia="es-ES"/>
              </w:rPr>
            </w:pPr>
            <w:r w:rsidRPr="00023BC9">
              <w:rPr>
                <w:rFonts w:eastAsia="Calibri" w:cs="Arial"/>
                <w:b/>
                <w:i/>
                <w:spacing w:val="-5"/>
                <w:szCs w:val="24"/>
                <w:u w:val="single"/>
                <w:lang w:val="es-ES" w:eastAsia="en-US"/>
              </w:rPr>
              <w:t>Cuestionario de evaluación de la incidencia sobre la libre competencia de los actos administrativos expedidos con fines regulatorios.</w:t>
            </w:r>
          </w:p>
          <w:p w14:paraId="4BC8E63D" w14:textId="77777777" w:rsidR="00023BC9" w:rsidRPr="00023BC9" w:rsidRDefault="00023BC9" w:rsidP="00023BC9">
            <w:pPr>
              <w:spacing w:before="0" w:after="0"/>
              <w:ind w:right="-3"/>
              <w:rPr>
                <w:rFonts w:cs="Arial"/>
                <w:spacing w:val="-5"/>
                <w:szCs w:val="24"/>
                <w:lang w:val="es-ES" w:eastAsia="es-ES"/>
              </w:rPr>
            </w:pPr>
          </w:p>
          <w:p w14:paraId="75357ECF" w14:textId="77777777" w:rsidR="00023BC9" w:rsidRPr="00023BC9" w:rsidRDefault="00023BC9" w:rsidP="00023BC9">
            <w:pPr>
              <w:spacing w:before="0" w:after="0"/>
              <w:ind w:right="-3"/>
              <w:rPr>
                <w:rFonts w:cs="Arial"/>
                <w:spacing w:val="-5"/>
                <w:szCs w:val="24"/>
                <w:lang w:val="es-ES" w:eastAsia="es-ES"/>
              </w:rPr>
            </w:pPr>
            <w:r w:rsidRPr="00023BC9">
              <w:rPr>
                <w:rFonts w:cs="Arial"/>
                <w:spacing w:val="-5"/>
                <w:szCs w:val="24"/>
                <w:lang w:val="es-ES" w:eastAsia="es-ES"/>
              </w:rPr>
              <w:t>En desarrollo de lo establecido en el artículo 7 de la Ley 1340 de 2009, el Ministerio de Comercio, Industria y Turismo expidió el Decreto 2897 de fecha 5 de agosto de 2010, compilado en el Decreto 1074 de 2015, en el que determinó las autoridades que deben informar a la Superintendencia de Industria y Comercio sobre los proyectos de acto administrativo que se proponen expedir con fines de regulación, así como las reglas aplicables para la rendición por parte de esa Superintendencia del concepto previo a que hace referencia el artículo 7 de la Ley 1340 de 2009. En desarrollo de lo establecido por el artículo 2.2.2.30.5 del Decreto 1074 de 2015, la Superintendencia de Industria y Comercio adoptó mediante Resolución 44649 de 2010 el cuestionario para la evaluación de la incidencia sobre la libre competencia de los proyectos de actos administrativos expedidos con fines regulatorios a que hace referencia el citado artículo del Decreto 1074 de 2015.</w:t>
            </w:r>
          </w:p>
          <w:p w14:paraId="204EC46F" w14:textId="77777777" w:rsidR="00023BC9" w:rsidRPr="00023BC9" w:rsidRDefault="00023BC9" w:rsidP="00023BC9">
            <w:pPr>
              <w:spacing w:before="0" w:after="0"/>
              <w:ind w:right="-3"/>
              <w:rPr>
                <w:rFonts w:cs="Arial"/>
                <w:spacing w:val="-5"/>
                <w:szCs w:val="24"/>
                <w:lang w:val="es-ES" w:eastAsia="es-ES"/>
              </w:rPr>
            </w:pPr>
          </w:p>
          <w:p w14:paraId="08D2AC45" w14:textId="4A9E059D" w:rsidR="00023BC9" w:rsidRDefault="00023BC9" w:rsidP="00023BC9">
            <w:pPr>
              <w:spacing w:before="0" w:after="0"/>
              <w:ind w:right="-3"/>
              <w:rPr>
                <w:rFonts w:cs="Arial"/>
                <w:spacing w:val="-5"/>
                <w:szCs w:val="24"/>
                <w:lang w:val="es-ES" w:eastAsia="es-ES"/>
              </w:rPr>
            </w:pPr>
            <w:r w:rsidRPr="00023BC9">
              <w:rPr>
                <w:rFonts w:cs="Arial"/>
                <w:spacing w:val="-5"/>
                <w:szCs w:val="24"/>
                <w:lang w:val="es-ES" w:eastAsia="es-ES"/>
              </w:rPr>
              <w:t>A continuación, se presenta el análisis efectuado por la CREG, con base en el cuestionario adoptado por la SIC</w:t>
            </w:r>
            <w:r w:rsidR="00684B21">
              <w:rPr>
                <w:rFonts w:cs="Arial"/>
                <w:spacing w:val="-5"/>
                <w:szCs w:val="24"/>
                <w:lang w:val="es-ES" w:eastAsia="es-ES"/>
              </w:rPr>
              <w:t xml:space="preserve">. Entre otros, para el diligenciamiento del cuestionario </w:t>
            </w:r>
            <w:r w:rsidR="008A424D">
              <w:rPr>
                <w:rFonts w:cs="Arial"/>
                <w:spacing w:val="-5"/>
                <w:szCs w:val="24"/>
                <w:lang w:val="es-ES" w:eastAsia="es-ES"/>
              </w:rPr>
              <w:t xml:space="preserve">y </w:t>
            </w:r>
            <w:r w:rsidR="0004683B">
              <w:rPr>
                <w:rFonts w:cs="Arial"/>
                <w:spacing w:val="-5"/>
                <w:szCs w:val="24"/>
                <w:lang w:val="es-ES" w:eastAsia="es-ES"/>
              </w:rPr>
              <w:t xml:space="preserve">buscar que </w:t>
            </w:r>
            <w:proofErr w:type="spellStart"/>
            <w:r w:rsidR="0004683B">
              <w:rPr>
                <w:rFonts w:cs="Arial"/>
                <w:spacing w:val="-5"/>
                <w:szCs w:val="24"/>
                <w:lang w:val="es-ES" w:eastAsia="es-ES"/>
              </w:rPr>
              <w:t>l</w:t>
            </w:r>
            <w:proofErr w:type="spellEnd"/>
            <w:r w:rsidR="0004683B">
              <w:rPr>
                <w:rFonts w:cs="Arial"/>
                <w:spacing w:val="-5"/>
                <w:szCs w:val="24"/>
                <w:lang w:val="es-ES" w:eastAsia="es-ES"/>
              </w:rPr>
              <w:t xml:space="preserve"> mismo se resuelva de manera </w:t>
            </w:r>
            <w:r w:rsidR="00B54ACC">
              <w:rPr>
                <w:rFonts w:cs="Arial"/>
                <w:spacing w:val="-5"/>
                <w:szCs w:val="24"/>
                <w:lang w:val="es-ES" w:eastAsia="es-ES"/>
              </w:rPr>
              <w:t xml:space="preserve">objetiva, la CREG </w:t>
            </w:r>
            <w:r w:rsidR="00684B21">
              <w:rPr>
                <w:rFonts w:cs="Arial"/>
                <w:spacing w:val="-5"/>
                <w:szCs w:val="24"/>
                <w:lang w:val="es-ES" w:eastAsia="es-ES"/>
              </w:rPr>
              <w:t>tuvo como referencia</w:t>
            </w:r>
            <w:r w:rsidR="00AA71E0">
              <w:rPr>
                <w:rFonts w:cs="Arial"/>
                <w:spacing w:val="-5"/>
                <w:szCs w:val="24"/>
                <w:lang w:val="es-ES" w:eastAsia="es-ES"/>
              </w:rPr>
              <w:t xml:space="preserve"> los parámetros </w:t>
            </w:r>
            <w:r w:rsidR="006C5DD3">
              <w:rPr>
                <w:rFonts w:cs="Arial"/>
                <w:spacing w:val="-5"/>
                <w:szCs w:val="24"/>
                <w:lang w:val="es-ES" w:eastAsia="es-ES"/>
              </w:rPr>
              <w:t xml:space="preserve">y lineamientos </w:t>
            </w:r>
            <w:r w:rsidR="00AA71E0">
              <w:rPr>
                <w:rFonts w:cs="Arial"/>
                <w:spacing w:val="-5"/>
                <w:szCs w:val="24"/>
                <w:lang w:val="es-ES" w:eastAsia="es-ES"/>
              </w:rPr>
              <w:t xml:space="preserve">establecidos en </w:t>
            </w:r>
            <w:r w:rsidR="00684B21">
              <w:rPr>
                <w:rFonts w:cs="Arial"/>
                <w:spacing w:val="-5"/>
                <w:szCs w:val="24"/>
                <w:lang w:val="es-ES" w:eastAsia="es-ES"/>
              </w:rPr>
              <w:t>los documentos</w:t>
            </w:r>
            <w:r w:rsidR="00AA71E0">
              <w:rPr>
                <w:rFonts w:cs="Arial"/>
                <w:spacing w:val="-5"/>
                <w:szCs w:val="24"/>
                <w:lang w:val="es-ES" w:eastAsia="es-ES"/>
              </w:rPr>
              <w:t xml:space="preserve"> “</w:t>
            </w:r>
            <w:r w:rsidR="00AF126E">
              <w:rPr>
                <w:rFonts w:cs="Arial"/>
                <w:spacing w:val="-5"/>
                <w:szCs w:val="24"/>
                <w:lang w:val="es-ES" w:eastAsia="es-ES"/>
              </w:rPr>
              <w:t>Guía OCDE Herramientas para la Evaluación de la Competencia”</w:t>
            </w:r>
            <w:r w:rsidR="008226E5">
              <w:rPr>
                <w:rStyle w:val="Refdenotaalpie"/>
                <w:rFonts w:cs="Arial"/>
                <w:spacing w:val="-5"/>
                <w:szCs w:val="24"/>
                <w:lang w:val="es-ES" w:eastAsia="es-ES"/>
              </w:rPr>
              <w:footnoteReference w:id="6"/>
            </w:r>
            <w:r w:rsidR="00AF126E">
              <w:rPr>
                <w:rFonts w:cs="Arial"/>
                <w:spacing w:val="-5"/>
                <w:szCs w:val="24"/>
                <w:lang w:val="es-ES" w:eastAsia="es-ES"/>
              </w:rPr>
              <w:t>, “</w:t>
            </w:r>
            <w:r w:rsidR="003C5597">
              <w:rPr>
                <w:rFonts w:cs="Arial"/>
                <w:spacing w:val="-5"/>
                <w:szCs w:val="24"/>
                <w:lang w:val="es-ES" w:eastAsia="es-ES"/>
              </w:rPr>
              <w:t>Cartilla para el Ejercicio de la Abogacía de la Competencia:</w:t>
            </w:r>
            <w:r w:rsidR="00DD100C">
              <w:rPr>
                <w:rFonts w:cs="Arial"/>
                <w:spacing w:val="-5"/>
                <w:szCs w:val="24"/>
                <w:lang w:val="es-ES" w:eastAsia="es-ES"/>
              </w:rPr>
              <w:t xml:space="preserve"> Revisión de Proyectos de Regulación Estatal”</w:t>
            </w:r>
            <w:r w:rsidR="0086169C">
              <w:rPr>
                <w:rStyle w:val="Refdenotaalpie"/>
                <w:rFonts w:cs="Arial"/>
                <w:spacing w:val="-5"/>
                <w:szCs w:val="24"/>
                <w:lang w:val="es-ES" w:eastAsia="es-ES"/>
              </w:rPr>
              <w:footnoteReference w:id="7"/>
            </w:r>
            <w:r w:rsidR="00DD100C">
              <w:rPr>
                <w:rFonts w:cs="Arial"/>
                <w:spacing w:val="-5"/>
                <w:szCs w:val="24"/>
                <w:lang w:val="es-ES" w:eastAsia="es-ES"/>
              </w:rPr>
              <w:t xml:space="preserve">, </w:t>
            </w:r>
            <w:r w:rsidR="00D930D1">
              <w:rPr>
                <w:rFonts w:cs="Arial"/>
                <w:spacing w:val="-5"/>
                <w:szCs w:val="24"/>
                <w:lang w:val="es-ES" w:eastAsia="es-ES"/>
              </w:rPr>
              <w:t>“Guía para la Elaboración de los Estudios Técnico</w:t>
            </w:r>
            <w:r w:rsidR="0023785B">
              <w:rPr>
                <w:rFonts w:cs="Arial"/>
                <w:spacing w:val="-5"/>
                <w:szCs w:val="24"/>
                <w:lang w:val="es-ES" w:eastAsia="es-ES"/>
              </w:rPr>
              <w:t>-</w:t>
            </w:r>
            <w:r w:rsidR="00D930D1">
              <w:rPr>
                <w:rFonts w:cs="Arial"/>
                <w:spacing w:val="-5"/>
                <w:szCs w:val="24"/>
                <w:lang w:val="es-ES" w:eastAsia="es-ES"/>
              </w:rPr>
              <w:t>Económicos</w:t>
            </w:r>
            <w:r w:rsidR="00736E0D">
              <w:rPr>
                <w:rFonts w:cs="Arial"/>
                <w:spacing w:val="-5"/>
                <w:szCs w:val="24"/>
                <w:lang w:val="es-ES" w:eastAsia="es-ES"/>
              </w:rPr>
              <w:t xml:space="preserve"> en el Marco</w:t>
            </w:r>
            <w:r w:rsidR="001073FB">
              <w:rPr>
                <w:rFonts w:cs="Arial"/>
                <w:spacing w:val="-5"/>
                <w:szCs w:val="24"/>
                <w:lang w:val="es-ES" w:eastAsia="es-ES"/>
              </w:rPr>
              <w:t xml:space="preserve"> del Trámite de Abogacía de la Competencia”</w:t>
            </w:r>
            <w:r w:rsidR="006424EE">
              <w:rPr>
                <w:rStyle w:val="Refdenotaalpie"/>
                <w:rFonts w:cs="Arial"/>
                <w:spacing w:val="-5"/>
                <w:szCs w:val="24"/>
                <w:lang w:val="es-ES" w:eastAsia="es-ES"/>
              </w:rPr>
              <w:footnoteReference w:id="8"/>
            </w:r>
            <w:r w:rsidR="006C5DD3">
              <w:rPr>
                <w:rFonts w:cs="Arial"/>
                <w:spacing w:val="-5"/>
                <w:szCs w:val="24"/>
                <w:lang w:val="es-ES" w:eastAsia="es-ES"/>
              </w:rPr>
              <w:t>, expedidos por dichas autoridades</w:t>
            </w:r>
            <w:r w:rsidR="0023785B">
              <w:rPr>
                <w:rFonts w:cs="Arial"/>
                <w:spacing w:val="-5"/>
                <w:szCs w:val="24"/>
                <w:lang w:val="es-ES" w:eastAsia="es-ES"/>
              </w:rPr>
              <w:t>.</w:t>
            </w:r>
          </w:p>
          <w:p w14:paraId="4C7A9A84" w14:textId="77777777" w:rsidR="0023785B" w:rsidRDefault="0023785B" w:rsidP="00023BC9">
            <w:pPr>
              <w:spacing w:before="0" w:after="0"/>
              <w:ind w:right="-3"/>
              <w:rPr>
                <w:rFonts w:cs="Arial"/>
                <w:spacing w:val="-5"/>
                <w:szCs w:val="24"/>
                <w:lang w:val="es-ES" w:eastAsia="es-ES"/>
              </w:rPr>
            </w:pPr>
          </w:p>
          <w:p w14:paraId="0EB6A23D" w14:textId="55773DDB" w:rsidR="00C666D5" w:rsidRDefault="00C666D5" w:rsidP="00A829E9">
            <w:pPr>
              <w:spacing w:before="0" w:after="0"/>
              <w:ind w:right="-3"/>
              <w:rPr>
                <w:rFonts w:cs="Arial"/>
                <w:spacing w:val="-5"/>
                <w:szCs w:val="24"/>
                <w:lang w:val="es-ES" w:eastAsia="es-ES"/>
              </w:rPr>
            </w:pPr>
            <w:r>
              <w:rPr>
                <w:rFonts w:cs="Arial"/>
                <w:spacing w:val="-5"/>
                <w:szCs w:val="24"/>
                <w:lang w:val="es-ES" w:eastAsia="es-ES"/>
              </w:rPr>
              <w:t xml:space="preserve">Adicionalmente, se han tenido en cuenta los lineamientos </w:t>
            </w:r>
            <w:r w:rsidR="006C5DD3">
              <w:rPr>
                <w:rFonts w:cs="Arial"/>
                <w:spacing w:val="-5"/>
                <w:szCs w:val="24"/>
                <w:lang w:val="es-ES" w:eastAsia="es-ES"/>
              </w:rPr>
              <w:t xml:space="preserve">jurisprudenciales </w:t>
            </w:r>
            <w:r>
              <w:rPr>
                <w:rFonts w:cs="Arial"/>
                <w:spacing w:val="-5"/>
                <w:szCs w:val="24"/>
                <w:lang w:val="es-ES" w:eastAsia="es-ES"/>
              </w:rPr>
              <w:t xml:space="preserve">expuestos por parte del H. Consejo de Estado sobre el ejercicio de esta facultad dentro de los pronunciamientos </w:t>
            </w:r>
            <w:r w:rsidR="00C5083C">
              <w:rPr>
                <w:rFonts w:cs="Arial"/>
                <w:spacing w:val="-5"/>
                <w:szCs w:val="24"/>
                <w:lang w:val="es-ES" w:eastAsia="es-ES"/>
              </w:rPr>
              <w:t xml:space="preserve">de la </w:t>
            </w:r>
            <w:r w:rsidR="00C5083C" w:rsidRPr="00C5083C">
              <w:rPr>
                <w:rFonts w:cs="Arial"/>
                <w:spacing w:val="-5"/>
                <w:szCs w:val="24"/>
                <w:lang w:val="es-ES" w:eastAsia="es-ES"/>
              </w:rPr>
              <w:t>Sala de Consulta</w:t>
            </w:r>
            <w:r w:rsidR="00C5083C">
              <w:rPr>
                <w:rFonts w:cs="Arial"/>
                <w:spacing w:val="-5"/>
                <w:szCs w:val="24"/>
                <w:lang w:val="es-ES" w:eastAsia="es-ES"/>
              </w:rPr>
              <w:t xml:space="preserve"> en</w:t>
            </w:r>
            <w:r w:rsidR="00C5083C" w:rsidRPr="00C5083C">
              <w:rPr>
                <w:rFonts w:cs="Arial"/>
                <w:spacing w:val="-5"/>
                <w:szCs w:val="24"/>
                <w:lang w:val="es-ES" w:eastAsia="es-ES"/>
              </w:rPr>
              <w:t xml:space="preserve"> </w:t>
            </w:r>
            <w:r w:rsidR="00C5083C">
              <w:rPr>
                <w:rFonts w:cs="Arial"/>
                <w:spacing w:val="-5"/>
                <w:szCs w:val="24"/>
                <w:lang w:val="es-ES" w:eastAsia="es-ES"/>
              </w:rPr>
              <w:t>co</w:t>
            </w:r>
            <w:r w:rsidR="00C5083C" w:rsidRPr="00C5083C">
              <w:rPr>
                <w:rFonts w:cs="Arial"/>
                <w:spacing w:val="-5"/>
                <w:szCs w:val="24"/>
                <w:lang w:val="es-ES" w:eastAsia="es-ES"/>
              </w:rPr>
              <w:t>ncepto 2013-00500 de 4 de julio de 2013</w:t>
            </w:r>
            <w:r w:rsidR="00A829E9">
              <w:rPr>
                <w:rFonts w:cs="Arial"/>
                <w:spacing w:val="-5"/>
                <w:szCs w:val="24"/>
                <w:lang w:val="es-ES" w:eastAsia="es-ES"/>
              </w:rPr>
              <w:t>,</w:t>
            </w:r>
            <w:r w:rsidR="00A829E9">
              <w:t xml:space="preserve"> </w:t>
            </w:r>
            <w:proofErr w:type="gramStart"/>
            <w:r w:rsidR="00A829E9" w:rsidRPr="00A829E9">
              <w:rPr>
                <w:rFonts w:cs="Arial"/>
                <w:spacing w:val="-5"/>
                <w:szCs w:val="24"/>
                <w:lang w:val="es-ES" w:eastAsia="es-ES"/>
              </w:rPr>
              <w:t>Consejero</w:t>
            </w:r>
            <w:proofErr w:type="gramEnd"/>
            <w:r w:rsidR="00A829E9">
              <w:rPr>
                <w:rFonts w:cs="Arial"/>
                <w:spacing w:val="-5"/>
                <w:szCs w:val="24"/>
                <w:lang w:val="es-ES" w:eastAsia="es-ES"/>
              </w:rPr>
              <w:t xml:space="preserve">, </w:t>
            </w:r>
            <w:r w:rsidR="00A829E9" w:rsidRPr="00A829E9">
              <w:rPr>
                <w:rFonts w:cs="Arial"/>
                <w:spacing w:val="-5"/>
                <w:szCs w:val="24"/>
                <w:lang w:val="es-ES" w:eastAsia="es-ES"/>
              </w:rPr>
              <w:t>Dr. William Zambrano Cetina</w:t>
            </w:r>
            <w:r w:rsidR="00A829E9">
              <w:rPr>
                <w:rFonts w:cs="Arial"/>
                <w:spacing w:val="-5"/>
                <w:szCs w:val="24"/>
                <w:lang w:val="es-ES" w:eastAsia="es-ES"/>
              </w:rPr>
              <w:t xml:space="preserve"> y </w:t>
            </w:r>
            <w:r w:rsidR="003C6F7E">
              <w:rPr>
                <w:rFonts w:cs="Arial"/>
                <w:spacing w:val="-5"/>
                <w:szCs w:val="24"/>
                <w:lang w:val="es-ES" w:eastAsia="es-ES"/>
              </w:rPr>
              <w:t xml:space="preserve">Sentencia de la Sección Tercera, </w:t>
            </w:r>
            <w:r w:rsidR="00795041">
              <w:rPr>
                <w:rFonts w:cs="Arial"/>
                <w:spacing w:val="-5"/>
                <w:szCs w:val="24"/>
                <w:lang w:val="es-ES" w:eastAsia="es-ES"/>
              </w:rPr>
              <w:t xml:space="preserve">Subsección C, </w:t>
            </w:r>
            <w:r w:rsidR="00833C28">
              <w:rPr>
                <w:rFonts w:cs="Arial"/>
                <w:spacing w:val="-5"/>
                <w:szCs w:val="24"/>
                <w:lang w:val="es-ES" w:eastAsia="es-ES"/>
              </w:rPr>
              <w:t xml:space="preserve">Sentencia de </w:t>
            </w:r>
            <w:r w:rsidR="00C54E2B">
              <w:rPr>
                <w:rFonts w:cs="Arial"/>
                <w:spacing w:val="-5"/>
                <w:szCs w:val="24"/>
                <w:lang w:val="es-ES" w:eastAsia="es-ES"/>
              </w:rPr>
              <w:t xml:space="preserve">14 de junio de 2023, </w:t>
            </w:r>
            <w:r w:rsidR="00F204E0">
              <w:rPr>
                <w:rFonts w:cs="Arial"/>
                <w:spacing w:val="-5"/>
                <w:szCs w:val="24"/>
                <w:lang w:val="es-ES" w:eastAsia="es-ES"/>
              </w:rPr>
              <w:t xml:space="preserve">Expediente </w:t>
            </w:r>
            <w:r w:rsidR="002812AC">
              <w:rPr>
                <w:rFonts w:cs="Arial"/>
                <w:spacing w:val="-5"/>
                <w:szCs w:val="24"/>
                <w:lang w:val="es-ES" w:eastAsia="es-ES"/>
              </w:rPr>
              <w:t>2018-00164</w:t>
            </w:r>
            <w:r w:rsidR="0079200F">
              <w:rPr>
                <w:rFonts w:cs="Arial"/>
                <w:spacing w:val="-5"/>
                <w:szCs w:val="24"/>
                <w:lang w:val="es-ES" w:eastAsia="es-ES"/>
              </w:rPr>
              <w:t>, Consejero Dr. Guillermo Sánchez Luque.</w:t>
            </w:r>
          </w:p>
          <w:p w14:paraId="152793A8" w14:textId="77777777" w:rsidR="00426C76" w:rsidRPr="00023BC9" w:rsidRDefault="00426C76" w:rsidP="00426C76">
            <w:pPr>
              <w:autoSpaceDE w:val="0"/>
              <w:autoSpaceDN w:val="0"/>
              <w:adjustRightInd w:val="0"/>
              <w:spacing w:before="0" w:after="0"/>
              <w:ind w:right="-108"/>
              <w:rPr>
                <w:rFonts w:eastAsia="Calibri" w:cs="Arial"/>
                <w:spacing w:val="-5"/>
                <w:szCs w:val="24"/>
                <w:lang w:val="es-ES" w:eastAsia="en-US"/>
              </w:rPr>
            </w:pPr>
          </w:p>
        </w:tc>
      </w:tr>
      <w:tr w:rsidR="00023BC9" w:rsidRPr="00023BC9" w14:paraId="738E4CC0" w14:textId="77777777">
        <w:trPr>
          <w:trHeight w:val="94"/>
        </w:trPr>
        <w:tc>
          <w:tcPr>
            <w:tcW w:w="9039" w:type="dxa"/>
          </w:tcPr>
          <w:p w14:paraId="1B0931E1" w14:textId="62F70E97" w:rsidR="00023BC9" w:rsidRPr="00023BC9" w:rsidRDefault="00023BC9" w:rsidP="00591F96">
            <w:pPr>
              <w:keepNext/>
              <w:spacing w:before="0" w:after="0"/>
              <w:rPr>
                <w:rFonts w:eastAsia="Calibri" w:cs="Arial"/>
                <w:bCs/>
                <w:spacing w:val="-5"/>
                <w:szCs w:val="24"/>
                <w:lang w:val="es-ES" w:eastAsia="en-US"/>
              </w:rPr>
            </w:pPr>
            <w:r w:rsidRPr="00023BC9">
              <w:rPr>
                <w:rFonts w:eastAsia="Calibri" w:cs="Arial"/>
                <w:b/>
                <w:bCs/>
                <w:spacing w:val="-5"/>
                <w:szCs w:val="24"/>
                <w:lang w:val="es-ES" w:eastAsia="en-US"/>
              </w:rPr>
              <w:t>Objeto de regulación: “</w:t>
            </w:r>
            <w:r w:rsidR="00D667FB" w:rsidRPr="00D667FB">
              <w:rPr>
                <w:rFonts w:eastAsia="Calibri" w:cs="Arial"/>
                <w:b/>
                <w:bCs/>
                <w:spacing w:val="-5"/>
                <w:szCs w:val="24"/>
                <w:lang w:val="es-ES" w:eastAsia="en-US"/>
              </w:rPr>
              <w:t>Por la cual se modifica la Resolución CREG 119 de 2007 con fundamento en el artículo 126 de la Ley 142 de 1994</w:t>
            </w:r>
            <w:r w:rsidRPr="00023BC9">
              <w:rPr>
                <w:rFonts w:eastAsia="Calibri" w:cs="Arial"/>
                <w:b/>
                <w:bCs/>
                <w:spacing w:val="-5"/>
                <w:szCs w:val="24"/>
                <w:lang w:val="es-ES" w:eastAsia="en-US"/>
              </w:rPr>
              <w:t>”</w:t>
            </w:r>
          </w:p>
          <w:p w14:paraId="4ACB47CC" w14:textId="77777777" w:rsidR="00023BC9" w:rsidRPr="00023BC9" w:rsidRDefault="00023BC9" w:rsidP="00591F96">
            <w:pPr>
              <w:keepNext/>
              <w:spacing w:before="0" w:after="0"/>
              <w:rPr>
                <w:rFonts w:eastAsia="Calibri" w:cs="Arial"/>
                <w:b/>
                <w:bCs/>
                <w:spacing w:val="-5"/>
                <w:szCs w:val="24"/>
                <w:lang w:val="es-ES" w:eastAsia="en-US"/>
              </w:rPr>
            </w:pPr>
          </w:p>
        </w:tc>
      </w:tr>
      <w:tr w:rsidR="00023BC9" w:rsidRPr="00023BC9" w14:paraId="276676ED" w14:textId="77777777">
        <w:trPr>
          <w:trHeight w:val="94"/>
        </w:trPr>
        <w:tc>
          <w:tcPr>
            <w:tcW w:w="9039" w:type="dxa"/>
            <w:hideMark/>
          </w:tcPr>
          <w:p w14:paraId="35235451" w14:textId="77777777" w:rsidR="00023BC9" w:rsidRPr="00023BC9" w:rsidRDefault="00023BC9" w:rsidP="00591F96">
            <w:pPr>
              <w:keepNext/>
              <w:autoSpaceDE w:val="0"/>
              <w:autoSpaceDN w:val="0"/>
              <w:adjustRightInd w:val="0"/>
              <w:spacing w:before="0" w:after="0"/>
              <w:ind w:right="-108"/>
              <w:rPr>
                <w:rFonts w:eastAsia="Calibri" w:cs="Arial"/>
                <w:spacing w:val="-5"/>
                <w:szCs w:val="24"/>
                <w:lang w:val="es-ES" w:eastAsia="en-US"/>
              </w:rPr>
            </w:pPr>
            <w:r w:rsidRPr="00023BC9">
              <w:rPr>
                <w:rFonts w:eastAsia="Calibri" w:cs="Arial"/>
                <w:b/>
                <w:bCs/>
                <w:spacing w:val="-5"/>
                <w:szCs w:val="24"/>
                <w:lang w:val="es-ES" w:eastAsia="en-US"/>
              </w:rPr>
              <w:t xml:space="preserve">No. DE RESOLUCIÓN O ACTO: </w:t>
            </w:r>
          </w:p>
        </w:tc>
      </w:tr>
      <w:tr w:rsidR="00023BC9" w:rsidRPr="00023BC9" w14:paraId="46862A5A" w14:textId="77777777">
        <w:trPr>
          <w:trHeight w:val="94"/>
        </w:trPr>
        <w:tc>
          <w:tcPr>
            <w:tcW w:w="9039" w:type="dxa"/>
          </w:tcPr>
          <w:p w14:paraId="20ED3139" w14:textId="77777777" w:rsidR="00023BC9" w:rsidRPr="00023BC9" w:rsidRDefault="00023BC9" w:rsidP="00591F96">
            <w:pPr>
              <w:keepNext/>
              <w:autoSpaceDE w:val="0"/>
              <w:autoSpaceDN w:val="0"/>
              <w:adjustRightInd w:val="0"/>
              <w:spacing w:before="0" w:after="0"/>
              <w:ind w:right="-108"/>
              <w:rPr>
                <w:rFonts w:eastAsia="Calibri" w:cs="Arial"/>
                <w:b/>
                <w:bCs/>
                <w:spacing w:val="-5"/>
                <w:szCs w:val="24"/>
                <w:lang w:val="es-ES" w:eastAsia="en-US"/>
              </w:rPr>
            </w:pPr>
          </w:p>
        </w:tc>
      </w:tr>
      <w:tr w:rsidR="00023BC9" w:rsidRPr="00023BC9" w14:paraId="37477FDF" w14:textId="77777777">
        <w:trPr>
          <w:trHeight w:val="94"/>
        </w:trPr>
        <w:tc>
          <w:tcPr>
            <w:tcW w:w="9039" w:type="dxa"/>
          </w:tcPr>
          <w:p w14:paraId="2413A5F3" w14:textId="77777777" w:rsidR="00023BC9" w:rsidRPr="00023BC9" w:rsidRDefault="00023BC9" w:rsidP="00591F96">
            <w:pPr>
              <w:keepNext/>
              <w:autoSpaceDE w:val="0"/>
              <w:autoSpaceDN w:val="0"/>
              <w:adjustRightInd w:val="0"/>
              <w:spacing w:before="0" w:after="0"/>
              <w:ind w:right="-108"/>
              <w:rPr>
                <w:rFonts w:eastAsia="Calibri" w:cs="Arial"/>
                <w:bCs/>
                <w:spacing w:val="-5"/>
                <w:szCs w:val="24"/>
                <w:lang w:val="es-ES" w:eastAsia="en-US"/>
              </w:rPr>
            </w:pPr>
            <w:r w:rsidRPr="00023BC9">
              <w:rPr>
                <w:rFonts w:eastAsia="Calibri" w:cs="Arial"/>
                <w:b/>
                <w:bCs/>
                <w:spacing w:val="-5"/>
                <w:szCs w:val="24"/>
                <w:lang w:val="es-ES" w:eastAsia="en-US"/>
              </w:rPr>
              <w:t xml:space="preserve">COMISIÓN O ENTIDAD QUE REMITE: </w:t>
            </w:r>
            <w:r w:rsidRPr="00023BC9">
              <w:rPr>
                <w:rFonts w:eastAsia="Calibri" w:cs="Arial"/>
                <w:bCs/>
                <w:spacing w:val="-5"/>
                <w:szCs w:val="24"/>
                <w:lang w:val="es-ES" w:eastAsia="en-US"/>
              </w:rPr>
              <w:t>COMISIÓN DE REGULACIÓN DE ENERGÍA Y GAS, CREG</w:t>
            </w:r>
          </w:p>
          <w:p w14:paraId="20D21A4B" w14:textId="77777777" w:rsidR="00023BC9" w:rsidRPr="00023BC9" w:rsidRDefault="00023BC9" w:rsidP="00591F96">
            <w:pPr>
              <w:keepNext/>
              <w:autoSpaceDE w:val="0"/>
              <w:autoSpaceDN w:val="0"/>
              <w:adjustRightInd w:val="0"/>
              <w:spacing w:before="0" w:after="0"/>
              <w:ind w:right="-108"/>
              <w:rPr>
                <w:rFonts w:eastAsia="Calibri" w:cs="Arial"/>
                <w:spacing w:val="-5"/>
                <w:szCs w:val="24"/>
                <w:lang w:val="es-ES" w:eastAsia="en-US"/>
              </w:rPr>
            </w:pPr>
          </w:p>
        </w:tc>
      </w:tr>
      <w:tr w:rsidR="00023BC9" w:rsidRPr="00023BC9" w14:paraId="46C98C98" w14:textId="77777777">
        <w:trPr>
          <w:trHeight w:val="94"/>
        </w:trPr>
        <w:tc>
          <w:tcPr>
            <w:tcW w:w="9039" w:type="dxa"/>
            <w:hideMark/>
          </w:tcPr>
          <w:p w14:paraId="4D015292" w14:textId="77777777" w:rsidR="00023BC9" w:rsidRPr="00023BC9" w:rsidRDefault="00023BC9" w:rsidP="00591F96">
            <w:pPr>
              <w:keepNext/>
              <w:autoSpaceDE w:val="0"/>
              <w:autoSpaceDN w:val="0"/>
              <w:adjustRightInd w:val="0"/>
              <w:spacing w:before="0" w:after="0"/>
              <w:ind w:right="-108"/>
              <w:rPr>
                <w:rFonts w:eastAsia="Calibri" w:cs="Arial"/>
                <w:spacing w:val="-5"/>
                <w:szCs w:val="24"/>
                <w:lang w:val="es-ES" w:eastAsia="en-US"/>
              </w:rPr>
            </w:pPr>
            <w:r w:rsidRPr="00023BC9">
              <w:rPr>
                <w:rFonts w:eastAsia="Calibri" w:cs="Arial"/>
                <w:b/>
                <w:bCs/>
                <w:spacing w:val="-5"/>
                <w:szCs w:val="24"/>
                <w:lang w:val="es-ES" w:eastAsia="en-US"/>
              </w:rPr>
              <w:t>RADICACIÓN: ___________________________________________________________</w:t>
            </w:r>
          </w:p>
        </w:tc>
      </w:tr>
    </w:tbl>
    <w:p w14:paraId="3D239017" w14:textId="77777777" w:rsidR="00023BC9" w:rsidRPr="00023BC9" w:rsidRDefault="00023BC9" w:rsidP="00023BC9">
      <w:pPr>
        <w:spacing w:before="0" w:after="0"/>
        <w:rPr>
          <w:spacing w:val="-5"/>
          <w:lang w:val="es-ES" w:eastAsia="es-ES"/>
        </w:rPr>
      </w:pPr>
    </w:p>
    <w:tbl>
      <w:tblPr>
        <w:tblW w:w="8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45"/>
        <w:gridCol w:w="1985"/>
        <w:gridCol w:w="426"/>
        <w:gridCol w:w="425"/>
        <w:gridCol w:w="3401"/>
        <w:gridCol w:w="1843"/>
      </w:tblGrid>
      <w:tr w:rsidR="00E10A78" w:rsidRPr="00023BC9" w14:paraId="73A131B5" w14:textId="77777777" w:rsidTr="00092FBC">
        <w:trPr>
          <w:tblHeader/>
        </w:trPr>
        <w:tc>
          <w:tcPr>
            <w:tcW w:w="845" w:type="dxa"/>
            <w:tcBorders>
              <w:top w:val="single" w:sz="4" w:space="0" w:color="000000"/>
              <w:left w:val="single" w:sz="4" w:space="0" w:color="000000"/>
              <w:bottom w:val="single" w:sz="4" w:space="0" w:color="000000"/>
              <w:right w:val="single" w:sz="4" w:space="0" w:color="000000"/>
            </w:tcBorders>
            <w:shd w:val="clear" w:color="auto" w:fill="222A35" w:themeFill="text2" w:themeFillShade="80"/>
            <w:hideMark/>
          </w:tcPr>
          <w:p w14:paraId="185B9946" w14:textId="77777777" w:rsidR="00023BC9" w:rsidRPr="00023BC9" w:rsidRDefault="00023BC9" w:rsidP="00023BC9">
            <w:pPr>
              <w:autoSpaceDE w:val="0"/>
              <w:autoSpaceDN w:val="0"/>
              <w:adjustRightInd w:val="0"/>
              <w:spacing w:before="0" w:after="0"/>
              <w:ind w:right="-108"/>
              <w:jc w:val="center"/>
              <w:rPr>
                <w:rFonts w:eastAsia="Calibri" w:cs="Arial"/>
                <w:b/>
                <w:color w:val="FFFFFF" w:themeColor="background1"/>
                <w:spacing w:val="-5"/>
                <w:sz w:val="18"/>
                <w:szCs w:val="18"/>
                <w:lang w:val="es-ES" w:eastAsia="en-US"/>
              </w:rPr>
            </w:pPr>
            <w:r w:rsidRPr="00023BC9">
              <w:rPr>
                <w:rFonts w:eastAsia="Calibri" w:cs="Arial"/>
                <w:b/>
                <w:color w:val="FFFFFF" w:themeColor="background1"/>
                <w:spacing w:val="-5"/>
                <w:sz w:val="18"/>
                <w:szCs w:val="18"/>
                <w:lang w:val="es-ES" w:eastAsia="en-US"/>
              </w:rPr>
              <w:lastRenderedPageBreak/>
              <w:t>No.</w:t>
            </w:r>
          </w:p>
        </w:tc>
        <w:tc>
          <w:tcPr>
            <w:tcW w:w="1985" w:type="dxa"/>
            <w:tcBorders>
              <w:top w:val="single" w:sz="4" w:space="0" w:color="000000"/>
              <w:left w:val="single" w:sz="4" w:space="0" w:color="000000"/>
              <w:bottom w:val="single" w:sz="4" w:space="0" w:color="000000"/>
              <w:right w:val="single" w:sz="4" w:space="0" w:color="000000"/>
            </w:tcBorders>
            <w:shd w:val="clear" w:color="auto" w:fill="222A35" w:themeFill="text2" w:themeFillShade="80"/>
            <w:hideMark/>
          </w:tcPr>
          <w:p w14:paraId="0D13E0E2" w14:textId="77777777" w:rsidR="00023BC9" w:rsidRPr="00023BC9" w:rsidRDefault="00023BC9" w:rsidP="00023BC9">
            <w:pPr>
              <w:autoSpaceDE w:val="0"/>
              <w:autoSpaceDN w:val="0"/>
              <w:adjustRightInd w:val="0"/>
              <w:spacing w:before="0" w:after="0"/>
              <w:ind w:left="-107" w:right="-108"/>
              <w:jc w:val="center"/>
              <w:rPr>
                <w:rFonts w:eastAsia="Calibri" w:cs="Arial"/>
                <w:b/>
                <w:color w:val="FFFFFF" w:themeColor="background1"/>
                <w:spacing w:val="-5"/>
                <w:sz w:val="18"/>
                <w:szCs w:val="18"/>
                <w:lang w:val="es-ES" w:eastAsia="en-US"/>
              </w:rPr>
            </w:pPr>
            <w:r w:rsidRPr="00023BC9">
              <w:rPr>
                <w:rFonts w:eastAsia="Calibri" w:cs="Arial"/>
                <w:b/>
                <w:color w:val="FFFFFF" w:themeColor="background1"/>
                <w:spacing w:val="-5"/>
                <w:sz w:val="18"/>
                <w:szCs w:val="18"/>
                <w:lang w:val="es-ES" w:eastAsia="en-US"/>
              </w:rPr>
              <w:t>Preguntas afectación a la competencia</w:t>
            </w:r>
          </w:p>
        </w:tc>
        <w:tc>
          <w:tcPr>
            <w:tcW w:w="426" w:type="dxa"/>
            <w:tcBorders>
              <w:top w:val="single" w:sz="4" w:space="0" w:color="000000"/>
              <w:left w:val="single" w:sz="4" w:space="0" w:color="000000"/>
              <w:bottom w:val="single" w:sz="4" w:space="0" w:color="000000"/>
              <w:right w:val="single" w:sz="4" w:space="0" w:color="000000"/>
            </w:tcBorders>
            <w:shd w:val="clear" w:color="auto" w:fill="222A35" w:themeFill="text2" w:themeFillShade="80"/>
            <w:hideMark/>
          </w:tcPr>
          <w:p w14:paraId="4EA6F865" w14:textId="77777777" w:rsidR="00023BC9" w:rsidRPr="00023BC9" w:rsidRDefault="00023BC9" w:rsidP="00023BC9">
            <w:pPr>
              <w:autoSpaceDE w:val="0"/>
              <w:autoSpaceDN w:val="0"/>
              <w:adjustRightInd w:val="0"/>
              <w:spacing w:before="0" w:after="0"/>
              <w:ind w:left="-93" w:right="-108"/>
              <w:jc w:val="center"/>
              <w:rPr>
                <w:rFonts w:eastAsia="Calibri" w:cs="Arial"/>
                <w:b/>
                <w:color w:val="FFFFFF" w:themeColor="background1"/>
                <w:spacing w:val="-5"/>
                <w:sz w:val="18"/>
                <w:szCs w:val="18"/>
                <w:lang w:val="es-ES" w:eastAsia="en-US"/>
              </w:rPr>
            </w:pPr>
            <w:r w:rsidRPr="00023BC9">
              <w:rPr>
                <w:rFonts w:eastAsia="Calibri" w:cs="Arial"/>
                <w:b/>
                <w:color w:val="FFFFFF" w:themeColor="background1"/>
                <w:spacing w:val="-5"/>
                <w:sz w:val="18"/>
                <w:szCs w:val="18"/>
                <w:lang w:val="es-ES" w:eastAsia="en-US"/>
              </w:rPr>
              <w:t>Si</w:t>
            </w:r>
          </w:p>
        </w:tc>
        <w:tc>
          <w:tcPr>
            <w:tcW w:w="425" w:type="dxa"/>
            <w:tcBorders>
              <w:top w:val="single" w:sz="4" w:space="0" w:color="000000"/>
              <w:left w:val="single" w:sz="4" w:space="0" w:color="000000"/>
              <w:bottom w:val="single" w:sz="4" w:space="0" w:color="000000"/>
              <w:right w:val="single" w:sz="4" w:space="0" w:color="000000"/>
            </w:tcBorders>
            <w:shd w:val="clear" w:color="auto" w:fill="222A35" w:themeFill="text2" w:themeFillShade="80"/>
            <w:hideMark/>
          </w:tcPr>
          <w:p w14:paraId="769420AA" w14:textId="77777777" w:rsidR="00023BC9" w:rsidRPr="00023BC9" w:rsidRDefault="00023BC9" w:rsidP="00023BC9">
            <w:pPr>
              <w:autoSpaceDE w:val="0"/>
              <w:autoSpaceDN w:val="0"/>
              <w:adjustRightInd w:val="0"/>
              <w:spacing w:before="0" w:after="0"/>
              <w:ind w:left="-107" w:right="-108"/>
              <w:jc w:val="center"/>
              <w:rPr>
                <w:rFonts w:eastAsia="Calibri" w:cs="Arial"/>
                <w:b/>
                <w:color w:val="FFFFFF" w:themeColor="background1"/>
                <w:spacing w:val="-5"/>
                <w:sz w:val="18"/>
                <w:szCs w:val="18"/>
                <w:lang w:val="es-ES" w:eastAsia="en-US"/>
              </w:rPr>
            </w:pPr>
            <w:r w:rsidRPr="00023BC9">
              <w:rPr>
                <w:rFonts w:eastAsia="Calibri" w:cs="Arial"/>
                <w:b/>
                <w:color w:val="FFFFFF" w:themeColor="background1"/>
                <w:spacing w:val="-5"/>
                <w:sz w:val="18"/>
                <w:szCs w:val="18"/>
                <w:lang w:val="es-ES" w:eastAsia="en-US"/>
              </w:rPr>
              <w:t>No</w:t>
            </w:r>
          </w:p>
        </w:tc>
        <w:tc>
          <w:tcPr>
            <w:tcW w:w="3401" w:type="dxa"/>
            <w:tcBorders>
              <w:top w:val="single" w:sz="4" w:space="0" w:color="000000"/>
              <w:left w:val="single" w:sz="4" w:space="0" w:color="000000"/>
              <w:bottom w:val="single" w:sz="4" w:space="0" w:color="000000"/>
              <w:right w:val="single" w:sz="4" w:space="0" w:color="000000"/>
            </w:tcBorders>
            <w:shd w:val="clear" w:color="auto" w:fill="222A35" w:themeFill="text2" w:themeFillShade="80"/>
            <w:hideMark/>
          </w:tcPr>
          <w:p w14:paraId="2BB62221" w14:textId="77777777" w:rsidR="00023BC9" w:rsidRPr="00023BC9" w:rsidRDefault="00023BC9" w:rsidP="00023BC9">
            <w:pPr>
              <w:autoSpaceDE w:val="0"/>
              <w:autoSpaceDN w:val="0"/>
              <w:adjustRightInd w:val="0"/>
              <w:spacing w:before="0" w:after="0"/>
              <w:ind w:left="-107"/>
              <w:jc w:val="center"/>
              <w:rPr>
                <w:rFonts w:eastAsia="Calibri" w:cs="Arial"/>
                <w:b/>
                <w:color w:val="FFFFFF" w:themeColor="background1"/>
                <w:spacing w:val="-5"/>
                <w:sz w:val="18"/>
                <w:szCs w:val="18"/>
                <w:lang w:val="es-ES" w:eastAsia="en-US"/>
              </w:rPr>
            </w:pPr>
            <w:r w:rsidRPr="00023BC9">
              <w:rPr>
                <w:rFonts w:eastAsia="Calibri" w:cs="Arial"/>
                <w:b/>
                <w:color w:val="FFFFFF" w:themeColor="background1"/>
                <w:spacing w:val="-5"/>
                <w:sz w:val="18"/>
                <w:szCs w:val="18"/>
                <w:lang w:val="es-ES" w:eastAsia="en-US"/>
              </w:rPr>
              <w:t>Explicación</w:t>
            </w:r>
          </w:p>
        </w:tc>
        <w:tc>
          <w:tcPr>
            <w:tcW w:w="1843" w:type="dxa"/>
            <w:tcBorders>
              <w:top w:val="single" w:sz="4" w:space="0" w:color="000000"/>
              <w:left w:val="single" w:sz="4" w:space="0" w:color="000000"/>
              <w:bottom w:val="single" w:sz="4" w:space="0" w:color="000000"/>
              <w:right w:val="single" w:sz="4" w:space="0" w:color="000000"/>
            </w:tcBorders>
            <w:shd w:val="clear" w:color="auto" w:fill="222A35" w:themeFill="text2" w:themeFillShade="80"/>
            <w:hideMark/>
          </w:tcPr>
          <w:p w14:paraId="054815F2" w14:textId="77777777" w:rsidR="00023BC9" w:rsidRPr="00023BC9" w:rsidRDefault="00023BC9" w:rsidP="00023BC9">
            <w:pPr>
              <w:autoSpaceDE w:val="0"/>
              <w:autoSpaceDN w:val="0"/>
              <w:adjustRightInd w:val="0"/>
              <w:spacing w:before="0" w:after="0"/>
              <w:ind w:left="-107" w:right="-108"/>
              <w:jc w:val="center"/>
              <w:rPr>
                <w:rFonts w:eastAsia="Calibri" w:cs="Arial"/>
                <w:b/>
                <w:color w:val="FFFFFF" w:themeColor="background1"/>
                <w:spacing w:val="-5"/>
                <w:sz w:val="18"/>
                <w:szCs w:val="18"/>
                <w:lang w:val="es-ES" w:eastAsia="en-US"/>
              </w:rPr>
            </w:pPr>
            <w:r w:rsidRPr="00023BC9">
              <w:rPr>
                <w:rFonts w:eastAsia="Calibri" w:cs="Arial"/>
                <w:b/>
                <w:color w:val="FFFFFF" w:themeColor="background1"/>
                <w:spacing w:val="-5"/>
                <w:sz w:val="18"/>
                <w:szCs w:val="18"/>
                <w:lang w:val="es-ES" w:eastAsia="en-US"/>
              </w:rPr>
              <w:t>Observaciones</w:t>
            </w:r>
          </w:p>
        </w:tc>
      </w:tr>
      <w:tr w:rsidR="00AE47DC" w:rsidRPr="00023BC9" w14:paraId="24058100" w14:textId="77777777" w:rsidTr="00092FBC">
        <w:trPr>
          <w:cantSplit/>
        </w:trPr>
        <w:tc>
          <w:tcPr>
            <w:tcW w:w="845" w:type="dxa"/>
            <w:tcBorders>
              <w:top w:val="single" w:sz="4" w:space="0" w:color="000000"/>
              <w:left w:val="single" w:sz="4" w:space="0" w:color="000000"/>
              <w:bottom w:val="single" w:sz="4" w:space="0" w:color="000000"/>
              <w:right w:val="single" w:sz="4" w:space="0" w:color="000000"/>
            </w:tcBorders>
            <w:hideMark/>
          </w:tcPr>
          <w:p w14:paraId="4A441382" w14:textId="77777777" w:rsidR="00023BC9" w:rsidRPr="00023BC9" w:rsidRDefault="00023BC9" w:rsidP="00023BC9">
            <w:pPr>
              <w:autoSpaceDE w:val="0"/>
              <w:autoSpaceDN w:val="0"/>
              <w:adjustRightInd w:val="0"/>
              <w:spacing w:before="0" w:after="0"/>
              <w:ind w:right="-108"/>
              <w:rPr>
                <w:rFonts w:eastAsia="Calibri" w:cs="Arial"/>
                <w:bCs/>
                <w:spacing w:val="-5"/>
                <w:sz w:val="18"/>
                <w:szCs w:val="18"/>
                <w:lang w:val="es-ES" w:eastAsia="en-US"/>
              </w:rPr>
            </w:pPr>
            <w:r w:rsidRPr="00023BC9">
              <w:rPr>
                <w:rFonts w:eastAsia="Calibri" w:cs="Arial"/>
                <w:bCs/>
                <w:spacing w:val="-5"/>
                <w:sz w:val="18"/>
                <w:szCs w:val="18"/>
                <w:lang w:val="es-ES" w:eastAsia="en-US"/>
              </w:rPr>
              <w:t>1.</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30AD2DC1" w14:textId="77777777" w:rsidR="00023BC9" w:rsidRPr="00023BC9" w:rsidRDefault="00023BC9" w:rsidP="00023BC9">
            <w:pPr>
              <w:autoSpaceDE w:val="0"/>
              <w:autoSpaceDN w:val="0"/>
              <w:adjustRightInd w:val="0"/>
              <w:spacing w:before="0" w:after="0"/>
              <w:ind w:right="19"/>
              <w:jc w:val="left"/>
              <w:rPr>
                <w:rFonts w:eastAsia="Calibri" w:cs="Arial"/>
                <w:bCs/>
                <w:spacing w:val="-5"/>
                <w:sz w:val="18"/>
                <w:szCs w:val="18"/>
                <w:lang w:val="es-ES" w:eastAsia="en-US"/>
              </w:rPr>
            </w:pPr>
            <w:r w:rsidRPr="00023BC9">
              <w:rPr>
                <w:rFonts w:eastAsia="Calibri" w:cs="Arial"/>
                <w:bCs/>
                <w:spacing w:val="-5"/>
                <w:sz w:val="18"/>
                <w:szCs w:val="18"/>
                <w:lang w:val="es-ES" w:eastAsia="en-US"/>
              </w:rPr>
              <w:t>¿La regulación limita el número o la variedad de las empresas en uno o varios mercados relevantes relacionados?</w:t>
            </w:r>
          </w:p>
          <w:p w14:paraId="7EC1228C" w14:textId="77777777" w:rsidR="00023BC9" w:rsidRPr="00023BC9" w:rsidRDefault="00023BC9" w:rsidP="00023BC9">
            <w:pPr>
              <w:autoSpaceDE w:val="0"/>
              <w:autoSpaceDN w:val="0"/>
              <w:adjustRightInd w:val="0"/>
              <w:spacing w:before="0" w:after="0"/>
              <w:ind w:right="19"/>
              <w:jc w:val="left"/>
              <w:rPr>
                <w:rFonts w:eastAsia="Calibri" w:cs="Arial"/>
                <w:bCs/>
                <w:spacing w:val="-5"/>
                <w:sz w:val="18"/>
                <w:szCs w:val="18"/>
                <w:lang w:val="es-ES" w:eastAsia="en-US"/>
              </w:rPr>
            </w:pPr>
            <w:r w:rsidRPr="00023BC9">
              <w:rPr>
                <w:rFonts w:eastAsia="Calibri" w:cs="Arial"/>
                <w:bCs/>
                <w:spacing w:val="-5"/>
                <w:sz w:val="18"/>
                <w:szCs w:val="18"/>
                <w:lang w:val="es-ES" w:eastAsia="en-US"/>
              </w:rPr>
              <w:t>Es posible que esto suceda, entre otros eventos, cuando el proyecto de acto:</w:t>
            </w:r>
          </w:p>
        </w:tc>
        <w:tc>
          <w:tcPr>
            <w:tcW w:w="426" w:type="dxa"/>
            <w:tcBorders>
              <w:top w:val="single" w:sz="4" w:space="0" w:color="000000"/>
              <w:left w:val="single" w:sz="4" w:space="0" w:color="000000"/>
              <w:bottom w:val="single" w:sz="4" w:space="0" w:color="000000"/>
              <w:right w:val="single" w:sz="4" w:space="0" w:color="000000"/>
            </w:tcBorders>
            <w:vAlign w:val="center"/>
          </w:tcPr>
          <w:p w14:paraId="5257421B" w14:textId="77777777" w:rsidR="00023BC9" w:rsidRPr="00023BC9" w:rsidRDefault="00023BC9" w:rsidP="00023BC9">
            <w:pPr>
              <w:autoSpaceDE w:val="0"/>
              <w:autoSpaceDN w:val="0"/>
              <w:adjustRightInd w:val="0"/>
              <w:spacing w:before="0" w:after="0"/>
              <w:ind w:right="-108"/>
              <w:jc w:val="center"/>
              <w:rPr>
                <w:rFonts w:eastAsia="Calibri" w:cs="Arial"/>
                <w:bCs/>
                <w:spacing w:val="-5"/>
                <w:sz w:val="18"/>
                <w:szCs w:val="18"/>
                <w:lang w:val="es-ES"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788FD95A" w14:textId="19B3BA8F" w:rsidR="00023BC9" w:rsidRPr="00023BC9" w:rsidRDefault="003E4250" w:rsidP="00023BC9">
            <w:pPr>
              <w:autoSpaceDE w:val="0"/>
              <w:autoSpaceDN w:val="0"/>
              <w:adjustRightInd w:val="0"/>
              <w:spacing w:before="0" w:after="0"/>
              <w:ind w:right="-108"/>
              <w:jc w:val="center"/>
              <w:rPr>
                <w:rFonts w:eastAsia="Calibri" w:cs="Arial"/>
                <w:bCs/>
                <w:spacing w:val="-5"/>
                <w:sz w:val="18"/>
                <w:szCs w:val="18"/>
                <w:lang w:val="es-ES" w:eastAsia="en-US"/>
              </w:rPr>
            </w:pPr>
            <w:r>
              <w:rPr>
                <w:rFonts w:eastAsia="Calibri" w:cs="Arial"/>
                <w:bCs/>
                <w:spacing w:val="-5"/>
                <w:sz w:val="18"/>
                <w:szCs w:val="18"/>
                <w:lang w:val="es-ES" w:eastAsia="en-US"/>
              </w:rPr>
              <w:t>X</w:t>
            </w:r>
          </w:p>
        </w:tc>
        <w:tc>
          <w:tcPr>
            <w:tcW w:w="3401" w:type="dxa"/>
            <w:tcBorders>
              <w:top w:val="single" w:sz="4" w:space="0" w:color="000000"/>
              <w:left w:val="single" w:sz="4" w:space="0" w:color="000000"/>
              <w:bottom w:val="single" w:sz="4" w:space="0" w:color="000000"/>
              <w:right w:val="single" w:sz="4" w:space="0" w:color="000000"/>
            </w:tcBorders>
            <w:vAlign w:val="center"/>
          </w:tcPr>
          <w:p w14:paraId="7FD9A3B8" w14:textId="77777777" w:rsidR="008A3BF9" w:rsidRDefault="00E1189C" w:rsidP="003E4250">
            <w:pPr>
              <w:autoSpaceDE w:val="0"/>
              <w:autoSpaceDN w:val="0"/>
              <w:adjustRightInd w:val="0"/>
              <w:spacing w:before="0" w:after="0"/>
              <w:rPr>
                <w:rFonts w:eastAsia="Calibri" w:cs="Arial"/>
                <w:bCs/>
                <w:spacing w:val="-5"/>
                <w:sz w:val="18"/>
                <w:szCs w:val="18"/>
                <w:lang w:val="es-ES" w:eastAsia="en-US"/>
              </w:rPr>
            </w:pPr>
            <w:r>
              <w:rPr>
                <w:rFonts w:eastAsia="Calibri" w:cs="Arial"/>
                <w:bCs/>
                <w:spacing w:val="-5"/>
                <w:sz w:val="18"/>
                <w:szCs w:val="18"/>
                <w:lang w:val="es-ES" w:eastAsia="en-US"/>
              </w:rPr>
              <w:t>Resuelta</w:t>
            </w:r>
            <w:r w:rsidR="00AB19EC">
              <w:rPr>
                <w:rFonts w:eastAsia="Calibri" w:cs="Arial"/>
                <w:bCs/>
                <w:spacing w:val="-5"/>
                <w:sz w:val="18"/>
                <w:szCs w:val="18"/>
                <w:lang w:val="es-ES" w:eastAsia="en-US"/>
              </w:rPr>
              <w:t>s las preguntas de los numerales</w:t>
            </w:r>
            <w:r w:rsidR="00595186">
              <w:rPr>
                <w:rFonts w:eastAsia="Calibri" w:cs="Arial"/>
                <w:bCs/>
                <w:spacing w:val="-5"/>
                <w:sz w:val="18"/>
                <w:szCs w:val="18"/>
                <w:lang w:val="es-ES" w:eastAsia="en-US"/>
              </w:rPr>
              <w:t xml:space="preserve"> 1.1. a 1.6.2</w:t>
            </w:r>
            <w:r w:rsidR="00C51F81">
              <w:rPr>
                <w:rFonts w:eastAsia="Calibri" w:cs="Arial"/>
                <w:bCs/>
                <w:spacing w:val="-5"/>
                <w:sz w:val="18"/>
                <w:szCs w:val="18"/>
                <w:lang w:val="es-ES" w:eastAsia="en-US"/>
              </w:rPr>
              <w:t xml:space="preserve">, el resultado de </w:t>
            </w:r>
            <w:proofErr w:type="gramStart"/>
            <w:r w:rsidR="00C51F81">
              <w:rPr>
                <w:rFonts w:eastAsia="Calibri" w:cs="Arial"/>
                <w:bCs/>
                <w:spacing w:val="-5"/>
                <w:sz w:val="18"/>
                <w:szCs w:val="18"/>
                <w:lang w:val="es-ES" w:eastAsia="en-US"/>
              </w:rPr>
              <w:t>las mismas</w:t>
            </w:r>
            <w:proofErr w:type="gramEnd"/>
            <w:r w:rsidR="00C51F81">
              <w:rPr>
                <w:rFonts w:eastAsia="Calibri" w:cs="Arial"/>
                <w:bCs/>
                <w:spacing w:val="-5"/>
                <w:sz w:val="18"/>
                <w:szCs w:val="18"/>
                <w:lang w:val="es-ES" w:eastAsia="en-US"/>
              </w:rPr>
              <w:t xml:space="preserve"> no genera como consecuencia la limitación </w:t>
            </w:r>
            <w:r w:rsidR="00B7544C">
              <w:rPr>
                <w:rFonts w:eastAsia="Calibri" w:cs="Arial"/>
                <w:bCs/>
                <w:spacing w:val="-5"/>
                <w:sz w:val="18"/>
                <w:szCs w:val="18"/>
                <w:lang w:val="es-ES" w:eastAsia="en-US"/>
              </w:rPr>
              <w:t xml:space="preserve">al número de comercializadores que pueden llevar a cabo sus actividades en los mercados de </w:t>
            </w:r>
            <w:r w:rsidR="00F15845">
              <w:rPr>
                <w:rFonts w:eastAsia="Calibri" w:cs="Arial"/>
                <w:bCs/>
                <w:spacing w:val="-5"/>
                <w:sz w:val="18"/>
                <w:szCs w:val="18"/>
                <w:lang w:val="es-ES" w:eastAsia="en-US"/>
              </w:rPr>
              <w:t>comercialización existentes.</w:t>
            </w:r>
            <w:r w:rsidR="00E81111">
              <w:rPr>
                <w:rFonts w:eastAsia="Calibri" w:cs="Arial"/>
                <w:bCs/>
                <w:spacing w:val="-5"/>
                <w:sz w:val="18"/>
                <w:szCs w:val="18"/>
                <w:lang w:val="es-ES" w:eastAsia="en-US"/>
              </w:rPr>
              <w:t xml:space="preserve"> </w:t>
            </w:r>
          </w:p>
          <w:p w14:paraId="282BE952" w14:textId="77777777" w:rsidR="008A3BF9" w:rsidRDefault="008A3BF9" w:rsidP="003E4250">
            <w:pPr>
              <w:autoSpaceDE w:val="0"/>
              <w:autoSpaceDN w:val="0"/>
              <w:adjustRightInd w:val="0"/>
              <w:spacing w:before="0" w:after="0"/>
              <w:rPr>
                <w:rFonts w:eastAsia="Calibri" w:cs="Arial"/>
                <w:bCs/>
                <w:spacing w:val="-5"/>
                <w:sz w:val="18"/>
                <w:szCs w:val="18"/>
                <w:lang w:val="es-ES" w:eastAsia="en-US"/>
              </w:rPr>
            </w:pPr>
          </w:p>
          <w:p w14:paraId="41923FD7" w14:textId="39630E64" w:rsidR="00023BC9" w:rsidRPr="00023BC9" w:rsidRDefault="00E81111" w:rsidP="00E32035">
            <w:pPr>
              <w:autoSpaceDE w:val="0"/>
              <w:autoSpaceDN w:val="0"/>
              <w:adjustRightInd w:val="0"/>
              <w:spacing w:before="0" w:after="0"/>
              <w:rPr>
                <w:rFonts w:eastAsia="Calibri" w:cs="Arial"/>
                <w:bCs/>
                <w:spacing w:val="-5"/>
                <w:sz w:val="18"/>
                <w:szCs w:val="18"/>
                <w:lang w:val="es-ES" w:eastAsia="en-US"/>
              </w:rPr>
            </w:pPr>
            <w:r>
              <w:rPr>
                <w:rFonts w:eastAsia="Calibri" w:cs="Arial"/>
                <w:bCs/>
                <w:spacing w:val="-5"/>
                <w:sz w:val="18"/>
                <w:szCs w:val="18"/>
                <w:lang w:val="es-ES" w:eastAsia="en-US"/>
              </w:rPr>
              <w:t xml:space="preserve">Los comercializadores pueden llevar a cabo la participación en la actividad de comercialización </w:t>
            </w:r>
            <w:r w:rsidR="008959BC">
              <w:rPr>
                <w:rFonts w:eastAsia="Calibri" w:cs="Arial"/>
                <w:bCs/>
                <w:spacing w:val="-5"/>
                <w:sz w:val="18"/>
                <w:szCs w:val="18"/>
                <w:lang w:val="es-ES" w:eastAsia="en-US"/>
              </w:rPr>
              <w:t>como se ha venido haciendo hasta hoy.</w:t>
            </w:r>
          </w:p>
        </w:tc>
        <w:tc>
          <w:tcPr>
            <w:tcW w:w="1843" w:type="dxa"/>
            <w:tcBorders>
              <w:top w:val="single" w:sz="4" w:space="0" w:color="000000"/>
              <w:left w:val="single" w:sz="4" w:space="0" w:color="000000"/>
              <w:bottom w:val="single" w:sz="4" w:space="0" w:color="000000"/>
              <w:right w:val="single" w:sz="4" w:space="0" w:color="000000"/>
            </w:tcBorders>
            <w:vAlign w:val="center"/>
          </w:tcPr>
          <w:p w14:paraId="22A7F58C" w14:textId="7C179BB6" w:rsidR="00023BC9" w:rsidRPr="00023BC9" w:rsidRDefault="00E81111" w:rsidP="00023BC9">
            <w:pPr>
              <w:autoSpaceDE w:val="0"/>
              <w:autoSpaceDN w:val="0"/>
              <w:adjustRightInd w:val="0"/>
              <w:spacing w:before="0" w:after="0"/>
              <w:ind w:right="-108"/>
              <w:jc w:val="center"/>
              <w:rPr>
                <w:rFonts w:eastAsia="Calibri" w:cs="Arial"/>
                <w:bCs/>
                <w:spacing w:val="-5"/>
                <w:sz w:val="18"/>
                <w:szCs w:val="18"/>
                <w:lang w:val="es-ES" w:eastAsia="en-US"/>
              </w:rPr>
            </w:pPr>
            <w:r>
              <w:rPr>
                <w:rFonts w:eastAsia="Calibri" w:cs="Arial"/>
                <w:bCs/>
                <w:spacing w:val="-5"/>
                <w:sz w:val="18"/>
                <w:szCs w:val="18"/>
                <w:lang w:val="es-ES" w:eastAsia="en-US"/>
              </w:rPr>
              <w:t xml:space="preserve">No se identifican observaciones adicionales a las expuestas en la </w:t>
            </w:r>
            <w:r w:rsidR="000A1F9D">
              <w:rPr>
                <w:rFonts w:eastAsia="Calibri" w:cs="Arial"/>
                <w:bCs/>
                <w:spacing w:val="-5"/>
                <w:sz w:val="18"/>
                <w:szCs w:val="18"/>
                <w:lang w:val="es-ES" w:eastAsia="en-US"/>
              </w:rPr>
              <w:t xml:space="preserve">explicación que da </w:t>
            </w:r>
            <w:r w:rsidR="008D7777">
              <w:rPr>
                <w:rFonts w:eastAsia="Calibri" w:cs="Arial"/>
                <w:bCs/>
                <w:spacing w:val="-5"/>
                <w:sz w:val="18"/>
                <w:szCs w:val="18"/>
                <w:lang w:val="es-ES" w:eastAsia="en-US"/>
              </w:rPr>
              <w:t>respuesta</w:t>
            </w:r>
            <w:r>
              <w:rPr>
                <w:rFonts w:eastAsia="Calibri" w:cs="Arial"/>
                <w:bCs/>
                <w:spacing w:val="-5"/>
                <w:sz w:val="18"/>
                <w:szCs w:val="18"/>
                <w:lang w:val="es-ES" w:eastAsia="en-US"/>
              </w:rPr>
              <w:t xml:space="preserve"> a la pregunta.</w:t>
            </w:r>
          </w:p>
        </w:tc>
      </w:tr>
      <w:tr w:rsidR="00AE47DC" w:rsidRPr="00023BC9" w14:paraId="6984E33B" w14:textId="77777777" w:rsidTr="00092FBC">
        <w:trPr>
          <w:cantSplit/>
        </w:trPr>
        <w:tc>
          <w:tcPr>
            <w:tcW w:w="845" w:type="dxa"/>
            <w:tcBorders>
              <w:top w:val="single" w:sz="4" w:space="0" w:color="000000"/>
              <w:left w:val="single" w:sz="4" w:space="0" w:color="000000"/>
              <w:bottom w:val="single" w:sz="4" w:space="0" w:color="000000"/>
              <w:right w:val="single" w:sz="4" w:space="0" w:color="000000"/>
            </w:tcBorders>
            <w:hideMark/>
          </w:tcPr>
          <w:p w14:paraId="784BD801" w14:textId="77777777" w:rsidR="00023BC9" w:rsidRPr="00023BC9" w:rsidRDefault="00023BC9" w:rsidP="00023BC9">
            <w:pPr>
              <w:autoSpaceDE w:val="0"/>
              <w:autoSpaceDN w:val="0"/>
              <w:adjustRightInd w:val="0"/>
              <w:spacing w:before="0" w:after="0"/>
              <w:ind w:right="-108"/>
              <w:rPr>
                <w:rFonts w:eastAsia="Calibri" w:cs="Arial"/>
                <w:bCs/>
                <w:spacing w:val="-5"/>
                <w:sz w:val="18"/>
                <w:szCs w:val="18"/>
                <w:lang w:val="es-ES" w:eastAsia="en-US"/>
              </w:rPr>
            </w:pPr>
            <w:r w:rsidRPr="00023BC9">
              <w:rPr>
                <w:rFonts w:eastAsia="Calibri" w:cs="Arial"/>
                <w:bCs/>
                <w:spacing w:val="-5"/>
                <w:sz w:val="18"/>
                <w:szCs w:val="18"/>
                <w:lang w:val="es-ES" w:eastAsia="en-US"/>
              </w:rPr>
              <w:t>1.1</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10AA95F4" w14:textId="77777777" w:rsidR="00023BC9" w:rsidRPr="00E32035" w:rsidRDefault="00023BC9" w:rsidP="00023BC9">
            <w:pPr>
              <w:autoSpaceDE w:val="0"/>
              <w:autoSpaceDN w:val="0"/>
              <w:adjustRightInd w:val="0"/>
              <w:spacing w:before="0" w:after="0"/>
              <w:ind w:right="19"/>
              <w:jc w:val="left"/>
              <w:rPr>
                <w:rFonts w:eastAsia="Calibri" w:cs="Arial"/>
                <w:spacing w:val="-5"/>
                <w:sz w:val="18"/>
                <w:szCs w:val="18"/>
                <w:lang w:val="es-ES" w:eastAsia="en-US"/>
              </w:rPr>
            </w:pPr>
            <w:r w:rsidRPr="00E32035">
              <w:rPr>
                <w:rFonts w:eastAsia="Calibri" w:cs="Arial"/>
                <w:spacing w:val="-5"/>
                <w:sz w:val="18"/>
                <w:szCs w:val="18"/>
                <w:lang w:val="es-ES" w:eastAsia="en-US"/>
              </w:rPr>
              <w:t>Otorga derechos exclusivos a una empresa para prestar servicios o para ofrecer bienes.</w:t>
            </w:r>
          </w:p>
        </w:tc>
        <w:tc>
          <w:tcPr>
            <w:tcW w:w="426" w:type="dxa"/>
            <w:tcBorders>
              <w:top w:val="single" w:sz="4" w:space="0" w:color="000000"/>
              <w:left w:val="single" w:sz="4" w:space="0" w:color="000000"/>
              <w:bottom w:val="single" w:sz="4" w:space="0" w:color="000000"/>
              <w:right w:val="single" w:sz="4" w:space="0" w:color="000000"/>
            </w:tcBorders>
            <w:vAlign w:val="center"/>
          </w:tcPr>
          <w:p w14:paraId="7B476138" w14:textId="20A96139" w:rsidR="00023BC9" w:rsidRPr="00023BC9" w:rsidRDefault="00023BC9" w:rsidP="00023BC9">
            <w:pPr>
              <w:autoSpaceDE w:val="0"/>
              <w:autoSpaceDN w:val="0"/>
              <w:adjustRightInd w:val="0"/>
              <w:spacing w:before="0" w:after="0"/>
              <w:ind w:right="-108"/>
              <w:jc w:val="center"/>
              <w:rPr>
                <w:rFonts w:eastAsia="Calibri" w:cs="Arial"/>
                <w:bCs/>
                <w:spacing w:val="-5"/>
                <w:sz w:val="18"/>
                <w:szCs w:val="18"/>
                <w:lang w:val="es-ES"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7C69884B" w14:textId="4E1F3D47" w:rsidR="00023BC9" w:rsidRPr="00023BC9" w:rsidRDefault="00684B21" w:rsidP="00023BC9">
            <w:pPr>
              <w:autoSpaceDE w:val="0"/>
              <w:autoSpaceDN w:val="0"/>
              <w:adjustRightInd w:val="0"/>
              <w:spacing w:before="0" w:after="0"/>
              <w:ind w:right="-108"/>
              <w:jc w:val="center"/>
              <w:rPr>
                <w:rFonts w:eastAsia="Calibri" w:cs="Arial"/>
                <w:bCs/>
                <w:spacing w:val="-5"/>
                <w:sz w:val="18"/>
                <w:szCs w:val="18"/>
                <w:lang w:val="es-ES" w:eastAsia="en-US"/>
              </w:rPr>
            </w:pPr>
            <w:r>
              <w:rPr>
                <w:rFonts w:eastAsia="Calibri" w:cs="Arial"/>
                <w:bCs/>
                <w:spacing w:val="-5"/>
                <w:sz w:val="18"/>
                <w:szCs w:val="18"/>
                <w:lang w:val="es-ES" w:eastAsia="en-US"/>
              </w:rPr>
              <w:t>X</w:t>
            </w:r>
          </w:p>
        </w:tc>
        <w:tc>
          <w:tcPr>
            <w:tcW w:w="3401" w:type="dxa"/>
            <w:tcBorders>
              <w:top w:val="single" w:sz="4" w:space="0" w:color="000000"/>
              <w:left w:val="single" w:sz="4" w:space="0" w:color="000000"/>
              <w:bottom w:val="single" w:sz="4" w:space="0" w:color="000000"/>
              <w:right w:val="single" w:sz="4" w:space="0" w:color="000000"/>
            </w:tcBorders>
            <w:vAlign w:val="center"/>
          </w:tcPr>
          <w:p w14:paraId="779E9543" w14:textId="545504F9" w:rsidR="00023BC9" w:rsidRPr="00023BC9" w:rsidRDefault="00394DEC" w:rsidP="00E32035">
            <w:pPr>
              <w:autoSpaceDE w:val="0"/>
              <w:autoSpaceDN w:val="0"/>
              <w:adjustRightInd w:val="0"/>
              <w:spacing w:before="0" w:after="0"/>
              <w:rPr>
                <w:rFonts w:eastAsia="Calibri" w:cs="Arial"/>
                <w:bCs/>
                <w:spacing w:val="-5"/>
                <w:sz w:val="18"/>
                <w:szCs w:val="18"/>
                <w:lang w:val="es-ES" w:eastAsia="en-US"/>
              </w:rPr>
            </w:pPr>
            <w:r w:rsidRPr="00394DEC">
              <w:rPr>
                <w:rFonts w:eastAsia="Calibri" w:cs="Arial"/>
                <w:bCs/>
                <w:spacing w:val="-5"/>
                <w:sz w:val="18"/>
                <w:szCs w:val="18"/>
                <w:lang w:val="es-ES" w:eastAsia="en-US"/>
              </w:rPr>
              <w:t>La medida regulatoria y el cobro del COT define una misma regla de aplicación para todos los comercializadores y no limita la actividad de comercialización de algún agente nuevo o existente en ningún mercado.</w:t>
            </w:r>
          </w:p>
        </w:tc>
        <w:tc>
          <w:tcPr>
            <w:tcW w:w="1843" w:type="dxa"/>
            <w:tcBorders>
              <w:top w:val="single" w:sz="4" w:space="0" w:color="000000"/>
              <w:left w:val="single" w:sz="4" w:space="0" w:color="000000"/>
              <w:bottom w:val="single" w:sz="4" w:space="0" w:color="000000"/>
              <w:right w:val="single" w:sz="4" w:space="0" w:color="000000"/>
            </w:tcBorders>
            <w:vAlign w:val="center"/>
          </w:tcPr>
          <w:p w14:paraId="2B0DCF5A" w14:textId="47CBC48A" w:rsidR="001C43F5" w:rsidRPr="001C43F5" w:rsidRDefault="001C43F5" w:rsidP="001C43F5">
            <w:pPr>
              <w:autoSpaceDE w:val="0"/>
              <w:autoSpaceDN w:val="0"/>
              <w:adjustRightInd w:val="0"/>
              <w:spacing w:before="0" w:after="0"/>
              <w:ind w:right="-108"/>
              <w:jc w:val="center"/>
              <w:rPr>
                <w:rFonts w:eastAsia="Calibri" w:cs="Arial"/>
                <w:bCs/>
                <w:spacing w:val="-5"/>
                <w:sz w:val="18"/>
                <w:szCs w:val="18"/>
                <w:lang w:val="es-ES" w:eastAsia="en-US"/>
              </w:rPr>
            </w:pPr>
            <w:r w:rsidRPr="001C43F5">
              <w:rPr>
                <w:rFonts w:eastAsia="Calibri" w:cs="Arial"/>
                <w:bCs/>
                <w:spacing w:val="-5"/>
                <w:sz w:val="18"/>
                <w:szCs w:val="18"/>
                <w:lang w:val="es-ES" w:eastAsia="en-US"/>
              </w:rPr>
              <w:t>L</w:t>
            </w:r>
            <w:r>
              <w:rPr>
                <w:rFonts w:eastAsia="Calibri" w:cs="Arial"/>
                <w:bCs/>
                <w:spacing w:val="-5"/>
                <w:sz w:val="18"/>
                <w:szCs w:val="18"/>
                <w:lang w:val="es-ES" w:eastAsia="en-US"/>
              </w:rPr>
              <w:t xml:space="preserve">a medida regulatoria </w:t>
            </w:r>
            <w:r w:rsidR="00E31E41">
              <w:rPr>
                <w:rFonts w:eastAsia="Calibri" w:cs="Arial"/>
                <w:bCs/>
                <w:spacing w:val="-5"/>
                <w:sz w:val="18"/>
                <w:szCs w:val="18"/>
                <w:lang w:val="es-ES" w:eastAsia="en-US"/>
              </w:rPr>
              <w:t xml:space="preserve">no asigna o </w:t>
            </w:r>
            <w:r w:rsidR="007B5CC8">
              <w:rPr>
                <w:rFonts w:eastAsia="Calibri" w:cs="Arial"/>
                <w:bCs/>
                <w:spacing w:val="-5"/>
                <w:sz w:val="18"/>
                <w:szCs w:val="18"/>
                <w:lang w:val="es-ES" w:eastAsia="en-US"/>
              </w:rPr>
              <w:t xml:space="preserve">crea </w:t>
            </w:r>
            <w:r w:rsidR="007B5CC8" w:rsidRPr="001C43F5">
              <w:rPr>
                <w:rFonts w:eastAsia="Calibri" w:cs="Arial"/>
                <w:bCs/>
                <w:spacing w:val="-5"/>
                <w:sz w:val="18"/>
                <w:szCs w:val="18"/>
                <w:lang w:val="es-ES" w:eastAsia="en-US"/>
              </w:rPr>
              <w:t>derechos</w:t>
            </w:r>
            <w:r w:rsidRPr="001C43F5">
              <w:rPr>
                <w:rFonts w:eastAsia="Calibri" w:cs="Arial"/>
                <w:bCs/>
                <w:spacing w:val="-5"/>
                <w:sz w:val="18"/>
                <w:szCs w:val="18"/>
                <w:lang w:val="es-ES" w:eastAsia="en-US"/>
              </w:rPr>
              <w:t xml:space="preserve"> de exclusividad </w:t>
            </w:r>
            <w:r w:rsidR="007B5CC8">
              <w:rPr>
                <w:rFonts w:eastAsia="Calibri" w:cs="Arial"/>
                <w:bCs/>
                <w:spacing w:val="-5"/>
                <w:sz w:val="18"/>
                <w:szCs w:val="18"/>
                <w:lang w:val="es-ES" w:eastAsia="en-US"/>
              </w:rPr>
              <w:t>que de</w:t>
            </w:r>
            <w:r w:rsidRPr="001C43F5">
              <w:rPr>
                <w:rFonts w:eastAsia="Calibri" w:cs="Arial"/>
                <w:bCs/>
                <w:spacing w:val="-5"/>
                <w:sz w:val="18"/>
                <w:szCs w:val="18"/>
                <w:lang w:val="es-ES" w:eastAsia="en-US"/>
              </w:rPr>
              <w:t>n lugar al establecimiento de</w:t>
            </w:r>
          </w:p>
          <w:p w14:paraId="56DDC809" w14:textId="77777777" w:rsidR="008A3BF9" w:rsidRDefault="001C43F5" w:rsidP="001C43F5">
            <w:pPr>
              <w:autoSpaceDE w:val="0"/>
              <w:autoSpaceDN w:val="0"/>
              <w:adjustRightInd w:val="0"/>
              <w:spacing w:before="0" w:after="0"/>
              <w:ind w:right="-108"/>
              <w:jc w:val="center"/>
              <w:rPr>
                <w:rFonts w:eastAsia="Calibri" w:cs="Arial"/>
                <w:bCs/>
                <w:spacing w:val="-5"/>
                <w:sz w:val="18"/>
                <w:szCs w:val="18"/>
                <w:lang w:val="es-ES" w:eastAsia="en-US"/>
              </w:rPr>
            </w:pPr>
            <w:r w:rsidRPr="001C43F5">
              <w:rPr>
                <w:rFonts w:eastAsia="Calibri" w:cs="Arial"/>
                <w:bCs/>
                <w:spacing w:val="-5"/>
                <w:sz w:val="18"/>
                <w:szCs w:val="18"/>
                <w:lang w:val="es-ES" w:eastAsia="en-US"/>
              </w:rPr>
              <w:t>precios de monopolio y otros problemas de poder de mercado</w:t>
            </w:r>
            <w:r w:rsidR="007B5CC8">
              <w:rPr>
                <w:rFonts w:eastAsia="Calibri" w:cs="Arial"/>
                <w:bCs/>
                <w:spacing w:val="-5"/>
                <w:sz w:val="18"/>
                <w:szCs w:val="18"/>
                <w:lang w:val="es-ES" w:eastAsia="en-US"/>
              </w:rPr>
              <w:t>.</w:t>
            </w:r>
            <w:r w:rsidR="00EC3040">
              <w:rPr>
                <w:rFonts w:eastAsia="Calibri" w:cs="Arial"/>
                <w:bCs/>
                <w:spacing w:val="-5"/>
                <w:sz w:val="18"/>
                <w:szCs w:val="18"/>
                <w:lang w:val="es-ES" w:eastAsia="en-US"/>
              </w:rPr>
              <w:t xml:space="preserve"> </w:t>
            </w:r>
          </w:p>
          <w:p w14:paraId="2199D050" w14:textId="77777777" w:rsidR="008A3BF9" w:rsidRDefault="008A3BF9" w:rsidP="001C43F5">
            <w:pPr>
              <w:autoSpaceDE w:val="0"/>
              <w:autoSpaceDN w:val="0"/>
              <w:adjustRightInd w:val="0"/>
              <w:spacing w:before="0" w:after="0"/>
              <w:ind w:right="-108"/>
              <w:jc w:val="center"/>
              <w:rPr>
                <w:rFonts w:eastAsia="Calibri" w:cs="Arial"/>
                <w:bCs/>
                <w:spacing w:val="-5"/>
                <w:sz w:val="18"/>
                <w:szCs w:val="18"/>
                <w:lang w:val="es-ES" w:eastAsia="en-US"/>
              </w:rPr>
            </w:pPr>
          </w:p>
          <w:p w14:paraId="19D11A76" w14:textId="1ACC104B" w:rsidR="00023BC9" w:rsidRPr="00023BC9" w:rsidRDefault="00EC3040" w:rsidP="001C43F5">
            <w:pPr>
              <w:autoSpaceDE w:val="0"/>
              <w:autoSpaceDN w:val="0"/>
              <w:adjustRightInd w:val="0"/>
              <w:spacing w:before="0" w:after="0"/>
              <w:ind w:right="-108"/>
              <w:jc w:val="center"/>
              <w:rPr>
                <w:rFonts w:eastAsia="Calibri" w:cs="Arial"/>
                <w:bCs/>
                <w:spacing w:val="-5"/>
                <w:sz w:val="18"/>
                <w:szCs w:val="18"/>
                <w:lang w:val="es-ES" w:eastAsia="en-US"/>
              </w:rPr>
            </w:pPr>
            <w:r>
              <w:rPr>
                <w:rFonts w:eastAsia="Calibri" w:cs="Arial"/>
                <w:bCs/>
                <w:spacing w:val="-5"/>
                <w:sz w:val="18"/>
                <w:szCs w:val="18"/>
                <w:lang w:val="es-ES" w:eastAsia="en-US"/>
              </w:rPr>
              <w:t>La actividad de comercialización se desarrolla en competencia y la misma no se ve afectada a través de la propuesta regulatoria.</w:t>
            </w:r>
          </w:p>
        </w:tc>
      </w:tr>
      <w:tr w:rsidR="00AE47DC" w:rsidRPr="00023BC9" w14:paraId="7B8E3887" w14:textId="77777777" w:rsidTr="00092FBC">
        <w:trPr>
          <w:cantSplit/>
        </w:trPr>
        <w:tc>
          <w:tcPr>
            <w:tcW w:w="845" w:type="dxa"/>
            <w:tcBorders>
              <w:top w:val="single" w:sz="4" w:space="0" w:color="000000"/>
              <w:left w:val="single" w:sz="4" w:space="0" w:color="000000"/>
              <w:bottom w:val="single" w:sz="4" w:space="0" w:color="000000"/>
              <w:right w:val="single" w:sz="4" w:space="0" w:color="000000"/>
            </w:tcBorders>
            <w:hideMark/>
          </w:tcPr>
          <w:p w14:paraId="0536ECD0" w14:textId="77777777" w:rsidR="00023BC9" w:rsidRPr="00023BC9" w:rsidRDefault="00023BC9" w:rsidP="00023BC9">
            <w:pPr>
              <w:autoSpaceDE w:val="0"/>
              <w:autoSpaceDN w:val="0"/>
              <w:adjustRightInd w:val="0"/>
              <w:spacing w:before="0" w:after="0"/>
              <w:ind w:right="-108"/>
              <w:rPr>
                <w:rFonts w:eastAsia="Calibri" w:cs="Arial"/>
                <w:bCs/>
                <w:spacing w:val="-5"/>
                <w:sz w:val="18"/>
                <w:szCs w:val="18"/>
                <w:lang w:val="es-ES" w:eastAsia="en-US"/>
              </w:rPr>
            </w:pPr>
            <w:r w:rsidRPr="00023BC9">
              <w:rPr>
                <w:rFonts w:eastAsia="Calibri" w:cs="Arial"/>
                <w:bCs/>
                <w:spacing w:val="-5"/>
                <w:sz w:val="18"/>
                <w:szCs w:val="18"/>
                <w:lang w:val="es-ES" w:eastAsia="en-US"/>
              </w:rPr>
              <w:lastRenderedPageBreak/>
              <w:t>1.2</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2727A8FA" w14:textId="77777777" w:rsidR="00023BC9" w:rsidRPr="00023BC9" w:rsidRDefault="00023BC9" w:rsidP="00023BC9">
            <w:pPr>
              <w:autoSpaceDE w:val="0"/>
              <w:autoSpaceDN w:val="0"/>
              <w:adjustRightInd w:val="0"/>
              <w:spacing w:before="0" w:after="0"/>
              <w:ind w:right="19"/>
              <w:jc w:val="left"/>
              <w:rPr>
                <w:rFonts w:eastAsia="Calibri" w:cs="Arial"/>
                <w:bCs/>
                <w:spacing w:val="-5"/>
                <w:sz w:val="18"/>
                <w:szCs w:val="18"/>
                <w:lang w:val="es-ES" w:eastAsia="en-US"/>
              </w:rPr>
            </w:pPr>
            <w:r w:rsidRPr="00023BC9">
              <w:rPr>
                <w:rFonts w:eastAsia="Calibri" w:cs="Arial"/>
                <w:bCs/>
                <w:spacing w:val="-5"/>
                <w:sz w:val="18"/>
                <w:szCs w:val="18"/>
                <w:lang w:val="es-ES" w:eastAsia="en-US"/>
              </w:rPr>
              <w:t>Establece licencias, permisos, autorizaciones para operar o cuotas de producción o de venta.</w:t>
            </w:r>
          </w:p>
        </w:tc>
        <w:tc>
          <w:tcPr>
            <w:tcW w:w="426" w:type="dxa"/>
            <w:tcBorders>
              <w:top w:val="single" w:sz="4" w:space="0" w:color="000000"/>
              <w:left w:val="single" w:sz="4" w:space="0" w:color="000000"/>
              <w:bottom w:val="single" w:sz="4" w:space="0" w:color="000000"/>
              <w:right w:val="single" w:sz="4" w:space="0" w:color="000000"/>
            </w:tcBorders>
            <w:vAlign w:val="center"/>
          </w:tcPr>
          <w:p w14:paraId="378A4840" w14:textId="77777777" w:rsidR="00023BC9" w:rsidRPr="00023BC9" w:rsidRDefault="00023BC9" w:rsidP="00023BC9">
            <w:pPr>
              <w:autoSpaceDE w:val="0"/>
              <w:autoSpaceDN w:val="0"/>
              <w:adjustRightInd w:val="0"/>
              <w:spacing w:before="0" w:after="0"/>
              <w:ind w:right="-108"/>
              <w:jc w:val="center"/>
              <w:rPr>
                <w:rFonts w:eastAsia="Calibri" w:cs="Arial"/>
                <w:bCs/>
                <w:spacing w:val="-5"/>
                <w:sz w:val="18"/>
                <w:szCs w:val="18"/>
                <w:lang w:val="es-ES"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4F029963" w14:textId="77777777" w:rsidR="00023BC9" w:rsidRPr="00023BC9" w:rsidRDefault="00023BC9" w:rsidP="00023BC9">
            <w:pPr>
              <w:autoSpaceDE w:val="0"/>
              <w:autoSpaceDN w:val="0"/>
              <w:adjustRightInd w:val="0"/>
              <w:spacing w:before="0" w:after="0"/>
              <w:ind w:right="-108"/>
              <w:jc w:val="center"/>
              <w:rPr>
                <w:rFonts w:eastAsia="Calibri" w:cs="Arial"/>
                <w:bCs/>
                <w:spacing w:val="-5"/>
                <w:sz w:val="18"/>
                <w:szCs w:val="18"/>
                <w:lang w:val="es-ES" w:eastAsia="en-US"/>
              </w:rPr>
            </w:pPr>
            <w:r w:rsidRPr="00023BC9">
              <w:rPr>
                <w:rFonts w:eastAsia="Calibri" w:cs="Arial"/>
                <w:bCs/>
                <w:spacing w:val="-5"/>
                <w:sz w:val="18"/>
                <w:szCs w:val="18"/>
                <w:lang w:val="es-ES" w:eastAsia="en-US"/>
              </w:rPr>
              <w:t>X</w:t>
            </w:r>
          </w:p>
        </w:tc>
        <w:tc>
          <w:tcPr>
            <w:tcW w:w="3401" w:type="dxa"/>
            <w:tcBorders>
              <w:top w:val="single" w:sz="4" w:space="0" w:color="000000"/>
              <w:left w:val="single" w:sz="4" w:space="0" w:color="000000"/>
              <w:bottom w:val="single" w:sz="4" w:space="0" w:color="000000"/>
              <w:right w:val="single" w:sz="4" w:space="0" w:color="000000"/>
            </w:tcBorders>
            <w:vAlign w:val="center"/>
          </w:tcPr>
          <w:p w14:paraId="0803E87B" w14:textId="77777777" w:rsidR="00023BC9" w:rsidRDefault="00730E30" w:rsidP="00E32035">
            <w:pPr>
              <w:autoSpaceDE w:val="0"/>
              <w:autoSpaceDN w:val="0"/>
              <w:adjustRightInd w:val="0"/>
              <w:spacing w:before="0" w:after="0"/>
              <w:rPr>
                <w:rFonts w:eastAsia="Calibri" w:cs="Arial"/>
                <w:bCs/>
                <w:spacing w:val="-5"/>
                <w:sz w:val="18"/>
                <w:szCs w:val="18"/>
                <w:lang w:val="es-ES" w:eastAsia="en-US"/>
              </w:rPr>
            </w:pPr>
            <w:r w:rsidRPr="00730E30">
              <w:rPr>
                <w:rFonts w:eastAsia="Calibri" w:cs="Arial"/>
                <w:bCs/>
                <w:spacing w:val="-5"/>
                <w:sz w:val="18"/>
                <w:szCs w:val="18"/>
                <w:lang w:val="es-ES" w:eastAsia="en-US"/>
              </w:rPr>
              <w:t xml:space="preserve">La propuesta regulatoria no establece requisitos mínimos para desarrollar alguna actividad o algún tipo de permiso o autorización. Esto </w:t>
            </w:r>
            <w:r w:rsidR="00EE0BD5" w:rsidRPr="00730E30">
              <w:rPr>
                <w:rFonts w:eastAsia="Calibri" w:cs="Arial"/>
                <w:bCs/>
                <w:spacing w:val="-5"/>
                <w:sz w:val="18"/>
                <w:szCs w:val="18"/>
                <w:lang w:val="es-ES" w:eastAsia="en-US"/>
              </w:rPr>
              <w:t>está</w:t>
            </w:r>
            <w:r w:rsidRPr="00730E30">
              <w:rPr>
                <w:rFonts w:eastAsia="Calibri" w:cs="Arial"/>
                <w:bCs/>
                <w:spacing w:val="-5"/>
                <w:sz w:val="18"/>
                <w:szCs w:val="18"/>
                <w:lang w:val="es-ES" w:eastAsia="en-US"/>
              </w:rPr>
              <w:t xml:space="preserve"> restringido por la misma Ley 142 de 1994. </w:t>
            </w:r>
          </w:p>
          <w:p w14:paraId="1777FA33" w14:textId="77777777" w:rsidR="008D7777" w:rsidRDefault="008D7777" w:rsidP="00E32035">
            <w:pPr>
              <w:autoSpaceDE w:val="0"/>
              <w:autoSpaceDN w:val="0"/>
              <w:adjustRightInd w:val="0"/>
              <w:spacing w:before="0" w:after="0"/>
              <w:rPr>
                <w:rFonts w:eastAsia="Calibri" w:cs="Arial"/>
                <w:bCs/>
                <w:spacing w:val="-5"/>
                <w:sz w:val="18"/>
                <w:szCs w:val="18"/>
                <w:lang w:val="es-ES" w:eastAsia="en-US"/>
              </w:rPr>
            </w:pPr>
          </w:p>
          <w:p w14:paraId="31C35883" w14:textId="02B3DD22" w:rsidR="008D7777" w:rsidRPr="00023BC9" w:rsidRDefault="008D7777" w:rsidP="00E32035">
            <w:pPr>
              <w:autoSpaceDE w:val="0"/>
              <w:autoSpaceDN w:val="0"/>
              <w:adjustRightInd w:val="0"/>
              <w:spacing w:before="0" w:after="0"/>
              <w:rPr>
                <w:rFonts w:eastAsia="Calibri" w:cs="Arial"/>
                <w:bCs/>
                <w:spacing w:val="-5"/>
                <w:sz w:val="18"/>
                <w:szCs w:val="18"/>
                <w:highlight w:val="yellow"/>
                <w:lang w:val="es-ES" w:eastAsia="en-US"/>
              </w:rPr>
            </w:pPr>
            <w:r>
              <w:rPr>
                <w:rFonts w:eastAsia="Calibri" w:cs="Arial"/>
                <w:bCs/>
                <w:spacing w:val="-5"/>
                <w:sz w:val="18"/>
                <w:szCs w:val="18"/>
                <w:lang w:val="es-ES" w:eastAsia="en-US"/>
              </w:rPr>
              <w:t>Cualquier comercializador puede en ejercicio de la libre competencia participar dentro de cualquier mercado de comercialización.</w:t>
            </w:r>
          </w:p>
        </w:tc>
        <w:tc>
          <w:tcPr>
            <w:tcW w:w="1843" w:type="dxa"/>
            <w:tcBorders>
              <w:top w:val="single" w:sz="4" w:space="0" w:color="000000"/>
              <w:left w:val="single" w:sz="4" w:space="0" w:color="000000"/>
              <w:bottom w:val="single" w:sz="4" w:space="0" w:color="000000"/>
              <w:right w:val="single" w:sz="4" w:space="0" w:color="000000"/>
            </w:tcBorders>
            <w:vAlign w:val="center"/>
          </w:tcPr>
          <w:p w14:paraId="0C266B45" w14:textId="77777777" w:rsidR="008A3BF9" w:rsidRDefault="00EE0BD5" w:rsidP="00023BC9">
            <w:pPr>
              <w:autoSpaceDE w:val="0"/>
              <w:autoSpaceDN w:val="0"/>
              <w:adjustRightInd w:val="0"/>
              <w:spacing w:before="0" w:after="0"/>
              <w:ind w:right="-108"/>
              <w:jc w:val="center"/>
              <w:rPr>
                <w:rFonts w:eastAsia="Calibri" w:cs="Arial"/>
                <w:bCs/>
                <w:spacing w:val="-5"/>
                <w:sz w:val="18"/>
                <w:szCs w:val="18"/>
                <w:lang w:val="es-ES" w:eastAsia="en-US"/>
              </w:rPr>
            </w:pPr>
            <w:r>
              <w:rPr>
                <w:rFonts w:eastAsia="Calibri" w:cs="Arial"/>
                <w:bCs/>
                <w:spacing w:val="-5"/>
                <w:sz w:val="18"/>
                <w:szCs w:val="18"/>
                <w:lang w:val="es-ES" w:eastAsia="en-US"/>
              </w:rPr>
              <w:t>La medida regulatoria no afecta la forma como se desarrolla la actividad de comercialización por parte de los agentes.</w:t>
            </w:r>
          </w:p>
          <w:p w14:paraId="42CD4CA7" w14:textId="77777777" w:rsidR="008A3BF9" w:rsidRDefault="008A3BF9" w:rsidP="00023BC9">
            <w:pPr>
              <w:autoSpaceDE w:val="0"/>
              <w:autoSpaceDN w:val="0"/>
              <w:adjustRightInd w:val="0"/>
              <w:spacing w:before="0" w:after="0"/>
              <w:ind w:right="-108"/>
              <w:jc w:val="center"/>
              <w:rPr>
                <w:rFonts w:eastAsia="Calibri" w:cs="Arial"/>
                <w:bCs/>
                <w:spacing w:val="-5"/>
                <w:sz w:val="18"/>
                <w:szCs w:val="18"/>
                <w:lang w:val="es-ES" w:eastAsia="en-US"/>
              </w:rPr>
            </w:pPr>
          </w:p>
          <w:p w14:paraId="7D9F6F2D" w14:textId="311304B2" w:rsidR="00574079" w:rsidRPr="00574079" w:rsidRDefault="00EE0BD5" w:rsidP="00574079">
            <w:pPr>
              <w:autoSpaceDE w:val="0"/>
              <w:autoSpaceDN w:val="0"/>
              <w:adjustRightInd w:val="0"/>
              <w:spacing w:before="0" w:after="0"/>
              <w:ind w:right="-108"/>
              <w:jc w:val="center"/>
              <w:rPr>
                <w:rFonts w:eastAsia="Calibri" w:cs="Arial"/>
                <w:bCs/>
                <w:spacing w:val="-5"/>
                <w:sz w:val="18"/>
                <w:szCs w:val="18"/>
                <w:lang w:val="es-ES" w:eastAsia="en-US"/>
              </w:rPr>
            </w:pPr>
            <w:r>
              <w:rPr>
                <w:rFonts w:eastAsia="Calibri" w:cs="Arial"/>
                <w:bCs/>
                <w:spacing w:val="-5"/>
                <w:sz w:val="18"/>
                <w:szCs w:val="18"/>
                <w:lang w:val="es-ES" w:eastAsia="en-US"/>
              </w:rPr>
              <w:t xml:space="preserve"> </w:t>
            </w:r>
            <w:r w:rsidR="0038516A">
              <w:rPr>
                <w:rFonts w:eastAsia="Calibri" w:cs="Arial"/>
                <w:bCs/>
                <w:spacing w:val="-5"/>
                <w:sz w:val="18"/>
                <w:szCs w:val="18"/>
                <w:lang w:val="es-ES" w:eastAsia="en-US"/>
              </w:rPr>
              <w:t xml:space="preserve">La definición y cobro del COT </w:t>
            </w:r>
            <w:r w:rsidR="00766FB9">
              <w:rPr>
                <w:rFonts w:eastAsia="Calibri" w:cs="Arial"/>
                <w:bCs/>
                <w:spacing w:val="-5"/>
                <w:sz w:val="18"/>
                <w:szCs w:val="18"/>
                <w:lang w:val="es-ES" w:eastAsia="en-US"/>
              </w:rPr>
              <w:t xml:space="preserve">no se considera </w:t>
            </w:r>
            <w:r w:rsidR="00CD5099">
              <w:rPr>
                <w:rFonts w:eastAsia="Calibri" w:cs="Arial"/>
                <w:bCs/>
                <w:spacing w:val="-5"/>
                <w:sz w:val="18"/>
                <w:szCs w:val="18"/>
                <w:lang w:val="es-ES" w:eastAsia="en-US"/>
              </w:rPr>
              <w:t xml:space="preserve">como una licencia o </w:t>
            </w:r>
            <w:r w:rsidR="00574079">
              <w:rPr>
                <w:rFonts w:eastAsia="Calibri" w:cs="Arial"/>
                <w:bCs/>
                <w:spacing w:val="-5"/>
                <w:sz w:val="18"/>
                <w:szCs w:val="18"/>
                <w:lang w:val="es-ES" w:eastAsia="en-US"/>
              </w:rPr>
              <w:t xml:space="preserve">permiso que </w:t>
            </w:r>
            <w:r w:rsidR="00574079" w:rsidRPr="00574079">
              <w:rPr>
                <w:rFonts w:eastAsia="Calibri" w:cs="Arial"/>
                <w:bCs/>
                <w:spacing w:val="-5"/>
                <w:sz w:val="18"/>
                <w:szCs w:val="18"/>
                <w:lang w:val="es-ES" w:eastAsia="en-US"/>
              </w:rPr>
              <w:t>limit</w:t>
            </w:r>
            <w:r w:rsidR="00574079">
              <w:rPr>
                <w:rFonts w:eastAsia="Calibri" w:cs="Arial"/>
                <w:bCs/>
                <w:spacing w:val="-5"/>
                <w:sz w:val="18"/>
                <w:szCs w:val="18"/>
                <w:lang w:val="es-ES" w:eastAsia="en-US"/>
              </w:rPr>
              <w:t xml:space="preserve">e </w:t>
            </w:r>
            <w:r w:rsidR="00574079" w:rsidRPr="00574079">
              <w:rPr>
                <w:rFonts w:eastAsia="Calibri" w:cs="Arial"/>
                <w:bCs/>
                <w:spacing w:val="-5"/>
                <w:sz w:val="18"/>
                <w:szCs w:val="18"/>
                <w:lang w:val="es-ES" w:eastAsia="en-US"/>
              </w:rPr>
              <w:t>la</w:t>
            </w:r>
          </w:p>
          <w:p w14:paraId="2E27627F" w14:textId="233AC805" w:rsidR="00023BC9" w:rsidRPr="00023BC9" w:rsidRDefault="00574079" w:rsidP="00574079">
            <w:pPr>
              <w:autoSpaceDE w:val="0"/>
              <w:autoSpaceDN w:val="0"/>
              <w:adjustRightInd w:val="0"/>
              <w:spacing w:before="0" w:after="0"/>
              <w:ind w:right="-108"/>
              <w:jc w:val="center"/>
              <w:rPr>
                <w:rFonts w:eastAsia="Calibri" w:cs="Arial"/>
                <w:bCs/>
                <w:spacing w:val="-5"/>
                <w:sz w:val="18"/>
                <w:szCs w:val="18"/>
                <w:lang w:val="es-ES" w:eastAsia="en-US"/>
              </w:rPr>
            </w:pPr>
            <w:r w:rsidRPr="00574079">
              <w:rPr>
                <w:rFonts w:eastAsia="Calibri" w:cs="Arial"/>
                <w:bCs/>
                <w:spacing w:val="-5"/>
                <w:sz w:val="18"/>
                <w:szCs w:val="18"/>
                <w:lang w:val="es-ES" w:eastAsia="en-US"/>
              </w:rPr>
              <w:t xml:space="preserve">entrada de participantes a un </w:t>
            </w:r>
            <w:r>
              <w:rPr>
                <w:rFonts w:eastAsia="Calibri" w:cs="Arial"/>
                <w:bCs/>
                <w:spacing w:val="-5"/>
                <w:sz w:val="18"/>
                <w:szCs w:val="18"/>
                <w:lang w:val="es-ES" w:eastAsia="en-US"/>
              </w:rPr>
              <w:t>mercado</w:t>
            </w:r>
            <w:r w:rsidRPr="00574079">
              <w:rPr>
                <w:rFonts w:eastAsia="Calibri" w:cs="Arial"/>
                <w:bCs/>
                <w:spacing w:val="-5"/>
                <w:sz w:val="18"/>
                <w:szCs w:val="18"/>
                <w:lang w:val="es-ES" w:eastAsia="en-US"/>
              </w:rPr>
              <w:t>.</w:t>
            </w:r>
          </w:p>
        </w:tc>
      </w:tr>
      <w:tr w:rsidR="00AE47DC" w:rsidRPr="00023BC9" w14:paraId="7AF45B57" w14:textId="77777777" w:rsidTr="00092FBC">
        <w:trPr>
          <w:cantSplit/>
        </w:trPr>
        <w:tc>
          <w:tcPr>
            <w:tcW w:w="845" w:type="dxa"/>
            <w:tcBorders>
              <w:top w:val="single" w:sz="4" w:space="0" w:color="000000"/>
              <w:left w:val="single" w:sz="4" w:space="0" w:color="000000"/>
              <w:bottom w:val="single" w:sz="4" w:space="0" w:color="000000"/>
              <w:right w:val="single" w:sz="4" w:space="0" w:color="000000"/>
            </w:tcBorders>
            <w:hideMark/>
          </w:tcPr>
          <w:p w14:paraId="1DEEE8F4" w14:textId="77777777" w:rsidR="00023BC9" w:rsidRPr="00023BC9" w:rsidRDefault="00023BC9" w:rsidP="00023BC9">
            <w:pPr>
              <w:autoSpaceDE w:val="0"/>
              <w:autoSpaceDN w:val="0"/>
              <w:adjustRightInd w:val="0"/>
              <w:spacing w:before="0" w:after="0"/>
              <w:ind w:right="-108"/>
              <w:rPr>
                <w:rFonts w:eastAsia="Calibri" w:cs="Arial"/>
                <w:bCs/>
                <w:spacing w:val="-5"/>
                <w:sz w:val="18"/>
                <w:szCs w:val="18"/>
                <w:lang w:val="es-ES" w:eastAsia="en-US"/>
              </w:rPr>
            </w:pPr>
            <w:r w:rsidRPr="00023BC9">
              <w:rPr>
                <w:rFonts w:eastAsia="Calibri" w:cs="Arial"/>
                <w:bCs/>
                <w:spacing w:val="-5"/>
                <w:sz w:val="18"/>
                <w:szCs w:val="18"/>
                <w:lang w:val="es-ES" w:eastAsia="en-US"/>
              </w:rPr>
              <w:t>1.3</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716B9EEC" w14:textId="77777777" w:rsidR="00023BC9" w:rsidRPr="00E32035" w:rsidRDefault="00023BC9" w:rsidP="00023BC9">
            <w:pPr>
              <w:autoSpaceDE w:val="0"/>
              <w:autoSpaceDN w:val="0"/>
              <w:adjustRightInd w:val="0"/>
              <w:spacing w:before="0" w:after="0"/>
              <w:ind w:right="19"/>
              <w:jc w:val="left"/>
              <w:rPr>
                <w:rFonts w:eastAsia="Calibri" w:cs="Arial"/>
                <w:spacing w:val="-5"/>
                <w:sz w:val="18"/>
                <w:szCs w:val="18"/>
                <w:lang w:val="es-ES" w:eastAsia="en-US"/>
              </w:rPr>
            </w:pPr>
            <w:r w:rsidRPr="00E32035">
              <w:rPr>
                <w:rFonts w:eastAsia="Calibri" w:cs="Arial"/>
                <w:spacing w:val="-5"/>
                <w:sz w:val="18"/>
                <w:szCs w:val="18"/>
                <w:lang w:val="es-ES" w:eastAsia="en-US"/>
              </w:rPr>
              <w:t>Limita la capacidad de cierto tipo de empresas para ofrecer un bien o prestar un servicio.</w:t>
            </w:r>
          </w:p>
        </w:tc>
        <w:tc>
          <w:tcPr>
            <w:tcW w:w="426" w:type="dxa"/>
            <w:tcBorders>
              <w:top w:val="single" w:sz="4" w:space="0" w:color="000000"/>
              <w:left w:val="single" w:sz="4" w:space="0" w:color="000000"/>
              <w:bottom w:val="single" w:sz="4" w:space="0" w:color="000000"/>
              <w:right w:val="single" w:sz="4" w:space="0" w:color="000000"/>
            </w:tcBorders>
            <w:vAlign w:val="center"/>
          </w:tcPr>
          <w:p w14:paraId="48BCAC1C" w14:textId="432549C3" w:rsidR="00023BC9" w:rsidRPr="00023BC9" w:rsidRDefault="00023BC9" w:rsidP="00023BC9">
            <w:pPr>
              <w:autoSpaceDE w:val="0"/>
              <w:autoSpaceDN w:val="0"/>
              <w:adjustRightInd w:val="0"/>
              <w:spacing w:before="0" w:after="0"/>
              <w:ind w:right="-108"/>
              <w:jc w:val="center"/>
              <w:rPr>
                <w:rFonts w:eastAsia="Calibri" w:cs="Arial"/>
                <w:bCs/>
                <w:spacing w:val="-5"/>
                <w:sz w:val="18"/>
                <w:szCs w:val="18"/>
                <w:lang w:val="es-ES"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09238910" w14:textId="5AB4BF0D" w:rsidR="00023BC9" w:rsidRPr="00023BC9" w:rsidRDefault="008959BC" w:rsidP="00023BC9">
            <w:pPr>
              <w:autoSpaceDE w:val="0"/>
              <w:autoSpaceDN w:val="0"/>
              <w:adjustRightInd w:val="0"/>
              <w:spacing w:before="0" w:after="0"/>
              <w:ind w:right="-108"/>
              <w:jc w:val="center"/>
              <w:rPr>
                <w:rFonts w:eastAsia="Calibri" w:cs="Arial"/>
                <w:bCs/>
                <w:spacing w:val="-5"/>
                <w:sz w:val="18"/>
                <w:szCs w:val="18"/>
                <w:lang w:val="es-ES" w:eastAsia="en-US"/>
              </w:rPr>
            </w:pPr>
            <w:r>
              <w:rPr>
                <w:rFonts w:eastAsia="Calibri" w:cs="Arial"/>
                <w:bCs/>
                <w:spacing w:val="-5"/>
                <w:sz w:val="18"/>
                <w:szCs w:val="18"/>
                <w:lang w:val="es-ES" w:eastAsia="en-US"/>
              </w:rPr>
              <w:t>X</w:t>
            </w:r>
          </w:p>
        </w:tc>
        <w:tc>
          <w:tcPr>
            <w:tcW w:w="3401" w:type="dxa"/>
            <w:tcBorders>
              <w:top w:val="single" w:sz="4" w:space="0" w:color="000000"/>
              <w:left w:val="single" w:sz="4" w:space="0" w:color="000000"/>
              <w:bottom w:val="single" w:sz="4" w:space="0" w:color="000000"/>
              <w:right w:val="single" w:sz="4" w:space="0" w:color="000000"/>
            </w:tcBorders>
            <w:vAlign w:val="center"/>
          </w:tcPr>
          <w:p w14:paraId="6B0FDFCA" w14:textId="575C3E3D" w:rsidR="006E051A" w:rsidRPr="006E051A" w:rsidRDefault="006E051A" w:rsidP="00E32035">
            <w:pPr>
              <w:autoSpaceDE w:val="0"/>
              <w:autoSpaceDN w:val="0"/>
              <w:adjustRightInd w:val="0"/>
              <w:spacing w:before="0" w:after="0"/>
              <w:rPr>
                <w:rFonts w:eastAsia="Calibri" w:cs="Arial"/>
                <w:bCs/>
                <w:spacing w:val="-5"/>
                <w:sz w:val="18"/>
                <w:szCs w:val="18"/>
                <w:lang w:eastAsia="en-US"/>
              </w:rPr>
            </w:pPr>
            <w:r w:rsidRPr="006E051A">
              <w:rPr>
                <w:rFonts w:eastAsia="Calibri" w:cs="Arial"/>
                <w:bCs/>
                <w:spacing w:val="-5"/>
                <w:sz w:val="18"/>
                <w:szCs w:val="18"/>
                <w:lang w:eastAsia="en-US"/>
              </w:rPr>
              <w:t xml:space="preserve">La propuesta regulatoria no establece ningún impedimento para desarrollar la actividad de comercialización por parte de algún agente diferente a </w:t>
            </w:r>
            <w:r w:rsidR="00BF7BF6">
              <w:rPr>
                <w:rFonts w:eastAsia="Calibri" w:cs="Arial"/>
                <w:bCs/>
                <w:spacing w:val="-5"/>
                <w:sz w:val="18"/>
                <w:szCs w:val="18"/>
                <w:lang w:eastAsia="en-US"/>
              </w:rPr>
              <w:t>l</w:t>
            </w:r>
            <w:r w:rsidRPr="006E051A">
              <w:rPr>
                <w:rFonts w:eastAsia="Calibri" w:cs="Arial"/>
                <w:bCs/>
                <w:spacing w:val="-5"/>
                <w:sz w:val="18"/>
                <w:szCs w:val="18"/>
                <w:lang w:eastAsia="en-US"/>
              </w:rPr>
              <w:t>o previsto hoy en la regulación, entre otros, el reglamento de comercialización.</w:t>
            </w:r>
          </w:p>
          <w:p w14:paraId="334DEAF4" w14:textId="01AD268F" w:rsidR="00023BC9" w:rsidRPr="00E32035" w:rsidRDefault="00023BC9" w:rsidP="00023BC9">
            <w:pPr>
              <w:autoSpaceDE w:val="0"/>
              <w:autoSpaceDN w:val="0"/>
              <w:adjustRightInd w:val="0"/>
              <w:spacing w:before="0" w:after="0"/>
              <w:jc w:val="center"/>
              <w:rPr>
                <w:rFonts w:eastAsia="Calibri" w:cs="Arial"/>
                <w:bCs/>
                <w:spacing w:val="-5"/>
                <w:sz w:val="18"/>
                <w:szCs w:val="18"/>
                <w:lang w:eastAsia="en-US"/>
              </w:rPr>
            </w:pPr>
          </w:p>
        </w:tc>
        <w:tc>
          <w:tcPr>
            <w:tcW w:w="1843" w:type="dxa"/>
            <w:tcBorders>
              <w:top w:val="single" w:sz="4" w:space="0" w:color="000000"/>
              <w:left w:val="single" w:sz="4" w:space="0" w:color="000000"/>
              <w:bottom w:val="single" w:sz="4" w:space="0" w:color="000000"/>
              <w:right w:val="single" w:sz="4" w:space="0" w:color="000000"/>
            </w:tcBorders>
            <w:vAlign w:val="center"/>
          </w:tcPr>
          <w:p w14:paraId="4F3B58B3" w14:textId="16FBBE7C" w:rsidR="00023BC9" w:rsidRPr="00023BC9" w:rsidRDefault="000A1F9D" w:rsidP="00023BC9">
            <w:pPr>
              <w:autoSpaceDE w:val="0"/>
              <w:autoSpaceDN w:val="0"/>
              <w:adjustRightInd w:val="0"/>
              <w:spacing w:before="0" w:after="0"/>
              <w:ind w:right="-108"/>
              <w:jc w:val="center"/>
              <w:rPr>
                <w:rFonts w:eastAsia="Calibri" w:cs="Arial"/>
                <w:bCs/>
                <w:spacing w:val="-5"/>
                <w:sz w:val="18"/>
                <w:szCs w:val="18"/>
                <w:lang w:val="es-ES" w:eastAsia="en-US"/>
              </w:rPr>
            </w:pPr>
            <w:r w:rsidRPr="000A1F9D">
              <w:rPr>
                <w:rFonts w:eastAsia="Calibri" w:cs="Arial"/>
                <w:bCs/>
                <w:spacing w:val="-5"/>
                <w:sz w:val="18"/>
                <w:szCs w:val="18"/>
                <w:lang w:val="es-ES" w:eastAsia="en-US"/>
              </w:rPr>
              <w:t>No se identifican observaciones adicionales a las expuestas en la explicación que da respuesta a la pregunta.</w:t>
            </w:r>
          </w:p>
        </w:tc>
      </w:tr>
      <w:tr w:rsidR="00AE47DC" w:rsidRPr="00023BC9" w14:paraId="262D8587" w14:textId="77777777" w:rsidTr="00092FBC">
        <w:trPr>
          <w:cantSplit/>
        </w:trPr>
        <w:tc>
          <w:tcPr>
            <w:tcW w:w="845" w:type="dxa"/>
            <w:tcBorders>
              <w:top w:val="single" w:sz="4" w:space="0" w:color="000000"/>
              <w:left w:val="single" w:sz="4" w:space="0" w:color="000000"/>
              <w:bottom w:val="single" w:sz="4" w:space="0" w:color="000000"/>
              <w:right w:val="single" w:sz="4" w:space="0" w:color="000000"/>
            </w:tcBorders>
            <w:hideMark/>
          </w:tcPr>
          <w:p w14:paraId="08BB5551" w14:textId="77777777" w:rsidR="00586558" w:rsidRPr="00023BC9" w:rsidRDefault="00586558" w:rsidP="00586558">
            <w:pPr>
              <w:autoSpaceDE w:val="0"/>
              <w:autoSpaceDN w:val="0"/>
              <w:adjustRightInd w:val="0"/>
              <w:spacing w:before="0" w:after="0"/>
              <w:ind w:right="-108"/>
              <w:rPr>
                <w:rFonts w:eastAsia="Calibri" w:cs="Arial"/>
                <w:bCs/>
                <w:spacing w:val="-5"/>
                <w:sz w:val="18"/>
                <w:szCs w:val="18"/>
                <w:lang w:val="es-ES" w:eastAsia="en-US"/>
              </w:rPr>
            </w:pPr>
            <w:r w:rsidRPr="00023BC9">
              <w:rPr>
                <w:rFonts w:eastAsia="Calibri" w:cs="Arial"/>
                <w:bCs/>
                <w:spacing w:val="-5"/>
                <w:sz w:val="18"/>
                <w:szCs w:val="18"/>
                <w:lang w:val="es-ES" w:eastAsia="en-US"/>
              </w:rPr>
              <w:t>1.4</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15C4BC7A" w14:textId="77777777" w:rsidR="00586558" w:rsidRPr="00023BC9" w:rsidRDefault="00586558" w:rsidP="00586558">
            <w:pPr>
              <w:autoSpaceDE w:val="0"/>
              <w:autoSpaceDN w:val="0"/>
              <w:adjustRightInd w:val="0"/>
              <w:spacing w:before="0" w:after="0"/>
              <w:ind w:right="19"/>
              <w:jc w:val="left"/>
              <w:rPr>
                <w:rFonts w:eastAsia="Calibri" w:cs="Arial"/>
                <w:bCs/>
                <w:spacing w:val="-5"/>
                <w:sz w:val="18"/>
                <w:szCs w:val="18"/>
                <w:lang w:val="es-ES" w:eastAsia="en-US"/>
              </w:rPr>
            </w:pPr>
            <w:r w:rsidRPr="00023BC9">
              <w:rPr>
                <w:rFonts w:eastAsia="Calibri" w:cs="Arial"/>
                <w:bCs/>
                <w:spacing w:val="-5"/>
                <w:sz w:val="18"/>
                <w:szCs w:val="18"/>
                <w:lang w:val="es-ES" w:eastAsia="en-US"/>
              </w:rPr>
              <w:t>Eleva de manera significativa los costos de entrada o salida del mercado para las empresas.</w:t>
            </w:r>
          </w:p>
        </w:tc>
        <w:tc>
          <w:tcPr>
            <w:tcW w:w="426" w:type="dxa"/>
            <w:tcBorders>
              <w:top w:val="single" w:sz="4" w:space="0" w:color="000000"/>
              <w:left w:val="single" w:sz="4" w:space="0" w:color="000000"/>
              <w:bottom w:val="single" w:sz="4" w:space="0" w:color="000000"/>
              <w:right w:val="single" w:sz="4" w:space="0" w:color="000000"/>
            </w:tcBorders>
            <w:vAlign w:val="center"/>
          </w:tcPr>
          <w:p w14:paraId="377F42B4" w14:textId="77777777" w:rsidR="00586558" w:rsidRPr="00023BC9" w:rsidRDefault="00586558" w:rsidP="00586558">
            <w:pPr>
              <w:autoSpaceDE w:val="0"/>
              <w:autoSpaceDN w:val="0"/>
              <w:adjustRightInd w:val="0"/>
              <w:spacing w:before="0" w:after="0"/>
              <w:ind w:right="-108"/>
              <w:jc w:val="center"/>
              <w:rPr>
                <w:rFonts w:eastAsia="Calibri" w:cs="Arial"/>
                <w:bCs/>
                <w:spacing w:val="-5"/>
                <w:sz w:val="18"/>
                <w:szCs w:val="18"/>
                <w:lang w:val="es-ES"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282EB794" w14:textId="77777777" w:rsidR="00586558" w:rsidRPr="00023BC9" w:rsidRDefault="00586558" w:rsidP="00586558">
            <w:pPr>
              <w:autoSpaceDE w:val="0"/>
              <w:autoSpaceDN w:val="0"/>
              <w:adjustRightInd w:val="0"/>
              <w:spacing w:before="0" w:after="0"/>
              <w:ind w:right="-108"/>
              <w:jc w:val="center"/>
              <w:rPr>
                <w:rFonts w:eastAsia="Calibri" w:cs="Arial"/>
                <w:bCs/>
                <w:spacing w:val="-5"/>
                <w:sz w:val="18"/>
                <w:szCs w:val="18"/>
                <w:lang w:val="es-ES" w:eastAsia="en-US"/>
              </w:rPr>
            </w:pPr>
            <w:r w:rsidRPr="00023BC9">
              <w:rPr>
                <w:rFonts w:eastAsia="Calibri" w:cs="Arial"/>
                <w:bCs/>
                <w:spacing w:val="-5"/>
                <w:sz w:val="18"/>
                <w:szCs w:val="18"/>
                <w:lang w:val="es-ES" w:eastAsia="en-US"/>
              </w:rPr>
              <w:t>X</w:t>
            </w:r>
          </w:p>
        </w:tc>
        <w:tc>
          <w:tcPr>
            <w:tcW w:w="3401" w:type="dxa"/>
            <w:tcBorders>
              <w:top w:val="single" w:sz="4" w:space="0" w:color="000000"/>
              <w:left w:val="single" w:sz="4" w:space="0" w:color="000000"/>
              <w:bottom w:val="single" w:sz="4" w:space="0" w:color="000000"/>
              <w:right w:val="single" w:sz="4" w:space="0" w:color="000000"/>
            </w:tcBorders>
            <w:vAlign w:val="center"/>
          </w:tcPr>
          <w:p w14:paraId="6EE0FE07" w14:textId="60218ACB" w:rsidR="00586558" w:rsidRPr="00E32035" w:rsidRDefault="00586558" w:rsidP="00E32035">
            <w:pPr>
              <w:autoSpaceDE w:val="0"/>
              <w:autoSpaceDN w:val="0"/>
              <w:adjustRightInd w:val="0"/>
              <w:spacing w:before="0" w:after="0"/>
              <w:rPr>
                <w:rFonts w:eastAsia="Calibri" w:cs="Arial"/>
                <w:bCs/>
                <w:spacing w:val="-5"/>
                <w:sz w:val="18"/>
                <w:szCs w:val="18"/>
                <w:lang w:val="es-ES" w:eastAsia="en-US"/>
              </w:rPr>
            </w:pPr>
            <w:r w:rsidRPr="00E32035">
              <w:rPr>
                <w:rFonts w:eastAsia="Calibri" w:cs="Arial"/>
                <w:bCs/>
                <w:spacing w:val="-5"/>
                <w:sz w:val="18"/>
                <w:szCs w:val="18"/>
                <w:lang w:val="es-ES" w:eastAsia="en-US"/>
              </w:rPr>
              <w:t>En el presente caso no hay asimetrías, disparidades ni favorecimientos a algunos agentes en específico</w:t>
            </w:r>
            <w:r>
              <w:rPr>
                <w:rFonts w:eastAsia="Calibri" w:cs="Arial"/>
                <w:bCs/>
                <w:spacing w:val="-5"/>
                <w:sz w:val="18"/>
                <w:szCs w:val="18"/>
                <w:lang w:val="es-ES" w:eastAsia="en-US"/>
              </w:rPr>
              <w:t>, toda vez que el tratamiento para la definición y cobro del COT es igual para cualquier comercializador</w:t>
            </w:r>
            <w:r w:rsidRPr="00E32035">
              <w:rPr>
                <w:rFonts w:eastAsia="Calibri" w:cs="Arial"/>
                <w:bCs/>
                <w:spacing w:val="-5"/>
                <w:sz w:val="18"/>
                <w:szCs w:val="18"/>
                <w:lang w:val="es-ES" w:eastAsia="en-US"/>
              </w:rPr>
              <w:t>.</w:t>
            </w:r>
          </w:p>
          <w:p w14:paraId="487E4B67" w14:textId="77777777" w:rsidR="00586558" w:rsidRPr="00A41B27" w:rsidRDefault="00586558" w:rsidP="00E32035">
            <w:pPr>
              <w:autoSpaceDE w:val="0"/>
              <w:autoSpaceDN w:val="0"/>
              <w:adjustRightInd w:val="0"/>
              <w:spacing w:before="0" w:after="0"/>
              <w:rPr>
                <w:rFonts w:eastAsia="Calibri" w:cs="Arial"/>
                <w:bCs/>
                <w:spacing w:val="-5"/>
                <w:sz w:val="18"/>
                <w:szCs w:val="18"/>
                <w:lang w:val="es-ES" w:eastAsia="en-US"/>
              </w:rPr>
            </w:pPr>
          </w:p>
          <w:p w14:paraId="301F87CF" w14:textId="4989C5A4" w:rsidR="00586558" w:rsidRPr="00E32035" w:rsidRDefault="00586558" w:rsidP="00E32035">
            <w:pPr>
              <w:autoSpaceDE w:val="0"/>
              <w:autoSpaceDN w:val="0"/>
              <w:adjustRightInd w:val="0"/>
              <w:spacing w:before="0" w:after="0"/>
              <w:rPr>
                <w:rFonts w:eastAsia="Calibri" w:cs="Arial"/>
                <w:bCs/>
                <w:spacing w:val="-5"/>
                <w:sz w:val="18"/>
                <w:szCs w:val="18"/>
                <w:lang w:val="es-ES" w:eastAsia="en-US"/>
              </w:rPr>
            </w:pPr>
            <w:r w:rsidRPr="00882D11">
              <w:rPr>
                <w:rFonts w:eastAsia="Calibri" w:cs="Arial"/>
                <w:bCs/>
                <w:spacing w:val="-5"/>
                <w:sz w:val="18"/>
                <w:szCs w:val="18"/>
                <w:lang w:val="es-ES" w:eastAsia="en-US"/>
              </w:rPr>
              <w:t xml:space="preserve">La definición y cobro del COT </w:t>
            </w:r>
            <w:r>
              <w:rPr>
                <w:rFonts w:eastAsia="Calibri" w:cs="Arial"/>
                <w:bCs/>
                <w:spacing w:val="-5"/>
                <w:sz w:val="18"/>
                <w:szCs w:val="18"/>
                <w:lang w:val="es-ES" w:eastAsia="en-US"/>
              </w:rPr>
              <w:t>n</w:t>
            </w:r>
            <w:r w:rsidRPr="00E32035">
              <w:rPr>
                <w:rFonts w:eastAsia="Calibri" w:cs="Arial"/>
                <w:bCs/>
                <w:spacing w:val="-5"/>
                <w:sz w:val="18"/>
                <w:szCs w:val="18"/>
                <w:lang w:val="es-ES" w:eastAsia="en-US"/>
              </w:rPr>
              <w:t xml:space="preserve">o es un costo asumido por los comercializadores para realizar previamente su actividad o dejarla de realizar. </w:t>
            </w:r>
          </w:p>
          <w:p w14:paraId="44A9DE6D" w14:textId="77777777" w:rsidR="00586558" w:rsidRPr="00A41B27" w:rsidRDefault="00586558" w:rsidP="00E32035">
            <w:pPr>
              <w:autoSpaceDE w:val="0"/>
              <w:autoSpaceDN w:val="0"/>
              <w:adjustRightInd w:val="0"/>
              <w:spacing w:before="0" w:after="0"/>
              <w:rPr>
                <w:rFonts w:eastAsia="Calibri" w:cs="Arial"/>
                <w:bCs/>
                <w:spacing w:val="-5"/>
                <w:sz w:val="18"/>
                <w:szCs w:val="18"/>
                <w:lang w:val="es-ES" w:eastAsia="en-US"/>
              </w:rPr>
            </w:pPr>
          </w:p>
          <w:p w14:paraId="43C6C75A" w14:textId="58A25F24" w:rsidR="00586558" w:rsidRPr="00E32035" w:rsidRDefault="00586558" w:rsidP="00E32035">
            <w:pPr>
              <w:autoSpaceDE w:val="0"/>
              <w:autoSpaceDN w:val="0"/>
              <w:adjustRightInd w:val="0"/>
              <w:spacing w:before="0" w:after="0"/>
              <w:rPr>
                <w:rFonts w:eastAsia="Calibri" w:cs="Arial"/>
                <w:bCs/>
                <w:spacing w:val="-5"/>
                <w:sz w:val="18"/>
                <w:szCs w:val="18"/>
                <w:lang w:val="es-ES" w:eastAsia="en-US"/>
              </w:rPr>
            </w:pPr>
            <w:r>
              <w:rPr>
                <w:rFonts w:eastAsia="Calibri" w:cs="Arial"/>
                <w:bCs/>
                <w:spacing w:val="-5"/>
                <w:sz w:val="18"/>
                <w:szCs w:val="18"/>
                <w:lang w:val="es-ES" w:eastAsia="en-US"/>
              </w:rPr>
              <w:t xml:space="preserve">La definición y cobro del </w:t>
            </w:r>
            <w:r w:rsidRPr="00E32035">
              <w:rPr>
                <w:rFonts w:eastAsia="Calibri" w:cs="Arial"/>
                <w:bCs/>
                <w:spacing w:val="-5"/>
                <w:sz w:val="18"/>
                <w:szCs w:val="18"/>
                <w:lang w:val="es-ES" w:eastAsia="en-US"/>
              </w:rPr>
              <w:t xml:space="preserve">COT de la propuesta es asumido por la totalidad de los usuarios de un mercado de comercialización independientemente el número de comercializadores que actúen en ese mercado. </w:t>
            </w:r>
          </w:p>
          <w:p w14:paraId="3BDA93AC" w14:textId="77777777" w:rsidR="00586558" w:rsidRPr="00A41B27" w:rsidRDefault="00586558" w:rsidP="00E32035">
            <w:pPr>
              <w:autoSpaceDE w:val="0"/>
              <w:autoSpaceDN w:val="0"/>
              <w:adjustRightInd w:val="0"/>
              <w:spacing w:before="0" w:after="0"/>
              <w:rPr>
                <w:rFonts w:eastAsia="Calibri" w:cs="Arial"/>
                <w:bCs/>
                <w:spacing w:val="-5"/>
                <w:sz w:val="18"/>
                <w:szCs w:val="18"/>
                <w:lang w:val="es-ES" w:eastAsia="en-US"/>
              </w:rPr>
            </w:pPr>
          </w:p>
          <w:p w14:paraId="2345677C" w14:textId="4B600E5E" w:rsidR="00586558" w:rsidRPr="00E32035" w:rsidRDefault="00586558" w:rsidP="00E32035">
            <w:pPr>
              <w:autoSpaceDE w:val="0"/>
              <w:autoSpaceDN w:val="0"/>
              <w:adjustRightInd w:val="0"/>
              <w:spacing w:before="0" w:after="0"/>
              <w:rPr>
                <w:rFonts w:eastAsia="Calibri" w:cs="Arial"/>
                <w:bCs/>
                <w:spacing w:val="-5"/>
                <w:sz w:val="18"/>
                <w:szCs w:val="18"/>
                <w:lang w:val="es-ES" w:eastAsia="en-US"/>
              </w:rPr>
            </w:pPr>
            <w:r w:rsidRPr="00E32035">
              <w:rPr>
                <w:rFonts w:eastAsia="Calibri" w:cs="Arial"/>
                <w:bCs/>
                <w:spacing w:val="-5"/>
                <w:sz w:val="18"/>
                <w:szCs w:val="18"/>
                <w:lang w:val="es-ES" w:eastAsia="en-US"/>
              </w:rPr>
              <w:t>El COT de la propuesta no desalienta la entrada de nuevos participantes (comercializadores) en un mercado de comercialización, ni genera un efecto de reducción en el tiempo del número de participantes.</w:t>
            </w:r>
          </w:p>
        </w:tc>
        <w:tc>
          <w:tcPr>
            <w:tcW w:w="1843" w:type="dxa"/>
            <w:tcBorders>
              <w:top w:val="single" w:sz="4" w:space="0" w:color="000000"/>
              <w:left w:val="single" w:sz="4" w:space="0" w:color="000000"/>
              <w:bottom w:val="single" w:sz="4" w:space="0" w:color="000000"/>
              <w:right w:val="single" w:sz="4" w:space="0" w:color="000000"/>
            </w:tcBorders>
            <w:vAlign w:val="center"/>
          </w:tcPr>
          <w:p w14:paraId="389FB4CC" w14:textId="116109E9" w:rsidR="00586558" w:rsidRPr="00023BC9" w:rsidRDefault="000A1F9D" w:rsidP="00586558">
            <w:pPr>
              <w:autoSpaceDE w:val="0"/>
              <w:autoSpaceDN w:val="0"/>
              <w:adjustRightInd w:val="0"/>
              <w:spacing w:before="0" w:after="0"/>
              <w:ind w:right="-108"/>
              <w:jc w:val="center"/>
              <w:rPr>
                <w:rFonts w:eastAsia="Calibri" w:cs="Arial"/>
                <w:bCs/>
                <w:spacing w:val="-5"/>
                <w:sz w:val="18"/>
                <w:szCs w:val="18"/>
                <w:lang w:val="es-ES" w:eastAsia="en-US"/>
              </w:rPr>
            </w:pPr>
            <w:r w:rsidRPr="000A1F9D">
              <w:rPr>
                <w:rFonts w:eastAsia="Calibri" w:cs="Arial"/>
                <w:bCs/>
                <w:spacing w:val="-5"/>
                <w:sz w:val="18"/>
                <w:szCs w:val="18"/>
                <w:lang w:val="es-ES" w:eastAsia="en-US"/>
              </w:rPr>
              <w:t>No se identifican observaciones adicionales a las expuestas en la explicación que da respuesta a la pregunta.</w:t>
            </w:r>
          </w:p>
        </w:tc>
      </w:tr>
      <w:tr w:rsidR="00AE47DC" w:rsidRPr="00023BC9" w14:paraId="3279E5DA" w14:textId="77777777" w:rsidTr="00092FBC">
        <w:trPr>
          <w:cantSplit/>
        </w:trPr>
        <w:tc>
          <w:tcPr>
            <w:tcW w:w="845" w:type="dxa"/>
            <w:tcBorders>
              <w:top w:val="single" w:sz="4" w:space="0" w:color="000000"/>
              <w:left w:val="single" w:sz="4" w:space="0" w:color="000000"/>
              <w:bottom w:val="single" w:sz="4" w:space="0" w:color="000000"/>
              <w:right w:val="single" w:sz="4" w:space="0" w:color="000000"/>
            </w:tcBorders>
            <w:hideMark/>
          </w:tcPr>
          <w:p w14:paraId="1469773B" w14:textId="77777777" w:rsidR="00586558" w:rsidRPr="00023BC9" w:rsidRDefault="00586558" w:rsidP="00586558">
            <w:pPr>
              <w:autoSpaceDE w:val="0"/>
              <w:autoSpaceDN w:val="0"/>
              <w:adjustRightInd w:val="0"/>
              <w:spacing w:before="0" w:after="0"/>
              <w:ind w:right="-108"/>
              <w:rPr>
                <w:rFonts w:eastAsia="Calibri" w:cs="Arial"/>
                <w:bCs/>
                <w:spacing w:val="-5"/>
                <w:sz w:val="18"/>
                <w:szCs w:val="18"/>
                <w:lang w:val="es-ES" w:eastAsia="en-US"/>
              </w:rPr>
            </w:pPr>
            <w:r w:rsidRPr="00023BC9">
              <w:rPr>
                <w:rFonts w:eastAsia="Calibri" w:cs="Arial"/>
                <w:bCs/>
                <w:spacing w:val="-5"/>
                <w:sz w:val="18"/>
                <w:szCs w:val="18"/>
                <w:lang w:val="es-ES" w:eastAsia="en-US"/>
              </w:rPr>
              <w:t>1.5</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2D0FC0AA" w14:textId="77777777" w:rsidR="00586558" w:rsidRPr="00023BC9" w:rsidRDefault="00586558" w:rsidP="00586558">
            <w:pPr>
              <w:autoSpaceDE w:val="0"/>
              <w:autoSpaceDN w:val="0"/>
              <w:adjustRightInd w:val="0"/>
              <w:spacing w:before="0" w:after="0"/>
              <w:ind w:right="19"/>
              <w:jc w:val="left"/>
              <w:rPr>
                <w:rFonts w:eastAsia="Calibri" w:cs="Arial"/>
                <w:bCs/>
                <w:spacing w:val="-5"/>
                <w:sz w:val="18"/>
                <w:szCs w:val="18"/>
                <w:lang w:val="es-ES" w:eastAsia="en-US"/>
              </w:rPr>
            </w:pPr>
            <w:r w:rsidRPr="00023BC9">
              <w:rPr>
                <w:rFonts w:eastAsia="Calibri" w:cs="Arial"/>
                <w:bCs/>
                <w:spacing w:val="-5"/>
                <w:sz w:val="18"/>
                <w:szCs w:val="18"/>
                <w:lang w:val="es-ES" w:eastAsia="en-US"/>
              </w:rPr>
              <w:t>Crea una barrera geográfica a la libre circulación de bienes o servicios o a la inversión.</w:t>
            </w:r>
          </w:p>
        </w:tc>
        <w:tc>
          <w:tcPr>
            <w:tcW w:w="426" w:type="dxa"/>
            <w:tcBorders>
              <w:top w:val="single" w:sz="4" w:space="0" w:color="000000"/>
              <w:left w:val="single" w:sz="4" w:space="0" w:color="000000"/>
              <w:bottom w:val="single" w:sz="4" w:space="0" w:color="000000"/>
              <w:right w:val="single" w:sz="4" w:space="0" w:color="000000"/>
            </w:tcBorders>
            <w:vAlign w:val="center"/>
          </w:tcPr>
          <w:p w14:paraId="505F165E" w14:textId="77777777" w:rsidR="00586558" w:rsidRPr="00023BC9" w:rsidRDefault="00586558" w:rsidP="00586558">
            <w:pPr>
              <w:autoSpaceDE w:val="0"/>
              <w:autoSpaceDN w:val="0"/>
              <w:adjustRightInd w:val="0"/>
              <w:spacing w:before="0" w:after="0"/>
              <w:ind w:right="-108"/>
              <w:jc w:val="center"/>
              <w:rPr>
                <w:rFonts w:eastAsia="Calibri" w:cs="Arial"/>
                <w:bCs/>
                <w:spacing w:val="-5"/>
                <w:sz w:val="18"/>
                <w:szCs w:val="18"/>
                <w:lang w:val="es-ES"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6AEA0177" w14:textId="77777777" w:rsidR="00586558" w:rsidRPr="00023BC9" w:rsidRDefault="00586558" w:rsidP="00586558">
            <w:pPr>
              <w:autoSpaceDE w:val="0"/>
              <w:autoSpaceDN w:val="0"/>
              <w:adjustRightInd w:val="0"/>
              <w:spacing w:before="0" w:after="0"/>
              <w:ind w:right="-108"/>
              <w:jc w:val="center"/>
              <w:rPr>
                <w:rFonts w:eastAsia="Calibri" w:cs="Arial"/>
                <w:bCs/>
                <w:spacing w:val="-5"/>
                <w:sz w:val="18"/>
                <w:szCs w:val="18"/>
                <w:lang w:val="es-ES" w:eastAsia="en-US"/>
              </w:rPr>
            </w:pPr>
            <w:r w:rsidRPr="00023BC9">
              <w:rPr>
                <w:rFonts w:eastAsia="Calibri" w:cs="Arial"/>
                <w:bCs/>
                <w:spacing w:val="-5"/>
                <w:sz w:val="18"/>
                <w:szCs w:val="18"/>
                <w:lang w:val="es-ES" w:eastAsia="en-US"/>
              </w:rPr>
              <w:t>X</w:t>
            </w:r>
          </w:p>
        </w:tc>
        <w:tc>
          <w:tcPr>
            <w:tcW w:w="3401" w:type="dxa"/>
            <w:tcBorders>
              <w:top w:val="single" w:sz="4" w:space="0" w:color="000000"/>
              <w:left w:val="single" w:sz="4" w:space="0" w:color="000000"/>
              <w:bottom w:val="single" w:sz="4" w:space="0" w:color="000000"/>
              <w:right w:val="single" w:sz="4" w:space="0" w:color="000000"/>
            </w:tcBorders>
            <w:vAlign w:val="center"/>
          </w:tcPr>
          <w:p w14:paraId="2E4732F5" w14:textId="3268E8B9" w:rsidR="00586558" w:rsidRPr="00023BC9" w:rsidRDefault="00125429" w:rsidP="00E32035">
            <w:pPr>
              <w:autoSpaceDE w:val="0"/>
              <w:autoSpaceDN w:val="0"/>
              <w:adjustRightInd w:val="0"/>
              <w:spacing w:before="0" w:after="0"/>
              <w:rPr>
                <w:rFonts w:eastAsia="Calibri" w:cs="Arial"/>
                <w:bCs/>
                <w:spacing w:val="-5"/>
                <w:sz w:val="18"/>
                <w:szCs w:val="18"/>
                <w:lang w:val="es-ES" w:eastAsia="en-US"/>
              </w:rPr>
            </w:pPr>
            <w:r w:rsidRPr="00125429">
              <w:rPr>
                <w:rFonts w:eastAsia="Calibri" w:cs="Arial"/>
                <w:bCs/>
                <w:spacing w:val="-5"/>
                <w:sz w:val="18"/>
                <w:szCs w:val="18"/>
                <w:lang w:val="es-ES" w:eastAsia="en-US"/>
              </w:rPr>
              <w:t>No existen limitaciones de tipo geográfico o espacial al flujo de bienes y servicios, capital o trabajo por parte de agentes comercializadores, ni se reduce los mercados en que dichos agentes pueden participar.  </w:t>
            </w:r>
          </w:p>
        </w:tc>
        <w:tc>
          <w:tcPr>
            <w:tcW w:w="1843" w:type="dxa"/>
            <w:tcBorders>
              <w:top w:val="single" w:sz="4" w:space="0" w:color="000000"/>
              <w:left w:val="single" w:sz="4" w:space="0" w:color="000000"/>
              <w:bottom w:val="single" w:sz="4" w:space="0" w:color="000000"/>
              <w:right w:val="single" w:sz="4" w:space="0" w:color="000000"/>
            </w:tcBorders>
            <w:vAlign w:val="center"/>
          </w:tcPr>
          <w:p w14:paraId="3CB462F0" w14:textId="488ABB85" w:rsidR="008F24C9" w:rsidRPr="008F24C9" w:rsidRDefault="008F24C9" w:rsidP="008F24C9">
            <w:pPr>
              <w:autoSpaceDE w:val="0"/>
              <w:autoSpaceDN w:val="0"/>
              <w:adjustRightInd w:val="0"/>
              <w:spacing w:before="0" w:after="0"/>
              <w:ind w:right="-108"/>
              <w:jc w:val="center"/>
              <w:rPr>
                <w:rFonts w:eastAsia="Calibri" w:cs="Arial"/>
                <w:bCs/>
                <w:spacing w:val="-5"/>
                <w:sz w:val="18"/>
                <w:szCs w:val="18"/>
                <w:lang w:val="es-ES" w:eastAsia="en-US"/>
              </w:rPr>
            </w:pPr>
            <w:r>
              <w:rPr>
                <w:rFonts w:eastAsia="Calibri" w:cs="Arial"/>
                <w:bCs/>
                <w:spacing w:val="-5"/>
                <w:sz w:val="18"/>
                <w:szCs w:val="18"/>
                <w:lang w:val="es-ES" w:eastAsia="en-US"/>
              </w:rPr>
              <w:t>La definición y cobro del COT no limita</w:t>
            </w:r>
            <w:r w:rsidRPr="008F24C9">
              <w:rPr>
                <w:rFonts w:eastAsia="Calibri" w:cs="Arial"/>
                <w:bCs/>
                <w:spacing w:val="-5"/>
                <w:sz w:val="18"/>
                <w:szCs w:val="18"/>
                <w:lang w:val="es-ES" w:eastAsia="en-US"/>
              </w:rPr>
              <w:t xml:space="preserve"> el flujo de bienes,</w:t>
            </w:r>
          </w:p>
          <w:p w14:paraId="7C7ABD3D" w14:textId="66CA432C" w:rsidR="00586558" w:rsidRPr="00023BC9" w:rsidRDefault="008F24C9" w:rsidP="00F64438">
            <w:pPr>
              <w:autoSpaceDE w:val="0"/>
              <w:autoSpaceDN w:val="0"/>
              <w:adjustRightInd w:val="0"/>
              <w:spacing w:before="0" w:after="0"/>
              <w:ind w:right="-108"/>
              <w:jc w:val="center"/>
              <w:rPr>
                <w:rFonts w:eastAsia="Calibri" w:cs="Arial"/>
                <w:bCs/>
                <w:spacing w:val="-5"/>
                <w:sz w:val="18"/>
                <w:szCs w:val="18"/>
                <w:lang w:val="es-ES" w:eastAsia="en-US"/>
              </w:rPr>
            </w:pPr>
            <w:r w:rsidRPr="008F24C9">
              <w:rPr>
                <w:rFonts w:eastAsia="Calibri" w:cs="Arial"/>
                <w:bCs/>
                <w:spacing w:val="-5"/>
                <w:sz w:val="18"/>
                <w:szCs w:val="18"/>
                <w:lang w:val="es-ES" w:eastAsia="en-US"/>
              </w:rPr>
              <w:t xml:space="preserve">servicios, capital o trabajo entre </w:t>
            </w:r>
            <w:r>
              <w:rPr>
                <w:rFonts w:eastAsia="Calibri" w:cs="Arial"/>
                <w:bCs/>
                <w:spacing w:val="-5"/>
                <w:sz w:val="18"/>
                <w:szCs w:val="18"/>
                <w:lang w:val="es-ES" w:eastAsia="en-US"/>
              </w:rPr>
              <w:t xml:space="preserve">comercializadores </w:t>
            </w:r>
            <w:r w:rsidR="00F64438">
              <w:rPr>
                <w:rFonts w:eastAsia="Calibri" w:cs="Arial"/>
                <w:bCs/>
                <w:spacing w:val="-5"/>
                <w:sz w:val="18"/>
                <w:szCs w:val="18"/>
                <w:lang w:val="es-ES" w:eastAsia="en-US"/>
              </w:rPr>
              <w:t xml:space="preserve">para participar </w:t>
            </w:r>
            <w:r>
              <w:rPr>
                <w:rFonts w:eastAsia="Calibri" w:cs="Arial"/>
                <w:bCs/>
                <w:spacing w:val="-5"/>
                <w:sz w:val="18"/>
                <w:szCs w:val="18"/>
                <w:lang w:val="es-ES" w:eastAsia="en-US"/>
              </w:rPr>
              <w:t xml:space="preserve">en los distintos mercados de comercialización. </w:t>
            </w:r>
          </w:p>
        </w:tc>
      </w:tr>
      <w:tr w:rsidR="00AE47DC" w:rsidRPr="00023BC9" w14:paraId="3B2B345A" w14:textId="77777777" w:rsidTr="00092FBC">
        <w:trPr>
          <w:cantSplit/>
        </w:trPr>
        <w:tc>
          <w:tcPr>
            <w:tcW w:w="845" w:type="dxa"/>
            <w:tcBorders>
              <w:top w:val="single" w:sz="4" w:space="0" w:color="000000"/>
              <w:left w:val="single" w:sz="4" w:space="0" w:color="000000"/>
              <w:bottom w:val="single" w:sz="4" w:space="0" w:color="000000"/>
              <w:right w:val="single" w:sz="4" w:space="0" w:color="000000"/>
            </w:tcBorders>
            <w:hideMark/>
          </w:tcPr>
          <w:p w14:paraId="1617F51F" w14:textId="77777777" w:rsidR="00586558" w:rsidRPr="00023BC9" w:rsidRDefault="00586558" w:rsidP="00586558">
            <w:pPr>
              <w:autoSpaceDE w:val="0"/>
              <w:autoSpaceDN w:val="0"/>
              <w:adjustRightInd w:val="0"/>
              <w:spacing w:before="0" w:after="0"/>
              <w:ind w:right="-108"/>
              <w:rPr>
                <w:rFonts w:eastAsia="Calibri" w:cs="Arial"/>
                <w:bCs/>
                <w:spacing w:val="-5"/>
                <w:sz w:val="18"/>
                <w:szCs w:val="18"/>
                <w:lang w:val="es-ES" w:eastAsia="en-US"/>
              </w:rPr>
            </w:pPr>
            <w:r w:rsidRPr="00023BC9">
              <w:rPr>
                <w:rFonts w:eastAsia="Calibri" w:cs="Arial"/>
                <w:bCs/>
                <w:spacing w:val="-5"/>
                <w:sz w:val="18"/>
                <w:szCs w:val="18"/>
                <w:lang w:val="es-ES" w:eastAsia="en-US"/>
              </w:rPr>
              <w:lastRenderedPageBreak/>
              <w:t>1.6</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3023680D" w14:textId="77777777" w:rsidR="00586558" w:rsidRPr="00023BC9" w:rsidRDefault="00586558" w:rsidP="00586558">
            <w:pPr>
              <w:autoSpaceDE w:val="0"/>
              <w:autoSpaceDN w:val="0"/>
              <w:adjustRightInd w:val="0"/>
              <w:spacing w:before="0" w:after="0"/>
              <w:ind w:right="19"/>
              <w:jc w:val="left"/>
              <w:rPr>
                <w:rFonts w:eastAsia="Calibri" w:cs="Arial"/>
                <w:bCs/>
                <w:spacing w:val="-5"/>
                <w:sz w:val="18"/>
                <w:szCs w:val="18"/>
                <w:lang w:val="es-ES" w:eastAsia="en-US"/>
              </w:rPr>
            </w:pPr>
            <w:r w:rsidRPr="00023BC9">
              <w:rPr>
                <w:rFonts w:eastAsia="Calibri" w:cs="Arial"/>
                <w:bCs/>
                <w:spacing w:val="-5"/>
                <w:sz w:val="18"/>
                <w:szCs w:val="18"/>
                <w:lang w:val="es-ES" w:eastAsia="en-US"/>
              </w:rPr>
              <w:t>Incrementa de manera significativa los costos:</w:t>
            </w:r>
          </w:p>
        </w:tc>
        <w:tc>
          <w:tcPr>
            <w:tcW w:w="426" w:type="dxa"/>
            <w:tcBorders>
              <w:top w:val="single" w:sz="4" w:space="0" w:color="000000"/>
              <w:left w:val="single" w:sz="4" w:space="0" w:color="000000"/>
              <w:bottom w:val="single" w:sz="4" w:space="0" w:color="000000"/>
              <w:right w:val="single" w:sz="4" w:space="0" w:color="000000"/>
            </w:tcBorders>
            <w:vAlign w:val="center"/>
          </w:tcPr>
          <w:p w14:paraId="595B80A1" w14:textId="77777777" w:rsidR="00586558" w:rsidRPr="00023BC9" w:rsidRDefault="00586558" w:rsidP="00586558">
            <w:pPr>
              <w:autoSpaceDE w:val="0"/>
              <w:autoSpaceDN w:val="0"/>
              <w:adjustRightInd w:val="0"/>
              <w:spacing w:before="0" w:after="0"/>
              <w:ind w:right="-108"/>
              <w:jc w:val="center"/>
              <w:rPr>
                <w:rFonts w:eastAsia="Calibri" w:cs="Arial"/>
                <w:bCs/>
                <w:spacing w:val="-5"/>
                <w:sz w:val="18"/>
                <w:szCs w:val="18"/>
                <w:lang w:val="es-ES"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26628C63" w14:textId="77777777" w:rsidR="00586558" w:rsidRPr="00023BC9" w:rsidRDefault="00586558" w:rsidP="00586558">
            <w:pPr>
              <w:autoSpaceDE w:val="0"/>
              <w:autoSpaceDN w:val="0"/>
              <w:adjustRightInd w:val="0"/>
              <w:spacing w:before="0" w:after="0"/>
              <w:ind w:right="-108"/>
              <w:jc w:val="center"/>
              <w:rPr>
                <w:rFonts w:eastAsia="Calibri" w:cs="Arial"/>
                <w:bCs/>
                <w:spacing w:val="-5"/>
                <w:sz w:val="18"/>
                <w:szCs w:val="18"/>
                <w:lang w:val="es-ES" w:eastAsia="en-US"/>
              </w:rPr>
            </w:pPr>
            <w:r w:rsidRPr="00023BC9">
              <w:rPr>
                <w:rFonts w:eastAsia="Calibri" w:cs="Arial"/>
                <w:bCs/>
                <w:spacing w:val="-5"/>
                <w:sz w:val="18"/>
                <w:szCs w:val="18"/>
                <w:lang w:val="es-ES" w:eastAsia="en-US"/>
              </w:rPr>
              <w:t>X</w:t>
            </w:r>
          </w:p>
        </w:tc>
        <w:tc>
          <w:tcPr>
            <w:tcW w:w="3401" w:type="dxa"/>
            <w:tcBorders>
              <w:top w:val="single" w:sz="4" w:space="0" w:color="000000"/>
              <w:left w:val="single" w:sz="4" w:space="0" w:color="000000"/>
              <w:bottom w:val="single" w:sz="4" w:space="0" w:color="000000"/>
              <w:right w:val="single" w:sz="4" w:space="0" w:color="000000"/>
            </w:tcBorders>
            <w:vAlign w:val="center"/>
          </w:tcPr>
          <w:p w14:paraId="793A9BBF" w14:textId="109CAB0A" w:rsidR="000446BF" w:rsidRPr="000446BF" w:rsidRDefault="000446BF" w:rsidP="00E32035">
            <w:pPr>
              <w:autoSpaceDE w:val="0"/>
              <w:autoSpaceDN w:val="0"/>
              <w:adjustRightInd w:val="0"/>
              <w:spacing w:before="0" w:after="0"/>
              <w:rPr>
                <w:rFonts w:eastAsia="Calibri" w:cs="Arial"/>
                <w:bCs/>
                <w:spacing w:val="-5"/>
                <w:sz w:val="18"/>
                <w:szCs w:val="18"/>
                <w:lang w:val="es-ES" w:eastAsia="en-US"/>
              </w:rPr>
            </w:pPr>
            <w:r w:rsidRPr="000446BF">
              <w:rPr>
                <w:rFonts w:eastAsia="Calibri" w:cs="Arial"/>
                <w:bCs/>
                <w:spacing w:val="-5"/>
                <w:sz w:val="18"/>
                <w:szCs w:val="18"/>
                <w:lang w:val="es-ES" w:eastAsia="en-US"/>
              </w:rPr>
              <w:t>Resueltas las preguntas de los numerales 1.</w:t>
            </w:r>
            <w:r>
              <w:rPr>
                <w:rFonts w:eastAsia="Calibri" w:cs="Arial"/>
                <w:bCs/>
                <w:spacing w:val="-5"/>
                <w:sz w:val="18"/>
                <w:szCs w:val="18"/>
                <w:lang w:val="es-ES" w:eastAsia="en-US"/>
              </w:rPr>
              <w:t>6.</w:t>
            </w:r>
            <w:r w:rsidRPr="000446BF">
              <w:rPr>
                <w:rFonts w:eastAsia="Calibri" w:cs="Arial"/>
                <w:bCs/>
                <w:spacing w:val="-5"/>
                <w:sz w:val="18"/>
                <w:szCs w:val="18"/>
                <w:lang w:val="es-ES" w:eastAsia="en-US"/>
              </w:rPr>
              <w:t xml:space="preserve">1. </w:t>
            </w:r>
            <w:r>
              <w:rPr>
                <w:rFonts w:eastAsia="Calibri" w:cs="Arial"/>
                <w:bCs/>
                <w:spacing w:val="-5"/>
                <w:sz w:val="18"/>
                <w:szCs w:val="18"/>
                <w:lang w:val="es-ES" w:eastAsia="en-US"/>
              </w:rPr>
              <w:t>y</w:t>
            </w:r>
            <w:r w:rsidRPr="000446BF">
              <w:rPr>
                <w:rFonts w:eastAsia="Calibri" w:cs="Arial"/>
                <w:bCs/>
                <w:spacing w:val="-5"/>
                <w:sz w:val="18"/>
                <w:szCs w:val="18"/>
                <w:lang w:val="es-ES" w:eastAsia="en-US"/>
              </w:rPr>
              <w:t xml:space="preserve"> 1.6.2, el resultado de </w:t>
            </w:r>
            <w:proofErr w:type="gramStart"/>
            <w:r w:rsidRPr="000446BF">
              <w:rPr>
                <w:rFonts w:eastAsia="Calibri" w:cs="Arial"/>
                <w:bCs/>
                <w:spacing w:val="-5"/>
                <w:sz w:val="18"/>
                <w:szCs w:val="18"/>
                <w:lang w:val="es-ES" w:eastAsia="en-US"/>
              </w:rPr>
              <w:t>las mismas</w:t>
            </w:r>
            <w:proofErr w:type="gramEnd"/>
            <w:r w:rsidRPr="000446BF">
              <w:rPr>
                <w:rFonts w:eastAsia="Calibri" w:cs="Arial"/>
                <w:bCs/>
                <w:spacing w:val="-5"/>
                <w:sz w:val="18"/>
                <w:szCs w:val="18"/>
                <w:lang w:val="es-ES" w:eastAsia="en-US"/>
              </w:rPr>
              <w:t xml:space="preserve"> no genera como consecuencia la limitación al número de comercializadores que pueden llevar a cabo sus actividades en los mercados de comercialización existentes. </w:t>
            </w:r>
          </w:p>
          <w:p w14:paraId="5875ECA4" w14:textId="77777777" w:rsidR="000446BF" w:rsidRPr="000446BF" w:rsidRDefault="000446BF" w:rsidP="00E32035">
            <w:pPr>
              <w:autoSpaceDE w:val="0"/>
              <w:autoSpaceDN w:val="0"/>
              <w:adjustRightInd w:val="0"/>
              <w:spacing w:before="0" w:after="0"/>
              <w:rPr>
                <w:rFonts w:eastAsia="Calibri" w:cs="Arial"/>
                <w:bCs/>
                <w:spacing w:val="-5"/>
                <w:sz w:val="18"/>
                <w:szCs w:val="18"/>
                <w:lang w:val="es-ES" w:eastAsia="en-US"/>
              </w:rPr>
            </w:pPr>
          </w:p>
          <w:p w14:paraId="2DB07B05" w14:textId="3F043781" w:rsidR="00586558" w:rsidRPr="00023BC9" w:rsidRDefault="000446BF" w:rsidP="00E32035">
            <w:pPr>
              <w:autoSpaceDE w:val="0"/>
              <w:autoSpaceDN w:val="0"/>
              <w:adjustRightInd w:val="0"/>
              <w:spacing w:before="0" w:after="0"/>
              <w:rPr>
                <w:rFonts w:eastAsia="Calibri" w:cs="Arial"/>
                <w:bCs/>
                <w:spacing w:val="-5"/>
                <w:sz w:val="18"/>
                <w:szCs w:val="18"/>
                <w:lang w:val="es-ES" w:eastAsia="en-US"/>
              </w:rPr>
            </w:pPr>
            <w:r w:rsidRPr="000446BF">
              <w:rPr>
                <w:rFonts w:eastAsia="Calibri" w:cs="Arial"/>
                <w:bCs/>
                <w:spacing w:val="-5"/>
                <w:sz w:val="18"/>
                <w:szCs w:val="18"/>
                <w:lang w:val="es-ES" w:eastAsia="en-US"/>
              </w:rPr>
              <w:t>Los comercializadores pueden llevar a cabo la participación en la actividad de comercialización como se ha venido haciendo hasta hoy.</w:t>
            </w:r>
          </w:p>
        </w:tc>
        <w:tc>
          <w:tcPr>
            <w:tcW w:w="1843" w:type="dxa"/>
            <w:tcBorders>
              <w:top w:val="single" w:sz="4" w:space="0" w:color="000000"/>
              <w:left w:val="single" w:sz="4" w:space="0" w:color="000000"/>
              <w:bottom w:val="single" w:sz="4" w:space="0" w:color="000000"/>
              <w:right w:val="single" w:sz="4" w:space="0" w:color="000000"/>
            </w:tcBorders>
            <w:vAlign w:val="center"/>
          </w:tcPr>
          <w:p w14:paraId="666C4C7A" w14:textId="0CC2F6A3" w:rsidR="00586558" w:rsidRPr="00023BC9" w:rsidRDefault="000A1F9D" w:rsidP="00586558">
            <w:pPr>
              <w:autoSpaceDE w:val="0"/>
              <w:autoSpaceDN w:val="0"/>
              <w:adjustRightInd w:val="0"/>
              <w:spacing w:before="0" w:after="0"/>
              <w:ind w:right="-108"/>
              <w:jc w:val="center"/>
              <w:rPr>
                <w:rFonts w:eastAsia="Calibri" w:cs="Arial"/>
                <w:bCs/>
                <w:spacing w:val="-5"/>
                <w:sz w:val="18"/>
                <w:szCs w:val="18"/>
                <w:lang w:val="es-ES" w:eastAsia="en-US"/>
              </w:rPr>
            </w:pPr>
            <w:r w:rsidRPr="000A1F9D">
              <w:rPr>
                <w:rFonts w:eastAsia="Calibri" w:cs="Arial"/>
                <w:bCs/>
                <w:spacing w:val="-5"/>
                <w:sz w:val="18"/>
                <w:szCs w:val="18"/>
                <w:lang w:val="es-ES" w:eastAsia="en-US"/>
              </w:rPr>
              <w:t>No se identifican observaciones adicionales a las expuestas en la explicación que da respuesta a la pregunta.</w:t>
            </w:r>
          </w:p>
        </w:tc>
      </w:tr>
      <w:tr w:rsidR="00AE47DC" w:rsidRPr="00023BC9" w14:paraId="28366413" w14:textId="77777777" w:rsidTr="00092FBC">
        <w:trPr>
          <w:cantSplit/>
        </w:trPr>
        <w:tc>
          <w:tcPr>
            <w:tcW w:w="845" w:type="dxa"/>
            <w:tcBorders>
              <w:top w:val="single" w:sz="4" w:space="0" w:color="000000"/>
              <w:left w:val="single" w:sz="4" w:space="0" w:color="000000"/>
              <w:bottom w:val="single" w:sz="4" w:space="0" w:color="000000"/>
              <w:right w:val="single" w:sz="4" w:space="0" w:color="000000"/>
            </w:tcBorders>
            <w:hideMark/>
          </w:tcPr>
          <w:p w14:paraId="27DCB935" w14:textId="77777777" w:rsidR="00586558" w:rsidRPr="00023BC9" w:rsidRDefault="00586558" w:rsidP="00586558">
            <w:pPr>
              <w:autoSpaceDE w:val="0"/>
              <w:autoSpaceDN w:val="0"/>
              <w:adjustRightInd w:val="0"/>
              <w:spacing w:before="0" w:after="0"/>
              <w:ind w:right="-108"/>
              <w:rPr>
                <w:rFonts w:eastAsia="Calibri" w:cs="Arial"/>
                <w:bCs/>
                <w:spacing w:val="-5"/>
                <w:sz w:val="18"/>
                <w:szCs w:val="18"/>
                <w:lang w:val="es-ES" w:eastAsia="en-US"/>
              </w:rPr>
            </w:pPr>
            <w:r w:rsidRPr="00023BC9">
              <w:rPr>
                <w:rFonts w:eastAsia="Calibri" w:cs="Arial"/>
                <w:bCs/>
                <w:spacing w:val="-5"/>
                <w:sz w:val="18"/>
                <w:szCs w:val="18"/>
                <w:lang w:val="es-ES" w:eastAsia="en-US"/>
              </w:rPr>
              <w:t>1.6.1</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59B9E139" w14:textId="77777777" w:rsidR="00586558" w:rsidRPr="00023BC9" w:rsidRDefault="00586558" w:rsidP="00586558">
            <w:pPr>
              <w:autoSpaceDE w:val="0"/>
              <w:autoSpaceDN w:val="0"/>
              <w:adjustRightInd w:val="0"/>
              <w:spacing w:before="0" w:after="0"/>
              <w:ind w:right="19"/>
              <w:jc w:val="left"/>
              <w:rPr>
                <w:rFonts w:eastAsia="Calibri" w:cs="Arial"/>
                <w:bCs/>
                <w:spacing w:val="-5"/>
                <w:sz w:val="18"/>
                <w:szCs w:val="18"/>
                <w:lang w:val="es-ES" w:eastAsia="en-US"/>
              </w:rPr>
            </w:pPr>
            <w:r w:rsidRPr="00023BC9">
              <w:rPr>
                <w:rFonts w:eastAsia="Calibri" w:cs="Arial"/>
                <w:bCs/>
                <w:spacing w:val="-5"/>
                <w:sz w:val="18"/>
                <w:szCs w:val="18"/>
                <w:lang w:val="es-ES" w:eastAsia="en-US"/>
              </w:rPr>
              <w:t>Para nuevas empresas en relación con las empresas que ya operan en un mercado o mercados relevantes relacionados, o</w:t>
            </w:r>
          </w:p>
        </w:tc>
        <w:tc>
          <w:tcPr>
            <w:tcW w:w="426" w:type="dxa"/>
            <w:tcBorders>
              <w:top w:val="single" w:sz="4" w:space="0" w:color="000000"/>
              <w:left w:val="single" w:sz="4" w:space="0" w:color="000000"/>
              <w:bottom w:val="single" w:sz="4" w:space="0" w:color="000000"/>
              <w:right w:val="single" w:sz="4" w:space="0" w:color="000000"/>
            </w:tcBorders>
            <w:vAlign w:val="center"/>
          </w:tcPr>
          <w:p w14:paraId="4B021FAC" w14:textId="77777777" w:rsidR="00586558" w:rsidRPr="00023BC9" w:rsidRDefault="00586558" w:rsidP="00586558">
            <w:pPr>
              <w:autoSpaceDE w:val="0"/>
              <w:autoSpaceDN w:val="0"/>
              <w:adjustRightInd w:val="0"/>
              <w:spacing w:before="0" w:after="0"/>
              <w:ind w:right="-108"/>
              <w:jc w:val="center"/>
              <w:rPr>
                <w:rFonts w:eastAsia="Calibri" w:cs="Arial"/>
                <w:bCs/>
                <w:spacing w:val="-5"/>
                <w:sz w:val="18"/>
                <w:szCs w:val="18"/>
                <w:lang w:val="es-ES"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2B85ECC4" w14:textId="77777777" w:rsidR="00586558" w:rsidRPr="00023BC9" w:rsidRDefault="00586558" w:rsidP="00586558">
            <w:pPr>
              <w:autoSpaceDE w:val="0"/>
              <w:autoSpaceDN w:val="0"/>
              <w:adjustRightInd w:val="0"/>
              <w:spacing w:before="0" w:after="0"/>
              <w:ind w:right="-108"/>
              <w:jc w:val="center"/>
              <w:rPr>
                <w:rFonts w:eastAsia="Calibri" w:cs="Arial"/>
                <w:bCs/>
                <w:spacing w:val="-5"/>
                <w:sz w:val="18"/>
                <w:szCs w:val="18"/>
                <w:lang w:val="es-ES" w:eastAsia="en-US"/>
              </w:rPr>
            </w:pPr>
            <w:r w:rsidRPr="00023BC9">
              <w:rPr>
                <w:rFonts w:eastAsia="Calibri" w:cs="Arial"/>
                <w:bCs/>
                <w:spacing w:val="-5"/>
                <w:sz w:val="18"/>
                <w:szCs w:val="18"/>
                <w:lang w:val="es-ES" w:eastAsia="en-US"/>
              </w:rPr>
              <w:t>X</w:t>
            </w:r>
          </w:p>
        </w:tc>
        <w:tc>
          <w:tcPr>
            <w:tcW w:w="3401" w:type="dxa"/>
            <w:tcBorders>
              <w:top w:val="single" w:sz="4" w:space="0" w:color="000000"/>
              <w:left w:val="single" w:sz="4" w:space="0" w:color="000000"/>
              <w:bottom w:val="single" w:sz="4" w:space="0" w:color="000000"/>
              <w:right w:val="single" w:sz="4" w:space="0" w:color="000000"/>
            </w:tcBorders>
            <w:vAlign w:val="center"/>
          </w:tcPr>
          <w:p w14:paraId="187D211F" w14:textId="77777777" w:rsidR="00DA0C96" w:rsidRDefault="004770C8" w:rsidP="00DA0C96">
            <w:pPr>
              <w:autoSpaceDE w:val="0"/>
              <w:autoSpaceDN w:val="0"/>
              <w:adjustRightInd w:val="0"/>
              <w:spacing w:before="0" w:after="0"/>
              <w:rPr>
                <w:rFonts w:eastAsia="Calibri" w:cs="Arial"/>
                <w:bCs/>
                <w:spacing w:val="-5"/>
                <w:sz w:val="18"/>
                <w:szCs w:val="18"/>
                <w:lang w:val="es-ES" w:eastAsia="en-US"/>
              </w:rPr>
            </w:pPr>
            <w:r w:rsidRPr="004770C8">
              <w:rPr>
                <w:rFonts w:eastAsia="Calibri" w:cs="Arial"/>
                <w:bCs/>
                <w:spacing w:val="-5"/>
                <w:sz w:val="18"/>
                <w:szCs w:val="18"/>
                <w:lang w:val="es-ES" w:eastAsia="en-US"/>
              </w:rPr>
              <w:t xml:space="preserve">En el caso de la propuesta regulatoria al definir el COT, dicho concepto es el que se refiere a un costo, el cual permite la recuperación de los saldos acumulados en condiciones homogéneas (i.e. para comercializadores y usuarios) y de la misma forma para cada mercado de comercialización. </w:t>
            </w:r>
          </w:p>
          <w:p w14:paraId="5F847E4E" w14:textId="77777777" w:rsidR="00DA0C96" w:rsidRDefault="00DA0C96" w:rsidP="00DA0C96">
            <w:pPr>
              <w:autoSpaceDE w:val="0"/>
              <w:autoSpaceDN w:val="0"/>
              <w:adjustRightInd w:val="0"/>
              <w:spacing w:before="0" w:after="0"/>
              <w:rPr>
                <w:rFonts w:eastAsia="Calibri" w:cs="Arial"/>
                <w:bCs/>
                <w:spacing w:val="-5"/>
                <w:sz w:val="18"/>
                <w:szCs w:val="18"/>
                <w:lang w:val="es-ES" w:eastAsia="en-US"/>
              </w:rPr>
            </w:pPr>
          </w:p>
          <w:p w14:paraId="4BD8E887" w14:textId="5D2E97DA" w:rsidR="00586558" w:rsidRPr="00023BC9" w:rsidRDefault="004770C8" w:rsidP="00E32035">
            <w:pPr>
              <w:autoSpaceDE w:val="0"/>
              <w:autoSpaceDN w:val="0"/>
              <w:adjustRightInd w:val="0"/>
              <w:spacing w:before="0" w:after="0"/>
              <w:rPr>
                <w:rFonts w:eastAsia="Calibri" w:cs="Arial"/>
                <w:bCs/>
                <w:spacing w:val="-5"/>
                <w:sz w:val="18"/>
                <w:szCs w:val="18"/>
                <w:lang w:val="es-ES" w:eastAsia="en-US"/>
              </w:rPr>
            </w:pPr>
            <w:r w:rsidRPr="004770C8">
              <w:rPr>
                <w:rFonts w:eastAsia="Calibri" w:cs="Arial"/>
                <w:bCs/>
                <w:spacing w:val="-5"/>
                <w:sz w:val="18"/>
                <w:szCs w:val="18"/>
                <w:lang w:val="es-ES" w:eastAsia="en-US"/>
              </w:rPr>
              <w:t>Ejemplo de esto es que el COT no es negociable para los comercializadores en cada mercado de comercialización.</w:t>
            </w:r>
          </w:p>
        </w:tc>
        <w:tc>
          <w:tcPr>
            <w:tcW w:w="1843" w:type="dxa"/>
            <w:tcBorders>
              <w:top w:val="single" w:sz="4" w:space="0" w:color="000000"/>
              <w:left w:val="single" w:sz="4" w:space="0" w:color="000000"/>
              <w:bottom w:val="single" w:sz="4" w:space="0" w:color="000000"/>
              <w:right w:val="single" w:sz="4" w:space="0" w:color="000000"/>
            </w:tcBorders>
            <w:vAlign w:val="center"/>
          </w:tcPr>
          <w:p w14:paraId="759A0A34" w14:textId="77777777" w:rsidR="00586558" w:rsidRDefault="00B42F06" w:rsidP="00586558">
            <w:pPr>
              <w:autoSpaceDE w:val="0"/>
              <w:autoSpaceDN w:val="0"/>
              <w:adjustRightInd w:val="0"/>
              <w:spacing w:before="0" w:after="0"/>
              <w:ind w:right="-108"/>
              <w:jc w:val="center"/>
              <w:rPr>
                <w:rFonts w:eastAsia="Calibri" w:cs="Arial"/>
                <w:bCs/>
                <w:spacing w:val="-5"/>
                <w:sz w:val="18"/>
                <w:szCs w:val="18"/>
                <w:lang w:val="es-ES" w:eastAsia="en-US"/>
              </w:rPr>
            </w:pPr>
            <w:r>
              <w:rPr>
                <w:rFonts w:eastAsia="Calibri" w:cs="Arial"/>
                <w:bCs/>
                <w:spacing w:val="-5"/>
                <w:sz w:val="18"/>
                <w:szCs w:val="18"/>
                <w:lang w:val="es-ES" w:eastAsia="en-US"/>
              </w:rPr>
              <w:t xml:space="preserve">El tratamiento regulatorio que hace la propuesta </w:t>
            </w:r>
            <w:r w:rsidR="001354EE">
              <w:rPr>
                <w:rFonts w:eastAsia="Calibri" w:cs="Arial"/>
                <w:bCs/>
                <w:spacing w:val="-5"/>
                <w:sz w:val="18"/>
                <w:szCs w:val="18"/>
                <w:lang w:val="es-ES" w:eastAsia="en-US"/>
              </w:rPr>
              <w:t xml:space="preserve">es </w:t>
            </w:r>
            <w:r w:rsidR="00F95E40">
              <w:rPr>
                <w:rFonts w:eastAsia="Calibri" w:cs="Arial"/>
                <w:bCs/>
                <w:spacing w:val="-5"/>
                <w:sz w:val="18"/>
                <w:szCs w:val="18"/>
                <w:lang w:val="es-ES" w:eastAsia="en-US"/>
              </w:rPr>
              <w:t xml:space="preserve">el mismo para los comercializadores que cuentan con saldos acumulados de opción tarifaria frente a otros comercializadores en relación con el </w:t>
            </w:r>
            <w:r w:rsidR="00B63A4A">
              <w:rPr>
                <w:rFonts w:eastAsia="Calibri" w:cs="Arial"/>
                <w:bCs/>
                <w:spacing w:val="-5"/>
                <w:sz w:val="18"/>
                <w:szCs w:val="18"/>
                <w:lang w:val="es-ES" w:eastAsia="en-US"/>
              </w:rPr>
              <w:t xml:space="preserve">cobro, recaudo y </w:t>
            </w:r>
            <w:r w:rsidR="00A8499E">
              <w:rPr>
                <w:rFonts w:eastAsia="Calibri" w:cs="Arial"/>
                <w:bCs/>
                <w:spacing w:val="-5"/>
                <w:sz w:val="18"/>
                <w:szCs w:val="18"/>
                <w:lang w:val="es-ES" w:eastAsia="en-US"/>
              </w:rPr>
              <w:t>transferencia del COT.</w:t>
            </w:r>
          </w:p>
          <w:p w14:paraId="432BF88A" w14:textId="77777777" w:rsidR="00181420" w:rsidRDefault="00181420" w:rsidP="00586558">
            <w:pPr>
              <w:autoSpaceDE w:val="0"/>
              <w:autoSpaceDN w:val="0"/>
              <w:adjustRightInd w:val="0"/>
              <w:spacing w:before="0" w:after="0"/>
              <w:ind w:right="-108"/>
              <w:jc w:val="center"/>
              <w:rPr>
                <w:rFonts w:eastAsia="Calibri" w:cs="Arial"/>
                <w:bCs/>
                <w:spacing w:val="-5"/>
                <w:sz w:val="18"/>
                <w:szCs w:val="18"/>
                <w:lang w:val="es-ES" w:eastAsia="en-US"/>
              </w:rPr>
            </w:pPr>
          </w:p>
          <w:p w14:paraId="5B5D6E44" w14:textId="6486BBCE" w:rsidR="00181420" w:rsidRPr="00023BC9" w:rsidRDefault="00AC700F" w:rsidP="00586558">
            <w:pPr>
              <w:autoSpaceDE w:val="0"/>
              <w:autoSpaceDN w:val="0"/>
              <w:adjustRightInd w:val="0"/>
              <w:spacing w:before="0" w:after="0"/>
              <w:ind w:right="-108"/>
              <w:jc w:val="center"/>
              <w:rPr>
                <w:rFonts w:eastAsia="Calibri" w:cs="Arial"/>
                <w:bCs/>
                <w:spacing w:val="-5"/>
                <w:sz w:val="18"/>
                <w:szCs w:val="18"/>
                <w:lang w:val="es-ES" w:eastAsia="en-US"/>
              </w:rPr>
            </w:pPr>
            <w:r>
              <w:rPr>
                <w:rFonts w:eastAsia="Calibri" w:cs="Arial"/>
                <w:bCs/>
                <w:spacing w:val="-5"/>
                <w:sz w:val="18"/>
                <w:szCs w:val="18"/>
                <w:lang w:val="es-ES" w:eastAsia="en-US"/>
              </w:rPr>
              <w:t>El mismo tratamiento sobre el COT</w:t>
            </w:r>
            <w:r w:rsidR="00181420">
              <w:rPr>
                <w:rFonts w:eastAsia="Calibri" w:cs="Arial"/>
                <w:bCs/>
                <w:spacing w:val="-5"/>
                <w:sz w:val="18"/>
                <w:szCs w:val="18"/>
                <w:lang w:val="es-ES" w:eastAsia="en-US"/>
              </w:rPr>
              <w:t xml:space="preserve"> opera para los comercializadores que quieran participar en mercados nuevos </w:t>
            </w:r>
            <w:r w:rsidR="005A7E80">
              <w:rPr>
                <w:rFonts w:eastAsia="Calibri" w:cs="Arial"/>
                <w:bCs/>
                <w:spacing w:val="-5"/>
                <w:sz w:val="18"/>
                <w:szCs w:val="18"/>
                <w:lang w:val="es-ES" w:eastAsia="en-US"/>
              </w:rPr>
              <w:t>frente a los</w:t>
            </w:r>
            <w:r w:rsidR="00430E38">
              <w:rPr>
                <w:rFonts w:eastAsia="Calibri" w:cs="Arial"/>
                <w:bCs/>
                <w:spacing w:val="-5"/>
                <w:sz w:val="18"/>
                <w:szCs w:val="18"/>
                <w:lang w:val="es-ES" w:eastAsia="en-US"/>
              </w:rPr>
              <w:t xml:space="preserve"> comercializadores que ya participan en estos.</w:t>
            </w:r>
            <w:r w:rsidR="005A7E80">
              <w:rPr>
                <w:rFonts w:eastAsia="Calibri" w:cs="Arial"/>
                <w:bCs/>
                <w:spacing w:val="-5"/>
                <w:sz w:val="18"/>
                <w:szCs w:val="18"/>
                <w:lang w:val="es-ES" w:eastAsia="en-US"/>
              </w:rPr>
              <w:t xml:space="preserve"> </w:t>
            </w:r>
          </w:p>
        </w:tc>
      </w:tr>
      <w:tr w:rsidR="00AE47DC" w:rsidRPr="00023BC9" w14:paraId="3417F497" w14:textId="77777777" w:rsidTr="00092FBC">
        <w:trPr>
          <w:cantSplit/>
        </w:trPr>
        <w:tc>
          <w:tcPr>
            <w:tcW w:w="845" w:type="dxa"/>
            <w:tcBorders>
              <w:top w:val="single" w:sz="4" w:space="0" w:color="000000"/>
              <w:left w:val="single" w:sz="4" w:space="0" w:color="000000"/>
              <w:bottom w:val="single" w:sz="4" w:space="0" w:color="000000"/>
              <w:right w:val="single" w:sz="4" w:space="0" w:color="000000"/>
            </w:tcBorders>
            <w:hideMark/>
          </w:tcPr>
          <w:p w14:paraId="26234AF4" w14:textId="77777777" w:rsidR="00586558" w:rsidRPr="00023BC9" w:rsidRDefault="00586558" w:rsidP="00586558">
            <w:pPr>
              <w:autoSpaceDE w:val="0"/>
              <w:autoSpaceDN w:val="0"/>
              <w:adjustRightInd w:val="0"/>
              <w:spacing w:before="0" w:after="0"/>
              <w:ind w:right="-108"/>
              <w:rPr>
                <w:rFonts w:eastAsia="Calibri" w:cs="Arial"/>
                <w:bCs/>
                <w:spacing w:val="-5"/>
                <w:sz w:val="18"/>
                <w:szCs w:val="18"/>
                <w:lang w:val="es-ES" w:eastAsia="en-US"/>
              </w:rPr>
            </w:pPr>
            <w:r w:rsidRPr="00023BC9">
              <w:rPr>
                <w:rFonts w:eastAsia="Calibri" w:cs="Arial"/>
                <w:bCs/>
                <w:spacing w:val="-5"/>
                <w:sz w:val="18"/>
                <w:szCs w:val="18"/>
                <w:lang w:val="es-ES" w:eastAsia="en-US"/>
              </w:rPr>
              <w:t>1.6.2</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32FF4B0F" w14:textId="77777777" w:rsidR="00586558" w:rsidRPr="00023BC9" w:rsidRDefault="00586558" w:rsidP="00586558">
            <w:pPr>
              <w:autoSpaceDE w:val="0"/>
              <w:autoSpaceDN w:val="0"/>
              <w:adjustRightInd w:val="0"/>
              <w:spacing w:before="0" w:after="0"/>
              <w:ind w:right="19"/>
              <w:jc w:val="left"/>
              <w:rPr>
                <w:rFonts w:eastAsia="Calibri" w:cs="Arial"/>
                <w:bCs/>
                <w:spacing w:val="-5"/>
                <w:sz w:val="18"/>
                <w:szCs w:val="18"/>
                <w:lang w:val="es-ES" w:eastAsia="en-US"/>
              </w:rPr>
            </w:pPr>
            <w:r w:rsidRPr="00023BC9">
              <w:rPr>
                <w:rFonts w:eastAsia="Calibri" w:cs="Arial"/>
                <w:bCs/>
                <w:spacing w:val="-5"/>
                <w:sz w:val="18"/>
                <w:szCs w:val="18"/>
                <w:lang w:val="es-ES" w:eastAsia="en-US"/>
              </w:rPr>
              <w:t>Para unas empresas en relación con otras cuando el conjunto ya opera en uno o varios mercados relevantes relacionados.</w:t>
            </w:r>
          </w:p>
        </w:tc>
        <w:tc>
          <w:tcPr>
            <w:tcW w:w="426" w:type="dxa"/>
            <w:tcBorders>
              <w:top w:val="single" w:sz="4" w:space="0" w:color="000000"/>
              <w:left w:val="single" w:sz="4" w:space="0" w:color="000000"/>
              <w:bottom w:val="single" w:sz="4" w:space="0" w:color="000000"/>
              <w:right w:val="single" w:sz="4" w:space="0" w:color="000000"/>
            </w:tcBorders>
            <w:vAlign w:val="center"/>
          </w:tcPr>
          <w:p w14:paraId="06EF3ED1" w14:textId="77777777" w:rsidR="00586558" w:rsidRPr="00023BC9" w:rsidRDefault="00586558" w:rsidP="00586558">
            <w:pPr>
              <w:autoSpaceDE w:val="0"/>
              <w:autoSpaceDN w:val="0"/>
              <w:adjustRightInd w:val="0"/>
              <w:spacing w:before="0" w:after="0"/>
              <w:ind w:right="-108"/>
              <w:jc w:val="center"/>
              <w:rPr>
                <w:rFonts w:eastAsia="Calibri" w:cs="Arial"/>
                <w:bCs/>
                <w:spacing w:val="-5"/>
                <w:sz w:val="18"/>
                <w:szCs w:val="18"/>
                <w:lang w:val="es-ES"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23498C87" w14:textId="77777777" w:rsidR="00586558" w:rsidRPr="00023BC9" w:rsidRDefault="00586558" w:rsidP="00586558">
            <w:pPr>
              <w:autoSpaceDE w:val="0"/>
              <w:autoSpaceDN w:val="0"/>
              <w:adjustRightInd w:val="0"/>
              <w:spacing w:before="0" w:after="0"/>
              <w:ind w:right="-108"/>
              <w:jc w:val="center"/>
              <w:rPr>
                <w:rFonts w:eastAsia="Calibri" w:cs="Arial"/>
                <w:bCs/>
                <w:spacing w:val="-5"/>
                <w:sz w:val="18"/>
                <w:szCs w:val="18"/>
                <w:lang w:val="es-ES" w:eastAsia="en-US"/>
              </w:rPr>
            </w:pPr>
            <w:r w:rsidRPr="00023BC9">
              <w:rPr>
                <w:rFonts w:eastAsia="Calibri" w:cs="Arial"/>
                <w:bCs/>
                <w:spacing w:val="-5"/>
                <w:sz w:val="18"/>
                <w:szCs w:val="18"/>
                <w:lang w:val="es-ES" w:eastAsia="en-US"/>
              </w:rPr>
              <w:t>X</w:t>
            </w:r>
          </w:p>
        </w:tc>
        <w:tc>
          <w:tcPr>
            <w:tcW w:w="3401" w:type="dxa"/>
            <w:tcBorders>
              <w:top w:val="single" w:sz="4" w:space="0" w:color="000000"/>
              <w:left w:val="single" w:sz="4" w:space="0" w:color="000000"/>
              <w:bottom w:val="single" w:sz="4" w:space="0" w:color="000000"/>
              <w:right w:val="single" w:sz="4" w:space="0" w:color="000000"/>
            </w:tcBorders>
            <w:vAlign w:val="center"/>
          </w:tcPr>
          <w:p w14:paraId="4D7923FF" w14:textId="77777777" w:rsidR="007E147D" w:rsidRDefault="007E147D" w:rsidP="007E147D">
            <w:pPr>
              <w:autoSpaceDE w:val="0"/>
              <w:autoSpaceDN w:val="0"/>
              <w:adjustRightInd w:val="0"/>
              <w:spacing w:before="0" w:after="0"/>
              <w:rPr>
                <w:rFonts w:eastAsia="Calibri" w:cs="Arial"/>
                <w:bCs/>
                <w:spacing w:val="-5"/>
                <w:sz w:val="18"/>
                <w:szCs w:val="18"/>
                <w:lang w:val="es-ES" w:eastAsia="en-US"/>
              </w:rPr>
            </w:pPr>
            <w:r w:rsidRPr="007E147D">
              <w:rPr>
                <w:rFonts w:eastAsia="Calibri" w:cs="Arial"/>
                <w:bCs/>
                <w:spacing w:val="-5"/>
                <w:sz w:val="18"/>
                <w:szCs w:val="18"/>
                <w:lang w:val="es-ES" w:eastAsia="en-US"/>
              </w:rPr>
              <w:t xml:space="preserve">En el caso de la propuesta regulatoria al definir el COT, dicho concepto es el que se refiere a un costo, el cual permite la recuperación de los saldos acumulados en condiciones homogéneas (i.e. para comercializadores y usuarios) y de la misma forma para cada mercado de comercialización. </w:t>
            </w:r>
          </w:p>
          <w:p w14:paraId="283E6939" w14:textId="77777777" w:rsidR="007E147D" w:rsidRDefault="007E147D" w:rsidP="007E147D">
            <w:pPr>
              <w:autoSpaceDE w:val="0"/>
              <w:autoSpaceDN w:val="0"/>
              <w:adjustRightInd w:val="0"/>
              <w:spacing w:before="0" w:after="0"/>
              <w:rPr>
                <w:rFonts w:eastAsia="Calibri" w:cs="Arial"/>
                <w:bCs/>
                <w:spacing w:val="-5"/>
                <w:sz w:val="18"/>
                <w:szCs w:val="18"/>
                <w:lang w:val="es-ES" w:eastAsia="en-US"/>
              </w:rPr>
            </w:pPr>
          </w:p>
          <w:p w14:paraId="57A0DE26" w14:textId="4271F12F" w:rsidR="00586558" w:rsidRPr="00023BC9" w:rsidRDefault="007E147D" w:rsidP="00E32035">
            <w:pPr>
              <w:autoSpaceDE w:val="0"/>
              <w:autoSpaceDN w:val="0"/>
              <w:adjustRightInd w:val="0"/>
              <w:spacing w:before="0" w:after="0"/>
              <w:rPr>
                <w:rFonts w:eastAsia="Calibri" w:cs="Arial"/>
                <w:bCs/>
                <w:spacing w:val="-5"/>
                <w:sz w:val="18"/>
                <w:szCs w:val="18"/>
                <w:lang w:val="es-ES" w:eastAsia="en-US"/>
              </w:rPr>
            </w:pPr>
            <w:r w:rsidRPr="007E147D">
              <w:rPr>
                <w:rFonts w:eastAsia="Calibri" w:cs="Arial"/>
                <w:bCs/>
                <w:spacing w:val="-5"/>
                <w:sz w:val="18"/>
                <w:szCs w:val="18"/>
                <w:lang w:val="es-ES" w:eastAsia="en-US"/>
              </w:rPr>
              <w:t>Ejemplo de esto es que el COT no es negociable para los comercializadores en cada mercado de comercialización.</w:t>
            </w:r>
          </w:p>
        </w:tc>
        <w:tc>
          <w:tcPr>
            <w:tcW w:w="1843" w:type="dxa"/>
            <w:tcBorders>
              <w:top w:val="single" w:sz="4" w:space="0" w:color="000000"/>
              <w:left w:val="single" w:sz="4" w:space="0" w:color="000000"/>
              <w:bottom w:val="single" w:sz="4" w:space="0" w:color="000000"/>
              <w:right w:val="single" w:sz="4" w:space="0" w:color="000000"/>
            </w:tcBorders>
            <w:vAlign w:val="center"/>
          </w:tcPr>
          <w:p w14:paraId="36431ABA" w14:textId="77777777" w:rsidR="007E147D" w:rsidRDefault="007E147D" w:rsidP="007E147D">
            <w:pPr>
              <w:autoSpaceDE w:val="0"/>
              <w:autoSpaceDN w:val="0"/>
              <w:adjustRightInd w:val="0"/>
              <w:spacing w:before="0" w:after="0"/>
              <w:ind w:right="-108"/>
              <w:jc w:val="center"/>
              <w:rPr>
                <w:rFonts w:eastAsia="Calibri" w:cs="Arial"/>
                <w:bCs/>
                <w:spacing w:val="-5"/>
                <w:sz w:val="18"/>
                <w:szCs w:val="18"/>
                <w:lang w:val="es-ES" w:eastAsia="en-US"/>
              </w:rPr>
            </w:pPr>
            <w:r>
              <w:rPr>
                <w:rFonts w:eastAsia="Calibri" w:cs="Arial"/>
                <w:bCs/>
                <w:spacing w:val="-5"/>
                <w:sz w:val="18"/>
                <w:szCs w:val="18"/>
                <w:lang w:val="es-ES" w:eastAsia="en-US"/>
              </w:rPr>
              <w:t>El tratamiento regulatorio que hace la propuesta es el mismo para los comercializadores que cuentan con saldos acumulados de opción tarifaria frente a otros comercializadores en relación con el cobro, recaudo y transferencia del COT.</w:t>
            </w:r>
          </w:p>
          <w:p w14:paraId="47652DE2" w14:textId="77777777" w:rsidR="007E147D" w:rsidRDefault="007E147D" w:rsidP="007E147D">
            <w:pPr>
              <w:autoSpaceDE w:val="0"/>
              <w:autoSpaceDN w:val="0"/>
              <w:adjustRightInd w:val="0"/>
              <w:spacing w:before="0" w:after="0"/>
              <w:ind w:right="-108"/>
              <w:jc w:val="center"/>
              <w:rPr>
                <w:rFonts w:eastAsia="Calibri" w:cs="Arial"/>
                <w:bCs/>
                <w:spacing w:val="-5"/>
                <w:sz w:val="18"/>
                <w:szCs w:val="18"/>
                <w:lang w:val="es-ES" w:eastAsia="en-US"/>
              </w:rPr>
            </w:pPr>
          </w:p>
          <w:p w14:paraId="5177401B" w14:textId="082214F3" w:rsidR="00586558" w:rsidRPr="00023BC9" w:rsidRDefault="00586558" w:rsidP="007E147D">
            <w:pPr>
              <w:autoSpaceDE w:val="0"/>
              <w:autoSpaceDN w:val="0"/>
              <w:adjustRightInd w:val="0"/>
              <w:spacing w:before="0" w:after="0"/>
              <w:ind w:right="-108"/>
              <w:jc w:val="center"/>
              <w:rPr>
                <w:rFonts w:eastAsia="Calibri" w:cs="Arial"/>
                <w:bCs/>
                <w:spacing w:val="-5"/>
                <w:sz w:val="18"/>
                <w:szCs w:val="18"/>
                <w:lang w:val="es-ES" w:eastAsia="en-US"/>
              </w:rPr>
            </w:pPr>
          </w:p>
        </w:tc>
      </w:tr>
      <w:tr w:rsidR="00AE47DC" w:rsidRPr="00023BC9" w14:paraId="0D4D2C89" w14:textId="77777777" w:rsidTr="00092FBC">
        <w:trPr>
          <w:cantSplit/>
        </w:trPr>
        <w:tc>
          <w:tcPr>
            <w:tcW w:w="845" w:type="dxa"/>
            <w:tcBorders>
              <w:top w:val="single" w:sz="4" w:space="0" w:color="000000"/>
              <w:left w:val="single" w:sz="4" w:space="0" w:color="000000"/>
              <w:bottom w:val="single" w:sz="4" w:space="0" w:color="000000"/>
              <w:right w:val="single" w:sz="4" w:space="0" w:color="000000"/>
            </w:tcBorders>
            <w:hideMark/>
          </w:tcPr>
          <w:p w14:paraId="32422D53" w14:textId="77777777" w:rsidR="00A632E5" w:rsidRPr="00023BC9" w:rsidRDefault="00A632E5" w:rsidP="00A632E5">
            <w:pPr>
              <w:autoSpaceDE w:val="0"/>
              <w:autoSpaceDN w:val="0"/>
              <w:adjustRightInd w:val="0"/>
              <w:spacing w:before="0" w:after="0"/>
              <w:ind w:right="-108"/>
              <w:rPr>
                <w:rFonts w:eastAsia="Calibri" w:cs="Arial"/>
                <w:bCs/>
                <w:spacing w:val="-5"/>
                <w:sz w:val="18"/>
                <w:szCs w:val="18"/>
                <w:lang w:val="es-ES" w:eastAsia="en-US"/>
              </w:rPr>
            </w:pPr>
            <w:r w:rsidRPr="00023BC9">
              <w:rPr>
                <w:rFonts w:eastAsia="Calibri" w:cs="Arial"/>
                <w:bCs/>
                <w:spacing w:val="-5"/>
                <w:sz w:val="18"/>
                <w:szCs w:val="18"/>
                <w:lang w:val="es-ES" w:eastAsia="en-US"/>
              </w:rPr>
              <w:lastRenderedPageBreak/>
              <w:t>2ª.</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2FD192F5" w14:textId="77777777" w:rsidR="00A632E5" w:rsidRPr="00023BC9" w:rsidRDefault="00A632E5" w:rsidP="00A632E5">
            <w:pPr>
              <w:autoSpaceDE w:val="0"/>
              <w:autoSpaceDN w:val="0"/>
              <w:adjustRightInd w:val="0"/>
              <w:spacing w:before="0" w:after="0"/>
              <w:ind w:right="19"/>
              <w:jc w:val="left"/>
              <w:rPr>
                <w:rFonts w:eastAsia="Calibri" w:cs="Arial"/>
                <w:bCs/>
                <w:spacing w:val="-5"/>
                <w:sz w:val="18"/>
                <w:szCs w:val="18"/>
                <w:lang w:val="es-ES" w:eastAsia="en-US"/>
              </w:rPr>
            </w:pPr>
            <w:r w:rsidRPr="00023BC9">
              <w:rPr>
                <w:rFonts w:eastAsia="Calibri" w:cs="Arial"/>
                <w:bCs/>
                <w:spacing w:val="-5"/>
                <w:sz w:val="18"/>
                <w:szCs w:val="18"/>
                <w:lang w:val="es-ES" w:eastAsia="en-US"/>
              </w:rPr>
              <w:t>¿La regulación limita la capacidad de las empresas para competir en uno o varios mercados relevantes relacionados?</w:t>
            </w:r>
          </w:p>
          <w:p w14:paraId="15FF97A0" w14:textId="77777777" w:rsidR="00A632E5" w:rsidRPr="00023BC9" w:rsidRDefault="00A632E5" w:rsidP="00A632E5">
            <w:pPr>
              <w:autoSpaceDE w:val="0"/>
              <w:autoSpaceDN w:val="0"/>
              <w:adjustRightInd w:val="0"/>
              <w:spacing w:before="0" w:after="0"/>
              <w:ind w:right="19"/>
              <w:jc w:val="left"/>
              <w:rPr>
                <w:rFonts w:eastAsia="Calibri" w:cs="Arial"/>
                <w:bCs/>
                <w:spacing w:val="-5"/>
                <w:sz w:val="18"/>
                <w:szCs w:val="18"/>
                <w:lang w:val="es-ES" w:eastAsia="en-US"/>
              </w:rPr>
            </w:pPr>
            <w:r w:rsidRPr="00023BC9">
              <w:rPr>
                <w:rFonts w:eastAsia="Calibri" w:cs="Arial"/>
                <w:bCs/>
                <w:spacing w:val="-5"/>
                <w:sz w:val="18"/>
                <w:szCs w:val="18"/>
                <w:lang w:val="es-ES" w:eastAsia="en-US"/>
              </w:rPr>
              <w:t>Es posible que esto suceda, entre otros eventos, cuando el proyecto de acto:</w:t>
            </w:r>
          </w:p>
        </w:tc>
        <w:tc>
          <w:tcPr>
            <w:tcW w:w="426" w:type="dxa"/>
            <w:tcBorders>
              <w:top w:val="single" w:sz="4" w:space="0" w:color="000000"/>
              <w:left w:val="single" w:sz="4" w:space="0" w:color="000000"/>
              <w:bottom w:val="single" w:sz="4" w:space="0" w:color="000000"/>
              <w:right w:val="single" w:sz="4" w:space="0" w:color="000000"/>
            </w:tcBorders>
            <w:vAlign w:val="center"/>
          </w:tcPr>
          <w:p w14:paraId="096887B5" w14:textId="77777777" w:rsidR="00A632E5" w:rsidRPr="00023BC9" w:rsidRDefault="00A632E5" w:rsidP="00A632E5">
            <w:pPr>
              <w:autoSpaceDE w:val="0"/>
              <w:autoSpaceDN w:val="0"/>
              <w:adjustRightInd w:val="0"/>
              <w:spacing w:before="0" w:after="0"/>
              <w:ind w:right="-108"/>
              <w:jc w:val="center"/>
              <w:rPr>
                <w:rFonts w:eastAsia="Calibri" w:cs="Arial"/>
                <w:bCs/>
                <w:spacing w:val="-5"/>
                <w:sz w:val="18"/>
                <w:szCs w:val="18"/>
                <w:lang w:val="es-ES"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0A2ACF2C" w14:textId="77777777" w:rsidR="00A632E5" w:rsidRPr="00023BC9" w:rsidRDefault="00A632E5" w:rsidP="00A632E5">
            <w:pPr>
              <w:autoSpaceDE w:val="0"/>
              <w:autoSpaceDN w:val="0"/>
              <w:adjustRightInd w:val="0"/>
              <w:spacing w:before="0" w:after="0"/>
              <w:ind w:right="-108"/>
              <w:jc w:val="center"/>
              <w:rPr>
                <w:rFonts w:eastAsia="Calibri" w:cs="Arial"/>
                <w:bCs/>
                <w:spacing w:val="-5"/>
                <w:sz w:val="18"/>
                <w:szCs w:val="18"/>
                <w:lang w:val="es-ES" w:eastAsia="en-US"/>
              </w:rPr>
            </w:pPr>
          </w:p>
        </w:tc>
        <w:tc>
          <w:tcPr>
            <w:tcW w:w="3401" w:type="dxa"/>
            <w:tcBorders>
              <w:top w:val="single" w:sz="4" w:space="0" w:color="000000"/>
              <w:left w:val="single" w:sz="4" w:space="0" w:color="000000"/>
              <w:bottom w:val="single" w:sz="4" w:space="0" w:color="000000"/>
              <w:right w:val="single" w:sz="4" w:space="0" w:color="000000"/>
            </w:tcBorders>
            <w:vAlign w:val="center"/>
          </w:tcPr>
          <w:p w14:paraId="2EA41C85" w14:textId="2BF34EA6" w:rsidR="00A632E5" w:rsidRPr="003B4971" w:rsidRDefault="00A632E5" w:rsidP="00E32035">
            <w:pPr>
              <w:autoSpaceDE w:val="0"/>
              <w:autoSpaceDN w:val="0"/>
              <w:adjustRightInd w:val="0"/>
              <w:spacing w:before="0" w:after="0"/>
              <w:rPr>
                <w:rFonts w:eastAsia="Calibri" w:cs="Arial"/>
                <w:bCs/>
                <w:spacing w:val="-5"/>
                <w:sz w:val="18"/>
                <w:szCs w:val="18"/>
                <w:lang w:val="es-ES" w:eastAsia="en-US"/>
              </w:rPr>
            </w:pPr>
            <w:r w:rsidRPr="003B4971">
              <w:rPr>
                <w:rFonts w:eastAsia="Calibri" w:cs="Arial"/>
                <w:bCs/>
                <w:spacing w:val="-5"/>
                <w:sz w:val="18"/>
                <w:szCs w:val="18"/>
                <w:lang w:val="es-ES" w:eastAsia="en-US"/>
              </w:rPr>
              <w:t xml:space="preserve">Resueltas las preguntas de los numerales </w:t>
            </w:r>
            <w:r>
              <w:rPr>
                <w:rFonts w:eastAsia="Calibri" w:cs="Arial"/>
                <w:bCs/>
                <w:spacing w:val="-5"/>
                <w:sz w:val="18"/>
                <w:szCs w:val="18"/>
                <w:lang w:val="es-ES" w:eastAsia="en-US"/>
              </w:rPr>
              <w:t>2</w:t>
            </w:r>
            <w:r w:rsidRPr="003B4971">
              <w:rPr>
                <w:rFonts w:eastAsia="Calibri" w:cs="Arial"/>
                <w:bCs/>
                <w:spacing w:val="-5"/>
                <w:sz w:val="18"/>
                <w:szCs w:val="18"/>
                <w:lang w:val="es-ES" w:eastAsia="en-US"/>
              </w:rPr>
              <w:t xml:space="preserve">.1. a </w:t>
            </w:r>
            <w:r>
              <w:rPr>
                <w:rFonts w:eastAsia="Calibri" w:cs="Arial"/>
                <w:bCs/>
                <w:spacing w:val="-5"/>
                <w:sz w:val="18"/>
                <w:szCs w:val="18"/>
                <w:lang w:val="es-ES" w:eastAsia="en-US"/>
              </w:rPr>
              <w:t>2.8</w:t>
            </w:r>
            <w:r w:rsidRPr="003B4971">
              <w:rPr>
                <w:rFonts w:eastAsia="Calibri" w:cs="Arial"/>
                <w:bCs/>
                <w:spacing w:val="-5"/>
                <w:sz w:val="18"/>
                <w:szCs w:val="18"/>
                <w:lang w:val="es-ES" w:eastAsia="en-US"/>
              </w:rPr>
              <w:t xml:space="preserve">, el resultado de </w:t>
            </w:r>
            <w:proofErr w:type="gramStart"/>
            <w:r w:rsidRPr="003B4971">
              <w:rPr>
                <w:rFonts w:eastAsia="Calibri" w:cs="Arial"/>
                <w:bCs/>
                <w:spacing w:val="-5"/>
                <w:sz w:val="18"/>
                <w:szCs w:val="18"/>
                <w:lang w:val="es-ES" w:eastAsia="en-US"/>
              </w:rPr>
              <w:t>las mismas</w:t>
            </w:r>
            <w:proofErr w:type="gramEnd"/>
            <w:r w:rsidRPr="003B4971">
              <w:rPr>
                <w:rFonts w:eastAsia="Calibri" w:cs="Arial"/>
                <w:bCs/>
                <w:spacing w:val="-5"/>
                <w:sz w:val="18"/>
                <w:szCs w:val="18"/>
                <w:lang w:val="es-ES" w:eastAsia="en-US"/>
              </w:rPr>
              <w:t xml:space="preserve"> no genera como consecuencia la limitación </w:t>
            </w:r>
            <w:r>
              <w:rPr>
                <w:rFonts w:eastAsia="Calibri" w:cs="Arial"/>
                <w:bCs/>
                <w:spacing w:val="-5"/>
                <w:sz w:val="18"/>
                <w:szCs w:val="18"/>
                <w:lang w:val="es-ES" w:eastAsia="en-US"/>
              </w:rPr>
              <w:t>a la capacidad de los</w:t>
            </w:r>
            <w:r w:rsidRPr="003B4971">
              <w:rPr>
                <w:rFonts w:eastAsia="Calibri" w:cs="Arial"/>
                <w:bCs/>
                <w:spacing w:val="-5"/>
                <w:sz w:val="18"/>
                <w:szCs w:val="18"/>
                <w:lang w:val="es-ES" w:eastAsia="en-US"/>
              </w:rPr>
              <w:t xml:space="preserve"> comercializadores de </w:t>
            </w:r>
            <w:r>
              <w:rPr>
                <w:rFonts w:eastAsia="Calibri" w:cs="Arial"/>
                <w:bCs/>
                <w:spacing w:val="-5"/>
                <w:sz w:val="18"/>
                <w:szCs w:val="18"/>
                <w:lang w:val="es-ES" w:eastAsia="en-US"/>
              </w:rPr>
              <w:t xml:space="preserve">competir en mercados de </w:t>
            </w:r>
            <w:r w:rsidRPr="003B4971">
              <w:rPr>
                <w:rFonts w:eastAsia="Calibri" w:cs="Arial"/>
                <w:bCs/>
                <w:spacing w:val="-5"/>
                <w:sz w:val="18"/>
                <w:szCs w:val="18"/>
                <w:lang w:val="es-ES" w:eastAsia="en-US"/>
              </w:rPr>
              <w:t xml:space="preserve">comercialización existentes. </w:t>
            </w:r>
          </w:p>
          <w:p w14:paraId="68E6E64B" w14:textId="77777777" w:rsidR="00A632E5" w:rsidRPr="003B4971" w:rsidRDefault="00A632E5" w:rsidP="00E32035">
            <w:pPr>
              <w:autoSpaceDE w:val="0"/>
              <w:autoSpaceDN w:val="0"/>
              <w:adjustRightInd w:val="0"/>
              <w:spacing w:before="0" w:after="0"/>
              <w:rPr>
                <w:rFonts w:eastAsia="Calibri" w:cs="Arial"/>
                <w:bCs/>
                <w:spacing w:val="-5"/>
                <w:sz w:val="18"/>
                <w:szCs w:val="18"/>
                <w:lang w:val="es-ES" w:eastAsia="en-US"/>
              </w:rPr>
            </w:pPr>
          </w:p>
          <w:p w14:paraId="275A891A" w14:textId="45951656" w:rsidR="00A632E5" w:rsidRPr="00023BC9" w:rsidRDefault="00A632E5" w:rsidP="00E32035">
            <w:pPr>
              <w:autoSpaceDE w:val="0"/>
              <w:autoSpaceDN w:val="0"/>
              <w:adjustRightInd w:val="0"/>
              <w:spacing w:before="0" w:after="0"/>
              <w:rPr>
                <w:rFonts w:eastAsia="Calibri" w:cs="Arial"/>
                <w:bCs/>
                <w:spacing w:val="-5"/>
                <w:sz w:val="18"/>
                <w:szCs w:val="18"/>
                <w:lang w:val="es-ES" w:eastAsia="en-US"/>
              </w:rPr>
            </w:pPr>
            <w:r w:rsidRPr="003B4971">
              <w:rPr>
                <w:rFonts w:eastAsia="Calibri" w:cs="Arial"/>
                <w:bCs/>
                <w:spacing w:val="-5"/>
                <w:sz w:val="18"/>
                <w:szCs w:val="18"/>
                <w:lang w:val="es-ES" w:eastAsia="en-US"/>
              </w:rPr>
              <w:t>Los comercializadores pueden llevar a cabo la participación en la actividad de comercialización como se ha venido haciendo hasta hoy</w:t>
            </w:r>
            <w:r>
              <w:rPr>
                <w:rFonts w:eastAsia="Calibri" w:cs="Arial"/>
                <w:bCs/>
                <w:spacing w:val="-5"/>
                <w:sz w:val="18"/>
                <w:szCs w:val="18"/>
                <w:lang w:val="es-ES" w:eastAsia="en-US"/>
              </w:rPr>
              <w:t>.</w:t>
            </w:r>
          </w:p>
        </w:tc>
        <w:tc>
          <w:tcPr>
            <w:tcW w:w="1843" w:type="dxa"/>
            <w:tcBorders>
              <w:top w:val="single" w:sz="4" w:space="0" w:color="000000"/>
              <w:left w:val="single" w:sz="4" w:space="0" w:color="000000"/>
              <w:bottom w:val="single" w:sz="4" w:space="0" w:color="000000"/>
              <w:right w:val="single" w:sz="4" w:space="0" w:color="000000"/>
            </w:tcBorders>
            <w:vAlign w:val="center"/>
          </w:tcPr>
          <w:p w14:paraId="574A742C" w14:textId="6C001130" w:rsidR="00A632E5" w:rsidRPr="00023BC9" w:rsidRDefault="000A1F9D" w:rsidP="00A632E5">
            <w:pPr>
              <w:autoSpaceDE w:val="0"/>
              <w:autoSpaceDN w:val="0"/>
              <w:adjustRightInd w:val="0"/>
              <w:spacing w:before="0" w:after="0"/>
              <w:ind w:right="-108"/>
              <w:jc w:val="center"/>
              <w:rPr>
                <w:rFonts w:eastAsia="Calibri" w:cs="Arial"/>
                <w:bCs/>
                <w:spacing w:val="-5"/>
                <w:sz w:val="18"/>
                <w:szCs w:val="18"/>
                <w:lang w:val="es-ES" w:eastAsia="en-US"/>
              </w:rPr>
            </w:pPr>
            <w:r w:rsidRPr="000A1F9D">
              <w:rPr>
                <w:rFonts w:eastAsia="Calibri" w:cs="Arial"/>
                <w:bCs/>
                <w:spacing w:val="-5"/>
                <w:sz w:val="18"/>
                <w:szCs w:val="18"/>
                <w:lang w:val="es-ES" w:eastAsia="en-US"/>
              </w:rPr>
              <w:t>No se identifican observaciones adicionales a las expuestas en la explicación que da respuesta a la pregunta.</w:t>
            </w:r>
          </w:p>
        </w:tc>
      </w:tr>
      <w:tr w:rsidR="00AE47DC" w:rsidRPr="00023BC9" w14:paraId="1E650C88" w14:textId="77777777" w:rsidTr="00092FBC">
        <w:trPr>
          <w:cantSplit/>
        </w:trPr>
        <w:tc>
          <w:tcPr>
            <w:tcW w:w="845" w:type="dxa"/>
            <w:tcBorders>
              <w:top w:val="single" w:sz="4" w:space="0" w:color="000000"/>
              <w:left w:val="single" w:sz="4" w:space="0" w:color="000000"/>
              <w:bottom w:val="single" w:sz="4" w:space="0" w:color="000000"/>
              <w:right w:val="single" w:sz="4" w:space="0" w:color="000000"/>
            </w:tcBorders>
            <w:hideMark/>
          </w:tcPr>
          <w:p w14:paraId="655460B2" w14:textId="77777777" w:rsidR="00656BD3" w:rsidRPr="00023BC9" w:rsidRDefault="00656BD3" w:rsidP="00656BD3">
            <w:pPr>
              <w:autoSpaceDE w:val="0"/>
              <w:autoSpaceDN w:val="0"/>
              <w:adjustRightInd w:val="0"/>
              <w:spacing w:before="0" w:after="0"/>
              <w:ind w:right="-108"/>
              <w:rPr>
                <w:rFonts w:eastAsia="Calibri" w:cs="Arial"/>
                <w:bCs/>
                <w:spacing w:val="-5"/>
                <w:sz w:val="18"/>
                <w:szCs w:val="18"/>
                <w:lang w:val="es-ES" w:eastAsia="en-US"/>
              </w:rPr>
            </w:pPr>
            <w:r w:rsidRPr="00023BC9">
              <w:rPr>
                <w:rFonts w:eastAsia="Calibri" w:cs="Arial"/>
                <w:bCs/>
                <w:spacing w:val="-5"/>
                <w:sz w:val="18"/>
                <w:szCs w:val="18"/>
                <w:lang w:val="es-ES" w:eastAsia="en-US"/>
              </w:rPr>
              <w:t>2.1</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710E7D6E" w14:textId="77777777" w:rsidR="00656BD3" w:rsidRPr="00023BC9" w:rsidRDefault="00656BD3" w:rsidP="00656BD3">
            <w:pPr>
              <w:autoSpaceDE w:val="0"/>
              <w:autoSpaceDN w:val="0"/>
              <w:adjustRightInd w:val="0"/>
              <w:spacing w:before="0" w:after="0"/>
              <w:ind w:right="19"/>
              <w:jc w:val="left"/>
              <w:rPr>
                <w:rFonts w:eastAsia="Calibri" w:cs="Arial"/>
                <w:bCs/>
                <w:spacing w:val="-5"/>
                <w:sz w:val="18"/>
                <w:szCs w:val="18"/>
                <w:lang w:val="es-ES" w:eastAsia="en-US"/>
              </w:rPr>
            </w:pPr>
            <w:r w:rsidRPr="00023BC9">
              <w:rPr>
                <w:rFonts w:eastAsia="Calibri" w:cs="Arial"/>
                <w:bCs/>
                <w:spacing w:val="-5"/>
                <w:sz w:val="18"/>
                <w:szCs w:val="18"/>
                <w:lang w:val="es-ES" w:eastAsia="en-US"/>
              </w:rPr>
              <w:t>Controla o influye sustancialmente sobre los precios de los bienes o servicios o el nivel de producción.</w:t>
            </w:r>
          </w:p>
        </w:tc>
        <w:tc>
          <w:tcPr>
            <w:tcW w:w="426" w:type="dxa"/>
            <w:tcBorders>
              <w:top w:val="single" w:sz="4" w:space="0" w:color="000000"/>
              <w:left w:val="single" w:sz="4" w:space="0" w:color="000000"/>
              <w:bottom w:val="single" w:sz="4" w:space="0" w:color="000000"/>
              <w:right w:val="single" w:sz="4" w:space="0" w:color="000000"/>
            </w:tcBorders>
            <w:vAlign w:val="center"/>
          </w:tcPr>
          <w:p w14:paraId="53EECCF6" w14:textId="77777777" w:rsidR="00656BD3" w:rsidRPr="00023BC9" w:rsidRDefault="00656BD3" w:rsidP="00656BD3">
            <w:pPr>
              <w:autoSpaceDE w:val="0"/>
              <w:autoSpaceDN w:val="0"/>
              <w:adjustRightInd w:val="0"/>
              <w:spacing w:before="0" w:after="0"/>
              <w:ind w:right="-108"/>
              <w:jc w:val="center"/>
              <w:rPr>
                <w:rFonts w:eastAsia="Calibri" w:cs="Arial"/>
                <w:bCs/>
                <w:spacing w:val="-5"/>
                <w:sz w:val="18"/>
                <w:szCs w:val="18"/>
                <w:lang w:val="es-ES"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0B39D7B5" w14:textId="77777777" w:rsidR="00656BD3" w:rsidRPr="00023BC9" w:rsidRDefault="00656BD3" w:rsidP="00656BD3">
            <w:pPr>
              <w:autoSpaceDE w:val="0"/>
              <w:autoSpaceDN w:val="0"/>
              <w:adjustRightInd w:val="0"/>
              <w:spacing w:before="0" w:after="0"/>
              <w:ind w:right="-108"/>
              <w:jc w:val="center"/>
              <w:rPr>
                <w:rFonts w:eastAsia="Calibri" w:cs="Arial"/>
                <w:bCs/>
                <w:spacing w:val="-5"/>
                <w:sz w:val="18"/>
                <w:szCs w:val="18"/>
                <w:highlight w:val="yellow"/>
                <w:lang w:val="es-ES" w:eastAsia="en-US"/>
              </w:rPr>
            </w:pPr>
            <w:r w:rsidRPr="00023BC9">
              <w:rPr>
                <w:rFonts w:eastAsia="Calibri" w:cs="Arial"/>
                <w:bCs/>
                <w:spacing w:val="-5"/>
                <w:sz w:val="18"/>
                <w:szCs w:val="18"/>
                <w:lang w:val="es-ES" w:eastAsia="en-US"/>
              </w:rPr>
              <w:t>X</w:t>
            </w:r>
          </w:p>
        </w:tc>
        <w:tc>
          <w:tcPr>
            <w:tcW w:w="3401" w:type="dxa"/>
            <w:tcBorders>
              <w:top w:val="single" w:sz="4" w:space="0" w:color="000000"/>
              <w:left w:val="single" w:sz="4" w:space="0" w:color="000000"/>
              <w:bottom w:val="single" w:sz="4" w:space="0" w:color="000000"/>
              <w:right w:val="single" w:sz="4" w:space="0" w:color="000000"/>
            </w:tcBorders>
            <w:vAlign w:val="center"/>
          </w:tcPr>
          <w:p w14:paraId="068CE71C" w14:textId="3B1A6659" w:rsidR="00656BD3" w:rsidRPr="00141AD5" w:rsidRDefault="00656BD3" w:rsidP="00E32035">
            <w:pPr>
              <w:autoSpaceDE w:val="0"/>
              <w:autoSpaceDN w:val="0"/>
              <w:adjustRightInd w:val="0"/>
              <w:spacing w:before="0" w:after="0"/>
              <w:rPr>
                <w:rFonts w:eastAsia="Calibri" w:cs="Arial"/>
                <w:bCs/>
                <w:spacing w:val="-5"/>
                <w:sz w:val="18"/>
                <w:szCs w:val="18"/>
                <w:lang w:val="es-ES" w:eastAsia="en-US"/>
              </w:rPr>
            </w:pPr>
            <w:r w:rsidRPr="00141AD5">
              <w:rPr>
                <w:rFonts w:eastAsia="Calibri" w:cs="Arial"/>
                <w:bCs/>
                <w:spacing w:val="-5"/>
                <w:sz w:val="18"/>
                <w:szCs w:val="18"/>
                <w:lang w:val="es-ES" w:eastAsia="en-US"/>
              </w:rPr>
              <w:t>El control de precios ya existe a través de la Resolución CREG 119 de 2007, en cuanto a lo que es posible de trasladar en la fórmula tarifaria del servicio público domiciliario de energía eléctrica. No hay una intervención de precios adicional</w:t>
            </w:r>
            <w:r>
              <w:rPr>
                <w:rFonts w:eastAsia="Calibri" w:cs="Arial"/>
                <w:bCs/>
                <w:spacing w:val="-5"/>
                <w:sz w:val="18"/>
                <w:szCs w:val="18"/>
                <w:lang w:val="es-ES" w:eastAsia="en-US"/>
              </w:rPr>
              <w:t xml:space="preserve"> a la ya prevista en la regulación, entendida como los costos que pueden trasladarse al usuario final</w:t>
            </w:r>
            <w:r w:rsidRPr="00141AD5">
              <w:rPr>
                <w:rFonts w:eastAsia="Calibri" w:cs="Arial"/>
                <w:bCs/>
                <w:spacing w:val="-5"/>
                <w:sz w:val="18"/>
                <w:szCs w:val="18"/>
                <w:lang w:val="es-ES" w:eastAsia="en-US"/>
              </w:rPr>
              <w:t xml:space="preserve">. </w:t>
            </w:r>
          </w:p>
          <w:p w14:paraId="668ADB49" w14:textId="77777777" w:rsidR="00656BD3" w:rsidRPr="00141AD5" w:rsidRDefault="00656BD3" w:rsidP="00E32035">
            <w:pPr>
              <w:autoSpaceDE w:val="0"/>
              <w:autoSpaceDN w:val="0"/>
              <w:adjustRightInd w:val="0"/>
              <w:spacing w:before="0" w:after="0"/>
              <w:rPr>
                <w:rFonts w:eastAsia="Calibri" w:cs="Arial"/>
                <w:bCs/>
                <w:spacing w:val="-5"/>
                <w:sz w:val="18"/>
                <w:szCs w:val="18"/>
                <w:lang w:val="es-ES" w:eastAsia="en-US"/>
              </w:rPr>
            </w:pPr>
          </w:p>
          <w:p w14:paraId="780B6F9C" w14:textId="69EE04B1" w:rsidR="00656BD3" w:rsidRPr="00141AD5" w:rsidRDefault="00656BD3" w:rsidP="00E32035">
            <w:pPr>
              <w:autoSpaceDE w:val="0"/>
              <w:autoSpaceDN w:val="0"/>
              <w:adjustRightInd w:val="0"/>
              <w:spacing w:before="0" w:after="0"/>
              <w:rPr>
                <w:rFonts w:eastAsia="Calibri" w:cs="Arial"/>
                <w:bCs/>
                <w:spacing w:val="-5"/>
                <w:sz w:val="18"/>
                <w:szCs w:val="18"/>
                <w:lang w:val="es-ES" w:eastAsia="en-US"/>
              </w:rPr>
            </w:pPr>
            <w:r>
              <w:rPr>
                <w:rFonts w:eastAsia="Calibri" w:cs="Arial"/>
                <w:bCs/>
                <w:spacing w:val="-5"/>
                <w:sz w:val="18"/>
                <w:szCs w:val="18"/>
                <w:lang w:val="es-ES" w:eastAsia="en-US"/>
              </w:rPr>
              <w:t>El control o influencia ya existente y sobre el que versa la propuesta regulatoria</w:t>
            </w:r>
            <w:r w:rsidRPr="00141AD5">
              <w:rPr>
                <w:rFonts w:eastAsia="Calibri" w:cs="Arial"/>
                <w:bCs/>
                <w:spacing w:val="-5"/>
                <w:sz w:val="18"/>
                <w:szCs w:val="18"/>
                <w:lang w:val="es-ES" w:eastAsia="en-US"/>
              </w:rPr>
              <w:t xml:space="preserve"> no limita la capacidad de competir </w:t>
            </w:r>
            <w:r>
              <w:rPr>
                <w:rFonts w:eastAsia="Calibri" w:cs="Arial"/>
                <w:bCs/>
                <w:spacing w:val="-5"/>
                <w:sz w:val="18"/>
                <w:szCs w:val="18"/>
                <w:lang w:val="es-ES" w:eastAsia="en-US"/>
              </w:rPr>
              <w:t xml:space="preserve">en los mercados de comercialización por parte de los comercializadores, </w:t>
            </w:r>
            <w:r w:rsidRPr="00141AD5">
              <w:rPr>
                <w:rFonts w:eastAsia="Calibri" w:cs="Arial"/>
                <w:bCs/>
                <w:spacing w:val="-5"/>
                <w:sz w:val="18"/>
                <w:szCs w:val="18"/>
                <w:lang w:val="es-ES" w:eastAsia="en-US"/>
              </w:rPr>
              <w:t>sino que permite que esta se haga en igualdad de condiciones</w:t>
            </w:r>
            <w:r>
              <w:rPr>
                <w:rFonts w:eastAsia="Calibri" w:cs="Arial"/>
                <w:bCs/>
                <w:spacing w:val="-5"/>
                <w:sz w:val="18"/>
                <w:szCs w:val="18"/>
                <w:lang w:val="es-ES" w:eastAsia="en-US"/>
              </w:rPr>
              <w:t xml:space="preserve"> para estos agentes</w:t>
            </w:r>
            <w:r w:rsidRPr="00141AD5">
              <w:rPr>
                <w:rFonts w:eastAsia="Calibri" w:cs="Arial"/>
                <w:bCs/>
                <w:spacing w:val="-5"/>
                <w:sz w:val="18"/>
                <w:szCs w:val="18"/>
                <w:lang w:val="es-ES" w:eastAsia="en-US"/>
              </w:rPr>
              <w:t xml:space="preserve">. </w:t>
            </w:r>
          </w:p>
          <w:p w14:paraId="69C5A9AF" w14:textId="77777777" w:rsidR="00656BD3" w:rsidRPr="00141AD5" w:rsidRDefault="00656BD3" w:rsidP="00E32035">
            <w:pPr>
              <w:autoSpaceDE w:val="0"/>
              <w:autoSpaceDN w:val="0"/>
              <w:adjustRightInd w:val="0"/>
              <w:spacing w:before="0" w:after="0"/>
              <w:rPr>
                <w:rFonts w:eastAsia="Calibri" w:cs="Arial"/>
                <w:bCs/>
                <w:spacing w:val="-5"/>
                <w:sz w:val="18"/>
                <w:szCs w:val="18"/>
                <w:lang w:val="es-ES" w:eastAsia="en-US"/>
              </w:rPr>
            </w:pPr>
          </w:p>
          <w:p w14:paraId="4514E22B" w14:textId="5F0B7BB5" w:rsidR="00656BD3" w:rsidRPr="00023BC9" w:rsidRDefault="00656BD3" w:rsidP="00E32035">
            <w:pPr>
              <w:autoSpaceDE w:val="0"/>
              <w:autoSpaceDN w:val="0"/>
              <w:adjustRightInd w:val="0"/>
              <w:spacing w:before="0" w:after="0"/>
              <w:rPr>
                <w:rFonts w:eastAsia="Calibri" w:cs="Arial"/>
                <w:bCs/>
                <w:spacing w:val="-5"/>
                <w:sz w:val="18"/>
                <w:szCs w:val="18"/>
                <w:highlight w:val="yellow"/>
                <w:lang w:val="es-ES" w:eastAsia="en-US"/>
              </w:rPr>
            </w:pPr>
            <w:r w:rsidRPr="00141AD5">
              <w:rPr>
                <w:rFonts w:eastAsia="Calibri" w:cs="Arial"/>
                <w:bCs/>
                <w:spacing w:val="-5"/>
                <w:sz w:val="18"/>
                <w:szCs w:val="18"/>
                <w:lang w:val="es-ES" w:eastAsia="en-US"/>
              </w:rPr>
              <w:t>La propuesta regulatoria no impone precios para proteger agentes, sino para la protección de usuarios, principalmente demanda regulada de acuerdo con los objetivos perseguidos.</w:t>
            </w:r>
          </w:p>
        </w:tc>
        <w:tc>
          <w:tcPr>
            <w:tcW w:w="1843" w:type="dxa"/>
            <w:tcBorders>
              <w:top w:val="single" w:sz="4" w:space="0" w:color="000000"/>
              <w:left w:val="single" w:sz="4" w:space="0" w:color="000000"/>
              <w:bottom w:val="single" w:sz="4" w:space="0" w:color="000000"/>
              <w:right w:val="single" w:sz="4" w:space="0" w:color="000000"/>
            </w:tcBorders>
            <w:vAlign w:val="center"/>
          </w:tcPr>
          <w:p w14:paraId="468C9F47" w14:textId="7D6F0B76" w:rsidR="00157F5F" w:rsidRPr="00157F5F" w:rsidRDefault="00157F5F" w:rsidP="00157F5F">
            <w:pPr>
              <w:autoSpaceDE w:val="0"/>
              <w:autoSpaceDN w:val="0"/>
              <w:adjustRightInd w:val="0"/>
              <w:spacing w:before="0" w:after="0"/>
              <w:ind w:right="33"/>
              <w:jc w:val="center"/>
              <w:rPr>
                <w:rFonts w:eastAsia="Calibri" w:cs="Arial"/>
                <w:bCs/>
                <w:spacing w:val="-5"/>
                <w:sz w:val="18"/>
                <w:szCs w:val="18"/>
                <w:lang w:val="es-ES" w:eastAsia="en-US"/>
              </w:rPr>
            </w:pPr>
            <w:r>
              <w:rPr>
                <w:rFonts w:eastAsia="Calibri" w:cs="Arial"/>
                <w:bCs/>
                <w:spacing w:val="-5"/>
                <w:sz w:val="18"/>
                <w:szCs w:val="18"/>
                <w:lang w:val="es-ES" w:eastAsia="en-US"/>
              </w:rPr>
              <w:t xml:space="preserve">La propuesta regulatoria no impone </w:t>
            </w:r>
            <w:r w:rsidRPr="00157F5F">
              <w:rPr>
                <w:rFonts w:eastAsia="Calibri" w:cs="Arial"/>
                <w:bCs/>
                <w:spacing w:val="-5"/>
                <w:sz w:val="18"/>
                <w:szCs w:val="18"/>
                <w:lang w:val="es-ES" w:eastAsia="en-US"/>
              </w:rPr>
              <w:t>precios mínimos como respuesta a una competencia extremadamente</w:t>
            </w:r>
          </w:p>
          <w:p w14:paraId="3AB142FA" w14:textId="77777777" w:rsidR="00656BD3" w:rsidRDefault="005A28C5" w:rsidP="00157F5F">
            <w:pPr>
              <w:autoSpaceDE w:val="0"/>
              <w:autoSpaceDN w:val="0"/>
              <w:adjustRightInd w:val="0"/>
              <w:spacing w:before="0" w:after="0"/>
              <w:ind w:right="33"/>
              <w:jc w:val="center"/>
              <w:rPr>
                <w:rFonts w:eastAsia="Calibri" w:cs="Arial"/>
                <w:bCs/>
                <w:spacing w:val="-5"/>
                <w:sz w:val="18"/>
                <w:szCs w:val="18"/>
                <w:lang w:val="es-ES" w:eastAsia="en-US"/>
              </w:rPr>
            </w:pPr>
            <w:r w:rsidRPr="00157F5F">
              <w:rPr>
                <w:rFonts w:eastAsia="Calibri" w:cs="Arial"/>
                <w:bCs/>
                <w:spacing w:val="-5"/>
                <w:sz w:val="18"/>
                <w:szCs w:val="18"/>
                <w:lang w:val="es-ES" w:eastAsia="en-US"/>
              </w:rPr>
              <w:t>V</w:t>
            </w:r>
            <w:r w:rsidR="00157F5F" w:rsidRPr="00157F5F">
              <w:rPr>
                <w:rFonts w:eastAsia="Calibri" w:cs="Arial"/>
                <w:bCs/>
                <w:spacing w:val="-5"/>
                <w:sz w:val="18"/>
                <w:szCs w:val="18"/>
                <w:lang w:val="es-ES" w:eastAsia="en-US"/>
              </w:rPr>
              <w:t>igorosa</w:t>
            </w:r>
            <w:r>
              <w:rPr>
                <w:rFonts w:eastAsia="Calibri" w:cs="Arial"/>
                <w:bCs/>
                <w:spacing w:val="-5"/>
                <w:sz w:val="18"/>
                <w:szCs w:val="18"/>
                <w:lang w:val="es-ES" w:eastAsia="en-US"/>
              </w:rPr>
              <w:t xml:space="preserve"> en los mercados de comercialización</w:t>
            </w:r>
            <w:r w:rsidR="00157F5F" w:rsidRPr="00157F5F">
              <w:rPr>
                <w:rFonts w:eastAsia="Calibri" w:cs="Arial"/>
                <w:bCs/>
                <w:spacing w:val="-5"/>
                <w:sz w:val="18"/>
                <w:szCs w:val="18"/>
                <w:lang w:val="es-ES" w:eastAsia="en-US"/>
              </w:rPr>
              <w:t>.</w:t>
            </w:r>
          </w:p>
          <w:p w14:paraId="690DA731" w14:textId="77777777" w:rsidR="005A28C5" w:rsidRDefault="005A28C5" w:rsidP="00157F5F">
            <w:pPr>
              <w:autoSpaceDE w:val="0"/>
              <w:autoSpaceDN w:val="0"/>
              <w:adjustRightInd w:val="0"/>
              <w:spacing w:before="0" w:after="0"/>
              <w:ind w:right="33"/>
              <w:jc w:val="center"/>
              <w:rPr>
                <w:rFonts w:eastAsia="Calibri" w:cs="Arial"/>
                <w:bCs/>
                <w:spacing w:val="-5"/>
                <w:sz w:val="18"/>
                <w:szCs w:val="18"/>
                <w:lang w:val="es-ES" w:eastAsia="en-US"/>
              </w:rPr>
            </w:pPr>
          </w:p>
          <w:p w14:paraId="58EC19C0" w14:textId="21F9D66D" w:rsidR="00F27489" w:rsidRPr="00F27489" w:rsidRDefault="005A28C5" w:rsidP="00F27489">
            <w:pPr>
              <w:autoSpaceDE w:val="0"/>
              <w:autoSpaceDN w:val="0"/>
              <w:adjustRightInd w:val="0"/>
              <w:spacing w:before="0" w:after="0"/>
              <w:ind w:right="33"/>
              <w:jc w:val="center"/>
              <w:rPr>
                <w:rFonts w:eastAsia="Calibri" w:cs="Arial"/>
                <w:bCs/>
                <w:spacing w:val="-5"/>
                <w:sz w:val="18"/>
                <w:szCs w:val="18"/>
                <w:lang w:val="es-ES" w:eastAsia="en-US"/>
              </w:rPr>
            </w:pPr>
            <w:r>
              <w:rPr>
                <w:rFonts w:eastAsia="Calibri" w:cs="Arial"/>
                <w:bCs/>
                <w:spacing w:val="-5"/>
                <w:sz w:val="18"/>
                <w:szCs w:val="18"/>
                <w:lang w:val="es-ES" w:eastAsia="en-US"/>
              </w:rPr>
              <w:t xml:space="preserve">Adicionalmente, </w:t>
            </w:r>
            <w:r w:rsidR="00F27489">
              <w:rPr>
                <w:rFonts w:eastAsia="Calibri" w:cs="Arial"/>
                <w:bCs/>
                <w:spacing w:val="-5"/>
                <w:sz w:val="18"/>
                <w:szCs w:val="18"/>
                <w:lang w:val="es-ES" w:eastAsia="en-US"/>
              </w:rPr>
              <w:t xml:space="preserve">a través de la propuesta no se </w:t>
            </w:r>
            <w:r w:rsidR="00F27489" w:rsidRPr="00F27489">
              <w:rPr>
                <w:rFonts w:eastAsia="Calibri" w:cs="Arial"/>
                <w:bCs/>
                <w:spacing w:val="-5"/>
                <w:sz w:val="18"/>
                <w:szCs w:val="18"/>
                <w:lang w:val="es-ES" w:eastAsia="en-US"/>
              </w:rPr>
              <w:t>regulan los precios en los sectores</w:t>
            </w:r>
          </w:p>
          <w:p w14:paraId="4D3553ED" w14:textId="129FBC94" w:rsidR="005A28C5" w:rsidRPr="00023BC9" w:rsidRDefault="00F27489" w:rsidP="00F27489">
            <w:pPr>
              <w:autoSpaceDE w:val="0"/>
              <w:autoSpaceDN w:val="0"/>
              <w:adjustRightInd w:val="0"/>
              <w:spacing w:before="0" w:after="0"/>
              <w:ind w:right="33"/>
              <w:jc w:val="center"/>
              <w:rPr>
                <w:rFonts w:eastAsia="Calibri" w:cs="Arial"/>
                <w:bCs/>
                <w:spacing w:val="-5"/>
                <w:sz w:val="18"/>
                <w:szCs w:val="18"/>
                <w:highlight w:val="yellow"/>
                <w:lang w:val="es-ES" w:eastAsia="en-US"/>
              </w:rPr>
            </w:pPr>
            <w:r w:rsidRPr="00F27489">
              <w:rPr>
                <w:rFonts w:eastAsia="Calibri" w:cs="Arial"/>
                <w:bCs/>
                <w:spacing w:val="-5"/>
                <w:sz w:val="18"/>
                <w:szCs w:val="18"/>
                <w:lang w:val="es-ES" w:eastAsia="en-US"/>
              </w:rPr>
              <w:t>tradicionalmente monopolizados</w:t>
            </w:r>
            <w:r>
              <w:rPr>
                <w:rFonts w:eastAsia="Calibri" w:cs="Arial"/>
                <w:bCs/>
                <w:spacing w:val="-5"/>
                <w:sz w:val="18"/>
                <w:szCs w:val="18"/>
                <w:lang w:val="es-ES" w:eastAsia="en-US"/>
              </w:rPr>
              <w:t>. La actividad de comercialización es una actividad desarrollada en competencia a partir de la Ley 142 de 1994.</w:t>
            </w:r>
          </w:p>
        </w:tc>
      </w:tr>
      <w:tr w:rsidR="00AE47DC" w:rsidRPr="00023BC9" w14:paraId="308027B2" w14:textId="77777777" w:rsidTr="00092FBC">
        <w:trPr>
          <w:cantSplit/>
        </w:trPr>
        <w:tc>
          <w:tcPr>
            <w:tcW w:w="845" w:type="dxa"/>
            <w:tcBorders>
              <w:top w:val="single" w:sz="4" w:space="0" w:color="000000"/>
              <w:left w:val="single" w:sz="4" w:space="0" w:color="000000"/>
              <w:bottom w:val="single" w:sz="4" w:space="0" w:color="000000"/>
              <w:right w:val="single" w:sz="4" w:space="0" w:color="000000"/>
            </w:tcBorders>
            <w:hideMark/>
          </w:tcPr>
          <w:p w14:paraId="15568A1C" w14:textId="77777777" w:rsidR="00656BD3" w:rsidRPr="00023BC9" w:rsidRDefault="00656BD3" w:rsidP="00656BD3">
            <w:pPr>
              <w:autoSpaceDE w:val="0"/>
              <w:autoSpaceDN w:val="0"/>
              <w:adjustRightInd w:val="0"/>
              <w:spacing w:before="0" w:after="0"/>
              <w:ind w:right="-108"/>
              <w:rPr>
                <w:rFonts w:eastAsia="Calibri" w:cs="Arial"/>
                <w:bCs/>
                <w:spacing w:val="-5"/>
                <w:sz w:val="18"/>
                <w:szCs w:val="18"/>
                <w:lang w:val="es-ES" w:eastAsia="en-US"/>
              </w:rPr>
            </w:pPr>
            <w:r w:rsidRPr="00023BC9">
              <w:rPr>
                <w:rFonts w:eastAsia="Calibri" w:cs="Arial"/>
                <w:bCs/>
                <w:spacing w:val="-5"/>
                <w:sz w:val="18"/>
                <w:szCs w:val="18"/>
                <w:lang w:val="es-ES" w:eastAsia="en-US"/>
              </w:rPr>
              <w:t>2.2</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33FD1775" w14:textId="77777777" w:rsidR="00656BD3" w:rsidRPr="00023BC9" w:rsidRDefault="00656BD3" w:rsidP="00656BD3">
            <w:pPr>
              <w:autoSpaceDE w:val="0"/>
              <w:autoSpaceDN w:val="0"/>
              <w:adjustRightInd w:val="0"/>
              <w:spacing w:before="0" w:after="0"/>
              <w:ind w:right="19"/>
              <w:jc w:val="left"/>
              <w:rPr>
                <w:rFonts w:eastAsia="Calibri" w:cs="Arial"/>
                <w:bCs/>
                <w:spacing w:val="-5"/>
                <w:sz w:val="18"/>
                <w:szCs w:val="18"/>
                <w:lang w:val="es-ES" w:eastAsia="en-US"/>
              </w:rPr>
            </w:pPr>
            <w:r w:rsidRPr="00023BC9">
              <w:rPr>
                <w:rFonts w:eastAsia="Calibri" w:cs="Arial"/>
                <w:bCs/>
                <w:spacing w:val="-5"/>
                <w:sz w:val="18"/>
                <w:szCs w:val="18"/>
                <w:lang w:val="es-ES" w:eastAsia="en-US"/>
              </w:rPr>
              <w:t>Limita a las empresas la posibilidad de distribuir o comercializar sus productos</w:t>
            </w:r>
          </w:p>
        </w:tc>
        <w:tc>
          <w:tcPr>
            <w:tcW w:w="426" w:type="dxa"/>
            <w:tcBorders>
              <w:top w:val="single" w:sz="4" w:space="0" w:color="000000"/>
              <w:left w:val="single" w:sz="4" w:space="0" w:color="000000"/>
              <w:bottom w:val="single" w:sz="4" w:space="0" w:color="000000"/>
              <w:right w:val="single" w:sz="4" w:space="0" w:color="000000"/>
            </w:tcBorders>
            <w:vAlign w:val="center"/>
          </w:tcPr>
          <w:p w14:paraId="0F79C1B1" w14:textId="77777777" w:rsidR="00656BD3" w:rsidRPr="00023BC9" w:rsidRDefault="00656BD3" w:rsidP="00656BD3">
            <w:pPr>
              <w:autoSpaceDE w:val="0"/>
              <w:autoSpaceDN w:val="0"/>
              <w:adjustRightInd w:val="0"/>
              <w:spacing w:before="0" w:after="0"/>
              <w:ind w:right="-108"/>
              <w:jc w:val="center"/>
              <w:rPr>
                <w:rFonts w:eastAsia="Calibri" w:cs="Arial"/>
                <w:bCs/>
                <w:spacing w:val="-5"/>
                <w:sz w:val="18"/>
                <w:szCs w:val="18"/>
                <w:lang w:val="es-ES"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4D086324" w14:textId="77777777" w:rsidR="00656BD3" w:rsidRPr="00023BC9" w:rsidRDefault="00656BD3" w:rsidP="00656BD3">
            <w:pPr>
              <w:autoSpaceDE w:val="0"/>
              <w:autoSpaceDN w:val="0"/>
              <w:adjustRightInd w:val="0"/>
              <w:spacing w:before="0" w:after="0"/>
              <w:ind w:right="-108"/>
              <w:jc w:val="center"/>
              <w:rPr>
                <w:rFonts w:eastAsia="Calibri" w:cs="Arial"/>
                <w:bCs/>
                <w:spacing w:val="-5"/>
                <w:sz w:val="18"/>
                <w:szCs w:val="18"/>
                <w:lang w:val="es-ES" w:eastAsia="en-US"/>
              </w:rPr>
            </w:pPr>
            <w:r w:rsidRPr="00023BC9">
              <w:rPr>
                <w:rFonts w:eastAsia="Calibri" w:cs="Arial"/>
                <w:bCs/>
                <w:spacing w:val="-5"/>
                <w:sz w:val="18"/>
                <w:szCs w:val="18"/>
                <w:lang w:val="es-ES" w:eastAsia="en-US"/>
              </w:rPr>
              <w:t>X</w:t>
            </w:r>
          </w:p>
        </w:tc>
        <w:tc>
          <w:tcPr>
            <w:tcW w:w="3401" w:type="dxa"/>
            <w:tcBorders>
              <w:top w:val="single" w:sz="4" w:space="0" w:color="000000"/>
              <w:left w:val="single" w:sz="4" w:space="0" w:color="000000"/>
              <w:bottom w:val="single" w:sz="4" w:space="0" w:color="000000"/>
              <w:right w:val="single" w:sz="4" w:space="0" w:color="000000"/>
            </w:tcBorders>
            <w:vAlign w:val="center"/>
          </w:tcPr>
          <w:p w14:paraId="55D02CA0" w14:textId="2A9911D3" w:rsidR="00656BD3" w:rsidRPr="00023BC9" w:rsidRDefault="00573290" w:rsidP="00E32035">
            <w:pPr>
              <w:autoSpaceDE w:val="0"/>
              <w:autoSpaceDN w:val="0"/>
              <w:adjustRightInd w:val="0"/>
              <w:spacing w:before="0" w:after="0"/>
              <w:rPr>
                <w:rFonts w:eastAsia="Calibri" w:cs="Arial"/>
                <w:bCs/>
                <w:spacing w:val="-5"/>
                <w:sz w:val="18"/>
                <w:szCs w:val="18"/>
                <w:lang w:val="es-ES" w:eastAsia="en-US"/>
              </w:rPr>
            </w:pPr>
            <w:r w:rsidRPr="00573290">
              <w:rPr>
                <w:rFonts w:eastAsia="Calibri" w:cs="Arial"/>
                <w:bCs/>
                <w:spacing w:val="-5"/>
                <w:sz w:val="18"/>
                <w:szCs w:val="18"/>
                <w:lang w:val="es-ES" w:eastAsia="en-US"/>
              </w:rPr>
              <w:t> La propuesta regulatoria no limita la capacidad de un proveedor para promover o comercializar su actividad, no se identifica que existan medidas en la regulación propuesta dirigidas a reducir efectos de publicidad falsa o engañosa o servicios considerados con un valor social negativo o que estén llevan a un a consumo excesivo.</w:t>
            </w:r>
          </w:p>
        </w:tc>
        <w:tc>
          <w:tcPr>
            <w:tcW w:w="1843" w:type="dxa"/>
            <w:tcBorders>
              <w:top w:val="single" w:sz="4" w:space="0" w:color="000000"/>
              <w:left w:val="single" w:sz="4" w:space="0" w:color="000000"/>
              <w:bottom w:val="single" w:sz="4" w:space="0" w:color="000000"/>
              <w:right w:val="single" w:sz="4" w:space="0" w:color="000000"/>
            </w:tcBorders>
            <w:vAlign w:val="center"/>
          </w:tcPr>
          <w:p w14:paraId="2E4CDA15" w14:textId="5743B8E2" w:rsidR="00656BD3" w:rsidRPr="00023BC9" w:rsidRDefault="000A1F9D" w:rsidP="00440391">
            <w:pPr>
              <w:autoSpaceDE w:val="0"/>
              <w:autoSpaceDN w:val="0"/>
              <w:adjustRightInd w:val="0"/>
              <w:spacing w:before="0" w:after="0"/>
              <w:jc w:val="center"/>
              <w:rPr>
                <w:rFonts w:eastAsia="Calibri" w:cs="Arial"/>
                <w:bCs/>
                <w:spacing w:val="-5"/>
                <w:sz w:val="18"/>
                <w:szCs w:val="18"/>
                <w:lang w:val="es-ES" w:eastAsia="en-US"/>
              </w:rPr>
            </w:pPr>
            <w:r w:rsidRPr="000A1F9D">
              <w:rPr>
                <w:rFonts w:eastAsia="Calibri" w:cs="Arial"/>
                <w:bCs/>
                <w:spacing w:val="-5"/>
                <w:sz w:val="18"/>
                <w:szCs w:val="18"/>
                <w:lang w:val="es-ES" w:eastAsia="en-US"/>
              </w:rPr>
              <w:t>No se identifican observaciones adicionales a las expuestas en la explicación que da respuesta a la pregunta.</w:t>
            </w:r>
          </w:p>
        </w:tc>
      </w:tr>
      <w:tr w:rsidR="00AE47DC" w:rsidRPr="00023BC9" w14:paraId="41F5ACF0" w14:textId="77777777" w:rsidTr="00092FBC">
        <w:trPr>
          <w:cantSplit/>
        </w:trPr>
        <w:tc>
          <w:tcPr>
            <w:tcW w:w="845" w:type="dxa"/>
            <w:tcBorders>
              <w:top w:val="single" w:sz="4" w:space="0" w:color="000000"/>
              <w:left w:val="single" w:sz="4" w:space="0" w:color="000000"/>
              <w:bottom w:val="single" w:sz="4" w:space="0" w:color="000000"/>
              <w:right w:val="single" w:sz="4" w:space="0" w:color="000000"/>
            </w:tcBorders>
            <w:hideMark/>
          </w:tcPr>
          <w:p w14:paraId="0918080D" w14:textId="77777777" w:rsidR="00435DCA" w:rsidRPr="00023BC9" w:rsidRDefault="00435DCA" w:rsidP="00435DCA">
            <w:pPr>
              <w:autoSpaceDE w:val="0"/>
              <w:autoSpaceDN w:val="0"/>
              <w:adjustRightInd w:val="0"/>
              <w:spacing w:before="0" w:after="0"/>
              <w:ind w:right="-108"/>
              <w:rPr>
                <w:rFonts w:eastAsia="Calibri" w:cs="Arial"/>
                <w:bCs/>
                <w:spacing w:val="-5"/>
                <w:sz w:val="18"/>
                <w:szCs w:val="18"/>
                <w:lang w:val="es-ES" w:eastAsia="en-US"/>
              </w:rPr>
            </w:pPr>
            <w:r w:rsidRPr="00023BC9">
              <w:rPr>
                <w:rFonts w:eastAsia="Calibri" w:cs="Arial"/>
                <w:bCs/>
                <w:spacing w:val="-5"/>
                <w:sz w:val="18"/>
                <w:szCs w:val="18"/>
                <w:lang w:val="es-ES" w:eastAsia="en-US"/>
              </w:rPr>
              <w:lastRenderedPageBreak/>
              <w:t>2.3</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79F98ECB" w14:textId="77777777" w:rsidR="00435DCA" w:rsidRPr="00023BC9" w:rsidRDefault="00435DCA" w:rsidP="00435DCA">
            <w:pPr>
              <w:autoSpaceDE w:val="0"/>
              <w:autoSpaceDN w:val="0"/>
              <w:adjustRightInd w:val="0"/>
              <w:spacing w:before="0" w:after="0"/>
              <w:ind w:right="19"/>
              <w:jc w:val="left"/>
              <w:rPr>
                <w:rFonts w:eastAsia="Calibri" w:cs="Arial"/>
                <w:bCs/>
                <w:spacing w:val="-5"/>
                <w:sz w:val="18"/>
                <w:szCs w:val="18"/>
                <w:lang w:val="es-ES" w:eastAsia="en-US"/>
              </w:rPr>
            </w:pPr>
            <w:r w:rsidRPr="00023BC9">
              <w:rPr>
                <w:rFonts w:eastAsia="Calibri" w:cs="Arial"/>
                <w:bCs/>
                <w:spacing w:val="-5"/>
                <w:sz w:val="18"/>
                <w:szCs w:val="18"/>
                <w:lang w:val="es-ES" w:eastAsia="en-US"/>
              </w:rPr>
              <w:t>Limita la libertad de las empresas para promocionar sus productos.</w:t>
            </w:r>
          </w:p>
        </w:tc>
        <w:tc>
          <w:tcPr>
            <w:tcW w:w="426" w:type="dxa"/>
            <w:tcBorders>
              <w:top w:val="single" w:sz="4" w:space="0" w:color="000000"/>
              <w:left w:val="single" w:sz="4" w:space="0" w:color="000000"/>
              <w:bottom w:val="single" w:sz="4" w:space="0" w:color="000000"/>
              <w:right w:val="single" w:sz="4" w:space="0" w:color="000000"/>
            </w:tcBorders>
            <w:vAlign w:val="center"/>
          </w:tcPr>
          <w:p w14:paraId="75E80B29" w14:textId="77777777" w:rsidR="00435DCA" w:rsidRPr="00023BC9" w:rsidRDefault="00435DCA" w:rsidP="00435DCA">
            <w:pPr>
              <w:autoSpaceDE w:val="0"/>
              <w:autoSpaceDN w:val="0"/>
              <w:adjustRightInd w:val="0"/>
              <w:spacing w:before="0" w:after="0"/>
              <w:ind w:right="-108"/>
              <w:jc w:val="center"/>
              <w:rPr>
                <w:rFonts w:eastAsia="Calibri" w:cs="Arial"/>
                <w:bCs/>
                <w:spacing w:val="-5"/>
                <w:sz w:val="18"/>
                <w:szCs w:val="18"/>
                <w:lang w:val="es-ES"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62012931" w14:textId="77777777" w:rsidR="00435DCA" w:rsidRPr="00023BC9" w:rsidRDefault="00435DCA" w:rsidP="00435DCA">
            <w:pPr>
              <w:autoSpaceDE w:val="0"/>
              <w:autoSpaceDN w:val="0"/>
              <w:adjustRightInd w:val="0"/>
              <w:spacing w:before="0" w:after="0"/>
              <w:ind w:right="-108"/>
              <w:jc w:val="center"/>
              <w:rPr>
                <w:rFonts w:eastAsia="Calibri" w:cs="Arial"/>
                <w:bCs/>
                <w:spacing w:val="-5"/>
                <w:sz w:val="18"/>
                <w:szCs w:val="18"/>
                <w:lang w:val="es-ES" w:eastAsia="en-US"/>
              </w:rPr>
            </w:pPr>
            <w:r w:rsidRPr="00023BC9">
              <w:rPr>
                <w:rFonts w:eastAsia="Calibri" w:cs="Arial"/>
                <w:bCs/>
                <w:spacing w:val="-5"/>
                <w:sz w:val="18"/>
                <w:szCs w:val="18"/>
                <w:lang w:val="es-ES" w:eastAsia="en-US"/>
              </w:rPr>
              <w:t>X</w:t>
            </w:r>
          </w:p>
        </w:tc>
        <w:tc>
          <w:tcPr>
            <w:tcW w:w="3401" w:type="dxa"/>
            <w:tcBorders>
              <w:top w:val="single" w:sz="4" w:space="0" w:color="000000"/>
              <w:left w:val="single" w:sz="4" w:space="0" w:color="000000"/>
              <w:bottom w:val="single" w:sz="4" w:space="0" w:color="000000"/>
              <w:right w:val="single" w:sz="4" w:space="0" w:color="000000"/>
            </w:tcBorders>
            <w:vAlign w:val="center"/>
          </w:tcPr>
          <w:p w14:paraId="7F6D9058" w14:textId="24D58F20" w:rsidR="00435DCA" w:rsidRPr="00E32035" w:rsidRDefault="00435DCA" w:rsidP="00E32035">
            <w:pPr>
              <w:autoSpaceDE w:val="0"/>
              <w:autoSpaceDN w:val="0"/>
              <w:adjustRightInd w:val="0"/>
              <w:spacing w:before="0" w:after="0"/>
              <w:rPr>
                <w:rFonts w:eastAsia="Calibri" w:cs="Arial"/>
                <w:bCs/>
                <w:spacing w:val="-5"/>
                <w:sz w:val="18"/>
                <w:szCs w:val="18"/>
                <w:lang w:val="es-ES" w:eastAsia="en-US"/>
              </w:rPr>
            </w:pPr>
            <w:r w:rsidRPr="00E32035">
              <w:rPr>
                <w:rFonts w:eastAsia="Calibri" w:cs="Arial"/>
                <w:bCs/>
                <w:spacing w:val="-5"/>
                <w:sz w:val="18"/>
                <w:szCs w:val="18"/>
                <w:lang w:val="es-ES" w:eastAsia="en-US"/>
              </w:rPr>
              <w:t>La propuesta regulatoria no limita la capacidad de un proveedor para promover o comercializar su actividad, no se identifica que existan medidas en la regulación propuesta dirigidas a reducir efectos de publicidad falsa o engañosa o servicios considerados con un valor social negativo o que estén llevan a un a consumo excesivo. No se identifica un efecto que desestimule de manera eficiente la diversificación de</w:t>
            </w:r>
            <w:r>
              <w:rPr>
                <w:rFonts w:eastAsia="Calibri" w:cs="Arial"/>
                <w:bCs/>
                <w:spacing w:val="-5"/>
                <w:sz w:val="18"/>
                <w:szCs w:val="18"/>
                <w:lang w:val="es-ES" w:eastAsia="en-US"/>
              </w:rPr>
              <w:t xml:space="preserve"> </w:t>
            </w:r>
            <w:r w:rsidRPr="00E32035">
              <w:rPr>
                <w:rFonts w:eastAsia="Calibri" w:cs="Arial"/>
                <w:bCs/>
                <w:spacing w:val="-5"/>
                <w:sz w:val="18"/>
                <w:szCs w:val="18"/>
                <w:lang w:val="es-ES" w:eastAsia="en-US"/>
              </w:rPr>
              <w:t>l</w:t>
            </w:r>
            <w:r>
              <w:rPr>
                <w:rFonts w:eastAsia="Calibri" w:cs="Arial"/>
                <w:bCs/>
                <w:spacing w:val="-5"/>
                <w:sz w:val="18"/>
                <w:szCs w:val="18"/>
                <w:lang w:val="es-ES" w:eastAsia="en-US"/>
              </w:rPr>
              <w:t>os</w:t>
            </w:r>
            <w:r w:rsidRPr="00E32035">
              <w:rPr>
                <w:rFonts w:eastAsia="Calibri" w:cs="Arial"/>
                <w:bCs/>
                <w:spacing w:val="-5"/>
                <w:sz w:val="18"/>
                <w:szCs w:val="18"/>
                <w:lang w:val="es-ES" w:eastAsia="en-US"/>
              </w:rPr>
              <w:t xml:space="preserve"> mercado</w:t>
            </w:r>
            <w:r>
              <w:rPr>
                <w:rFonts w:eastAsia="Calibri" w:cs="Arial"/>
                <w:bCs/>
                <w:spacing w:val="-5"/>
                <w:sz w:val="18"/>
                <w:szCs w:val="18"/>
                <w:lang w:val="es-ES" w:eastAsia="en-US"/>
              </w:rPr>
              <w:t>s de comercialización</w:t>
            </w:r>
            <w:r w:rsidRPr="00E32035">
              <w:rPr>
                <w:rFonts w:eastAsia="Calibri" w:cs="Arial"/>
                <w:bCs/>
                <w:spacing w:val="-5"/>
                <w:sz w:val="18"/>
                <w:szCs w:val="18"/>
                <w:lang w:val="es-ES" w:eastAsia="en-US"/>
              </w:rPr>
              <w:t>.</w:t>
            </w:r>
          </w:p>
          <w:p w14:paraId="206F1C1F" w14:textId="77777777" w:rsidR="00435DCA" w:rsidRDefault="00435DCA" w:rsidP="00E32035">
            <w:pPr>
              <w:autoSpaceDE w:val="0"/>
              <w:autoSpaceDN w:val="0"/>
              <w:adjustRightInd w:val="0"/>
              <w:spacing w:before="0" w:after="0"/>
              <w:rPr>
                <w:rFonts w:eastAsia="Calibri" w:cs="Arial"/>
                <w:bCs/>
                <w:spacing w:val="-5"/>
                <w:sz w:val="18"/>
                <w:szCs w:val="18"/>
                <w:lang w:val="es-ES" w:eastAsia="en-US"/>
              </w:rPr>
            </w:pPr>
          </w:p>
          <w:p w14:paraId="61961C08" w14:textId="4330803A" w:rsidR="00435DCA" w:rsidRPr="00023BC9" w:rsidRDefault="00435DCA" w:rsidP="00E32035">
            <w:pPr>
              <w:autoSpaceDE w:val="0"/>
              <w:autoSpaceDN w:val="0"/>
              <w:adjustRightInd w:val="0"/>
              <w:spacing w:before="0" w:after="0"/>
              <w:rPr>
                <w:rFonts w:eastAsia="Calibri" w:cs="Arial"/>
                <w:bCs/>
                <w:spacing w:val="-5"/>
                <w:sz w:val="18"/>
                <w:szCs w:val="18"/>
                <w:lang w:val="es-ES" w:eastAsia="en-US"/>
              </w:rPr>
            </w:pPr>
            <w:r w:rsidRPr="00E32035">
              <w:rPr>
                <w:rFonts w:eastAsia="Calibri" w:cs="Arial"/>
                <w:bCs/>
                <w:spacing w:val="-5"/>
                <w:sz w:val="18"/>
                <w:szCs w:val="18"/>
                <w:lang w:val="es-ES" w:eastAsia="en-US"/>
              </w:rPr>
              <w:t>Por el contrario</w:t>
            </w:r>
            <w:r w:rsidR="00591DA1">
              <w:rPr>
                <w:rFonts w:eastAsia="Calibri" w:cs="Arial"/>
                <w:bCs/>
                <w:spacing w:val="-5"/>
                <w:sz w:val="18"/>
                <w:szCs w:val="18"/>
                <w:lang w:val="es-ES" w:eastAsia="en-US"/>
              </w:rPr>
              <w:t>,</w:t>
            </w:r>
            <w:r w:rsidRPr="00E32035">
              <w:rPr>
                <w:rFonts w:eastAsia="Calibri" w:cs="Arial"/>
                <w:bCs/>
                <w:spacing w:val="-5"/>
                <w:sz w:val="18"/>
                <w:szCs w:val="18"/>
                <w:lang w:val="es-ES" w:eastAsia="en-US"/>
              </w:rPr>
              <w:t xml:space="preserve"> lo que se </w:t>
            </w:r>
            <w:r w:rsidR="00BD323B" w:rsidRPr="00E32035">
              <w:rPr>
                <w:rFonts w:eastAsia="Calibri" w:cs="Arial"/>
                <w:bCs/>
                <w:spacing w:val="-5"/>
                <w:sz w:val="18"/>
                <w:szCs w:val="18"/>
                <w:lang w:val="es-ES" w:eastAsia="en-US"/>
              </w:rPr>
              <w:t>está</w:t>
            </w:r>
            <w:r w:rsidRPr="00E32035">
              <w:rPr>
                <w:rFonts w:eastAsia="Calibri" w:cs="Arial"/>
                <w:bCs/>
                <w:spacing w:val="-5"/>
                <w:sz w:val="18"/>
                <w:szCs w:val="18"/>
                <w:lang w:val="es-ES" w:eastAsia="en-US"/>
              </w:rPr>
              <w:t xml:space="preserve"> haciendo es que en un mismo mercado se publique de manera transparente el COT y que ha de ser cobrado a todos los usuarios por igual, independientemente del comercializador que lo atienda</w:t>
            </w:r>
            <w:r>
              <w:rPr>
                <w:rFonts w:eastAsia="Calibri" w:cs="Arial"/>
                <w:bCs/>
                <w:spacing w:val="-5"/>
                <w:sz w:val="18"/>
                <w:szCs w:val="18"/>
                <w:lang w:val="es-ES" w:eastAsia="en-US"/>
              </w:rPr>
              <w:t>.</w:t>
            </w:r>
          </w:p>
        </w:tc>
        <w:tc>
          <w:tcPr>
            <w:tcW w:w="1843" w:type="dxa"/>
            <w:tcBorders>
              <w:top w:val="single" w:sz="4" w:space="0" w:color="000000"/>
              <w:left w:val="single" w:sz="4" w:space="0" w:color="000000"/>
              <w:bottom w:val="single" w:sz="4" w:space="0" w:color="000000"/>
              <w:right w:val="single" w:sz="4" w:space="0" w:color="000000"/>
            </w:tcBorders>
            <w:vAlign w:val="center"/>
          </w:tcPr>
          <w:p w14:paraId="56BE59F0" w14:textId="6281BB19" w:rsidR="00435DCA" w:rsidRPr="00023BC9" w:rsidRDefault="00435DCA" w:rsidP="00435DCA">
            <w:pPr>
              <w:autoSpaceDE w:val="0"/>
              <w:autoSpaceDN w:val="0"/>
              <w:adjustRightInd w:val="0"/>
              <w:spacing w:before="0" w:after="0"/>
              <w:ind w:right="-108"/>
              <w:jc w:val="center"/>
              <w:rPr>
                <w:rFonts w:eastAsia="Calibri" w:cs="Arial"/>
                <w:bCs/>
                <w:spacing w:val="-5"/>
                <w:sz w:val="18"/>
                <w:szCs w:val="18"/>
                <w:lang w:val="es-ES" w:eastAsia="en-US"/>
              </w:rPr>
            </w:pPr>
            <w:r w:rsidRPr="000A1F9D">
              <w:rPr>
                <w:rFonts w:eastAsia="Calibri" w:cs="Arial"/>
                <w:bCs/>
                <w:spacing w:val="-5"/>
                <w:sz w:val="18"/>
                <w:szCs w:val="18"/>
                <w:lang w:val="es-ES" w:eastAsia="en-US"/>
              </w:rPr>
              <w:t>No se identifican observaciones adicionales a las expuestas en la explicación que da respuesta a la pregunta.</w:t>
            </w:r>
          </w:p>
        </w:tc>
      </w:tr>
      <w:tr w:rsidR="00AE47DC" w:rsidRPr="00023BC9" w14:paraId="55659E85" w14:textId="77777777" w:rsidTr="00092FBC">
        <w:trPr>
          <w:cantSplit/>
        </w:trPr>
        <w:tc>
          <w:tcPr>
            <w:tcW w:w="845" w:type="dxa"/>
            <w:tcBorders>
              <w:top w:val="single" w:sz="4" w:space="0" w:color="000000"/>
              <w:left w:val="single" w:sz="4" w:space="0" w:color="000000"/>
              <w:bottom w:val="single" w:sz="4" w:space="0" w:color="000000"/>
              <w:right w:val="single" w:sz="4" w:space="0" w:color="000000"/>
            </w:tcBorders>
            <w:hideMark/>
          </w:tcPr>
          <w:p w14:paraId="0E81488C" w14:textId="66F036B0" w:rsidR="00075827" w:rsidRPr="00023BC9" w:rsidRDefault="00075827" w:rsidP="00075827">
            <w:pPr>
              <w:autoSpaceDE w:val="0"/>
              <w:autoSpaceDN w:val="0"/>
              <w:adjustRightInd w:val="0"/>
              <w:spacing w:before="0" w:after="0"/>
              <w:ind w:right="-108"/>
              <w:rPr>
                <w:rFonts w:eastAsia="Calibri" w:cs="Arial"/>
                <w:bCs/>
                <w:spacing w:val="-5"/>
                <w:sz w:val="18"/>
                <w:szCs w:val="18"/>
                <w:lang w:val="es-ES" w:eastAsia="en-US"/>
              </w:rPr>
            </w:pPr>
            <w:r w:rsidRPr="00023BC9">
              <w:rPr>
                <w:rFonts w:eastAsia="Calibri" w:cs="Arial"/>
                <w:bCs/>
                <w:spacing w:val="-5"/>
                <w:sz w:val="18"/>
                <w:szCs w:val="18"/>
                <w:lang w:val="es-ES" w:eastAsia="en-US"/>
              </w:rPr>
              <w:t>2.</w:t>
            </w:r>
            <w:r w:rsidR="00BA4877">
              <w:rPr>
                <w:rFonts w:eastAsia="Calibri" w:cs="Arial"/>
                <w:bCs/>
                <w:spacing w:val="-5"/>
                <w:sz w:val="18"/>
                <w:szCs w:val="18"/>
                <w:lang w:val="es-ES" w:eastAsia="en-US"/>
              </w:rPr>
              <w:t>4</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10C8E3FA" w14:textId="77777777" w:rsidR="00075827" w:rsidRPr="00023BC9" w:rsidRDefault="00075827" w:rsidP="00075827">
            <w:pPr>
              <w:autoSpaceDE w:val="0"/>
              <w:autoSpaceDN w:val="0"/>
              <w:adjustRightInd w:val="0"/>
              <w:spacing w:before="0" w:after="0"/>
              <w:ind w:right="19"/>
              <w:jc w:val="left"/>
              <w:rPr>
                <w:rFonts w:eastAsia="Calibri" w:cs="Arial"/>
                <w:bCs/>
                <w:spacing w:val="-5"/>
                <w:sz w:val="18"/>
                <w:szCs w:val="18"/>
                <w:lang w:val="es-ES" w:eastAsia="en-US"/>
              </w:rPr>
            </w:pPr>
            <w:r w:rsidRPr="00023BC9">
              <w:rPr>
                <w:rFonts w:eastAsia="Calibri" w:cs="Arial"/>
                <w:bCs/>
                <w:spacing w:val="-5"/>
                <w:sz w:val="18"/>
                <w:szCs w:val="18"/>
                <w:lang w:val="es-ES" w:eastAsia="en-US"/>
              </w:rPr>
              <w:t>Otorga a los operadores actuales en el mercado un trato diferenciado con respecto a las empresas entrantes.</w:t>
            </w:r>
          </w:p>
        </w:tc>
        <w:tc>
          <w:tcPr>
            <w:tcW w:w="426" w:type="dxa"/>
            <w:tcBorders>
              <w:top w:val="single" w:sz="4" w:space="0" w:color="000000"/>
              <w:left w:val="single" w:sz="4" w:space="0" w:color="000000"/>
              <w:bottom w:val="single" w:sz="4" w:space="0" w:color="000000"/>
              <w:right w:val="single" w:sz="4" w:space="0" w:color="000000"/>
            </w:tcBorders>
            <w:vAlign w:val="center"/>
          </w:tcPr>
          <w:p w14:paraId="05DE9B61" w14:textId="77777777" w:rsidR="00075827" w:rsidRPr="00023BC9" w:rsidRDefault="00075827" w:rsidP="00075827">
            <w:pPr>
              <w:autoSpaceDE w:val="0"/>
              <w:autoSpaceDN w:val="0"/>
              <w:adjustRightInd w:val="0"/>
              <w:spacing w:before="0" w:after="0"/>
              <w:ind w:right="-108"/>
              <w:jc w:val="center"/>
              <w:rPr>
                <w:rFonts w:eastAsia="Calibri" w:cs="Arial"/>
                <w:bCs/>
                <w:spacing w:val="-5"/>
                <w:sz w:val="18"/>
                <w:szCs w:val="18"/>
                <w:lang w:val="es-ES"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47FB9C7F" w14:textId="77777777" w:rsidR="00075827" w:rsidRPr="00023BC9" w:rsidRDefault="00075827" w:rsidP="00075827">
            <w:pPr>
              <w:autoSpaceDE w:val="0"/>
              <w:autoSpaceDN w:val="0"/>
              <w:adjustRightInd w:val="0"/>
              <w:spacing w:before="0" w:after="0"/>
              <w:ind w:right="-108"/>
              <w:jc w:val="center"/>
              <w:rPr>
                <w:rFonts w:eastAsia="Calibri" w:cs="Arial"/>
                <w:bCs/>
                <w:spacing w:val="-5"/>
                <w:sz w:val="18"/>
                <w:szCs w:val="18"/>
                <w:lang w:val="es-ES" w:eastAsia="en-US"/>
              </w:rPr>
            </w:pPr>
            <w:r w:rsidRPr="00023BC9">
              <w:rPr>
                <w:rFonts w:eastAsia="Calibri" w:cs="Arial"/>
                <w:bCs/>
                <w:spacing w:val="-5"/>
                <w:sz w:val="18"/>
                <w:szCs w:val="18"/>
                <w:lang w:val="es-ES" w:eastAsia="en-US"/>
              </w:rPr>
              <w:t>X</w:t>
            </w:r>
          </w:p>
        </w:tc>
        <w:tc>
          <w:tcPr>
            <w:tcW w:w="3401" w:type="dxa"/>
            <w:tcBorders>
              <w:top w:val="single" w:sz="4" w:space="0" w:color="000000"/>
              <w:left w:val="single" w:sz="4" w:space="0" w:color="000000"/>
              <w:bottom w:val="single" w:sz="4" w:space="0" w:color="000000"/>
              <w:right w:val="single" w:sz="4" w:space="0" w:color="000000"/>
            </w:tcBorders>
            <w:vAlign w:val="center"/>
          </w:tcPr>
          <w:p w14:paraId="1AAFA030" w14:textId="598ACA4C" w:rsidR="00075827" w:rsidRPr="00023BC9" w:rsidRDefault="00075827" w:rsidP="00075827">
            <w:pPr>
              <w:autoSpaceDE w:val="0"/>
              <w:autoSpaceDN w:val="0"/>
              <w:adjustRightInd w:val="0"/>
              <w:spacing w:before="0" w:after="0"/>
              <w:jc w:val="center"/>
              <w:rPr>
                <w:rFonts w:eastAsia="Calibri" w:cs="Arial"/>
                <w:bCs/>
                <w:spacing w:val="-5"/>
                <w:sz w:val="18"/>
                <w:szCs w:val="18"/>
                <w:lang w:val="es-ES" w:eastAsia="en-US"/>
              </w:rPr>
            </w:pPr>
            <w:r w:rsidRPr="00767A22">
              <w:rPr>
                <w:rFonts w:eastAsia="Calibri" w:cs="Arial"/>
                <w:bCs/>
                <w:spacing w:val="-5"/>
                <w:sz w:val="18"/>
                <w:szCs w:val="18"/>
                <w:lang w:val="es-ES" w:eastAsia="en-US"/>
              </w:rPr>
              <w:t>La regulación no genera asimetrías, disparidades o favorecimientos en contra o a favor de comercializadores. La aplicación de la norma es igual para todos los agentes</w:t>
            </w:r>
            <w:r>
              <w:rPr>
                <w:rFonts w:eastAsia="Calibri" w:cs="Arial"/>
                <w:bCs/>
                <w:spacing w:val="-5"/>
                <w:sz w:val="18"/>
                <w:szCs w:val="18"/>
                <w:lang w:val="es-ES" w:eastAsia="en-US"/>
              </w:rPr>
              <w:t xml:space="preserve"> comercializadores en los mercados de comercialización existentes</w:t>
            </w:r>
            <w:r w:rsidRPr="00767A22">
              <w:rPr>
                <w:rFonts w:eastAsia="Calibri" w:cs="Arial"/>
                <w:bCs/>
                <w:spacing w:val="-5"/>
                <w:sz w:val="18"/>
                <w:szCs w:val="18"/>
                <w:lang w:val="es-ES" w:eastAsia="en-US"/>
              </w:rPr>
              <w:t>.</w:t>
            </w:r>
          </w:p>
        </w:tc>
        <w:tc>
          <w:tcPr>
            <w:tcW w:w="1843" w:type="dxa"/>
            <w:tcBorders>
              <w:top w:val="single" w:sz="4" w:space="0" w:color="000000"/>
              <w:left w:val="single" w:sz="4" w:space="0" w:color="000000"/>
              <w:bottom w:val="single" w:sz="4" w:space="0" w:color="000000"/>
              <w:right w:val="single" w:sz="4" w:space="0" w:color="000000"/>
            </w:tcBorders>
            <w:vAlign w:val="center"/>
          </w:tcPr>
          <w:p w14:paraId="5EA10210" w14:textId="48728065" w:rsidR="00075827" w:rsidRPr="00023BC9" w:rsidRDefault="00075827" w:rsidP="00075827">
            <w:pPr>
              <w:autoSpaceDE w:val="0"/>
              <w:autoSpaceDN w:val="0"/>
              <w:adjustRightInd w:val="0"/>
              <w:spacing w:before="0" w:after="0"/>
              <w:ind w:right="-108"/>
              <w:jc w:val="center"/>
              <w:rPr>
                <w:rFonts w:eastAsia="Calibri" w:cs="Arial"/>
                <w:bCs/>
                <w:spacing w:val="-5"/>
                <w:sz w:val="18"/>
                <w:szCs w:val="18"/>
                <w:lang w:val="es-ES" w:eastAsia="en-US"/>
              </w:rPr>
            </w:pPr>
            <w:r w:rsidRPr="000A1F9D">
              <w:rPr>
                <w:rFonts w:eastAsia="Calibri" w:cs="Arial"/>
                <w:bCs/>
                <w:spacing w:val="-5"/>
                <w:sz w:val="18"/>
                <w:szCs w:val="18"/>
                <w:lang w:val="es-ES" w:eastAsia="en-US"/>
              </w:rPr>
              <w:t>No se identifican observaciones adicionales a las expuestas en la explicación que da respuesta a la pregunta.</w:t>
            </w:r>
          </w:p>
        </w:tc>
      </w:tr>
      <w:tr w:rsidR="00AE47DC" w:rsidRPr="00023BC9" w14:paraId="072D0B64" w14:textId="77777777" w:rsidTr="00092FBC">
        <w:trPr>
          <w:cantSplit/>
        </w:trPr>
        <w:tc>
          <w:tcPr>
            <w:tcW w:w="845" w:type="dxa"/>
            <w:tcBorders>
              <w:top w:val="single" w:sz="4" w:space="0" w:color="000000"/>
              <w:left w:val="single" w:sz="4" w:space="0" w:color="000000"/>
              <w:bottom w:val="single" w:sz="4" w:space="0" w:color="000000"/>
              <w:right w:val="single" w:sz="4" w:space="0" w:color="000000"/>
            </w:tcBorders>
            <w:hideMark/>
          </w:tcPr>
          <w:p w14:paraId="610472C1" w14:textId="5F7EBC58" w:rsidR="00075827" w:rsidRPr="00023BC9" w:rsidRDefault="00075827" w:rsidP="00075827">
            <w:pPr>
              <w:autoSpaceDE w:val="0"/>
              <w:autoSpaceDN w:val="0"/>
              <w:adjustRightInd w:val="0"/>
              <w:spacing w:before="0" w:after="0"/>
              <w:ind w:right="-108"/>
              <w:rPr>
                <w:rFonts w:eastAsia="Calibri" w:cs="Arial"/>
                <w:bCs/>
                <w:spacing w:val="-5"/>
                <w:sz w:val="18"/>
                <w:szCs w:val="18"/>
                <w:lang w:val="es-ES" w:eastAsia="en-US"/>
              </w:rPr>
            </w:pPr>
            <w:r w:rsidRPr="00023BC9">
              <w:rPr>
                <w:rFonts w:eastAsia="Calibri" w:cs="Arial"/>
                <w:bCs/>
                <w:spacing w:val="-5"/>
                <w:sz w:val="18"/>
                <w:szCs w:val="18"/>
                <w:lang w:val="es-ES" w:eastAsia="en-US"/>
              </w:rPr>
              <w:t>2.</w:t>
            </w:r>
            <w:r w:rsidR="00BA4877">
              <w:rPr>
                <w:rFonts w:eastAsia="Calibri" w:cs="Arial"/>
                <w:bCs/>
                <w:spacing w:val="-5"/>
                <w:sz w:val="18"/>
                <w:szCs w:val="18"/>
                <w:lang w:val="es-ES" w:eastAsia="en-US"/>
              </w:rPr>
              <w:t>5</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02B33C78" w14:textId="77777777" w:rsidR="00075827" w:rsidRPr="00023BC9" w:rsidRDefault="00075827" w:rsidP="00075827">
            <w:pPr>
              <w:autoSpaceDE w:val="0"/>
              <w:autoSpaceDN w:val="0"/>
              <w:adjustRightInd w:val="0"/>
              <w:spacing w:before="0" w:after="0"/>
              <w:ind w:right="19"/>
              <w:jc w:val="left"/>
              <w:rPr>
                <w:rFonts w:eastAsia="Calibri" w:cs="Arial"/>
                <w:bCs/>
                <w:spacing w:val="-5"/>
                <w:sz w:val="18"/>
                <w:szCs w:val="18"/>
                <w:lang w:val="es-ES" w:eastAsia="en-US"/>
              </w:rPr>
            </w:pPr>
            <w:r w:rsidRPr="00023BC9">
              <w:rPr>
                <w:rFonts w:eastAsia="Calibri" w:cs="Arial"/>
                <w:bCs/>
                <w:spacing w:val="-5"/>
                <w:sz w:val="18"/>
                <w:szCs w:val="18"/>
                <w:lang w:val="es-ES" w:eastAsia="en-US"/>
              </w:rPr>
              <w:t>Otorga trato diferenciado a unas empresas con respecto a otras.</w:t>
            </w:r>
          </w:p>
        </w:tc>
        <w:tc>
          <w:tcPr>
            <w:tcW w:w="426" w:type="dxa"/>
            <w:tcBorders>
              <w:top w:val="single" w:sz="4" w:space="0" w:color="000000"/>
              <w:left w:val="single" w:sz="4" w:space="0" w:color="000000"/>
              <w:bottom w:val="single" w:sz="4" w:space="0" w:color="000000"/>
              <w:right w:val="single" w:sz="4" w:space="0" w:color="000000"/>
            </w:tcBorders>
            <w:vAlign w:val="center"/>
          </w:tcPr>
          <w:p w14:paraId="31237FB7" w14:textId="77777777" w:rsidR="00075827" w:rsidRPr="00023BC9" w:rsidRDefault="00075827" w:rsidP="00075827">
            <w:pPr>
              <w:autoSpaceDE w:val="0"/>
              <w:autoSpaceDN w:val="0"/>
              <w:adjustRightInd w:val="0"/>
              <w:spacing w:before="0" w:after="0"/>
              <w:ind w:right="-108"/>
              <w:jc w:val="center"/>
              <w:rPr>
                <w:rFonts w:eastAsia="Calibri" w:cs="Arial"/>
                <w:bCs/>
                <w:spacing w:val="-5"/>
                <w:sz w:val="18"/>
                <w:szCs w:val="18"/>
                <w:lang w:val="es-ES"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39E76B32" w14:textId="77777777" w:rsidR="00075827" w:rsidRPr="00023BC9" w:rsidRDefault="00075827" w:rsidP="00075827">
            <w:pPr>
              <w:autoSpaceDE w:val="0"/>
              <w:autoSpaceDN w:val="0"/>
              <w:adjustRightInd w:val="0"/>
              <w:spacing w:before="0" w:after="0"/>
              <w:ind w:right="-108"/>
              <w:jc w:val="center"/>
              <w:rPr>
                <w:rFonts w:eastAsia="Calibri" w:cs="Arial"/>
                <w:bCs/>
                <w:spacing w:val="-5"/>
                <w:sz w:val="18"/>
                <w:szCs w:val="18"/>
                <w:highlight w:val="yellow"/>
                <w:lang w:val="es-ES" w:eastAsia="en-US"/>
              </w:rPr>
            </w:pPr>
            <w:r w:rsidRPr="00023BC9">
              <w:rPr>
                <w:rFonts w:eastAsia="Calibri" w:cs="Arial"/>
                <w:bCs/>
                <w:spacing w:val="-5"/>
                <w:sz w:val="18"/>
                <w:szCs w:val="18"/>
                <w:lang w:val="es-ES" w:eastAsia="en-US"/>
              </w:rPr>
              <w:t>X</w:t>
            </w:r>
          </w:p>
        </w:tc>
        <w:tc>
          <w:tcPr>
            <w:tcW w:w="3401" w:type="dxa"/>
            <w:tcBorders>
              <w:top w:val="single" w:sz="4" w:space="0" w:color="000000"/>
              <w:left w:val="single" w:sz="4" w:space="0" w:color="000000"/>
              <w:bottom w:val="single" w:sz="4" w:space="0" w:color="000000"/>
              <w:right w:val="single" w:sz="4" w:space="0" w:color="000000"/>
            </w:tcBorders>
            <w:vAlign w:val="center"/>
          </w:tcPr>
          <w:p w14:paraId="7E08343A" w14:textId="094E6811" w:rsidR="00075827" w:rsidRPr="00023BC9" w:rsidRDefault="009F05D6" w:rsidP="00075827">
            <w:pPr>
              <w:autoSpaceDE w:val="0"/>
              <w:autoSpaceDN w:val="0"/>
              <w:adjustRightInd w:val="0"/>
              <w:spacing w:before="0" w:after="0"/>
              <w:jc w:val="center"/>
              <w:rPr>
                <w:rFonts w:eastAsia="Calibri" w:cs="Arial"/>
                <w:bCs/>
                <w:spacing w:val="-5"/>
                <w:sz w:val="18"/>
                <w:szCs w:val="18"/>
                <w:highlight w:val="yellow"/>
                <w:lang w:val="es-ES" w:eastAsia="en-US"/>
              </w:rPr>
            </w:pPr>
            <w:r w:rsidRPr="009F05D6">
              <w:rPr>
                <w:rFonts w:eastAsia="Calibri" w:cs="Arial"/>
                <w:bCs/>
                <w:spacing w:val="-5"/>
                <w:sz w:val="18"/>
                <w:szCs w:val="18"/>
                <w:lang w:val="es-ES" w:eastAsia="en-US"/>
              </w:rPr>
              <w:t xml:space="preserve">La regulación no genera asimetrías, disparidades o favorecimientos en contra o a favor de comercializadores. La aplicación de la norma </w:t>
            </w:r>
            <w:r w:rsidR="00325B4B">
              <w:rPr>
                <w:rFonts w:eastAsia="Calibri" w:cs="Arial"/>
                <w:bCs/>
                <w:spacing w:val="-5"/>
                <w:sz w:val="18"/>
                <w:szCs w:val="18"/>
                <w:lang w:val="es-ES" w:eastAsia="en-US"/>
              </w:rPr>
              <w:t xml:space="preserve">en relación con la definición, cobro y recaudo del COT </w:t>
            </w:r>
            <w:r w:rsidRPr="009F05D6">
              <w:rPr>
                <w:rFonts w:eastAsia="Calibri" w:cs="Arial"/>
                <w:bCs/>
                <w:spacing w:val="-5"/>
                <w:sz w:val="18"/>
                <w:szCs w:val="18"/>
                <w:lang w:val="es-ES" w:eastAsia="en-US"/>
              </w:rPr>
              <w:t>es igual para todos los agentes.</w:t>
            </w:r>
          </w:p>
        </w:tc>
        <w:tc>
          <w:tcPr>
            <w:tcW w:w="1843" w:type="dxa"/>
            <w:tcBorders>
              <w:top w:val="single" w:sz="4" w:space="0" w:color="000000"/>
              <w:left w:val="single" w:sz="4" w:space="0" w:color="000000"/>
              <w:bottom w:val="single" w:sz="4" w:space="0" w:color="000000"/>
              <w:right w:val="single" w:sz="4" w:space="0" w:color="000000"/>
            </w:tcBorders>
            <w:vAlign w:val="center"/>
          </w:tcPr>
          <w:p w14:paraId="1BC897D3" w14:textId="228AB295" w:rsidR="00075827" w:rsidRPr="00023BC9" w:rsidRDefault="00325B4B" w:rsidP="00075827">
            <w:pPr>
              <w:autoSpaceDE w:val="0"/>
              <w:autoSpaceDN w:val="0"/>
              <w:adjustRightInd w:val="0"/>
              <w:spacing w:before="0" w:after="0"/>
              <w:ind w:right="-108"/>
              <w:jc w:val="center"/>
              <w:rPr>
                <w:rFonts w:eastAsia="Calibri" w:cs="Arial"/>
                <w:bCs/>
                <w:spacing w:val="-5"/>
                <w:sz w:val="18"/>
                <w:szCs w:val="18"/>
                <w:highlight w:val="yellow"/>
                <w:lang w:val="es-ES" w:eastAsia="en-US"/>
              </w:rPr>
            </w:pPr>
            <w:r w:rsidRPr="00325B4B">
              <w:rPr>
                <w:rFonts w:eastAsia="Calibri" w:cs="Arial"/>
                <w:bCs/>
                <w:spacing w:val="-5"/>
                <w:sz w:val="18"/>
                <w:szCs w:val="18"/>
                <w:lang w:val="es-ES" w:eastAsia="en-US"/>
              </w:rPr>
              <w:t>No se identifican observaciones adicionales a las expuestas en la explicación que da respuesta a la pregunta.</w:t>
            </w:r>
          </w:p>
        </w:tc>
      </w:tr>
      <w:tr w:rsidR="00AE47DC" w:rsidRPr="00023BC9" w14:paraId="40734536" w14:textId="77777777" w:rsidTr="00092FBC">
        <w:trPr>
          <w:cantSplit/>
        </w:trPr>
        <w:tc>
          <w:tcPr>
            <w:tcW w:w="845" w:type="dxa"/>
            <w:tcBorders>
              <w:top w:val="single" w:sz="4" w:space="0" w:color="000000"/>
              <w:left w:val="single" w:sz="4" w:space="0" w:color="000000"/>
              <w:bottom w:val="single" w:sz="4" w:space="0" w:color="000000"/>
              <w:right w:val="single" w:sz="4" w:space="0" w:color="000000"/>
            </w:tcBorders>
            <w:hideMark/>
          </w:tcPr>
          <w:p w14:paraId="1F1D5EFE" w14:textId="394C6076" w:rsidR="00CC072C" w:rsidRPr="00023BC9" w:rsidRDefault="00CC072C" w:rsidP="00CC072C">
            <w:pPr>
              <w:autoSpaceDE w:val="0"/>
              <w:autoSpaceDN w:val="0"/>
              <w:adjustRightInd w:val="0"/>
              <w:spacing w:before="0" w:after="0"/>
              <w:ind w:right="-108"/>
              <w:rPr>
                <w:rFonts w:eastAsia="Calibri" w:cs="Arial"/>
                <w:bCs/>
                <w:spacing w:val="-5"/>
                <w:sz w:val="18"/>
                <w:szCs w:val="18"/>
                <w:lang w:val="es-ES" w:eastAsia="en-US"/>
              </w:rPr>
            </w:pPr>
            <w:r w:rsidRPr="00023BC9">
              <w:rPr>
                <w:rFonts w:eastAsia="Calibri" w:cs="Arial"/>
                <w:bCs/>
                <w:spacing w:val="-5"/>
                <w:sz w:val="18"/>
                <w:szCs w:val="18"/>
                <w:lang w:val="es-ES" w:eastAsia="en-US"/>
              </w:rPr>
              <w:t>2.</w:t>
            </w:r>
            <w:r w:rsidR="00BA4877">
              <w:rPr>
                <w:rFonts w:eastAsia="Calibri" w:cs="Arial"/>
                <w:bCs/>
                <w:spacing w:val="-5"/>
                <w:sz w:val="18"/>
                <w:szCs w:val="18"/>
                <w:lang w:val="es-ES" w:eastAsia="en-US"/>
              </w:rPr>
              <w:t>6</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44D1E6C1" w14:textId="77777777" w:rsidR="00CC072C" w:rsidRPr="00023BC9" w:rsidRDefault="00CC072C" w:rsidP="00CC072C">
            <w:pPr>
              <w:autoSpaceDE w:val="0"/>
              <w:autoSpaceDN w:val="0"/>
              <w:adjustRightInd w:val="0"/>
              <w:spacing w:before="0" w:after="0"/>
              <w:ind w:right="19"/>
              <w:jc w:val="left"/>
              <w:rPr>
                <w:rFonts w:eastAsia="Calibri" w:cs="Arial"/>
                <w:bCs/>
                <w:spacing w:val="-5"/>
                <w:sz w:val="18"/>
                <w:szCs w:val="18"/>
                <w:lang w:val="es-ES" w:eastAsia="en-US"/>
              </w:rPr>
            </w:pPr>
            <w:r w:rsidRPr="00023BC9">
              <w:rPr>
                <w:rFonts w:eastAsia="Calibri" w:cs="Arial"/>
                <w:bCs/>
                <w:spacing w:val="-5"/>
                <w:sz w:val="18"/>
                <w:szCs w:val="18"/>
                <w:lang w:val="es-ES" w:eastAsia="en-US"/>
              </w:rPr>
              <w:t>Limita la libertad de las empresas para elegir sus procesos de producción o su forma de organización industrial.</w:t>
            </w:r>
          </w:p>
        </w:tc>
        <w:tc>
          <w:tcPr>
            <w:tcW w:w="426" w:type="dxa"/>
            <w:tcBorders>
              <w:top w:val="single" w:sz="4" w:space="0" w:color="000000"/>
              <w:left w:val="single" w:sz="4" w:space="0" w:color="000000"/>
              <w:bottom w:val="single" w:sz="4" w:space="0" w:color="000000"/>
              <w:right w:val="single" w:sz="4" w:space="0" w:color="000000"/>
            </w:tcBorders>
            <w:vAlign w:val="center"/>
          </w:tcPr>
          <w:p w14:paraId="438E4198" w14:textId="77777777" w:rsidR="00CC072C" w:rsidRPr="00023BC9" w:rsidRDefault="00CC072C" w:rsidP="00CC072C">
            <w:pPr>
              <w:autoSpaceDE w:val="0"/>
              <w:autoSpaceDN w:val="0"/>
              <w:adjustRightInd w:val="0"/>
              <w:spacing w:before="0" w:after="0"/>
              <w:ind w:right="-108"/>
              <w:jc w:val="center"/>
              <w:rPr>
                <w:rFonts w:eastAsia="Calibri" w:cs="Arial"/>
                <w:bCs/>
                <w:spacing w:val="-5"/>
                <w:sz w:val="18"/>
                <w:szCs w:val="18"/>
                <w:lang w:val="es-ES"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437748FF" w14:textId="77777777" w:rsidR="00CC072C" w:rsidRPr="00023BC9" w:rsidRDefault="00CC072C" w:rsidP="00CC072C">
            <w:pPr>
              <w:autoSpaceDE w:val="0"/>
              <w:autoSpaceDN w:val="0"/>
              <w:adjustRightInd w:val="0"/>
              <w:spacing w:before="0" w:after="0"/>
              <w:ind w:right="-108"/>
              <w:jc w:val="center"/>
              <w:rPr>
                <w:rFonts w:eastAsia="Calibri" w:cs="Arial"/>
                <w:bCs/>
                <w:spacing w:val="-5"/>
                <w:sz w:val="18"/>
                <w:szCs w:val="18"/>
                <w:lang w:val="es-ES" w:eastAsia="en-US"/>
              </w:rPr>
            </w:pPr>
            <w:r w:rsidRPr="00023BC9">
              <w:rPr>
                <w:rFonts w:eastAsia="Calibri" w:cs="Arial"/>
                <w:bCs/>
                <w:spacing w:val="-5"/>
                <w:sz w:val="18"/>
                <w:szCs w:val="18"/>
                <w:lang w:val="es-ES" w:eastAsia="en-US"/>
              </w:rPr>
              <w:t>X</w:t>
            </w:r>
          </w:p>
        </w:tc>
        <w:tc>
          <w:tcPr>
            <w:tcW w:w="3401" w:type="dxa"/>
            <w:tcBorders>
              <w:top w:val="single" w:sz="4" w:space="0" w:color="000000"/>
              <w:left w:val="single" w:sz="4" w:space="0" w:color="000000"/>
              <w:bottom w:val="single" w:sz="4" w:space="0" w:color="000000"/>
              <w:right w:val="single" w:sz="4" w:space="0" w:color="000000"/>
            </w:tcBorders>
            <w:vAlign w:val="center"/>
          </w:tcPr>
          <w:p w14:paraId="5F2F7B6C" w14:textId="77777777" w:rsidR="00284795" w:rsidRPr="00284795" w:rsidRDefault="00284795" w:rsidP="00E32035">
            <w:pPr>
              <w:autoSpaceDE w:val="0"/>
              <w:autoSpaceDN w:val="0"/>
              <w:adjustRightInd w:val="0"/>
              <w:spacing w:before="0" w:after="0"/>
              <w:rPr>
                <w:rFonts w:eastAsia="Calibri" w:cs="Arial"/>
                <w:bCs/>
                <w:spacing w:val="-5"/>
                <w:sz w:val="18"/>
                <w:szCs w:val="18"/>
                <w:lang w:eastAsia="en-US"/>
              </w:rPr>
            </w:pPr>
            <w:r w:rsidRPr="00284795">
              <w:rPr>
                <w:rFonts w:eastAsia="Calibri" w:cs="Arial"/>
                <w:bCs/>
                <w:spacing w:val="-5"/>
                <w:sz w:val="18"/>
                <w:szCs w:val="18"/>
                <w:lang w:eastAsia="en-US"/>
              </w:rPr>
              <w:t>La propuesta regulatoria no altera como los agentes realizan la actividad de comercialización.</w:t>
            </w:r>
          </w:p>
          <w:p w14:paraId="5238443D" w14:textId="77777777" w:rsidR="00CC072C" w:rsidRPr="00E32035" w:rsidRDefault="00CC072C" w:rsidP="00CC072C">
            <w:pPr>
              <w:autoSpaceDE w:val="0"/>
              <w:autoSpaceDN w:val="0"/>
              <w:adjustRightInd w:val="0"/>
              <w:spacing w:before="0" w:after="0"/>
              <w:jc w:val="center"/>
              <w:rPr>
                <w:rFonts w:eastAsia="Calibri" w:cs="Arial"/>
                <w:bCs/>
                <w:spacing w:val="-5"/>
                <w:sz w:val="18"/>
                <w:szCs w:val="18"/>
                <w:lang w:eastAsia="en-US"/>
              </w:rPr>
            </w:pPr>
          </w:p>
        </w:tc>
        <w:tc>
          <w:tcPr>
            <w:tcW w:w="1843" w:type="dxa"/>
            <w:tcBorders>
              <w:top w:val="single" w:sz="4" w:space="0" w:color="000000"/>
              <w:left w:val="single" w:sz="4" w:space="0" w:color="000000"/>
              <w:bottom w:val="single" w:sz="4" w:space="0" w:color="000000"/>
              <w:right w:val="single" w:sz="4" w:space="0" w:color="000000"/>
            </w:tcBorders>
            <w:vAlign w:val="center"/>
          </w:tcPr>
          <w:p w14:paraId="539EBDB0" w14:textId="54B844AA" w:rsidR="00CC072C" w:rsidRPr="00023BC9" w:rsidRDefault="00CC072C" w:rsidP="00CC072C">
            <w:pPr>
              <w:autoSpaceDE w:val="0"/>
              <w:autoSpaceDN w:val="0"/>
              <w:adjustRightInd w:val="0"/>
              <w:spacing w:before="0" w:after="0"/>
              <w:ind w:right="-108"/>
              <w:jc w:val="center"/>
              <w:rPr>
                <w:rFonts w:eastAsia="Calibri" w:cs="Arial"/>
                <w:bCs/>
                <w:spacing w:val="-5"/>
                <w:sz w:val="18"/>
                <w:szCs w:val="18"/>
                <w:lang w:val="es-ES" w:eastAsia="en-US"/>
              </w:rPr>
            </w:pPr>
            <w:r w:rsidRPr="00325B4B">
              <w:rPr>
                <w:rFonts w:eastAsia="Calibri" w:cs="Arial"/>
                <w:bCs/>
                <w:spacing w:val="-5"/>
                <w:sz w:val="18"/>
                <w:szCs w:val="18"/>
                <w:lang w:val="es-ES" w:eastAsia="en-US"/>
              </w:rPr>
              <w:t>No se identifican observaciones adicionales a las expuestas en la explicación que da respuesta a la pregunta.</w:t>
            </w:r>
          </w:p>
        </w:tc>
      </w:tr>
      <w:tr w:rsidR="00AE47DC" w:rsidRPr="00023BC9" w14:paraId="233FAB5A" w14:textId="77777777" w:rsidTr="00092FBC">
        <w:trPr>
          <w:cantSplit/>
        </w:trPr>
        <w:tc>
          <w:tcPr>
            <w:tcW w:w="845" w:type="dxa"/>
            <w:tcBorders>
              <w:top w:val="single" w:sz="4" w:space="0" w:color="000000"/>
              <w:left w:val="single" w:sz="4" w:space="0" w:color="000000"/>
              <w:bottom w:val="single" w:sz="4" w:space="0" w:color="000000"/>
              <w:right w:val="single" w:sz="4" w:space="0" w:color="000000"/>
            </w:tcBorders>
            <w:hideMark/>
          </w:tcPr>
          <w:p w14:paraId="27C0D5D2" w14:textId="147936EF" w:rsidR="00CC072C" w:rsidRPr="00023BC9" w:rsidRDefault="00CC072C" w:rsidP="00CC072C">
            <w:pPr>
              <w:autoSpaceDE w:val="0"/>
              <w:autoSpaceDN w:val="0"/>
              <w:adjustRightInd w:val="0"/>
              <w:spacing w:before="0" w:after="0"/>
              <w:ind w:right="-108"/>
              <w:rPr>
                <w:rFonts w:eastAsia="Calibri" w:cs="Arial"/>
                <w:bCs/>
                <w:spacing w:val="-5"/>
                <w:sz w:val="18"/>
                <w:szCs w:val="18"/>
                <w:lang w:val="es-ES" w:eastAsia="en-US"/>
              </w:rPr>
            </w:pPr>
            <w:r w:rsidRPr="00023BC9">
              <w:rPr>
                <w:rFonts w:eastAsia="Calibri" w:cs="Arial"/>
                <w:bCs/>
                <w:spacing w:val="-5"/>
                <w:sz w:val="18"/>
                <w:szCs w:val="18"/>
                <w:lang w:val="es-ES" w:eastAsia="en-US"/>
              </w:rPr>
              <w:t>2.</w:t>
            </w:r>
            <w:r w:rsidR="00BA4877">
              <w:rPr>
                <w:rFonts w:eastAsia="Calibri" w:cs="Arial"/>
                <w:bCs/>
                <w:spacing w:val="-5"/>
                <w:sz w:val="18"/>
                <w:szCs w:val="18"/>
                <w:lang w:val="es-ES" w:eastAsia="en-US"/>
              </w:rPr>
              <w:t>7</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2BD7953C" w14:textId="77777777" w:rsidR="00CC072C" w:rsidRPr="00023BC9" w:rsidRDefault="00CC072C" w:rsidP="00CC072C">
            <w:pPr>
              <w:autoSpaceDE w:val="0"/>
              <w:autoSpaceDN w:val="0"/>
              <w:adjustRightInd w:val="0"/>
              <w:spacing w:before="0" w:after="0"/>
              <w:ind w:right="19"/>
              <w:jc w:val="left"/>
              <w:rPr>
                <w:rFonts w:eastAsia="Calibri" w:cs="Arial"/>
                <w:bCs/>
                <w:spacing w:val="-5"/>
                <w:sz w:val="18"/>
                <w:szCs w:val="18"/>
                <w:lang w:val="es-ES" w:eastAsia="en-US"/>
              </w:rPr>
            </w:pPr>
            <w:r w:rsidRPr="00023BC9">
              <w:rPr>
                <w:rFonts w:eastAsia="Calibri" w:cs="Arial"/>
                <w:bCs/>
                <w:spacing w:val="-5"/>
                <w:sz w:val="18"/>
                <w:szCs w:val="18"/>
                <w:lang w:val="es-ES" w:eastAsia="en-US"/>
              </w:rPr>
              <w:t xml:space="preserve">Limita la innovación para ofrecer nuevos productos o productos </w:t>
            </w:r>
            <w:proofErr w:type="gramStart"/>
            <w:r w:rsidRPr="00023BC9">
              <w:rPr>
                <w:rFonts w:eastAsia="Calibri" w:cs="Arial"/>
                <w:bCs/>
                <w:spacing w:val="-5"/>
                <w:sz w:val="18"/>
                <w:szCs w:val="18"/>
                <w:lang w:val="es-ES" w:eastAsia="en-US"/>
              </w:rPr>
              <w:t>existentes</w:t>
            </w:r>
            <w:proofErr w:type="gramEnd"/>
            <w:r w:rsidRPr="00023BC9">
              <w:rPr>
                <w:rFonts w:eastAsia="Calibri" w:cs="Arial"/>
                <w:bCs/>
                <w:spacing w:val="-5"/>
                <w:sz w:val="18"/>
                <w:szCs w:val="18"/>
                <w:lang w:val="es-ES" w:eastAsia="en-US"/>
              </w:rPr>
              <w:t xml:space="preserve"> pero bajo nuevas formas-</w:t>
            </w:r>
          </w:p>
        </w:tc>
        <w:tc>
          <w:tcPr>
            <w:tcW w:w="426" w:type="dxa"/>
            <w:tcBorders>
              <w:top w:val="single" w:sz="4" w:space="0" w:color="000000"/>
              <w:left w:val="single" w:sz="4" w:space="0" w:color="000000"/>
              <w:bottom w:val="single" w:sz="4" w:space="0" w:color="000000"/>
              <w:right w:val="single" w:sz="4" w:space="0" w:color="000000"/>
            </w:tcBorders>
            <w:vAlign w:val="center"/>
          </w:tcPr>
          <w:p w14:paraId="0884DE44" w14:textId="77777777" w:rsidR="00CC072C" w:rsidRPr="00023BC9" w:rsidRDefault="00CC072C" w:rsidP="00CC072C">
            <w:pPr>
              <w:autoSpaceDE w:val="0"/>
              <w:autoSpaceDN w:val="0"/>
              <w:adjustRightInd w:val="0"/>
              <w:spacing w:before="0" w:after="0"/>
              <w:ind w:right="-108"/>
              <w:jc w:val="center"/>
              <w:rPr>
                <w:rFonts w:eastAsia="Calibri" w:cs="Arial"/>
                <w:bCs/>
                <w:spacing w:val="-5"/>
                <w:sz w:val="18"/>
                <w:szCs w:val="18"/>
                <w:lang w:val="es-ES"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6C4F8468" w14:textId="77777777" w:rsidR="00CC072C" w:rsidRPr="00023BC9" w:rsidRDefault="00CC072C" w:rsidP="00CC072C">
            <w:pPr>
              <w:autoSpaceDE w:val="0"/>
              <w:autoSpaceDN w:val="0"/>
              <w:adjustRightInd w:val="0"/>
              <w:spacing w:before="0" w:after="0"/>
              <w:ind w:right="-108"/>
              <w:jc w:val="center"/>
              <w:rPr>
                <w:rFonts w:eastAsia="Calibri" w:cs="Arial"/>
                <w:bCs/>
                <w:spacing w:val="-5"/>
                <w:sz w:val="18"/>
                <w:szCs w:val="18"/>
                <w:lang w:val="es-ES" w:eastAsia="en-US"/>
              </w:rPr>
            </w:pPr>
            <w:r w:rsidRPr="00023BC9">
              <w:rPr>
                <w:rFonts w:eastAsia="Calibri" w:cs="Arial"/>
                <w:bCs/>
                <w:spacing w:val="-5"/>
                <w:sz w:val="18"/>
                <w:szCs w:val="18"/>
                <w:lang w:val="es-ES" w:eastAsia="en-US"/>
              </w:rPr>
              <w:t>X</w:t>
            </w:r>
          </w:p>
        </w:tc>
        <w:tc>
          <w:tcPr>
            <w:tcW w:w="3401" w:type="dxa"/>
            <w:tcBorders>
              <w:top w:val="single" w:sz="4" w:space="0" w:color="000000"/>
              <w:left w:val="single" w:sz="4" w:space="0" w:color="000000"/>
              <w:bottom w:val="single" w:sz="4" w:space="0" w:color="000000"/>
              <w:right w:val="single" w:sz="4" w:space="0" w:color="000000"/>
            </w:tcBorders>
            <w:vAlign w:val="center"/>
          </w:tcPr>
          <w:p w14:paraId="41978257" w14:textId="644699EF" w:rsidR="00CC072C" w:rsidRPr="00023BC9" w:rsidRDefault="00CC072C" w:rsidP="00E32035">
            <w:pPr>
              <w:autoSpaceDE w:val="0"/>
              <w:autoSpaceDN w:val="0"/>
              <w:adjustRightInd w:val="0"/>
              <w:spacing w:before="0" w:after="0"/>
              <w:rPr>
                <w:rFonts w:eastAsia="Calibri" w:cs="Arial"/>
                <w:bCs/>
                <w:spacing w:val="-5"/>
                <w:sz w:val="18"/>
                <w:szCs w:val="18"/>
                <w:lang w:val="es-ES" w:eastAsia="en-US"/>
              </w:rPr>
            </w:pPr>
            <w:r w:rsidRPr="00CC072C">
              <w:rPr>
                <w:rFonts w:eastAsia="Calibri" w:cs="Arial"/>
                <w:bCs/>
                <w:spacing w:val="-5"/>
                <w:sz w:val="18"/>
                <w:szCs w:val="18"/>
                <w:lang w:val="es-ES" w:eastAsia="en-US"/>
              </w:rPr>
              <w:t>La propuesta regulatoria no establece limitaciones a la capacidad de un proveedor para promover o comercializar su actividad de forma novedosa o afectando sus estrategias comerciales. El desarrollo de la actividad de comercialización y las limitaciones existentes ya se encuentran definidas en la Ley 142 de 1994 y el reglamento de comercialización</w:t>
            </w:r>
          </w:p>
        </w:tc>
        <w:tc>
          <w:tcPr>
            <w:tcW w:w="1843" w:type="dxa"/>
            <w:tcBorders>
              <w:top w:val="single" w:sz="4" w:space="0" w:color="000000"/>
              <w:left w:val="single" w:sz="4" w:space="0" w:color="000000"/>
              <w:bottom w:val="single" w:sz="4" w:space="0" w:color="000000"/>
              <w:right w:val="single" w:sz="4" w:space="0" w:color="000000"/>
            </w:tcBorders>
            <w:vAlign w:val="center"/>
          </w:tcPr>
          <w:p w14:paraId="6C70277C" w14:textId="3115E19C" w:rsidR="00CC072C" w:rsidRPr="00023BC9" w:rsidRDefault="00CC072C" w:rsidP="00CC072C">
            <w:pPr>
              <w:autoSpaceDE w:val="0"/>
              <w:autoSpaceDN w:val="0"/>
              <w:adjustRightInd w:val="0"/>
              <w:spacing w:before="0" w:after="0"/>
              <w:jc w:val="center"/>
              <w:rPr>
                <w:rFonts w:eastAsia="Calibri" w:cs="Arial"/>
                <w:bCs/>
                <w:spacing w:val="-5"/>
                <w:sz w:val="18"/>
                <w:szCs w:val="18"/>
                <w:lang w:val="es-ES" w:eastAsia="en-US"/>
              </w:rPr>
            </w:pPr>
            <w:r w:rsidRPr="00325B4B">
              <w:rPr>
                <w:rFonts w:eastAsia="Calibri" w:cs="Arial"/>
                <w:bCs/>
                <w:spacing w:val="-5"/>
                <w:sz w:val="18"/>
                <w:szCs w:val="18"/>
                <w:lang w:val="es-ES" w:eastAsia="en-US"/>
              </w:rPr>
              <w:t>No se identifican observaciones adicionales a las expuestas en la explicación que da respuesta a la pregunta.</w:t>
            </w:r>
          </w:p>
        </w:tc>
      </w:tr>
      <w:tr w:rsidR="00AE47DC" w:rsidRPr="00023BC9" w14:paraId="3E6F4892" w14:textId="77777777" w:rsidTr="00092FBC">
        <w:trPr>
          <w:cantSplit/>
        </w:trPr>
        <w:tc>
          <w:tcPr>
            <w:tcW w:w="845" w:type="dxa"/>
            <w:tcBorders>
              <w:top w:val="single" w:sz="4" w:space="0" w:color="000000"/>
              <w:left w:val="single" w:sz="4" w:space="0" w:color="000000"/>
              <w:bottom w:val="single" w:sz="4" w:space="0" w:color="000000"/>
              <w:right w:val="single" w:sz="4" w:space="0" w:color="000000"/>
            </w:tcBorders>
            <w:hideMark/>
          </w:tcPr>
          <w:p w14:paraId="2A8242BB" w14:textId="77777777" w:rsidR="00E62E0B" w:rsidRPr="00023BC9" w:rsidRDefault="00E62E0B" w:rsidP="00E62E0B">
            <w:pPr>
              <w:autoSpaceDE w:val="0"/>
              <w:autoSpaceDN w:val="0"/>
              <w:adjustRightInd w:val="0"/>
              <w:spacing w:before="0" w:after="0"/>
              <w:ind w:right="-108"/>
              <w:rPr>
                <w:rFonts w:eastAsia="Calibri" w:cs="Arial"/>
                <w:bCs/>
                <w:spacing w:val="-5"/>
                <w:sz w:val="18"/>
                <w:szCs w:val="18"/>
                <w:lang w:val="es-ES" w:eastAsia="en-US"/>
              </w:rPr>
            </w:pPr>
            <w:r w:rsidRPr="00023BC9">
              <w:rPr>
                <w:rFonts w:eastAsia="Calibri" w:cs="Arial"/>
                <w:bCs/>
                <w:spacing w:val="-5"/>
                <w:sz w:val="18"/>
                <w:szCs w:val="18"/>
                <w:lang w:val="es-ES" w:eastAsia="en-US"/>
              </w:rPr>
              <w:lastRenderedPageBreak/>
              <w:t>3ª.</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6246D9FF" w14:textId="77777777" w:rsidR="00E62E0B" w:rsidRPr="00023BC9" w:rsidRDefault="00E62E0B" w:rsidP="00E62E0B">
            <w:pPr>
              <w:autoSpaceDE w:val="0"/>
              <w:autoSpaceDN w:val="0"/>
              <w:adjustRightInd w:val="0"/>
              <w:spacing w:before="0" w:after="0"/>
              <w:ind w:right="19"/>
              <w:jc w:val="left"/>
              <w:rPr>
                <w:rFonts w:eastAsia="Calibri" w:cs="Arial"/>
                <w:bCs/>
                <w:spacing w:val="-5"/>
                <w:sz w:val="18"/>
                <w:szCs w:val="18"/>
                <w:lang w:val="es-ES" w:eastAsia="en-US"/>
              </w:rPr>
            </w:pPr>
            <w:r w:rsidRPr="00023BC9">
              <w:rPr>
                <w:rFonts w:eastAsia="Calibri" w:cs="Arial"/>
                <w:bCs/>
                <w:spacing w:val="-5"/>
                <w:sz w:val="18"/>
                <w:szCs w:val="18"/>
                <w:lang w:val="es-ES" w:eastAsia="en-US"/>
              </w:rPr>
              <w:t>¿La regulación implica reducir los incentivos de las empresas para competir en uno o varios mercados relevantes relacionados?</w:t>
            </w:r>
          </w:p>
          <w:p w14:paraId="5325F236" w14:textId="77777777" w:rsidR="00E62E0B" w:rsidRPr="00023BC9" w:rsidRDefault="00E62E0B" w:rsidP="00E62E0B">
            <w:pPr>
              <w:autoSpaceDE w:val="0"/>
              <w:autoSpaceDN w:val="0"/>
              <w:adjustRightInd w:val="0"/>
              <w:spacing w:before="0" w:after="0"/>
              <w:ind w:right="19"/>
              <w:jc w:val="left"/>
              <w:rPr>
                <w:rFonts w:eastAsia="Calibri" w:cs="Arial"/>
                <w:bCs/>
                <w:spacing w:val="-5"/>
                <w:sz w:val="18"/>
                <w:szCs w:val="18"/>
                <w:lang w:val="es-ES" w:eastAsia="en-US"/>
              </w:rPr>
            </w:pPr>
            <w:r w:rsidRPr="00023BC9">
              <w:rPr>
                <w:rFonts w:eastAsia="Calibri" w:cs="Arial"/>
                <w:bCs/>
                <w:spacing w:val="-5"/>
                <w:sz w:val="18"/>
                <w:szCs w:val="18"/>
                <w:lang w:val="es-ES" w:eastAsia="en-US"/>
              </w:rPr>
              <w:t>Es posible que esto suceda, entre otros eventos, cuando el proyecto de acto:</w:t>
            </w:r>
          </w:p>
        </w:tc>
        <w:tc>
          <w:tcPr>
            <w:tcW w:w="426" w:type="dxa"/>
            <w:tcBorders>
              <w:top w:val="single" w:sz="4" w:space="0" w:color="000000"/>
              <w:left w:val="single" w:sz="4" w:space="0" w:color="000000"/>
              <w:bottom w:val="single" w:sz="4" w:space="0" w:color="000000"/>
              <w:right w:val="single" w:sz="4" w:space="0" w:color="000000"/>
            </w:tcBorders>
            <w:vAlign w:val="center"/>
          </w:tcPr>
          <w:p w14:paraId="71C9F501" w14:textId="77777777" w:rsidR="00E62E0B" w:rsidRPr="00023BC9" w:rsidRDefault="00E62E0B" w:rsidP="00E62E0B">
            <w:pPr>
              <w:autoSpaceDE w:val="0"/>
              <w:autoSpaceDN w:val="0"/>
              <w:adjustRightInd w:val="0"/>
              <w:spacing w:before="0" w:after="0"/>
              <w:ind w:right="-108"/>
              <w:jc w:val="center"/>
              <w:rPr>
                <w:rFonts w:eastAsia="Calibri" w:cs="Arial"/>
                <w:bCs/>
                <w:spacing w:val="-5"/>
                <w:sz w:val="18"/>
                <w:szCs w:val="18"/>
                <w:lang w:val="es-ES"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6BC91D13" w14:textId="77777777" w:rsidR="00E62E0B" w:rsidRPr="00023BC9" w:rsidRDefault="00E62E0B" w:rsidP="00E62E0B">
            <w:pPr>
              <w:autoSpaceDE w:val="0"/>
              <w:autoSpaceDN w:val="0"/>
              <w:adjustRightInd w:val="0"/>
              <w:spacing w:before="0" w:after="0"/>
              <w:ind w:right="-108"/>
              <w:jc w:val="center"/>
              <w:rPr>
                <w:rFonts w:eastAsia="Calibri" w:cs="Arial"/>
                <w:bCs/>
                <w:spacing w:val="-5"/>
                <w:sz w:val="18"/>
                <w:szCs w:val="18"/>
                <w:lang w:val="es-ES" w:eastAsia="en-US"/>
              </w:rPr>
            </w:pPr>
          </w:p>
        </w:tc>
        <w:tc>
          <w:tcPr>
            <w:tcW w:w="3401" w:type="dxa"/>
            <w:tcBorders>
              <w:top w:val="single" w:sz="4" w:space="0" w:color="000000"/>
              <w:left w:val="single" w:sz="4" w:space="0" w:color="000000"/>
              <w:bottom w:val="single" w:sz="4" w:space="0" w:color="000000"/>
              <w:right w:val="single" w:sz="4" w:space="0" w:color="000000"/>
            </w:tcBorders>
            <w:vAlign w:val="center"/>
          </w:tcPr>
          <w:p w14:paraId="1DA41BB7" w14:textId="25481BDC" w:rsidR="00E62E0B" w:rsidRPr="00447589" w:rsidRDefault="00E62E0B" w:rsidP="00E62E0B">
            <w:pPr>
              <w:autoSpaceDE w:val="0"/>
              <w:autoSpaceDN w:val="0"/>
              <w:adjustRightInd w:val="0"/>
              <w:spacing w:before="0" w:after="0"/>
              <w:jc w:val="center"/>
              <w:rPr>
                <w:rFonts w:eastAsia="Calibri" w:cs="Arial"/>
                <w:bCs/>
                <w:spacing w:val="-5"/>
                <w:sz w:val="18"/>
                <w:szCs w:val="18"/>
                <w:lang w:val="es-ES" w:eastAsia="en-US"/>
              </w:rPr>
            </w:pPr>
            <w:r w:rsidRPr="00447589">
              <w:rPr>
                <w:rFonts w:eastAsia="Calibri" w:cs="Arial"/>
                <w:bCs/>
                <w:spacing w:val="-5"/>
                <w:sz w:val="18"/>
                <w:szCs w:val="18"/>
                <w:lang w:val="es-ES" w:eastAsia="en-US"/>
              </w:rPr>
              <w:t xml:space="preserve">Resueltas las preguntas de los numerales </w:t>
            </w:r>
            <w:r>
              <w:rPr>
                <w:rFonts w:eastAsia="Calibri" w:cs="Arial"/>
                <w:bCs/>
                <w:spacing w:val="-5"/>
                <w:sz w:val="18"/>
                <w:szCs w:val="18"/>
                <w:lang w:val="es-ES" w:eastAsia="en-US"/>
              </w:rPr>
              <w:t>3</w:t>
            </w:r>
            <w:r w:rsidRPr="00447589">
              <w:rPr>
                <w:rFonts w:eastAsia="Calibri" w:cs="Arial"/>
                <w:bCs/>
                <w:spacing w:val="-5"/>
                <w:sz w:val="18"/>
                <w:szCs w:val="18"/>
                <w:lang w:val="es-ES" w:eastAsia="en-US"/>
              </w:rPr>
              <w:t xml:space="preserve">.1. </w:t>
            </w:r>
            <w:r>
              <w:rPr>
                <w:rFonts w:eastAsia="Calibri" w:cs="Arial"/>
                <w:bCs/>
                <w:spacing w:val="-5"/>
                <w:sz w:val="18"/>
                <w:szCs w:val="18"/>
                <w:lang w:val="es-ES" w:eastAsia="en-US"/>
              </w:rPr>
              <w:t>y 3.2</w:t>
            </w:r>
            <w:r w:rsidRPr="00447589">
              <w:rPr>
                <w:rFonts w:eastAsia="Calibri" w:cs="Arial"/>
                <w:bCs/>
                <w:spacing w:val="-5"/>
                <w:sz w:val="18"/>
                <w:szCs w:val="18"/>
                <w:lang w:val="es-ES" w:eastAsia="en-US"/>
              </w:rPr>
              <w:t xml:space="preserve">. el resultado de </w:t>
            </w:r>
            <w:proofErr w:type="gramStart"/>
            <w:r w:rsidRPr="00447589">
              <w:rPr>
                <w:rFonts w:eastAsia="Calibri" w:cs="Arial"/>
                <w:bCs/>
                <w:spacing w:val="-5"/>
                <w:sz w:val="18"/>
                <w:szCs w:val="18"/>
                <w:lang w:val="es-ES" w:eastAsia="en-US"/>
              </w:rPr>
              <w:t>las mismas</w:t>
            </w:r>
            <w:proofErr w:type="gramEnd"/>
            <w:r w:rsidRPr="00447589">
              <w:rPr>
                <w:rFonts w:eastAsia="Calibri" w:cs="Arial"/>
                <w:bCs/>
                <w:spacing w:val="-5"/>
                <w:sz w:val="18"/>
                <w:szCs w:val="18"/>
                <w:lang w:val="es-ES" w:eastAsia="en-US"/>
              </w:rPr>
              <w:t xml:space="preserve"> no genera como consecuencia </w:t>
            </w:r>
            <w:r>
              <w:rPr>
                <w:rFonts w:eastAsia="Calibri" w:cs="Arial"/>
                <w:bCs/>
                <w:spacing w:val="-5"/>
                <w:sz w:val="18"/>
                <w:szCs w:val="18"/>
                <w:lang w:val="es-ES" w:eastAsia="en-US"/>
              </w:rPr>
              <w:t>una reducción en</w:t>
            </w:r>
            <w:r w:rsidRPr="00E62E0B">
              <w:rPr>
                <w:rFonts w:eastAsia="Calibri" w:cs="Arial"/>
                <w:bCs/>
                <w:spacing w:val="-5"/>
                <w:sz w:val="18"/>
                <w:szCs w:val="18"/>
                <w:lang w:val="es-ES" w:eastAsia="en-US"/>
              </w:rPr>
              <w:t xml:space="preserve"> los incentivos de las empresas </w:t>
            </w:r>
            <w:r>
              <w:rPr>
                <w:rFonts w:eastAsia="Calibri" w:cs="Arial"/>
                <w:bCs/>
                <w:spacing w:val="-5"/>
                <w:sz w:val="18"/>
                <w:szCs w:val="18"/>
                <w:lang w:val="es-ES" w:eastAsia="en-US"/>
              </w:rPr>
              <w:t xml:space="preserve">comercializadoras </w:t>
            </w:r>
            <w:r w:rsidRPr="00E62E0B">
              <w:rPr>
                <w:rFonts w:eastAsia="Calibri" w:cs="Arial"/>
                <w:bCs/>
                <w:spacing w:val="-5"/>
                <w:sz w:val="18"/>
                <w:szCs w:val="18"/>
                <w:lang w:val="es-ES" w:eastAsia="en-US"/>
              </w:rPr>
              <w:t xml:space="preserve">para competir en uno o varios mercados </w:t>
            </w:r>
            <w:r>
              <w:rPr>
                <w:rFonts w:eastAsia="Calibri" w:cs="Arial"/>
                <w:bCs/>
                <w:spacing w:val="-5"/>
                <w:sz w:val="18"/>
                <w:szCs w:val="18"/>
                <w:lang w:val="es-ES" w:eastAsia="en-US"/>
              </w:rPr>
              <w:t>de comercialización existentes</w:t>
            </w:r>
            <w:r w:rsidRPr="00447589">
              <w:rPr>
                <w:rFonts w:eastAsia="Calibri" w:cs="Arial"/>
                <w:bCs/>
                <w:spacing w:val="-5"/>
                <w:sz w:val="18"/>
                <w:szCs w:val="18"/>
                <w:lang w:val="es-ES" w:eastAsia="en-US"/>
              </w:rPr>
              <w:t xml:space="preserve">. </w:t>
            </w:r>
          </w:p>
          <w:p w14:paraId="3BC80D74" w14:textId="77777777" w:rsidR="00E62E0B" w:rsidRPr="00447589" w:rsidRDefault="00E62E0B" w:rsidP="00E62E0B">
            <w:pPr>
              <w:autoSpaceDE w:val="0"/>
              <w:autoSpaceDN w:val="0"/>
              <w:adjustRightInd w:val="0"/>
              <w:spacing w:before="0" w:after="0"/>
              <w:jc w:val="center"/>
              <w:rPr>
                <w:rFonts w:eastAsia="Calibri" w:cs="Arial"/>
                <w:bCs/>
                <w:spacing w:val="-5"/>
                <w:sz w:val="18"/>
                <w:szCs w:val="18"/>
                <w:lang w:val="es-ES" w:eastAsia="en-US"/>
              </w:rPr>
            </w:pPr>
          </w:p>
          <w:p w14:paraId="1D6D4988" w14:textId="04B8EA0B" w:rsidR="00E62E0B" w:rsidRPr="00023BC9" w:rsidRDefault="00E62E0B" w:rsidP="00E62E0B">
            <w:pPr>
              <w:autoSpaceDE w:val="0"/>
              <w:autoSpaceDN w:val="0"/>
              <w:adjustRightInd w:val="0"/>
              <w:spacing w:before="0" w:after="0"/>
              <w:jc w:val="center"/>
              <w:rPr>
                <w:rFonts w:eastAsia="Calibri" w:cs="Arial"/>
                <w:bCs/>
                <w:spacing w:val="-5"/>
                <w:sz w:val="18"/>
                <w:szCs w:val="18"/>
                <w:lang w:val="es-ES" w:eastAsia="en-US"/>
              </w:rPr>
            </w:pPr>
            <w:r w:rsidRPr="00447589">
              <w:rPr>
                <w:rFonts w:eastAsia="Calibri" w:cs="Arial"/>
                <w:bCs/>
                <w:spacing w:val="-5"/>
                <w:sz w:val="18"/>
                <w:szCs w:val="18"/>
                <w:lang w:val="es-ES" w:eastAsia="en-US"/>
              </w:rPr>
              <w:t>Los comercializadores pueden llevar a cabo la participación en la actividad de comercialización como se ha venido haciendo hasta hoy</w:t>
            </w:r>
          </w:p>
        </w:tc>
        <w:tc>
          <w:tcPr>
            <w:tcW w:w="1843" w:type="dxa"/>
            <w:tcBorders>
              <w:top w:val="single" w:sz="4" w:space="0" w:color="000000"/>
              <w:left w:val="single" w:sz="4" w:space="0" w:color="000000"/>
              <w:bottom w:val="single" w:sz="4" w:space="0" w:color="000000"/>
              <w:right w:val="single" w:sz="4" w:space="0" w:color="000000"/>
            </w:tcBorders>
            <w:vAlign w:val="center"/>
          </w:tcPr>
          <w:p w14:paraId="04AAA1FA" w14:textId="7E19E9A4" w:rsidR="00E62E0B" w:rsidRPr="00023BC9" w:rsidRDefault="00E62E0B" w:rsidP="00E62E0B">
            <w:pPr>
              <w:autoSpaceDE w:val="0"/>
              <w:autoSpaceDN w:val="0"/>
              <w:adjustRightInd w:val="0"/>
              <w:spacing w:before="0" w:after="0"/>
              <w:ind w:right="-108"/>
              <w:jc w:val="center"/>
              <w:rPr>
                <w:rFonts w:eastAsia="Calibri" w:cs="Arial"/>
                <w:bCs/>
                <w:spacing w:val="-5"/>
                <w:sz w:val="18"/>
                <w:szCs w:val="18"/>
                <w:lang w:val="es-ES" w:eastAsia="en-US"/>
              </w:rPr>
            </w:pPr>
            <w:r w:rsidRPr="00325B4B">
              <w:rPr>
                <w:rFonts w:eastAsia="Calibri" w:cs="Arial"/>
                <w:bCs/>
                <w:spacing w:val="-5"/>
                <w:sz w:val="18"/>
                <w:szCs w:val="18"/>
                <w:lang w:val="es-ES" w:eastAsia="en-US"/>
              </w:rPr>
              <w:t>No se identifican observaciones adicionales a las expuestas en la explicación que da respuesta a la pregunta.</w:t>
            </w:r>
          </w:p>
        </w:tc>
      </w:tr>
      <w:tr w:rsidR="00AE47DC" w:rsidRPr="00023BC9" w14:paraId="1E377A5A" w14:textId="77777777" w:rsidTr="00092FBC">
        <w:trPr>
          <w:cantSplit/>
        </w:trPr>
        <w:tc>
          <w:tcPr>
            <w:tcW w:w="845" w:type="dxa"/>
            <w:tcBorders>
              <w:top w:val="single" w:sz="4" w:space="0" w:color="000000"/>
              <w:left w:val="single" w:sz="4" w:space="0" w:color="000000"/>
              <w:bottom w:val="single" w:sz="4" w:space="0" w:color="000000"/>
              <w:right w:val="single" w:sz="4" w:space="0" w:color="000000"/>
            </w:tcBorders>
            <w:hideMark/>
          </w:tcPr>
          <w:p w14:paraId="32B5E583" w14:textId="77777777" w:rsidR="00E62E0B" w:rsidRPr="00023BC9" w:rsidRDefault="00E62E0B" w:rsidP="00E62E0B">
            <w:pPr>
              <w:autoSpaceDE w:val="0"/>
              <w:autoSpaceDN w:val="0"/>
              <w:adjustRightInd w:val="0"/>
              <w:spacing w:before="0" w:after="0"/>
              <w:ind w:right="-108"/>
              <w:rPr>
                <w:rFonts w:eastAsia="Calibri" w:cs="Arial"/>
                <w:bCs/>
                <w:spacing w:val="-5"/>
                <w:sz w:val="18"/>
                <w:szCs w:val="18"/>
                <w:lang w:val="es-ES" w:eastAsia="en-US"/>
              </w:rPr>
            </w:pPr>
            <w:r w:rsidRPr="00023BC9">
              <w:rPr>
                <w:rFonts w:eastAsia="Calibri" w:cs="Arial"/>
                <w:bCs/>
                <w:spacing w:val="-5"/>
                <w:sz w:val="18"/>
                <w:szCs w:val="18"/>
                <w:lang w:val="es-ES" w:eastAsia="en-US"/>
              </w:rPr>
              <w:t>3.1</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0732A2EB" w14:textId="09C88F9A" w:rsidR="00E62E0B" w:rsidRPr="00023BC9" w:rsidRDefault="00E62E0B" w:rsidP="00E62E0B">
            <w:pPr>
              <w:autoSpaceDE w:val="0"/>
              <w:autoSpaceDN w:val="0"/>
              <w:adjustRightInd w:val="0"/>
              <w:spacing w:before="0" w:after="0"/>
              <w:ind w:right="19"/>
              <w:jc w:val="left"/>
              <w:rPr>
                <w:rFonts w:eastAsia="Calibri" w:cs="Arial"/>
                <w:bCs/>
                <w:spacing w:val="-5"/>
                <w:sz w:val="18"/>
                <w:szCs w:val="18"/>
                <w:lang w:val="es-ES" w:eastAsia="en-US"/>
              </w:rPr>
            </w:pPr>
            <w:r w:rsidRPr="00D6217E">
              <w:rPr>
                <w:rFonts w:eastAsia="Calibri" w:cs="Arial"/>
                <w:bCs/>
                <w:spacing w:val="-5"/>
                <w:sz w:val="18"/>
                <w:szCs w:val="18"/>
                <w:lang w:val="es-ES" w:eastAsia="en-US"/>
              </w:rPr>
              <w:t xml:space="preserve">Genera un régimen de autorregulación o </w:t>
            </w:r>
            <w:proofErr w:type="spellStart"/>
            <w:r w:rsidRPr="00D6217E">
              <w:rPr>
                <w:rFonts w:eastAsia="Calibri" w:cs="Arial"/>
                <w:bCs/>
                <w:spacing w:val="-5"/>
                <w:sz w:val="18"/>
                <w:szCs w:val="18"/>
                <w:lang w:val="es-ES" w:eastAsia="en-US"/>
              </w:rPr>
              <w:t>corregulación</w:t>
            </w:r>
            <w:proofErr w:type="spellEnd"/>
            <w:r w:rsidRPr="00D6217E">
              <w:rPr>
                <w:rFonts w:eastAsia="Calibri" w:cs="Arial"/>
                <w:bCs/>
                <w:spacing w:val="-5"/>
                <w:sz w:val="18"/>
                <w:szCs w:val="18"/>
                <w:lang w:val="es-ES" w:eastAsia="en-US"/>
              </w:rPr>
              <w:t>.</w:t>
            </w:r>
          </w:p>
        </w:tc>
        <w:tc>
          <w:tcPr>
            <w:tcW w:w="426" w:type="dxa"/>
            <w:tcBorders>
              <w:top w:val="single" w:sz="4" w:space="0" w:color="000000"/>
              <w:left w:val="single" w:sz="4" w:space="0" w:color="000000"/>
              <w:bottom w:val="single" w:sz="4" w:space="0" w:color="000000"/>
              <w:right w:val="single" w:sz="4" w:space="0" w:color="000000"/>
            </w:tcBorders>
            <w:vAlign w:val="center"/>
          </w:tcPr>
          <w:p w14:paraId="3CA0BA0F" w14:textId="77777777" w:rsidR="00E62E0B" w:rsidRPr="00023BC9" w:rsidRDefault="00E62E0B" w:rsidP="00E62E0B">
            <w:pPr>
              <w:autoSpaceDE w:val="0"/>
              <w:autoSpaceDN w:val="0"/>
              <w:adjustRightInd w:val="0"/>
              <w:spacing w:before="0" w:after="0"/>
              <w:ind w:right="-108"/>
              <w:jc w:val="center"/>
              <w:rPr>
                <w:rFonts w:eastAsia="Calibri" w:cs="Arial"/>
                <w:bCs/>
                <w:spacing w:val="-5"/>
                <w:sz w:val="18"/>
                <w:szCs w:val="18"/>
                <w:lang w:val="es-ES"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7D0E9D20" w14:textId="77777777" w:rsidR="00E62E0B" w:rsidRPr="00023BC9" w:rsidRDefault="00E62E0B" w:rsidP="00E62E0B">
            <w:pPr>
              <w:autoSpaceDE w:val="0"/>
              <w:autoSpaceDN w:val="0"/>
              <w:adjustRightInd w:val="0"/>
              <w:spacing w:before="0" w:after="0"/>
              <w:ind w:right="-108"/>
              <w:jc w:val="center"/>
              <w:rPr>
                <w:rFonts w:eastAsia="Calibri" w:cs="Arial"/>
                <w:bCs/>
                <w:spacing w:val="-5"/>
                <w:sz w:val="18"/>
                <w:szCs w:val="18"/>
                <w:lang w:val="es-ES" w:eastAsia="en-US"/>
              </w:rPr>
            </w:pPr>
            <w:r w:rsidRPr="00023BC9">
              <w:rPr>
                <w:rFonts w:eastAsia="Calibri" w:cs="Arial"/>
                <w:bCs/>
                <w:spacing w:val="-5"/>
                <w:sz w:val="18"/>
                <w:szCs w:val="18"/>
                <w:lang w:val="es-ES" w:eastAsia="en-US"/>
              </w:rPr>
              <w:t>X</w:t>
            </w:r>
          </w:p>
        </w:tc>
        <w:tc>
          <w:tcPr>
            <w:tcW w:w="3401" w:type="dxa"/>
            <w:tcBorders>
              <w:top w:val="single" w:sz="4" w:space="0" w:color="000000"/>
              <w:left w:val="single" w:sz="4" w:space="0" w:color="000000"/>
              <w:bottom w:val="single" w:sz="4" w:space="0" w:color="000000"/>
              <w:right w:val="single" w:sz="4" w:space="0" w:color="000000"/>
            </w:tcBorders>
            <w:vAlign w:val="center"/>
          </w:tcPr>
          <w:p w14:paraId="34AEC000" w14:textId="4A3285F3" w:rsidR="00E62E0B" w:rsidRPr="00E32035" w:rsidRDefault="00E62E0B" w:rsidP="00E62E0B">
            <w:pPr>
              <w:autoSpaceDE w:val="0"/>
              <w:autoSpaceDN w:val="0"/>
              <w:adjustRightInd w:val="0"/>
              <w:spacing w:before="0" w:after="0"/>
              <w:jc w:val="center"/>
              <w:rPr>
                <w:rFonts w:eastAsia="Calibri" w:cs="Arial"/>
                <w:bCs/>
                <w:spacing w:val="-5"/>
                <w:sz w:val="18"/>
                <w:szCs w:val="18"/>
                <w:lang w:eastAsia="en-US"/>
              </w:rPr>
            </w:pPr>
            <w:r w:rsidRPr="00E62E0B">
              <w:rPr>
                <w:rFonts w:eastAsia="Calibri" w:cs="Arial"/>
                <w:bCs/>
                <w:spacing w:val="-5"/>
                <w:sz w:val="18"/>
                <w:szCs w:val="18"/>
                <w:lang w:eastAsia="en-US"/>
              </w:rPr>
              <w:t> La propuesta regulatoria no genera un efecto de facilitar la coordinación entre proveedores o en este caso agentes comercializadores en un mercado</w:t>
            </w:r>
            <w:r w:rsidR="00837CC3">
              <w:rPr>
                <w:rFonts w:eastAsia="Calibri" w:cs="Arial"/>
                <w:bCs/>
                <w:spacing w:val="-5"/>
                <w:sz w:val="18"/>
                <w:szCs w:val="18"/>
                <w:lang w:eastAsia="en-US"/>
              </w:rPr>
              <w:t xml:space="preserve"> de comercialización</w:t>
            </w:r>
            <w:r w:rsidRPr="00E62E0B">
              <w:rPr>
                <w:rFonts w:eastAsia="Calibri" w:cs="Arial"/>
                <w:bCs/>
                <w:spacing w:val="-5"/>
                <w:sz w:val="18"/>
                <w:szCs w:val="18"/>
                <w:lang w:eastAsia="en-US"/>
              </w:rPr>
              <w:t xml:space="preserve">. </w:t>
            </w:r>
          </w:p>
        </w:tc>
        <w:tc>
          <w:tcPr>
            <w:tcW w:w="1843" w:type="dxa"/>
            <w:tcBorders>
              <w:top w:val="single" w:sz="4" w:space="0" w:color="000000"/>
              <w:left w:val="single" w:sz="4" w:space="0" w:color="000000"/>
              <w:bottom w:val="single" w:sz="4" w:space="0" w:color="000000"/>
              <w:right w:val="single" w:sz="4" w:space="0" w:color="000000"/>
            </w:tcBorders>
            <w:vAlign w:val="center"/>
          </w:tcPr>
          <w:p w14:paraId="2F087EB7" w14:textId="06FBB9EE" w:rsidR="00E62E0B" w:rsidRPr="00023BC9" w:rsidRDefault="00E62E0B" w:rsidP="00E62E0B">
            <w:pPr>
              <w:autoSpaceDE w:val="0"/>
              <w:autoSpaceDN w:val="0"/>
              <w:adjustRightInd w:val="0"/>
              <w:spacing w:before="0" w:after="0"/>
              <w:ind w:right="-108"/>
              <w:jc w:val="center"/>
              <w:rPr>
                <w:rFonts w:eastAsia="Calibri" w:cs="Arial"/>
                <w:bCs/>
                <w:spacing w:val="-5"/>
                <w:sz w:val="18"/>
                <w:szCs w:val="18"/>
                <w:lang w:val="es-ES" w:eastAsia="en-US"/>
              </w:rPr>
            </w:pPr>
            <w:r w:rsidRPr="00325B4B">
              <w:rPr>
                <w:rFonts w:eastAsia="Calibri" w:cs="Arial"/>
                <w:bCs/>
                <w:spacing w:val="-5"/>
                <w:sz w:val="18"/>
                <w:szCs w:val="18"/>
                <w:lang w:val="es-ES" w:eastAsia="en-US"/>
              </w:rPr>
              <w:t>No se identifican observaciones adicionales a las expuestas en la explicación que da respuesta a la pregunta.</w:t>
            </w:r>
          </w:p>
        </w:tc>
      </w:tr>
      <w:tr w:rsidR="00E10A78" w:rsidRPr="00023BC9" w14:paraId="5ABD9E8D" w14:textId="77777777" w:rsidTr="00092FBC">
        <w:trPr>
          <w:cantSplit/>
        </w:trPr>
        <w:tc>
          <w:tcPr>
            <w:tcW w:w="845" w:type="dxa"/>
            <w:tcBorders>
              <w:top w:val="single" w:sz="4" w:space="0" w:color="000000"/>
              <w:left w:val="single" w:sz="4" w:space="0" w:color="000000"/>
              <w:bottom w:val="single" w:sz="4" w:space="0" w:color="000000"/>
              <w:right w:val="single" w:sz="4" w:space="0" w:color="000000"/>
            </w:tcBorders>
            <w:hideMark/>
          </w:tcPr>
          <w:p w14:paraId="28005544" w14:textId="77777777" w:rsidR="008C1F1B" w:rsidRPr="00023BC9" w:rsidRDefault="008C1F1B" w:rsidP="008C1F1B">
            <w:pPr>
              <w:autoSpaceDE w:val="0"/>
              <w:autoSpaceDN w:val="0"/>
              <w:adjustRightInd w:val="0"/>
              <w:spacing w:before="0" w:after="0"/>
              <w:ind w:right="-108"/>
              <w:rPr>
                <w:rFonts w:eastAsia="Calibri" w:cs="Arial"/>
                <w:bCs/>
                <w:spacing w:val="-5"/>
                <w:sz w:val="18"/>
                <w:szCs w:val="18"/>
                <w:lang w:val="es-ES" w:eastAsia="en-US"/>
              </w:rPr>
            </w:pPr>
            <w:r w:rsidRPr="00023BC9">
              <w:rPr>
                <w:rFonts w:eastAsia="Calibri" w:cs="Arial"/>
                <w:bCs/>
                <w:spacing w:val="-5"/>
                <w:sz w:val="18"/>
                <w:szCs w:val="18"/>
                <w:lang w:val="es-ES" w:eastAsia="en-US"/>
              </w:rPr>
              <w:t>3.2.</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2FD3CB79" w14:textId="55886823" w:rsidR="008C1F1B" w:rsidRPr="00023BC9" w:rsidRDefault="008C1F1B" w:rsidP="008C1F1B">
            <w:pPr>
              <w:autoSpaceDE w:val="0"/>
              <w:autoSpaceDN w:val="0"/>
              <w:adjustRightInd w:val="0"/>
              <w:spacing w:before="0" w:after="0"/>
              <w:ind w:right="19"/>
              <w:jc w:val="left"/>
              <w:rPr>
                <w:rFonts w:eastAsia="Calibri" w:cs="Arial"/>
                <w:bCs/>
                <w:spacing w:val="-5"/>
                <w:sz w:val="18"/>
                <w:szCs w:val="18"/>
                <w:lang w:val="es-ES" w:eastAsia="en-US"/>
              </w:rPr>
            </w:pPr>
            <w:r w:rsidRPr="0053343F">
              <w:rPr>
                <w:rFonts w:eastAsia="Calibri" w:cs="Arial"/>
                <w:bCs/>
                <w:spacing w:val="-5"/>
                <w:sz w:val="18"/>
                <w:szCs w:val="18"/>
                <w:lang w:val="es-ES" w:eastAsia="en-US"/>
              </w:rPr>
              <w:t xml:space="preserve">Impone la obligación de dar publicidad sobre información sensible para una empresa que podría ser conocida por sus competidores (por </w:t>
            </w:r>
            <w:proofErr w:type="gramStart"/>
            <w:r w:rsidRPr="0053343F">
              <w:rPr>
                <w:rFonts w:eastAsia="Calibri" w:cs="Arial"/>
                <w:bCs/>
                <w:spacing w:val="-5"/>
                <w:sz w:val="18"/>
                <w:szCs w:val="18"/>
                <w:lang w:val="es-ES" w:eastAsia="en-US"/>
              </w:rPr>
              <w:t>ejemplo</w:t>
            </w:r>
            <w:proofErr w:type="gramEnd"/>
            <w:r w:rsidRPr="0053343F">
              <w:rPr>
                <w:rFonts w:eastAsia="Calibri" w:cs="Arial"/>
                <w:bCs/>
                <w:spacing w:val="-5"/>
                <w:sz w:val="18"/>
                <w:szCs w:val="18"/>
                <w:lang w:val="es-ES" w:eastAsia="en-US"/>
              </w:rPr>
              <w:t xml:space="preserve"> precios, nivel de ventas, costos, etc.)</w:t>
            </w:r>
          </w:p>
        </w:tc>
        <w:tc>
          <w:tcPr>
            <w:tcW w:w="426" w:type="dxa"/>
            <w:tcBorders>
              <w:top w:val="single" w:sz="4" w:space="0" w:color="000000"/>
              <w:left w:val="single" w:sz="4" w:space="0" w:color="000000"/>
              <w:bottom w:val="single" w:sz="4" w:space="0" w:color="000000"/>
              <w:right w:val="single" w:sz="4" w:space="0" w:color="000000"/>
            </w:tcBorders>
            <w:vAlign w:val="center"/>
          </w:tcPr>
          <w:p w14:paraId="6B31BC84" w14:textId="77777777" w:rsidR="008C1F1B" w:rsidRPr="00023BC9" w:rsidRDefault="008C1F1B" w:rsidP="008C1F1B">
            <w:pPr>
              <w:autoSpaceDE w:val="0"/>
              <w:autoSpaceDN w:val="0"/>
              <w:adjustRightInd w:val="0"/>
              <w:spacing w:before="0" w:after="0"/>
              <w:ind w:right="-108"/>
              <w:jc w:val="center"/>
              <w:rPr>
                <w:rFonts w:eastAsia="Calibri" w:cs="Arial"/>
                <w:bCs/>
                <w:spacing w:val="-5"/>
                <w:sz w:val="18"/>
                <w:szCs w:val="18"/>
                <w:lang w:val="es-ES"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6E1A12CE" w14:textId="77777777" w:rsidR="008C1F1B" w:rsidRPr="00023BC9" w:rsidRDefault="008C1F1B" w:rsidP="008C1F1B">
            <w:pPr>
              <w:autoSpaceDE w:val="0"/>
              <w:autoSpaceDN w:val="0"/>
              <w:adjustRightInd w:val="0"/>
              <w:spacing w:before="0" w:after="0"/>
              <w:ind w:right="-108"/>
              <w:jc w:val="center"/>
              <w:rPr>
                <w:rFonts w:eastAsia="Calibri" w:cs="Arial"/>
                <w:bCs/>
                <w:spacing w:val="-5"/>
                <w:sz w:val="18"/>
                <w:szCs w:val="18"/>
                <w:lang w:val="es-ES" w:eastAsia="en-US"/>
              </w:rPr>
            </w:pPr>
            <w:r w:rsidRPr="00023BC9">
              <w:rPr>
                <w:rFonts w:eastAsia="Calibri" w:cs="Arial"/>
                <w:bCs/>
                <w:spacing w:val="-5"/>
                <w:sz w:val="18"/>
                <w:szCs w:val="18"/>
                <w:lang w:val="es-ES" w:eastAsia="en-US"/>
              </w:rPr>
              <w:t>X</w:t>
            </w:r>
          </w:p>
        </w:tc>
        <w:tc>
          <w:tcPr>
            <w:tcW w:w="3401" w:type="dxa"/>
            <w:tcBorders>
              <w:top w:val="single" w:sz="4" w:space="0" w:color="000000"/>
              <w:left w:val="single" w:sz="4" w:space="0" w:color="000000"/>
              <w:bottom w:val="single" w:sz="4" w:space="0" w:color="000000"/>
              <w:right w:val="single" w:sz="4" w:space="0" w:color="000000"/>
            </w:tcBorders>
            <w:vAlign w:val="center"/>
          </w:tcPr>
          <w:p w14:paraId="1D72BF9C" w14:textId="4BF073B0" w:rsidR="008C1F1B" w:rsidRPr="005D7B00" w:rsidRDefault="008C1F1B" w:rsidP="008C1F1B">
            <w:pPr>
              <w:autoSpaceDE w:val="0"/>
              <w:autoSpaceDN w:val="0"/>
              <w:adjustRightInd w:val="0"/>
              <w:spacing w:before="0" w:after="0"/>
              <w:jc w:val="center"/>
              <w:rPr>
                <w:rFonts w:eastAsia="Calibri" w:cs="Arial"/>
                <w:bCs/>
                <w:spacing w:val="-5"/>
                <w:sz w:val="18"/>
                <w:szCs w:val="18"/>
                <w:lang w:val="es-ES" w:eastAsia="en-US"/>
              </w:rPr>
            </w:pPr>
            <w:r w:rsidRPr="005D7B00">
              <w:rPr>
                <w:rFonts w:eastAsia="Calibri" w:cs="Arial"/>
                <w:bCs/>
                <w:spacing w:val="-5"/>
                <w:sz w:val="18"/>
                <w:szCs w:val="18"/>
                <w:lang w:val="es-ES" w:eastAsia="en-US"/>
              </w:rPr>
              <w:t xml:space="preserve">La propuesta regulatoria no promueve conductas de cartelización </w:t>
            </w:r>
            <w:r w:rsidR="00C00367">
              <w:rPr>
                <w:rFonts w:eastAsia="Calibri" w:cs="Arial"/>
                <w:bCs/>
                <w:spacing w:val="-5"/>
                <w:sz w:val="18"/>
                <w:szCs w:val="18"/>
                <w:lang w:val="es-ES" w:eastAsia="en-US"/>
              </w:rPr>
              <w:t xml:space="preserve">entre agentes comercializadores </w:t>
            </w:r>
            <w:r w:rsidRPr="005D7B00">
              <w:rPr>
                <w:rFonts w:eastAsia="Calibri" w:cs="Arial"/>
                <w:bCs/>
                <w:spacing w:val="-5"/>
                <w:sz w:val="18"/>
                <w:szCs w:val="18"/>
                <w:lang w:val="es-ES" w:eastAsia="en-US"/>
              </w:rPr>
              <w:t>donde se restrinja la prestación del servicio en perjuicio de elevar las tarifas o que empeore la situación de los usuarios en cuanto a una indebida atención de las empresas.</w:t>
            </w:r>
          </w:p>
          <w:p w14:paraId="562D768C" w14:textId="77777777" w:rsidR="008C1F1B" w:rsidRPr="005D7B00" w:rsidRDefault="008C1F1B" w:rsidP="008C1F1B">
            <w:pPr>
              <w:autoSpaceDE w:val="0"/>
              <w:autoSpaceDN w:val="0"/>
              <w:adjustRightInd w:val="0"/>
              <w:spacing w:before="0" w:after="0"/>
              <w:jc w:val="center"/>
              <w:rPr>
                <w:rFonts w:eastAsia="Calibri" w:cs="Arial"/>
                <w:bCs/>
                <w:spacing w:val="-5"/>
                <w:sz w:val="18"/>
                <w:szCs w:val="18"/>
                <w:lang w:val="es-ES" w:eastAsia="en-US"/>
              </w:rPr>
            </w:pPr>
          </w:p>
          <w:p w14:paraId="7950569A" w14:textId="2929BF83" w:rsidR="008C1F1B" w:rsidRPr="00E32035" w:rsidRDefault="008C1F1B" w:rsidP="008C1F1B">
            <w:pPr>
              <w:autoSpaceDE w:val="0"/>
              <w:autoSpaceDN w:val="0"/>
              <w:adjustRightInd w:val="0"/>
              <w:spacing w:before="0" w:after="0"/>
              <w:jc w:val="center"/>
              <w:rPr>
                <w:rFonts w:eastAsia="Calibri" w:cs="Arial"/>
                <w:bCs/>
                <w:spacing w:val="-5"/>
                <w:sz w:val="18"/>
                <w:szCs w:val="18"/>
                <w:lang w:eastAsia="en-US"/>
              </w:rPr>
            </w:pPr>
            <w:r w:rsidRPr="005D7B00">
              <w:rPr>
                <w:rFonts w:eastAsia="Calibri" w:cs="Arial"/>
                <w:bCs/>
                <w:spacing w:val="-5"/>
                <w:sz w:val="18"/>
                <w:szCs w:val="18"/>
                <w:lang w:val="es-ES" w:eastAsia="en-US"/>
              </w:rPr>
              <w:t>Por el contrario, la propuesta lo que genera es que todos los comercializadores publiquen el COT como una medida de transparencia.</w:t>
            </w:r>
          </w:p>
        </w:tc>
        <w:tc>
          <w:tcPr>
            <w:tcW w:w="1843" w:type="dxa"/>
            <w:tcBorders>
              <w:top w:val="single" w:sz="4" w:space="0" w:color="000000"/>
              <w:left w:val="single" w:sz="4" w:space="0" w:color="000000"/>
              <w:bottom w:val="single" w:sz="4" w:space="0" w:color="000000"/>
              <w:right w:val="single" w:sz="4" w:space="0" w:color="000000"/>
            </w:tcBorders>
            <w:vAlign w:val="center"/>
          </w:tcPr>
          <w:p w14:paraId="1A175632" w14:textId="469E8337" w:rsidR="008C1F1B" w:rsidRPr="00023BC9" w:rsidRDefault="008C1F1B" w:rsidP="008C1F1B">
            <w:pPr>
              <w:autoSpaceDE w:val="0"/>
              <w:autoSpaceDN w:val="0"/>
              <w:adjustRightInd w:val="0"/>
              <w:spacing w:before="0" w:after="0"/>
              <w:jc w:val="center"/>
              <w:rPr>
                <w:rFonts w:eastAsia="Calibri" w:cs="Arial"/>
                <w:bCs/>
                <w:spacing w:val="-5"/>
                <w:sz w:val="18"/>
                <w:szCs w:val="18"/>
                <w:lang w:val="es-ES" w:eastAsia="en-US"/>
              </w:rPr>
            </w:pPr>
            <w:r w:rsidRPr="00325B4B">
              <w:rPr>
                <w:rFonts w:eastAsia="Calibri" w:cs="Arial"/>
                <w:bCs/>
                <w:spacing w:val="-5"/>
                <w:sz w:val="18"/>
                <w:szCs w:val="18"/>
                <w:lang w:val="es-ES" w:eastAsia="en-US"/>
              </w:rPr>
              <w:t>No se identifican observaciones adicionales a las expuestas en la explicación que da respuesta a la pregunta.</w:t>
            </w:r>
          </w:p>
        </w:tc>
      </w:tr>
      <w:tr w:rsidR="00AE47DC" w:rsidRPr="00023BC9" w14:paraId="54E59040" w14:textId="77777777" w:rsidTr="00092FBC">
        <w:trPr>
          <w:cantSplit/>
        </w:trPr>
        <w:tc>
          <w:tcPr>
            <w:tcW w:w="845" w:type="dxa"/>
            <w:tcBorders>
              <w:top w:val="single" w:sz="4" w:space="0" w:color="000000"/>
              <w:left w:val="single" w:sz="4" w:space="0" w:color="000000"/>
              <w:bottom w:val="single" w:sz="4" w:space="0" w:color="000000"/>
              <w:right w:val="single" w:sz="4" w:space="0" w:color="000000"/>
            </w:tcBorders>
            <w:hideMark/>
          </w:tcPr>
          <w:p w14:paraId="25FF72D5" w14:textId="77777777" w:rsidR="008C1F1B" w:rsidRPr="00023BC9" w:rsidRDefault="008C1F1B" w:rsidP="008C1F1B">
            <w:pPr>
              <w:autoSpaceDE w:val="0"/>
              <w:autoSpaceDN w:val="0"/>
              <w:adjustRightInd w:val="0"/>
              <w:spacing w:before="0" w:after="0"/>
              <w:ind w:right="-108"/>
              <w:rPr>
                <w:rFonts w:eastAsia="Calibri" w:cs="Arial"/>
                <w:bCs/>
                <w:spacing w:val="-5"/>
                <w:sz w:val="18"/>
                <w:szCs w:val="18"/>
                <w:lang w:val="es-ES" w:eastAsia="en-US"/>
              </w:rPr>
            </w:pPr>
            <w:r w:rsidRPr="00023BC9">
              <w:rPr>
                <w:rFonts w:eastAsia="Calibri" w:cs="Arial"/>
                <w:bCs/>
                <w:spacing w:val="-5"/>
                <w:sz w:val="18"/>
                <w:szCs w:val="18"/>
                <w:lang w:val="es-ES" w:eastAsia="en-US"/>
              </w:rPr>
              <w:t>4.0</w:t>
            </w:r>
          </w:p>
        </w:tc>
        <w:tc>
          <w:tcPr>
            <w:tcW w:w="1985" w:type="dxa"/>
            <w:tcBorders>
              <w:top w:val="single" w:sz="4" w:space="0" w:color="000000"/>
              <w:left w:val="single" w:sz="4" w:space="0" w:color="000000"/>
              <w:bottom w:val="single" w:sz="4" w:space="0" w:color="000000"/>
              <w:right w:val="single" w:sz="4" w:space="0" w:color="000000"/>
            </w:tcBorders>
            <w:vAlign w:val="center"/>
          </w:tcPr>
          <w:p w14:paraId="53E51F68" w14:textId="77777777" w:rsidR="008C1F1B" w:rsidRPr="00E32035" w:rsidRDefault="008C1F1B" w:rsidP="008C1F1B">
            <w:pPr>
              <w:autoSpaceDE w:val="0"/>
              <w:autoSpaceDN w:val="0"/>
              <w:adjustRightInd w:val="0"/>
              <w:spacing w:before="0" w:after="0"/>
              <w:ind w:right="19"/>
              <w:jc w:val="left"/>
              <w:rPr>
                <w:rFonts w:eastAsia="Calibri" w:cs="Arial"/>
                <w:b/>
                <w:spacing w:val="-5"/>
                <w:sz w:val="18"/>
                <w:szCs w:val="18"/>
                <w:lang w:val="es-ES" w:eastAsia="en-US"/>
              </w:rPr>
            </w:pPr>
            <w:proofErr w:type="gramStart"/>
            <w:r w:rsidRPr="00E32035" w:rsidDel="008B3CD1">
              <w:rPr>
                <w:rFonts w:eastAsia="Calibri" w:cs="Arial"/>
                <w:b/>
                <w:spacing w:val="-5"/>
                <w:sz w:val="18"/>
                <w:szCs w:val="18"/>
                <w:lang w:val="es-ES" w:eastAsia="en-US"/>
              </w:rPr>
              <w:t>CONCLUSIÓN FINAL</w:t>
            </w:r>
            <w:proofErr w:type="gramEnd"/>
          </w:p>
          <w:p w14:paraId="17F2C44E" w14:textId="77777777" w:rsidR="008C1F1B" w:rsidRPr="00023BC9" w:rsidRDefault="008C1F1B" w:rsidP="008C1F1B">
            <w:pPr>
              <w:autoSpaceDE w:val="0"/>
              <w:autoSpaceDN w:val="0"/>
              <w:adjustRightInd w:val="0"/>
              <w:spacing w:before="0" w:after="0"/>
              <w:ind w:right="19"/>
              <w:jc w:val="left"/>
              <w:rPr>
                <w:rFonts w:eastAsia="Calibri" w:cs="Arial"/>
                <w:bCs/>
                <w:spacing w:val="-5"/>
                <w:sz w:val="18"/>
                <w:szCs w:val="18"/>
                <w:lang w:val="es-ES" w:eastAsia="en-US"/>
              </w:rPr>
            </w:pPr>
          </w:p>
        </w:tc>
        <w:tc>
          <w:tcPr>
            <w:tcW w:w="426" w:type="dxa"/>
            <w:tcBorders>
              <w:top w:val="single" w:sz="4" w:space="0" w:color="000000"/>
              <w:left w:val="single" w:sz="4" w:space="0" w:color="000000"/>
              <w:bottom w:val="single" w:sz="4" w:space="0" w:color="000000"/>
              <w:right w:val="single" w:sz="4" w:space="0" w:color="000000"/>
            </w:tcBorders>
            <w:vAlign w:val="center"/>
          </w:tcPr>
          <w:p w14:paraId="5761B0E9" w14:textId="1C9A77BC" w:rsidR="008C1F1B" w:rsidRPr="00023BC9" w:rsidRDefault="008C1F1B" w:rsidP="008C1F1B">
            <w:pPr>
              <w:autoSpaceDE w:val="0"/>
              <w:autoSpaceDN w:val="0"/>
              <w:adjustRightInd w:val="0"/>
              <w:spacing w:before="0" w:after="0"/>
              <w:ind w:right="-108"/>
              <w:jc w:val="center"/>
              <w:rPr>
                <w:rFonts w:eastAsia="Calibri" w:cs="Arial"/>
                <w:b/>
                <w:spacing w:val="-5"/>
                <w:sz w:val="18"/>
                <w:szCs w:val="18"/>
                <w:lang w:val="es-ES"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59CCCCE9" w14:textId="2E81DE32" w:rsidR="008C1F1B" w:rsidRPr="00E32035" w:rsidRDefault="008C1F1B" w:rsidP="008C1F1B">
            <w:pPr>
              <w:autoSpaceDE w:val="0"/>
              <w:autoSpaceDN w:val="0"/>
              <w:adjustRightInd w:val="0"/>
              <w:spacing w:before="0" w:after="0"/>
              <w:ind w:right="-108"/>
              <w:jc w:val="center"/>
              <w:rPr>
                <w:rFonts w:eastAsia="Calibri" w:cs="Arial"/>
                <w:b/>
                <w:spacing w:val="-5"/>
                <w:sz w:val="18"/>
                <w:szCs w:val="18"/>
                <w:lang w:val="es-ES" w:eastAsia="en-US"/>
              </w:rPr>
            </w:pPr>
            <w:r w:rsidRPr="00E32035">
              <w:rPr>
                <w:rFonts w:eastAsia="Calibri" w:cs="Arial"/>
                <w:b/>
                <w:spacing w:val="-5"/>
                <w:sz w:val="18"/>
                <w:szCs w:val="18"/>
                <w:lang w:val="es-ES" w:eastAsia="en-US"/>
              </w:rPr>
              <w:t>X</w:t>
            </w:r>
          </w:p>
        </w:tc>
        <w:tc>
          <w:tcPr>
            <w:tcW w:w="3401" w:type="dxa"/>
            <w:tcBorders>
              <w:top w:val="single" w:sz="4" w:space="0" w:color="000000"/>
              <w:left w:val="single" w:sz="4" w:space="0" w:color="000000"/>
              <w:bottom w:val="single" w:sz="4" w:space="0" w:color="000000"/>
              <w:right w:val="single" w:sz="4" w:space="0" w:color="000000"/>
            </w:tcBorders>
            <w:vAlign w:val="center"/>
          </w:tcPr>
          <w:p w14:paraId="20DDE090" w14:textId="0EE45646" w:rsidR="008C1F1B" w:rsidRPr="00023BC9" w:rsidRDefault="00837CC3" w:rsidP="008C1F1B">
            <w:pPr>
              <w:autoSpaceDE w:val="0"/>
              <w:autoSpaceDN w:val="0"/>
              <w:adjustRightInd w:val="0"/>
              <w:spacing w:before="0" w:after="0"/>
              <w:jc w:val="center"/>
              <w:rPr>
                <w:rFonts w:eastAsia="Calibri" w:cs="Arial"/>
                <w:bCs/>
                <w:spacing w:val="-5"/>
                <w:sz w:val="18"/>
                <w:szCs w:val="18"/>
                <w:lang w:val="es-ES" w:eastAsia="en-US"/>
              </w:rPr>
            </w:pPr>
            <w:r>
              <w:rPr>
                <w:rFonts w:eastAsia="Calibri" w:cs="Arial"/>
                <w:bCs/>
                <w:spacing w:val="-5"/>
                <w:sz w:val="18"/>
                <w:szCs w:val="18"/>
                <w:lang w:val="es-ES" w:eastAsia="en-US"/>
              </w:rPr>
              <w:t xml:space="preserve">Una vez diligenciado el </w:t>
            </w:r>
            <w:r w:rsidR="00381B96" w:rsidRPr="00381B96">
              <w:rPr>
                <w:rFonts w:eastAsia="Calibri" w:cs="Arial"/>
                <w:bCs/>
                <w:spacing w:val="-5"/>
                <w:sz w:val="18"/>
                <w:szCs w:val="18"/>
                <w:lang w:val="es-ES" w:eastAsia="en-US"/>
              </w:rPr>
              <w:t>cuestionario establecido por la Superintendencia de Industria y Comercio para efectos de evaluar la incidencia sobre la libre competencia de los mercados, donde aplicando las reglas allí previstas</w:t>
            </w:r>
            <w:r w:rsidR="00C36F8D">
              <w:rPr>
                <w:rFonts w:eastAsia="Calibri" w:cs="Arial"/>
                <w:bCs/>
                <w:spacing w:val="-5"/>
                <w:sz w:val="18"/>
                <w:szCs w:val="18"/>
                <w:lang w:val="es-ES" w:eastAsia="en-US"/>
              </w:rPr>
              <w:t xml:space="preserve"> y con base en los parámetros y lineamientos </w:t>
            </w:r>
            <w:r w:rsidR="00956FC7">
              <w:rPr>
                <w:rFonts w:eastAsia="Calibri" w:cs="Arial"/>
                <w:bCs/>
                <w:spacing w:val="-5"/>
                <w:sz w:val="18"/>
                <w:szCs w:val="18"/>
                <w:lang w:val="es-ES" w:eastAsia="en-US"/>
              </w:rPr>
              <w:t>establecidos en los documentos mencionados</w:t>
            </w:r>
            <w:r w:rsidR="00381B96" w:rsidRPr="00381B96">
              <w:rPr>
                <w:rFonts w:eastAsia="Calibri" w:cs="Arial"/>
                <w:bCs/>
                <w:spacing w:val="-5"/>
                <w:sz w:val="18"/>
                <w:szCs w:val="18"/>
                <w:lang w:val="es-ES" w:eastAsia="en-US"/>
              </w:rPr>
              <w:t xml:space="preserve">, la respuesta al conjunto de preguntas fue negativa, </w:t>
            </w:r>
            <w:r w:rsidR="004072B7">
              <w:rPr>
                <w:rFonts w:eastAsia="Calibri" w:cs="Arial"/>
                <w:bCs/>
                <w:spacing w:val="-5"/>
                <w:sz w:val="18"/>
                <w:szCs w:val="18"/>
                <w:lang w:val="es-ES" w:eastAsia="en-US"/>
              </w:rPr>
              <w:t xml:space="preserve">por lo que se establece que la presente resolución no </w:t>
            </w:r>
            <w:r w:rsidR="009D1582">
              <w:rPr>
                <w:rFonts w:eastAsia="Calibri" w:cs="Arial"/>
                <w:bCs/>
                <w:spacing w:val="-5"/>
                <w:sz w:val="18"/>
                <w:szCs w:val="18"/>
                <w:lang w:val="es-ES" w:eastAsia="en-US"/>
              </w:rPr>
              <w:t>tiene incidencia en la libre competencia.</w:t>
            </w:r>
          </w:p>
        </w:tc>
        <w:tc>
          <w:tcPr>
            <w:tcW w:w="1843" w:type="dxa"/>
            <w:tcBorders>
              <w:top w:val="single" w:sz="4" w:space="0" w:color="000000"/>
              <w:left w:val="single" w:sz="4" w:space="0" w:color="000000"/>
              <w:bottom w:val="single" w:sz="4" w:space="0" w:color="000000"/>
              <w:right w:val="single" w:sz="4" w:space="0" w:color="000000"/>
            </w:tcBorders>
            <w:vAlign w:val="center"/>
          </w:tcPr>
          <w:p w14:paraId="7AFCA696" w14:textId="77777777" w:rsidR="008C1F1B" w:rsidRPr="00023BC9" w:rsidRDefault="008C1F1B" w:rsidP="008C1F1B">
            <w:pPr>
              <w:autoSpaceDE w:val="0"/>
              <w:autoSpaceDN w:val="0"/>
              <w:adjustRightInd w:val="0"/>
              <w:spacing w:before="0" w:after="0"/>
              <w:jc w:val="center"/>
              <w:rPr>
                <w:rFonts w:eastAsia="Calibri" w:cs="Arial"/>
                <w:bCs/>
                <w:spacing w:val="-5"/>
                <w:sz w:val="18"/>
                <w:szCs w:val="18"/>
                <w:lang w:val="es-ES" w:eastAsia="en-US"/>
              </w:rPr>
            </w:pPr>
          </w:p>
        </w:tc>
      </w:tr>
    </w:tbl>
    <w:p w14:paraId="2B63CE60" w14:textId="77777777" w:rsidR="00023BC9" w:rsidRPr="00023BC9" w:rsidRDefault="00023BC9" w:rsidP="00023BC9">
      <w:pPr>
        <w:keepLines/>
        <w:spacing w:before="0" w:after="0"/>
        <w:rPr>
          <w:spacing w:val="-5"/>
          <w:szCs w:val="22"/>
          <w:lang w:val="es-ES" w:eastAsia="es-ES"/>
        </w:rPr>
      </w:pPr>
    </w:p>
    <w:p w14:paraId="37F01C32" w14:textId="04ED1A6E" w:rsidR="00023BC9" w:rsidRDefault="00574593" w:rsidP="00023BC9">
      <w:pPr>
        <w:keepLines/>
        <w:spacing w:before="0" w:after="0"/>
        <w:rPr>
          <w:spacing w:val="-5"/>
          <w:szCs w:val="22"/>
          <w:lang w:val="es-ES" w:eastAsia="es-ES"/>
        </w:rPr>
      </w:pPr>
      <w:r>
        <w:rPr>
          <w:spacing w:val="-5"/>
          <w:szCs w:val="22"/>
          <w:lang w:val="es-ES" w:eastAsia="es-ES"/>
        </w:rPr>
        <w:t>Frente a lo anterior, el diligenciamiento del cuestionario tuvo en consideración lo expuesto por parte del H. Consejo de Estad</w:t>
      </w:r>
      <w:r w:rsidR="009D1582">
        <w:rPr>
          <w:spacing w:val="-5"/>
          <w:szCs w:val="22"/>
          <w:lang w:val="es-ES" w:eastAsia="es-ES"/>
        </w:rPr>
        <w:t>o</w:t>
      </w:r>
      <w:r w:rsidR="00FD5DA5">
        <w:rPr>
          <w:spacing w:val="-5"/>
          <w:szCs w:val="22"/>
          <w:lang w:val="es-ES" w:eastAsia="es-ES"/>
        </w:rPr>
        <w:t xml:space="preserve"> en </w:t>
      </w:r>
      <w:r w:rsidR="009E1106">
        <w:rPr>
          <w:spacing w:val="-5"/>
          <w:szCs w:val="22"/>
          <w:lang w:val="es-ES" w:eastAsia="es-ES"/>
        </w:rPr>
        <w:t>el concepto</w:t>
      </w:r>
      <w:r w:rsidR="009E1106" w:rsidRPr="009E1106">
        <w:rPr>
          <w:spacing w:val="-5"/>
          <w:szCs w:val="22"/>
          <w:lang w:val="es-ES" w:eastAsia="es-ES"/>
        </w:rPr>
        <w:t xml:space="preserve"> de la Sala de Consulta 2013-00500 de 4 de julio de 2013, Consejero, Dr. William Zambrano Cetina</w:t>
      </w:r>
      <w:r w:rsidR="009E1106">
        <w:rPr>
          <w:spacing w:val="-5"/>
          <w:szCs w:val="22"/>
          <w:lang w:val="es-ES" w:eastAsia="es-ES"/>
        </w:rPr>
        <w:t xml:space="preserve">, con respecto a que le corresponde </w:t>
      </w:r>
      <w:r w:rsidR="00BA687A">
        <w:rPr>
          <w:spacing w:val="-5"/>
          <w:szCs w:val="22"/>
          <w:lang w:val="es-ES" w:eastAsia="es-ES"/>
        </w:rPr>
        <w:t xml:space="preserve">al órgano regulador </w:t>
      </w:r>
      <w:r w:rsidR="00D445D3">
        <w:rPr>
          <w:spacing w:val="-5"/>
          <w:szCs w:val="22"/>
          <w:lang w:val="es-ES" w:eastAsia="es-ES"/>
        </w:rPr>
        <w:t xml:space="preserve">examinar previamente </w:t>
      </w:r>
      <w:r w:rsidR="00963EAF">
        <w:rPr>
          <w:spacing w:val="-5"/>
          <w:szCs w:val="22"/>
          <w:lang w:val="es-ES" w:eastAsia="es-ES"/>
        </w:rPr>
        <w:t>si el proyecto de regulación se adecúa a al</w:t>
      </w:r>
      <w:r w:rsidR="0092243A">
        <w:rPr>
          <w:spacing w:val="-5"/>
          <w:szCs w:val="22"/>
          <w:lang w:val="es-ES" w:eastAsia="es-ES"/>
        </w:rPr>
        <w:t xml:space="preserve">guno de los criterios </w:t>
      </w:r>
      <w:r w:rsidR="009114D9">
        <w:rPr>
          <w:spacing w:val="-5"/>
          <w:szCs w:val="22"/>
          <w:lang w:val="es-ES" w:eastAsia="es-ES"/>
        </w:rPr>
        <w:t>a que hace referencia el artículo 3º del Decreto 2897 de 2010</w:t>
      </w:r>
      <w:r w:rsidR="00C26A58">
        <w:rPr>
          <w:spacing w:val="-5"/>
          <w:szCs w:val="22"/>
          <w:lang w:val="es-ES" w:eastAsia="es-ES"/>
        </w:rPr>
        <w:t xml:space="preserve"> y de esta manera cumplir, cuando sea procedente, con el deber de informar.</w:t>
      </w:r>
    </w:p>
    <w:p w14:paraId="25249706" w14:textId="75E47E96" w:rsidR="00A406D3" w:rsidRDefault="00A406D3" w:rsidP="00023BC9">
      <w:pPr>
        <w:keepLines/>
        <w:spacing w:before="0" w:after="0"/>
        <w:rPr>
          <w:spacing w:val="-5"/>
          <w:szCs w:val="22"/>
          <w:lang w:val="es-ES" w:eastAsia="es-ES"/>
        </w:rPr>
      </w:pPr>
    </w:p>
    <w:p w14:paraId="59D94809" w14:textId="6B4CBADD" w:rsidR="00A406D3" w:rsidRDefault="00344B9A" w:rsidP="00023BC9">
      <w:pPr>
        <w:keepLines/>
        <w:spacing w:before="0" w:after="0"/>
        <w:rPr>
          <w:spacing w:val="-5"/>
          <w:szCs w:val="22"/>
          <w:lang w:val="es-ES" w:eastAsia="es-ES"/>
        </w:rPr>
      </w:pPr>
      <w:r>
        <w:rPr>
          <w:spacing w:val="-5"/>
          <w:szCs w:val="22"/>
          <w:lang w:val="es-ES" w:eastAsia="es-ES"/>
        </w:rPr>
        <w:lastRenderedPageBreak/>
        <w:t xml:space="preserve">Así mismo, en la sentencia </w:t>
      </w:r>
      <w:r w:rsidRPr="00344B9A">
        <w:rPr>
          <w:spacing w:val="-5"/>
          <w:szCs w:val="22"/>
          <w:lang w:val="es-ES" w:eastAsia="es-ES"/>
        </w:rPr>
        <w:t>de la Sección Tercera, Subsección C, Sentencia de 14 de junio de 2023, Expediente 2018-00164, Consejero Dr. Guillermo Sánchez Luque</w:t>
      </w:r>
      <w:r>
        <w:rPr>
          <w:spacing w:val="-5"/>
          <w:szCs w:val="22"/>
          <w:lang w:val="es-ES" w:eastAsia="es-ES"/>
        </w:rPr>
        <w:t xml:space="preserve">, se expuso que </w:t>
      </w:r>
      <w:r w:rsidR="00493785">
        <w:rPr>
          <w:spacing w:val="-5"/>
          <w:szCs w:val="22"/>
          <w:lang w:val="es-ES" w:eastAsia="es-ES"/>
        </w:rPr>
        <w:t>dentro de</w:t>
      </w:r>
      <w:r w:rsidR="0019439C">
        <w:rPr>
          <w:spacing w:val="-5"/>
          <w:szCs w:val="22"/>
          <w:lang w:val="es-ES" w:eastAsia="es-ES"/>
        </w:rPr>
        <w:t xml:space="preserve"> las reglas que debe observar el trámite de la abogacía de la competencia </w:t>
      </w:r>
      <w:r w:rsidR="009941F7">
        <w:rPr>
          <w:spacing w:val="-5"/>
          <w:szCs w:val="22"/>
          <w:lang w:val="es-ES" w:eastAsia="es-ES"/>
        </w:rPr>
        <w:t xml:space="preserve">se encuentra </w:t>
      </w:r>
      <w:r w:rsidR="00CE6DCF">
        <w:rPr>
          <w:spacing w:val="-5"/>
          <w:szCs w:val="22"/>
          <w:lang w:val="es-ES" w:eastAsia="es-ES"/>
        </w:rPr>
        <w:t>“</w:t>
      </w:r>
      <w:r w:rsidR="00CE6DCF" w:rsidRPr="00E32035">
        <w:rPr>
          <w:i/>
          <w:iCs/>
          <w:spacing w:val="-5"/>
          <w:szCs w:val="22"/>
          <w:lang w:val="es-ES" w:eastAsia="es-ES"/>
        </w:rPr>
        <w:t>cuando la respuesta al conjunto de preguntas del cuestionario sea negativa, la autoridad podrá considerar que el proyecto no genera</w:t>
      </w:r>
      <w:r w:rsidR="00D5799C" w:rsidRPr="00E32035">
        <w:rPr>
          <w:i/>
          <w:iCs/>
          <w:spacing w:val="-5"/>
          <w:szCs w:val="22"/>
          <w:lang w:val="es-ES" w:eastAsia="es-ES"/>
        </w:rPr>
        <w:t xml:space="preserve"> una restricción indebida a la libre competencia</w:t>
      </w:r>
      <w:r w:rsidR="00E5365A" w:rsidRPr="00E32035">
        <w:rPr>
          <w:i/>
          <w:iCs/>
          <w:spacing w:val="-5"/>
          <w:szCs w:val="22"/>
          <w:lang w:val="es-ES" w:eastAsia="es-ES"/>
        </w:rPr>
        <w:t xml:space="preserve"> y, en consecuencia, no tendrá que remitirlo a la SIC, pero </w:t>
      </w:r>
      <w:r w:rsidR="001A7697" w:rsidRPr="00E32035">
        <w:rPr>
          <w:i/>
          <w:iCs/>
          <w:spacing w:val="-5"/>
          <w:szCs w:val="22"/>
          <w:lang w:val="es-ES" w:eastAsia="es-ES"/>
        </w:rPr>
        <w:t>si lo hace esta decidirá si se pronuncia o no</w:t>
      </w:r>
      <w:r w:rsidR="001A7697">
        <w:rPr>
          <w:spacing w:val="-5"/>
          <w:szCs w:val="22"/>
          <w:lang w:val="es-ES" w:eastAsia="es-ES"/>
        </w:rPr>
        <w:t>”.</w:t>
      </w:r>
      <w:r w:rsidR="00CE6DCF">
        <w:rPr>
          <w:spacing w:val="-5"/>
          <w:szCs w:val="22"/>
          <w:lang w:val="es-ES" w:eastAsia="es-ES"/>
        </w:rPr>
        <w:t xml:space="preserve"> </w:t>
      </w:r>
    </w:p>
    <w:p w14:paraId="3B8A2BE0" w14:textId="145672CF" w:rsidR="00C26A58" w:rsidRDefault="00C26A58" w:rsidP="00023BC9">
      <w:pPr>
        <w:keepLines/>
        <w:spacing w:before="0" w:after="0"/>
        <w:rPr>
          <w:spacing w:val="-5"/>
          <w:szCs w:val="22"/>
          <w:lang w:val="es-ES" w:eastAsia="es-ES"/>
        </w:rPr>
      </w:pPr>
    </w:p>
    <w:p w14:paraId="64C713C0" w14:textId="099A7190" w:rsidR="00E31E71" w:rsidRDefault="00C26A58" w:rsidP="00023BC9">
      <w:pPr>
        <w:keepLines/>
        <w:spacing w:before="0" w:after="0"/>
        <w:rPr>
          <w:spacing w:val="-5"/>
          <w:szCs w:val="22"/>
          <w:lang w:val="es-ES" w:eastAsia="es-ES"/>
        </w:rPr>
      </w:pPr>
      <w:r>
        <w:rPr>
          <w:spacing w:val="-5"/>
          <w:szCs w:val="22"/>
          <w:lang w:val="es-ES" w:eastAsia="es-ES"/>
        </w:rPr>
        <w:t>Ahora bien, sin perjuicio de que una</w:t>
      </w:r>
      <w:r w:rsidRPr="00C26A58">
        <w:rPr>
          <w:spacing w:val="-5"/>
          <w:szCs w:val="22"/>
          <w:lang w:val="es-ES" w:eastAsia="es-ES"/>
        </w:rPr>
        <w:t xml:space="preserve"> vez diligenciado el cuestionario establecido por la Superintendencia de Industria y Comercio para efectos de evaluar la incidencia sobre la libre competencia de los mercados, donde aplicando las reglas allí previstas y con base en los parámetros y lineamientos establecidos en los documentos mencionados</w:t>
      </w:r>
      <w:r w:rsidR="00732617">
        <w:rPr>
          <w:rStyle w:val="Refdenotaalpie"/>
          <w:spacing w:val="-5"/>
          <w:szCs w:val="22"/>
          <w:lang w:val="es-ES" w:eastAsia="es-ES"/>
        </w:rPr>
        <w:footnoteReference w:id="9"/>
      </w:r>
      <w:r w:rsidRPr="00C26A58">
        <w:rPr>
          <w:spacing w:val="-5"/>
          <w:szCs w:val="22"/>
          <w:lang w:val="es-ES" w:eastAsia="es-ES"/>
        </w:rPr>
        <w:t>, la respuesta al conjunto de preguntas</w:t>
      </w:r>
      <w:r>
        <w:rPr>
          <w:spacing w:val="-5"/>
          <w:szCs w:val="22"/>
          <w:lang w:val="es-ES" w:eastAsia="es-ES"/>
        </w:rPr>
        <w:t xml:space="preserve"> realizada por la CREG</w:t>
      </w:r>
      <w:r w:rsidRPr="00C26A58">
        <w:rPr>
          <w:spacing w:val="-5"/>
          <w:szCs w:val="22"/>
          <w:lang w:val="es-ES" w:eastAsia="es-ES"/>
        </w:rPr>
        <w:t xml:space="preserve"> fue negativa, </w:t>
      </w:r>
      <w:r>
        <w:rPr>
          <w:spacing w:val="-5"/>
          <w:szCs w:val="22"/>
          <w:lang w:val="es-ES" w:eastAsia="es-ES"/>
        </w:rPr>
        <w:t>con base en las explicaciones</w:t>
      </w:r>
      <w:r w:rsidR="008A297E">
        <w:rPr>
          <w:spacing w:val="-5"/>
          <w:szCs w:val="22"/>
          <w:lang w:val="es-ES" w:eastAsia="es-ES"/>
        </w:rPr>
        <w:t>,</w:t>
      </w:r>
      <w:r>
        <w:rPr>
          <w:spacing w:val="-5"/>
          <w:szCs w:val="22"/>
          <w:lang w:val="es-ES" w:eastAsia="es-ES"/>
        </w:rPr>
        <w:t xml:space="preserve"> y en algunos casos</w:t>
      </w:r>
      <w:r w:rsidR="008A297E">
        <w:rPr>
          <w:spacing w:val="-5"/>
          <w:szCs w:val="22"/>
          <w:lang w:val="es-ES" w:eastAsia="es-ES"/>
        </w:rPr>
        <w:t>,</w:t>
      </w:r>
      <w:r>
        <w:rPr>
          <w:spacing w:val="-5"/>
          <w:szCs w:val="22"/>
          <w:lang w:val="es-ES" w:eastAsia="es-ES"/>
        </w:rPr>
        <w:t xml:space="preserve"> las observaciones que allí se consignan, concluyendo que </w:t>
      </w:r>
      <w:r w:rsidRPr="00C26A58">
        <w:rPr>
          <w:spacing w:val="-5"/>
          <w:szCs w:val="22"/>
          <w:lang w:val="es-ES" w:eastAsia="es-ES"/>
        </w:rPr>
        <w:t>la presente resolución no tiene incidencia en la libre competencia</w:t>
      </w:r>
      <w:r>
        <w:rPr>
          <w:spacing w:val="-5"/>
          <w:szCs w:val="22"/>
          <w:lang w:val="es-ES" w:eastAsia="es-ES"/>
        </w:rPr>
        <w:t xml:space="preserve">; en la Sesión CREG </w:t>
      </w:r>
      <w:r w:rsidR="002347AD">
        <w:rPr>
          <w:spacing w:val="-5"/>
          <w:szCs w:val="22"/>
          <w:lang w:val="es-ES" w:eastAsia="es-ES"/>
        </w:rPr>
        <w:t>12</w:t>
      </w:r>
      <w:r w:rsidR="008C5346">
        <w:rPr>
          <w:spacing w:val="-5"/>
          <w:szCs w:val="22"/>
          <w:lang w:val="es-ES" w:eastAsia="es-ES"/>
        </w:rPr>
        <w:t>94</w:t>
      </w:r>
      <w:r w:rsidR="00837945">
        <w:rPr>
          <w:spacing w:val="-5"/>
          <w:szCs w:val="22"/>
          <w:lang w:val="es-ES" w:eastAsia="es-ES"/>
        </w:rPr>
        <w:t xml:space="preserve"> de </w:t>
      </w:r>
      <w:r w:rsidR="008C5346">
        <w:rPr>
          <w:spacing w:val="-5"/>
          <w:szCs w:val="22"/>
          <w:lang w:val="es-ES" w:eastAsia="es-ES"/>
        </w:rPr>
        <w:t>24</w:t>
      </w:r>
      <w:r w:rsidR="00837945">
        <w:rPr>
          <w:spacing w:val="-5"/>
          <w:szCs w:val="22"/>
          <w:lang w:val="es-ES" w:eastAsia="es-ES"/>
        </w:rPr>
        <w:t xml:space="preserve"> de noviembre de 2023, se acordó por parte de los miembros de la CREG informar </w:t>
      </w:r>
      <w:r w:rsidR="00861ABF">
        <w:rPr>
          <w:spacing w:val="-5"/>
          <w:szCs w:val="22"/>
          <w:lang w:val="es-ES" w:eastAsia="es-ES"/>
        </w:rPr>
        <w:t xml:space="preserve">a la </w:t>
      </w:r>
      <w:r w:rsidR="00861ABF" w:rsidRPr="00861ABF">
        <w:rPr>
          <w:spacing w:val="-5"/>
          <w:szCs w:val="22"/>
          <w:lang w:val="es-ES" w:eastAsia="es-ES"/>
        </w:rPr>
        <w:t>Superintendencia de Industria y Comercio</w:t>
      </w:r>
      <w:r w:rsidR="00861ABF">
        <w:rPr>
          <w:spacing w:val="-5"/>
          <w:szCs w:val="22"/>
          <w:lang w:val="es-ES" w:eastAsia="es-ES"/>
        </w:rPr>
        <w:t xml:space="preserve"> </w:t>
      </w:r>
      <w:r w:rsidR="00DC52E8">
        <w:rPr>
          <w:spacing w:val="-5"/>
          <w:szCs w:val="22"/>
          <w:lang w:val="es-ES" w:eastAsia="es-ES"/>
        </w:rPr>
        <w:t>de la presente propuesta regulatoria</w:t>
      </w:r>
      <w:r w:rsidR="00861ABF">
        <w:rPr>
          <w:spacing w:val="-5"/>
          <w:szCs w:val="22"/>
          <w:lang w:val="es-ES" w:eastAsia="es-ES"/>
        </w:rPr>
        <w:t xml:space="preserve">, para </w:t>
      </w:r>
      <w:r w:rsidR="00CF0725">
        <w:rPr>
          <w:spacing w:val="-5"/>
          <w:szCs w:val="22"/>
          <w:lang w:val="es-ES" w:eastAsia="es-ES"/>
        </w:rPr>
        <w:t>que esta entidad de manera directa tuviera conocimiento de las motivaciones, razonamientos</w:t>
      </w:r>
      <w:r w:rsidR="00DC52E8">
        <w:rPr>
          <w:spacing w:val="-5"/>
          <w:szCs w:val="22"/>
          <w:lang w:val="es-ES" w:eastAsia="es-ES"/>
        </w:rPr>
        <w:t>, análisis y argumentos que llevaron a la expedición de la resolución</w:t>
      </w:r>
      <w:r w:rsidR="003B3197">
        <w:t xml:space="preserve">, </w:t>
      </w:r>
      <w:r w:rsidR="00DC52E8">
        <w:t xml:space="preserve">lo cual incluye </w:t>
      </w:r>
      <w:r w:rsidR="00DC52E8" w:rsidRPr="00DC52E8">
        <w:rPr>
          <w:spacing w:val="-5"/>
          <w:szCs w:val="22"/>
          <w:lang w:val="es-ES" w:eastAsia="es-ES"/>
        </w:rPr>
        <w:t>el resultado del diligenciamiento del cuestionario</w:t>
      </w:r>
      <w:r w:rsidR="00E31E71">
        <w:rPr>
          <w:spacing w:val="-5"/>
          <w:szCs w:val="22"/>
          <w:lang w:val="es-ES" w:eastAsia="es-ES"/>
        </w:rPr>
        <w:t xml:space="preserve"> y </w:t>
      </w:r>
      <w:r w:rsidR="00C47351">
        <w:rPr>
          <w:spacing w:val="-5"/>
          <w:szCs w:val="22"/>
          <w:lang w:val="es-ES" w:eastAsia="es-ES"/>
        </w:rPr>
        <w:t xml:space="preserve">las </w:t>
      </w:r>
      <w:r w:rsidR="003B3197">
        <w:rPr>
          <w:spacing w:val="-5"/>
          <w:szCs w:val="22"/>
          <w:lang w:val="es-ES" w:eastAsia="es-ES"/>
        </w:rPr>
        <w:t>explicaciones dadas a las preguntas allí formuladas</w:t>
      </w:r>
      <w:r w:rsidR="009D0084">
        <w:rPr>
          <w:spacing w:val="-5"/>
          <w:szCs w:val="22"/>
          <w:lang w:val="es-ES" w:eastAsia="es-ES"/>
        </w:rPr>
        <w:t xml:space="preserve">, entre otras, teniendo en cuenta que </w:t>
      </w:r>
      <w:r w:rsidR="00DC2791">
        <w:rPr>
          <w:spacing w:val="-5"/>
          <w:szCs w:val="22"/>
          <w:lang w:val="es-ES" w:eastAsia="es-ES"/>
        </w:rPr>
        <w:t>la propuesta implica una modificación a la</w:t>
      </w:r>
      <w:r w:rsidR="007441A5">
        <w:rPr>
          <w:spacing w:val="-5"/>
          <w:szCs w:val="22"/>
          <w:lang w:val="es-ES" w:eastAsia="es-ES"/>
        </w:rPr>
        <w:t xml:space="preserve"> metodología de la</w:t>
      </w:r>
      <w:r w:rsidR="00DC2791">
        <w:rPr>
          <w:spacing w:val="-5"/>
          <w:szCs w:val="22"/>
          <w:lang w:val="es-ES" w:eastAsia="es-ES"/>
        </w:rPr>
        <w:t xml:space="preserve"> Resolución CREG 119 de 2007</w:t>
      </w:r>
      <w:r w:rsidR="0037380F">
        <w:rPr>
          <w:spacing w:val="-5"/>
          <w:szCs w:val="22"/>
          <w:lang w:val="es-ES" w:eastAsia="es-ES"/>
        </w:rPr>
        <w:t xml:space="preserve"> “</w:t>
      </w:r>
      <w:r w:rsidR="0037380F" w:rsidRPr="0037380F">
        <w:rPr>
          <w:spacing w:val="-5"/>
          <w:szCs w:val="22"/>
          <w:lang w:val="es-ES" w:eastAsia="es-ES"/>
        </w:rPr>
        <w:t>Por la cual se aprueba la fórmula tarifaria general que permite a los Comercializadores Minoristas de electricidad establecer los costos de prestación del servicio a usuarios regulados en el Sistema Interconectado Nacional</w:t>
      </w:r>
      <w:r w:rsidR="0037380F">
        <w:rPr>
          <w:spacing w:val="-5"/>
          <w:szCs w:val="22"/>
          <w:lang w:val="es-ES" w:eastAsia="es-ES"/>
        </w:rPr>
        <w:t>”.</w:t>
      </w:r>
      <w:r w:rsidR="00E31E71">
        <w:rPr>
          <w:spacing w:val="-5"/>
          <w:szCs w:val="22"/>
          <w:lang w:val="es-ES" w:eastAsia="es-ES"/>
        </w:rPr>
        <w:t xml:space="preserve"> </w:t>
      </w:r>
    </w:p>
    <w:p w14:paraId="0F2C54ED" w14:textId="3598CD2E" w:rsidR="007441A5" w:rsidRDefault="007441A5" w:rsidP="00023BC9">
      <w:pPr>
        <w:keepLines/>
        <w:spacing w:before="0" w:after="0"/>
        <w:rPr>
          <w:spacing w:val="-5"/>
          <w:szCs w:val="22"/>
          <w:lang w:val="es-ES" w:eastAsia="es-ES"/>
        </w:rPr>
      </w:pPr>
    </w:p>
    <w:p w14:paraId="42042664" w14:textId="3B81E3D2" w:rsidR="007441A5" w:rsidRDefault="007441A5" w:rsidP="00023BC9">
      <w:pPr>
        <w:keepLines/>
        <w:spacing w:before="0" w:after="0"/>
        <w:rPr>
          <w:spacing w:val="-5"/>
          <w:szCs w:val="22"/>
          <w:lang w:val="es-ES" w:eastAsia="es-ES"/>
        </w:rPr>
      </w:pPr>
      <w:r>
        <w:rPr>
          <w:spacing w:val="-5"/>
          <w:szCs w:val="22"/>
          <w:lang w:val="es-ES" w:eastAsia="es-ES"/>
        </w:rPr>
        <w:t xml:space="preserve">Lo anterior, considerando </w:t>
      </w:r>
      <w:r w:rsidR="003B3197">
        <w:rPr>
          <w:spacing w:val="-5"/>
          <w:szCs w:val="22"/>
          <w:lang w:val="es-ES" w:eastAsia="es-ES"/>
        </w:rPr>
        <w:t>la coordinación institucional</w:t>
      </w:r>
      <w:r w:rsidR="006418CC">
        <w:rPr>
          <w:spacing w:val="-5"/>
          <w:szCs w:val="22"/>
          <w:lang w:val="es-ES" w:eastAsia="es-ES"/>
        </w:rPr>
        <w:t xml:space="preserve"> que deben existir entre la Superintendencia de Industria y Comercio y la CREG</w:t>
      </w:r>
      <w:r w:rsidR="00347754">
        <w:rPr>
          <w:spacing w:val="-5"/>
          <w:szCs w:val="22"/>
          <w:lang w:val="es-ES" w:eastAsia="es-ES"/>
        </w:rPr>
        <w:t xml:space="preserve"> para el buen funcionamiento del Estado y la función pública</w:t>
      </w:r>
      <w:r w:rsidR="006418CC">
        <w:rPr>
          <w:spacing w:val="-5"/>
          <w:szCs w:val="22"/>
          <w:lang w:val="es-ES" w:eastAsia="es-ES"/>
        </w:rPr>
        <w:t xml:space="preserve">, exponiendo </w:t>
      </w:r>
      <w:r w:rsidR="00B13B33">
        <w:rPr>
          <w:spacing w:val="-5"/>
          <w:szCs w:val="22"/>
          <w:lang w:val="es-ES" w:eastAsia="es-ES"/>
        </w:rPr>
        <w:t xml:space="preserve">la debida diligencia realizada para </w:t>
      </w:r>
      <w:r w:rsidR="00BC205C">
        <w:rPr>
          <w:spacing w:val="-5"/>
          <w:szCs w:val="22"/>
          <w:lang w:val="es-ES" w:eastAsia="es-ES"/>
        </w:rPr>
        <w:t xml:space="preserve">llevar a cabo </w:t>
      </w:r>
      <w:r w:rsidR="00F21128">
        <w:rPr>
          <w:spacing w:val="-5"/>
          <w:szCs w:val="22"/>
          <w:lang w:val="es-ES" w:eastAsia="es-ES"/>
        </w:rPr>
        <w:t xml:space="preserve">el diligenciamiento del cuestionario, </w:t>
      </w:r>
      <w:r w:rsidR="008D340B">
        <w:rPr>
          <w:spacing w:val="-5"/>
          <w:szCs w:val="22"/>
          <w:lang w:val="es-ES" w:eastAsia="es-ES"/>
        </w:rPr>
        <w:t xml:space="preserve">buscando hacer concordantes los fines y objetivos regulatorios </w:t>
      </w:r>
      <w:r w:rsidR="00F21128">
        <w:rPr>
          <w:spacing w:val="-5"/>
          <w:szCs w:val="22"/>
          <w:lang w:val="es-ES" w:eastAsia="es-ES"/>
        </w:rPr>
        <w:t xml:space="preserve"> </w:t>
      </w:r>
      <w:r w:rsidR="008D340B">
        <w:rPr>
          <w:spacing w:val="-5"/>
          <w:szCs w:val="22"/>
          <w:lang w:val="es-ES" w:eastAsia="es-ES"/>
        </w:rPr>
        <w:t>de la propuesta</w:t>
      </w:r>
      <w:r w:rsidR="008D340B" w:rsidRPr="008D340B">
        <w:rPr>
          <w:spacing w:val="-5"/>
          <w:szCs w:val="22"/>
          <w:lang w:val="es-ES" w:eastAsia="es-ES"/>
        </w:rPr>
        <w:t xml:space="preserve"> en relación con la situación de la prestación del servicio público domiciliario de energía eléctrica</w:t>
      </w:r>
      <w:r w:rsidR="00AE47DC">
        <w:rPr>
          <w:spacing w:val="-5"/>
          <w:szCs w:val="22"/>
          <w:lang w:val="es-ES" w:eastAsia="es-ES"/>
        </w:rPr>
        <w:t xml:space="preserve"> frente a los saldos acumulados de la opción tarifaria</w:t>
      </w:r>
      <w:r w:rsidR="008D340B">
        <w:rPr>
          <w:spacing w:val="-5"/>
          <w:szCs w:val="22"/>
          <w:lang w:val="es-ES" w:eastAsia="es-ES"/>
        </w:rPr>
        <w:t xml:space="preserve">, así como </w:t>
      </w:r>
      <w:r w:rsidR="00E65080">
        <w:rPr>
          <w:spacing w:val="-5"/>
          <w:szCs w:val="22"/>
          <w:lang w:val="es-ES" w:eastAsia="es-ES"/>
        </w:rPr>
        <w:t xml:space="preserve">previniendo que dicha regulación sea entendida como un obstáculo para la libre competencia económica. </w:t>
      </w:r>
    </w:p>
    <w:p w14:paraId="20F35882" w14:textId="3411D565" w:rsidR="004F5600" w:rsidRDefault="004F5600" w:rsidP="00023BC9">
      <w:pPr>
        <w:keepLines/>
        <w:spacing w:before="0" w:after="0"/>
        <w:rPr>
          <w:spacing w:val="-5"/>
          <w:szCs w:val="22"/>
          <w:lang w:val="es-ES" w:eastAsia="es-ES"/>
        </w:rPr>
      </w:pPr>
    </w:p>
    <w:p w14:paraId="2B3464CD" w14:textId="77777777" w:rsidR="004F5600" w:rsidRPr="00023BC9" w:rsidRDefault="004F5600" w:rsidP="00023BC9">
      <w:pPr>
        <w:keepLines/>
        <w:spacing w:before="0" w:after="0"/>
        <w:rPr>
          <w:spacing w:val="-5"/>
          <w:szCs w:val="22"/>
          <w:lang w:val="es-ES" w:eastAsia="es-ES"/>
        </w:rPr>
      </w:pPr>
    </w:p>
    <w:p w14:paraId="0C1A3BDF" w14:textId="77777777" w:rsidR="00023BC9" w:rsidRPr="00023BC9" w:rsidRDefault="00023BC9" w:rsidP="00023BC9">
      <w:pPr>
        <w:keepLines/>
        <w:spacing w:before="0" w:after="0"/>
        <w:rPr>
          <w:spacing w:val="-5"/>
          <w:szCs w:val="22"/>
          <w:lang w:val="es-ES" w:eastAsia="es-ES"/>
        </w:rPr>
      </w:pPr>
    </w:p>
    <w:p w14:paraId="0CBB02D9" w14:textId="77777777" w:rsidR="00023BC9" w:rsidRPr="00E32035" w:rsidRDefault="00023BC9" w:rsidP="00B9227A">
      <w:pPr>
        <w:rPr>
          <w:lang w:val="es-ES"/>
        </w:rPr>
      </w:pPr>
    </w:p>
    <w:sectPr w:rsidR="00023BC9" w:rsidRPr="00E32035" w:rsidSect="00F63346">
      <w:headerReference w:type="default" r:id="rId42"/>
      <w:footerReference w:type="default" r:id="rId43"/>
      <w:pgSz w:w="12242" w:h="15842" w:code="1"/>
      <w:pgMar w:top="1701" w:right="1701" w:bottom="1560" w:left="1701" w:header="851" w:footer="851"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03EEB9" w14:textId="77777777" w:rsidR="00A95BC5" w:rsidRDefault="00A95BC5">
      <w:r>
        <w:separator/>
      </w:r>
    </w:p>
    <w:p w14:paraId="30E9E981" w14:textId="77777777" w:rsidR="00A95BC5" w:rsidRDefault="00A95BC5"/>
  </w:endnote>
  <w:endnote w:type="continuationSeparator" w:id="0">
    <w:p w14:paraId="286B5F54" w14:textId="77777777" w:rsidR="00A95BC5" w:rsidRDefault="00A95BC5">
      <w:r>
        <w:continuationSeparator/>
      </w:r>
    </w:p>
    <w:p w14:paraId="3A34E378" w14:textId="77777777" w:rsidR="00A95BC5" w:rsidRDefault="00A95BC5"/>
  </w:endnote>
  <w:endnote w:type="continuationNotice" w:id="1">
    <w:p w14:paraId="26A71D81" w14:textId="77777777" w:rsidR="00A95BC5" w:rsidRDefault="00A95BC5"/>
    <w:p w14:paraId="7423A963" w14:textId="77777777" w:rsidR="00A95BC5" w:rsidRDefault="00A95B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A0394" w14:textId="092FE4D1" w:rsidR="00F12F3B" w:rsidRPr="00DB2418" w:rsidDel="00C21C24" w:rsidRDefault="00DB2418" w:rsidP="00DB2418">
    <w:pPr>
      <w:pStyle w:val="Piedepgina"/>
    </w:pPr>
    <w:r w:rsidRPr="00321EB8">
      <w:rPr>
        <w:sz w:val="16"/>
      </w:rPr>
      <w:t>D</w:t>
    </w:r>
    <w:r w:rsidR="002D3811">
      <w:rPr>
        <w:sz w:val="16"/>
      </w:rPr>
      <w:t xml:space="preserve"> – 901 037 DE 2023</w:t>
    </w:r>
    <w:r w:rsidRPr="00321EB8">
      <w:rPr>
        <w:sz w:val="16"/>
      </w:rPr>
      <w:t xml:space="preserve"> </w:t>
    </w:r>
    <w:r>
      <w:rPr>
        <w:sz w:val="16"/>
      </w:rPr>
      <w:t xml:space="preserve">– </w:t>
    </w:r>
    <w:r w:rsidR="002D3811" w:rsidRPr="002D3811">
      <w:rPr>
        <w:sz w:val="16"/>
      </w:rPr>
      <w:t>RECUPERACIÓN DE LOS SALDOS ACUMULADOS DE LA OPCIÓN TARIFARIA EN ENERGÍA ELÉCTRICA</w:t>
    </w:r>
    <w:r w:rsidR="002D3811">
      <w:rPr>
        <w:sz w:val="18"/>
        <w:szCs w:val="18"/>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13CEED" w14:textId="77777777" w:rsidR="00A95BC5" w:rsidRDefault="00A95BC5">
      <w:r>
        <w:separator/>
      </w:r>
    </w:p>
    <w:p w14:paraId="16F640E7" w14:textId="77777777" w:rsidR="00A95BC5" w:rsidRDefault="00A95BC5"/>
  </w:footnote>
  <w:footnote w:type="continuationSeparator" w:id="0">
    <w:p w14:paraId="17211366" w14:textId="77777777" w:rsidR="00A95BC5" w:rsidRDefault="00A95BC5">
      <w:r>
        <w:continuationSeparator/>
      </w:r>
    </w:p>
    <w:p w14:paraId="6AF1F25E" w14:textId="77777777" w:rsidR="00A95BC5" w:rsidRDefault="00A95BC5"/>
  </w:footnote>
  <w:footnote w:type="continuationNotice" w:id="1">
    <w:p w14:paraId="19D0B04E" w14:textId="77777777" w:rsidR="00A95BC5" w:rsidRDefault="00A95BC5"/>
    <w:p w14:paraId="76085DC6" w14:textId="77777777" w:rsidR="00A95BC5" w:rsidRDefault="00A95BC5"/>
  </w:footnote>
  <w:footnote w:id="2">
    <w:p w14:paraId="0A4BD7F1" w14:textId="77777777" w:rsidR="008E12A7" w:rsidRPr="008230A3" w:rsidRDefault="008E12A7" w:rsidP="008E12A7">
      <w:pPr>
        <w:pStyle w:val="Textonotapie"/>
      </w:pPr>
      <w:r>
        <w:rPr>
          <w:rStyle w:val="Refdenotaalpie"/>
        </w:rPr>
        <w:footnoteRef/>
      </w:r>
      <w:r>
        <w:t xml:space="preserve"> Lo anterior, teniendo en cuenta que dentro del proceso de comentarios con comunicación E-2020-000113 ASOCODIS expuso lo siguiente “</w:t>
      </w:r>
      <w:r w:rsidRPr="008230A3">
        <w:rPr>
          <w:i/>
          <w:iCs/>
        </w:rPr>
        <w:t>Finalmente, en el numeral 9 del artículo 2° se propone que el Comercializador deberá permitir que los usuarios puedan escoger entre la aplicación de la Opción Tarifaria y el Costo Unitario, para lo cual se debe informar a los usuarios y disponer de un medio en la página web para que el usuario manifieste su decisión. Entendemos que se pretende empoderar al usuario con el fin de que tome decisiones con relación al cobro del servicio de energía eléctrica asociado a su consumo, lo cual consideramos adecuado y bien intencionado, sin embargo, dado que su implementación exige tiempo y análisis, se retrasaría la aplicación de la opción tarifaria, perdiendo la oportunidad de mitigar los incrementos que se presenten en el muy corto plazo. Por ello, respetuosamente sugerimos que esta medida no aplique en forma inmediata, sino que se analice con mayor profundidad en el marco de la formula tarifaria que se va a revisar</w:t>
      </w:r>
      <w:r>
        <w:t>”.</w:t>
      </w:r>
    </w:p>
  </w:footnote>
  <w:footnote w:id="3">
    <w:p w14:paraId="54E1D77C" w14:textId="5F200E1A" w:rsidR="005722C2" w:rsidRPr="005722C2" w:rsidRDefault="005722C2">
      <w:pPr>
        <w:pStyle w:val="Textonotapie"/>
      </w:pPr>
      <w:r>
        <w:rPr>
          <w:rStyle w:val="Refdenotaalpie"/>
        </w:rPr>
        <w:footnoteRef/>
      </w:r>
      <w:r>
        <w:t xml:space="preserve"> Ponderado con base en </w:t>
      </w:r>
      <w:r w:rsidR="00E5166B">
        <w:t>las ventas de cada mercado de comercialización</w:t>
      </w:r>
    </w:p>
  </w:footnote>
  <w:footnote w:id="4">
    <w:p w14:paraId="06AF5D6F" w14:textId="37D64A75" w:rsidR="00E444D1" w:rsidRPr="00A60D73" w:rsidRDefault="00E444D1">
      <w:pPr>
        <w:pStyle w:val="Textonotapie"/>
        <w:rPr>
          <w:lang w:val="es-MX"/>
        </w:rPr>
      </w:pPr>
      <w:r w:rsidRPr="00A60D73">
        <w:rPr>
          <w:rStyle w:val="Refdenotaalpie"/>
        </w:rPr>
        <w:footnoteRef/>
      </w:r>
      <w:r w:rsidRPr="00A60D73">
        <w:t xml:space="preserve"> </w:t>
      </w:r>
      <w:r w:rsidR="0012077B" w:rsidRPr="00A60D73">
        <w:rPr>
          <w:lang w:val="es-MX"/>
        </w:rPr>
        <w:t xml:space="preserve">Sin considerar el efecto del saldo </w:t>
      </w:r>
      <w:r w:rsidR="000D2DCB" w:rsidRPr="00A60D73">
        <w:rPr>
          <w:lang w:val="es-MX"/>
        </w:rPr>
        <w:t xml:space="preserve">efectuado por </w:t>
      </w:r>
      <w:r w:rsidR="0012077B" w:rsidRPr="00A60D73">
        <w:rPr>
          <w:lang w:val="es-MX"/>
        </w:rPr>
        <w:t xml:space="preserve">la variable </w:t>
      </w:r>
      <w:r w:rsidR="0012077B" w:rsidRPr="00A60D73">
        <w:rPr>
          <w:i/>
          <w:iCs/>
          <w:lang w:val="es-MX"/>
        </w:rPr>
        <w:t>Aj</w:t>
      </w:r>
      <w:r w:rsidR="00D851FF" w:rsidRPr="00A60D73">
        <w:rPr>
          <w:i/>
          <w:iCs/>
          <w:vertAlign w:val="subscript"/>
          <w:lang w:val="es-MX"/>
        </w:rPr>
        <w:t>m,i</w:t>
      </w:r>
      <w:r w:rsidR="0012077B" w:rsidRPr="00A60D73">
        <w:rPr>
          <w:lang w:val="es-MX"/>
        </w:rPr>
        <w:t xml:space="preserve"> en el cálculo del c</w:t>
      </w:r>
      <w:r w:rsidR="001E297F" w:rsidRPr="00A60D73">
        <w:rPr>
          <w:lang w:val="es-MX"/>
        </w:rPr>
        <w:t>osto</w:t>
      </w:r>
      <w:r w:rsidR="0012077B" w:rsidRPr="00A60D73">
        <w:rPr>
          <w:lang w:val="es-MX"/>
        </w:rPr>
        <w:t xml:space="preserve"> de generación.</w:t>
      </w:r>
    </w:p>
  </w:footnote>
  <w:footnote w:id="5">
    <w:p w14:paraId="71C859EA" w14:textId="77777777" w:rsidR="00CE203F" w:rsidRPr="00E32035" w:rsidRDefault="00CE203F" w:rsidP="00CE203F">
      <w:pPr>
        <w:pStyle w:val="Textonotapie"/>
      </w:pPr>
      <w:r w:rsidRPr="00E32035">
        <w:rPr>
          <w:rStyle w:val="Refdenotaalpie"/>
        </w:rPr>
        <w:footnoteRef/>
      </w:r>
      <w:r w:rsidRPr="00E32035">
        <w:t xml:space="preserve"> Ver literal d del artículo 2B de la Resolución CRA 911 de 2020 “Por la cual se establecen medidas regulatorias transitorias en el sector de agua potable y saneamiento básico, derivadas de la emergencia declarada por el Gobierno nacional a causa del COVID-19”.</w:t>
      </w:r>
    </w:p>
  </w:footnote>
  <w:footnote w:id="6">
    <w:p w14:paraId="2AA3546B" w14:textId="7E3F3AAD" w:rsidR="00187F5D" w:rsidRPr="00E32035" w:rsidRDefault="008226E5">
      <w:pPr>
        <w:pStyle w:val="Textonotapie"/>
        <w:rPr>
          <w:lang w:val="en-US"/>
        </w:rPr>
      </w:pPr>
      <w:r w:rsidRPr="00A60D73">
        <w:rPr>
          <w:rStyle w:val="Refdenotaalpie"/>
        </w:rPr>
        <w:footnoteRef/>
      </w:r>
      <w:r w:rsidR="00092FBC" w:rsidRPr="00A60D73">
        <w:rPr>
          <w:lang w:val="en-US"/>
        </w:rPr>
        <w:t>chrome extension://efaidnbmnnnibpcajpcglclefindmkaj/https://www.oecd.org/daf/competition/98765433.pdf</w:t>
      </w:r>
      <w:r w:rsidR="00187F5D" w:rsidRPr="00E32035">
        <w:rPr>
          <w:lang w:val="en-US"/>
        </w:rPr>
        <w:t xml:space="preserve"> </w:t>
      </w:r>
    </w:p>
  </w:footnote>
  <w:footnote w:id="7">
    <w:p w14:paraId="15CAC87C" w14:textId="2BFCCCF4" w:rsidR="0086169C" w:rsidRPr="00E32035" w:rsidRDefault="0086169C">
      <w:pPr>
        <w:pStyle w:val="Textonotapie"/>
        <w:rPr>
          <w:lang w:val="en-US"/>
        </w:rPr>
      </w:pPr>
      <w:r w:rsidRPr="00A60D73">
        <w:rPr>
          <w:rStyle w:val="Refdenotaalpie"/>
        </w:rPr>
        <w:footnoteRef/>
      </w:r>
      <w:r w:rsidRPr="00E32035">
        <w:rPr>
          <w:lang w:val="en-US"/>
        </w:rPr>
        <w:t xml:space="preserve"> chrome-extension://efaidnbmnnnibpcajpcglclefindmkaj/https://www.sic.gov.co/sites/default/files/files/cartillaabogacia.pdf</w:t>
      </w:r>
      <w:r w:rsidR="00092FBC" w:rsidRPr="00A60D73">
        <w:rPr>
          <w:lang w:val="en-US"/>
        </w:rPr>
        <w:t xml:space="preserve"> </w:t>
      </w:r>
    </w:p>
  </w:footnote>
  <w:footnote w:id="8">
    <w:p w14:paraId="207C1F76" w14:textId="1B62C381" w:rsidR="00092FBC" w:rsidRPr="00E32035" w:rsidRDefault="006424EE">
      <w:pPr>
        <w:pStyle w:val="Textonotapie"/>
        <w:rPr>
          <w:lang w:val="en-US"/>
        </w:rPr>
      </w:pPr>
      <w:r w:rsidRPr="00A60D73">
        <w:rPr>
          <w:rStyle w:val="Refdenotaalpie"/>
        </w:rPr>
        <w:footnoteRef/>
      </w:r>
      <w:r w:rsidRPr="00E32035">
        <w:rPr>
          <w:lang w:val="en-US"/>
        </w:rPr>
        <w:t xml:space="preserve"> </w:t>
      </w:r>
      <w:r w:rsidR="001E4F3D" w:rsidRPr="00E32035">
        <w:rPr>
          <w:lang w:val="en-US"/>
        </w:rPr>
        <w:t>chrome-extension://efaidnbmnnnibpcajpcglclefindmkaj/https://www.sic.gov.co/sites/default/files/files/2021/Versi%C3%B3n%202_0_%20Gu%C3%ADa%20elaboraci%C3%B3n%20estudios%20t%C3%A9cnico-econ%C3%B3micos%20-%20con%20cambios%20Superintendente.pdf</w:t>
      </w:r>
    </w:p>
  </w:footnote>
  <w:footnote w:id="9">
    <w:p w14:paraId="4AC8E1E5" w14:textId="45C820A0" w:rsidR="00732617" w:rsidRPr="00E32035" w:rsidRDefault="00732617">
      <w:pPr>
        <w:pStyle w:val="Textonotapie"/>
        <w:rPr>
          <w:sz w:val="16"/>
          <w:szCs w:val="16"/>
        </w:rPr>
      </w:pPr>
      <w:r w:rsidRPr="00E32035">
        <w:rPr>
          <w:rStyle w:val="Refdenotaalpie"/>
          <w:sz w:val="16"/>
          <w:szCs w:val="16"/>
        </w:rPr>
        <w:footnoteRef/>
      </w:r>
      <w:r w:rsidRPr="00E32035">
        <w:rPr>
          <w:sz w:val="16"/>
          <w:szCs w:val="16"/>
        </w:rPr>
        <w:t xml:space="preserve"> “Guía OCDE Herramientas para la Evaluación de la Competencia”, “Cartilla para el Ejercicio de la Abogacía de la Competencia: Revisión de Proyectos de Regulación Estatal”, “Guía para la Elaboración de los Estudios Técnico-Económicos en el Marco del Trámite de Abogacía de la Competencia".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0C8FF" w14:textId="3A19DE96" w:rsidR="00F12F3B" w:rsidRDefault="00F12F3B">
    <w:pPr>
      <w:pStyle w:val="Encabezado"/>
    </w:pPr>
    <w:r>
      <w:rPr>
        <w:rFonts w:cs="Arial"/>
        <w:b/>
        <w:i/>
        <w:color w:val="808080"/>
        <w:sz w:val="16"/>
      </w:rPr>
      <w:t xml:space="preserve">Sesión No. </w:t>
    </w:r>
    <w:r w:rsidR="002D3811">
      <w:rPr>
        <w:rFonts w:cs="Arial"/>
        <w:b/>
        <w:i/>
        <w:color w:val="808080"/>
        <w:sz w:val="16"/>
      </w:rPr>
      <w:t>1294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A183C"/>
    <w:multiLevelType w:val="hybridMultilevel"/>
    <w:tmpl w:val="CC5EBC44"/>
    <w:lvl w:ilvl="0" w:tplc="06265028">
      <w:start w:val="1"/>
      <w:numFmt w:val="bullet"/>
      <w:lvlText w:val="•"/>
      <w:lvlJc w:val="left"/>
      <w:pPr>
        <w:tabs>
          <w:tab w:val="num" w:pos="720"/>
        </w:tabs>
        <w:ind w:left="720" w:hanging="360"/>
      </w:pPr>
      <w:rPr>
        <w:rFonts w:ascii="Arial" w:hAnsi="Arial" w:hint="default"/>
      </w:rPr>
    </w:lvl>
    <w:lvl w:ilvl="1" w:tplc="887A41C2" w:tentative="1">
      <w:start w:val="1"/>
      <w:numFmt w:val="bullet"/>
      <w:lvlText w:val="•"/>
      <w:lvlJc w:val="left"/>
      <w:pPr>
        <w:tabs>
          <w:tab w:val="num" w:pos="1440"/>
        </w:tabs>
        <w:ind w:left="1440" w:hanging="360"/>
      </w:pPr>
      <w:rPr>
        <w:rFonts w:ascii="Arial" w:hAnsi="Arial" w:hint="default"/>
      </w:rPr>
    </w:lvl>
    <w:lvl w:ilvl="2" w:tplc="00CABFB6" w:tentative="1">
      <w:start w:val="1"/>
      <w:numFmt w:val="bullet"/>
      <w:lvlText w:val="•"/>
      <w:lvlJc w:val="left"/>
      <w:pPr>
        <w:tabs>
          <w:tab w:val="num" w:pos="2160"/>
        </w:tabs>
        <w:ind w:left="2160" w:hanging="360"/>
      </w:pPr>
      <w:rPr>
        <w:rFonts w:ascii="Arial" w:hAnsi="Arial" w:hint="default"/>
      </w:rPr>
    </w:lvl>
    <w:lvl w:ilvl="3" w:tplc="56FED506" w:tentative="1">
      <w:start w:val="1"/>
      <w:numFmt w:val="bullet"/>
      <w:lvlText w:val="•"/>
      <w:lvlJc w:val="left"/>
      <w:pPr>
        <w:tabs>
          <w:tab w:val="num" w:pos="2880"/>
        </w:tabs>
        <w:ind w:left="2880" w:hanging="360"/>
      </w:pPr>
      <w:rPr>
        <w:rFonts w:ascii="Arial" w:hAnsi="Arial" w:hint="default"/>
      </w:rPr>
    </w:lvl>
    <w:lvl w:ilvl="4" w:tplc="F0022C38" w:tentative="1">
      <w:start w:val="1"/>
      <w:numFmt w:val="bullet"/>
      <w:lvlText w:val="•"/>
      <w:lvlJc w:val="left"/>
      <w:pPr>
        <w:tabs>
          <w:tab w:val="num" w:pos="3600"/>
        </w:tabs>
        <w:ind w:left="3600" w:hanging="360"/>
      </w:pPr>
      <w:rPr>
        <w:rFonts w:ascii="Arial" w:hAnsi="Arial" w:hint="default"/>
      </w:rPr>
    </w:lvl>
    <w:lvl w:ilvl="5" w:tplc="AAD6746A" w:tentative="1">
      <w:start w:val="1"/>
      <w:numFmt w:val="bullet"/>
      <w:lvlText w:val="•"/>
      <w:lvlJc w:val="left"/>
      <w:pPr>
        <w:tabs>
          <w:tab w:val="num" w:pos="4320"/>
        </w:tabs>
        <w:ind w:left="4320" w:hanging="360"/>
      </w:pPr>
      <w:rPr>
        <w:rFonts w:ascii="Arial" w:hAnsi="Arial" w:hint="default"/>
      </w:rPr>
    </w:lvl>
    <w:lvl w:ilvl="6" w:tplc="6BFE7B48" w:tentative="1">
      <w:start w:val="1"/>
      <w:numFmt w:val="bullet"/>
      <w:lvlText w:val="•"/>
      <w:lvlJc w:val="left"/>
      <w:pPr>
        <w:tabs>
          <w:tab w:val="num" w:pos="5040"/>
        </w:tabs>
        <w:ind w:left="5040" w:hanging="360"/>
      </w:pPr>
      <w:rPr>
        <w:rFonts w:ascii="Arial" w:hAnsi="Arial" w:hint="default"/>
      </w:rPr>
    </w:lvl>
    <w:lvl w:ilvl="7" w:tplc="D70C810E" w:tentative="1">
      <w:start w:val="1"/>
      <w:numFmt w:val="bullet"/>
      <w:lvlText w:val="•"/>
      <w:lvlJc w:val="left"/>
      <w:pPr>
        <w:tabs>
          <w:tab w:val="num" w:pos="5760"/>
        </w:tabs>
        <w:ind w:left="5760" w:hanging="360"/>
      </w:pPr>
      <w:rPr>
        <w:rFonts w:ascii="Arial" w:hAnsi="Arial" w:hint="default"/>
      </w:rPr>
    </w:lvl>
    <w:lvl w:ilvl="8" w:tplc="5C6297E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6EE1963"/>
    <w:multiLevelType w:val="hybridMultilevel"/>
    <w:tmpl w:val="7E96B390"/>
    <w:lvl w:ilvl="0" w:tplc="3C9EC26E">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A3F38C4"/>
    <w:multiLevelType w:val="hybridMultilevel"/>
    <w:tmpl w:val="AE74389E"/>
    <w:lvl w:ilvl="0" w:tplc="911445FE">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A842A2C"/>
    <w:multiLevelType w:val="hybridMultilevel"/>
    <w:tmpl w:val="0D04C0A6"/>
    <w:lvl w:ilvl="0" w:tplc="240A0019">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 w15:restartNumberingAfterBreak="0">
    <w:nsid w:val="0BA561A1"/>
    <w:multiLevelType w:val="multilevel"/>
    <w:tmpl w:val="97E8135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5" w15:restartNumberingAfterBreak="0">
    <w:nsid w:val="0D774B06"/>
    <w:multiLevelType w:val="hybridMultilevel"/>
    <w:tmpl w:val="7CCAC59E"/>
    <w:lvl w:ilvl="0" w:tplc="AF20E0D2">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2F44159"/>
    <w:multiLevelType w:val="multilevel"/>
    <w:tmpl w:val="B75A6A9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rPr>
        <w:b/>
      </w:rPr>
    </w:lvl>
    <w:lvl w:ilvl="2">
      <w:start w:val="1"/>
      <w:numFmt w:val="decimal"/>
      <w:lvlText w:val="%1.%2.%3"/>
      <w:lvlJc w:val="left"/>
      <w:pPr>
        <w:tabs>
          <w:tab w:val="num" w:pos="1430"/>
        </w:tabs>
        <w:ind w:left="1430" w:hanging="720"/>
      </w:pPr>
      <w:rPr>
        <w:b/>
      </w:rPr>
    </w:lvl>
    <w:lvl w:ilvl="3">
      <w:start w:val="1"/>
      <w:numFmt w:val="decimal"/>
      <w:lvlText w:val="%1.%2.%3.%4"/>
      <w:lvlJc w:val="left"/>
      <w:pPr>
        <w:tabs>
          <w:tab w:val="num" w:pos="1005"/>
        </w:tabs>
        <w:ind w:left="1005" w:hanging="864"/>
      </w:pPr>
      <w:rPr>
        <w:color w:val="000000" w:themeColor="text1"/>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16BD1070"/>
    <w:multiLevelType w:val="hybridMultilevel"/>
    <w:tmpl w:val="F5C4294E"/>
    <w:lvl w:ilvl="0" w:tplc="8BFA7C9C">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7F30441"/>
    <w:multiLevelType w:val="hybridMultilevel"/>
    <w:tmpl w:val="BB984B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BB63E0A"/>
    <w:multiLevelType w:val="hybridMultilevel"/>
    <w:tmpl w:val="995834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ED92B01"/>
    <w:multiLevelType w:val="hybridMultilevel"/>
    <w:tmpl w:val="0116080C"/>
    <w:lvl w:ilvl="0" w:tplc="240A0019">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1" w15:restartNumberingAfterBreak="0">
    <w:nsid w:val="25573D1B"/>
    <w:multiLevelType w:val="hybridMultilevel"/>
    <w:tmpl w:val="08A6204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15:restartNumberingAfterBreak="0">
    <w:nsid w:val="2D42690F"/>
    <w:multiLevelType w:val="hybridMultilevel"/>
    <w:tmpl w:val="1CA8C008"/>
    <w:lvl w:ilvl="0" w:tplc="333876F0">
      <w:start w:val="1"/>
      <w:numFmt w:val="lowerRoman"/>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2FA75A2E"/>
    <w:multiLevelType w:val="hybridMultilevel"/>
    <w:tmpl w:val="BC0CAA9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 w15:restartNumberingAfterBreak="0">
    <w:nsid w:val="31E60BC0"/>
    <w:multiLevelType w:val="hybridMultilevel"/>
    <w:tmpl w:val="111266BC"/>
    <w:lvl w:ilvl="0" w:tplc="958E0D96">
      <w:start w:val="1"/>
      <w:numFmt w:val="bullet"/>
      <w:lvlText w:val="•"/>
      <w:lvlJc w:val="left"/>
      <w:pPr>
        <w:tabs>
          <w:tab w:val="num" w:pos="720"/>
        </w:tabs>
        <w:ind w:left="720" w:hanging="360"/>
      </w:pPr>
      <w:rPr>
        <w:rFonts w:ascii="Arial" w:hAnsi="Arial" w:hint="default"/>
      </w:rPr>
    </w:lvl>
    <w:lvl w:ilvl="1" w:tplc="89002D2E" w:tentative="1">
      <w:start w:val="1"/>
      <w:numFmt w:val="bullet"/>
      <w:lvlText w:val="•"/>
      <w:lvlJc w:val="left"/>
      <w:pPr>
        <w:tabs>
          <w:tab w:val="num" w:pos="1440"/>
        </w:tabs>
        <w:ind w:left="1440" w:hanging="360"/>
      </w:pPr>
      <w:rPr>
        <w:rFonts w:ascii="Arial" w:hAnsi="Arial" w:hint="default"/>
      </w:rPr>
    </w:lvl>
    <w:lvl w:ilvl="2" w:tplc="B5CAAF72" w:tentative="1">
      <w:start w:val="1"/>
      <w:numFmt w:val="bullet"/>
      <w:lvlText w:val="•"/>
      <w:lvlJc w:val="left"/>
      <w:pPr>
        <w:tabs>
          <w:tab w:val="num" w:pos="2160"/>
        </w:tabs>
        <w:ind w:left="2160" w:hanging="360"/>
      </w:pPr>
      <w:rPr>
        <w:rFonts w:ascii="Arial" w:hAnsi="Arial" w:hint="default"/>
      </w:rPr>
    </w:lvl>
    <w:lvl w:ilvl="3" w:tplc="5AE43CA6" w:tentative="1">
      <w:start w:val="1"/>
      <w:numFmt w:val="bullet"/>
      <w:lvlText w:val="•"/>
      <w:lvlJc w:val="left"/>
      <w:pPr>
        <w:tabs>
          <w:tab w:val="num" w:pos="2880"/>
        </w:tabs>
        <w:ind w:left="2880" w:hanging="360"/>
      </w:pPr>
      <w:rPr>
        <w:rFonts w:ascii="Arial" w:hAnsi="Arial" w:hint="default"/>
      </w:rPr>
    </w:lvl>
    <w:lvl w:ilvl="4" w:tplc="3EC22C32" w:tentative="1">
      <w:start w:val="1"/>
      <w:numFmt w:val="bullet"/>
      <w:lvlText w:val="•"/>
      <w:lvlJc w:val="left"/>
      <w:pPr>
        <w:tabs>
          <w:tab w:val="num" w:pos="3600"/>
        </w:tabs>
        <w:ind w:left="3600" w:hanging="360"/>
      </w:pPr>
      <w:rPr>
        <w:rFonts w:ascii="Arial" w:hAnsi="Arial" w:hint="default"/>
      </w:rPr>
    </w:lvl>
    <w:lvl w:ilvl="5" w:tplc="E174ADCC" w:tentative="1">
      <w:start w:val="1"/>
      <w:numFmt w:val="bullet"/>
      <w:lvlText w:val="•"/>
      <w:lvlJc w:val="left"/>
      <w:pPr>
        <w:tabs>
          <w:tab w:val="num" w:pos="4320"/>
        </w:tabs>
        <w:ind w:left="4320" w:hanging="360"/>
      </w:pPr>
      <w:rPr>
        <w:rFonts w:ascii="Arial" w:hAnsi="Arial" w:hint="default"/>
      </w:rPr>
    </w:lvl>
    <w:lvl w:ilvl="6" w:tplc="1E32CBB6" w:tentative="1">
      <w:start w:val="1"/>
      <w:numFmt w:val="bullet"/>
      <w:lvlText w:val="•"/>
      <w:lvlJc w:val="left"/>
      <w:pPr>
        <w:tabs>
          <w:tab w:val="num" w:pos="5040"/>
        </w:tabs>
        <w:ind w:left="5040" w:hanging="360"/>
      </w:pPr>
      <w:rPr>
        <w:rFonts w:ascii="Arial" w:hAnsi="Arial" w:hint="default"/>
      </w:rPr>
    </w:lvl>
    <w:lvl w:ilvl="7" w:tplc="B0648470" w:tentative="1">
      <w:start w:val="1"/>
      <w:numFmt w:val="bullet"/>
      <w:lvlText w:val="•"/>
      <w:lvlJc w:val="left"/>
      <w:pPr>
        <w:tabs>
          <w:tab w:val="num" w:pos="5760"/>
        </w:tabs>
        <w:ind w:left="5760" w:hanging="360"/>
      </w:pPr>
      <w:rPr>
        <w:rFonts w:ascii="Arial" w:hAnsi="Arial" w:hint="default"/>
      </w:rPr>
    </w:lvl>
    <w:lvl w:ilvl="8" w:tplc="4D5652C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60C3415"/>
    <w:multiLevelType w:val="hybridMultilevel"/>
    <w:tmpl w:val="8320F85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 w15:restartNumberingAfterBreak="0">
    <w:nsid w:val="3758675B"/>
    <w:multiLevelType w:val="hybridMultilevel"/>
    <w:tmpl w:val="ACDAC166"/>
    <w:lvl w:ilvl="0" w:tplc="1614720E">
      <w:start w:val="1"/>
      <w:numFmt w:val="bullet"/>
      <w:lvlText w:val="•"/>
      <w:lvlJc w:val="left"/>
      <w:pPr>
        <w:tabs>
          <w:tab w:val="num" w:pos="720"/>
        </w:tabs>
        <w:ind w:left="720" w:hanging="360"/>
      </w:pPr>
      <w:rPr>
        <w:rFonts w:ascii="Arial" w:hAnsi="Arial" w:hint="default"/>
      </w:rPr>
    </w:lvl>
    <w:lvl w:ilvl="1" w:tplc="E4E48AB6" w:tentative="1">
      <w:start w:val="1"/>
      <w:numFmt w:val="bullet"/>
      <w:lvlText w:val="•"/>
      <w:lvlJc w:val="left"/>
      <w:pPr>
        <w:tabs>
          <w:tab w:val="num" w:pos="1440"/>
        </w:tabs>
        <w:ind w:left="1440" w:hanging="360"/>
      </w:pPr>
      <w:rPr>
        <w:rFonts w:ascii="Arial" w:hAnsi="Arial" w:hint="default"/>
      </w:rPr>
    </w:lvl>
    <w:lvl w:ilvl="2" w:tplc="0EA2A882" w:tentative="1">
      <w:start w:val="1"/>
      <w:numFmt w:val="bullet"/>
      <w:lvlText w:val="•"/>
      <w:lvlJc w:val="left"/>
      <w:pPr>
        <w:tabs>
          <w:tab w:val="num" w:pos="2160"/>
        </w:tabs>
        <w:ind w:left="2160" w:hanging="360"/>
      </w:pPr>
      <w:rPr>
        <w:rFonts w:ascii="Arial" w:hAnsi="Arial" w:hint="default"/>
      </w:rPr>
    </w:lvl>
    <w:lvl w:ilvl="3" w:tplc="1BA02602" w:tentative="1">
      <w:start w:val="1"/>
      <w:numFmt w:val="bullet"/>
      <w:lvlText w:val="•"/>
      <w:lvlJc w:val="left"/>
      <w:pPr>
        <w:tabs>
          <w:tab w:val="num" w:pos="2880"/>
        </w:tabs>
        <w:ind w:left="2880" w:hanging="360"/>
      </w:pPr>
      <w:rPr>
        <w:rFonts w:ascii="Arial" w:hAnsi="Arial" w:hint="default"/>
      </w:rPr>
    </w:lvl>
    <w:lvl w:ilvl="4" w:tplc="7884CFEA" w:tentative="1">
      <w:start w:val="1"/>
      <w:numFmt w:val="bullet"/>
      <w:lvlText w:val="•"/>
      <w:lvlJc w:val="left"/>
      <w:pPr>
        <w:tabs>
          <w:tab w:val="num" w:pos="3600"/>
        </w:tabs>
        <w:ind w:left="3600" w:hanging="360"/>
      </w:pPr>
      <w:rPr>
        <w:rFonts w:ascii="Arial" w:hAnsi="Arial" w:hint="default"/>
      </w:rPr>
    </w:lvl>
    <w:lvl w:ilvl="5" w:tplc="DA627F54" w:tentative="1">
      <w:start w:val="1"/>
      <w:numFmt w:val="bullet"/>
      <w:lvlText w:val="•"/>
      <w:lvlJc w:val="left"/>
      <w:pPr>
        <w:tabs>
          <w:tab w:val="num" w:pos="4320"/>
        </w:tabs>
        <w:ind w:left="4320" w:hanging="360"/>
      </w:pPr>
      <w:rPr>
        <w:rFonts w:ascii="Arial" w:hAnsi="Arial" w:hint="default"/>
      </w:rPr>
    </w:lvl>
    <w:lvl w:ilvl="6" w:tplc="1CFE8E64" w:tentative="1">
      <w:start w:val="1"/>
      <w:numFmt w:val="bullet"/>
      <w:lvlText w:val="•"/>
      <w:lvlJc w:val="left"/>
      <w:pPr>
        <w:tabs>
          <w:tab w:val="num" w:pos="5040"/>
        </w:tabs>
        <w:ind w:left="5040" w:hanging="360"/>
      </w:pPr>
      <w:rPr>
        <w:rFonts w:ascii="Arial" w:hAnsi="Arial" w:hint="default"/>
      </w:rPr>
    </w:lvl>
    <w:lvl w:ilvl="7" w:tplc="0D9C8A42" w:tentative="1">
      <w:start w:val="1"/>
      <w:numFmt w:val="bullet"/>
      <w:lvlText w:val="•"/>
      <w:lvlJc w:val="left"/>
      <w:pPr>
        <w:tabs>
          <w:tab w:val="num" w:pos="5760"/>
        </w:tabs>
        <w:ind w:left="5760" w:hanging="360"/>
      </w:pPr>
      <w:rPr>
        <w:rFonts w:ascii="Arial" w:hAnsi="Arial" w:hint="default"/>
      </w:rPr>
    </w:lvl>
    <w:lvl w:ilvl="8" w:tplc="7DF23F7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C51347D"/>
    <w:multiLevelType w:val="hybridMultilevel"/>
    <w:tmpl w:val="BC023CD8"/>
    <w:lvl w:ilvl="0" w:tplc="333876F0">
      <w:start w:val="1"/>
      <w:numFmt w:val="lowerRoman"/>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8" w15:restartNumberingAfterBreak="0">
    <w:nsid w:val="3F322C54"/>
    <w:multiLevelType w:val="hybridMultilevel"/>
    <w:tmpl w:val="8D6879AE"/>
    <w:lvl w:ilvl="0" w:tplc="333876F0">
      <w:start w:val="1"/>
      <w:numFmt w:val="lowerRoman"/>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9" w15:restartNumberingAfterBreak="0">
    <w:nsid w:val="40861D41"/>
    <w:multiLevelType w:val="hybridMultilevel"/>
    <w:tmpl w:val="F5AC5C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4101784B"/>
    <w:multiLevelType w:val="hybridMultilevel"/>
    <w:tmpl w:val="715430E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15:restartNumberingAfterBreak="0">
    <w:nsid w:val="441A5161"/>
    <w:multiLevelType w:val="hybridMultilevel"/>
    <w:tmpl w:val="592EB2F2"/>
    <w:lvl w:ilvl="0" w:tplc="240A0019">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2" w15:restartNumberingAfterBreak="0">
    <w:nsid w:val="49DD5F5D"/>
    <w:multiLevelType w:val="hybridMultilevel"/>
    <w:tmpl w:val="5D7AAE60"/>
    <w:lvl w:ilvl="0" w:tplc="3790DFCA">
      <w:start w:val="1"/>
      <w:numFmt w:val="bullet"/>
      <w:lvlText w:val="•"/>
      <w:lvlJc w:val="left"/>
      <w:pPr>
        <w:tabs>
          <w:tab w:val="num" w:pos="720"/>
        </w:tabs>
        <w:ind w:left="720" w:hanging="360"/>
      </w:pPr>
      <w:rPr>
        <w:rFonts w:ascii="Arial" w:hAnsi="Arial" w:hint="default"/>
      </w:rPr>
    </w:lvl>
    <w:lvl w:ilvl="1" w:tplc="CAD4A4DC" w:tentative="1">
      <w:start w:val="1"/>
      <w:numFmt w:val="bullet"/>
      <w:lvlText w:val="•"/>
      <w:lvlJc w:val="left"/>
      <w:pPr>
        <w:tabs>
          <w:tab w:val="num" w:pos="1440"/>
        </w:tabs>
        <w:ind w:left="1440" w:hanging="360"/>
      </w:pPr>
      <w:rPr>
        <w:rFonts w:ascii="Arial" w:hAnsi="Arial" w:hint="default"/>
      </w:rPr>
    </w:lvl>
    <w:lvl w:ilvl="2" w:tplc="1DF46160" w:tentative="1">
      <w:start w:val="1"/>
      <w:numFmt w:val="bullet"/>
      <w:lvlText w:val="•"/>
      <w:lvlJc w:val="left"/>
      <w:pPr>
        <w:tabs>
          <w:tab w:val="num" w:pos="2160"/>
        </w:tabs>
        <w:ind w:left="2160" w:hanging="360"/>
      </w:pPr>
      <w:rPr>
        <w:rFonts w:ascii="Arial" w:hAnsi="Arial" w:hint="default"/>
      </w:rPr>
    </w:lvl>
    <w:lvl w:ilvl="3" w:tplc="00807E48" w:tentative="1">
      <w:start w:val="1"/>
      <w:numFmt w:val="bullet"/>
      <w:lvlText w:val="•"/>
      <w:lvlJc w:val="left"/>
      <w:pPr>
        <w:tabs>
          <w:tab w:val="num" w:pos="2880"/>
        </w:tabs>
        <w:ind w:left="2880" w:hanging="360"/>
      </w:pPr>
      <w:rPr>
        <w:rFonts w:ascii="Arial" w:hAnsi="Arial" w:hint="default"/>
      </w:rPr>
    </w:lvl>
    <w:lvl w:ilvl="4" w:tplc="2B56047A" w:tentative="1">
      <w:start w:val="1"/>
      <w:numFmt w:val="bullet"/>
      <w:lvlText w:val="•"/>
      <w:lvlJc w:val="left"/>
      <w:pPr>
        <w:tabs>
          <w:tab w:val="num" w:pos="3600"/>
        </w:tabs>
        <w:ind w:left="3600" w:hanging="360"/>
      </w:pPr>
      <w:rPr>
        <w:rFonts w:ascii="Arial" w:hAnsi="Arial" w:hint="default"/>
      </w:rPr>
    </w:lvl>
    <w:lvl w:ilvl="5" w:tplc="249830C2" w:tentative="1">
      <w:start w:val="1"/>
      <w:numFmt w:val="bullet"/>
      <w:lvlText w:val="•"/>
      <w:lvlJc w:val="left"/>
      <w:pPr>
        <w:tabs>
          <w:tab w:val="num" w:pos="4320"/>
        </w:tabs>
        <w:ind w:left="4320" w:hanging="360"/>
      </w:pPr>
      <w:rPr>
        <w:rFonts w:ascii="Arial" w:hAnsi="Arial" w:hint="default"/>
      </w:rPr>
    </w:lvl>
    <w:lvl w:ilvl="6" w:tplc="00980AF0" w:tentative="1">
      <w:start w:val="1"/>
      <w:numFmt w:val="bullet"/>
      <w:lvlText w:val="•"/>
      <w:lvlJc w:val="left"/>
      <w:pPr>
        <w:tabs>
          <w:tab w:val="num" w:pos="5040"/>
        </w:tabs>
        <w:ind w:left="5040" w:hanging="360"/>
      </w:pPr>
      <w:rPr>
        <w:rFonts w:ascii="Arial" w:hAnsi="Arial" w:hint="default"/>
      </w:rPr>
    </w:lvl>
    <w:lvl w:ilvl="7" w:tplc="0F184CC4" w:tentative="1">
      <w:start w:val="1"/>
      <w:numFmt w:val="bullet"/>
      <w:lvlText w:val="•"/>
      <w:lvlJc w:val="left"/>
      <w:pPr>
        <w:tabs>
          <w:tab w:val="num" w:pos="5760"/>
        </w:tabs>
        <w:ind w:left="5760" w:hanging="360"/>
      </w:pPr>
      <w:rPr>
        <w:rFonts w:ascii="Arial" w:hAnsi="Arial" w:hint="default"/>
      </w:rPr>
    </w:lvl>
    <w:lvl w:ilvl="8" w:tplc="6876ED4A"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C314362"/>
    <w:multiLevelType w:val="hybridMultilevel"/>
    <w:tmpl w:val="7DCEACD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4" w15:restartNumberingAfterBreak="0">
    <w:nsid w:val="58465020"/>
    <w:multiLevelType w:val="hybridMultilevel"/>
    <w:tmpl w:val="E110E7DE"/>
    <w:lvl w:ilvl="0" w:tplc="333876F0">
      <w:start w:val="1"/>
      <w:numFmt w:val="lowerRoman"/>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5E983409"/>
    <w:multiLevelType w:val="hybridMultilevel"/>
    <w:tmpl w:val="FABE1272"/>
    <w:lvl w:ilvl="0" w:tplc="333876F0">
      <w:start w:val="1"/>
      <w:numFmt w:val="lowerRoman"/>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6" w15:restartNumberingAfterBreak="0">
    <w:nsid w:val="618B5F40"/>
    <w:multiLevelType w:val="hybridMultilevel"/>
    <w:tmpl w:val="E35E348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7" w15:restartNumberingAfterBreak="0">
    <w:nsid w:val="67CB11CC"/>
    <w:multiLevelType w:val="hybridMultilevel"/>
    <w:tmpl w:val="09EAAF4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8" w15:restartNumberingAfterBreak="0">
    <w:nsid w:val="69C50424"/>
    <w:multiLevelType w:val="hybridMultilevel"/>
    <w:tmpl w:val="66D8D4D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6F170BFA"/>
    <w:multiLevelType w:val="hybridMultilevel"/>
    <w:tmpl w:val="63BE062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0" w15:restartNumberingAfterBreak="0">
    <w:nsid w:val="7C3B259F"/>
    <w:multiLevelType w:val="hybridMultilevel"/>
    <w:tmpl w:val="A56EE866"/>
    <w:lvl w:ilvl="0" w:tplc="240A0019">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 w15:restartNumberingAfterBreak="0">
    <w:nsid w:val="7CA929A0"/>
    <w:multiLevelType w:val="hybridMultilevel"/>
    <w:tmpl w:val="4DB20E2E"/>
    <w:lvl w:ilvl="0" w:tplc="56E2A17E">
      <w:start w:val="1"/>
      <w:numFmt w:val="bullet"/>
      <w:lvlText w:val="•"/>
      <w:lvlJc w:val="left"/>
      <w:pPr>
        <w:tabs>
          <w:tab w:val="num" w:pos="720"/>
        </w:tabs>
        <w:ind w:left="720" w:hanging="360"/>
      </w:pPr>
      <w:rPr>
        <w:rFonts w:ascii="Arial" w:hAnsi="Arial" w:hint="default"/>
      </w:rPr>
    </w:lvl>
    <w:lvl w:ilvl="1" w:tplc="F8E8679E" w:tentative="1">
      <w:start w:val="1"/>
      <w:numFmt w:val="bullet"/>
      <w:lvlText w:val="•"/>
      <w:lvlJc w:val="left"/>
      <w:pPr>
        <w:tabs>
          <w:tab w:val="num" w:pos="1440"/>
        </w:tabs>
        <w:ind w:left="1440" w:hanging="360"/>
      </w:pPr>
      <w:rPr>
        <w:rFonts w:ascii="Arial" w:hAnsi="Arial" w:hint="default"/>
      </w:rPr>
    </w:lvl>
    <w:lvl w:ilvl="2" w:tplc="9F28362A" w:tentative="1">
      <w:start w:val="1"/>
      <w:numFmt w:val="bullet"/>
      <w:lvlText w:val="•"/>
      <w:lvlJc w:val="left"/>
      <w:pPr>
        <w:tabs>
          <w:tab w:val="num" w:pos="2160"/>
        </w:tabs>
        <w:ind w:left="2160" w:hanging="360"/>
      </w:pPr>
      <w:rPr>
        <w:rFonts w:ascii="Arial" w:hAnsi="Arial" w:hint="default"/>
      </w:rPr>
    </w:lvl>
    <w:lvl w:ilvl="3" w:tplc="480EC082" w:tentative="1">
      <w:start w:val="1"/>
      <w:numFmt w:val="bullet"/>
      <w:lvlText w:val="•"/>
      <w:lvlJc w:val="left"/>
      <w:pPr>
        <w:tabs>
          <w:tab w:val="num" w:pos="2880"/>
        </w:tabs>
        <w:ind w:left="2880" w:hanging="360"/>
      </w:pPr>
      <w:rPr>
        <w:rFonts w:ascii="Arial" w:hAnsi="Arial" w:hint="default"/>
      </w:rPr>
    </w:lvl>
    <w:lvl w:ilvl="4" w:tplc="E4B0D77C" w:tentative="1">
      <w:start w:val="1"/>
      <w:numFmt w:val="bullet"/>
      <w:lvlText w:val="•"/>
      <w:lvlJc w:val="left"/>
      <w:pPr>
        <w:tabs>
          <w:tab w:val="num" w:pos="3600"/>
        </w:tabs>
        <w:ind w:left="3600" w:hanging="360"/>
      </w:pPr>
      <w:rPr>
        <w:rFonts w:ascii="Arial" w:hAnsi="Arial" w:hint="default"/>
      </w:rPr>
    </w:lvl>
    <w:lvl w:ilvl="5" w:tplc="3AD69C32" w:tentative="1">
      <w:start w:val="1"/>
      <w:numFmt w:val="bullet"/>
      <w:lvlText w:val="•"/>
      <w:lvlJc w:val="left"/>
      <w:pPr>
        <w:tabs>
          <w:tab w:val="num" w:pos="4320"/>
        </w:tabs>
        <w:ind w:left="4320" w:hanging="360"/>
      </w:pPr>
      <w:rPr>
        <w:rFonts w:ascii="Arial" w:hAnsi="Arial" w:hint="default"/>
      </w:rPr>
    </w:lvl>
    <w:lvl w:ilvl="6" w:tplc="A008ECBE" w:tentative="1">
      <w:start w:val="1"/>
      <w:numFmt w:val="bullet"/>
      <w:lvlText w:val="•"/>
      <w:lvlJc w:val="left"/>
      <w:pPr>
        <w:tabs>
          <w:tab w:val="num" w:pos="5040"/>
        </w:tabs>
        <w:ind w:left="5040" w:hanging="360"/>
      </w:pPr>
      <w:rPr>
        <w:rFonts w:ascii="Arial" w:hAnsi="Arial" w:hint="default"/>
      </w:rPr>
    </w:lvl>
    <w:lvl w:ilvl="7" w:tplc="D818886E" w:tentative="1">
      <w:start w:val="1"/>
      <w:numFmt w:val="bullet"/>
      <w:lvlText w:val="•"/>
      <w:lvlJc w:val="left"/>
      <w:pPr>
        <w:tabs>
          <w:tab w:val="num" w:pos="5760"/>
        </w:tabs>
        <w:ind w:left="5760" w:hanging="360"/>
      </w:pPr>
      <w:rPr>
        <w:rFonts w:ascii="Arial" w:hAnsi="Arial" w:hint="default"/>
      </w:rPr>
    </w:lvl>
    <w:lvl w:ilvl="8" w:tplc="80082EDE"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7DB840A2"/>
    <w:multiLevelType w:val="hybridMultilevel"/>
    <w:tmpl w:val="6BBA2A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7F1E6DC6"/>
    <w:multiLevelType w:val="hybridMultilevel"/>
    <w:tmpl w:val="48F0B0A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16cid:durableId="378821764">
    <w:abstractNumId w:val="4"/>
  </w:num>
  <w:num w:numId="2" w16cid:durableId="563219117">
    <w:abstractNumId w:val="21"/>
  </w:num>
  <w:num w:numId="3" w16cid:durableId="1555970089">
    <w:abstractNumId w:val="20"/>
  </w:num>
  <w:num w:numId="4" w16cid:durableId="523205122">
    <w:abstractNumId w:val="26"/>
  </w:num>
  <w:num w:numId="5" w16cid:durableId="34277146">
    <w:abstractNumId w:val="11"/>
  </w:num>
  <w:num w:numId="6" w16cid:durableId="1460416918">
    <w:abstractNumId w:val="3"/>
  </w:num>
  <w:num w:numId="7" w16cid:durableId="604195282">
    <w:abstractNumId w:val="23"/>
  </w:num>
  <w:num w:numId="8" w16cid:durableId="707875857">
    <w:abstractNumId w:val="27"/>
  </w:num>
  <w:num w:numId="9" w16cid:durableId="857814723">
    <w:abstractNumId w:val="10"/>
  </w:num>
  <w:num w:numId="10" w16cid:durableId="726996976">
    <w:abstractNumId w:val="33"/>
  </w:num>
  <w:num w:numId="11" w16cid:durableId="209537017">
    <w:abstractNumId w:val="29"/>
  </w:num>
  <w:num w:numId="12" w16cid:durableId="810560582">
    <w:abstractNumId w:val="13"/>
  </w:num>
  <w:num w:numId="13" w16cid:durableId="1408726478">
    <w:abstractNumId w:val="17"/>
  </w:num>
  <w:num w:numId="14" w16cid:durableId="748159378">
    <w:abstractNumId w:val="24"/>
  </w:num>
  <w:num w:numId="15" w16cid:durableId="1623224089">
    <w:abstractNumId w:val="25"/>
  </w:num>
  <w:num w:numId="16" w16cid:durableId="1128549879">
    <w:abstractNumId w:val="18"/>
  </w:num>
  <w:num w:numId="17" w16cid:durableId="1800563019">
    <w:abstractNumId w:val="15"/>
  </w:num>
  <w:num w:numId="18" w16cid:durableId="751512932">
    <w:abstractNumId w:val="12"/>
  </w:num>
  <w:num w:numId="19" w16cid:durableId="1949847896">
    <w:abstractNumId w:val="30"/>
  </w:num>
  <w:num w:numId="20" w16cid:durableId="1062754857">
    <w:abstractNumId w:val="9"/>
  </w:num>
  <w:num w:numId="21" w16cid:durableId="1355957033">
    <w:abstractNumId w:val="2"/>
  </w:num>
  <w:num w:numId="22" w16cid:durableId="656804329">
    <w:abstractNumId w:val="6"/>
  </w:num>
  <w:num w:numId="23" w16cid:durableId="1743286430">
    <w:abstractNumId w:val="1"/>
  </w:num>
  <w:num w:numId="24" w16cid:durableId="1013845047">
    <w:abstractNumId w:val="7"/>
  </w:num>
  <w:num w:numId="25" w16cid:durableId="1373067458">
    <w:abstractNumId w:val="16"/>
  </w:num>
  <w:num w:numId="26" w16cid:durableId="1664120732">
    <w:abstractNumId w:val="32"/>
  </w:num>
  <w:num w:numId="27" w16cid:durableId="1469086333">
    <w:abstractNumId w:val="0"/>
  </w:num>
  <w:num w:numId="28" w16cid:durableId="1690255700">
    <w:abstractNumId w:val="14"/>
  </w:num>
  <w:num w:numId="29" w16cid:durableId="1250845852">
    <w:abstractNumId w:val="22"/>
  </w:num>
  <w:num w:numId="30" w16cid:durableId="1595435129">
    <w:abstractNumId w:val="31"/>
  </w:num>
  <w:num w:numId="31" w16cid:durableId="339431788">
    <w:abstractNumId w:val="28"/>
  </w:num>
  <w:num w:numId="32" w16cid:durableId="1891845480">
    <w:abstractNumId w:val="5"/>
  </w:num>
  <w:num w:numId="33" w16cid:durableId="1440179000">
    <w:abstractNumId w:val="8"/>
  </w:num>
  <w:num w:numId="34" w16cid:durableId="368653376">
    <w:abstractNumId w:val="1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LI0NTC0tDQ3NDK0sDRS0lEKTi0uzszPAykwNKsFAEjsfJ4tAAAA"/>
  </w:docVars>
  <w:rsids>
    <w:rsidRoot w:val="00A15852"/>
    <w:rsid w:val="00000233"/>
    <w:rsid w:val="00000419"/>
    <w:rsid w:val="00000789"/>
    <w:rsid w:val="00000A05"/>
    <w:rsid w:val="00000E50"/>
    <w:rsid w:val="00001224"/>
    <w:rsid w:val="000012A5"/>
    <w:rsid w:val="000017E8"/>
    <w:rsid w:val="00001836"/>
    <w:rsid w:val="0000199E"/>
    <w:rsid w:val="00001E44"/>
    <w:rsid w:val="0000234C"/>
    <w:rsid w:val="00002828"/>
    <w:rsid w:val="000028A8"/>
    <w:rsid w:val="00002924"/>
    <w:rsid w:val="00002A6A"/>
    <w:rsid w:val="00002F0A"/>
    <w:rsid w:val="00003921"/>
    <w:rsid w:val="00003C53"/>
    <w:rsid w:val="00003DBB"/>
    <w:rsid w:val="0000417C"/>
    <w:rsid w:val="00004339"/>
    <w:rsid w:val="00004749"/>
    <w:rsid w:val="00004C7F"/>
    <w:rsid w:val="00004D4B"/>
    <w:rsid w:val="00004DB7"/>
    <w:rsid w:val="00004F8D"/>
    <w:rsid w:val="00005268"/>
    <w:rsid w:val="0000535E"/>
    <w:rsid w:val="0000540F"/>
    <w:rsid w:val="0000555D"/>
    <w:rsid w:val="000058EB"/>
    <w:rsid w:val="00005A60"/>
    <w:rsid w:val="00005E46"/>
    <w:rsid w:val="00005EA7"/>
    <w:rsid w:val="00005EF6"/>
    <w:rsid w:val="00005F0C"/>
    <w:rsid w:val="00005F7A"/>
    <w:rsid w:val="0000620B"/>
    <w:rsid w:val="0000627D"/>
    <w:rsid w:val="00006470"/>
    <w:rsid w:val="000067EC"/>
    <w:rsid w:val="00006F88"/>
    <w:rsid w:val="00006F97"/>
    <w:rsid w:val="000071C4"/>
    <w:rsid w:val="000074FA"/>
    <w:rsid w:val="00007693"/>
    <w:rsid w:val="000078AA"/>
    <w:rsid w:val="00007960"/>
    <w:rsid w:val="00007978"/>
    <w:rsid w:val="00007FBF"/>
    <w:rsid w:val="00010466"/>
    <w:rsid w:val="000104C7"/>
    <w:rsid w:val="00010838"/>
    <w:rsid w:val="00010996"/>
    <w:rsid w:val="00010C7A"/>
    <w:rsid w:val="00010D7B"/>
    <w:rsid w:val="00010EF0"/>
    <w:rsid w:val="00010F79"/>
    <w:rsid w:val="0001127A"/>
    <w:rsid w:val="000119C5"/>
    <w:rsid w:val="00011A7D"/>
    <w:rsid w:val="00011B8E"/>
    <w:rsid w:val="00011BFE"/>
    <w:rsid w:val="00011CC9"/>
    <w:rsid w:val="00011DBC"/>
    <w:rsid w:val="00011FD8"/>
    <w:rsid w:val="000121F8"/>
    <w:rsid w:val="0001228F"/>
    <w:rsid w:val="00012462"/>
    <w:rsid w:val="00012469"/>
    <w:rsid w:val="00012AFD"/>
    <w:rsid w:val="00012B5B"/>
    <w:rsid w:val="00012B9A"/>
    <w:rsid w:val="0001303C"/>
    <w:rsid w:val="00013496"/>
    <w:rsid w:val="000135DB"/>
    <w:rsid w:val="00013681"/>
    <w:rsid w:val="00013947"/>
    <w:rsid w:val="000140D4"/>
    <w:rsid w:val="0001431A"/>
    <w:rsid w:val="000145F9"/>
    <w:rsid w:val="0001468A"/>
    <w:rsid w:val="00014A9B"/>
    <w:rsid w:val="00014C4F"/>
    <w:rsid w:val="00014F71"/>
    <w:rsid w:val="00015133"/>
    <w:rsid w:val="00015224"/>
    <w:rsid w:val="000152AF"/>
    <w:rsid w:val="000154E3"/>
    <w:rsid w:val="0001551C"/>
    <w:rsid w:val="0001583B"/>
    <w:rsid w:val="00015894"/>
    <w:rsid w:val="00015A25"/>
    <w:rsid w:val="00015AB3"/>
    <w:rsid w:val="00015BC6"/>
    <w:rsid w:val="00015BE3"/>
    <w:rsid w:val="000160E4"/>
    <w:rsid w:val="00016206"/>
    <w:rsid w:val="000162D5"/>
    <w:rsid w:val="000164B4"/>
    <w:rsid w:val="000169B6"/>
    <w:rsid w:val="00016B48"/>
    <w:rsid w:val="00016EB1"/>
    <w:rsid w:val="00016EB3"/>
    <w:rsid w:val="000172C6"/>
    <w:rsid w:val="00017418"/>
    <w:rsid w:val="0001777C"/>
    <w:rsid w:val="00017974"/>
    <w:rsid w:val="00017A0B"/>
    <w:rsid w:val="00017FFD"/>
    <w:rsid w:val="000201E4"/>
    <w:rsid w:val="000201ED"/>
    <w:rsid w:val="00020441"/>
    <w:rsid w:val="0002060D"/>
    <w:rsid w:val="00020645"/>
    <w:rsid w:val="00020651"/>
    <w:rsid w:val="000206B9"/>
    <w:rsid w:val="00020730"/>
    <w:rsid w:val="00020A96"/>
    <w:rsid w:val="00020BCC"/>
    <w:rsid w:val="00020DE1"/>
    <w:rsid w:val="0002135F"/>
    <w:rsid w:val="00021360"/>
    <w:rsid w:val="00021552"/>
    <w:rsid w:val="0002155A"/>
    <w:rsid w:val="000215BE"/>
    <w:rsid w:val="000216C7"/>
    <w:rsid w:val="000217B1"/>
    <w:rsid w:val="00021A49"/>
    <w:rsid w:val="00021A5A"/>
    <w:rsid w:val="00021CEA"/>
    <w:rsid w:val="0002279F"/>
    <w:rsid w:val="000229A2"/>
    <w:rsid w:val="000229B3"/>
    <w:rsid w:val="000229C2"/>
    <w:rsid w:val="00022B49"/>
    <w:rsid w:val="00022E5A"/>
    <w:rsid w:val="00022FB6"/>
    <w:rsid w:val="00023042"/>
    <w:rsid w:val="00023388"/>
    <w:rsid w:val="00023421"/>
    <w:rsid w:val="0002352F"/>
    <w:rsid w:val="000236F9"/>
    <w:rsid w:val="00023B98"/>
    <w:rsid w:val="00023BC9"/>
    <w:rsid w:val="000240F4"/>
    <w:rsid w:val="000241F5"/>
    <w:rsid w:val="000245E6"/>
    <w:rsid w:val="00024B06"/>
    <w:rsid w:val="00024B2C"/>
    <w:rsid w:val="00024C8A"/>
    <w:rsid w:val="00024F0F"/>
    <w:rsid w:val="00024F89"/>
    <w:rsid w:val="00024FDC"/>
    <w:rsid w:val="000253D9"/>
    <w:rsid w:val="0002571A"/>
    <w:rsid w:val="00025BE1"/>
    <w:rsid w:val="00025CDF"/>
    <w:rsid w:val="00025D98"/>
    <w:rsid w:val="00025F21"/>
    <w:rsid w:val="000260C1"/>
    <w:rsid w:val="000261FA"/>
    <w:rsid w:val="00026234"/>
    <w:rsid w:val="000262BB"/>
    <w:rsid w:val="00026433"/>
    <w:rsid w:val="000264DC"/>
    <w:rsid w:val="00026656"/>
    <w:rsid w:val="0002696E"/>
    <w:rsid w:val="000269F9"/>
    <w:rsid w:val="00026E4D"/>
    <w:rsid w:val="000271C2"/>
    <w:rsid w:val="00027419"/>
    <w:rsid w:val="000274C8"/>
    <w:rsid w:val="0002774B"/>
    <w:rsid w:val="00027797"/>
    <w:rsid w:val="00027A7B"/>
    <w:rsid w:val="00027D7D"/>
    <w:rsid w:val="00027EA9"/>
    <w:rsid w:val="0003024E"/>
    <w:rsid w:val="00030426"/>
    <w:rsid w:val="000305F9"/>
    <w:rsid w:val="00030604"/>
    <w:rsid w:val="00030767"/>
    <w:rsid w:val="000307B8"/>
    <w:rsid w:val="000308FF"/>
    <w:rsid w:val="00030A04"/>
    <w:rsid w:val="00031071"/>
    <w:rsid w:val="000312F7"/>
    <w:rsid w:val="00031328"/>
    <w:rsid w:val="00031C7F"/>
    <w:rsid w:val="00031DEE"/>
    <w:rsid w:val="00031E0E"/>
    <w:rsid w:val="00031E59"/>
    <w:rsid w:val="00031FFC"/>
    <w:rsid w:val="000320FA"/>
    <w:rsid w:val="000325A5"/>
    <w:rsid w:val="00032757"/>
    <w:rsid w:val="00032CF9"/>
    <w:rsid w:val="0003320D"/>
    <w:rsid w:val="0003333E"/>
    <w:rsid w:val="00033395"/>
    <w:rsid w:val="00033765"/>
    <w:rsid w:val="00033CA4"/>
    <w:rsid w:val="00033CEF"/>
    <w:rsid w:val="00033E9F"/>
    <w:rsid w:val="00033F86"/>
    <w:rsid w:val="00034070"/>
    <w:rsid w:val="00034320"/>
    <w:rsid w:val="00034404"/>
    <w:rsid w:val="00034405"/>
    <w:rsid w:val="00034518"/>
    <w:rsid w:val="00034643"/>
    <w:rsid w:val="0003489B"/>
    <w:rsid w:val="00034A51"/>
    <w:rsid w:val="00034ACE"/>
    <w:rsid w:val="00034C05"/>
    <w:rsid w:val="00034C18"/>
    <w:rsid w:val="00034D24"/>
    <w:rsid w:val="00034EA2"/>
    <w:rsid w:val="0003515C"/>
    <w:rsid w:val="0003579E"/>
    <w:rsid w:val="0003595E"/>
    <w:rsid w:val="00035CB2"/>
    <w:rsid w:val="0003621C"/>
    <w:rsid w:val="00036F84"/>
    <w:rsid w:val="00037363"/>
    <w:rsid w:val="00037499"/>
    <w:rsid w:val="00037B0D"/>
    <w:rsid w:val="00037CB8"/>
    <w:rsid w:val="00037ECB"/>
    <w:rsid w:val="00037FA3"/>
    <w:rsid w:val="0004002A"/>
    <w:rsid w:val="00040321"/>
    <w:rsid w:val="000407F1"/>
    <w:rsid w:val="00040916"/>
    <w:rsid w:val="00040D87"/>
    <w:rsid w:val="0004107B"/>
    <w:rsid w:val="000411C3"/>
    <w:rsid w:val="00041367"/>
    <w:rsid w:val="000413A7"/>
    <w:rsid w:val="0004144C"/>
    <w:rsid w:val="00041627"/>
    <w:rsid w:val="000418B3"/>
    <w:rsid w:val="00041941"/>
    <w:rsid w:val="00041C64"/>
    <w:rsid w:val="00041F9D"/>
    <w:rsid w:val="00042CA8"/>
    <w:rsid w:val="00042D01"/>
    <w:rsid w:val="00042D6C"/>
    <w:rsid w:val="00042F01"/>
    <w:rsid w:val="000432BA"/>
    <w:rsid w:val="00043327"/>
    <w:rsid w:val="0004357D"/>
    <w:rsid w:val="000435F8"/>
    <w:rsid w:val="000437D4"/>
    <w:rsid w:val="00043AD0"/>
    <w:rsid w:val="00043B71"/>
    <w:rsid w:val="00043BD7"/>
    <w:rsid w:val="00043E8C"/>
    <w:rsid w:val="000441A9"/>
    <w:rsid w:val="000442ED"/>
    <w:rsid w:val="000443B6"/>
    <w:rsid w:val="00044423"/>
    <w:rsid w:val="00044528"/>
    <w:rsid w:val="0004467C"/>
    <w:rsid w:val="000446BF"/>
    <w:rsid w:val="00044769"/>
    <w:rsid w:val="00044CD0"/>
    <w:rsid w:val="00044FB5"/>
    <w:rsid w:val="0004515E"/>
    <w:rsid w:val="000452C6"/>
    <w:rsid w:val="000452C7"/>
    <w:rsid w:val="0004579B"/>
    <w:rsid w:val="00045DA6"/>
    <w:rsid w:val="00045E30"/>
    <w:rsid w:val="00045F7F"/>
    <w:rsid w:val="00046207"/>
    <w:rsid w:val="00046638"/>
    <w:rsid w:val="0004678B"/>
    <w:rsid w:val="0004683B"/>
    <w:rsid w:val="00046C8B"/>
    <w:rsid w:val="00047934"/>
    <w:rsid w:val="000479A8"/>
    <w:rsid w:val="00047A97"/>
    <w:rsid w:val="00047BD3"/>
    <w:rsid w:val="00047D2C"/>
    <w:rsid w:val="00047DD2"/>
    <w:rsid w:val="00047ED6"/>
    <w:rsid w:val="000500E0"/>
    <w:rsid w:val="00050323"/>
    <w:rsid w:val="000503D2"/>
    <w:rsid w:val="0005076B"/>
    <w:rsid w:val="000509A3"/>
    <w:rsid w:val="00050AFE"/>
    <w:rsid w:val="00050C4E"/>
    <w:rsid w:val="00050C62"/>
    <w:rsid w:val="00050D04"/>
    <w:rsid w:val="00050D9F"/>
    <w:rsid w:val="00050DD1"/>
    <w:rsid w:val="00051611"/>
    <w:rsid w:val="00051822"/>
    <w:rsid w:val="00051D52"/>
    <w:rsid w:val="00051F87"/>
    <w:rsid w:val="000520F1"/>
    <w:rsid w:val="000521B0"/>
    <w:rsid w:val="00052461"/>
    <w:rsid w:val="000525AE"/>
    <w:rsid w:val="000525CB"/>
    <w:rsid w:val="00052DF6"/>
    <w:rsid w:val="00053063"/>
    <w:rsid w:val="000530DC"/>
    <w:rsid w:val="000532E6"/>
    <w:rsid w:val="0005343E"/>
    <w:rsid w:val="00053600"/>
    <w:rsid w:val="00053915"/>
    <w:rsid w:val="0005398A"/>
    <w:rsid w:val="00053A13"/>
    <w:rsid w:val="00053A4E"/>
    <w:rsid w:val="00053D17"/>
    <w:rsid w:val="00053D4A"/>
    <w:rsid w:val="000543C1"/>
    <w:rsid w:val="00054512"/>
    <w:rsid w:val="0005478F"/>
    <w:rsid w:val="00054C6D"/>
    <w:rsid w:val="00054D8E"/>
    <w:rsid w:val="00054E86"/>
    <w:rsid w:val="00054F85"/>
    <w:rsid w:val="000553AA"/>
    <w:rsid w:val="0005555F"/>
    <w:rsid w:val="000555CE"/>
    <w:rsid w:val="00055799"/>
    <w:rsid w:val="00055806"/>
    <w:rsid w:val="0005594A"/>
    <w:rsid w:val="000559AE"/>
    <w:rsid w:val="000559E4"/>
    <w:rsid w:val="00055BBD"/>
    <w:rsid w:val="00055C29"/>
    <w:rsid w:val="00055CA2"/>
    <w:rsid w:val="00055D73"/>
    <w:rsid w:val="00055F55"/>
    <w:rsid w:val="0005611B"/>
    <w:rsid w:val="000561ED"/>
    <w:rsid w:val="0005663A"/>
    <w:rsid w:val="00056661"/>
    <w:rsid w:val="000566D1"/>
    <w:rsid w:val="000569E1"/>
    <w:rsid w:val="00056A5D"/>
    <w:rsid w:val="00056BC6"/>
    <w:rsid w:val="00056BE6"/>
    <w:rsid w:val="00056C86"/>
    <w:rsid w:val="00056D9B"/>
    <w:rsid w:val="00056DFC"/>
    <w:rsid w:val="0005703E"/>
    <w:rsid w:val="00057459"/>
    <w:rsid w:val="000578AE"/>
    <w:rsid w:val="00057CD5"/>
    <w:rsid w:val="00057F15"/>
    <w:rsid w:val="00060245"/>
    <w:rsid w:val="00060AEB"/>
    <w:rsid w:val="00060BD6"/>
    <w:rsid w:val="00060E25"/>
    <w:rsid w:val="0006114A"/>
    <w:rsid w:val="00061307"/>
    <w:rsid w:val="000613B3"/>
    <w:rsid w:val="000616F1"/>
    <w:rsid w:val="0006188B"/>
    <w:rsid w:val="0006217D"/>
    <w:rsid w:val="0006245F"/>
    <w:rsid w:val="000627AE"/>
    <w:rsid w:val="000628FD"/>
    <w:rsid w:val="00062963"/>
    <w:rsid w:val="00062C05"/>
    <w:rsid w:val="00062EF9"/>
    <w:rsid w:val="00062F20"/>
    <w:rsid w:val="000630C4"/>
    <w:rsid w:val="000630CD"/>
    <w:rsid w:val="00063532"/>
    <w:rsid w:val="00063745"/>
    <w:rsid w:val="00063AAD"/>
    <w:rsid w:val="000648CE"/>
    <w:rsid w:val="00064DEE"/>
    <w:rsid w:val="00064E13"/>
    <w:rsid w:val="00064ED6"/>
    <w:rsid w:val="00065475"/>
    <w:rsid w:val="00065877"/>
    <w:rsid w:val="000658A9"/>
    <w:rsid w:val="00065927"/>
    <w:rsid w:val="00065B0D"/>
    <w:rsid w:val="00065C77"/>
    <w:rsid w:val="00065DE0"/>
    <w:rsid w:val="0006638A"/>
    <w:rsid w:val="000663BB"/>
    <w:rsid w:val="000664AB"/>
    <w:rsid w:val="00066705"/>
    <w:rsid w:val="00066714"/>
    <w:rsid w:val="000667D4"/>
    <w:rsid w:val="000667DB"/>
    <w:rsid w:val="000667DF"/>
    <w:rsid w:val="00066AF1"/>
    <w:rsid w:val="00066CB8"/>
    <w:rsid w:val="00067002"/>
    <w:rsid w:val="000672C5"/>
    <w:rsid w:val="00067329"/>
    <w:rsid w:val="0006738E"/>
    <w:rsid w:val="00067397"/>
    <w:rsid w:val="0006783A"/>
    <w:rsid w:val="00067950"/>
    <w:rsid w:val="0006799B"/>
    <w:rsid w:val="00067A1F"/>
    <w:rsid w:val="0007023E"/>
    <w:rsid w:val="00070304"/>
    <w:rsid w:val="00070780"/>
    <w:rsid w:val="00070839"/>
    <w:rsid w:val="000709A5"/>
    <w:rsid w:val="000709C5"/>
    <w:rsid w:val="00070E98"/>
    <w:rsid w:val="00070E9C"/>
    <w:rsid w:val="00070FF2"/>
    <w:rsid w:val="000710E9"/>
    <w:rsid w:val="00071155"/>
    <w:rsid w:val="00071483"/>
    <w:rsid w:val="000714FC"/>
    <w:rsid w:val="000715F0"/>
    <w:rsid w:val="00071842"/>
    <w:rsid w:val="00071B41"/>
    <w:rsid w:val="00071B8F"/>
    <w:rsid w:val="00071C8B"/>
    <w:rsid w:val="00071FCC"/>
    <w:rsid w:val="00072486"/>
    <w:rsid w:val="000726EB"/>
    <w:rsid w:val="00072877"/>
    <w:rsid w:val="000728F8"/>
    <w:rsid w:val="00072A8A"/>
    <w:rsid w:val="00073170"/>
    <w:rsid w:val="00073339"/>
    <w:rsid w:val="000733F8"/>
    <w:rsid w:val="000734B6"/>
    <w:rsid w:val="00073C48"/>
    <w:rsid w:val="00073E28"/>
    <w:rsid w:val="00073E9A"/>
    <w:rsid w:val="00073FAE"/>
    <w:rsid w:val="0007408F"/>
    <w:rsid w:val="00074136"/>
    <w:rsid w:val="0007452B"/>
    <w:rsid w:val="00074AA5"/>
    <w:rsid w:val="00074B81"/>
    <w:rsid w:val="00074DC4"/>
    <w:rsid w:val="000752F5"/>
    <w:rsid w:val="0007546F"/>
    <w:rsid w:val="00075827"/>
    <w:rsid w:val="000759FD"/>
    <w:rsid w:val="00075C83"/>
    <w:rsid w:val="00075C9E"/>
    <w:rsid w:val="00076306"/>
    <w:rsid w:val="0007662D"/>
    <w:rsid w:val="0007680E"/>
    <w:rsid w:val="00076823"/>
    <w:rsid w:val="00076AC2"/>
    <w:rsid w:val="00076C60"/>
    <w:rsid w:val="00076CF5"/>
    <w:rsid w:val="000770E9"/>
    <w:rsid w:val="00077312"/>
    <w:rsid w:val="0007732C"/>
    <w:rsid w:val="000774C4"/>
    <w:rsid w:val="000774E8"/>
    <w:rsid w:val="0007763A"/>
    <w:rsid w:val="00077733"/>
    <w:rsid w:val="00077A16"/>
    <w:rsid w:val="00077B59"/>
    <w:rsid w:val="00077EF0"/>
    <w:rsid w:val="00080164"/>
    <w:rsid w:val="00080174"/>
    <w:rsid w:val="000801A0"/>
    <w:rsid w:val="00080549"/>
    <w:rsid w:val="00080C8D"/>
    <w:rsid w:val="00080F5B"/>
    <w:rsid w:val="0008136B"/>
    <w:rsid w:val="000819B3"/>
    <w:rsid w:val="00081A0F"/>
    <w:rsid w:val="00081BD3"/>
    <w:rsid w:val="00081C6C"/>
    <w:rsid w:val="00081D40"/>
    <w:rsid w:val="00082385"/>
    <w:rsid w:val="000827B8"/>
    <w:rsid w:val="000828F3"/>
    <w:rsid w:val="00082A32"/>
    <w:rsid w:val="00082C76"/>
    <w:rsid w:val="000832E3"/>
    <w:rsid w:val="000834BF"/>
    <w:rsid w:val="0008356B"/>
    <w:rsid w:val="00083865"/>
    <w:rsid w:val="0008388B"/>
    <w:rsid w:val="000839DE"/>
    <w:rsid w:val="00084453"/>
    <w:rsid w:val="0008446A"/>
    <w:rsid w:val="000846EB"/>
    <w:rsid w:val="000847FF"/>
    <w:rsid w:val="00084C20"/>
    <w:rsid w:val="00084D61"/>
    <w:rsid w:val="00084D76"/>
    <w:rsid w:val="00084FAB"/>
    <w:rsid w:val="00085BA8"/>
    <w:rsid w:val="00085D69"/>
    <w:rsid w:val="00085DDA"/>
    <w:rsid w:val="00085F01"/>
    <w:rsid w:val="00086561"/>
    <w:rsid w:val="0008695C"/>
    <w:rsid w:val="00086B2E"/>
    <w:rsid w:val="00086C2D"/>
    <w:rsid w:val="00086CA3"/>
    <w:rsid w:val="00086CCA"/>
    <w:rsid w:val="00086D04"/>
    <w:rsid w:val="00086E53"/>
    <w:rsid w:val="00086EFB"/>
    <w:rsid w:val="00086F3A"/>
    <w:rsid w:val="000870A7"/>
    <w:rsid w:val="0008758E"/>
    <w:rsid w:val="00087952"/>
    <w:rsid w:val="00087955"/>
    <w:rsid w:val="000879D9"/>
    <w:rsid w:val="00087EF2"/>
    <w:rsid w:val="0009002B"/>
    <w:rsid w:val="00090087"/>
    <w:rsid w:val="000904CA"/>
    <w:rsid w:val="0009083B"/>
    <w:rsid w:val="00090A5D"/>
    <w:rsid w:val="00090A6E"/>
    <w:rsid w:val="00090E9A"/>
    <w:rsid w:val="000910F1"/>
    <w:rsid w:val="00091137"/>
    <w:rsid w:val="000911B5"/>
    <w:rsid w:val="00091423"/>
    <w:rsid w:val="00091540"/>
    <w:rsid w:val="0009199F"/>
    <w:rsid w:val="00091AEB"/>
    <w:rsid w:val="00091B2F"/>
    <w:rsid w:val="00091CE1"/>
    <w:rsid w:val="00092214"/>
    <w:rsid w:val="00092733"/>
    <w:rsid w:val="000927A1"/>
    <w:rsid w:val="0009283C"/>
    <w:rsid w:val="0009288F"/>
    <w:rsid w:val="00092E00"/>
    <w:rsid w:val="00092E53"/>
    <w:rsid w:val="00092FBC"/>
    <w:rsid w:val="0009329F"/>
    <w:rsid w:val="000937B6"/>
    <w:rsid w:val="0009384B"/>
    <w:rsid w:val="00093979"/>
    <w:rsid w:val="00093AD5"/>
    <w:rsid w:val="00093B04"/>
    <w:rsid w:val="00093C0C"/>
    <w:rsid w:val="00093C32"/>
    <w:rsid w:val="00093C66"/>
    <w:rsid w:val="00093DD3"/>
    <w:rsid w:val="00093F2B"/>
    <w:rsid w:val="00093F88"/>
    <w:rsid w:val="0009402E"/>
    <w:rsid w:val="00094190"/>
    <w:rsid w:val="000943CE"/>
    <w:rsid w:val="00094435"/>
    <w:rsid w:val="0009445D"/>
    <w:rsid w:val="0009477D"/>
    <w:rsid w:val="00094B53"/>
    <w:rsid w:val="00094BD6"/>
    <w:rsid w:val="00094CE9"/>
    <w:rsid w:val="00094D8D"/>
    <w:rsid w:val="00094E16"/>
    <w:rsid w:val="00095091"/>
    <w:rsid w:val="00095238"/>
    <w:rsid w:val="0009525E"/>
    <w:rsid w:val="0009527D"/>
    <w:rsid w:val="0009556A"/>
    <w:rsid w:val="00095B54"/>
    <w:rsid w:val="00095BBA"/>
    <w:rsid w:val="0009613D"/>
    <w:rsid w:val="00096346"/>
    <w:rsid w:val="00096820"/>
    <w:rsid w:val="00096997"/>
    <w:rsid w:val="000969BE"/>
    <w:rsid w:val="00096A08"/>
    <w:rsid w:val="00096BC8"/>
    <w:rsid w:val="000977CE"/>
    <w:rsid w:val="000979A8"/>
    <w:rsid w:val="00097A5F"/>
    <w:rsid w:val="00097C07"/>
    <w:rsid w:val="00097CB4"/>
    <w:rsid w:val="00097D96"/>
    <w:rsid w:val="00097E85"/>
    <w:rsid w:val="000A01B5"/>
    <w:rsid w:val="000A02A0"/>
    <w:rsid w:val="000A05AE"/>
    <w:rsid w:val="000A0693"/>
    <w:rsid w:val="000A06A8"/>
    <w:rsid w:val="000A0A63"/>
    <w:rsid w:val="000A0ABD"/>
    <w:rsid w:val="000A0D10"/>
    <w:rsid w:val="000A0F3D"/>
    <w:rsid w:val="000A1331"/>
    <w:rsid w:val="000A14C4"/>
    <w:rsid w:val="000A17F2"/>
    <w:rsid w:val="000A1DB8"/>
    <w:rsid w:val="000A1F9D"/>
    <w:rsid w:val="000A1FED"/>
    <w:rsid w:val="000A22B4"/>
    <w:rsid w:val="000A2456"/>
    <w:rsid w:val="000A2572"/>
    <w:rsid w:val="000A2BA8"/>
    <w:rsid w:val="000A2CD3"/>
    <w:rsid w:val="000A2F84"/>
    <w:rsid w:val="000A2FD0"/>
    <w:rsid w:val="000A33FC"/>
    <w:rsid w:val="000A343E"/>
    <w:rsid w:val="000A356F"/>
    <w:rsid w:val="000A36EB"/>
    <w:rsid w:val="000A39C5"/>
    <w:rsid w:val="000A3A69"/>
    <w:rsid w:val="000A3FEA"/>
    <w:rsid w:val="000A44D4"/>
    <w:rsid w:val="000A471B"/>
    <w:rsid w:val="000A48C9"/>
    <w:rsid w:val="000A48F7"/>
    <w:rsid w:val="000A4DC0"/>
    <w:rsid w:val="000A4E09"/>
    <w:rsid w:val="000A4E9E"/>
    <w:rsid w:val="000A4EB7"/>
    <w:rsid w:val="000A5F86"/>
    <w:rsid w:val="000A5F89"/>
    <w:rsid w:val="000A6100"/>
    <w:rsid w:val="000A62A4"/>
    <w:rsid w:val="000A66C2"/>
    <w:rsid w:val="000A69AC"/>
    <w:rsid w:val="000A6C19"/>
    <w:rsid w:val="000A6CFF"/>
    <w:rsid w:val="000A6D70"/>
    <w:rsid w:val="000A6E8E"/>
    <w:rsid w:val="000A6FB7"/>
    <w:rsid w:val="000A713F"/>
    <w:rsid w:val="000A714D"/>
    <w:rsid w:val="000A7201"/>
    <w:rsid w:val="000A7224"/>
    <w:rsid w:val="000A7402"/>
    <w:rsid w:val="000A7518"/>
    <w:rsid w:val="000A7A05"/>
    <w:rsid w:val="000A7C88"/>
    <w:rsid w:val="000A7E2F"/>
    <w:rsid w:val="000B0108"/>
    <w:rsid w:val="000B025B"/>
    <w:rsid w:val="000B0799"/>
    <w:rsid w:val="000B08E7"/>
    <w:rsid w:val="000B0BF1"/>
    <w:rsid w:val="000B0F71"/>
    <w:rsid w:val="000B132C"/>
    <w:rsid w:val="000B151B"/>
    <w:rsid w:val="000B170A"/>
    <w:rsid w:val="000B18A2"/>
    <w:rsid w:val="000B1A73"/>
    <w:rsid w:val="000B1BF9"/>
    <w:rsid w:val="000B1CC6"/>
    <w:rsid w:val="000B2359"/>
    <w:rsid w:val="000B2857"/>
    <w:rsid w:val="000B2875"/>
    <w:rsid w:val="000B2CE0"/>
    <w:rsid w:val="000B2D59"/>
    <w:rsid w:val="000B328D"/>
    <w:rsid w:val="000B3508"/>
    <w:rsid w:val="000B352A"/>
    <w:rsid w:val="000B41F8"/>
    <w:rsid w:val="000B458B"/>
    <w:rsid w:val="000B4614"/>
    <w:rsid w:val="000B4A75"/>
    <w:rsid w:val="000B4AE0"/>
    <w:rsid w:val="000B4C34"/>
    <w:rsid w:val="000B4E1D"/>
    <w:rsid w:val="000B50E9"/>
    <w:rsid w:val="000B5141"/>
    <w:rsid w:val="000B5162"/>
    <w:rsid w:val="000B5376"/>
    <w:rsid w:val="000B551A"/>
    <w:rsid w:val="000B5565"/>
    <w:rsid w:val="000B558A"/>
    <w:rsid w:val="000B59A8"/>
    <w:rsid w:val="000B5AA8"/>
    <w:rsid w:val="000B5D15"/>
    <w:rsid w:val="000B6283"/>
    <w:rsid w:val="000B6359"/>
    <w:rsid w:val="000B667B"/>
    <w:rsid w:val="000B6834"/>
    <w:rsid w:val="000B694F"/>
    <w:rsid w:val="000B6D37"/>
    <w:rsid w:val="000B6F4C"/>
    <w:rsid w:val="000B7106"/>
    <w:rsid w:val="000B75EB"/>
    <w:rsid w:val="000B7615"/>
    <w:rsid w:val="000B78A3"/>
    <w:rsid w:val="000B7CC9"/>
    <w:rsid w:val="000B7D36"/>
    <w:rsid w:val="000B7FDE"/>
    <w:rsid w:val="000C0439"/>
    <w:rsid w:val="000C04C4"/>
    <w:rsid w:val="000C074F"/>
    <w:rsid w:val="000C07AE"/>
    <w:rsid w:val="000C0CC8"/>
    <w:rsid w:val="000C0F6B"/>
    <w:rsid w:val="000C0F91"/>
    <w:rsid w:val="000C10B6"/>
    <w:rsid w:val="000C10E7"/>
    <w:rsid w:val="000C1234"/>
    <w:rsid w:val="000C124E"/>
    <w:rsid w:val="000C13D3"/>
    <w:rsid w:val="000C150A"/>
    <w:rsid w:val="000C156D"/>
    <w:rsid w:val="000C1B5A"/>
    <w:rsid w:val="000C1B61"/>
    <w:rsid w:val="000C1D1B"/>
    <w:rsid w:val="000C233E"/>
    <w:rsid w:val="000C255E"/>
    <w:rsid w:val="000C2607"/>
    <w:rsid w:val="000C26E8"/>
    <w:rsid w:val="000C275A"/>
    <w:rsid w:val="000C287F"/>
    <w:rsid w:val="000C2BE5"/>
    <w:rsid w:val="000C2F6F"/>
    <w:rsid w:val="000C33B3"/>
    <w:rsid w:val="000C3414"/>
    <w:rsid w:val="000C347C"/>
    <w:rsid w:val="000C35F1"/>
    <w:rsid w:val="000C3CC5"/>
    <w:rsid w:val="000C3DF5"/>
    <w:rsid w:val="000C3F6B"/>
    <w:rsid w:val="000C4122"/>
    <w:rsid w:val="000C4329"/>
    <w:rsid w:val="000C43E5"/>
    <w:rsid w:val="000C460A"/>
    <w:rsid w:val="000C477D"/>
    <w:rsid w:val="000C4949"/>
    <w:rsid w:val="000C4A34"/>
    <w:rsid w:val="000C4D8D"/>
    <w:rsid w:val="000C5258"/>
    <w:rsid w:val="000C5380"/>
    <w:rsid w:val="000C54A3"/>
    <w:rsid w:val="000C54BE"/>
    <w:rsid w:val="000C5561"/>
    <w:rsid w:val="000C5A72"/>
    <w:rsid w:val="000C5AD8"/>
    <w:rsid w:val="000C5C36"/>
    <w:rsid w:val="000C5C41"/>
    <w:rsid w:val="000C5C4D"/>
    <w:rsid w:val="000C5EE7"/>
    <w:rsid w:val="000C60B7"/>
    <w:rsid w:val="000C6242"/>
    <w:rsid w:val="000C6333"/>
    <w:rsid w:val="000C6410"/>
    <w:rsid w:val="000C64FF"/>
    <w:rsid w:val="000C655A"/>
    <w:rsid w:val="000C6670"/>
    <w:rsid w:val="000C66D2"/>
    <w:rsid w:val="000C66FD"/>
    <w:rsid w:val="000C6B53"/>
    <w:rsid w:val="000C6D0D"/>
    <w:rsid w:val="000C6F88"/>
    <w:rsid w:val="000C7269"/>
    <w:rsid w:val="000C7387"/>
    <w:rsid w:val="000C7B65"/>
    <w:rsid w:val="000C7B93"/>
    <w:rsid w:val="000C7CD3"/>
    <w:rsid w:val="000C7D21"/>
    <w:rsid w:val="000C7F05"/>
    <w:rsid w:val="000D02C0"/>
    <w:rsid w:val="000D0A20"/>
    <w:rsid w:val="000D0F6F"/>
    <w:rsid w:val="000D0FB4"/>
    <w:rsid w:val="000D11FE"/>
    <w:rsid w:val="000D1713"/>
    <w:rsid w:val="000D1906"/>
    <w:rsid w:val="000D1C56"/>
    <w:rsid w:val="000D1E21"/>
    <w:rsid w:val="000D20B1"/>
    <w:rsid w:val="000D21C0"/>
    <w:rsid w:val="000D220A"/>
    <w:rsid w:val="000D22E7"/>
    <w:rsid w:val="000D23B5"/>
    <w:rsid w:val="000D29DE"/>
    <w:rsid w:val="000D2B1C"/>
    <w:rsid w:val="000D2C32"/>
    <w:rsid w:val="000D2CE0"/>
    <w:rsid w:val="000D2DCB"/>
    <w:rsid w:val="000D2E15"/>
    <w:rsid w:val="000D2ED2"/>
    <w:rsid w:val="000D2F4B"/>
    <w:rsid w:val="000D336B"/>
    <w:rsid w:val="000D3524"/>
    <w:rsid w:val="000D35DC"/>
    <w:rsid w:val="000D37FB"/>
    <w:rsid w:val="000D3E0C"/>
    <w:rsid w:val="000D421D"/>
    <w:rsid w:val="000D4331"/>
    <w:rsid w:val="000D4488"/>
    <w:rsid w:val="000D4521"/>
    <w:rsid w:val="000D4D2F"/>
    <w:rsid w:val="000D5027"/>
    <w:rsid w:val="000D5271"/>
    <w:rsid w:val="000D5477"/>
    <w:rsid w:val="000D57EC"/>
    <w:rsid w:val="000D583A"/>
    <w:rsid w:val="000D5A1A"/>
    <w:rsid w:val="000D5B4C"/>
    <w:rsid w:val="000D5E69"/>
    <w:rsid w:val="000D5EB4"/>
    <w:rsid w:val="000D633A"/>
    <w:rsid w:val="000D6371"/>
    <w:rsid w:val="000D68F1"/>
    <w:rsid w:val="000D69E2"/>
    <w:rsid w:val="000D6CF8"/>
    <w:rsid w:val="000D6D3A"/>
    <w:rsid w:val="000D732A"/>
    <w:rsid w:val="000D7344"/>
    <w:rsid w:val="000D74AA"/>
    <w:rsid w:val="000D768E"/>
    <w:rsid w:val="000D76ED"/>
    <w:rsid w:val="000D772E"/>
    <w:rsid w:val="000D78E6"/>
    <w:rsid w:val="000D790D"/>
    <w:rsid w:val="000D7975"/>
    <w:rsid w:val="000D7AD3"/>
    <w:rsid w:val="000D7C68"/>
    <w:rsid w:val="000D7F14"/>
    <w:rsid w:val="000D7F6A"/>
    <w:rsid w:val="000E0318"/>
    <w:rsid w:val="000E067E"/>
    <w:rsid w:val="000E0DE3"/>
    <w:rsid w:val="000E0E4B"/>
    <w:rsid w:val="000E0EEE"/>
    <w:rsid w:val="000E1273"/>
    <w:rsid w:val="000E1283"/>
    <w:rsid w:val="000E12BC"/>
    <w:rsid w:val="000E15EC"/>
    <w:rsid w:val="000E1A0A"/>
    <w:rsid w:val="000E1A59"/>
    <w:rsid w:val="000E1B54"/>
    <w:rsid w:val="000E1D0A"/>
    <w:rsid w:val="000E1EFF"/>
    <w:rsid w:val="000E2458"/>
    <w:rsid w:val="000E2473"/>
    <w:rsid w:val="000E24E1"/>
    <w:rsid w:val="000E29B8"/>
    <w:rsid w:val="000E2BC5"/>
    <w:rsid w:val="000E2E0E"/>
    <w:rsid w:val="000E2ECE"/>
    <w:rsid w:val="000E2F3A"/>
    <w:rsid w:val="000E33A1"/>
    <w:rsid w:val="000E37F6"/>
    <w:rsid w:val="000E384E"/>
    <w:rsid w:val="000E3920"/>
    <w:rsid w:val="000E3FBE"/>
    <w:rsid w:val="000E40AA"/>
    <w:rsid w:val="000E40D3"/>
    <w:rsid w:val="000E42C2"/>
    <w:rsid w:val="000E432D"/>
    <w:rsid w:val="000E44AC"/>
    <w:rsid w:val="000E4576"/>
    <w:rsid w:val="000E46E7"/>
    <w:rsid w:val="000E4873"/>
    <w:rsid w:val="000E4998"/>
    <w:rsid w:val="000E4F35"/>
    <w:rsid w:val="000E51C5"/>
    <w:rsid w:val="000E52BD"/>
    <w:rsid w:val="000E5382"/>
    <w:rsid w:val="000E555B"/>
    <w:rsid w:val="000E5657"/>
    <w:rsid w:val="000E57B1"/>
    <w:rsid w:val="000E57F6"/>
    <w:rsid w:val="000E5897"/>
    <w:rsid w:val="000E58AB"/>
    <w:rsid w:val="000E5D6A"/>
    <w:rsid w:val="000E5DCD"/>
    <w:rsid w:val="000E5EAC"/>
    <w:rsid w:val="000E5FD7"/>
    <w:rsid w:val="000E5FFB"/>
    <w:rsid w:val="000E62E0"/>
    <w:rsid w:val="000E641B"/>
    <w:rsid w:val="000E65D4"/>
    <w:rsid w:val="000E7079"/>
    <w:rsid w:val="000E74AB"/>
    <w:rsid w:val="000E7512"/>
    <w:rsid w:val="000E751C"/>
    <w:rsid w:val="000E770F"/>
    <w:rsid w:val="000E77C3"/>
    <w:rsid w:val="000E794C"/>
    <w:rsid w:val="000E7A5A"/>
    <w:rsid w:val="000E7A8B"/>
    <w:rsid w:val="000E7C8D"/>
    <w:rsid w:val="000E7DDD"/>
    <w:rsid w:val="000E7E51"/>
    <w:rsid w:val="000F0E0B"/>
    <w:rsid w:val="000F0F17"/>
    <w:rsid w:val="000F103A"/>
    <w:rsid w:val="000F114E"/>
    <w:rsid w:val="000F11E4"/>
    <w:rsid w:val="000F12D1"/>
    <w:rsid w:val="000F13B9"/>
    <w:rsid w:val="000F14B6"/>
    <w:rsid w:val="000F17EC"/>
    <w:rsid w:val="000F1E9D"/>
    <w:rsid w:val="000F1F64"/>
    <w:rsid w:val="000F22B7"/>
    <w:rsid w:val="000F24C7"/>
    <w:rsid w:val="000F2955"/>
    <w:rsid w:val="000F2960"/>
    <w:rsid w:val="000F2BAD"/>
    <w:rsid w:val="000F2C16"/>
    <w:rsid w:val="000F2E9A"/>
    <w:rsid w:val="000F31F4"/>
    <w:rsid w:val="000F331F"/>
    <w:rsid w:val="000F34E2"/>
    <w:rsid w:val="000F356E"/>
    <w:rsid w:val="000F3583"/>
    <w:rsid w:val="000F3588"/>
    <w:rsid w:val="000F3597"/>
    <w:rsid w:val="000F37EB"/>
    <w:rsid w:val="000F39A0"/>
    <w:rsid w:val="000F3A6D"/>
    <w:rsid w:val="000F3E29"/>
    <w:rsid w:val="000F4002"/>
    <w:rsid w:val="000F40FA"/>
    <w:rsid w:val="000F4168"/>
    <w:rsid w:val="000F43EA"/>
    <w:rsid w:val="000F4447"/>
    <w:rsid w:val="000F44EE"/>
    <w:rsid w:val="000F4506"/>
    <w:rsid w:val="000F455F"/>
    <w:rsid w:val="000F4578"/>
    <w:rsid w:val="000F464F"/>
    <w:rsid w:val="000F4CFE"/>
    <w:rsid w:val="000F4E00"/>
    <w:rsid w:val="000F4E5A"/>
    <w:rsid w:val="000F4F18"/>
    <w:rsid w:val="000F5257"/>
    <w:rsid w:val="000F54DC"/>
    <w:rsid w:val="000F5C8D"/>
    <w:rsid w:val="000F5D23"/>
    <w:rsid w:val="000F5EB4"/>
    <w:rsid w:val="000F61DC"/>
    <w:rsid w:val="000F6263"/>
    <w:rsid w:val="000F63C8"/>
    <w:rsid w:val="000F6AF5"/>
    <w:rsid w:val="000F6DBE"/>
    <w:rsid w:val="000F71C4"/>
    <w:rsid w:val="000F7466"/>
    <w:rsid w:val="000F796F"/>
    <w:rsid w:val="000F7BD3"/>
    <w:rsid w:val="000F7D2E"/>
    <w:rsid w:val="00100218"/>
    <w:rsid w:val="001003FF"/>
    <w:rsid w:val="00100496"/>
    <w:rsid w:val="001005C6"/>
    <w:rsid w:val="001008A6"/>
    <w:rsid w:val="00100AC8"/>
    <w:rsid w:val="00100B8E"/>
    <w:rsid w:val="00100D17"/>
    <w:rsid w:val="00100D64"/>
    <w:rsid w:val="00100F93"/>
    <w:rsid w:val="001010E4"/>
    <w:rsid w:val="001013BF"/>
    <w:rsid w:val="00101427"/>
    <w:rsid w:val="00101562"/>
    <w:rsid w:val="00101687"/>
    <w:rsid w:val="00101805"/>
    <w:rsid w:val="00101997"/>
    <w:rsid w:val="00101A57"/>
    <w:rsid w:val="00101C40"/>
    <w:rsid w:val="00102334"/>
    <w:rsid w:val="0010245A"/>
    <w:rsid w:val="00102710"/>
    <w:rsid w:val="001027C7"/>
    <w:rsid w:val="00102B65"/>
    <w:rsid w:val="00102CEF"/>
    <w:rsid w:val="00102D82"/>
    <w:rsid w:val="00102EEB"/>
    <w:rsid w:val="00102F0F"/>
    <w:rsid w:val="00102FCC"/>
    <w:rsid w:val="00103297"/>
    <w:rsid w:val="001034DF"/>
    <w:rsid w:val="00103505"/>
    <w:rsid w:val="001041FB"/>
    <w:rsid w:val="00104386"/>
    <w:rsid w:val="00104437"/>
    <w:rsid w:val="00104468"/>
    <w:rsid w:val="00104519"/>
    <w:rsid w:val="00104707"/>
    <w:rsid w:val="00104780"/>
    <w:rsid w:val="001047C7"/>
    <w:rsid w:val="001047FB"/>
    <w:rsid w:val="00104967"/>
    <w:rsid w:val="001049FB"/>
    <w:rsid w:val="00104C42"/>
    <w:rsid w:val="00104DB8"/>
    <w:rsid w:val="001052EE"/>
    <w:rsid w:val="0010548E"/>
    <w:rsid w:val="001054DE"/>
    <w:rsid w:val="001058CD"/>
    <w:rsid w:val="001059F0"/>
    <w:rsid w:val="00105ABE"/>
    <w:rsid w:val="00105B6E"/>
    <w:rsid w:val="00105D5E"/>
    <w:rsid w:val="00105D84"/>
    <w:rsid w:val="001060E2"/>
    <w:rsid w:val="00106238"/>
    <w:rsid w:val="00106296"/>
    <w:rsid w:val="00106516"/>
    <w:rsid w:val="0010659A"/>
    <w:rsid w:val="0010667C"/>
    <w:rsid w:val="00106DBC"/>
    <w:rsid w:val="0010717A"/>
    <w:rsid w:val="001073FB"/>
    <w:rsid w:val="00107868"/>
    <w:rsid w:val="00107BBE"/>
    <w:rsid w:val="00107E1A"/>
    <w:rsid w:val="00107F58"/>
    <w:rsid w:val="0011004A"/>
    <w:rsid w:val="0011032A"/>
    <w:rsid w:val="00110C1F"/>
    <w:rsid w:val="00110CEA"/>
    <w:rsid w:val="00110DD5"/>
    <w:rsid w:val="00111031"/>
    <w:rsid w:val="0011123A"/>
    <w:rsid w:val="0011130B"/>
    <w:rsid w:val="001114AC"/>
    <w:rsid w:val="001116F1"/>
    <w:rsid w:val="001117D5"/>
    <w:rsid w:val="00111A20"/>
    <w:rsid w:val="001120B1"/>
    <w:rsid w:val="001122D7"/>
    <w:rsid w:val="00112411"/>
    <w:rsid w:val="001126DE"/>
    <w:rsid w:val="00112AB9"/>
    <w:rsid w:val="00112BE8"/>
    <w:rsid w:val="00112D76"/>
    <w:rsid w:val="00112D9B"/>
    <w:rsid w:val="00112DCE"/>
    <w:rsid w:val="00112E1D"/>
    <w:rsid w:val="00112FEF"/>
    <w:rsid w:val="00113C94"/>
    <w:rsid w:val="00114034"/>
    <w:rsid w:val="001141A9"/>
    <w:rsid w:val="0011458D"/>
    <w:rsid w:val="0011495D"/>
    <w:rsid w:val="0011498E"/>
    <w:rsid w:val="001149E2"/>
    <w:rsid w:val="00114CF2"/>
    <w:rsid w:val="00114F29"/>
    <w:rsid w:val="001151ED"/>
    <w:rsid w:val="00115245"/>
    <w:rsid w:val="00115484"/>
    <w:rsid w:val="00115550"/>
    <w:rsid w:val="0011604B"/>
    <w:rsid w:val="00116088"/>
    <w:rsid w:val="001163EE"/>
    <w:rsid w:val="00116771"/>
    <w:rsid w:val="00116784"/>
    <w:rsid w:val="001167E7"/>
    <w:rsid w:val="001169F6"/>
    <w:rsid w:val="00116B27"/>
    <w:rsid w:val="00117075"/>
    <w:rsid w:val="00117294"/>
    <w:rsid w:val="001172F9"/>
    <w:rsid w:val="001176F3"/>
    <w:rsid w:val="001177B4"/>
    <w:rsid w:val="00117B03"/>
    <w:rsid w:val="00117B41"/>
    <w:rsid w:val="00117D4D"/>
    <w:rsid w:val="00117E8F"/>
    <w:rsid w:val="00117F2F"/>
    <w:rsid w:val="00120465"/>
    <w:rsid w:val="001204D9"/>
    <w:rsid w:val="00120620"/>
    <w:rsid w:val="00120732"/>
    <w:rsid w:val="0012077B"/>
    <w:rsid w:val="00120832"/>
    <w:rsid w:val="00120F8F"/>
    <w:rsid w:val="00120FCC"/>
    <w:rsid w:val="0012150D"/>
    <w:rsid w:val="00121595"/>
    <w:rsid w:val="001219C0"/>
    <w:rsid w:val="00121A6F"/>
    <w:rsid w:val="00121D44"/>
    <w:rsid w:val="001221EC"/>
    <w:rsid w:val="0012245D"/>
    <w:rsid w:val="00122540"/>
    <w:rsid w:val="0012257F"/>
    <w:rsid w:val="0012259D"/>
    <w:rsid w:val="0012275F"/>
    <w:rsid w:val="00122796"/>
    <w:rsid w:val="001227D1"/>
    <w:rsid w:val="00122838"/>
    <w:rsid w:val="001229F6"/>
    <w:rsid w:val="00122B09"/>
    <w:rsid w:val="00122B3E"/>
    <w:rsid w:val="00122BA2"/>
    <w:rsid w:val="00122C0F"/>
    <w:rsid w:val="00122DC8"/>
    <w:rsid w:val="00123206"/>
    <w:rsid w:val="0012345B"/>
    <w:rsid w:val="0012356A"/>
    <w:rsid w:val="001235CD"/>
    <w:rsid w:val="001238EC"/>
    <w:rsid w:val="00123A0E"/>
    <w:rsid w:val="00123A8E"/>
    <w:rsid w:val="00123ACC"/>
    <w:rsid w:val="00123B0E"/>
    <w:rsid w:val="00123D48"/>
    <w:rsid w:val="00123DC0"/>
    <w:rsid w:val="001244F6"/>
    <w:rsid w:val="00124CDD"/>
    <w:rsid w:val="00125429"/>
    <w:rsid w:val="0012554E"/>
    <w:rsid w:val="0012556C"/>
    <w:rsid w:val="001258E7"/>
    <w:rsid w:val="00125B6D"/>
    <w:rsid w:val="00125BDB"/>
    <w:rsid w:val="00125CC3"/>
    <w:rsid w:val="0012679C"/>
    <w:rsid w:val="001267ED"/>
    <w:rsid w:val="00126927"/>
    <w:rsid w:val="00126ACA"/>
    <w:rsid w:val="00126BB1"/>
    <w:rsid w:val="00127121"/>
    <w:rsid w:val="00127469"/>
    <w:rsid w:val="001276D9"/>
    <w:rsid w:val="00127C00"/>
    <w:rsid w:val="00127C09"/>
    <w:rsid w:val="00127D28"/>
    <w:rsid w:val="00127D72"/>
    <w:rsid w:val="00130228"/>
    <w:rsid w:val="0013052B"/>
    <w:rsid w:val="001307A0"/>
    <w:rsid w:val="0013086C"/>
    <w:rsid w:val="001309A9"/>
    <w:rsid w:val="00130B9C"/>
    <w:rsid w:val="00130D20"/>
    <w:rsid w:val="00130F3B"/>
    <w:rsid w:val="001314C8"/>
    <w:rsid w:val="00131A73"/>
    <w:rsid w:val="00131E41"/>
    <w:rsid w:val="00131FFA"/>
    <w:rsid w:val="00132206"/>
    <w:rsid w:val="001327AB"/>
    <w:rsid w:val="00132E06"/>
    <w:rsid w:val="0013306F"/>
    <w:rsid w:val="00133142"/>
    <w:rsid w:val="001332AB"/>
    <w:rsid w:val="001333A6"/>
    <w:rsid w:val="00133651"/>
    <w:rsid w:val="00133ACE"/>
    <w:rsid w:val="00133E76"/>
    <w:rsid w:val="001340DE"/>
    <w:rsid w:val="0013412D"/>
    <w:rsid w:val="00134880"/>
    <w:rsid w:val="00134964"/>
    <w:rsid w:val="00134A62"/>
    <w:rsid w:val="00134C15"/>
    <w:rsid w:val="00134E43"/>
    <w:rsid w:val="00134EB9"/>
    <w:rsid w:val="00134FD2"/>
    <w:rsid w:val="00135253"/>
    <w:rsid w:val="001354EE"/>
    <w:rsid w:val="00135629"/>
    <w:rsid w:val="001357BE"/>
    <w:rsid w:val="0013589D"/>
    <w:rsid w:val="001358C7"/>
    <w:rsid w:val="00135D25"/>
    <w:rsid w:val="00135E39"/>
    <w:rsid w:val="00136206"/>
    <w:rsid w:val="00136377"/>
    <w:rsid w:val="001364CA"/>
    <w:rsid w:val="0013655B"/>
    <w:rsid w:val="001367C8"/>
    <w:rsid w:val="001369FE"/>
    <w:rsid w:val="00136ACA"/>
    <w:rsid w:val="00136B34"/>
    <w:rsid w:val="00136C5C"/>
    <w:rsid w:val="001370F6"/>
    <w:rsid w:val="00137158"/>
    <w:rsid w:val="001372B9"/>
    <w:rsid w:val="00137399"/>
    <w:rsid w:val="001373F2"/>
    <w:rsid w:val="0013752E"/>
    <w:rsid w:val="00137546"/>
    <w:rsid w:val="0013763A"/>
    <w:rsid w:val="00137790"/>
    <w:rsid w:val="0013785B"/>
    <w:rsid w:val="001379A0"/>
    <w:rsid w:val="00137A0B"/>
    <w:rsid w:val="00137A67"/>
    <w:rsid w:val="00137C71"/>
    <w:rsid w:val="00137D24"/>
    <w:rsid w:val="00137DD9"/>
    <w:rsid w:val="00137E64"/>
    <w:rsid w:val="00137ECB"/>
    <w:rsid w:val="00140002"/>
    <w:rsid w:val="00140113"/>
    <w:rsid w:val="001402C0"/>
    <w:rsid w:val="001402CE"/>
    <w:rsid w:val="00140449"/>
    <w:rsid w:val="0014055E"/>
    <w:rsid w:val="00140741"/>
    <w:rsid w:val="0014080D"/>
    <w:rsid w:val="00140A8A"/>
    <w:rsid w:val="00140DD3"/>
    <w:rsid w:val="00140E3D"/>
    <w:rsid w:val="00141167"/>
    <w:rsid w:val="00141223"/>
    <w:rsid w:val="001413E5"/>
    <w:rsid w:val="0014148D"/>
    <w:rsid w:val="0014163E"/>
    <w:rsid w:val="00141A3E"/>
    <w:rsid w:val="00141AD5"/>
    <w:rsid w:val="00141AFF"/>
    <w:rsid w:val="00141BE3"/>
    <w:rsid w:val="001421ED"/>
    <w:rsid w:val="001424E5"/>
    <w:rsid w:val="00142632"/>
    <w:rsid w:val="001426DB"/>
    <w:rsid w:val="0014282A"/>
    <w:rsid w:val="001428FF"/>
    <w:rsid w:val="00142A5C"/>
    <w:rsid w:val="00142A71"/>
    <w:rsid w:val="00142A75"/>
    <w:rsid w:val="00142E10"/>
    <w:rsid w:val="00142FA7"/>
    <w:rsid w:val="001430B8"/>
    <w:rsid w:val="001431AA"/>
    <w:rsid w:val="0014389D"/>
    <w:rsid w:val="00143C9E"/>
    <w:rsid w:val="001442C6"/>
    <w:rsid w:val="001442E5"/>
    <w:rsid w:val="00144414"/>
    <w:rsid w:val="0014448D"/>
    <w:rsid w:val="0014472F"/>
    <w:rsid w:val="00144AEB"/>
    <w:rsid w:val="00144C7E"/>
    <w:rsid w:val="00144F26"/>
    <w:rsid w:val="001452BE"/>
    <w:rsid w:val="0014536D"/>
    <w:rsid w:val="001456FC"/>
    <w:rsid w:val="00145860"/>
    <w:rsid w:val="00145982"/>
    <w:rsid w:val="00145C30"/>
    <w:rsid w:val="00145C55"/>
    <w:rsid w:val="00146142"/>
    <w:rsid w:val="00146537"/>
    <w:rsid w:val="00146545"/>
    <w:rsid w:val="00146F7D"/>
    <w:rsid w:val="00147028"/>
    <w:rsid w:val="001473D2"/>
    <w:rsid w:val="001473DB"/>
    <w:rsid w:val="001476E3"/>
    <w:rsid w:val="0014786C"/>
    <w:rsid w:val="00147DDE"/>
    <w:rsid w:val="00147F4D"/>
    <w:rsid w:val="0015076F"/>
    <w:rsid w:val="001507BE"/>
    <w:rsid w:val="00150832"/>
    <w:rsid w:val="00150AD9"/>
    <w:rsid w:val="00150CDE"/>
    <w:rsid w:val="00150F1D"/>
    <w:rsid w:val="001510B7"/>
    <w:rsid w:val="00151396"/>
    <w:rsid w:val="0015158D"/>
    <w:rsid w:val="00151668"/>
    <w:rsid w:val="0015166A"/>
    <w:rsid w:val="0015182B"/>
    <w:rsid w:val="00151A50"/>
    <w:rsid w:val="00151EEB"/>
    <w:rsid w:val="001520A3"/>
    <w:rsid w:val="00152105"/>
    <w:rsid w:val="00152520"/>
    <w:rsid w:val="0015279B"/>
    <w:rsid w:val="00152833"/>
    <w:rsid w:val="0015287A"/>
    <w:rsid w:val="001528BC"/>
    <w:rsid w:val="00152913"/>
    <w:rsid w:val="00152B72"/>
    <w:rsid w:val="00152BAE"/>
    <w:rsid w:val="00152E4C"/>
    <w:rsid w:val="00152F8C"/>
    <w:rsid w:val="00153034"/>
    <w:rsid w:val="001531E4"/>
    <w:rsid w:val="00153227"/>
    <w:rsid w:val="001532BF"/>
    <w:rsid w:val="001533E6"/>
    <w:rsid w:val="001534D7"/>
    <w:rsid w:val="00153711"/>
    <w:rsid w:val="001537D3"/>
    <w:rsid w:val="001538BE"/>
    <w:rsid w:val="00153909"/>
    <w:rsid w:val="00153B76"/>
    <w:rsid w:val="00153CF6"/>
    <w:rsid w:val="00153D30"/>
    <w:rsid w:val="00154019"/>
    <w:rsid w:val="0015415B"/>
    <w:rsid w:val="00154167"/>
    <w:rsid w:val="001541CB"/>
    <w:rsid w:val="001541EE"/>
    <w:rsid w:val="00154536"/>
    <w:rsid w:val="00154941"/>
    <w:rsid w:val="00154AB7"/>
    <w:rsid w:val="00154C0D"/>
    <w:rsid w:val="00154C40"/>
    <w:rsid w:val="00154D8F"/>
    <w:rsid w:val="00154DC9"/>
    <w:rsid w:val="00154F24"/>
    <w:rsid w:val="00154FE4"/>
    <w:rsid w:val="001551C5"/>
    <w:rsid w:val="00155686"/>
    <w:rsid w:val="001556D4"/>
    <w:rsid w:val="001557F7"/>
    <w:rsid w:val="00155833"/>
    <w:rsid w:val="00155883"/>
    <w:rsid w:val="00155B85"/>
    <w:rsid w:val="00155CA7"/>
    <w:rsid w:val="00155DD3"/>
    <w:rsid w:val="00156171"/>
    <w:rsid w:val="001561B8"/>
    <w:rsid w:val="00156200"/>
    <w:rsid w:val="001563CE"/>
    <w:rsid w:val="00156432"/>
    <w:rsid w:val="00156521"/>
    <w:rsid w:val="0015696A"/>
    <w:rsid w:val="00156FF4"/>
    <w:rsid w:val="0015702C"/>
    <w:rsid w:val="00157164"/>
    <w:rsid w:val="001573AB"/>
    <w:rsid w:val="001576B9"/>
    <w:rsid w:val="00157741"/>
    <w:rsid w:val="001579A9"/>
    <w:rsid w:val="00157F5F"/>
    <w:rsid w:val="00160150"/>
    <w:rsid w:val="0016036E"/>
    <w:rsid w:val="001608B7"/>
    <w:rsid w:val="00160B69"/>
    <w:rsid w:val="00160C48"/>
    <w:rsid w:val="00160F69"/>
    <w:rsid w:val="00161096"/>
    <w:rsid w:val="00161235"/>
    <w:rsid w:val="001615FC"/>
    <w:rsid w:val="001617B4"/>
    <w:rsid w:val="001619D5"/>
    <w:rsid w:val="00161BFE"/>
    <w:rsid w:val="001620A1"/>
    <w:rsid w:val="001622E3"/>
    <w:rsid w:val="00162479"/>
    <w:rsid w:val="001624C7"/>
    <w:rsid w:val="001627BA"/>
    <w:rsid w:val="00162A11"/>
    <w:rsid w:val="00162BB4"/>
    <w:rsid w:val="00162BEB"/>
    <w:rsid w:val="00162BEE"/>
    <w:rsid w:val="00162C7F"/>
    <w:rsid w:val="00162E6F"/>
    <w:rsid w:val="00162F34"/>
    <w:rsid w:val="00162FBD"/>
    <w:rsid w:val="00163055"/>
    <w:rsid w:val="00163224"/>
    <w:rsid w:val="001632CD"/>
    <w:rsid w:val="00163634"/>
    <w:rsid w:val="00163958"/>
    <w:rsid w:val="001640C2"/>
    <w:rsid w:val="001640FC"/>
    <w:rsid w:val="00164245"/>
    <w:rsid w:val="00164388"/>
    <w:rsid w:val="0016440B"/>
    <w:rsid w:val="00164935"/>
    <w:rsid w:val="001649A5"/>
    <w:rsid w:val="00164A13"/>
    <w:rsid w:val="00164A52"/>
    <w:rsid w:val="00164C88"/>
    <w:rsid w:val="00164D56"/>
    <w:rsid w:val="00164F08"/>
    <w:rsid w:val="0016540C"/>
    <w:rsid w:val="001654D2"/>
    <w:rsid w:val="0016586F"/>
    <w:rsid w:val="00165B35"/>
    <w:rsid w:val="00165CF5"/>
    <w:rsid w:val="00165D91"/>
    <w:rsid w:val="0016620F"/>
    <w:rsid w:val="00166687"/>
    <w:rsid w:val="00166C0A"/>
    <w:rsid w:val="00166E53"/>
    <w:rsid w:val="00166F4D"/>
    <w:rsid w:val="00166FCA"/>
    <w:rsid w:val="001670DC"/>
    <w:rsid w:val="0016737F"/>
    <w:rsid w:val="00167381"/>
    <w:rsid w:val="00167419"/>
    <w:rsid w:val="001674C8"/>
    <w:rsid w:val="0016757E"/>
    <w:rsid w:val="00167675"/>
    <w:rsid w:val="001676BB"/>
    <w:rsid w:val="001677F2"/>
    <w:rsid w:val="00167A50"/>
    <w:rsid w:val="00167A51"/>
    <w:rsid w:val="00167AE7"/>
    <w:rsid w:val="00167B79"/>
    <w:rsid w:val="001700D1"/>
    <w:rsid w:val="00170422"/>
    <w:rsid w:val="00170521"/>
    <w:rsid w:val="00170D06"/>
    <w:rsid w:val="00170D78"/>
    <w:rsid w:val="00170DBF"/>
    <w:rsid w:val="00170E1B"/>
    <w:rsid w:val="00170EF3"/>
    <w:rsid w:val="00171301"/>
    <w:rsid w:val="00171324"/>
    <w:rsid w:val="00171965"/>
    <w:rsid w:val="001719F3"/>
    <w:rsid w:val="00171A98"/>
    <w:rsid w:val="00171B19"/>
    <w:rsid w:val="00171B35"/>
    <w:rsid w:val="00171E7C"/>
    <w:rsid w:val="00171F8F"/>
    <w:rsid w:val="00172008"/>
    <w:rsid w:val="0017228B"/>
    <w:rsid w:val="001725B2"/>
    <w:rsid w:val="001725DC"/>
    <w:rsid w:val="00172898"/>
    <w:rsid w:val="001728D5"/>
    <w:rsid w:val="001729B6"/>
    <w:rsid w:val="00172C94"/>
    <w:rsid w:val="00172CFF"/>
    <w:rsid w:val="00172DD4"/>
    <w:rsid w:val="0017352B"/>
    <w:rsid w:val="001735F8"/>
    <w:rsid w:val="00173A44"/>
    <w:rsid w:val="00173D0A"/>
    <w:rsid w:val="001741F2"/>
    <w:rsid w:val="00174424"/>
    <w:rsid w:val="0017472C"/>
    <w:rsid w:val="0017496C"/>
    <w:rsid w:val="00174BD6"/>
    <w:rsid w:val="00174C07"/>
    <w:rsid w:val="00174D26"/>
    <w:rsid w:val="00174DB4"/>
    <w:rsid w:val="00174DE0"/>
    <w:rsid w:val="0017544B"/>
    <w:rsid w:val="00175689"/>
    <w:rsid w:val="00175AB3"/>
    <w:rsid w:val="00175AF0"/>
    <w:rsid w:val="00175EF4"/>
    <w:rsid w:val="00175F63"/>
    <w:rsid w:val="0017636C"/>
    <w:rsid w:val="0017681C"/>
    <w:rsid w:val="00176BA3"/>
    <w:rsid w:val="0017754E"/>
    <w:rsid w:val="0017764B"/>
    <w:rsid w:val="00177767"/>
    <w:rsid w:val="0017791A"/>
    <w:rsid w:val="00177A4D"/>
    <w:rsid w:val="00177CF0"/>
    <w:rsid w:val="00177E3F"/>
    <w:rsid w:val="00177F95"/>
    <w:rsid w:val="0018021E"/>
    <w:rsid w:val="0018090F"/>
    <w:rsid w:val="00181267"/>
    <w:rsid w:val="00181420"/>
    <w:rsid w:val="00181E46"/>
    <w:rsid w:val="00181FA1"/>
    <w:rsid w:val="0018229A"/>
    <w:rsid w:val="0018234A"/>
    <w:rsid w:val="0018242D"/>
    <w:rsid w:val="001828BA"/>
    <w:rsid w:val="001828DC"/>
    <w:rsid w:val="001829FE"/>
    <w:rsid w:val="00182A7D"/>
    <w:rsid w:val="0018301C"/>
    <w:rsid w:val="0018369A"/>
    <w:rsid w:val="00183708"/>
    <w:rsid w:val="00183792"/>
    <w:rsid w:val="001839D8"/>
    <w:rsid w:val="00183C8A"/>
    <w:rsid w:val="00183EED"/>
    <w:rsid w:val="00184394"/>
    <w:rsid w:val="00184671"/>
    <w:rsid w:val="00184672"/>
    <w:rsid w:val="00184B24"/>
    <w:rsid w:val="00184C17"/>
    <w:rsid w:val="00184C45"/>
    <w:rsid w:val="00184C95"/>
    <w:rsid w:val="00184F94"/>
    <w:rsid w:val="00184FBC"/>
    <w:rsid w:val="00184FE0"/>
    <w:rsid w:val="00185286"/>
    <w:rsid w:val="001852B6"/>
    <w:rsid w:val="001852C8"/>
    <w:rsid w:val="00185B28"/>
    <w:rsid w:val="00185E2A"/>
    <w:rsid w:val="00185E7A"/>
    <w:rsid w:val="00185F65"/>
    <w:rsid w:val="00186525"/>
    <w:rsid w:val="0018655F"/>
    <w:rsid w:val="00186716"/>
    <w:rsid w:val="0018683D"/>
    <w:rsid w:val="00186EEB"/>
    <w:rsid w:val="00186FB4"/>
    <w:rsid w:val="00187075"/>
    <w:rsid w:val="00187404"/>
    <w:rsid w:val="001874A0"/>
    <w:rsid w:val="00187664"/>
    <w:rsid w:val="001877A1"/>
    <w:rsid w:val="00187AC3"/>
    <w:rsid w:val="00187AE5"/>
    <w:rsid w:val="00187BA1"/>
    <w:rsid w:val="00187C66"/>
    <w:rsid w:val="00187F5D"/>
    <w:rsid w:val="001905F5"/>
    <w:rsid w:val="00190C5B"/>
    <w:rsid w:val="00190C8F"/>
    <w:rsid w:val="00190CCD"/>
    <w:rsid w:val="0019131A"/>
    <w:rsid w:val="001913F0"/>
    <w:rsid w:val="0019168A"/>
    <w:rsid w:val="0019193C"/>
    <w:rsid w:val="00191CA0"/>
    <w:rsid w:val="00192045"/>
    <w:rsid w:val="00192106"/>
    <w:rsid w:val="001921A0"/>
    <w:rsid w:val="001922F2"/>
    <w:rsid w:val="00192857"/>
    <w:rsid w:val="0019293C"/>
    <w:rsid w:val="00192ABA"/>
    <w:rsid w:val="00192AFE"/>
    <w:rsid w:val="00192EF5"/>
    <w:rsid w:val="00192F31"/>
    <w:rsid w:val="001930B7"/>
    <w:rsid w:val="001930F0"/>
    <w:rsid w:val="00193312"/>
    <w:rsid w:val="001934E6"/>
    <w:rsid w:val="00193511"/>
    <w:rsid w:val="00193887"/>
    <w:rsid w:val="00193985"/>
    <w:rsid w:val="00193BE9"/>
    <w:rsid w:val="00193BEA"/>
    <w:rsid w:val="00193D72"/>
    <w:rsid w:val="00193F8C"/>
    <w:rsid w:val="00194051"/>
    <w:rsid w:val="00194108"/>
    <w:rsid w:val="0019430B"/>
    <w:rsid w:val="0019439C"/>
    <w:rsid w:val="00194A93"/>
    <w:rsid w:val="00194AE9"/>
    <w:rsid w:val="00194B76"/>
    <w:rsid w:val="001953DA"/>
    <w:rsid w:val="001957FA"/>
    <w:rsid w:val="00195906"/>
    <w:rsid w:val="00195A5D"/>
    <w:rsid w:val="00195C40"/>
    <w:rsid w:val="00195C64"/>
    <w:rsid w:val="00195FFF"/>
    <w:rsid w:val="00196488"/>
    <w:rsid w:val="00196891"/>
    <w:rsid w:val="0019691B"/>
    <w:rsid w:val="001969F8"/>
    <w:rsid w:val="00196A61"/>
    <w:rsid w:val="00196B04"/>
    <w:rsid w:val="00196B43"/>
    <w:rsid w:val="00196C4F"/>
    <w:rsid w:val="00196F0E"/>
    <w:rsid w:val="00196F92"/>
    <w:rsid w:val="00197049"/>
    <w:rsid w:val="001970E6"/>
    <w:rsid w:val="001972D2"/>
    <w:rsid w:val="00197B6C"/>
    <w:rsid w:val="00197DD1"/>
    <w:rsid w:val="00197DDE"/>
    <w:rsid w:val="001A008D"/>
    <w:rsid w:val="001A0150"/>
    <w:rsid w:val="001A01B0"/>
    <w:rsid w:val="001A02BD"/>
    <w:rsid w:val="001A0736"/>
    <w:rsid w:val="001A081F"/>
    <w:rsid w:val="001A0957"/>
    <w:rsid w:val="001A0A61"/>
    <w:rsid w:val="001A0B7A"/>
    <w:rsid w:val="001A0BC8"/>
    <w:rsid w:val="001A0CC2"/>
    <w:rsid w:val="001A0E10"/>
    <w:rsid w:val="001A0FE7"/>
    <w:rsid w:val="001A15F7"/>
    <w:rsid w:val="001A17A9"/>
    <w:rsid w:val="001A1A76"/>
    <w:rsid w:val="001A1BC4"/>
    <w:rsid w:val="001A1BD1"/>
    <w:rsid w:val="001A1BF7"/>
    <w:rsid w:val="001A1D15"/>
    <w:rsid w:val="001A2335"/>
    <w:rsid w:val="001A2559"/>
    <w:rsid w:val="001A2958"/>
    <w:rsid w:val="001A2976"/>
    <w:rsid w:val="001A2BB0"/>
    <w:rsid w:val="001A2D1F"/>
    <w:rsid w:val="001A2D7D"/>
    <w:rsid w:val="001A2DF0"/>
    <w:rsid w:val="001A3031"/>
    <w:rsid w:val="001A32A1"/>
    <w:rsid w:val="001A3319"/>
    <w:rsid w:val="001A34DC"/>
    <w:rsid w:val="001A356E"/>
    <w:rsid w:val="001A359B"/>
    <w:rsid w:val="001A37EF"/>
    <w:rsid w:val="001A3995"/>
    <w:rsid w:val="001A3C92"/>
    <w:rsid w:val="001A44FC"/>
    <w:rsid w:val="001A457C"/>
    <w:rsid w:val="001A47D3"/>
    <w:rsid w:val="001A4A5D"/>
    <w:rsid w:val="001A4D2A"/>
    <w:rsid w:val="001A4D6D"/>
    <w:rsid w:val="001A4F11"/>
    <w:rsid w:val="001A550F"/>
    <w:rsid w:val="001A570D"/>
    <w:rsid w:val="001A582F"/>
    <w:rsid w:val="001A59E8"/>
    <w:rsid w:val="001A5C1D"/>
    <w:rsid w:val="001A5D12"/>
    <w:rsid w:val="001A5D49"/>
    <w:rsid w:val="001A5DA7"/>
    <w:rsid w:val="001A5DCD"/>
    <w:rsid w:val="001A5E17"/>
    <w:rsid w:val="001A6067"/>
    <w:rsid w:val="001A63BA"/>
    <w:rsid w:val="001A63FA"/>
    <w:rsid w:val="001A6714"/>
    <w:rsid w:val="001A6858"/>
    <w:rsid w:val="001A6888"/>
    <w:rsid w:val="001A6B43"/>
    <w:rsid w:val="001A6B88"/>
    <w:rsid w:val="001A6DA9"/>
    <w:rsid w:val="001A6E4E"/>
    <w:rsid w:val="001A73BC"/>
    <w:rsid w:val="001A7630"/>
    <w:rsid w:val="001A7697"/>
    <w:rsid w:val="001A794C"/>
    <w:rsid w:val="001A79AE"/>
    <w:rsid w:val="001A7AF3"/>
    <w:rsid w:val="001A7FDE"/>
    <w:rsid w:val="001B00C2"/>
    <w:rsid w:val="001B0112"/>
    <w:rsid w:val="001B05ED"/>
    <w:rsid w:val="001B0614"/>
    <w:rsid w:val="001B0671"/>
    <w:rsid w:val="001B0B9F"/>
    <w:rsid w:val="001B0E9C"/>
    <w:rsid w:val="001B0FCD"/>
    <w:rsid w:val="001B1125"/>
    <w:rsid w:val="001B117A"/>
    <w:rsid w:val="001B1660"/>
    <w:rsid w:val="001B1751"/>
    <w:rsid w:val="001B186A"/>
    <w:rsid w:val="001B1A00"/>
    <w:rsid w:val="001B1C7C"/>
    <w:rsid w:val="001B1D1B"/>
    <w:rsid w:val="001B1F69"/>
    <w:rsid w:val="001B1FCA"/>
    <w:rsid w:val="001B2318"/>
    <w:rsid w:val="001B2926"/>
    <w:rsid w:val="001B2C01"/>
    <w:rsid w:val="001B2D33"/>
    <w:rsid w:val="001B3093"/>
    <w:rsid w:val="001B3291"/>
    <w:rsid w:val="001B34B0"/>
    <w:rsid w:val="001B39CF"/>
    <w:rsid w:val="001B3A67"/>
    <w:rsid w:val="001B3BB8"/>
    <w:rsid w:val="001B3EFF"/>
    <w:rsid w:val="001B4123"/>
    <w:rsid w:val="001B431E"/>
    <w:rsid w:val="001B445D"/>
    <w:rsid w:val="001B482A"/>
    <w:rsid w:val="001B49AB"/>
    <w:rsid w:val="001B4B9C"/>
    <w:rsid w:val="001B4C2A"/>
    <w:rsid w:val="001B4F1F"/>
    <w:rsid w:val="001B5050"/>
    <w:rsid w:val="001B50DE"/>
    <w:rsid w:val="001B511D"/>
    <w:rsid w:val="001B5197"/>
    <w:rsid w:val="001B5233"/>
    <w:rsid w:val="001B5260"/>
    <w:rsid w:val="001B55A7"/>
    <w:rsid w:val="001B59DF"/>
    <w:rsid w:val="001B59E3"/>
    <w:rsid w:val="001B5C10"/>
    <w:rsid w:val="001B5C14"/>
    <w:rsid w:val="001B5C83"/>
    <w:rsid w:val="001B653D"/>
    <w:rsid w:val="001B6562"/>
    <w:rsid w:val="001B6716"/>
    <w:rsid w:val="001B6BD6"/>
    <w:rsid w:val="001B6E05"/>
    <w:rsid w:val="001B6F1D"/>
    <w:rsid w:val="001B6F61"/>
    <w:rsid w:val="001B71A4"/>
    <w:rsid w:val="001B729E"/>
    <w:rsid w:val="001B746F"/>
    <w:rsid w:val="001B7580"/>
    <w:rsid w:val="001B799F"/>
    <w:rsid w:val="001B7ABF"/>
    <w:rsid w:val="001B7E42"/>
    <w:rsid w:val="001B7EF3"/>
    <w:rsid w:val="001C02CE"/>
    <w:rsid w:val="001C0430"/>
    <w:rsid w:val="001C04E2"/>
    <w:rsid w:val="001C05CE"/>
    <w:rsid w:val="001C0746"/>
    <w:rsid w:val="001C0F8D"/>
    <w:rsid w:val="001C128F"/>
    <w:rsid w:val="001C137B"/>
    <w:rsid w:val="001C1777"/>
    <w:rsid w:val="001C1953"/>
    <w:rsid w:val="001C1968"/>
    <w:rsid w:val="001C19C0"/>
    <w:rsid w:val="001C19EE"/>
    <w:rsid w:val="001C26F6"/>
    <w:rsid w:val="001C2813"/>
    <w:rsid w:val="001C2CF8"/>
    <w:rsid w:val="001C2D1C"/>
    <w:rsid w:val="001C2D8E"/>
    <w:rsid w:val="001C3141"/>
    <w:rsid w:val="001C3570"/>
    <w:rsid w:val="001C36B2"/>
    <w:rsid w:val="001C36EF"/>
    <w:rsid w:val="001C37A4"/>
    <w:rsid w:val="001C382A"/>
    <w:rsid w:val="001C3BBE"/>
    <w:rsid w:val="001C3BF3"/>
    <w:rsid w:val="001C4376"/>
    <w:rsid w:val="001C43F5"/>
    <w:rsid w:val="001C44F1"/>
    <w:rsid w:val="001C4797"/>
    <w:rsid w:val="001C48AF"/>
    <w:rsid w:val="001C494A"/>
    <w:rsid w:val="001C4E18"/>
    <w:rsid w:val="001C509B"/>
    <w:rsid w:val="001C509C"/>
    <w:rsid w:val="001C510D"/>
    <w:rsid w:val="001C5122"/>
    <w:rsid w:val="001C5159"/>
    <w:rsid w:val="001C517B"/>
    <w:rsid w:val="001C52B7"/>
    <w:rsid w:val="001C5479"/>
    <w:rsid w:val="001C5603"/>
    <w:rsid w:val="001C56BE"/>
    <w:rsid w:val="001C56DA"/>
    <w:rsid w:val="001C588B"/>
    <w:rsid w:val="001C5894"/>
    <w:rsid w:val="001C64D3"/>
    <w:rsid w:val="001C6842"/>
    <w:rsid w:val="001C6858"/>
    <w:rsid w:val="001C6A56"/>
    <w:rsid w:val="001C6C56"/>
    <w:rsid w:val="001C6E0C"/>
    <w:rsid w:val="001C6F27"/>
    <w:rsid w:val="001C701F"/>
    <w:rsid w:val="001C7455"/>
    <w:rsid w:val="001C7489"/>
    <w:rsid w:val="001C7517"/>
    <w:rsid w:val="001C7613"/>
    <w:rsid w:val="001C76D1"/>
    <w:rsid w:val="001C76E0"/>
    <w:rsid w:val="001C7C9E"/>
    <w:rsid w:val="001C7E57"/>
    <w:rsid w:val="001D0D4A"/>
    <w:rsid w:val="001D0D87"/>
    <w:rsid w:val="001D0E28"/>
    <w:rsid w:val="001D1342"/>
    <w:rsid w:val="001D144A"/>
    <w:rsid w:val="001D1A83"/>
    <w:rsid w:val="001D2210"/>
    <w:rsid w:val="001D2509"/>
    <w:rsid w:val="001D259C"/>
    <w:rsid w:val="001D2769"/>
    <w:rsid w:val="001D2A81"/>
    <w:rsid w:val="001D2BDC"/>
    <w:rsid w:val="001D2BF0"/>
    <w:rsid w:val="001D2F5D"/>
    <w:rsid w:val="001D3227"/>
    <w:rsid w:val="001D327B"/>
    <w:rsid w:val="001D36AB"/>
    <w:rsid w:val="001D3857"/>
    <w:rsid w:val="001D3B2C"/>
    <w:rsid w:val="001D3B71"/>
    <w:rsid w:val="001D3CA7"/>
    <w:rsid w:val="001D3CE1"/>
    <w:rsid w:val="001D3D4A"/>
    <w:rsid w:val="001D3EC8"/>
    <w:rsid w:val="001D4223"/>
    <w:rsid w:val="001D4525"/>
    <w:rsid w:val="001D45B7"/>
    <w:rsid w:val="001D4AC3"/>
    <w:rsid w:val="001D4B19"/>
    <w:rsid w:val="001D4EE6"/>
    <w:rsid w:val="001D500F"/>
    <w:rsid w:val="001D5159"/>
    <w:rsid w:val="001D5169"/>
    <w:rsid w:val="001D51D1"/>
    <w:rsid w:val="001D54DF"/>
    <w:rsid w:val="001D58D9"/>
    <w:rsid w:val="001D5B78"/>
    <w:rsid w:val="001D5D79"/>
    <w:rsid w:val="001D6002"/>
    <w:rsid w:val="001D6421"/>
    <w:rsid w:val="001D6425"/>
    <w:rsid w:val="001D688C"/>
    <w:rsid w:val="001D69EE"/>
    <w:rsid w:val="001D6B02"/>
    <w:rsid w:val="001D6B9D"/>
    <w:rsid w:val="001D6D1F"/>
    <w:rsid w:val="001D6EDD"/>
    <w:rsid w:val="001D6F0B"/>
    <w:rsid w:val="001D715E"/>
    <w:rsid w:val="001D7365"/>
    <w:rsid w:val="001D742F"/>
    <w:rsid w:val="001D76CF"/>
    <w:rsid w:val="001D7789"/>
    <w:rsid w:val="001D77C1"/>
    <w:rsid w:val="001D7A9D"/>
    <w:rsid w:val="001D7AB8"/>
    <w:rsid w:val="001D7BEE"/>
    <w:rsid w:val="001D7C8C"/>
    <w:rsid w:val="001E0018"/>
    <w:rsid w:val="001E037D"/>
    <w:rsid w:val="001E0482"/>
    <w:rsid w:val="001E0580"/>
    <w:rsid w:val="001E0658"/>
    <w:rsid w:val="001E06B3"/>
    <w:rsid w:val="001E0891"/>
    <w:rsid w:val="001E0C7A"/>
    <w:rsid w:val="001E1598"/>
    <w:rsid w:val="001E18AB"/>
    <w:rsid w:val="001E1958"/>
    <w:rsid w:val="001E1A47"/>
    <w:rsid w:val="001E1BF5"/>
    <w:rsid w:val="001E1CBC"/>
    <w:rsid w:val="001E1CE6"/>
    <w:rsid w:val="001E1E9A"/>
    <w:rsid w:val="001E2059"/>
    <w:rsid w:val="001E21E0"/>
    <w:rsid w:val="001E22F8"/>
    <w:rsid w:val="001E2382"/>
    <w:rsid w:val="001E24CF"/>
    <w:rsid w:val="001E2699"/>
    <w:rsid w:val="001E297F"/>
    <w:rsid w:val="001E2AD6"/>
    <w:rsid w:val="001E2C3F"/>
    <w:rsid w:val="001E2E57"/>
    <w:rsid w:val="001E2F1B"/>
    <w:rsid w:val="001E3319"/>
    <w:rsid w:val="001E3329"/>
    <w:rsid w:val="001E3418"/>
    <w:rsid w:val="001E36D5"/>
    <w:rsid w:val="001E3871"/>
    <w:rsid w:val="001E38E8"/>
    <w:rsid w:val="001E3FBF"/>
    <w:rsid w:val="001E3FEE"/>
    <w:rsid w:val="001E4177"/>
    <w:rsid w:val="001E46A8"/>
    <w:rsid w:val="001E4706"/>
    <w:rsid w:val="001E49D4"/>
    <w:rsid w:val="001E4C38"/>
    <w:rsid w:val="001E4CED"/>
    <w:rsid w:val="001E4F26"/>
    <w:rsid w:val="001E4F3D"/>
    <w:rsid w:val="001E52C6"/>
    <w:rsid w:val="001E569E"/>
    <w:rsid w:val="001E56EC"/>
    <w:rsid w:val="001E5966"/>
    <w:rsid w:val="001E5AA3"/>
    <w:rsid w:val="001E5C15"/>
    <w:rsid w:val="001E5E28"/>
    <w:rsid w:val="001E5EC7"/>
    <w:rsid w:val="001E5EFF"/>
    <w:rsid w:val="001E5FDC"/>
    <w:rsid w:val="001E6155"/>
    <w:rsid w:val="001E6284"/>
    <w:rsid w:val="001E6300"/>
    <w:rsid w:val="001E6731"/>
    <w:rsid w:val="001E6900"/>
    <w:rsid w:val="001E691C"/>
    <w:rsid w:val="001E6A43"/>
    <w:rsid w:val="001E6ABE"/>
    <w:rsid w:val="001E6E9E"/>
    <w:rsid w:val="001E6F8F"/>
    <w:rsid w:val="001E710B"/>
    <w:rsid w:val="001E7165"/>
    <w:rsid w:val="001E759B"/>
    <w:rsid w:val="001E7A1B"/>
    <w:rsid w:val="001E7AA8"/>
    <w:rsid w:val="001E7E04"/>
    <w:rsid w:val="001F048D"/>
    <w:rsid w:val="001F0618"/>
    <w:rsid w:val="001F0CCD"/>
    <w:rsid w:val="001F0CE6"/>
    <w:rsid w:val="001F0D9A"/>
    <w:rsid w:val="001F1017"/>
    <w:rsid w:val="001F1261"/>
    <w:rsid w:val="001F161F"/>
    <w:rsid w:val="001F171F"/>
    <w:rsid w:val="001F18BB"/>
    <w:rsid w:val="001F1925"/>
    <w:rsid w:val="001F1A76"/>
    <w:rsid w:val="001F1F2E"/>
    <w:rsid w:val="001F2102"/>
    <w:rsid w:val="001F22BD"/>
    <w:rsid w:val="001F25D2"/>
    <w:rsid w:val="001F261B"/>
    <w:rsid w:val="001F2946"/>
    <w:rsid w:val="001F2DBA"/>
    <w:rsid w:val="001F316D"/>
    <w:rsid w:val="001F329A"/>
    <w:rsid w:val="001F341F"/>
    <w:rsid w:val="001F348C"/>
    <w:rsid w:val="001F349B"/>
    <w:rsid w:val="001F387F"/>
    <w:rsid w:val="001F39A3"/>
    <w:rsid w:val="001F3E76"/>
    <w:rsid w:val="001F3ED1"/>
    <w:rsid w:val="001F439A"/>
    <w:rsid w:val="001F4493"/>
    <w:rsid w:val="001F44AF"/>
    <w:rsid w:val="001F48F8"/>
    <w:rsid w:val="001F49A4"/>
    <w:rsid w:val="001F49CE"/>
    <w:rsid w:val="001F4B1F"/>
    <w:rsid w:val="001F4BB4"/>
    <w:rsid w:val="001F4C70"/>
    <w:rsid w:val="001F4EE3"/>
    <w:rsid w:val="001F4F98"/>
    <w:rsid w:val="001F50D5"/>
    <w:rsid w:val="001F5242"/>
    <w:rsid w:val="001F535D"/>
    <w:rsid w:val="001F54C1"/>
    <w:rsid w:val="001F54E0"/>
    <w:rsid w:val="001F562B"/>
    <w:rsid w:val="001F594D"/>
    <w:rsid w:val="001F5A5E"/>
    <w:rsid w:val="001F5C2C"/>
    <w:rsid w:val="001F60AB"/>
    <w:rsid w:val="001F6105"/>
    <w:rsid w:val="001F6411"/>
    <w:rsid w:val="001F64AE"/>
    <w:rsid w:val="001F6816"/>
    <w:rsid w:val="001F6B21"/>
    <w:rsid w:val="001F6B6C"/>
    <w:rsid w:val="001F6E0E"/>
    <w:rsid w:val="001F71D5"/>
    <w:rsid w:val="001F7E6B"/>
    <w:rsid w:val="002000C0"/>
    <w:rsid w:val="002002B1"/>
    <w:rsid w:val="00200627"/>
    <w:rsid w:val="00200A80"/>
    <w:rsid w:val="00200B00"/>
    <w:rsid w:val="00200FC9"/>
    <w:rsid w:val="00200FEC"/>
    <w:rsid w:val="002013D1"/>
    <w:rsid w:val="00201856"/>
    <w:rsid w:val="00201925"/>
    <w:rsid w:val="0020197A"/>
    <w:rsid w:val="002019DE"/>
    <w:rsid w:val="00201AC5"/>
    <w:rsid w:val="00201C99"/>
    <w:rsid w:val="00201CBB"/>
    <w:rsid w:val="00201EC9"/>
    <w:rsid w:val="00201F55"/>
    <w:rsid w:val="00201FD5"/>
    <w:rsid w:val="0020210A"/>
    <w:rsid w:val="002023B2"/>
    <w:rsid w:val="002023E0"/>
    <w:rsid w:val="00202744"/>
    <w:rsid w:val="0020275B"/>
    <w:rsid w:val="00202C0F"/>
    <w:rsid w:val="00202C85"/>
    <w:rsid w:val="0020313C"/>
    <w:rsid w:val="002032E8"/>
    <w:rsid w:val="002033CA"/>
    <w:rsid w:val="00203B06"/>
    <w:rsid w:val="00203BBA"/>
    <w:rsid w:val="00204604"/>
    <w:rsid w:val="00204731"/>
    <w:rsid w:val="0020497B"/>
    <w:rsid w:val="00204C5C"/>
    <w:rsid w:val="00204E82"/>
    <w:rsid w:val="00204F75"/>
    <w:rsid w:val="00204FAF"/>
    <w:rsid w:val="0020513B"/>
    <w:rsid w:val="00205432"/>
    <w:rsid w:val="0020555E"/>
    <w:rsid w:val="0020557C"/>
    <w:rsid w:val="00205850"/>
    <w:rsid w:val="0020626B"/>
    <w:rsid w:val="00206380"/>
    <w:rsid w:val="00206387"/>
    <w:rsid w:val="002063F3"/>
    <w:rsid w:val="002063FE"/>
    <w:rsid w:val="00206633"/>
    <w:rsid w:val="00206727"/>
    <w:rsid w:val="00206A1D"/>
    <w:rsid w:val="00206C94"/>
    <w:rsid w:val="00206ECD"/>
    <w:rsid w:val="00206F96"/>
    <w:rsid w:val="00206FD2"/>
    <w:rsid w:val="0020702D"/>
    <w:rsid w:val="002070F5"/>
    <w:rsid w:val="00207227"/>
    <w:rsid w:val="00207534"/>
    <w:rsid w:val="0020777F"/>
    <w:rsid w:val="002077F0"/>
    <w:rsid w:val="0020792D"/>
    <w:rsid w:val="00207AF9"/>
    <w:rsid w:val="00207BF5"/>
    <w:rsid w:val="00207C2A"/>
    <w:rsid w:val="00207C8C"/>
    <w:rsid w:val="00207EA7"/>
    <w:rsid w:val="00207ECE"/>
    <w:rsid w:val="00207F3B"/>
    <w:rsid w:val="0021006D"/>
    <w:rsid w:val="00210092"/>
    <w:rsid w:val="002101D9"/>
    <w:rsid w:val="002102C4"/>
    <w:rsid w:val="0021036D"/>
    <w:rsid w:val="002103C8"/>
    <w:rsid w:val="002103CE"/>
    <w:rsid w:val="002104AC"/>
    <w:rsid w:val="00210B23"/>
    <w:rsid w:val="00210B35"/>
    <w:rsid w:val="00210B8A"/>
    <w:rsid w:val="00210CA0"/>
    <w:rsid w:val="00210F76"/>
    <w:rsid w:val="002115F7"/>
    <w:rsid w:val="002115FE"/>
    <w:rsid w:val="002116E3"/>
    <w:rsid w:val="00211A10"/>
    <w:rsid w:val="00211B52"/>
    <w:rsid w:val="00211B83"/>
    <w:rsid w:val="00211C1B"/>
    <w:rsid w:val="00211C9D"/>
    <w:rsid w:val="00211D01"/>
    <w:rsid w:val="00211EAD"/>
    <w:rsid w:val="00211ECF"/>
    <w:rsid w:val="00212648"/>
    <w:rsid w:val="002126E4"/>
    <w:rsid w:val="00212B5E"/>
    <w:rsid w:val="00212CFF"/>
    <w:rsid w:val="00212E3B"/>
    <w:rsid w:val="00213076"/>
    <w:rsid w:val="002130A1"/>
    <w:rsid w:val="0021319D"/>
    <w:rsid w:val="00213214"/>
    <w:rsid w:val="00213D67"/>
    <w:rsid w:val="00214031"/>
    <w:rsid w:val="00214092"/>
    <w:rsid w:val="00214111"/>
    <w:rsid w:val="0021411D"/>
    <w:rsid w:val="00214460"/>
    <w:rsid w:val="002144B0"/>
    <w:rsid w:val="0021451C"/>
    <w:rsid w:val="00214817"/>
    <w:rsid w:val="0021499D"/>
    <w:rsid w:val="00214B05"/>
    <w:rsid w:val="00214B30"/>
    <w:rsid w:val="00214BD4"/>
    <w:rsid w:val="00214DD6"/>
    <w:rsid w:val="00214E0D"/>
    <w:rsid w:val="00214E91"/>
    <w:rsid w:val="002150B0"/>
    <w:rsid w:val="0021568A"/>
    <w:rsid w:val="002157C2"/>
    <w:rsid w:val="00215AFF"/>
    <w:rsid w:val="00215B62"/>
    <w:rsid w:val="00215F7A"/>
    <w:rsid w:val="002165FB"/>
    <w:rsid w:val="00216936"/>
    <w:rsid w:val="00216A6B"/>
    <w:rsid w:val="00216AFA"/>
    <w:rsid w:val="00216E9C"/>
    <w:rsid w:val="0021705A"/>
    <w:rsid w:val="002171E7"/>
    <w:rsid w:val="00217852"/>
    <w:rsid w:val="0021785E"/>
    <w:rsid w:val="00217B4E"/>
    <w:rsid w:val="00217B7E"/>
    <w:rsid w:val="00217E5E"/>
    <w:rsid w:val="0022012A"/>
    <w:rsid w:val="00220309"/>
    <w:rsid w:val="002204AC"/>
    <w:rsid w:val="002207DA"/>
    <w:rsid w:val="00220BAD"/>
    <w:rsid w:val="00220D40"/>
    <w:rsid w:val="00220DB5"/>
    <w:rsid w:val="00220F92"/>
    <w:rsid w:val="002210CB"/>
    <w:rsid w:val="002212E0"/>
    <w:rsid w:val="002213CD"/>
    <w:rsid w:val="00221630"/>
    <w:rsid w:val="0022163D"/>
    <w:rsid w:val="00221698"/>
    <w:rsid w:val="0022169E"/>
    <w:rsid w:val="00221C0D"/>
    <w:rsid w:val="00221D73"/>
    <w:rsid w:val="00222140"/>
    <w:rsid w:val="00222570"/>
    <w:rsid w:val="002225F9"/>
    <w:rsid w:val="00222A18"/>
    <w:rsid w:val="00222A7F"/>
    <w:rsid w:val="00222AC3"/>
    <w:rsid w:val="00222B11"/>
    <w:rsid w:val="00222B58"/>
    <w:rsid w:val="00222C35"/>
    <w:rsid w:val="00223304"/>
    <w:rsid w:val="002233FB"/>
    <w:rsid w:val="002234DC"/>
    <w:rsid w:val="00223505"/>
    <w:rsid w:val="00223578"/>
    <w:rsid w:val="002235F7"/>
    <w:rsid w:val="00223790"/>
    <w:rsid w:val="00223DD8"/>
    <w:rsid w:val="0022405A"/>
    <w:rsid w:val="002242C7"/>
    <w:rsid w:val="00224476"/>
    <w:rsid w:val="00224673"/>
    <w:rsid w:val="00224BD6"/>
    <w:rsid w:val="00224C1B"/>
    <w:rsid w:val="00225498"/>
    <w:rsid w:val="00225999"/>
    <w:rsid w:val="002259A7"/>
    <w:rsid w:val="00225B30"/>
    <w:rsid w:val="00225B6A"/>
    <w:rsid w:val="002264AB"/>
    <w:rsid w:val="00226647"/>
    <w:rsid w:val="00226810"/>
    <w:rsid w:val="00226843"/>
    <w:rsid w:val="00226A50"/>
    <w:rsid w:val="00226C50"/>
    <w:rsid w:val="00226DB6"/>
    <w:rsid w:val="00227233"/>
    <w:rsid w:val="0022735B"/>
    <w:rsid w:val="00227371"/>
    <w:rsid w:val="00227649"/>
    <w:rsid w:val="002277C3"/>
    <w:rsid w:val="0022794D"/>
    <w:rsid w:val="00227991"/>
    <w:rsid w:val="0023014E"/>
    <w:rsid w:val="00230603"/>
    <w:rsid w:val="00230703"/>
    <w:rsid w:val="00230859"/>
    <w:rsid w:val="00230997"/>
    <w:rsid w:val="00230BEA"/>
    <w:rsid w:val="00230D6D"/>
    <w:rsid w:val="00230EE8"/>
    <w:rsid w:val="002310B1"/>
    <w:rsid w:val="0023121A"/>
    <w:rsid w:val="002313D6"/>
    <w:rsid w:val="0023148A"/>
    <w:rsid w:val="002315DA"/>
    <w:rsid w:val="00231AA9"/>
    <w:rsid w:val="00231BC0"/>
    <w:rsid w:val="00231F88"/>
    <w:rsid w:val="002320C0"/>
    <w:rsid w:val="00232317"/>
    <w:rsid w:val="00232B4A"/>
    <w:rsid w:val="00232B91"/>
    <w:rsid w:val="002330B3"/>
    <w:rsid w:val="002330C1"/>
    <w:rsid w:val="0023315D"/>
    <w:rsid w:val="002332CB"/>
    <w:rsid w:val="00233340"/>
    <w:rsid w:val="00233448"/>
    <w:rsid w:val="002336FB"/>
    <w:rsid w:val="0023392C"/>
    <w:rsid w:val="00233994"/>
    <w:rsid w:val="00233999"/>
    <w:rsid w:val="0023399B"/>
    <w:rsid w:val="00233B37"/>
    <w:rsid w:val="00233BFB"/>
    <w:rsid w:val="00233D9D"/>
    <w:rsid w:val="00233FB0"/>
    <w:rsid w:val="002340BB"/>
    <w:rsid w:val="002342EA"/>
    <w:rsid w:val="0023443B"/>
    <w:rsid w:val="00234520"/>
    <w:rsid w:val="002347AD"/>
    <w:rsid w:val="002347E8"/>
    <w:rsid w:val="002348B9"/>
    <w:rsid w:val="002349DD"/>
    <w:rsid w:val="00234BDC"/>
    <w:rsid w:val="00234CDE"/>
    <w:rsid w:val="00235217"/>
    <w:rsid w:val="00235357"/>
    <w:rsid w:val="002353C5"/>
    <w:rsid w:val="00235509"/>
    <w:rsid w:val="0023561B"/>
    <w:rsid w:val="002357EF"/>
    <w:rsid w:val="0023588D"/>
    <w:rsid w:val="002359E2"/>
    <w:rsid w:val="00235F9A"/>
    <w:rsid w:val="00235FE1"/>
    <w:rsid w:val="002360D8"/>
    <w:rsid w:val="0023649E"/>
    <w:rsid w:val="002365BB"/>
    <w:rsid w:val="00236758"/>
    <w:rsid w:val="00236C12"/>
    <w:rsid w:val="00236CE9"/>
    <w:rsid w:val="00236E14"/>
    <w:rsid w:val="0023706C"/>
    <w:rsid w:val="00237319"/>
    <w:rsid w:val="00237854"/>
    <w:rsid w:val="0023785B"/>
    <w:rsid w:val="00237E58"/>
    <w:rsid w:val="00240048"/>
    <w:rsid w:val="0024018E"/>
    <w:rsid w:val="0024067F"/>
    <w:rsid w:val="00240AA7"/>
    <w:rsid w:val="00240AB3"/>
    <w:rsid w:val="002411C0"/>
    <w:rsid w:val="002411F8"/>
    <w:rsid w:val="0024165F"/>
    <w:rsid w:val="00241688"/>
    <w:rsid w:val="00241B59"/>
    <w:rsid w:val="00241BA9"/>
    <w:rsid w:val="00241D0F"/>
    <w:rsid w:val="00242210"/>
    <w:rsid w:val="00242497"/>
    <w:rsid w:val="00242580"/>
    <w:rsid w:val="00242753"/>
    <w:rsid w:val="0024284F"/>
    <w:rsid w:val="0024285F"/>
    <w:rsid w:val="00242A49"/>
    <w:rsid w:val="00242B7F"/>
    <w:rsid w:val="00242C44"/>
    <w:rsid w:val="00242FE6"/>
    <w:rsid w:val="00243051"/>
    <w:rsid w:val="0024329F"/>
    <w:rsid w:val="002433CF"/>
    <w:rsid w:val="00243400"/>
    <w:rsid w:val="00243C8A"/>
    <w:rsid w:val="00244155"/>
    <w:rsid w:val="0024416C"/>
    <w:rsid w:val="00244589"/>
    <w:rsid w:val="00244614"/>
    <w:rsid w:val="002448BE"/>
    <w:rsid w:val="002448D2"/>
    <w:rsid w:val="00244AB1"/>
    <w:rsid w:val="00244ACF"/>
    <w:rsid w:val="00244BE4"/>
    <w:rsid w:val="00244FC5"/>
    <w:rsid w:val="0024515E"/>
    <w:rsid w:val="002453C1"/>
    <w:rsid w:val="0024587D"/>
    <w:rsid w:val="00245A10"/>
    <w:rsid w:val="00245DFA"/>
    <w:rsid w:val="00246045"/>
    <w:rsid w:val="002462DD"/>
    <w:rsid w:val="00246595"/>
    <w:rsid w:val="00246719"/>
    <w:rsid w:val="00246BE3"/>
    <w:rsid w:val="00246C2B"/>
    <w:rsid w:val="00246ED7"/>
    <w:rsid w:val="002474E1"/>
    <w:rsid w:val="00247567"/>
    <w:rsid w:val="002477DD"/>
    <w:rsid w:val="00247C26"/>
    <w:rsid w:val="00247C59"/>
    <w:rsid w:val="002501DB"/>
    <w:rsid w:val="00250409"/>
    <w:rsid w:val="00250438"/>
    <w:rsid w:val="0025045C"/>
    <w:rsid w:val="00250462"/>
    <w:rsid w:val="00250594"/>
    <w:rsid w:val="0025067C"/>
    <w:rsid w:val="00250991"/>
    <w:rsid w:val="002509AE"/>
    <w:rsid w:val="00251105"/>
    <w:rsid w:val="0025110F"/>
    <w:rsid w:val="002511DF"/>
    <w:rsid w:val="002515E3"/>
    <w:rsid w:val="00251AB8"/>
    <w:rsid w:val="00251C2A"/>
    <w:rsid w:val="00252167"/>
    <w:rsid w:val="002522FB"/>
    <w:rsid w:val="00252319"/>
    <w:rsid w:val="00252464"/>
    <w:rsid w:val="002525B7"/>
    <w:rsid w:val="002525C0"/>
    <w:rsid w:val="0025277B"/>
    <w:rsid w:val="002528E1"/>
    <w:rsid w:val="00252D40"/>
    <w:rsid w:val="00252E1B"/>
    <w:rsid w:val="002530C3"/>
    <w:rsid w:val="00253194"/>
    <w:rsid w:val="00253624"/>
    <w:rsid w:val="002536EC"/>
    <w:rsid w:val="002537A8"/>
    <w:rsid w:val="00253901"/>
    <w:rsid w:val="00253CDC"/>
    <w:rsid w:val="00253D65"/>
    <w:rsid w:val="00253E59"/>
    <w:rsid w:val="00253F79"/>
    <w:rsid w:val="00254111"/>
    <w:rsid w:val="002542B1"/>
    <w:rsid w:val="002542D6"/>
    <w:rsid w:val="002545BB"/>
    <w:rsid w:val="002552B6"/>
    <w:rsid w:val="002553BD"/>
    <w:rsid w:val="0025541D"/>
    <w:rsid w:val="00255A50"/>
    <w:rsid w:val="00255B51"/>
    <w:rsid w:val="00255CBD"/>
    <w:rsid w:val="00255F07"/>
    <w:rsid w:val="00255F4C"/>
    <w:rsid w:val="00255FBB"/>
    <w:rsid w:val="002560D0"/>
    <w:rsid w:val="0025630A"/>
    <w:rsid w:val="00256764"/>
    <w:rsid w:val="002567D0"/>
    <w:rsid w:val="002568EB"/>
    <w:rsid w:val="00256978"/>
    <w:rsid w:val="002573C2"/>
    <w:rsid w:val="0025746F"/>
    <w:rsid w:val="00257A78"/>
    <w:rsid w:val="00257AE0"/>
    <w:rsid w:val="00257B81"/>
    <w:rsid w:val="0026004D"/>
    <w:rsid w:val="00260150"/>
    <w:rsid w:val="00260320"/>
    <w:rsid w:val="002603D3"/>
    <w:rsid w:val="00260AA0"/>
    <w:rsid w:val="00260AEE"/>
    <w:rsid w:val="00260B4C"/>
    <w:rsid w:val="00260D0B"/>
    <w:rsid w:val="002610CF"/>
    <w:rsid w:val="0026112F"/>
    <w:rsid w:val="002611A5"/>
    <w:rsid w:val="002612E9"/>
    <w:rsid w:val="002612F3"/>
    <w:rsid w:val="002614A5"/>
    <w:rsid w:val="0026194C"/>
    <w:rsid w:val="00261996"/>
    <w:rsid w:val="00261DFB"/>
    <w:rsid w:val="00262023"/>
    <w:rsid w:val="002620E6"/>
    <w:rsid w:val="00262146"/>
    <w:rsid w:val="0026215F"/>
    <w:rsid w:val="002621D3"/>
    <w:rsid w:val="002622C5"/>
    <w:rsid w:val="0026260C"/>
    <w:rsid w:val="0026265B"/>
    <w:rsid w:val="0026266C"/>
    <w:rsid w:val="00262787"/>
    <w:rsid w:val="00262855"/>
    <w:rsid w:val="00263233"/>
    <w:rsid w:val="0026362F"/>
    <w:rsid w:val="00263898"/>
    <w:rsid w:val="002639B9"/>
    <w:rsid w:val="00263BB6"/>
    <w:rsid w:val="00263F17"/>
    <w:rsid w:val="002641CA"/>
    <w:rsid w:val="00264401"/>
    <w:rsid w:val="00264617"/>
    <w:rsid w:val="00264955"/>
    <w:rsid w:val="00264B03"/>
    <w:rsid w:val="00264E6E"/>
    <w:rsid w:val="0026501B"/>
    <w:rsid w:val="00265024"/>
    <w:rsid w:val="0026549A"/>
    <w:rsid w:val="002656F5"/>
    <w:rsid w:val="00265859"/>
    <w:rsid w:val="002659E9"/>
    <w:rsid w:val="00265AB8"/>
    <w:rsid w:val="002660E1"/>
    <w:rsid w:val="00266524"/>
    <w:rsid w:val="0026670A"/>
    <w:rsid w:val="002668D3"/>
    <w:rsid w:val="00266B2F"/>
    <w:rsid w:val="00266BE7"/>
    <w:rsid w:val="00266C13"/>
    <w:rsid w:val="00266C44"/>
    <w:rsid w:val="00266C86"/>
    <w:rsid w:val="00266DA1"/>
    <w:rsid w:val="00266DD2"/>
    <w:rsid w:val="00267081"/>
    <w:rsid w:val="0026713B"/>
    <w:rsid w:val="002674D4"/>
    <w:rsid w:val="002675CE"/>
    <w:rsid w:val="0026768E"/>
    <w:rsid w:val="002677DA"/>
    <w:rsid w:val="00267881"/>
    <w:rsid w:val="002678C9"/>
    <w:rsid w:val="002679CE"/>
    <w:rsid w:val="00267E19"/>
    <w:rsid w:val="00267F78"/>
    <w:rsid w:val="002701BA"/>
    <w:rsid w:val="00270460"/>
    <w:rsid w:val="00270506"/>
    <w:rsid w:val="00270682"/>
    <w:rsid w:val="00270703"/>
    <w:rsid w:val="002707F1"/>
    <w:rsid w:val="00270C5C"/>
    <w:rsid w:val="00270DEB"/>
    <w:rsid w:val="00270EC9"/>
    <w:rsid w:val="00270EE6"/>
    <w:rsid w:val="00271061"/>
    <w:rsid w:val="002712D2"/>
    <w:rsid w:val="00271374"/>
    <w:rsid w:val="002715C2"/>
    <w:rsid w:val="002716EC"/>
    <w:rsid w:val="002718F6"/>
    <w:rsid w:val="002719F5"/>
    <w:rsid w:val="00271B86"/>
    <w:rsid w:val="00271BD1"/>
    <w:rsid w:val="00271E47"/>
    <w:rsid w:val="002721B5"/>
    <w:rsid w:val="0027248C"/>
    <w:rsid w:val="00272A0D"/>
    <w:rsid w:val="00272C46"/>
    <w:rsid w:val="00272E6B"/>
    <w:rsid w:val="00272EA0"/>
    <w:rsid w:val="00272F03"/>
    <w:rsid w:val="002730B1"/>
    <w:rsid w:val="00273145"/>
    <w:rsid w:val="00273B3C"/>
    <w:rsid w:val="00273BCD"/>
    <w:rsid w:val="00273D0F"/>
    <w:rsid w:val="00273D11"/>
    <w:rsid w:val="00273E6E"/>
    <w:rsid w:val="00274012"/>
    <w:rsid w:val="00274048"/>
    <w:rsid w:val="00274201"/>
    <w:rsid w:val="0027443B"/>
    <w:rsid w:val="0027449A"/>
    <w:rsid w:val="002744E8"/>
    <w:rsid w:val="0027467E"/>
    <w:rsid w:val="002748AA"/>
    <w:rsid w:val="00274989"/>
    <w:rsid w:val="00274B1B"/>
    <w:rsid w:val="00274CAE"/>
    <w:rsid w:val="00274CE0"/>
    <w:rsid w:val="00274D8A"/>
    <w:rsid w:val="00274FC1"/>
    <w:rsid w:val="002750ED"/>
    <w:rsid w:val="002751B1"/>
    <w:rsid w:val="0027542D"/>
    <w:rsid w:val="0027561A"/>
    <w:rsid w:val="0027584F"/>
    <w:rsid w:val="00275B96"/>
    <w:rsid w:val="00275BC0"/>
    <w:rsid w:val="00275C0B"/>
    <w:rsid w:val="00275C7B"/>
    <w:rsid w:val="00275D83"/>
    <w:rsid w:val="00275DCD"/>
    <w:rsid w:val="00275E17"/>
    <w:rsid w:val="00275EC5"/>
    <w:rsid w:val="002760A1"/>
    <w:rsid w:val="002764C6"/>
    <w:rsid w:val="00276620"/>
    <w:rsid w:val="002766DE"/>
    <w:rsid w:val="002767A9"/>
    <w:rsid w:val="00276C30"/>
    <w:rsid w:val="00276CE6"/>
    <w:rsid w:val="00276D8D"/>
    <w:rsid w:val="00276EA4"/>
    <w:rsid w:val="00277194"/>
    <w:rsid w:val="002771DD"/>
    <w:rsid w:val="002774A3"/>
    <w:rsid w:val="00277544"/>
    <w:rsid w:val="0027759F"/>
    <w:rsid w:val="00277683"/>
    <w:rsid w:val="00277980"/>
    <w:rsid w:val="00277982"/>
    <w:rsid w:val="00277C28"/>
    <w:rsid w:val="00277D1A"/>
    <w:rsid w:val="002802E3"/>
    <w:rsid w:val="00280659"/>
    <w:rsid w:val="002806F4"/>
    <w:rsid w:val="00280804"/>
    <w:rsid w:val="00280DFD"/>
    <w:rsid w:val="00280FC1"/>
    <w:rsid w:val="00281098"/>
    <w:rsid w:val="002812A3"/>
    <w:rsid w:val="002812AC"/>
    <w:rsid w:val="0028134C"/>
    <w:rsid w:val="00281911"/>
    <w:rsid w:val="00282407"/>
    <w:rsid w:val="002827D8"/>
    <w:rsid w:val="002827EE"/>
    <w:rsid w:val="00282860"/>
    <w:rsid w:val="00282E10"/>
    <w:rsid w:val="00283295"/>
    <w:rsid w:val="00283584"/>
    <w:rsid w:val="00283601"/>
    <w:rsid w:val="0028367B"/>
    <w:rsid w:val="002836CC"/>
    <w:rsid w:val="00283FAD"/>
    <w:rsid w:val="002840C1"/>
    <w:rsid w:val="00284206"/>
    <w:rsid w:val="0028426D"/>
    <w:rsid w:val="002842F8"/>
    <w:rsid w:val="00284477"/>
    <w:rsid w:val="00284551"/>
    <w:rsid w:val="00284795"/>
    <w:rsid w:val="00284920"/>
    <w:rsid w:val="0028492B"/>
    <w:rsid w:val="00284B58"/>
    <w:rsid w:val="00284BF9"/>
    <w:rsid w:val="00284F2A"/>
    <w:rsid w:val="00285133"/>
    <w:rsid w:val="00285193"/>
    <w:rsid w:val="0028552D"/>
    <w:rsid w:val="0028566F"/>
    <w:rsid w:val="00285CE7"/>
    <w:rsid w:val="00286282"/>
    <w:rsid w:val="002862E4"/>
    <w:rsid w:val="00286657"/>
    <w:rsid w:val="002867D9"/>
    <w:rsid w:val="00286898"/>
    <w:rsid w:val="00286B4B"/>
    <w:rsid w:val="00286CB7"/>
    <w:rsid w:val="00286F54"/>
    <w:rsid w:val="0028700D"/>
    <w:rsid w:val="002870ED"/>
    <w:rsid w:val="002871CB"/>
    <w:rsid w:val="00287555"/>
    <w:rsid w:val="0028797B"/>
    <w:rsid w:val="00287CBB"/>
    <w:rsid w:val="00287D8C"/>
    <w:rsid w:val="00287F20"/>
    <w:rsid w:val="00287FD9"/>
    <w:rsid w:val="00290006"/>
    <w:rsid w:val="002902E2"/>
    <w:rsid w:val="00290818"/>
    <w:rsid w:val="00290CB0"/>
    <w:rsid w:val="0029110B"/>
    <w:rsid w:val="0029124E"/>
    <w:rsid w:val="002915DB"/>
    <w:rsid w:val="00291653"/>
    <w:rsid w:val="0029185C"/>
    <w:rsid w:val="00291B48"/>
    <w:rsid w:val="00291D3E"/>
    <w:rsid w:val="00291DB8"/>
    <w:rsid w:val="0029204F"/>
    <w:rsid w:val="0029219B"/>
    <w:rsid w:val="002923DE"/>
    <w:rsid w:val="00292410"/>
    <w:rsid w:val="0029244D"/>
    <w:rsid w:val="00292750"/>
    <w:rsid w:val="002927F0"/>
    <w:rsid w:val="0029281A"/>
    <w:rsid w:val="00292824"/>
    <w:rsid w:val="00292AC0"/>
    <w:rsid w:val="00292BC6"/>
    <w:rsid w:val="00292CE7"/>
    <w:rsid w:val="00292D16"/>
    <w:rsid w:val="002933FC"/>
    <w:rsid w:val="0029365B"/>
    <w:rsid w:val="00293C73"/>
    <w:rsid w:val="00293DBE"/>
    <w:rsid w:val="00293E24"/>
    <w:rsid w:val="00293ED5"/>
    <w:rsid w:val="002941E9"/>
    <w:rsid w:val="002944E1"/>
    <w:rsid w:val="00294681"/>
    <w:rsid w:val="00294967"/>
    <w:rsid w:val="0029499E"/>
    <w:rsid w:val="00294AF7"/>
    <w:rsid w:val="00294EC9"/>
    <w:rsid w:val="0029539E"/>
    <w:rsid w:val="00295ADF"/>
    <w:rsid w:val="00296632"/>
    <w:rsid w:val="00296CE4"/>
    <w:rsid w:val="00296DC9"/>
    <w:rsid w:val="00297047"/>
    <w:rsid w:val="00297597"/>
    <w:rsid w:val="002978E5"/>
    <w:rsid w:val="0029793E"/>
    <w:rsid w:val="00297BBA"/>
    <w:rsid w:val="00297C32"/>
    <w:rsid w:val="00297D70"/>
    <w:rsid w:val="00297DE3"/>
    <w:rsid w:val="002A003B"/>
    <w:rsid w:val="002A01D7"/>
    <w:rsid w:val="002A04B5"/>
    <w:rsid w:val="002A05E0"/>
    <w:rsid w:val="002A0691"/>
    <w:rsid w:val="002A06AF"/>
    <w:rsid w:val="002A089C"/>
    <w:rsid w:val="002A0A39"/>
    <w:rsid w:val="002A0CE0"/>
    <w:rsid w:val="002A0D24"/>
    <w:rsid w:val="002A0DD9"/>
    <w:rsid w:val="002A0EDC"/>
    <w:rsid w:val="002A0F52"/>
    <w:rsid w:val="002A0F68"/>
    <w:rsid w:val="002A1509"/>
    <w:rsid w:val="002A2125"/>
    <w:rsid w:val="002A248C"/>
    <w:rsid w:val="002A24A4"/>
    <w:rsid w:val="002A2526"/>
    <w:rsid w:val="002A3060"/>
    <w:rsid w:val="002A3133"/>
    <w:rsid w:val="002A327A"/>
    <w:rsid w:val="002A372D"/>
    <w:rsid w:val="002A37D5"/>
    <w:rsid w:val="002A38F1"/>
    <w:rsid w:val="002A3908"/>
    <w:rsid w:val="002A3B1F"/>
    <w:rsid w:val="002A3ED3"/>
    <w:rsid w:val="002A3FF5"/>
    <w:rsid w:val="002A489D"/>
    <w:rsid w:val="002A4A15"/>
    <w:rsid w:val="002A4BD7"/>
    <w:rsid w:val="002A4CC6"/>
    <w:rsid w:val="002A4E6C"/>
    <w:rsid w:val="002A4F23"/>
    <w:rsid w:val="002A5062"/>
    <w:rsid w:val="002A59B5"/>
    <w:rsid w:val="002A5C93"/>
    <w:rsid w:val="002A61A8"/>
    <w:rsid w:val="002A620D"/>
    <w:rsid w:val="002A62C3"/>
    <w:rsid w:val="002A6431"/>
    <w:rsid w:val="002A672E"/>
    <w:rsid w:val="002A682F"/>
    <w:rsid w:val="002A6B64"/>
    <w:rsid w:val="002A6C70"/>
    <w:rsid w:val="002A6CBE"/>
    <w:rsid w:val="002A6DDA"/>
    <w:rsid w:val="002A6E5B"/>
    <w:rsid w:val="002A6E91"/>
    <w:rsid w:val="002A717B"/>
    <w:rsid w:val="002A7325"/>
    <w:rsid w:val="002A7350"/>
    <w:rsid w:val="002A73DE"/>
    <w:rsid w:val="002A760E"/>
    <w:rsid w:val="002A777C"/>
    <w:rsid w:val="002A78F1"/>
    <w:rsid w:val="002A79A6"/>
    <w:rsid w:val="002A7A05"/>
    <w:rsid w:val="002A7DC7"/>
    <w:rsid w:val="002A7F4C"/>
    <w:rsid w:val="002B006E"/>
    <w:rsid w:val="002B0583"/>
    <w:rsid w:val="002B08CD"/>
    <w:rsid w:val="002B09B7"/>
    <w:rsid w:val="002B09C5"/>
    <w:rsid w:val="002B0BE6"/>
    <w:rsid w:val="002B11AA"/>
    <w:rsid w:val="002B147D"/>
    <w:rsid w:val="002B1717"/>
    <w:rsid w:val="002B1752"/>
    <w:rsid w:val="002B1972"/>
    <w:rsid w:val="002B1984"/>
    <w:rsid w:val="002B1C55"/>
    <w:rsid w:val="002B1D43"/>
    <w:rsid w:val="002B1D72"/>
    <w:rsid w:val="002B214F"/>
    <w:rsid w:val="002B21E5"/>
    <w:rsid w:val="002B2515"/>
    <w:rsid w:val="002B25DA"/>
    <w:rsid w:val="002B284E"/>
    <w:rsid w:val="002B2B3F"/>
    <w:rsid w:val="002B2B65"/>
    <w:rsid w:val="002B2F0E"/>
    <w:rsid w:val="002B2FB5"/>
    <w:rsid w:val="002B308A"/>
    <w:rsid w:val="002B30FA"/>
    <w:rsid w:val="002B348F"/>
    <w:rsid w:val="002B4078"/>
    <w:rsid w:val="002B4198"/>
    <w:rsid w:val="002B4389"/>
    <w:rsid w:val="002B441C"/>
    <w:rsid w:val="002B45EC"/>
    <w:rsid w:val="002B5050"/>
    <w:rsid w:val="002B5407"/>
    <w:rsid w:val="002B58E0"/>
    <w:rsid w:val="002B599C"/>
    <w:rsid w:val="002B639C"/>
    <w:rsid w:val="002B641C"/>
    <w:rsid w:val="002B6D85"/>
    <w:rsid w:val="002B6FEA"/>
    <w:rsid w:val="002B740B"/>
    <w:rsid w:val="002B7433"/>
    <w:rsid w:val="002B744D"/>
    <w:rsid w:val="002B749C"/>
    <w:rsid w:val="002B74BA"/>
    <w:rsid w:val="002B7560"/>
    <w:rsid w:val="002B7643"/>
    <w:rsid w:val="002B7739"/>
    <w:rsid w:val="002B7964"/>
    <w:rsid w:val="002B7B40"/>
    <w:rsid w:val="002B7E61"/>
    <w:rsid w:val="002B7F30"/>
    <w:rsid w:val="002B7F7D"/>
    <w:rsid w:val="002B7F88"/>
    <w:rsid w:val="002B7FD5"/>
    <w:rsid w:val="002C0196"/>
    <w:rsid w:val="002C04B4"/>
    <w:rsid w:val="002C0ADE"/>
    <w:rsid w:val="002C0FAF"/>
    <w:rsid w:val="002C1011"/>
    <w:rsid w:val="002C1057"/>
    <w:rsid w:val="002C128E"/>
    <w:rsid w:val="002C15A5"/>
    <w:rsid w:val="002C15C7"/>
    <w:rsid w:val="002C16F9"/>
    <w:rsid w:val="002C1BDB"/>
    <w:rsid w:val="002C2276"/>
    <w:rsid w:val="002C24DC"/>
    <w:rsid w:val="002C2618"/>
    <w:rsid w:val="002C2A61"/>
    <w:rsid w:val="002C2BEC"/>
    <w:rsid w:val="002C2BF6"/>
    <w:rsid w:val="002C2F4B"/>
    <w:rsid w:val="002C2FC9"/>
    <w:rsid w:val="002C30EB"/>
    <w:rsid w:val="002C331A"/>
    <w:rsid w:val="002C33A5"/>
    <w:rsid w:val="002C33E6"/>
    <w:rsid w:val="002C34B6"/>
    <w:rsid w:val="002C34EA"/>
    <w:rsid w:val="002C3562"/>
    <w:rsid w:val="002C3D71"/>
    <w:rsid w:val="002C3DB7"/>
    <w:rsid w:val="002C3DFD"/>
    <w:rsid w:val="002C4054"/>
    <w:rsid w:val="002C4077"/>
    <w:rsid w:val="002C4176"/>
    <w:rsid w:val="002C41B5"/>
    <w:rsid w:val="002C4217"/>
    <w:rsid w:val="002C481E"/>
    <w:rsid w:val="002C4A79"/>
    <w:rsid w:val="002C4AFC"/>
    <w:rsid w:val="002C4BFA"/>
    <w:rsid w:val="002C4C0E"/>
    <w:rsid w:val="002C50DD"/>
    <w:rsid w:val="002C5287"/>
    <w:rsid w:val="002C541F"/>
    <w:rsid w:val="002C575E"/>
    <w:rsid w:val="002C5C15"/>
    <w:rsid w:val="002C5D36"/>
    <w:rsid w:val="002C6057"/>
    <w:rsid w:val="002C6186"/>
    <w:rsid w:val="002C62AF"/>
    <w:rsid w:val="002C6383"/>
    <w:rsid w:val="002C6570"/>
    <w:rsid w:val="002C6595"/>
    <w:rsid w:val="002C680A"/>
    <w:rsid w:val="002C72E8"/>
    <w:rsid w:val="002C733C"/>
    <w:rsid w:val="002C746D"/>
    <w:rsid w:val="002C787D"/>
    <w:rsid w:val="002C78C9"/>
    <w:rsid w:val="002C79BD"/>
    <w:rsid w:val="002C7AC8"/>
    <w:rsid w:val="002C7D5E"/>
    <w:rsid w:val="002C7EAD"/>
    <w:rsid w:val="002D00E4"/>
    <w:rsid w:val="002D0243"/>
    <w:rsid w:val="002D0842"/>
    <w:rsid w:val="002D08D7"/>
    <w:rsid w:val="002D092E"/>
    <w:rsid w:val="002D09E9"/>
    <w:rsid w:val="002D0AFD"/>
    <w:rsid w:val="002D0CB9"/>
    <w:rsid w:val="002D1076"/>
    <w:rsid w:val="002D131C"/>
    <w:rsid w:val="002D1994"/>
    <w:rsid w:val="002D1A97"/>
    <w:rsid w:val="002D229C"/>
    <w:rsid w:val="002D2474"/>
    <w:rsid w:val="002D270E"/>
    <w:rsid w:val="002D28E9"/>
    <w:rsid w:val="002D2CBD"/>
    <w:rsid w:val="002D2D00"/>
    <w:rsid w:val="002D2E29"/>
    <w:rsid w:val="002D3180"/>
    <w:rsid w:val="002D333D"/>
    <w:rsid w:val="002D338E"/>
    <w:rsid w:val="002D35E0"/>
    <w:rsid w:val="002D3807"/>
    <w:rsid w:val="002D3811"/>
    <w:rsid w:val="002D38BC"/>
    <w:rsid w:val="002D39FB"/>
    <w:rsid w:val="002D3B80"/>
    <w:rsid w:val="002D3CEC"/>
    <w:rsid w:val="002D42B0"/>
    <w:rsid w:val="002D42B8"/>
    <w:rsid w:val="002D461B"/>
    <w:rsid w:val="002D4649"/>
    <w:rsid w:val="002D4666"/>
    <w:rsid w:val="002D4AE9"/>
    <w:rsid w:val="002D509F"/>
    <w:rsid w:val="002D50B1"/>
    <w:rsid w:val="002D5157"/>
    <w:rsid w:val="002D54F5"/>
    <w:rsid w:val="002D5939"/>
    <w:rsid w:val="002D5BB3"/>
    <w:rsid w:val="002D5C64"/>
    <w:rsid w:val="002D5E16"/>
    <w:rsid w:val="002D5ED7"/>
    <w:rsid w:val="002D6546"/>
    <w:rsid w:val="002D6611"/>
    <w:rsid w:val="002D6725"/>
    <w:rsid w:val="002D6ECD"/>
    <w:rsid w:val="002D6FAC"/>
    <w:rsid w:val="002D70AD"/>
    <w:rsid w:val="002D73D7"/>
    <w:rsid w:val="002D7581"/>
    <w:rsid w:val="002D75BA"/>
    <w:rsid w:val="002D75CA"/>
    <w:rsid w:val="002D765B"/>
    <w:rsid w:val="002D76AF"/>
    <w:rsid w:val="002D7727"/>
    <w:rsid w:val="002D7CA8"/>
    <w:rsid w:val="002D7DFD"/>
    <w:rsid w:val="002D7F42"/>
    <w:rsid w:val="002D7FBA"/>
    <w:rsid w:val="002D7FE8"/>
    <w:rsid w:val="002E008B"/>
    <w:rsid w:val="002E00C0"/>
    <w:rsid w:val="002E050E"/>
    <w:rsid w:val="002E0E73"/>
    <w:rsid w:val="002E0EF2"/>
    <w:rsid w:val="002E1232"/>
    <w:rsid w:val="002E13DC"/>
    <w:rsid w:val="002E1A0C"/>
    <w:rsid w:val="002E1C3A"/>
    <w:rsid w:val="002E1D7B"/>
    <w:rsid w:val="002E1F27"/>
    <w:rsid w:val="002E2080"/>
    <w:rsid w:val="002E265E"/>
    <w:rsid w:val="002E29DE"/>
    <w:rsid w:val="002E2A0D"/>
    <w:rsid w:val="002E2D17"/>
    <w:rsid w:val="002E328F"/>
    <w:rsid w:val="002E342C"/>
    <w:rsid w:val="002E35B2"/>
    <w:rsid w:val="002E35DF"/>
    <w:rsid w:val="002E3654"/>
    <w:rsid w:val="002E3955"/>
    <w:rsid w:val="002E3A74"/>
    <w:rsid w:val="002E3D9E"/>
    <w:rsid w:val="002E40EF"/>
    <w:rsid w:val="002E433D"/>
    <w:rsid w:val="002E4711"/>
    <w:rsid w:val="002E4CED"/>
    <w:rsid w:val="002E4D4A"/>
    <w:rsid w:val="002E528D"/>
    <w:rsid w:val="002E5936"/>
    <w:rsid w:val="002E5D0B"/>
    <w:rsid w:val="002E5D3F"/>
    <w:rsid w:val="002E60DE"/>
    <w:rsid w:val="002E655B"/>
    <w:rsid w:val="002E65CB"/>
    <w:rsid w:val="002E664D"/>
    <w:rsid w:val="002E68C4"/>
    <w:rsid w:val="002E6AEC"/>
    <w:rsid w:val="002E6BD2"/>
    <w:rsid w:val="002E71B4"/>
    <w:rsid w:val="002E750C"/>
    <w:rsid w:val="002E78A3"/>
    <w:rsid w:val="002E790B"/>
    <w:rsid w:val="002E7E00"/>
    <w:rsid w:val="002E7EE5"/>
    <w:rsid w:val="002F03D7"/>
    <w:rsid w:val="002F0466"/>
    <w:rsid w:val="002F04BD"/>
    <w:rsid w:val="002F059A"/>
    <w:rsid w:val="002F07C3"/>
    <w:rsid w:val="002F08DF"/>
    <w:rsid w:val="002F0D4D"/>
    <w:rsid w:val="002F0F35"/>
    <w:rsid w:val="002F15CB"/>
    <w:rsid w:val="002F1AB1"/>
    <w:rsid w:val="002F1C3A"/>
    <w:rsid w:val="002F1E26"/>
    <w:rsid w:val="002F1EC3"/>
    <w:rsid w:val="002F2056"/>
    <w:rsid w:val="002F2281"/>
    <w:rsid w:val="002F23E6"/>
    <w:rsid w:val="002F26B3"/>
    <w:rsid w:val="002F2D1E"/>
    <w:rsid w:val="002F2FCF"/>
    <w:rsid w:val="002F32E1"/>
    <w:rsid w:val="002F3E24"/>
    <w:rsid w:val="002F3F1D"/>
    <w:rsid w:val="002F3F85"/>
    <w:rsid w:val="002F41B5"/>
    <w:rsid w:val="002F4324"/>
    <w:rsid w:val="002F459F"/>
    <w:rsid w:val="002F4817"/>
    <w:rsid w:val="002F4AF6"/>
    <w:rsid w:val="002F4DD9"/>
    <w:rsid w:val="002F4DDA"/>
    <w:rsid w:val="002F4E26"/>
    <w:rsid w:val="002F506B"/>
    <w:rsid w:val="002F51EE"/>
    <w:rsid w:val="002F51F3"/>
    <w:rsid w:val="002F5317"/>
    <w:rsid w:val="002F5621"/>
    <w:rsid w:val="002F562A"/>
    <w:rsid w:val="002F5645"/>
    <w:rsid w:val="002F5703"/>
    <w:rsid w:val="002F5966"/>
    <w:rsid w:val="002F5BB7"/>
    <w:rsid w:val="002F5C1C"/>
    <w:rsid w:val="002F5FA2"/>
    <w:rsid w:val="002F6361"/>
    <w:rsid w:val="002F66E3"/>
    <w:rsid w:val="002F6A5D"/>
    <w:rsid w:val="002F6A70"/>
    <w:rsid w:val="002F6AE4"/>
    <w:rsid w:val="002F726B"/>
    <w:rsid w:val="002F73F7"/>
    <w:rsid w:val="002F7494"/>
    <w:rsid w:val="002F74AE"/>
    <w:rsid w:val="002F7585"/>
    <w:rsid w:val="002F7682"/>
    <w:rsid w:val="002F77CA"/>
    <w:rsid w:val="002F77F2"/>
    <w:rsid w:val="002F78EF"/>
    <w:rsid w:val="002F7C44"/>
    <w:rsid w:val="002F7F2E"/>
    <w:rsid w:val="003011FC"/>
    <w:rsid w:val="00301275"/>
    <w:rsid w:val="00301342"/>
    <w:rsid w:val="00301584"/>
    <w:rsid w:val="003015CF"/>
    <w:rsid w:val="00301853"/>
    <w:rsid w:val="003019BE"/>
    <w:rsid w:val="00301B6B"/>
    <w:rsid w:val="00301C37"/>
    <w:rsid w:val="00301D20"/>
    <w:rsid w:val="00301FCE"/>
    <w:rsid w:val="003024A1"/>
    <w:rsid w:val="003025C5"/>
    <w:rsid w:val="003025E8"/>
    <w:rsid w:val="00302644"/>
    <w:rsid w:val="0030278C"/>
    <w:rsid w:val="00302912"/>
    <w:rsid w:val="00302A2B"/>
    <w:rsid w:val="00302CF0"/>
    <w:rsid w:val="00302D1A"/>
    <w:rsid w:val="00302D37"/>
    <w:rsid w:val="00302ED3"/>
    <w:rsid w:val="003034DC"/>
    <w:rsid w:val="00303648"/>
    <w:rsid w:val="00303651"/>
    <w:rsid w:val="003043C1"/>
    <w:rsid w:val="003043D7"/>
    <w:rsid w:val="003043ED"/>
    <w:rsid w:val="00304470"/>
    <w:rsid w:val="003046CE"/>
    <w:rsid w:val="00304709"/>
    <w:rsid w:val="00304C5D"/>
    <w:rsid w:val="00304DEA"/>
    <w:rsid w:val="00304DF9"/>
    <w:rsid w:val="00304E07"/>
    <w:rsid w:val="0030509C"/>
    <w:rsid w:val="00305170"/>
    <w:rsid w:val="003051FE"/>
    <w:rsid w:val="003055A7"/>
    <w:rsid w:val="0030560B"/>
    <w:rsid w:val="00305897"/>
    <w:rsid w:val="00305AE0"/>
    <w:rsid w:val="00305B74"/>
    <w:rsid w:val="00305B9F"/>
    <w:rsid w:val="003060AA"/>
    <w:rsid w:val="003064D3"/>
    <w:rsid w:val="003066B3"/>
    <w:rsid w:val="003067F7"/>
    <w:rsid w:val="00306964"/>
    <w:rsid w:val="00306FF8"/>
    <w:rsid w:val="00307213"/>
    <w:rsid w:val="0030734D"/>
    <w:rsid w:val="003074B3"/>
    <w:rsid w:val="0030769A"/>
    <w:rsid w:val="003076BD"/>
    <w:rsid w:val="0030795A"/>
    <w:rsid w:val="0031022C"/>
    <w:rsid w:val="003105DA"/>
    <w:rsid w:val="003107C8"/>
    <w:rsid w:val="003109D0"/>
    <w:rsid w:val="00310AAA"/>
    <w:rsid w:val="00310AAC"/>
    <w:rsid w:val="00310AC4"/>
    <w:rsid w:val="00310B67"/>
    <w:rsid w:val="00310F41"/>
    <w:rsid w:val="00311130"/>
    <w:rsid w:val="003111C4"/>
    <w:rsid w:val="003111CB"/>
    <w:rsid w:val="0031137B"/>
    <w:rsid w:val="00311402"/>
    <w:rsid w:val="0031148C"/>
    <w:rsid w:val="0031154D"/>
    <w:rsid w:val="003116B3"/>
    <w:rsid w:val="00311793"/>
    <w:rsid w:val="0031179C"/>
    <w:rsid w:val="00311843"/>
    <w:rsid w:val="003118F9"/>
    <w:rsid w:val="003119EA"/>
    <w:rsid w:val="00311BAD"/>
    <w:rsid w:val="00312377"/>
    <w:rsid w:val="0031274B"/>
    <w:rsid w:val="00313388"/>
    <w:rsid w:val="00313408"/>
    <w:rsid w:val="00313622"/>
    <w:rsid w:val="0031387E"/>
    <w:rsid w:val="00313C3F"/>
    <w:rsid w:val="00313C4C"/>
    <w:rsid w:val="0031485B"/>
    <w:rsid w:val="0031487D"/>
    <w:rsid w:val="0031499E"/>
    <w:rsid w:val="00314D54"/>
    <w:rsid w:val="00314F8E"/>
    <w:rsid w:val="00315039"/>
    <w:rsid w:val="00315293"/>
    <w:rsid w:val="00315337"/>
    <w:rsid w:val="00315544"/>
    <w:rsid w:val="00315647"/>
    <w:rsid w:val="003157D1"/>
    <w:rsid w:val="00315EB1"/>
    <w:rsid w:val="00315F25"/>
    <w:rsid w:val="0031600E"/>
    <w:rsid w:val="00316260"/>
    <w:rsid w:val="003165F3"/>
    <w:rsid w:val="00316668"/>
    <w:rsid w:val="003166DD"/>
    <w:rsid w:val="00316793"/>
    <w:rsid w:val="00316913"/>
    <w:rsid w:val="00316996"/>
    <w:rsid w:val="00316B14"/>
    <w:rsid w:val="00316C69"/>
    <w:rsid w:val="00316C6F"/>
    <w:rsid w:val="0031700A"/>
    <w:rsid w:val="003170E9"/>
    <w:rsid w:val="0031719D"/>
    <w:rsid w:val="003171C5"/>
    <w:rsid w:val="00317424"/>
    <w:rsid w:val="0031750A"/>
    <w:rsid w:val="00317800"/>
    <w:rsid w:val="0031788A"/>
    <w:rsid w:val="003179C6"/>
    <w:rsid w:val="00317BF0"/>
    <w:rsid w:val="00317CFB"/>
    <w:rsid w:val="00317E7B"/>
    <w:rsid w:val="00317FD4"/>
    <w:rsid w:val="00320369"/>
    <w:rsid w:val="003204EA"/>
    <w:rsid w:val="00320536"/>
    <w:rsid w:val="00320664"/>
    <w:rsid w:val="00320A77"/>
    <w:rsid w:val="0032100D"/>
    <w:rsid w:val="00321119"/>
    <w:rsid w:val="00321155"/>
    <w:rsid w:val="00321206"/>
    <w:rsid w:val="003218C1"/>
    <w:rsid w:val="00321EB8"/>
    <w:rsid w:val="0032292F"/>
    <w:rsid w:val="00322A25"/>
    <w:rsid w:val="003230C8"/>
    <w:rsid w:val="003230D0"/>
    <w:rsid w:val="00323819"/>
    <w:rsid w:val="00323909"/>
    <w:rsid w:val="0032444C"/>
    <w:rsid w:val="003245FB"/>
    <w:rsid w:val="0032467D"/>
    <w:rsid w:val="003247FB"/>
    <w:rsid w:val="00324B8C"/>
    <w:rsid w:val="00324BDA"/>
    <w:rsid w:val="00325315"/>
    <w:rsid w:val="003253C3"/>
    <w:rsid w:val="003254A4"/>
    <w:rsid w:val="0032557F"/>
    <w:rsid w:val="003255E0"/>
    <w:rsid w:val="003255E5"/>
    <w:rsid w:val="0032566A"/>
    <w:rsid w:val="003259FE"/>
    <w:rsid w:val="00325AB3"/>
    <w:rsid w:val="00325B24"/>
    <w:rsid w:val="00325B4B"/>
    <w:rsid w:val="00325DF3"/>
    <w:rsid w:val="00325E74"/>
    <w:rsid w:val="00325E9F"/>
    <w:rsid w:val="00325EC0"/>
    <w:rsid w:val="0032620E"/>
    <w:rsid w:val="00326611"/>
    <w:rsid w:val="00326632"/>
    <w:rsid w:val="0032674B"/>
    <w:rsid w:val="0032687E"/>
    <w:rsid w:val="00326C72"/>
    <w:rsid w:val="003271D9"/>
    <w:rsid w:val="00327C7B"/>
    <w:rsid w:val="00327EA6"/>
    <w:rsid w:val="003306DB"/>
    <w:rsid w:val="0033072A"/>
    <w:rsid w:val="003308F6"/>
    <w:rsid w:val="00330AA3"/>
    <w:rsid w:val="00331016"/>
    <w:rsid w:val="0033108E"/>
    <w:rsid w:val="003312B9"/>
    <w:rsid w:val="00331464"/>
    <w:rsid w:val="00331642"/>
    <w:rsid w:val="00331703"/>
    <w:rsid w:val="00331AF9"/>
    <w:rsid w:val="00331BD3"/>
    <w:rsid w:val="00331CC6"/>
    <w:rsid w:val="00331DBF"/>
    <w:rsid w:val="00331FD8"/>
    <w:rsid w:val="0033216F"/>
    <w:rsid w:val="00332572"/>
    <w:rsid w:val="003325A0"/>
    <w:rsid w:val="003333EC"/>
    <w:rsid w:val="0033359E"/>
    <w:rsid w:val="003335E2"/>
    <w:rsid w:val="0033367C"/>
    <w:rsid w:val="00333754"/>
    <w:rsid w:val="00333965"/>
    <w:rsid w:val="00333B40"/>
    <w:rsid w:val="00333BCD"/>
    <w:rsid w:val="003341D9"/>
    <w:rsid w:val="00334323"/>
    <w:rsid w:val="00334459"/>
    <w:rsid w:val="0033447C"/>
    <w:rsid w:val="003346CD"/>
    <w:rsid w:val="00334F8F"/>
    <w:rsid w:val="0033518B"/>
    <w:rsid w:val="0033560F"/>
    <w:rsid w:val="00335777"/>
    <w:rsid w:val="00335B31"/>
    <w:rsid w:val="00335BEB"/>
    <w:rsid w:val="00335FF4"/>
    <w:rsid w:val="0033626D"/>
    <w:rsid w:val="00336954"/>
    <w:rsid w:val="00336972"/>
    <w:rsid w:val="00336AF9"/>
    <w:rsid w:val="00336D61"/>
    <w:rsid w:val="00336E84"/>
    <w:rsid w:val="00336F2E"/>
    <w:rsid w:val="00337023"/>
    <w:rsid w:val="003370DE"/>
    <w:rsid w:val="00337163"/>
    <w:rsid w:val="00337383"/>
    <w:rsid w:val="00337549"/>
    <w:rsid w:val="00337597"/>
    <w:rsid w:val="0033775C"/>
    <w:rsid w:val="003378E8"/>
    <w:rsid w:val="00337927"/>
    <w:rsid w:val="003379E7"/>
    <w:rsid w:val="00337BE0"/>
    <w:rsid w:val="00337C0C"/>
    <w:rsid w:val="00337C1F"/>
    <w:rsid w:val="00337F63"/>
    <w:rsid w:val="00340161"/>
    <w:rsid w:val="0034017D"/>
    <w:rsid w:val="0034020E"/>
    <w:rsid w:val="003403DC"/>
    <w:rsid w:val="0034041C"/>
    <w:rsid w:val="00340763"/>
    <w:rsid w:val="00340B70"/>
    <w:rsid w:val="00340BE6"/>
    <w:rsid w:val="00340C8D"/>
    <w:rsid w:val="00340CCD"/>
    <w:rsid w:val="00340F6E"/>
    <w:rsid w:val="0034101C"/>
    <w:rsid w:val="003418AD"/>
    <w:rsid w:val="003419D2"/>
    <w:rsid w:val="00341A34"/>
    <w:rsid w:val="00341A73"/>
    <w:rsid w:val="00341B7E"/>
    <w:rsid w:val="00341EC8"/>
    <w:rsid w:val="00341F08"/>
    <w:rsid w:val="00341F19"/>
    <w:rsid w:val="00342126"/>
    <w:rsid w:val="003423CA"/>
    <w:rsid w:val="00342511"/>
    <w:rsid w:val="003425E9"/>
    <w:rsid w:val="00342BD8"/>
    <w:rsid w:val="00342D96"/>
    <w:rsid w:val="00343209"/>
    <w:rsid w:val="00343284"/>
    <w:rsid w:val="00343575"/>
    <w:rsid w:val="00343759"/>
    <w:rsid w:val="00343E2B"/>
    <w:rsid w:val="00343FD0"/>
    <w:rsid w:val="00344682"/>
    <w:rsid w:val="0034470B"/>
    <w:rsid w:val="00344A2E"/>
    <w:rsid w:val="00344B7C"/>
    <w:rsid w:val="00344B9A"/>
    <w:rsid w:val="00344CF3"/>
    <w:rsid w:val="00344DC0"/>
    <w:rsid w:val="003451BC"/>
    <w:rsid w:val="00345216"/>
    <w:rsid w:val="00345340"/>
    <w:rsid w:val="003454DF"/>
    <w:rsid w:val="00345706"/>
    <w:rsid w:val="00345788"/>
    <w:rsid w:val="00345809"/>
    <w:rsid w:val="003459D5"/>
    <w:rsid w:val="00345BD7"/>
    <w:rsid w:val="00345C3F"/>
    <w:rsid w:val="00345F97"/>
    <w:rsid w:val="0034615F"/>
    <w:rsid w:val="003467CC"/>
    <w:rsid w:val="00346876"/>
    <w:rsid w:val="003468AB"/>
    <w:rsid w:val="0034693A"/>
    <w:rsid w:val="00347554"/>
    <w:rsid w:val="0034772D"/>
    <w:rsid w:val="00347754"/>
    <w:rsid w:val="00347761"/>
    <w:rsid w:val="00347EC7"/>
    <w:rsid w:val="0035038C"/>
    <w:rsid w:val="0035043C"/>
    <w:rsid w:val="003505F0"/>
    <w:rsid w:val="00350A0A"/>
    <w:rsid w:val="00350D43"/>
    <w:rsid w:val="0035107E"/>
    <w:rsid w:val="003510C8"/>
    <w:rsid w:val="00351103"/>
    <w:rsid w:val="0035145F"/>
    <w:rsid w:val="003516BD"/>
    <w:rsid w:val="003516E1"/>
    <w:rsid w:val="003516F0"/>
    <w:rsid w:val="00351901"/>
    <w:rsid w:val="003519CD"/>
    <w:rsid w:val="00351C8A"/>
    <w:rsid w:val="00351E45"/>
    <w:rsid w:val="00352822"/>
    <w:rsid w:val="00352A07"/>
    <w:rsid w:val="00352B87"/>
    <w:rsid w:val="00352E22"/>
    <w:rsid w:val="003531F3"/>
    <w:rsid w:val="00353220"/>
    <w:rsid w:val="003532A7"/>
    <w:rsid w:val="00353434"/>
    <w:rsid w:val="003534E9"/>
    <w:rsid w:val="00353664"/>
    <w:rsid w:val="00353665"/>
    <w:rsid w:val="00353738"/>
    <w:rsid w:val="00353809"/>
    <w:rsid w:val="003539D4"/>
    <w:rsid w:val="00353A87"/>
    <w:rsid w:val="00353E17"/>
    <w:rsid w:val="00354049"/>
    <w:rsid w:val="003540D4"/>
    <w:rsid w:val="003540F8"/>
    <w:rsid w:val="0035421B"/>
    <w:rsid w:val="00354232"/>
    <w:rsid w:val="00354312"/>
    <w:rsid w:val="00354349"/>
    <w:rsid w:val="003545D8"/>
    <w:rsid w:val="00354606"/>
    <w:rsid w:val="0035477E"/>
    <w:rsid w:val="003548BF"/>
    <w:rsid w:val="00354A5E"/>
    <w:rsid w:val="00354DB3"/>
    <w:rsid w:val="00354E8E"/>
    <w:rsid w:val="00355225"/>
    <w:rsid w:val="00355277"/>
    <w:rsid w:val="003552C7"/>
    <w:rsid w:val="00355542"/>
    <w:rsid w:val="0035555C"/>
    <w:rsid w:val="00355689"/>
    <w:rsid w:val="0035581F"/>
    <w:rsid w:val="0035585B"/>
    <w:rsid w:val="003558E7"/>
    <w:rsid w:val="003559B6"/>
    <w:rsid w:val="003559D9"/>
    <w:rsid w:val="00355ADD"/>
    <w:rsid w:val="00355B59"/>
    <w:rsid w:val="00355C79"/>
    <w:rsid w:val="00355E9A"/>
    <w:rsid w:val="00356058"/>
    <w:rsid w:val="003563A4"/>
    <w:rsid w:val="0035692D"/>
    <w:rsid w:val="00356974"/>
    <w:rsid w:val="00356A9F"/>
    <w:rsid w:val="00356B69"/>
    <w:rsid w:val="00356D10"/>
    <w:rsid w:val="00356DCF"/>
    <w:rsid w:val="00356DFB"/>
    <w:rsid w:val="00356F55"/>
    <w:rsid w:val="003571C2"/>
    <w:rsid w:val="00357544"/>
    <w:rsid w:val="00357789"/>
    <w:rsid w:val="0035780C"/>
    <w:rsid w:val="00357A9D"/>
    <w:rsid w:val="00357F70"/>
    <w:rsid w:val="00360114"/>
    <w:rsid w:val="0036012C"/>
    <w:rsid w:val="003601C6"/>
    <w:rsid w:val="0036022F"/>
    <w:rsid w:val="003602FC"/>
    <w:rsid w:val="00360477"/>
    <w:rsid w:val="00360812"/>
    <w:rsid w:val="00360A34"/>
    <w:rsid w:val="00360A8B"/>
    <w:rsid w:val="00360CC6"/>
    <w:rsid w:val="003613BB"/>
    <w:rsid w:val="0036140D"/>
    <w:rsid w:val="0036162E"/>
    <w:rsid w:val="003616B2"/>
    <w:rsid w:val="003616CF"/>
    <w:rsid w:val="00361782"/>
    <w:rsid w:val="00361949"/>
    <w:rsid w:val="00361D46"/>
    <w:rsid w:val="00361E16"/>
    <w:rsid w:val="00361E4F"/>
    <w:rsid w:val="0036224A"/>
    <w:rsid w:val="0036234E"/>
    <w:rsid w:val="003624AB"/>
    <w:rsid w:val="003624E8"/>
    <w:rsid w:val="0036254A"/>
    <w:rsid w:val="00362784"/>
    <w:rsid w:val="00362899"/>
    <w:rsid w:val="003628CB"/>
    <w:rsid w:val="00362CD8"/>
    <w:rsid w:val="0036309F"/>
    <w:rsid w:val="003636A2"/>
    <w:rsid w:val="00363885"/>
    <w:rsid w:val="00363B65"/>
    <w:rsid w:val="00363D47"/>
    <w:rsid w:val="00363F92"/>
    <w:rsid w:val="0036429A"/>
    <w:rsid w:val="00364572"/>
    <w:rsid w:val="00364773"/>
    <w:rsid w:val="003647D0"/>
    <w:rsid w:val="00364A4F"/>
    <w:rsid w:val="00364D76"/>
    <w:rsid w:val="00364DFF"/>
    <w:rsid w:val="00364FA3"/>
    <w:rsid w:val="00365403"/>
    <w:rsid w:val="00365526"/>
    <w:rsid w:val="003659ED"/>
    <w:rsid w:val="00365AAA"/>
    <w:rsid w:val="00365D2D"/>
    <w:rsid w:val="00365F74"/>
    <w:rsid w:val="00365F9C"/>
    <w:rsid w:val="0036603F"/>
    <w:rsid w:val="00366417"/>
    <w:rsid w:val="003666DC"/>
    <w:rsid w:val="00366B73"/>
    <w:rsid w:val="00366CBE"/>
    <w:rsid w:val="0036781F"/>
    <w:rsid w:val="00367A77"/>
    <w:rsid w:val="00367A95"/>
    <w:rsid w:val="00367D33"/>
    <w:rsid w:val="00370100"/>
    <w:rsid w:val="00370522"/>
    <w:rsid w:val="003705E7"/>
    <w:rsid w:val="0037140C"/>
    <w:rsid w:val="003714A0"/>
    <w:rsid w:val="003714AB"/>
    <w:rsid w:val="0037160A"/>
    <w:rsid w:val="00371909"/>
    <w:rsid w:val="00371C40"/>
    <w:rsid w:val="00371C9D"/>
    <w:rsid w:val="00371DA5"/>
    <w:rsid w:val="00371F78"/>
    <w:rsid w:val="003727D2"/>
    <w:rsid w:val="00372FCF"/>
    <w:rsid w:val="003730FD"/>
    <w:rsid w:val="00373404"/>
    <w:rsid w:val="003734D3"/>
    <w:rsid w:val="00373604"/>
    <w:rsid w:val="0037380F"/>
    <w:rsid w:val="00373823"/>
    <w:rsid w:val="00373BF5"/>
    <w:rsid w:val="00373E39"/>
    <w:rsid w:val="00373F7E"/>
    <w:rsid w:val="003740EC"/>
    <w:rsid w:val="0037434B"/>
    <w:rsid w:val="00374752"/>
    <w:rsid w:val="0037484A"/>
    <w:rsid w:val="00374979"/>
    <w:rsid w:val="00374A56"/>
    <w:rsid w:val="00374D34"/>
    <w:rsid w:val="00374DED"/>
    <w:rsid w:val="00374F2F"/>
    <w:rsid w:val="00375084"/>
    <w:rsid w:val="003752BA"/>
    <w:rsid w:val="0037533B"/>
    <w:rsid w:val="0037569B"/>
    <w:rsid w:val="00375901"/>
    <w:rsid w:val="00375B93"/>
    <w:rsid w:val="00375E78"/>
    <w:rsid w:val="00375F7D"/>
    <w:rsid w:val="00375FCD"/>
    <w:rsid w:val="00376147"/>
    <w:rsid w:val="003762EB"/>
    <w:rsid w:val="00376702"/>
    <w:rsid w:val="00376766"/>
    <w:rsid w:val="00376783"/>
    <w:rsid w:val="00376B63"/>
    <w:rsid w:val="00376C41"/>
    <w:rsid w:val="00376E3D"/>
    <w:rsid w:val="00376E8B"/>
    <w:rsid w:val="00376FD8"/>
    <w:rsid w:val="00377041"/>
    <w:rsid w:val="003771DB"/>
    <w:rsid w:val="00377277"/>
    <w:rsid w:val="00377321"/>
    <w:rsid w:val="00377339"/>
    <w:rsid w:val="003773E0"/>
    <w:rsid w:val="00377458"/>
    <w:rsid w:val="00377749"/>
    <w:rsid w:val="003777DA"/>
    <w:rsid w:val="00377A6E"/>
    <w:rsid w:val="00377E71"/>
    <w:rsid w:val="00377EF9"/>
    <w:rsid w:val="00380213"/>
    <w:rsid w:val="003802B6"/>
    <w:rsid w:val="0038058F"/>
    <w:rsid w:val="003807B4"/>
    <w:rsid w:val="00380D8E"/>
    <w:rsid w:val="00380FE0"/>
    <w:rsid w:val="00381204"/>
    <w:rsid w:val="00381220"/>
    <w:rsid w:val="00381324"/>
    <w:rsid w:val="00381338"/>
    <w:rsid w:val="003814BD"/>
    <w:rsid w:val="003815B0"/>
    <w:rsid w:val="003817AA"/>
    <w:rsid w:val="003817F1"/>
    <w:rsid w:val="00381B32"/>
    <w:rsid w:val="00381B41"/>
    <w:rsid w:val="00381B96"/>
    <w:rsid w:val="0038242A"/>
    <w:rsid w:val="0038261A"/>
    <w:rsid w:val="00382640"/>
    <w:rsid w:val="00382685"/>
    <w:rsid w:val="0038271C"/>
    <w:rsid w:val="00382851"/>
    <w:rsid w:val="00382BD8"/>
    <w:rsid w:val="00382D13"/>
    <w:rsid w:val="00382E22"/>
    <w:rsid w:val="00383107"/>
    <w:rsid w:val="0038335C"/>
    <w:rsid w:val="00383482"/>
    <w:rsid w:val="00383689"/>
    <w:rsid w:val="0038371C"/>
    <w:rsid w:val="003838D4"/>
    <w:rsid w:val="00383A02"/>
    <w:rsid w:val="00383EA8"/>
    <w:rsid w:val="00383F46"/>
    <w:rsid w:val="00383F8D"/>
    <w:rsid w:val="00384172"/>
    <w:rsid w:val="00384189"/>
    <w:rsid w:val="003842C3"/>
    <w:rsid w:val="00384303"/>
    <w:rsid w:val="003843D8"/>
    <w:rsid w:val="00384414"/>
    <w:rsid w:val="0038448D"/>
    <w:rsid w:val="00384612"/>
    <w:rsid w:val="00384B7B"/>
    <w:rsid w:val="00384BCB"/>
    <w:rsid w:val="00384C46"/>
    <w:rsid w:val="00384D3B"/>
    <w:rsid w:val="00384E15"/>
    <w:rsid w:val="00385043"/>
    <w:rsid w:val="0038516A"/>
    <w:rsid w:val="00385458"/>
    <w:rsid w:val="0038568A"/>
    <w:rsid w:val="003858A0"/>
    <w:rsid w:val="00385AFC"/>
    <w:rsid w:val="00385D21"/>
    <w:rsid w:val="00385D2A"/>
    <w:rsid w:val="00385FEB"/>
    <w:rsid w:val="00385FFC"/>
    <w:rsid w:val="00386069"/>
    <w:rsid w:val="0038628C"/>
    <w:rsid w:val="00386312"/>
    <w:rsid w:val="003863DB"/>
    <w:rsid w:val="003866ED"/>
    <w:rsid w:val="003869B4"/>
    <w:rsid w:val="00386D99"/>
    <w:rsid w:val="00386DF0"/>
    <w:rsid w:val="0038714E"/>
    <w:rsid w:val="00387491"/>
    <w:rsid w:val="003874E7"/>
    <w:rsid w:val="00387687"/>
    <w:rsid w:val="00387689"/>
    <w:rsid w:val="003876A6"/>
    <w:rsid w:val="00387766"/>
    <w:rsid w:val="003878F2"/>
    <w:rsid w:val="00387A6B"/>
    <w:rsid w:val="00387AEC"/>
    <w:rsid w:val="00387DB8"/>
    <w:rsid w:val="003900AC"/>
    <w:rsid w:val="003900F8"/>
    <w:rsid w:val="00390711"/>
    <w:rsid w:val="003908A9"/>
    <w:rsid w:val="003908C5"/>
    <w:rsid w:val="00390B2E"/>
    <w:rsid w:val="00390C93"/>
    <w:rsid w:val="0039127B"/>
    <w:rsid w:val="0039142F"/>
    <w:rsid w:val="00391645"/>
    <w:rsid w:val="0039171C"/>
    <w:rsid w:val="00391852"/>
    <w:rsid w:val="00391B99"/>
    <w:rsid w:val="00392033"/>
    <w:rsid w:val="00392325"/>
    <w:rsid w:val="00392849"/>
    <w:rsid w:val="003929AD"/>
    <w:rsid w:val="00392BA7"/>
    <w:rsid w:val="00392D4F"/>
    <w:rsid w:val="00392F5A"/>
    <w:rsid w:val="00393352"/>
    <w:rsid w:val="003938FD"/>
    <w:rsid w:val="00393975"/>
    <w:rsid w:val="003939D1"/>
    <w:rsid w:val="00393E8D"/>
    <w:rsid w:val="003943AD"/>
    <w:rsid w:val="0039465B"/>
    <w:rsid w:val="0039476E"/>
    <w:rsid w:val="00394833"/>
    <w:rsid w:val="003948E1"/>
    <w:rsid w:val="00394C0D"/>
    <w:rsid w:val="00394DEC"/>
    <w:rsid w:val="0039503A"/>
    <w:rsid w:val="003951B7"/>
    <w:rsid w:val="0039534A"/>
    <w:rsid w:val="003954FE"/>
    <w:rsid w:val="003955CD"/>
    <w:rsid w:val="00395890"/>
    <w:rsid w:val="00395AC1"/>
    <w:rsid w:val="00395B68"/>
    <w:rsid w:val="00395C27"/>
    <w:rsid w:val="00395E50"/>
    <w:rsid w:val="003962E4"/>
    <w:rsid w:val="00396638"/>
    <w:rsid w:val="0039683A"/>
    <w:rsid w:val="00396B93"/>
    <w:rsid w:val="003970CD"/>
    <w:rsid w:val="0039718B"/>
    <w:rsid w:val="003974EC"/>
    <w:rsid w:val="00397552"/>
    <w:rsid w:val="003977A3"/>
    <w:rsid w:val="00397A05"/>
    <w:rsid w:val="00397BAE"/>
    <w:rsid w:val="00397BE0"/>
    <w:rsid w:val="00397BF2"/>
    <w:rsid w:val="00397C48"/>
    <w:rsid w:val="00397C55"/>
    <w:rsid w:val="003A00F4"/>
    <w:rsid w:val="003A0691"/>
    <w:rsid w:val="003A0729"/>
    <w:rsid w:val="003A079C"/>
    <w:rsid w:val="003A0845"/>
    <w:rsid w:val="003A08DE"/>
    <w:rsid w:val="003A0B5B"/>
    <w:rsid w:val="003A0C33"/>
    <w:rsid w:val="003A0D44"/>
    <w:rsid w:val="003A0DCE"/>
    <w:rsid w:val="003A0E31"/>
    <w:rsid w:val="003A0E48"/>
    <w:rsid w:val="003A0F41"/>
    <w:rsid w:val="003A0FD0"/>
    <w:rsid w:val="003A1008"/>
    <w:rsid w:val="003A1189"/>
    <w:rsid w:val="003A1730"/>
    <w:rsid w:val="003A185A"/>
    <w:rsid w:val="003A1CB1"/>
    <w:rsid w:val="003A1CCC"/>
    <w:rsid w:val="003A22F3"/>
    <w:rsid w:val="003A287B"/>
    <w:rsid w:val="003A289A"/>
    <w:rsid w:val="003A2948"/>
    <w:rsid w:val="003A2DCF"/>
    <w:rsid w:val="003A2FF2"/>
    <w:rsid w:val="003A3238"/>
    <w:rsid w:val="003A364E"/>
    <w:rsid w:val="003A3821"/>
    <w:rsid w:val="003A3AA7"/>
    <w:rsid w:val="003A3B25"/>
    <w:rsid w:val="003A3CD6"/>
    <w:rsid w:val="003A3D56"/>
    <w:rsid w:val="003A3F4B"/>
    <w:rsid w:val="003A4094"/>
    <w:rsid w:val="003A40E1"/>
    <w:rsid w:val="003A43BE"/>
    <w:rsid w:val="003A458F"/>
    <w:rsid w:val="003A4618"/>
    <w:rsid w:val="003A4851"/>
    <w:rsid w:val="003A4E8F"/>
    <w:rsid w:val="003A5175"/>
    <w:rsid w:val="003A569E"/>
    <w:rsid w:val="003A5745"/>
    <w:rsid w:val="003A598B"/>
    <w:rsid w:val="003A5DE5"/>
    <w:rsid w:val="003A5E06"/>
    <w:rsid w:val="003A5E0E"/>
    <w:rsid w:val="003A64B0"/>
    <w:rsid w:val="003A688C"/>
    <w:rsid w:val="003A6898"/>
    <w:rsid w:val="003A6967"/>
    <w:rsid w:val="003A6B28"/>
    <w:rsid w:val="003A6DDC"/>
    <w:rsid w:val="003A70F8"/>
    <w:rsid w:val="003A714D"/>
    <w:rsid w:val="003A716B"/>
    <w:rsid w:val="003A7343"/>
    <w:rsid w:val="003A7347"/>
    <w:rsid w:val="003A7D26"/>
    <w:rsid w:val="003A7F48"/>
    <w:rsid w:val="003A7FC2"/>
    <w:rsid w:val="003B0289"/>
    <w:rsid w:val="003B03EB"/>
    <w:rsid w:val="003B045C"/>
    <w:rsid w:val="003B059D"/>
    <w:rsid w:val="003B0755"/>
    <w:rsid w:val="003B0839"/>
    <w:rsid w:val="003B09C3"/>
    <w:rsid w:val="003B0BA1"/>
    <w:rsid w:val="003B0CAD"/>
    <w:rsid w:val="003B0DAF"/>
    <w:rsid w:val="003B0E10"/>
    <w:rsid w:val="003B0EA8"/>
    <w:rsid w:val="003B0EC2"/>
    <w:rsid w:val="003B138E"/>
    <w:rsid w:val="003B174F"/>
    <w:rsid w:val="003B1C4E"/>
    <w:rsid w:val="003B1D28"/>
    <w:rsid w:val="003B2081"/>
    <w:rsid w:val="003B2877"/>
    <w:rsid w:val="003B28D3"/>
    <w:rsid w:val="003B28E4"/>
    <w:rsid w:val="003B295B"/>
    <w:rsid w:val="003B2B78"/>
    <w:rsid w:val="003B3197"/>
    <w:rsid w:val="003B3362"/>
    <w:rsid w:val="003B34F0"/>
    <w:rsid w:val="003B3D12"/>
    <w:rsid w:val="003B41E9"/>
    <w:rsid w:val="003B446B"/>
    <w:rsid w:val="003B44AA"/>
    <w:rsid w:val="003B44F2"/>
    <w:rsid w:val="003B45F5"/>
    <w:rsid w:val="003B47BD"/>
    <w:rsid w:val="003B4871"/>
    <w:rsid w:val="003B4948"/>
    <w:rsid w:val="003B4971"/>
    <w:rsid w:val="003B49C8"/>
    <w:rsid w:val="003B4A16"/>
    <w:rsid w:val="003B4B6A"/>
    <w:rsid w:val="003B50AC"/>
    <w:rsid w:val="003B53AD"/>
    <w:rsid w:val="003B5557"/>
    <w:rsid w:val="003B5651"/>
    <w:rsid w:val="003B57FD"/>
    <w:rsid w:val="003B5A4C"/>
    <w:rsid w:val="003B5AA8"/>
    <w:rsid w:val="003B5B9E"/>
    <w:rsid w:val="003B5BCE"/>
    <w:rsid w:val="003B5D0D"/>
    <w:rsid w:val="003B5DF5"/>
    <w:rsid w:val="003B6128"/>
    <w:rsid w:val="003B6188"/>
    <w:rsid w:val="003B647B"/>
    <w:rsid w:val="003B6485"/>
    <w:rsid w:val="003B6791"/>
    <w:rsid w:val="003B6883"/>
    <w:rsid w:val="003B69A2"/>
    <w:rsid w:val="003B69B8"/>
    <w:rsid w:val="003B6C87"/>
    <w:rsid w:val="003B6DA6"/>
    <w:rsid w:val="003B6E1C"/>
    <w:rsid w:val="003B6F7B"/>
    <w:rsid w:val="003B708F"/>
    <w:rsid w:val="003B7185"/>
    <w:rsid w:val="003B7417"/>
    <w:rsid w:val="003B7570"/>
    <w:rsid w:val="003B784B"/>
    <w:rsid w:val="003B78B3"/>
    <w:rsid w:val="003B7C9E"/>
    <w:rsid w:val="003B7D1D"/>
    <w:rsid w:val="003B7F96"/>
    <w:rsid w:val="003C048B"/>
    <w:rsid w:val="003C0618"/>
    <w:rsid w:val="003C0689"/>
    <w:rsid w:val="003C0766"/>
    <w:rsid w:val="003C097F"/>
    <w:rsid w:val="003C0A7F"/>
    <w:rsid w:val="003C0B33"/>
    <w:rsid w:val="003C0C5A"/>
    <w:rsid w:val="003C0CEE"/>
    <w:rsid w:val="003C0F48"/>
    <w:rsid w:val="003C10B2"/>
    <w:rsid w:val="003C1226"/>
    <w:rsid w:val="003C1378"/>
    <w:rsid w:val="003C1382"/>
    <w:rsid w:val="003C1475"/>
    <w:rsid w:val="003C1494"/>
    <w:rsid w:val="003C1731"/>
    <w:rsid w:val="003C1A6C"/>
    <w:rsid w:val="003C1F34"/>
    <w:rsid w:val="003C1F82"/>
    <w:rsid w:val="003C1FE1"/>
    <w:rsid w:val="003C23AB"/>
    <w:rsid w:val="003C241C"/>
    <w:rsid w:val="003C244C"/>
    <w:rsid w:val="003C2A3F"/>
    <w:rsid w:val="003C2AD8"/>
    <w:rsid w:val="003C2ADD"/>
    <w:rsid w:val="003C2FC0"/>
    <w:rsid w:val="003C3069"/>
    <w:rsid w:val="003C323E"/>
    <w:rsid w:val="003C3290"/>
    <w:rsid w:val="003C3654"/>
    <w:rsid w:val="003C3657"/>
    <w:rsid w:val="003C392B"/>
    <w:rsid w:val="003C3932"/>
    <w:rsid w:val="003C39E4"/>
    <w:rsid w:val="003C3A76"/>
    <w:rsid w:val="003C3C9F"/>
    <w:rsid w:val="003C3E89"/>
    <w:rsid w:val="003C3F11"/>
    <w:rsid w:val="003C3F24"/>
    <w:rsid w:val="003C3FA8"/>
    <w:rsid w:val="003C42AD"/>
    <w:rsid w:val="003C4693"/>
    <w:rsid w:val="003C469B"/>
    <w:rsid w:val="003C4980"/>
    <w:rsid w:val="003C49B0"/>
    <w:rsid w:val="003C4A9D"/>
    <w:rsid w:val="003C4DA0"/>
    <w:rsid w:val="003C4E78"/>
    <w:rsid w:val="003C4F18"/>
    <w:rsid w:val="003C4FCE"/>
    <w:rsid w:val="003C51D1"/>
    <w:rsid w:val="003C52A4"/>
    <w:rsid w:val="003C5597"/>
    <w:rsid w:val="003C58A6"/>
    <w:rsid w:val="003C599C"/>
    <w:rsid w:val="003C5B6A"/>
    <w:rsid w:val="003C5F77"/>
    <w:rsid w:val="003C6165"/>
    <w:rsid w:val="003C61CD"/>
    <w:rsid w:val="003C62B2"/>
    <w:rsid w:val="003C62D1"/>
    <w:rsid w:val="003C6313"/>
    <w:rsid w:val="003C64FC"/>
    <w:rsid w:val="003C6553"/>
    <w:rsid w:val="003C6644"/>
    <w:rsid w:val="003C6A1A"/>
    <w:rsid w:val="003C6B2B"/>
    <w:rsid w:val="003C6B7B"/>
    <w:rsid w:val="003C6E45"/>
    <w:rsid w:val="003C6F7E"/>
    <w:rsid w:val="003C6FAC"/>
    <w:rsid w:val="003C702F"/>
    <w:rsid w:val="003C766D"/>
    <w:rsid w:val="003C7694"/>
    <w:rsid w:val="003C7979"/>
    <w:rsid w:val="003C7B49"/>
    <w:rsid w:val="003C7B98"/>
    <w:rsid w:val="003C7BF4"/>
    <w:rsid w:val="003D0242"/>
    <w:rsid w:val="003D07F3"/>
    <w:rsid w:val="003D08FE"/>
    <w:rsid w:val="003D0B2A"/>
    <w:rsid w:val="003D0CF3"/>
    <w:rsid w:val="003D0EED"/>
    <w:rsid w:val="003D104E"/>
    <w:rsid w:val="003D1401"/>
    <w:rsid w:val="003D14F6"/>
    <w:rsid w:val="003D1698"/>
    <w:rsid w:val="003D175B"/>
    <w:rsid w:val="003D1A70"/>
    <w:rsid w:val="003D1E75"/>
    <w:rsid w:val="003D2620"/>
    <w:rsid w:val="003D262F"/>
    <w:rsid w:val="003D27B5"/>
    <w:rsid w:val="003D2AE6"/>
    <w:rsid w:val="003D2D66"/>
    <w:rsid w:val="003D3374"/>
    <w:rsid w:val="003D339F"/>
    <w:rsid w:val="003D3D21"/>
    <w:rsid w:val="003D3EE6"/>
    <w:rsid w:val="003D415D"/>
    <w:rsid w:val="003D440C"/>
    <w:rsid w:val="003D4AC4"/>
    <w:rsid w:val="003D54A5"/>
    <w:rsid w:val="003D55C7"/>
    <w:rsid w:val="003D573C"/>
    <w:rsid w:val="003D59B1"/>
    <w:rsid w:val="003D5B95"/>
    <w:rsid w:val="003D5DD6"/>
    <w:rsid w:val="003D6044"/>
    <w:rsid w:val="003D60CB"/>
    <w:rsid w:val="003D641B"/>
    <w:rsid w:val="003D65C0"/>
    <w:rsid w:val="003D6876"/>
    <w:rsid w:val="003D6976"/>
    <w:rsid w:val="003D6A19"/>
    <w:rsid w:val="003D6C74"/>
    <w:rsid w:val="003D6CB1"/>
    <w:rsid w:val="003D6FDB"/>
    <w:rsid w:val="003D75B3"/>
    <w:rsid w:val="003D7A30"/>
    <w:rsid w:val="003D7B9C"/>
    <w:rsid w:val="003D7D0C"/>
    <w:rsid w:val="003D7FEF"/>
    <w:rsid w:val="003E006B"/>
    <w:rsid w:val="003E0161"/>
    <w:rsid w:val="003E02D5"/>
    <w:rsid w:val="003E0390"/>
    <w:rsid w:val="003E03C0"/>
    <w:rsid w:val="003E0694"/>
    <w:rsid w:val="003E0E3F"/>
    <w:rsid w:val="003E0F38"/>
    <w:rsid w:val="003E12CC"/>
    <w:rsid w:val="003E14CC"/>
    <w:rsid w:val="003E171C"/>
    <w:rsid w:val="003E17AB"/>
    <w:rsid w:val="003E1C11"/>
    <w:rsid w:val="003E1CE7"/>
    <w:rsid w:val="003E1EE4"/>
    <w:rsid w:val="003E1FDB"/>
    <w:rsid w:val="003E209A"/>
    <w:rsid w:val="003E22DC"/>
    <w:rsid w:val="003E23B2"/>
    <w:rsid w:val="003E2487"/>
    <w:rsid w:val="003E27A3"/>
    <w:rsid w:val="003E27C8"/>
    <w:rsid w:val="003E29FA"/>
    <w:rsid w:val="003E2A38"/>
    <w:rsid w:val="003E2BE6"/>
    <w:rsid w:val="003E2E8B"/>
    <w:rsid w:val="003E2F41"/>
    <w:rsid w:val="003E3091"/>
    <w:rsid w:val="003E311C"/>
    <w:rsid w:val="003E32C0"/>
    <w:rsid w:val="003E3335"/>
    <w:rsid w:val="003E3748"/>
    <w:rsid w:val="003E37C0"/>
    <w:rsid w:val="003E37DF"/>
    <w:rsid w:val="003E3858"/>
    <w:rsid w:val="003E3886"/>
    <w:rsid w:val="003E3F17"/>
    <w:rsid w:val="003E414F"/>
    <w:rsid w:val="003E4250"/>
    <w:rsid w:val="003E42F6"/>
    <w:rsid w:val="003E46F9"/>
    <w:rsid w:val="003E4949"/>
    <w:rsid w:val="003E4AB6"/>
    <w:rsid w:val="003E4D6E"/>
    <w:rsid w:val="003E4D7B"/>
    <w:rsid w:val="003E4DFD"/>
    <w:rsid w:val="003E505B"/>
    <w:rsid w:val="003E51D4"/>
    <w:rsid w:val="003E5287"/>
    <w:rsid w:val="003E54CB"/>
    <w:rsid w:val="003E58B4"/>
    <w:rsid w:val="003E5D3B"/>
    <w:rsid w:val="003E5F8A"/>
    <w:rsid w:val="003E6472"/>
    <w:rsid w:val="003E66C3"/>
    <w:rsid w:val="003E6999"/>
    <w:rsid w:val="003E6CE8"/>
    <w:rsid w:val="003E706A"/>
    <w:rsid w:val="003E71E2"/>
    <w:rsid w:val="003E7351"/>
    <w:rsid w:val="003E73B5"/>
    <w:rsid w:val="003E7409"/>
    <w:rsid w:val="003E7ACF"/>
    <w:rsid w:val="003F00E7"/>
    <w:rsid w:val="003F06D1"/>
    <w:rsid w:val="003F0732"/>
    <w:rsid w:val="003F083F"/>
    <w:rsid w:val="003F0A3F"/>
    <w:rsid w:val="003F0B0F"/>
    <w:rsid w:val="003F0B3C"/>
    <w:rsid w:val="003F0FBD"/>
    <w:rsid w:val="003F0FC4"/>
    <w:rsid w:val="003F1279"/>
    <w:rsid w:val="003F1308"/>
    <w:rsid w:val="003F1313"/>
    <w:rsid w:val="003F1346"/>
    <w:rsid w:val="003F1971"/>
    <w:rsid w:val="003F1BE3"/>
    <w:rsid w:val="003F1C61"/>
    <w:rsid w:val="003F1CEA"/>
    <w:rsid w:val="003F2053"/>
    <w:rsid w:val="003F213F"/>
    <w:rsid w:val="003F24B6"/>
    <w:rsid w:val="003F24F2"/>
    <w:rsid w:val="003F284D"/>
    <w:rsid w:val="003F28E7"/>
    <w:rsid w:val="003F293C"/>
    <w:rsid w:val="003F29AB"/>
    <w:rsid w:val="003F2A13"/>
    <w:rsid w:val="003F2A77"/>
    <w:rsid w:val="003F2FCC"/>
    <w:rsid w:val="003F345A"/>
    <w:rsid w:val="003F3897"/>
    <w:rsid w:val="003F38B6"/>
    <w:rsid w:val="003F3918"/>
    <w:rsid w:val="003F394E"/>
    <w:rsid w:val="003F3C33"/>
    <w:rsid w:val="003F3E1B"/>
    <w:rsid w:val="003F405D"/>
    <w:rsid w:val="003F45F0"/>
    <w:rsid w:val="003F4830"/>
    <w:rsid w:val="003F4C30"/>
    <w:rsid w:val="003F4CE6"/>
    <w:rsid w:val="003F4D0A"/>
    <w:rsid w:val="003F4E11"/>
    <w:rsid w:val="003F4E5D"/>
    <w:rsid w:val="003F512C"/>
    <w:rsid w:val="003F593A"/>
    <w:rsid w:val="003F5C17"/>
    <w:rsid w:val="003F5DA4"/>
    <w:rsid w:val="003F5E07"/>
    <w:rsid w:val="003F6030"/>
    <w:rsid w:val="003F61D0"/>
    <w:rsid w:val="003F6647"/>
    <w:rsid w:val="003F697D"/>
    <w:rsid w:val="003F6B18"/>
    <w:rsid w:val="003F6B4C"/>
    <w:rsid w:val="003F6E65"/>
    <w:rsid w:val="003F7098"/>
    <w:rsid w:val="003F715C"/>
    <w:rsid w:val="003F741D"/>
    <w:rsid w:val="003F7563"/>
    <w:rsid w:val="003F7571"/>
    <w:rsid w:val="003F7634"/>
    <w:rsid w:val="003F78A9"/>
    <w:rsid w:val="003F7B26"/>
    <w:rsid w:val="003F7DEC"/>
    <w:rsid w:val="003F7FDC"/>
    <w:rsid w:val="003F7FDD"/>
    <w:rsid w:val="0040008B"/>
    <w:rsid w:val="00400120"/>
    <w:rsid w:val="00400215"/>
    <w:rsid w:val="004002BE"/>
    <w:rsid w:val="00400353"/>
    <w:rsid w:val="00400387"/>
    <w:rsid w:val="004007A8"/>
    <w:rsid w:val="00400871"/>
    <w:rsid w:val="00400927"/>
    <w:rsid w:val="00400954"/>
    <w:rsid w:val="00400A18"/>
    <w:rsid w:val="00400A55"/>
    <w:rsid w:val="00400C7D"/>
    <w:rsid w:val="00400FE0"/>
    <w:rsid w:val="00401155"/>
    <w:rsid w:val="0040177D"/>
    <w:rsid w:val="004017AB"/>
    <w:rsid w:val="004018CA"/>
    <w:rsid w:val="00401A12"/>
    <w:rsid w:val="00401CF2"/>
    <w:rsid w:val="00401F77"/>
    <w:rsid w:val="00401FEF"/>
    <w:rsid w:val="004020A0"/>
    <w:rsid w:val="004022CF"/>
    <w:rsid w:val="004023EE"/>
    <w:rsid w:val="00402611"/>
    <w:rsid w:val="004026CF"/>
    <w:rsid w:val="00402D77"/>
    <w:rsid w:val="0040307A"/>
    <w:rsid w:val="00403101"/>
    <w:rsid w:val="0040326C"/>
    <w:rsid w:val="004037A3"/>
    <w:rsid w:val="004037DA"/>
    <w:rsid w:val="004038BD"/>
    <w:rsid w:val="0040390B"/>
    <w:rsid w:val="00403A11"/>
    <w:rsid w:val="00403A9C"/>
    <w:rsid w:val="0040426C"/>
    <w:rsid w:val="0040433B"/>
    <w:rsid w:val="00404939"/>
    <w:rsid w:val="0040496B"/>
    <w:rsid w:val="00404986"/>
    <w:rsid w:val="00404C06"/>
    <w:rsid w:val="00404CB3"/>
    <w:rsid w:val="00404DC0"/>
    <w:rsid w:val="00405383"/>
    <w:rsid w:val="0040560A"/>
    <w:rsid w:val="004057EE"/>
    <w:rsid w:val="0040582E"/>
    <w:rsid w:val="004058C9"/>
    <w:rsid w:val="00405A3A"/>
    <w:rsid w:val="00405A54"/>
    <w:rsid w:val="00405CDC"/>
    <w:rsid w:val="00406074"/>
    <w:rsid w:val="004062ED"/>
    <w:rsid w:val="004063C7"/>
    <w:rsid w:val="004063EF"/>
    <w:rsid w:val="0040668F"/>
    <w:rsid w:val="00406720"/>
    <w:rsid w:val="00406BF0"/>
    <w:rsid w:val="00406C33"/>
    <w:rsid w:val="00406C59"/>
    <w:rsid w:val="00406CAA"/>
    <w:rsid w:val="0040701E"/>
    <w:rsid w:val="004071C8"/>
    <w:rsid w:val="004071DD"/>
    <w:rsid w:val="004072B7"/>
    <w:rsid w:val="004073FA"/>
    <w:rsid w:val="004075B8"/>
    <w:rsid w:val="0040764D"/>
    <w:rsid w:val="004076B0"/>
    <w:rsid w:val="004077C2"/>
    <w:rsid w:val="00407945"/>
    <w:rsid w:val="00407C53"/>
    <w:rsid w:val="00407CB7"/>
    <w:rsid w:val="00407FAB"/>
    <w:rsid w:val="004100B4"/>
    <w:rsid w:val="0041043A"/>
    <w:rsid w:val="00410459"/>
    <w:rsid w:val="00410A99"/>
    <w:rsid w:val="00410B94"/>
    <w:rsid w:val="00410BA3"/>
    <w:rsid w:val="00410BDC"/>
    <w:rsid w:val="00410C91"/>
    <w:rsid w:val="00410F80"/>
    <w:rsid w:val="004112D5"/>
    <w:rsid w:val="004113D5"/>
    <w:rsid w:val="00411832"/>
    <w:rsid w:val="00411875"/>
    <w:rsid w:val="00411B3D"/>
    <w:rsid w:val="00411C03"/>
    <w:rsid w:val="00411C1E"/>
    <w:rsid w:val="00411C59"/>
    <w:rsid w:val="00411D35"/>
    <w:rsid w:val="00412186"/>
    <w:rsid w:val="004124AD"/>
    <w:rsid w:val="004124D1"/>
    <w:rsid w:val="00412656"/>
    <w:rsid w:val="00412DB0"/>
    <w:rsid w:val="00413268"/>
    <w:rsid w:val="0041347D"/>
    <w:rsid w:val="004135AC"/>
    <w:rsid w:val="004135DC"/>
    <w:rsid w:val="00413CF5"/>
    <w:rsid w:val="00413E5A"/>
    <w:rsid w:val="00413E7F"/>
    <w:rsid w:val="00413F6A"/>
    <w:rsid w:val="00413F8D"/>
    <w:rsid w:val="0041453B"/>
    <w:rsid w:val="00414607"/>
    <w:rsid w:val="0041489B"/>
    <w:rsid w:val="00414A91"/>
    <w:rsid w:val="00414E0B"/>
    <w:rsid w:val="00414F57"/>
    <w:rsid w:val="00414F65"/>
    <w:rsid w:val="00415278"/>
    <w:rsid w:val="0041533A"/>
    <w:rsid w:val="00415399"/>
    <w:rsid w:val="00415B18"/>
    <w:rsid w:val="00415BA0"/>
    <w:rsid w:val="0041602C"/>
    <w:rsid w:val="0041622F"/>
    <w:rsid w:val="00416597"/>
    <w:rsid w:val="0041665F"/>
    <w:rsid w:val="00416821"/>
    <w:rsid w:val="00416928"/>
    <w:rsid w:val="0041699D"/>
    <w:rsid w:val="00416B06"/>
    <w:rsid w:val="00416B65"/>
    <w:rsid w:val="00416FF8"/>
    <w:rsid w:val="0041702E"/>
    <w:rsid w:val="004171D3"/>
    <w:rsid w:val="0041737A"/>
    <w:rsid w:val="004173D9"/>
    <w:rsid w:val="004175BD"/>
    <w:rsid w:val="004176B6"/>
    <w:rsid w:val="004176E0"/>
    <w:rsid w:val="00417A6B"/>
    <w:rsid w:val="00417D6E"/>
    <w:rsid w:val="00417E37"/>
    <w:rsid w:val="0042024D"/>
    <w:rsid w:val="00420515"/>
    <w:rsid w:val="00420565"/>
    <w:rsid w:val="00420760"/>
    <w:rsid w:val="00420EF0"/>
    <w:rsid w:val="0042107F"/>
    <w:rsid w:val="00421138"/>
    <w:rsid w:val="00421266"/>
    <w:rsid w:val="0042145A"/>
    <w:rsid w:val="0042150E"/>
    <w:rsid w:val="0042175A"/>
    <w:rsid w:val="00421829"/>
    <w:rsid w:val="00421849"/>
    <w:rsid w:val="00421D51"/>
    <w:rsid w:val="00421E31"/>
    <w:rsid w:val="0042205E"/>
    <w:rsid w:val="00422163"/>
    <w:rsid w:val="00422490"/>
    <w:rsid w:val="0042252A"/>
    <w:rsid w:val="00422B4C"/>
    <w:rsid w:val="00422C29"/>
    <w:rsid w:val="004230A2"/>
    <w:rsid w:val="00423478"/>
    <w:rsid w:val="00423680"/>
    <w:rsid w:val="004238AE"/>
    <w:rsid w:val="0042395E"/>
    <w:rsid w:val="00423C70"/>
    <w:rsid w:val="00423E1E"/>
    <w:rsid w:val="00423E5A"/>
    <w:rsid w:val="00423E77"/>
    <w:rsid w:val="00424297"/>
    <w:rsid w:val="0042497A"/>
    <w:rsid w:val="00424A4F"/>
    <w:rsid w:val="00424C29"/>
    <w:rsid w:val="00424D1E"/>
    <w:rsid w:val="004251F8"/>
    <w:rsid w:val="00425390"/>
    <w:rsid w:val="00425518"/>
    <w:rsid w:val="0042572A"/>
    <w:rsid w:val="00426240"/>
    <w:rsid w:val="00426285"/>
    <w:rsid w:val="004264CB"/>
    <w:rsid w:val="004269ED"/>
    <w:rsid w:val="00426AFC"/>
    <w:rsid w:val="00426B8C"/>
    <w:rsid w:val="00426BB5"/>
    <w:rsid w:val="00426C76"/>
    <w:rsid w:val="00426D1C"/>
    <w:rsid w:val="00426D3F"/>
    <w:rsid w:val="0042762C"/>
    <w:rsid w:val="00427715"/>
    <w:rsid w:val="00427718"/>
    <w:rsid w:val="004279F0"/>
    <w:rsid w:val="00427C3F"/>
    <w:rsid w:val="00427E74"/>
    <w:rsid w:val="00430327"/>
    <w:rsid w:val="00430524"/>
    <w:rsid w:val="00430C3E"/>
    <w:rsid w:val="00430E38"/>
    <w:rsid w:val="00430F28"/>
    <w:rsid w:val="00430FB2"/>
    <w:rsid w:val="00430FC5"/>
    <w:rsid w:val="00431264"/>
    <w:rsid w:val="004312DA"/>
    <w:rsid w:val="004315DD"/>
    <w:rsid w:val="00431753"/>
    <w:rsid w:val="0043190D"/>
    <w:rsid w:val="00431AD8"/>
    <w:rsid w:val="00431F58"/>
    <w:rsid w:val="00432A1C"/>
    <w:rsid w:val="00432D74"/>
    <w:rsid w:val="00433535"/>
    <w:rsid w:val="00433568"/>
    <w:rsid w:val="00433992"/>
    <w:rsid w:val="00433A85"/>
    <w:rsid w:val="00433ABE"/>
    <w:rsid w:val="00433B56"/>
    <w:rsid w:val="00433F5F"/>
    <w:rsid w:val="00434005"/>
    <w:rsid w:val="00434222"/>
    <w:rsid w:val="0043430F"/>
    <w:rsid w:val="00434473"/>
    <w:rsid w:val="0043464A"/>
    <w:rsid w:val="00434953"/>
    <w:rsid w:val="00434A46"/>
    <w:rsid w:val="00434CD7"/>
    <w:rsid w:val="00434EBE"/>
    <w:rsid w:val="004350AC"/>
    <w:rsid w:val="004350B8"/>
    <w:rsid w:val="004353AE"/>
    <w:rsid w:val="00435499"/>
    <w:rsid w:val="0043565A"/>
    <w:rsid w:val="004357B4"/>
    <w:rsid w:val="004358F3"/>
    <w:rsid w:val="00435C56"/>
    <w:rsid w:val="00435DCA"/>
    <w:rsid w:val="00435E40"/>
    <w:rsid w:val="00435E77"/>
    <w:rsid w:val="0043625C"/>
    <w:rsid w:val="0043633A"/>
    <w:rsid w:val="0043644B"/>
    <w:rsid w:val="00436CFF"/>
    <w:rsid w:val="00436F32"/>
    <w:rsid w:val="00437028"/>
    <w:rsid w:val="004372A8"/>
    <w:rsid w:val="0043754F"/>
    <w:rsid w:val="004378E6"/>
    <w:rsid w:val="00437927"/>
    <w:rsid w:val="004400CB"/>
    <w:rsid w:val="00440204"/>
    <w:rsid w:val="00440391"/>
    <w:rsid w:val="0044054F"/>
    <w:rsid w:val="004407B0"/>
    <w:rsid w:val="00440938"/>
    <w:rsid w:val="00440947"/>
    <w:rsid w:val="00440A2C"/>
    <w:rsid w:val="00440AC0"/>
    <w:rsid w:val="00440C56"/>
    <w:rsid w:val="00440FF6"/>
    <w:rsid w:val="004412F4"/>
    <w:rsid w:val="0044133D"/>
    <w:rsid w:val="004413F0"/>
    <w:rsid w:val="00441537"/>
    <w:rsid w:val="00441611"/>
    <w:rsid w:val="0044182F"/>
    <w:rsid w:val="00441860"/>
    <w:rsid w:val="004419A3"/>
    <w:rsid w:val="004419C4"/>
    <w:rsid w:val="004419CD"/>
    <w:rsid w:val="00441B33"/>
    <w:rsid w:val="00441B39"/>
    <w:rsid w:val="00441FC0"/>
    <w:rsid w:val="00441FDF"/>
    <w:rsid w:val="0044207C"/>
    <w:rsid w:val="00442420"/>
    <w:rsid w:val="00442559"/>
    <w:rsid w:val="0044265B"/>
    <w:rsid w:val="00442708"/>
    <w:rsid w:val="004428FD"/>
    <w:rsid w:val="00442A2E"/>
    <w:rsid w:val="00442A9A"/>
    <w:rsid w:val="00443149"/>
    <w:rsid w:val="0044363D"/>
    <w:rsid w:val="00443829"/>
    <w:rsid w:val="004439E9"/>
    <w:rsid w:val="00443A78"/>
    <w:rsid w:val="00443CEC"/>
    <w:rsid w:val="00443D5F"/>
    <w:rsid w:val="00443E3C"/>
    <w:rsid w:val="00443FCA"/>
    <w:rsid w:val="00444196"/>
    <w:rsid w:val="004444AE"/>
    <w:rsid w:val="004445A2"/>
    <w:rsid w:val="00444EE7"/>
    <w:rsid w:val="004451C3"/>
    <w:rsid w:val="004453F7"/>
    <w:rsid w:val="00445812"/>
    <w:rsid w:val="00445BE2"/>
    <w:rsid w:val="00445BF3"/>
    <w:rsid w:val="00445C5C"/>
    <w:rsid w:val="00445D0D"/>
    <w:rsid w:val="00445F37"/>
    <w:rsid w:val="004460A6"/>
    <w:rsid w:val="00446147"/>
    <w:rsid w:val="004463FF"/>
    <w:rsid w:val="00446538"/>
    <w:rsid w:val="00446541"/>
    <w:rsid w:val="00446660"/>
    <w:rsid w:val="004466B3"/>
    <w:rsid w:val="004468A2"/>
    <w:rsid w:val="00446968"/>
    <w:rsid w:val="00446983"/>
    <w:rsid w:val="00446CFF"/>
    <w:rsid w:val="00446D9E"/>
    <w:rsid w:val="00446DE0"/>
    <w:rsid w:val="00447077"/>
    <w:rsid w:val="00447116"/>
    <w:rsid w:val="00447182"/>
    <w:rsid w:val="0044734B"/>
    <w:rsid w:val="0044739E"/>
    <w:rsid w:val="004473DC"/>
    <w:rsid w:val="0044753A"/>
    <w:rsid w:val="00447589"/>
    <w:rsid w:val="004475F4"/>
    <w:rsid w:val="00447A54"/>
    <w:rsid w:val="00447CAF"/>
    <w:rsid w:val="0045026B"/>
    <w:rsid w:val="00450B97"/>
    <w:rsid w:val="00450CA9"/>
    <w:rsid w:val="004510E5"/>
    <w:rsid w:val="0045124D"/>
    <w:rsid w:val="00451252"/>
    <w:rsid w:val="004515DA"/>
    <w:rsid w:val="0045179C"/>
    <w:rsid w:val="00451B04"/>
    <w:rsid w:val="00451C6B"/>
    <w:rsid w:val="00452069"/>
    <w:rsid w:val="0045257B"/>
    <w:rsid w:val="004525CB"/>
    <w:rsid w:val="00452984"/>
    <w:rsid w:val="00452F01"/>
    <w:rsid w:val="004530CC"/>
    <w:rsid w:val="00453425"/>
    <w:rsid w:val="00453471"/>
    <w:rsid w:val="0045347C"/>
    <w:rsid w:val="0045349B"/>
    <w:rsid w:val="004534F7"/>
    <w:rsid w:val="004536B6"/>
    <w:rsid w:val="00453940"/>
    <w:rsid w:val="00453A1D"/>
    <w:rsid w:val="00453BCA"/>
    <w:rsid w:val="00453D2B"/>
    <w:rsid w:val="00453D73"/>
    <w:rsid w:val="00453DA3"/>
    <w:rsid w:val="00453EB5"/>
    <w:rsid w:val="00454326"/>
    <w:rsid w:val="00454B56"/>
    <w:rsid w:val="00454D7A"/>
    <w:rsid w:val="00454EF8"/>
    <w:rsid w:val="004553ED"/>
    <w:rsid w:val="0045558F"/>
    <w:rsid w:val="004555EC"/>
    <w:rsid w:val="00455D02"/>
    <w:rsid w:val="00455D90"/>
    <w:rsid w:val="00455E81"/>
    <w:rsid w:val="00456482"/>
    <w:rsid w:val="004564D0"/>
    <w:rsid w:val="004566F0"/>
    <w:rsid w:val="004567E2"/>
    <w:rsid w:val="00456AD1"/>
    <w:rsid w:val="00456FE9"/>
    <w:rsid w:val="004570C5"/>
    <w:rsid w:val="0045719F"/>
    <w:rsid w:val="00457227"/>
    <w:rsid w:val="004574CD"/>
    <w:rsid w:val="004574DC"/>
    <w:rsid w:val="0045769E"/>
    <w:rsid w:val="004578AE"/>
    <w:rsid w:val="00457CBC"/>
    <w:rsid w:val="00457F88"/>
    <w:rsid w:val="00460247"/>
    <w:rsid w:val="004602A2"/>
    <w:rsid w:val="00460587"/>
    <w:rsid w:val="004609E4"/>
    <w:rsid w:val="00460CED"/>
    <w:rsid w:val="00460D2E"/>
    <w:rsid w:val="00460DBA"/>
    <w:rsid w:val="00460E2D"/>
    <w:rsid w:val="00460F75"/>
    <w:rsid w:val="004610A7"/>
    <w:rsid w:val="004610B8"/>
    <w:rsid w:val="004611AB"/>
    <w:rsid w:val="0046127B"/>
    <w:rsid w:val="00461407"/>
    <w:rsid w:val="0046142D"/>
    <w:rsid w:val="0046175F"/>
    <w:rsid w:val="00461952"/>
    <w:rsid w:val="00461A3B"/>
    <w:rsid w:val="00461D3A"/>
    <w:rsid w:val="00461E6C"/>
    <w:rsid w:val="0046234C"/>
    <w:rsid w:val="00462CB5"/>
    <w:rsid w:val="00462ED2"/>
    <w:rsid w:val="00462FAB"/>
    <w:rsid w:val="00462FD9"/>
    <w:rsid w:val="00463044"/>
    <w:rsid w:val="004630BC"/>
    <w:rsid w:val="004630CE"/>
    <w:rsid w:val="0046351E"/>
    <w:rsid w:val="00463637"/>
    <w:rsid w:val="00463815"/>
    <w:rsid w:val="004639C6"/>
    <w:rsid w:val="00463A75"/>
    <w:rsid w:val="00463AB4"/>
    <w:rsid w:val="00463CBD"/>
    <w:rsid w:val="004642D1"/>
    <w:rsid w:val="00464851"/>
    <w:rsid w:val="00464923"/>
    <w:rsid w:val="0046499D"/>
    <w:rsid w:val="00464EF5"/>
    <w:rsid w:val="00464FB8"/>
    <w:rsid w:val="004651A6"/>
    <w:rsid w:val="0046549D"/>
    <w:rsid w:val="004656AA"/>
    <w:rsid w:val="004657AF"/>
    <w:rsid w:val="004659D0"/>
    <w:rsid w:val="004659F1"/>
    <w:rsid w:val="00465A19"/>
    <w:rsid w:val="00465BF1"/>
    <w:rsid w:val="00465C05"/>
    <w:rsid w:val="00465CA8"/>
    <w:rsid w:val="00465D65"/>
    <w:rsid w:val="00465D7B"/>
    <w:rsid w:val="00466434"/>
    <w:rsid w:val="004664CA"/>
    <w:rsid w:val="004665D3"/>
    <w:rsid w:val="004666A8"/>
    <w:rsid w:val="00466855"/>
    <w:rsid w:val="00466E21"/>
    <w:rsid w:val="00466E73"/>
    <w:rsid w:val="00466F5E"/>
    <w:rsid w:val="004673AA"/>
    <w:rsid w:val="00467400"/>
    <w:rsid w:val="0046742F"/>
    <w:rsid w:val="0046755B"/>
    <w:rsid w:val="00467753"/>
    <w:rsid w:val="0046792F"/>
    <w:rsid w:val="00467ACC"/>
    <w:rsid w:val="00467D16"/>
    <w:rsid w:val="00467D1B"/>
    <w:rsid w:val="004701F7"/>
    <w:rsid w:val="0047029D"/>
    <w:rsid w:val="0047057D"/>
    <w:rsid w:val="00470749"/>
    <w:rsid w:val="00470A4C"/>
    <w:rsid w:val="00470B93"/>
    <w:rsid w:val="00470D9F"/>
    <w:rsid w:val="00471420"/>
    <w:rsid w:val="004714B1"/>
    <w:rsid w:val="00471583"/>
    <w:rsid w:val="00471654"/>
    <w:rsid w:val="00471E57"/>
    <w:rsid w:val="00471EE2"/>
    <w:rsid w:val="004723C2"/>
    <w:rsid w:val="00472764"/>
    <w:rsid w:val="004727BC"/>
    <w:rsid w:val="00472AF1"/>
    <w:rsid w:val="00472BD0"/>
    <w:rsid w:val="00472DD1"/>
    <w:rsid w:val="00472EB3"/>
    <w:rsid w:val="00472EF0"/>
    <w:rsid w:val="0047317C"/>
    <w:rsid w:val="0047330C"/>
    <w:rsid w:val="00473713"/>
    <w:rsid w:val="00473714"/>
    <w:rsid w:val="00473CB4"/>
    <w:rsid w:val="00473D55"/>
    <w:rsid w:val="00473D73"/>
    <w:rsid w:val="00473FE4"/>
    <w:rsid w:val="00474082"/>
    <w:rsid w:val="00474105"/>
    <w:rsid w:val="00474651"/>
    <w:rsid w:val="0047470A"/>
    <w:rsid w:val="00474713"/>
    <w:rsid w:val="00474792"/>
    <w:rsid w:val="004747BB"/>
    <w:rsid w:val="00474B58"/>
    <w:rsid w:val="00474C5D"/>
    <w:rsid w:val="00475289"/>
    <w:rsid w:val="00475362"/>
    <w:rsid w:val="00475451"/>
    <w:rsid w:val="0047553B"/>
    <w:rsid w:val="004758C6"/>
    <w:rsid w:val="004759F9"/>
    <w:rsid w:val="00475FA2"/>
    <w:rsid w:val="0047605C"/>
    <w:rsid w:val="004761F5"/>
    <w:rsid w:val="00476482"/>
    <w:rsid w:val="004764CC"/>
    <w:rsid w:val="00476780"/>
    <w:rsid w:val="004767AD"/>
    <w:rsid w:val="00476D7B"/>
    <w:rsid w:val="00476D8C"/>
    <w:rsid w:val="00476EBC"/>
    <w:rsid w:val="00476F20"/>
    <w:rsid w:val="0047703A"/>
    <w:rsid w:val="004770C8"/>
    <w:rsid w:val="00477780"/>
    <w:rsid w:val="00477A1A"/>
    <w:rsid w:val="00477A30"/>
    <w:rsid w:val="00477C01"/>
    <w:rsid w:val="00477D8A"/>
    <w:rsid w:val="0048041E"/>
    <w:rsid w:val="004805A5"/>
    <w:rsid w:val="004805BA"/>
    <w:rsid w:val="00480663"/>
    <w:rsid w:val="00480952"/>
    <w:rsid w:val="00480A24"/>
    <w:rsid w:val="00480A8E"/>
    <w:rsid w:val="00480C28"/>
    <w:rsid w:val="00480FCA"/>
    <w:rsid w:val="004811BA"/>
    <w:rsid w:val="0048143C"/>
    <w:rsid w:val="0048165C"/>
    <w:rsid w:val="00481764"/>
    <w:rsid w:val="00481818"/>
    <w:rsid w:val="00481BE3"/>
    <w:rsid w:val="00481F40"/>
    <w:rsid w:val="00481F59"/>
    <w:rsid w:val="00482128"/>
    <w:rsid w:val="004821F7"/>
    <w:rsid w:val="0048233E"/>
    <w:rsid w:val="004827C0"/>
    <w:rsid w:val="00482C9C"/>
    <w:rsid w:val="00482ED2"/>
    <w:rsid w:val="004831D2"/>
    <w:rsid w:val="0048327C"/>
    <w:rsid w:val="00483290"/>
    <w:rsid w:val="00483342"/>
    <w:rsid w:val="00483461"/>
    <w:rsid w:val="004834D7"/>
    <w:rsid w:val="00483B84"/>
    <w:rsid w:val="00483C74"/>
    <w:rsid w:val="00483D3A"/>
    <w:rsid w:val="00483D82"/>
    <w:rsid w:val="00483D9F"/>
    <w:rsid w:val="0048450E"/>
    <w:rsid w:val="0048466B"/>
    <w:rsid w:val="004847D8"/>
    <w:rsid w:val="00484862"/>
    <w:rsid w:val="00484D9F"/>
    <w:rsid w:val="00484DDD"/>
    <w:rsid w:val="0048527E"/>
    <w:rsid w:val="004852DC"/>
    <w:rsid w:val="00485314"/>
    <w:rsid w:val="0048534D"/>
    <w:rsid w:val="0048573A"/>
    <w:rsid w:val="004858B4"/>
    <w:rsid w:val="00485D05"/>
    <w:rsid w:val="00485DC0"/>
    <w:rsid w:val="00485E99"/>
    <w:rsid w:val="00485FFA"/>
    <w:rsid w:val="0048635E"/>
    <w:rsid w:val="00486585"/>
    <w:rsid w:val="00486698"/>
    <w:rsid w:val="004866FE"/>
    <w:rsid w:val="00486B8A"/>
    <w:rsid w:val="00486E38"/>
    <w:rsid w:val="00486E55"/>
    <w:rsid w:val="004870CC"/>
    <w:rsid w:val="004871AF"/>
    <w:rsid w:val="0048720E"/>
    <w:rsid w:val="0048722B"/>
    <w:rsid w:val="004872CE"/>
    <w:rsid w:val="0048783A"/>
    <w:rsid w:val="00487B64"/>
    <w:rsid w:val="00487DAD"/>
    <w:rsid w:val="00487EBD"/>
    <w:rsid w:val="00487F23"/>
    <w:rsid w:val="004900EF"/>
    <w:rsid w:val="004901E6"/>
    <w:rsid w:val="004905AD"/>
    <w:rsid w:val="00490A3E"/>
    <w:rsid w:val="00491105"/>
    <w:rsid w:val="00491207"/>
    <w:rsid w:val="00491727"/>
    <w:rsid w:val="004921F8"/>
    <w:rsid w:val="00492208"/>
    <w:rsid w:val="004924DB"/>
    <w:rsid w:val="00492523"/>
    <w:rsid w:val="00492525"/>
    <w:rsid w:val="004926A6"/>
    <w:rsid w:val="0049277E"/>
    <w:rsid w:val="00492881"/>
    <w:rsid w:val="00492884"/>
    <w:rsid w:val="004928CE"/>
    <w:rsid w:val="00492A41"/>
    <w:rsid w:val="00492BA1"/>
    <w:rsid w:val="00492BA8"/>
    <w:rsid w:val="00492C73"/>
    <w:rsid w:val="00492D0E"/>
    <w:rsid w:val="00492DA1"/>
    <w:rsid w:val="00492DED"/>
    <w:rsid w:val="00492EBC"/>
    <w:rsid w:val="00493546"/>
    <w:rsid w:val="004935BC"/>
    <w:rsid w:val="00493785"/>
    <w:rsid w:val="004938FE"/>
    <w:rsid w:val="00493BF8"/>
    <w:rsid w:val="00493D35"/>
    <w:rsid w:val="00493E9F"/>
    <w:rsid w:val="00493F3F"/>
    <w:rsid w:val="00494229"/>
    <w:rsid w:val="0049425B"/>
    <w:rsid w:val="00494855"/>
    <w:rsid w:val="004949D9"/>
    <w:rsid w:val="00494A79"/>
    <w:rsid w:val="00494B91"/>
    <w:rsid w:val="00494BB8"/>
    <w:rsid w:val="00494C2C"/>
    <w:rsid w:val="00494C5C"/>
    <w:rsid w:val="0049504E"/>
    <w:rsid w:val="00495053"/>
    <w:rsid w:val="004950B0"/>
    <w:rsid w:val="004955A1"/>
    <w:rsid w:val="0049560E"/>
    <w:rsid w:val="004956A3"/>
    <w:rsid w:val="0049571D"/>
    <w:rsid w:val="004957EA"/>
    <w:rsid w:val="00495903"/>
    <w:rsid w:val="00495A0E"/>
    <w:rsid w:val="00495B15"/>
    <w:rsid w:val="00495C57"/>
    <w:rsid w:val="0049626E"/>
    <w:rsid w:val="004962C4"/>
    <w:rsid w:val="00496452"/>
    <w:rsid w:val="004968BA"/>
    <w:rsid w:val="004968CE"/>
    <w:rsid w:val="00496931"/>
    <w:rsid w:val="00496A59"/>
    <w:rsid w:val="00496CA7"/>
    <w:rsid w:val="00496DC0"/>
    <w:rsid w:val="00496F71"/>
    <w:rsid w:val="0049720C"/>
    <w:rsid w:val="00497505"/>
    <w:rsid w:val="004975D4"/>
    <w:rsid w:val="00497698"/>
    <w:rsid w:val="00497AC0"/>
    <w:rsid w:val="00497B67"/>
    <w:rsid w:val="00497BD4"/>
    <w:rsid w:val="00497CEE"/>
    <w:rsid w:val="00497FA1"/>
    <w:rsid w:val="004A007D"/>
    <w:rsid w:val="004A0183"/>
    <w:rsid w:val="004A01EC"/>
    <w:rsid w:val="004A069A"/>
    <w:rsid w:val="004A06D0"/>
    <w:rsid w:val="004A0BDF"/>
    <w:rsid w:val="004A0F75"/>
    <w:rsid w:val="004A1140"/>
    <w:rsid w:val="004A11A9"/>
    <w:rsid w:val="004A1299"/>
    <w:rsid w:val="004A131B"/>
    <w:rsid w:val="004A1A8E"/>
    <w:rsid w:val="004A1ACE"/>
    <w:rsid w:val="004A233B"/>
    <w:rsid w:val="004A2667"/>
    <w:rsid w:val="004A2AFE"/>
    <w:rsid w:val="004A319A"/>
    <w:rsid w:val="004A31EF"/>
    <w:rsid w:val="004A3307"/>
    <w:rsid w:val="004A34AA"/>
    <w:rsid w:val="004A365E"/>
    <w:rsid w:val="004A391D"/>
    <w:rsid w:val="004A3BEC"/>
    <w:rsid w:val="004A3DB9"/>
    <w:rsid w:val="004A3EC0"/>
    <w:rsid w:val="004A3FA6"/>
    <w:rsid w:val="004A40DC"/>
    <w:rsid w:val="004A42A8"/>
    <w:rsid w:val="004A4333"/>
    <w:rsid w:val="004A4999"/>
    <w:rsid w:val="004A4EAE"/>
    <w:rsid w:val="004A507F"/>
    <w:rsid w:val="004A5157"/>
    <w:rsid w:val="004A51DC"/>
    <w:rsid w:val="004A5360"/>
    <w:rsid w:val="004A5521"/>
    <w:rsid w:val="004A5534"/>
    <w:rsid w:val="004A562A"/>
    <w:rsid w:val="004A5886"/>
    <w:rsid w:val="004A5BA7"/>
    <w:rsid w:val="004A5D4B"/>
    <w:rsid w:val="004A5F04"/>
    <w:rsid w:val="004A60F2"/>
    <w:rsid w:val="004A654A"/>
    <w:rsid w:val="004A672A"/>
    <w:rsid w:val="004A7132"/>
    <w:rsid w:val="004A73B0"/>
    <w:rsid w:val="004A75B1"/>
    <w:rsid w:val="004A77D1"/>
    <w:rsid w:val="004A795E"/>
    <w:rsid w:val="004A79F6"/>
    <w:rsid w:val="004A7BC0"/>
    <w:rsid w:val="004A7D06"/>
    <w:rsid w:val="004A7D5D"/>
    <w:rsid w:val="004A7ED2"/>
    <w:rsid w:val="004B01FB"/>
    <w:rsid w:val="004B0483"/>
    <w:rsid w:val="004B05BD"/>
    <w:rsid w:val="004B1226"/>
    <w:rsid w:val="004B135B"/>
    <w:rsid w:val="004B1480"/>
    <w:rsid w:val="004B1583"/>
    <w:rsid w:val="004B167A"/>
    <w:rsid w:val="004B1933"/>
    <w:rsid w:val="004B1B53"/>
    <w:rsid w:val="004B2039"/>
    <w:rsid w:val="004B208D"/>
    <w:rsid w:val="004B227F"/>
    <w:rsid w:val="004B22E4"/>
    <w:rsid w:val="004B25A9"/>
    <w:rsid w:val="004B262B"/>
    <w:rsid w:val="004B264B"/>
    <w:rsid w:val="004B266A"/>
    <w:rsid w:val="004B27F3"/>
    <w:rsid w:val="004B27F4"/>
    <w:rsid w:val="004B2C47"/>
    <w:rsid w:val="004B2CD1"/>
    <w:rsid w:val="004B2EF4"/>
    <w:rsid w:val="004B2F73"/>
    <w:rsid w:val="004B2FB4"/>
    <w:rsid w:val="004B35FD"/>
    <w:rsid w:val="004B36FA"/>
    <w:rsid w:val="004B3990"/>
    <w:rsid w:val="004B3B06"/>
    <w:rsid w:val="004B3CFB"/>
    <w:rsid w:val="004B3D68"/>
    <w:rsid w:val="004B4022"/>
    <w:rsid w:val="004B4137"/>
    <w:rsid w:val="004B4165"/>
    <w:rsid w:val="004B423A"/>
    <w:rsid w:val="004B4392"/>
    <w:rsid w:val="004B5164"/>
    <w:rsid w:val="004B5504"/>
    <w:rsid w:val="004B5A13"/>
    <w:rsid w:val="004B5B10"/>
    <w:rsid w:val="004B5C84"/>
    <w:rsid w:val="004B5E56"/>
    <w:rsid w:val="004B6087"/>
    <w:rsid w:val="004B6127"/>
    <w:rsid w:val="004B6327"/>
    <w:rsid w:val="004B64CD"/>
    <w:rsid w:val="004B64E6"/>
    <w:rsid w:val="004B64E9"/>
    <w:rsid w:val="004B681B"/>
    <w:rsid w:val="004B6AC8"/>
    <w:rsid w:val="004B6B51"/>
    <w:rsid w:val="004B6C58"/>
    <w:rsid w:val="004B6DE0"/>
    <w:rsid w:val="004B6E2E"/>
    <w:rsid w:val="004B6F3F"/>
    <w:rsid w:val="004B7609"/>
    <w:rsid w:val="004B773C"/>
    <w:rsid w:val="004B7829"/>
    <w:rsid w:val="004B7A76"/>
    <w:rsid w:val="004B7AD8"/>
    <w:rsid w:val="004B7B11"/>
    <w:rsid w:val="004B7BB8"/>
    <w:rsid w:val="004B7E6D"/>
    <w:rsid w:val="004C0045"/>
    <w:rsid w:val="004C051A"/>
    <w:rsid w:val="004C068B"/>
    <w:rsid w:val="004C071B"/>
    <w:rsid w:val="004C0750"/>
    <w:rsid w:val="004C0775"/>
    <w:rsid w:val="004C0A35"/>
    <w:rsid w:val="004C0AB4"/>
    <w:rsid w:val="004C0B38"/>
    <w:rsid w:val="004C0B80"/>
    <w:rsid w:val="004C0C1C"/>
    <w:rsid w:val="004C0D4B"/>
    <w:rsid w:val="004C0ED7"/>
    <w:rsid w:val="004C11EC"/>
    <w:rsid w:val="004C134C"/>
    <w:rsid w:val="004C14F7"/>
    <w:rsid w:val="004C162C"/>
    <w:rsid w:val="004C1704"/>
    <w:rsid w:val="004C179A"/>
    <w:rsid w:val="004C1A2A"/>
    <w:rsid w:val="004C1C05"/>
    <w:rsid w:val="004C1CCF"/>
    <w:rsid w:val="004C1CFB"/>
    <w:rsid w:val="004C20AA"/>
    <w:rsid w:val="004C2303"/>
    <w:rsid w:val="004C2391"/>
    <w:rsid w:val="004C26A7"/>
    <w:rsid w:val="004C27D4"/>
    <w:rsid w:val="004C2896"/>
    <w:rsid w:val="004C2991"/>
    <w:rsid w:val="004C29D2"/>
    <w:rsid w:val="004C2A0D"/>
    <w:rsid w:val="004C2B3F"/>
    <w:rsid w:val="004C2E73"/>
    <w:rsid w:val="004C3007"/>
    <w:rsid w:val="004C3073"/>
    <w:rsid w:val="004C310C"/>
    <w:rsid w:val="004C31FD"/>
    <w:rsid w:val="004C34F3"/>
    <w:rsid w:val="004C39BF"/>
    <w:rsid w:val="004C3D0C"/>
    <w:rsid w:val="004C3D22"/>
    <w:rsid w:val="004C407A"/>
    <w:rsid w:val="004C40EB"/>
    <w:rsid w:val="004C43EF"/>
    <w:rsid w:val="004C487F"/>
    <w:rsid w:val="004C4B9C"/>
    <w:rsid w:val="004C529F"/>
    <w:rsid w:val="004C5380"/>
    <w:rsid w:val="004C58BE"/>
    <w:rsid w:val="004C58C9"/>
    <w:rsid w:val="004C5C92"/>
    <w:rsid w:val="004C5D4A"/>
    <w:rsid w:val="004C5DD0"/>
    <w:rsid w:val="004C5E34"/>
    <w:rsid w:val="004C5E4C"/>
    <w:rsid w:val="004C5E8F"/>
    <w:rsid w:val="004C6231"/>
    <w:rsid w:val="004C6493"/>
    <w:rsid w:val="004C64D5"/>
    <w:rsid w:val="004C6E7D"/>
    <w:rsid w:val="004C7423"/>
    <w:rsid w:val="004C7426"/>
    <w:rsid w:val="004C7773"/>
    <w:rsid w:val="004C7972"/>
    <w:rsid w:val="004C79A6"/>
    <w:rsid w:val="004C7E62"/>
    <w:rsid w:val="004C7FB9"/>
    <w:rsid w:val="004D00BE"/>
    <w:rsid w:val="004D00C9"/>
    <w:rsid w:val="004D01FF"/>
    <w:rsid w:val="004D0273"/>
    <w:rsid w:val="004D02AD"/>
    <w:rsid w:val="004D0520"/>
    <w:rsid w:val="004D0616"/>
    <w:rsid w:val="004D0777"/>
    <w:rsid w:val="004D084C"/>
    <w:rsid w:val="004D0D0D"/>
    <w:rsid w:val="004D10DA"/>
    <w:rsid w:val="004D12E3"/>
    <w:rsid w:val="004D163E"/>
    <w:rsid w:val="004D1965"/>
    <w:rsid w:val="004D1BF2"/>
    <w:rsid w:val="004D1C2D"/>
    <w:rsid w:val="004D1C66"/>
    <w:rsid w:val="004D1E21"/>
    <w:rsid w:val="004D1E8C"/>
    <w:rsid w:val="004D209B"/>
    <w:rsid w:val="004D2180"/>
    <w:rsid w:val="004D2451"/>
    <w:rsid w:val="004D2584"/>
    <w:rsid w:val="004D297A"/>
    <w:rsid w:val="004D2A2C"/>
    <w:rsid w:val="004D2B40"/>
    <w:rsid w:val="004D2D22"/>
    <w:rsid w:val="004D2EF4"/>
    <w:rsid w:val="004D2F93"/>
    <w:rsid w:val="004D30B3"/>
    <w:rsid w:val="004D32CF"/>
    <w:rsid w:val="004D3306"/>
    <w:rsid w:val="004D331C"/>
    <w:rsid w:val="004D3429"/>
    <w:rsid w:val="004D3461"/>
    <w:rsid w:val="004D3532"/>
    <w:rsid w:val="004D35D2"/>
    <w:rsid w:val="004D35D9"/>
    <w:rsid w:val="004D3A87"/>
    <w:rsid w:val="004D3C01"/>
    <w:rsid w:val="004D3C86"/>
    <w:rsid w:val="004D3C96"/>
    <w:rsid w:val="004D3C9F"/>
    <w:rsid w:val="004D3DF9"/>
    <w:rsid w:val="004D42F3"/>
    <w:rsid w:val="004D4355"/>
    <w:rsid w:val="004D4466"/>
    <w:rsid w:val="004D44F2"/>
    <w:rsid w:val="004D4692"/>
    <w:rsid w:val="004D4A51"/>
    <w:rsid w:val="004D4BE3"/>
    <w:rsid w:val="004D4DA4"/>
    <w:rsid w:val="004D4DCD"/>
    <w:rsid w:val="004D50E5"/>
    <w:rsid w:val="004D5159"/>
    <w:rsid w:val="004D515C"/>
    <w:rsid w:val="004D544C"/>
    <w:rsid w:val="004D5DE3"/>
    <w:rsid w:val="004D5E1F"/>
    <w:rsid w:val="004D5F92"/>
    <w:rsid w:val="004D60F1"/>
    <w:rsid w:val="004D6272"/>
    <w:rsid w:val="004D66CE"/>
    <w:rsid w:val="004D67F9"/>
    <w:rsid w:val="004D6854"/>
    <w:rsid w:val="004D6AFE"/>
    <w:rsid w:val="004D6E66"/>
    <w:rsid w:val="004D6E97"/>
    <w:rsid w:val="004D6FF3"/>
    <w:rsid w:val="004D7016"/>
    <w:rsid w:val="004D716E"/>
    <w:rsid w:val="004D7701"/>
    <w:rsid w:val="004D7A9A"/>
    <w:rsid w:val="004D7C11"/>
    <w:rsid w:val="004D7F02"/>
    <w:rsid w:val="004E02F3"/>
    <w:rsid w:val="004E05B6"/>
    <w:rsid w:val="004E05BF"/>
    <w:rsid w:val="004E05CE"/>
    <w:rsid w:val="004E0772"/>
    <w:rsid w:val="004E07C4"/>
    <w:rsid w:val="004E0B30"/>
    <w:rsid w:val="004E0D6A"/>
    <w:rsid w:val="004E10D9"/>
    <w:rsid w:val="004E142B"/>
    <w:rsid w:val="004E1583"/>
    <w:rsid w:val="004E1732"/>
    <w:rsid w:val="004E176C"/>
    <w:rsid w:val="004E1847"/>
    <w:rsid w:val="004E1DAA"/>
    <w:rsid w:val="004E1F3A"/>
    <w:rsid w:val="004E1FF2"/>
    <w:rsid w:val="004E22A4"/>
    <w:rsid w:val="004E2420"/>
    <w:rsid w:val="004E24EE"/>
    <w:rsid w:val="004E25F0"/>
    <w:rsid w:val="004E270E"/>
    <w:rsid w:val="004E27C6"/>
    <w:rsid w:val="004E2B47"/>
    <w:rsid w:val="004E2B6F"/>
    <w:rsid w:val="004E2D07"/>
    <w:rsid w:val="004E2F53"/>
    <w:rsid w:val="004E30B8"/>
    <w:rsid w:val="004E3265"/>
    <w:rsid w:val="004E33BB"/>
    <w:rsid w:val="004E35A5"/>
    <w:rsid w:val="004E366D"/>
    <w:rsid w:val="004E3681"/>
    <w:rsid w:val="004E375E"/>
    <w:rsid w:val="004E3846"/>
    <w:rsid w:val="004E3B3D"/>
    <w:rsid w:val="004E3B64"/>
    <w:rsid w:val="004E3B7B"/>
    <w:rsid w:val="004E40A0"/>
    <w:rsid w:val="004E40B8"/>
    <w:rsid w:val="004E40EF"/>
    <w:rsid w:val="004E4125"/>
    <w:rsid w:val="004E420F"/>
    <w:rsid w:val="004E44A7"/>
    <w:rsid w:val="004E45A5"/>
    <w:rsid w:val="004E4762"/>
    <w:rsid w:val="004E47DA"/>
    <w:rsid w:val="004E4A62"/>
    <w:rsid w:val="004E4CF9"/>
    <w:rsid w:val="004E4CFF"/>
    <w:rsid w:val="004E4F41"/>
    <w:rsid w:val="004E4F7C"/>
    <w:rsid w:val="004E5342"/>
    <w:rsid w:val="004E55BB"/>
    <w:rsid w:val="004E57A5"/>
    <w:rsid w:val="004E5822"/>
    <w:rsid w:val="004E5915"/>
    <w:rsid w:val="004E594D"/>
    <w:rsid w:val="004E59CA"/>
    <w:rsid w:val="004E59ED"/>
    <w:rsid w:val="004E5B9E"/>
    <w:rsid w:val="004E5BB0"/>
    <w:rsid w:val="004E6205"/>
    <w:rsid w:val="004E63F2"/>
    <w:rsid w:val="004E660D"/>
    <w:rsid w:val="004E6657"/>
    <w:rsid w:val="004E6C49"/>
    <w:rsid w:val="004E6C4A"/>
    <w:rsid w:val="004E6D30"/>
    <w:rsid w:val="004E6F97"/>
    <w:rsid w:val="004E76A9"/>
    <w:rsid w:val="004E7968"/>
    <w:rsid w:val="004E79B1"/>
    <w:rsid w:val="004E7AAA"/>
    <w:rsid w:val="004E7E42"/>
    <w:rsid w:val="004F0016"/>
    <w:rsid w:val="004F011C"/>
    <w:rsid w:val="004F0481"/>
    <w:rsid w:val="004F04D1"/>
    <w:rsid w:val="004F098B"/>
    <w:rsid w:val="004F0B5F"/>
    <w:rsid w:val="004F0E4F"/>
    <w:rsid w:val="004F0F3C"/>
    <w:rsid w:val="004F0F49"/>
    <w:rsid w:val="004F0F4F"/>
    <w:rsid w:val="004F1466"/>
    <w:rsid w:val="004F1473"/>
    <w:rsid w:val="004F17F9"/>
    <w:rsid w:val="004F1979"/>
    <w:rsid w:val="004F19E7"/>
    <w:rsid w:val="004F1B0B"/>
    <w:rsid w:val="004F1B9F"/>
    <w:rsid w:val="004F1C2B"/>
    <w:rsid w:val="004F1FD5"/>
    <w:rsid w:val="004F2000"/>
    <w:rsid w:val="004F2113"/>
    <w:rsid w:val="004F21D9"/>
    <w:rsid w:val="004F2387"/>
    <w:rsid w:val="004F25F9"/>
    <w:rsid w:val="004F2607"/>
    <w:rsid w:val="004F2722"/>
    <w:rsid w:val="004F2807"/>
    <w:rsid w:val="004F2A86"/>
    <w:rsid w:val="004F2C97"/>
    <w:rsid w:val="004F2EBD"/>
    <w:rsid w:val="004F2FD2"/>
    <w:rsid w:val="004F3013"/>
    <w:rsid w:val="004F305B"/>
    <w:rsid w:val="004F31AD"/>
    <w:rsid w:val="004F32FA"/>
    <w:rsid w:val="004F3674"/>
    <w:rsid w:val="004F38D1"/>
    <w:rsid w:val="004F3BA7"/>
    <w:rsid w:val="004F3C43"/>
    <w:rsid w:val="004F3FB0"/>
    <w:rsid w:val="004F43FD"/>
    <w:rsid w:val="004F4456"/>
    <w:rsid w:val="004F4482"/>
    <w:rsid w:val="004F44FA"/>
    <w:rsid w:val="004F45A3"/>
    <w:rsid w:val="004F4871"/>
    <w:rsid w:val="004F4B2C"/>
    <w:rsid w:val="004F4DA3"/>
    <w:rsid w:val="004F5068"/>
    <w:rsid w:val="004F50C9"/>
    <w:rsid w:val="004F5262"/>
    <w:rsid w:val="004F55C0"/>
    <w:rsid w:val="004F5600"/>
    <w:rsid w:val="004F561F"/>
    <w:rsid w:val="004F562D"/>
    <w:rsid w:val="004F581F"/>
    <w:rsid w:val="004F6328"/>
    <w:rsid w:val="004F6417"/>
    <w:rsid w:val="004F6491"/>
    <w:rsid w:val="004F659F"/>
    <w:rsid w:val="004F6612"/>
    <w:rsid w:val="004F6793"/>
    <w:rsid w:val="004F67C1"/>
    <w:rsid w:val="004F69BF"/>
    <w:rsid w:val="004F69C0"/>
    <w:rsid w:val="004F6BA3"/>
    <w:rsid w:val="004F6CB7"/>
    <w:rsid w:val="004F736E"/>
    <w:rsid w:val="004F7585"/>
    <w:rsid w:val="004F7752"/>
    <w:rsid w:val="004F7863"/>
    <w:rsid w:val="004F7AFD"/>
    <w:rsid w:val="0050029D"/>
    <w:rsid w:val="00500372"/>
    <w:rsid w:val="005003FD"/>
    <w:rsid w:val="00500738"/>
    <w:rsid w:val="0050081D"/>
    <w:rsid w:val="00500863"/>
    <w:rsid w:val="00500B4A"/>
    <w:rsid w:val="00500B75"/>
    <w:rsid w:val="00500D45"/>
    <w:rsid w:val="0050111B"/>
    <w:rsid w:val="005016C5"/>
    <w:rsid w:val="005016F7"/>
    <w:rsid w:val="0050186D"/>
    <w:rsid w:val="00501900"/>
    <w:rsid w:val="00501C0A"/>
    <w:rsid w:val="005029C0"/>
    <w:rsid w:val="00502AF2"/>
    <w:rsid w:val="00502CC6"/>
    <w:rsid w:val="00502D58"/>
    <w:rsid w:val="00502DCB"/>
    <w:rsid w:val="005032EF"/>
    <w:rsid w:val="00503465"/>
    <w:rsid w:val="00503857"/>
    <w:rsid w:val="00503A72"/>
    <w:rsid w:val="00503E7B"/>
    <w:rsid w:val="0050403F"/>
    <w:rsid w:val="00504071"/>
    <w:rsid w:val="00504099"/>
    <w:rsid w:val="0050429B"/>
    <w:rsid w:val="005042ED"/>
    <w:rsid w:val="0050436C"/>
    <w:rsid w:val="005043FE"/>
    <w:rsid w:val="00504411"/>
    <w:rsid w:val="00504577"/>
    <w:rsid w:val="00504620"/>
    <w:rsid w:val="00504634"/>
    <w:rsid w:val="0050463A"/>
    <w:rsid w:val="00504775"/>
    <w:rsid w:val="00504B24"/>
    <w:rsid w:val="00504CC1"/>
    <w:rsid w:val="00504F5E"/>
    <w:rsid w:val="00504FFD"/>
    <w:rsid w:val="00505035"/>
    <w:rsid w:val="005050D9"/>
    <w:rsid w:val="00505137"/>
    <w:rsid w:val="005052EF"/>
    <w:rsid w:val="0050530C"/>
    <w:rsid w:val="005058D6"/>
    <w:rsid w:val="00505CD4"/>
    <w:rsid w:val="00505CD6"/>
    <w:rsid w:val="00505CFF"/>
    <w:rsid w:val="00505D45"/>
    <w:rsid w:val="00505E3D"/>
    <w:rsid w:val="00505E6B"/>
    <w:rsid w:val="0050608B"/>
    <w:rsid w:val="00506251"/>
    <w:rsid w:val="00506477"/>
    <w:rsid w:val="00506535"/>
    <w:rsid w:val="00506704"/>
    <w:rsid w:val="00506811"/>
    <w:rsid w:val="00506E5D"/>
    <w:rsid w:val="00507105"/>
    <w:rsid w:val="00507191"/>
    <w:rsid w:val="005074C3"/>
    <w:rsid w:val="005076E4"/>
    <w:rsid w:val="00507745"/>
    <w:rsid w:val="00507B35"/>
    <w:rsid w:val="00507DD6"/>
    <w:rsid w:val="00510360"/>
    <w:rsid w:val="00510C3B"/>
    <w:rsid w:val="00510E68"/>
    <w:rsid w:val="00510F16"/>
    <w:rsid w:val="00510FD6"/>
    <w:rsid w:val="00510FED"/>
    <w:rsid w:val="0051113D"/>
    <w:rsid w:val="0051132F"/>
    <w:rsid w:val="00511343"/>
    <w:rsid w:val="0051169F"/>
    <w:rsid w:val="00511710"/>
    <w:rsid w:val="005117BB"/>
    <w:rsid w:val="005117D6"/>
    <w:rsid w:val="005118F1"/>
    <w:rsid w:val="005119A8"/>
    <w:rsid w:val="00511B3C"/>
    <w:rsid w:val="00511BDC"/>
    <w:rsid w:val="00512024"/>
    <w:rsid w:val="00512184"/>
    <w:rsid w:val="00512799"/>
    <w:rsid w:val="005128B9"/>
    <w:rsid w:val="005129BC"/>
    <w:rsid w:val="00512A84"/>
    <w:rsid w:val="00512CE1"/>
    <w:rsid w:val="005131F7"/>
    <w:rsid w:val="00513377"/>
    <w:rsid w:val="00513558"/>
    <w:rsid w:val="00513771"/>
    <w:rsid w:val="00513804"/>
    <w:rsid w:val="00513815"/>
    <w:rsid w:val="005139F7"/>
    <w:rsid w:val="00513ADD"/>
    <w:rsid w:val="00513EE5"/>
    <w:rsid w:val="00513EE6"/>
    <w:rsid w:val="005145C3"/>
    <w:rsid w:val="00514609"/>
    <w:rsid w:val="00514CC1"/>
    <w:rsid w:val="00514D53"/>
    <w:rsid w:val="00514FF0"/>
    <w:rsid w:val="0051516D"/>
    <w:rsid w:val="00515497"/>
    <w:rsid w:val="005155E3"/>
    <w:rsid w:val="00515B57"/>
    <w:rsid w:val="00515D93"/>
    <w:rsid w:val="00515EB3"/>
    <w:rsid w:val="00515ECE"/>
    <w:rsid w:val="0051602F"/>
    <w:rsid w:val="0051611C"/>
    <w:rsid w:val="00516240"/>
    <w:rsid w:val="00516309"/>
    <w:rsid w:val="00516785"/>
    <w:rsid w:val="00516ADC"/>
    <w:rsid w:val="00516DC8"/>
    <w:rsid w:val="005170E7"/>
    <w:rsid w:val="005171F4"/>
    <w:rsid w:val="0051764A"/>
    <w:rsid w:val="00517E0A"/>
    <w:rsid w:val="00517E31"/>
    <w:rsid w:val="00517FC2"/>
    <w:rsid w:val="00520122"/>
    <w:rsid w:val="00520245"/>
    <w:rsid w:val="005206A0"/>
    <w:rsid w:val="00520A0E"/>
    <w:rsid w:val="00520AB6"/>
    <w:rsid w:val="00520B5C"/>
    <w:rsid w:val="00520F3E"/>
    <w:rsid w:val="005211C8"/>
    <w:rsid w:val="00521292"/>
    <w:rsid w:val="0052172B"/>
    <w:rsid w:val="00521760"/>
    <w:rsid w:val="00521A00"/>
    <w:rsid w:val="00521CA2"/>
    <w:rsid w:val="00522246"/>
    <w:rsid w:val="00522723"/>
    <w:rsid w:val="00522C6A"/>
    <w:rsid w:val="005230B2"/>
    <w:rsid w:val="0052316C"/>
    <w:rsid w:val="005233CA"/>
    <w:rsid w:val="0052364B"/>
    <w:rsid w:val="005236CB"/>
    <w:rsid w:val="00523AB6"/>
    <w:rsid w:val="00523AF0"/>
    <w:rsid w:val="00523B38"/>
    <w:rsid w:val="00523BBE"/>
    <w:rsid w:val="00523CFB"/>
    <w:rsid w:val="0052429B"/>
    <w:rsid w:val="0052461F"/>
    <w:rsid w:val="00524779"/>
    <w:rsid w:val="005247D0"/>
    <w:rsid w:val="005247DF"/>
    <w:rsid w:val="00524C29"/>
    <w:rsid w:val="00524C8F"/>
    <w:rsid w:val="00524ED3"/>
    <w:rsid w:val="0052530D"/>
    <w:rsid w:val="00525457"/>
    <w:rsid w:val="00525534"/>
    <w:rsid w:val="00525657"/>
    <w:rsid w:val="00525745"/>
    <w:rsid w:val="00525815"/>
    <w:rsid w:val="005258A1"/>
    <w:rsid w:val="00525991"/>
    <w:rsid w:val="00525A05"/>
    <w:rsid w:val="00525BF6"/>
    <w:rsid w:val="00525C33"/>
    <w:rsid w:val="005265BC"/>
    <w:rsid w:val="00526781"/>
    <w:rsid w:val="00526C26"/>
    <w:rsid w:val="00526C44"/>
    <w:rsid w:val="00526F22"/>
    <w:rsid w:val="00527609"/>
    <w:rsid w:val="005277B9"/>
    <w:rsid w:val="0052783F"/>
    <w:rsid w:val="005279AD"/>
    <w:rsid w:val="005279CF"/>
    <w:rsid w:val="00527A05"/>
    <w:rsid w:val="00527CB0"/>
    <w:rsid w:val="00527DE9"/>
    <w:rsid w:val="00530257"/>
    <w:rsid w:val="00530731"/>
    <w:rsid w:val="00530935"/>
    <w:rsid w:val="00530AC0"/>
    <w:rsid w:val="00530BCB"/>
    <w:rsid w:val="00530C44"/>
    <w:rsid w:val="00530CE6"/>
    <w:rsid w:val="00530DA9"/>
    <w:rsid w:val="00530DD2"/>
    <w:rsid w:val="00530F49"/>
    <w:rsid w:val="00530F7F"/>
    <w:rsid w:val="00530FA6"/>
    <w:rsid w:val="00531342"/>
    <w:rsid w:val="005319CB"/>
    <w:rsid w:val="00531C27"/>
    <w:rsid w:val="00531CF2"/>
    <w:rsid w:val="00531DE7"/>
    <w:rsid w:val="005324BF"/>
    <w:rsid w:val="00532570"/>
    <w:rsid w:val="005329CB"/>
    <w:rsid w:val="00532B9E"/>
    <w:rsid w:val="00532EF6"/>
    <w:rsid w:val="00532FED"/>
    <w:rsid w:val="005333F2"/>
    <w:rsid w:val="0053343F"/>
    <w:rsid w:val="00533669"/>
    <w:rsid w:val="005337E4"/>
    <w:rsid w:val="00533873"/>
    <w:rsid w:val="00533AB4"/>
    <w:rsid w:val="00533CCA"/>
    <w:rsid w:val="00533EF0"/>
    <w:rsid w:val="0053427E"/>
    <w:rsid w:val="0053472D"/>
    <w:rsid w:val="00534973"/>
    <w:rsid w:val="00534AD7"/>
    <w:rsid w:val="00534B48"/>
    <w:rsid w:val="00534B9C"/>
    <w:rsid w:val="00534C57"/>
    <w:rsid w:val="00534FF8"/>
    <w:rsid w:val="00535211"/>
    <w:rsid w:val="005352CC"/>
    <w:rsid w:val="005352CF"/>
    <w:rsid w:val="0053569B"/>
    <w:rsid w:val="00535754"/>
    <w:rsid w:val="00535A66"/>
    <w:rsid w:val="00535CF2"/>
    <w:rsid w:val="00535D1A"/>
    <w:rsid w:val="00535F17"/>
    <w:rsid w:val="00536012"/>
    <w:rsid w:val="005363CA"/>
    <w:rsid w:val="005364E4"/>
    <w:rsid w:val="005368BA"/>
    <w:rsid w:val="00536ACB"/>
    <w:rsid w:val="00536AE5"/>
    <w:rsid w:val="00536BFD"/>
    <w:rsid w:val="00536C16"/>
    <w:rsid w:val="00536D11"/>
    <w:rsid w:val="00536DA4"/>
    <w:rsid w:val="00536FE6"/>
    <w:rsid w:val="00537187"/>
    <w:rsid w:val="005372F8"/>
    <w:rsid w:val="005378C9"/>
    <w:rsid w:val="00537C35"/>
    <w:rsid w:val="00537D0E"/>
    <w:rsid w:val="00540151"/>
    <w:rsid w:val="00540158"/>
    <w:rsid w:val="0054016E"/>
    <w:rsid w:val="00540662"/>
    <w:rsid w:val="005406C3"/>
    <w:rsid w:val="005407DA"/>
    <w:rsid w:val="00540896"/>
    <w:rsid w:val="005408AC"/>
    <w:rsid w:val="00540CC9"/>
    <w:rsid w:val="00540CF2"/>
    <w:rsid w:val="005410F5"/>
    <w:rsid w:val="0054163A"/>
    <w:rsid w:val="005416E9"/>
    <w:rsid w:val="00541CC2"/>
    <w:rsid w:val="00541E1C"/>
    <w:rsid w:val="0054253A"/>
    <w:rsid w:val="005426BC"/>
    <w:rsid w:val="0054282E"/>
    <w:rsid w:val="0054284D"/>
    <w:rsid w:val="00542A98"/>
    <w:rsid w:val="00542CB8"/>
    <w:rsid w:val="00542CF7"/>
    <w:rsid w:val="00542FD8"/>
    <w:rsid w:val="00543105"/>
    <w:rsid w:val="00543496"/>
    <w:rsid w:val="0054370C"/>
    <w:rsid w:val="00543826"/>
    <w:rsid w:val="00543D29"/>
    <w:rsid w:val="00543E48"/>
    <w:rsid w:val="00544236"/>
    <w:rsid w:val="00544399"/>
    <w:rsid w:val="005446E3"/>
    <w:rsid w:val="00544907"/>
    <w:rsid w:val="00544BD4"/>
    <w:rsid w:val="00544C18"/>
    <w:rsid w:val="00544D50"/>
    <w:rsid w:val="00545086"/>
    <w:rsid w:val="00545233"/>
    <w:rsid w:val="00545254"/>
    <w:rsid w:val="0054577E"/>
    <w:rsid w:val="00545895"/>
    <w:rsid w:val="00545E38"/>
    <w:rsid w:val="00546544"/>
    <w:rsid w:val="00546600"/>
    <w:rsid w:val="0054675F"/>
    <w:rsid w:val="00546820"/>
    <w:rsid w:val="00546845"/>
    <w:rsid w:val="00546C1B"/>
    <w:rsid w:val="00546D47"/>
    <w:rsid w:val="005471C1"/>
    <w:rsid w:val="0054731F"/>
    <w:rsid w:val="00547454"/>
    <w:rsid w:val="0054749E"/>
    <w:rsid w:val="00547506"/>
    <w:rsid w:val="00547589"/>
    <w:rsid w:val="00547662"/>
    <w:rsid w:val="005476AC"/>
    <w:rsid w:val="005476EC"/>
    <w:rsid w:val="00547C54"/>
    <w:rsid w:val="00547D33"/>
    <w:rsid w:val="00547D38"/>
    <w:rsid w:val="00547FCA"/>
    <w:rsid w:val="005500C4"/>
    <w:rsid w:val="005501C4"/>
    <w:rsid w:val="00550202"/>
    <w:rsid w:val="00550515"/>
    <w:rsid w:val="0055053F"/>
    <w:rsid w:val="005505DB"/>
    <w:rsid w:val="0055085B"/>
    <w:rsid w:val="00550A09"/>
    <w:rsid w:val="00550A1C"/>
    <w:rsid w:val="00550B83"/>
    <w:rsid w:val="00551214"/>
    <w:rsid w:val="00551286"/>
    <w:rsid w:val="005514ED"/>
    <w:rsid w:val="00551638"/>
    <w:rsid w:val="005516B6"/>
    <w:rsid w:val="005518D2"/>
    <w:rsid w:val="00551A23"/>
    <w:rsid w:val="00551D88"/>
    <w:rsid w:val="005527F5"/>
    <w:rsid w:val="005528E8"/>
    <w:rsid w:val="00552D50"/>
    <w:rsid w:val="00552DBA"/>
    <w:rsid w:val="00552E61"/>
    <w:rsid w:val="00552FAF"/>
    <w:rsid w:val="0055330B"/>
    <w:rsid w:val="005535C5"/>
    <w:rsid w:val="00553975"/>
    <w:rsid w:val="00553AC2"/>
    <w:rsid w:val="00553B19"/>
    <w:rsid w:val="00553BAF"/>
    <w:rsid w:val="00553E08"/>
    <w:rsid w:val="00553E31"/>
    <w:rsid w:val="00554010"/>
    <w:rsid w:val="00554018"/>
    <w:rsid w:val="005541A8"/>
    <w:rsid w:val="005543D4"/>
    <w:rsid w:val="00554403"/>
    <w:rsid w:val="00554565"/>
    <w:rsid w:val="005546F7"/>
    <w:rsid w:val="00554A4F"/>
    <w:rsid w:val="00554A9D"/>
    <w:rsid w:val="00555083"/>
    <w:rsid w:val="005554C8"/>
    <w:rsid w:val="00555566"/>
    <w:rsid w:val="005555A1"/>
    <w:rsid w:val="005558BF"/>
    <w:rsid w:val="00555C57"/>
    <w:rsid w:val="00555E70"/>
    <w:rsid w:val="00555F77"/>
    <w:rsid w:val="0055622D"/>
    <w:rsid w:val="0055699E"/>
    <w:rsid w:val="00556BFC"/>
    <w:rsid w:val="00556FBF"/>
    <w:rsid w:val="00557456"/>
    <w:rsid w:val="00557726"/>
    <w:rsid w:val="0055798E"/>
    <w:rsid w:val="005579CB"/>
    <w:rsid w:val="00557B1A"/>
    <w:rsid w:val="00557D4E"/>
    <w:rsid w:val="00557D62"/>
    <w:rsid w:val="0056017C"/>
    <w:rsid w:val="00560223"/>
    <w:rsid w:val="005602F3"/>
    <w:rsid w:val="0056033B"/>
    <w:rsid w:val="00560388"/>
    <w:rsid w:val="005604E1"/>
    <w:rsid w:val="005608F9"/>
    <w:rsid w:val="00560A1B"/>
    <w:rsid w:val="00560B37"/>
    <w:rsid w:val="00560D67"/>
    <w:rsid w:val="00560E22"/>
    <w:rsid w:val="00560E62"/>
    <w:rsid w:val="00560EEC"/>
    <w:rsid w:val="005611F1"/>
    <w:rsid w:val="00561507"/>
    <w:rsid w:val="00561528"/>
    <w:rsid w:val="005615B5"/>
    <w:rsid w:val="00561627"/>
    <w:rsid w:val="00561E78"/>
    <w:rsid w:val="00561EEB"/>
    <w:rsid w:val="0056206B"/>
    <w:rsid w:val="005621CF"/>
    <w:rsid w:val="005625CE"/>
    <w:rsid w:val="0056272D"/>
    <w:rsid w:val="005627E4"/>
    <w:rsid w:val="005628A6"/>
    <w:rsid w:val="00562A2E"/>
    <w:rsid w:val="00562A75"/>
    <w:rsid w:val="00562D90"/>
    <w:rsid w:val="005634E4"/>
    <w:rsid w:val="0056377D"/>
    <w:rsid w:val="00563842"/>
    <w:rsid w:val="00563F24"/>
    <w:rsid w:val="00563F65"/>
    <w:rsid w:val="0056418D"/>
    <w:rsid w:val="00564409"/>
    <w:rsid w:val="00564980"/>
    <w:rsid w:val="00564BF1"/>
    <w:rsid w:val="00564DF0"/>
    <w:rsid w:val="00564F52"/>
    <w:rsid w:val="005650F6"/>
    <w:rsid w:val="005651FC"/>
    <w:rsid w:val="0056520C"/>
    <w:rsid w:val="00565B77"/>
    <w:rsid w:val="00565E06"/>
    <w:rsid w:val="0056606C"/>
    <w:rsid w:val="005664B5"/>
    <w:rsid w:val="005665F2"/>
    <w:rsid w:val="0056660D"/>
    <w:rsid w:val="005668FB"/>
    <w:rsid w:val="00566A28"/>
    <w:rsid w:val="00566C0E"/>
    <w:rsid w:val="00566FE5"/>
    <w:rsid w:val="0056738F"/>
    <w:rsid w:val="005673CB"/>
    <w:rsid w:val="005677FF"/>
    <w:rsid w:val="0056782D"/>
    <w:rsid w:val="0056788C"/>
    <w:rsid w:val="00567F8C"/>
    <w:rsid w:val="0057000A"/>
    <w:rsid w:val="005702B5"/>
    <w:rsid w:val="0057055B"/>
    <w:rsid w:val="005705F1"/>
    <w:rsid w:val="00570970"/>
    <w:rsid w:val="005709B3"/>
    <w:rsid w:val="00570A34"/>
    <w:rsid w:val="00570D7E"/>
    <w:rsid w:val="00570EAE"/>
    <w:rsid w:val="00570EF2"/>
    <w:rsid w:val="0057136F"/>
    <w:rsid w:val="0057195C"/>
    <w:rsid w:val="00571B4D"/>
    <w:rsid w:val="00571E25"/>
    <w:rsid w:val="005722C2"/>
    <w:rsid w:val="00572405"/>
    <w:rsid w:val="00572425"/>
    <w:rsid w:val="00572488"/>
    <w:rsid w:val="00572577"/>
    <w:rsid w:val="005727C2"/>
    <w:rsid w:val="0057280E"/>
    <w:rsid w:val="005728EC"/>
    <w:rsid w:val="00573073"/>
    <w:rsid w:val="00573290"/>
    <w:rsid w:val="005735DB"/>
    <w:rsid w:val="00573608"/>
    <w:rsid w:val="005736F4"/>
    <w:rsid w:val="005738B0"/>
    <w:rsid w:val="005738C6"/>
    <w:rsid w:val="00573B03"/>
    <w:rsid w:val="00573DC6"/>
    <w:rsid w:val="00574029"/>
    <w:rsid w:val="00574079"/>
    <w:rsid w:val="00574205"/>
    <w:rsid w:val="005742A9"/>
    <w:rsid w:val="00574375"/>
    <w:rsid w:val="00574593"/>
    <w:rsid w:val="0057459F"/>
    <w:rsid w:val="005749ED"/>
    <w:rsid w:val="00574A74"/>
    <w:rsid w:val="00575191"/>
    <w:rsid w:val="0057551A"/>
    <w:rsid w:val="0057551C"/>
    <w:rsid w:val="00575E28"/>
    <w:rsid w:val="0057603E"/>
    <w:rsid w:val="005760FF"/>
    <w:rsid w:val="00576C2B"/>
    <w:rsid w:val="00576C30"/>
    <w:rsid w:val="00577057"/>
    <w:rsid w:val="00577356"/>
    <w:rsid w:val="005773F1"/>
    <w:rsid w:val="0057745D"/>
    <w:rsid w:val="00577493"/>
    <w:rsid w:val="0057751C"/>
    <w:rsid w:val="00577748"/>
    <w:rsid w:val="00577A09"/>
    <w:rsid w:val="005800BD"/>
    <w:rsid w:val="0058029E"/>
    <w:rsid w:val="005803EA"/>
    <w:rsid w:val="00580555"/>
    <w:rsid w:val="00580566"/>
    <w:rsid w:val="0058077A"/>
    <w:rsid w:val="005807F2"/>
    <w:rsid w:val="0058092F"/>
    <w:rsid w:val="00580A95"/>
    <w:rsid w:val="00580EB7"/>
    <w:rsid w:val="0058122A"/>
    <w:rsid w:val="0058154C"/>
    <w:rsid w:val="005816F0"/>
    <w:rsid w:val="00581971"/>
    <w:rsid w:val="00581B50"/>
    <w:rsid w:val="00581B5E"/>
    <w:rsid w:val="00581C5C"/>
    <w:rsid w:val="00582380"/>
    <w:rsid w:val="00582583"/>
    <w:rsid w:val="005827CD"/>
    <w:rsid w:val="005827F9"/>
    <w:rsid w:val="00582A3E"/>
    <w:rsid w:val="00582BFA"/>
    <w:rsid w:val="00582F7C"/>
    <w:rsid w:val="00582F91"/>
    <w:rsid w:val="00582FD0"/>
    <w:rsid w:val="00583245"/>
    <w:rsid w:val="00583425"/>
    <w:rsid w:val="0058343C"/>
    <w:rsid w:val="005837C7"/>
    <w:rsid w:val="00583817"/>
    <w:rsid w:val="0058394D"/>
    <w:rsid w:val="005839BA"/>
    <w:rsid w:val="00583E76"/>
    <w:rsid w:val="00583EF8"/>
    <w:rsid w:val="00583FCD"/>
    <w:rsid w:val="00584404"/>
    <w:rsid w:val="005846DE"/>
    <w:rsid w:val="00584D34"/>
    <w:rsid w:val="0058535E"/>
    <w:rsid w:val="005853B6"/>
    <w:rsid w:val="005855B9"/>
    <w:rsid w:val="00585E01"/>
    <w:rsid w:val="00586036"/>
    <w:rsid w:val="0058627B"/>
    <w:rsid w:val="0058640E"/>
    <w:rsid w:val="00586558"/>
    <w:rsid w:val="005865BC"/>
    <w:rsid w:val="005865DE"/>
    <w:rsid w:val="0058663F"/>
    <w:rsid w:val="00586900"/>
    <w:rsid w:val="00586AEC"/>
    <w:rsid w:val="00586FC2"/>
    <w:rsid w:val="00587300"/>
    <w:rsid w:val="00587325"/>
    <w:rsid w:val="00587334"/>
    <w:rsid w:val="00587C10"/>
    <w:rsid w:val="00587D79"/>
    <w:rsid w:val="00587DD1"/>
    <w:rsid w:val="00590069"/>
    <w:rsid w:val="005907E9"/>
    <w:rsid w:val="00590D85"/>
    <w:rsid w:val="00590D96"/>
    <w:rsid w:val="00590EA5"/>
    <w:rsid w:val="00590F75"/>
    <w:rsid w:val="00591DA1"/>
    <w:rsid w:val="00591E58"/>
    <w:rsid w:val="00591F29"/>
    <w:rsid w:val="00591F96"/>
    <w:rsid w:val="005920EB"/>
    <w:rsid w:val="00592237"/>
    <w:rsid w:val="00592439"/>
    <w:rsid w:val="0059263A"/>
    <w:rsid w:val="00592A0E"/>
    <w:rsid w:val="00592BF2"/>
    <w:rsid w:val="00592E6A"/>
    <w:rsid w:val="00592F0B"/>
    <w:rsid w:val="005931D1"/>
    <w:rsid w:val="00593785"/>
    <w:rsid w:val="0059379E"/>
    <w:rsid w:val="0059396E"/>
    <w:rsid w:val="00593E30"/>
    <w:rsid w:val="00593F6B"/>
    <w:rsid w:val="00593F78"/>
    <w:rsid w:val="00593FCA"/>
    <w:rsid w:val="00593FD2"/>
    <w:rsid w:val="00594022"/>
    <w:rsid w:val="005943AC"/>
    <w:rsid w:val="005945C6"/>
    <w:rsid w:val="0059469E"/>
    <w:rsid w:val="005946E3"/>
    <w:rsid w:val="0059488A"/>
    <w:rsid w:val="0059498D"/>
    <w:rsid w:val="00594AC1"/>
    <w:rsid w:val="00594F2D"/>
    <w:rsid w:val="00595186"/>
    <w:rsid w:val="0059562A"/>
    <w:rsid w:val="0059591E"/>
    <w:rsid w:val="00595934"/>
    <w:rsid w:val="005959EB"/>
    <w:rsid w:val="00595A9C"/>
    <w:rsid w:val="00595AD1"/>
    <w:rsid w:val="0059605A"/>
    <w:rsid w:val="00596066"/>
    <w:rsid w:val="00596147"/>
    <w:rsid w:val="005963EC"/>
    <w:rsid w:val="0059650B"/>
    <w:rsid w:val="00596711"/>
    <w:rsid w:val="00596BFC"/>
    <w:rsid w:val="00596CCB"/>
    <w:rsid w:val="00596E6E"/>
    <w:rsid w:val="00596F86"/>
    <w:rsid w:val="00596FE2"/>
    <w:rsid w:val="0059700E"/>
    <w:rsid w:val="005972F3"/>
    <w:rsid w:val="005977D2"/>
    <w:rsid w:val="005979B0"/>
    <w:rsid w:val="005979E5"/>
    <w:rsid w:val="00597AB2"/>
    <w:rsid w:val="00597EEF"/>
    <w:rsid w:val="00597F6B"/>
    <w:rsid w:val="005A0174"/>
    <w:rsid w:val="005A0214"/>
    <w:rsid w:val="005A03B2"/>
    <w:rsid w:val="005A049E"/>
    <w:rsid w:val="005A055A"/>
    <w:rsid w:val="005A05BD"/>
    <w:rsid w:val="005A077B"/>
    <w:rsid w:val="005A0B72"/>
    <w:rsid w:val="005A0C2B"/>
    <w:rsid w:val="005A0C42"/>
    <w:rsid w:val="005A0E53"/>
    <w:rsid w:val="005A0FCA"/>
    <w:rsid w:val="005A1475"/>
    <w:rsid w:val="005A15F9"/>
    <w:rsid w:val="005A1811"/>
    <w:rsid w:val="005A1C3E"/>
    <w:rsid w:val="005A1F9F"/>
    <w:rsid w:val="005A2026"/>
    <w:rsid w:val="005A20E4"/>
    <w:rsid w:val="005A257A"/>
    <w:rsid w:val="005A25DA"/>
    <w:rsid w:val="005A269B"/>
    <w:rsid w:val="005A28C5"/>
    <w:rsid w:val="005A28F8"/>
    <w:rsid w:val="005A29EB"/>
    <w:rsid w:val="005A2D86"/>
    <w:rsid w:val="005A30E3"/>
    <w:rsid w:val="005A32FA"/>
    <w:rsid w:val="005A3823"/>
    <w:rsid w:val="005A3955"/>
    <w:rsid w:val="005A3ADA"/>
    <w:rsid w:val="005A3B41"/>
    <w:rsid w:val="005A3D25"/>
    <w:rsid w:val="005A4173"/>
    <w:rsid w:val="005A44C5"/>
    <w:rsid w:val="005A4675"/>
    <w:rsid w:val="005A4B7C"/>
    <w:rsid w:val="005A4CD0"/>
    <w:rsid w:val="005A4FD5"/>
    <w:rsid w:val="005A52F5"/>
    <w:rsid w:val="005A5CCD"/>
    <w:rsid w:val="005A5D21"/>
    <w:rsid w:val="005A5ECA"/>
    <w:rsid w:val="005A6089"/>
    <w:rsid w:val="005A655D"/>
    <w:rsid w:val="005A6A42"/>
    <w:rsid w:val="005A6C91"/>
    <w:rsid w:val="005A6E0D"/>
    <w:rsid w:val="005A7504"/>
    <w:rsid w:val="005A77CE"/>
    <w:rsid w:val="005A78E2"/>
    <w:rsid w:val="005A7BE7"/>
    <w:rsid w:val="005A7D10"/>
    <w:rsid w:val="005A7E80"/>
    <w:rsid w:val="005A7FEE"/>
    <w:rsid w:val="005B0299"/>
    <w:rsid w:val="005B040F"/>
    <w:rsid w:val="005B0570"/>
    <w:rsid w:val="005B0602"/>
    <w:rsid w:val="005B0D81"/>
    <w:rsid w:val="005B10B4"/>
    <w:rsid w:val="005B10D4"/>
    <w:rsid w:val="005B13E7"/>
    <w:rsid w:val="005B1459"/>
    <w:rsid w:val="005B1586"/>
    <w:rsid w:val="005B196B"/>
    <w:rsid w:val="005B19FD"/>
    <w:rsid w:val="005B1C88"/>
    <w:rsid w:val="005B1C95"/>
    <w:rsid w:val="005B1F2C"/>
    <w:rsid w:val="005B21B9"/>
    <w:rsid w:val="005B2286"/>
    <w:rsid w:val="005B2A71"/>
    <w:rsid w:val="005B2B24"/>
    <w:rsid w:val="005B2B6B"/>
    <w:rsid w:val="005B2D82"/>
    <w:rsid w:val="005B2E49"/>
    <w:rsid w:val="005B30DD"/>
    <w:rsid w:val="005B3138"/>
    <w:rsid w:val="005B31B8"/>
    <w:rsid w:val="005B3387"/>
    <w:rsid w:val="005B3462"/>
    <w:rsid w:val="005B369C"/>
    <w:rsid w:val="005B3766"/>
    <w:rsid w:val="005B3B38"/>
    <w:rsid w:val="005B3B6F"/>
    <w:rsid w:val="005B3CB6"/>
    <w:rsid w:val="005B3E65"/>
    <w:rsid w:val="005B3E95"/>
    <w:rsid w:val="005B401F"/>
    <w:rsid w:val="005B4177"/>
    <w:rsid w:val="005B4260"/>
    <w:rsid w:val="005B4336"/>
    <w:rsid w:val="005B44AB"/>
    <w:rsid w:val="005B4533"/>
    <w:rsid w:val="005B4597"/>
    <w:rsid w:val="005B46E5"/>
    <w:rsid w:val="005B471D"/>
    <w:rsid w:val="005B483B"/>
    <w:rsid w:val="005B48EA"/>
    <w:rsid w:val="005B4987"/>
    <w:rsid w:val="005B4B6B"/>
    <w:rsid w:val="005B524F"/>
    <w:rsid w:val="005B52CB"/>
    <w:rsid w:val="005B5318"/>
    <w:rsid w:val="005B5428"/>
    <w:rsid w:val="005B57FD"/>
    <w:rsid w:val="005B599A"/>
    <w:rsid w:val="005B5B12"/>
    <w:rsid w:val="005B5C4D"/>
    <w:rsid w:val="005B5E00"/>
    <w:rsid w:val="005B5E76"/>
    <w:rsid w:val="005B5F0C"/>
    <w:rsid w:val="005B622E"/>
    <w:rsid w:val="005B6382"/>
    <w:rsid w:val="005B64C9"/>
    <w:rsid w:val="005B67EE"/>
    <w:rsid w:val="005B68AE"/>
    <w:rsid w:val="005B6C3B"/>
    <w:rsid w:val="005B6F9F"/>
    <w:rsid w:val="005B70C3"/>
    <w:rsid w:val="005B71E1"/>
    <w:rsid w:val="005B721C"/>
    <w:rsid w:val="005B76EB"/>
    <w:rsid w:val="005B7D63"/>
    <w:rsid w:val="005B7FE6"/>
    <w:rsid w:val="005C00C0"/>
    <w:rsid w:val="005C025B"/>
    <w:rsid w:val="005C04E1"/>
    <w:rsid w:val="005C0632"/>
    <w:rsid w:val="005C066B"/>
    <w:rsid w:val="005C0D43"/>
    <w:rsid w:val="005C0D59"/>
    <w:rsid w:val="005C0DC1"/>
    <w:rsid w:val="005C0F9B"/>
    <w:rsid w:val="005C1609"/>
    <w:rsid w:val="005C1639"/>
    <w:rsid w:val="005C19C4"/>
    <w:rsid w:val="005C19D1"/>
    <w:rsid w:val="005C1C7E"/>
    <w:rsid w:val="005C2130"/>
    <w:rsid w:val="005C2327"/>
    <w:rsid w:val="005C2605"/>
    <w:rsid w:val="005C2645"/>
    <w:rsid w:val="005C2656"/>
    <w:rsid w:val="005C274D"/>
    <w:rsid w:val="005C27B4"/>
    <w:rsid w:val="005C2969"/>
    <w:rsid w:val="005C2B78"/>
    <w:rsid w:val="005C2BC3"/>
    <w:rsid w:val="005C2EF9"/>
    <w:rsid w:val="005C32B9"/>
    <w:rsid w:val="005C3533"/>
    <w:rsid w:val="005C3624"/>
    <w:rsid w:val="005C3667"/>
    <w:rsid w:val="005C36DB"/>
    <w:rsid w:val="005C3823"/>
    <w:rsid w:val="005C3926"/>
    <w:rsid w:val="005C3A74"/>
    <w:rsid w:val="005C4209"/>
    <w:rsid w:val="005C47B7"/>
    <w:rsid w:val="005C48E4"/>
    <w:rsid w:val="005C492C"/>
    <w:rsid w:val="005C4A2E"/>
    <w:rsid w:val="005C500E"/>
    <w:rsid w:val="005C518A"/>
    <w:rsid w:val="005C5222"/>
    <w:rsid w:val="005C5223"/>
    <w:rsid w:val="005C548A"/>
    <w:rsid w:val="005C59A8"/>
    <w:rsid w:val="005C5B4E"/>
    <w:rsid w:val="005C5BB9"/>
    <w:rsid w:val="005C60BE"/>
    <w:rsid w:val="005C622F"/>
    <w:rsid w:val="005C62A4"/>
    <w:rsid w:val="005C635A"/>
    <w:rsid w:val="005C6423"/>
    <w:rsid w:val="005C6503"/>
    <w:rsid w:val="005C6655"/>
    <w:rsid w:val="005C6CB1"/>
    <w:rsid w:val="005C71D1"/>
    <w:rsid w:val="005C74F7"/>
    <w:rsid w:val="005C7566"/>
    <w:rsid w:val="005C7B7D"/>
    <w:rsid w:val="005D01B9"/>
    <w:rsid w:val="005D0557"/>
    <w:rsid w:val="005D07A9"/>
    <w:rsid w:val="005D1493"/>
    <w:rsid w:val="005D14FE"/>
    <w:rsid w:val="005D1814"/>
    <w:rsid w:val="005D181F"/>
    <w:rsid w:val="005D1851"/>
    <w:rsid w:val="005D1AC2"/>
    <w:rsid w:val="005D1DD2"/>
    <w:rsid w:val="005D20DE"/>
    <w:rsid w:val="005D2143"/>
    <w:rsid w:val="005D2317"/>
    <w:rsid w:val="005D2356"/>
    <w:rsid w:val="005D2802"/>
    <w:rsid w:val="005D2860"/>
    <w:rsid w:val="005D2C3D"/>
    <w:rsid w:val="005D2DEB"/>
    <w:rsid w:val="005D32B2"/>
    <w:rsid w:val="005D3370"/>
    <w:rsid w:val="005D3C3F"/>
    <w:rsid w:val="005D3DC8"/>
    <w:rsid w:val="005D3EF1"/>
    <w:rsid w:val="005D4233"/>
    <w:rsid w:val="005D466E"/>
    <w:rsid w:val="005D47AA"/>
    <w:rsid w:val="005D4833"/>
    <w:rsid w:val="005D4898"/>
    <w:rsid w:val="005D4F3D"/>
    <w:rsid w:val="005D5099"/>
    <w:rsid w:val="005D57B5"/>
    <w:rsid w:val="005D5C00"/>
    <w:rsid w:val="005D5D02"/>
    <w:rsid w:val="005D5DD7"/>
    <w:rsid w:val="005D5DEF"/>
    <w:rsid w:val="005D5ED7"/>
    <w:rsid w:val="005D5FD1"/>
    <w:rsid w:val="005D5FF4"/>
    <w:rsid w:val="005D601B"/>
    <w:rsid w:val="005D60AB"/>
    <w:rsid w:val="005D6143"/>
    <w:rsid w:val="005D6BF1"/>
    <w:rsid w:val="005D6DAF"/>
    <w:rsid w:val="005D70DE"/>
    <w:rsid w:val="005D70E3"/>
    <w:rsid w:val="005D711B"/>
    <w:rsid w:val="005D7479"/>
    <w:rsid w:val="005D752A"/>
    <w:rsid w:val="005D79A8"/>
    <w:rsid w:val="005D7AEF"/>
    <w:rsid w:val="005D7B00"/>
    <w:rsid w:val="005D7D50"/>
    <w:rsid w:val="005E0087"/>
    <w:rsid w:val="005E01F4"/>
    <w:rsid w:val="005E02AA"/>
    <w:rsid w:val="005E03F5"/>
    <w:rsid w:val="005E0409"/>
    <w:rsid w:val="005E04FC"/>
    <w:rsid w:val="005E0665"/>
    <w:rsid w:val="005E072D"/>
    <w:rsid w:val="005E0B13"/>
    <w:rsid w:val="005E0C7F"/>
    <w:rsid w:val="005E0CC4"/>
    <w:rsid w:val="005E0D1E"/>
    <w:rsid w:val="005E0FFF"/>
    <w:rsid w:val="005E1086"/>
    <w:rsid w:val="005E11A9"/>
    <w:rsid w:val="005E1298"/>
    <w:rsid w:val="005E1398"/>
    <w:rsid w:val="005E153C"/>
    <w:rsid w:val="005E1965"/>
    <w:rsid w:val="005E1E8A"/>
    <w:rsid w:val="005E20AA"/>
    <w:rsid w:val="005E22C1"/>
    <w:rsid w:val="005E2448"/>
    <w:rsid w:val="005E255A"/>
    <w:rsid w:val="005E2783"/>
    <w:rsid w:val="005E28E1"/>
    <w:rsid w:val="005E2C56"/>
    <w:rsid w:val="005E2CC4"/>
    <w:rsid w:val="005E2D39"/>
    <w:rsid w:val="005E2F4B"/>
    <w:rsid w:val="005E2FF3"/>
    <w:rsid w:val="005E3243"/>
    <w:rsid w:val="005E3EAC"/>
    <w:rsid w:val="005E3F16"/>
    <w:rsid w:val="005E4001"/>
    <w:rsid w:val="005E40FB"/>
    <w:rsid w:val="005E415A"/>
    <w:rsid w:val="005E41B3"/>
    <w:rsid w:val="005E429B"/>
    <w:rsid w:val="005E4682"/>
    <w:rsid w:val="005E469E"/>
    <w:rsid w:val="005E4763"/>
    <w:rsid w:val="005E48AA"/>
    <w:rsid w:val="005E4A3E"/>
    <w:rsid w:val="005E4CFE"/>
    <w:rsid w:val="005E4EEA"/>
    <w:rsid w:val="005E4FD8"/>
    <w:rsid w:val="005E4FE5"/>
    <w:rsid w:val="005E50BD"/>
    <w:rsid w:val="005E55EB"/>
    <w:rsid w:val="005E578C"/>
    <w:rsid w:val="005E5A96"/>
    <w:rsid w:val="005E5A97"/>
    <w:rsid w:val="005E62A6"/>
    <w:rsid w:val="005E66F6"/>
    <w:rsid w:val="005E6965"/>
    <w:rsid w:val="005E6DD8"/>
    <w:rsid w:val="005E6EDE"/>
    <w:rsid w:val="005E6F06"/>
    <w:rsid w:val="005E7079"/>
    <w:rsid w:val="005E7092"/>
    <w:rsid w:val="005E71D0"/>
    <w:rsid w:val="005E727D"/>
    <w:rsid w:val="005E7522"/>
    <w:rsid w:val="005E7746"/>
    <w:rsid w:val="005E785F"/>
    <w:rsid w:val="005E7D91"/>
    <w:rsid w:val="005F0063"/>
    <w:rsid w:val="005F0380"/>
    <w:rsid w:val="005F0418"/>
    <w:rsid w:val="005F0772"/>
    <w:rsid w:val="005F07D2"/>
    <w:rsid w:val="005F0943"/>
    <w:rsid w:val="005F0C81"/>
    <w:rsid w:val="005F0D61"/>
    <w:rsid w:val="005F0EB5"/>
    <w:rsid w:val="005F0FBF"/>
    <w:rsid w:val="005F1126"/>
    <w:rsid w:val="005F11E3"/>
    <w:rsid w:val="005F13CF"/>
    <w:rsid w:val="005F191A"/>
    <w:rsid w:val="005F1C6D"/>
    <w:rsid w:val="005F243A"/>
    <w:rsid w:val="005F252E"/>
    <w:rsid w:val="005F25F5"/>
    <w:rsid w:val="005F2624"/>
    <w:rsid w:val="005F2A2E"/>
    <w:rsid w:val="005F2B63"/>
    <w:rsid w:val="005F2CDA"/>
    <w:rsid w:val="005F2D4C"/>
    <w:rsid w:val="005F2E36"/>
    <w:rsid w:val="005F30C7"/>
    <w:rsid w:val="005F334A"/>
    <w:rsid w:val="005F3352"/>
    <w:rsid w:val="005F33B1"/>
    <w:rsid w:val="005F36E6"/>
    <w:rsid w:val="005F38F8"/>
    <w:rsid w:val="005F3A77"/>
    <w:rsid w:val="005F3E60"/>
    <w:rsid w:val="005F3FE3"/>
    <w:rsid w:val="005F411F"/>
    <w:rsid w:val="005F4252"/>
    <w:rsid w:val="005F42FB"/>
    <w:rsid w:val="005F440C"/>
    <w:rsid w:val="005F449B"/>
    <w:rsid w:val="005F4781"/>
    <w:rsid w:val="005F49DF"/>
    <w:rsid w:val="005F4C54"/>
    <w:rsid w:val="005F4E40"/>
    <w:rsid w:val="005F5125"/>
    <w:rsid w:val="005F525C"/>
    <w:rsid w:val="005F557D"/>
    <w:rsid w:val="005F57BD"/>
    <w:rsid w:val="005F57ED"/>
    <w:rsid w:val="005F580E"/>
    <w:rsid w:val="005F581F"/>
    <w:rsid w:val="005F5893"/>
    <w:rsid w:val="005F5C10"/>
    <w:rsid w:val="005F5C37"/>
    <w:rsid w:val="005F5C50"/>
    <w:rsid w:val="005F5DC4"/>
    <w:rsid w:val="005F605C"/>
    <w:rsid w:val="005F62FE"/>
    <w:rsid w:val="005F64B4"/>
    <w:rsid w:val="005F685D"/>
    <w:rsid w:val="005F6C5B"/>
    <w:rsid w:val="005F6C89"/>
    <w:rsid w:val="005F70DF"/>
    <w:rsid w:val="005F7A0E"/>
    <w:rsid w:val="005F7A22"/>
    <w:rsid w:val="005F7AD3"/>
    <w:rsid w:val="005F7AF1"/>
    <w:rsid w:val="005F7C9C"/>
    <w:rsid w:val="0060008C"/>
    <w:rsid w:val="00600133"/>
    <w:rsid w:val="0060034E"/>
    <w:rsid w:val="006003D7"/>
    <w:rsid w:val="00600597"/>
    <w:rsid w:val="00600834"/>
    <w:rsid w:val="00600D2A"/>
    <w:rsid w:val="00600DDA"/>
    <w:rsid w:val="00600F62"/>
    <w:rsid w:val="006010F2"/>
    <w:rsid w:val="00601269"/>
    <w:rsid w:val="0060166C"/>
    <w:rsid w:val="00601862"/>
    <w:rsid w:val="006019DE"/>
    <w:rsid w:val="00601A6E"/>
    <w:rsid w:val="00601D80"/>
    <w:rsid w:val="00601FA4"/>
    <w:rsid w:val="0060207B"/>
    <w:rsid w:val="006020EE"/>
    <w:rsid w:val="00602A03"/>
    <w:rsid w:val="00602C51"/>
    <w:rsid w:val="00602FFA"/>
    <w:rsid w:val="00603065"/>
    <w:rsid w:val="006031F1"/>
    <w:rsid w:val="00603557"/>
    <w:rsid w:val="00603584"/>
    <w:rsid w:val="0060414F"/>
    <w:rsid w:val="0060415C"/>
    <w:rsid w:val="006042B5"/>
    <w:rsid w:val="00604666"/>
    <w:rsid w:val="0060469A"/>
    <w:rsid w:val="006047F2"/>
    <w:rsid w:val="00604953"/>
    <w:rsid w:val="00604970"/>
    <w:rsid w:val="00604CC5"/>
    <w:rsid w:val="00604E1B"/>
    <w:rsid w:val="00604F16"/>
    <w:rsid w:val="00604F48"/>
    <w:rsid w:val="0060507A"/>
    <w:rsid w:val="006052AC"/>
    <w:rsid w:val="006053F4"/>
    <w:rsid w:val="006057EA"/>
    <w:rsid w:val="00605803"/>
    <w:rsid w:val="00605C2E"/>
    <w:rsid w:val="00605E86"/>
    <w:rsid w:val="00605FBC"/>
    <w:rsid w:val="00606262"/>
    <w:rsid w:val="006062A3"/>
    <w:rsid w:val="00606392"/>
    <w:rsid w:val="006069FB"/>
    <w:rsid w:val="00606FA4"/>
    <w:rsid w:val="00606FCB"/>
    <w:rsid w:val="00607203"/>
    <w:rsid w:val="006075D9"/>
    <w:rsid w:val="006075E3"/>
    <w:rsid w:val="00607671"/>
    <w:rsid w:val="00607DDC"/>
    <w:rsid w:val="0061012D"/>
    <w:rsid w:val="00610477"/>
    <w:rsid w:val="0061063F"/>
    <w:rsid w:val="006106CC"/>
    <w:rsid w:val="00610873"/>
    <w:rsid w:val="006108C7"/>
    <w:rsid w:val="00610BDF"/>
    <w:rsid w:val="00610BE8"/>
    <w:rsid w:val="00610EA4"/>
    <w:rsid w:val="006111C5"/>
    <w:rsid w:val="006111FE"/>
    <w:rsid w:val="006112D1"/>
    <w:rsid w:val="006114FC"/>
    <w:rsid w:val="006118E2"/>
    <w:rsid w:val="00611A62"/>
    <w:rsid w:val="00612080"/>
    <w:rsid w:val="006121CD"/>
    <w:rsid w:val="0061249C"/>
    <w:rsid w:val="006124CF"/>
    <w:rsid w:val="00612912"/>
    <w:rsid w:val="006129BA"/>
    <w:rsid w:val="00613489"/>
    <w:rsid w:val="006135E5"/>
    <w:rsid w:val="0061365C"/>
    <w:rsid w:val="00613AC5"/>
    <w:rsid w:val="00613ED3"/>
    <w:rsid w:val="00613F11"/>
    <w:rsid w:val="00613F23"/>
    <w:rsid w:val="006140A9"/>
    <w:rsid w:val="0061420D"/>
    <w:rsid w:val="00614321"/>
    <w:rsid w:val="0061433F"/>
    <w:rsid w:val="006144EA"/>
    <w:rsid w:val="0061474B"/>
    <w:rsid w:val="00614A52"/>
    <w:rsid w:val="00614C40"/>
    <w:rsid w:val="00614D8E"/>
    <w:rsid w:val="00614FA8"/>
    <w:rsid w:val="00615229"/>
    <w:rsid w:val="006152ED"/>
    <w:rsid w:val="006155D3"/>
    <w:rsid w:val="00615A4B"/>
    <w:rsid w:val="00615E0C"/>
    <w:rsid w:val="00615E7C"/>
    <w:rsid w:val="006160EF"/>
    <w:rsid w:val="006164B2"/>
    <w:rsid w:val="006164C6"/>
    <w:rsid w:val="006165B4"/>
    <w:rsid w:val="00616A9E"/>
    <w:rsid w:val="00616CB6"/>
    <w:rsid w:val="00616D44"/>
    <w:rsid w:val="00616F97"/>
    <w:rsid w:val="00617348"/>
    <w:rsid w:val="00617454"/>
    <w:rsid w:val="0061746E"/>
    <w:rsid w:val="0061758C"/>
    <w:rsid w:val="006175C0"/>
    <w:rsid w:val="00617684"/>
    <w:rsid w:val="00617787"/>
    <w:rsid w:val="00617829"/>
    <w:rsid w:val="00620195"/>
    <w:rsid w:val="006201B0"/>
    <w:rsid w:val="00620487"/>
    <w:rsid w:val="006206F5"/>
    <w:rsid w:val="006209F6"/>
    <w:rsid w:val="00620AD6"/>
    <w:rsid w:val="00620B1D"/>
    <w:rsid w:val="00620F85"/>
    <w:rsid w:val="006211E3"/>
    <w:rsid w:val="006212FD"/>
    <w:rsid w:val="00621328"/>
    <w:rsid w:val="00621467"/>
    <w:rsid w:val="00621470"/>
    <w:rsid w:val="00621CDB"/>
    <w:rsid w:val="006222CA"/>
    <w:rsid w:val="00622384"/>
    <w:rsid w:val="006223E3"/>
    <w:rsid w:val="0062247B"/>
    <w:rsid w:val="006224A1"/>
    <w:rsid w:val="006227AB"/>
    <w:rsid w:val="00622984"/>
    <w:rsid w:val="0062298E"/>
    <w:rsid w:val="006229FC"/>
    <w:rsid w:val="00622BDB"/>
    <w:rsid w:val="00622DB7"/>
    <w:rsid w:val="00622E9B"/>
    <w:rsid w:val="00622F1F"/>
    <w:rsid w:val="00622F51"/>
    <w:rsid w:val="0062308F"/>
    <w:rsid w:val="006231CB"/>
    <w:rsid w:val="006232F2"/>
    <w:rsid w:val="00623602"/>
    <w:rsid w:val="00623BA5"/>
    <w:rsid w:val="006240CB"/>
    <w:rsid w:val="006240D8"/>
    <w:rsid w:val="00624441"/>
    <w:rsid w:val="00624559"/>
    <w:rsid w:val="006245B1"/>
    <w:rsid w:val="006245E7"/>
    <w:rsid w:val="0062480F"/>
    <w:rsid w:val="006248CC"/>
    <w:rsid w:val="00624A11"/>
    <w:rsid w:val="00625048"/>
    <w:rsid w:val="00625143"/>
    <w:rsid w:val="0062514E"/>
    <w:rsid w:val="00625320"/>
    <w:rsid w:val="00625778"/>
    <w:rsid w:val="00625797"/>
    <w:rsid w:val="006257F9"/>
    <w:rsid w:val="0062592F"/>
    <w:rsid w:val="00625BC0"/>
    <w:rsid w:val="00625BF4"/>
    <w:rsid w:val="00625C4C"/>
    <w:rsid w:val="006260E7"/>
    <w:rsid w:val="006267FF"/>
    <w:rsid w:val="00626C9D"/>
    <w:rsid w:val="00626D62"/>
    <w:rsid w:val="006271A6"/>
    <w:rsid w:val="00627446"/>
    <w:rsid w:val="0062747F"/>
    <w:rsid w:val="006275E8"/>
    <w:rsid w:val="00627619"/>
    <w:rsid w:val="006278EF"/>
    <w:rsid w:val="00627B8F"/>
    <w:rsid w:val="00627BCB"/>
    <w:rsid w:val="00627CE9"/>
    <w:rsid w:val="0063009E"/>
    <w:rsid w:val="0063058F"/>
    <w:rsid w:val="00630621"/>
    <w:rsid w:val="006307B3"/>
    <w:rsid w:val="00630860"/>
    <w:rsid w:val="0063093C"/>
    <w:rsid w:val="00630B72"/>
    <w:rsid w:val="00630D07"/>
    <w:rsid w:val="00630ED4"/>
    <w:rsid w:val="00630FDF"/>
    <w:rsid w:val="00631861"/>
    <w:rsid w:val="006319C3"/>
    <w:rsid w:val="00631BE0"/>
    <w:rsid w:val="00631C00"/>
    <w:rsid w:val="00631D26"/>
    <w:rsid w:val="00631E49"/>
    <w:rsid w:val="00631F79"/>
    <w:rsid w:val="00632233"/>
    <w:rsid w:val="00632308"/>
    <w:rsid w:val="00632909"/>
    <w:rsid w:val="00632A49"/>
    <w:rsid w:val="006334A4"/>
    <w:rsid w:val="00633657"/>
    <w:rsid w:val="00633756"/>
    <w:rsid w:val="00633805"/>
    <w:rsid w:val="00633AC3"/>
    <w:rsid w:val="00633D60"/>
    <w:rsid w:val="00633FCD"/>
    <w:rsid w:val="0063405D"/>
    <w:rsid w:val="00634144"/>
    <w:rsid w:val="0063439A"/>
    <w:rsid w:val="00634A54"/>
    <w:rsid w:val="00634A56"/>
    <w:rsid w:val="00634B4D"/>
    <w:rsid w:val="0063540D"/>
    <w:rsid w:val="00635884"/>
    <w:rsid w:val="006358C8"/>
    <w:rsid w:val="00635E31"/>
    <w:rsid w:val="00635E55"/>
    <w:rsid w:val="006361B9"/>
    <w:rsid w:val="006361FB"/>
    <w:rsid w:val="006362B7"/>
    <w:rsid w:val="00636661"/>
    <w:rsid w:val="006368B0"/>
    <w:rsid w:val="006368E1"/>
    <w:rsid w:val="00636CB5"/>
    <w:rsid w:val="00636D82"/>
    <w:rsid w:val="00636E48"/>
    <w:rsid w:val="00636EDE"/>
    <w:rsid w:val="006370DF"/>
    <w:rsid w:val="006372A1"/>
    <w:rsid w:val="0063761D"/>
    <w:rsid w:val="0063763F"/>
    <w:rsid w:val="006377C7"/>
    <w:rsid w:val="00637ABA"/>
    <w:rsid w:val="00637CD3"/>
    <w:rsid w:val="00637D31"/>
    <w:rsid w:val="00637DB0"/>
    <w:rsid w:val="00637E01"/>
    <w:rsid w:val="00637F68"/>
    <w:rsid w:val="006401FD"/>
    <w:rsid w:val="00640640"/>
    <w:rsid w:val="0064075D"/>
    <w:rsid w:val="006409B2"/>
    <w:rsid w:val="00640BB1"/>
    <w:rsid w:val="006417D5"/>
    <w:rsid w:val="00641831"/>
    <w:rsid w:val="006418CC"/>
    <w:rsid w:val="006419DA"/>
    <w:rsid w:val="00641EAA"/>
    <w:rsid w:val="00642257"/>
    <w:rsid w:val="0064246F"/>
    <w:rsid w:val="006424EE"/>
    <w:rsid w:val="0064265B"/>
    <w:rsid w:val="00642FE2"/>
    <w:rsid w:val="00643006"/>
    <w:rsid w:val="006432BC"/>
    <w:rsid w:val="006434BF"/>
    <w:rsid w:val="006435A5"/>
    <w:rsid w:val="00643A39"/>
    <w:rsid w:val="00643B2C"/>
    <w:rsid w:val="00643B44"/>
    <w:rsid w:val="00643DDC"/>
    <w:rsid w:val="00643F36"/>
    <w:rsid w:val="0064405A"/>
    <w:rsid w:val="00644158"/>
    <w:rsid w:val="0064427C"/>
    <w:rsid w:val="0064428C"/>
    <w:rsid w:val="006442BA"/>
    <w:rsid w:val="006442BB"/>
    <w:rsid w:val="006442ED"/>
    <w:rsid w:val="0064468E"/>
    <w:rsid w:val="006446B3"/>
    <w:rsid w:val="00644A47"/>
    <w:rsid w:val="00644B2B"/>
    <w:rsid w:val="00644C65"/>
    <w:rsid w:val="00644C6D"/>
    <w:rsid w:val="00644D7B"/>
    <w:rsid w:val="00644D88"/>
    <w:rsid w:val="00644F2A"/>
    <w:rsid w:val="00644FBC"/>
    <w:rsid w:val="006450FB"/>
    <w:rsid w:val="006451CC"/>
    <w:rsid w:val="006452D6"/>
    <w:rsid w:val="006453EA"/>
    <w:rsid w:val="00645C15"/>
    <w:rsid w:val="00645DF3"/>
    <w:rsid w:val="00645E6F"/>
    <w:rsid w:val="00646445"/>
    <w:rsid w:val="006465E6"/>
    <w:rsid w:val="006466CA"/>
    <w:rsid w:val="006468BF"/>
    <w:rsid w:val="00646ACA"/>
    <w:rsid w:val="00646C7C"/>
    <w:rsid w:val="00646DF8"/>
    <w:rsid w:val="00646E54"/>
    <w:rsid w:val="00646F72"/>
    <w:rsid w:val="00646FF5"/>
    <w:rsid w:val="0064753E"/>
    <w:rsid w:val="00647949"/>
    <w:rsid w:val="00647A61"/>
    <w:rsid w:val="00647F42"/>
    <w:rsid w:val="00650291"/>
    <w:rsid w:val="006503A8"/>
    <w:rsid w:val="00650562"/>
    <w:rsid w:val="006506C7"/>
    <w:rsid w:val="00650A29"/>
    <w:rsid w:val="00650EF6"/>
    <w:rsid w:val="00650FB4"/>
    <w:rsid w:val="00651104"/>
    <w:rsid w:val="0065127C"/>
    <w:rsid w:val="00651450"/>
    <w:rsid w:val="0065147C"/>
    <w:rsid w:val="00651770"/>
    <w:rsid w:val="00651D16"/>
    <w:rsid w:val="00651DA3"/>
    <w:rsid w:val="00651EA5"/>
    <w:rsid w:val="006520ED"/>
    <w:rsid w:val="006520F5"/>
    <w:rsid w:val="006520F8"/>
    <w:rsid w:val="00652334"/>
    <w:rsid w:val="00652B66"/>
    <w:rsid w:val="00652CD5"/>
    <w:rsid w:val="00652F32"/>
    <w:rsid w:val="00653069"/>
    <w:rsid w:val="006531EF"/>
    <w:rsid w:val="00653373"/>
    <w:rsid w:val="006534EB"/>
    <w:rsid w:val="0065379A"/>
    <w:rsid w:val="0065398B"/>
    <w:rsid w:val="00653B03"/>
    <w:rsid w:val="00653DBA"/>
    <w:rsid w:val="00653E4E"/>
    <w:rsid w:val="006542BF"/>
    <w:rsid w:val="006542E2"/>
    <w:rsid w:val="006544BF"/>
    <w:rsid w:val="006548BD"/>
    <w:rsid w:val="00654A5A"/>
    <w:rsid w:val="00654AE5"/>
    <w:rsid w:val="00654EFE"/>
    <w:rsid w:val="00654F3A"/>
    <w:rsid w:val="00655050"/>
    <w:rsid w:val="006552D5"/>
    <w:rsid w:val="006553E9"/>
    <w:rsid w:val="0065547C"/>
    <w:rsid w:val="00655662"/>
    <w:rsid w:val="006558C6"/>
    <w:rsid w:val="006558F0"/>
    <w:rsid w:val="00655EE8"/>
    <w:rsid w:val="00656299"/>
    <w:rsid w:val="0065629C"/>
    <w:rsid w:val="006567F1"/>
    <w:rsid w:val="00656998"/>
    <w:rsid w:val="00656A51"/>
    <w:rsid w:val="00656BD3"/>
    <w:rsid w:val="00656D30"/>
    <w:rsid w:val="00656FDB"/>
    <w:rsid w:val="006570C6"/>
    <w:rsid w:val="00657180"/>
    <w:rsid w:val="00657893"/>
    <w:rsid w:val="00657AB6"/>
    <w:rsid w:val="00657E5B"/>
    <w:rsid w:val="00657ECB"/>
    <w:rsid w:val="006601DE"/>
    <w:rsid w:val="0066021F"/>
    <w:rsid w:val="00660905"/>
    <w:rsid w:val="00660B7B"/>
    <w:rsid w:val="00660BCE"/>
    <w:rsid w:val="00660C58"/>
    <w:rsid w:val="00660F1D"/>
    <w:rsid w:val="00660F4E"/>
    <w:rsid w:val="006614FE"/>
    <w:rsid w:val="0066167C"/>
    <w:rsid w:val="00661AB7"/>
    <w:rsid w:val="00661CB6"/>
    <w:rsid w:val="00661D3D"/>
    <w:rsid w:val="00661E7C"/>
    <w:rsid w:val="0066236D"/>
    <w:rsid w:val="00662D63"/>
    <w:rsid w:val="0066332A"/>
    <w:rsid w:val="006633EC"/>
    <w:rsid w:val="00663531"/>
    <w:rsid w:val="006635B4"/>
    <w:rsid w:val="00663F37"/>
    <w:rsid w:val="00664169"/>
    <w:rsid w:val="00664255"/>
    <w:rsid w:val="0066437D"/>
    <w:rsid w:val="00664633"/>
    <w:rsid w:val="006647B8"/>
    <w:rsid w:val="0066483A"/>
    <w:rsid w:val="00664DAA"/>
    <w:rsid w:val="00664EB5"/>
    <w:rsid w:val="00664F6C"/>
    <w:rsid w:val="006656F3"/>
    <w:rsid w:val="0066572E"/>
    <w:rsid w:val="0066574B"/>
    <w:rsid w:val="00665A33"/>
    <w:rsid w:val="00665AA9"/>
    <w:rsid w:val="00665B8A"/>
    <w:rsid w:val="00665D00"/>
    <w:rsid w:val="00665D19"/>
    <w:rsid w:val="00665D41"/>
    <w:rsid w:val="00666111"/>
    <w:rsid w:val="00666176"/>
    <w:rsid w:val="006661BD"/>
    <w:rsid w:val="00666261"/>
    <w:rsid w:val="006663EB"/>
    <w:rsid w:val="00666409"/>
    <w:rsid w:val="00666922"/>
    <w:rsid w:val="006669F8"/>
    <w:rsid w:val="00666BDE"/>
    <w:rsid w:val="00666C92"/>
    <w:rsid w:val="00666E14"/>
    <w:rsid w:val="00666FEF"/>
    <w:rsid w:val="006674E0"/>
    <w:rsid w:val="006678A1"/>
    <w:rsid w:val="00667B4D"/>
    <w:rsid w:val="00667D33"/>
    <w:rsid w:val="00670052"/>
    <w:rsid w:val="0067074D"/>
    <w:rsid w:val="006707B9"/>
    <w:rsid w:val="006707E5"/>
    <w:rsid w:val="0067087E"/>
    <w:rsid w:val="00670A38"/>
    <w:rsid w:val="00670A67"/>
    <w:rsid w:val="00670A6A"/>
    <w:rsid w:val="00670B08"/>
    <w:rsid w:val="00670C15"/>
    <w:rsid w:val="00670CE3"/>
    <w:rsid w:val="00670D51"/>
    <w:rsid w:val="00670DEA"/>
    <w:rsid w:val="00670F44"/>
    <w:rsid w:val="00671420"/>
    <w:rsid w:val="0067142D"/>
    <w:rsid w:val="00671624"/>
    <w:rsid w:val="00671A96"/>
    <w:rsid w:val="00671AD4"/>
    <w:rsid w:val="00671FF6"/>
    <w:rsid w:val="0067204F"/>
    <w:rsid w:val="006722BA"/>
    <w:rsid w:val="006723B3"/>
    <w:rsid w:val="006726B4"/>
    <w:rsid w:val="00672762"/>
    <w:rsid w:val="006728E3"/>
    <w:rsid w:val="00672AF5"/>
    <w:rsid w:val="00672F59"/>
    <w:rsid w:val="006732DF"/>
    <w:rsid w:val="0067339C"/>
    <w:rsid w:val="006733F2"/>
    <w:rsid w:val="00673629"/>
    <w:rsid w:val="006736AC"/>
    <w:rsid w:val="0067375E"/>
    <w:rsid w:val="00673803"/>
    <w:rsid w:val="00673989"/>
    <w:rsid w:val="00673A0D"/>
    <w:rsid w:val="00673A12"/>
    <w:rsid w:val="00673B2E"/>
    <w:rsid w:val="00673B43"/>
    <w:rsid w:val="00673B72"/>
    <w:rsid w:val="00673CAD"/>
    <w:rsid w:val="00673D8B"/>
    <w:rsid w:val="00674161"/>
    <w:rsid w:val="0067471B"/>
    <w:rsid w:val="00674BA2"/>
    <w:rsid w:val="00674BED"/>
    <w:rsid w:val="00674C60"/>
    <w:rsid w:val="00674E75"/>
    <w:rsid w:val="00674F16"/>
    <w:rsid w:val="00674FE2"/>
    <w:rsid w:val="00674FFB"/>
    <w:rsid w:val="006752EC"/>
    <w:rsid w:val="00675BDA"/>
    <w:rsid w:val="00675D1A"/>
    <w:rsid w:val="00675FC8"/>
    <w:rsid w:val="00675FCF"/>
    <w:rsid w:val="00675FF8"/>
    <w:rsid w:val="0067657C"/>
    <w:rsid w:val="00676BCF"/>
    <w:rsid w:val="00676C23"/>
    <w:rsid w:val="00677056"/>
    <w:rsid w:val="006771B6"/>
    <w:rsid w:val="006771DE"/>
    <w:rsid w:val="00677211"/>
    <w:rsid w:val="006773DC"/>
    <w:rsid w:val="006773EF"/>
    <w:rsid w:val="0067742D"/>
    <w:rsid w:val="006774C8"/>
    <w:rsid w:val="0067764F"/>
    <w:rsid w:val="0067788F"/>
    <w:rsid w:val="00677A06"/>
    <w:rsid w:val="00677ABC"/>
    <w:rsid w:val="00677AE4"/>
    <w:rsid w:val="00677BF4"/>
    <w:rsid w:val="00677E9F"/>
    <w:rsid w:val="0068007E"/>
    <w:rsid w:val="0068055C"/>
    <w:rsid w:val="006805B2"/>
    <w:rsid w:val="006806D0"/>
    <w:rsid w:val="00680902"/>
    <w:rsid w:val="00680981"/>
    <w:rsid w:val="00680AAA"/>
    <w:rsid w:val="00680B93"/>
    <w:rsid w:val="00680ECC"/>
    <w:rsid w:val="006810B0"/>
    <w:rsid w:val="00681301"/>
    <w:rsid w:val="00681361"/>
    <w:rsid w:val="006813E2"/>
    <w:rsid w:val="006814C0"/>
    <w:rsid w:val="006816DF"/>
    <w:rsid w:val="00681789"/>
    <w:rsid w:val="00681AF8"/>
    <w:rsid w:val="00681BAB"/>
    <w:rsid w:val="00681D08"/>
    <w:rsid w:val="00681DAB"/>
    <w:rsid w:val="00681EC2"/>
    <w:rsid w:val="006822A0"/>
    <w:rsid w:val="00682A64"/>
    <w:rsid w:val="00682BAD"/>
    <w:rsid w:val="00682C78"/>
    <w:rsid w:val="00682DB2"/>
    <w:rsid w:val="00682E58"/>
    <w:rsid w:val="006837C8"/>
    <w:rsid w:val="006837C9"/>
    <w:rsid w:val="00683892"/>
    <w:rsid w:val="00683D63"/>
    <w:rsid w:val="00683DF4"/>
    <w:rsid w:val="00683F27"/>
    <w:rsid w:val="00684373"/>
    <w:rsid w:val="006844CC"/>
    <w:rsid w:val="00684748"/>
    <w:rsid w:val="00684878"/>
    <w:rsid w:val="006848C8"/>
    <w:rsid w:val="006848EB"/>
    <w:rsid w:val="00684B21"/>
    <w:rsid w:val="00684C94"/>
    <w:rsid w:val="00684DE7"/>
    <w:rsid w:val="00684F52"/>
    <w:rsid w:val="00684FE3"/>
    <w:rsid w:val="0068510B"/>
    <w:rsid w:val="006853F5"/>
    <w:rsid w:val="00685457"/>
    <w:rsid w:val="00685493"/>
    <w:rsid w:val="00685575"/>
    <w:rsid w:val="00685605"/>
    <w:rsid w:val="00685863"/>
    <w:rsid w:val="006859B5"/>
    <w:rsid w:val="006859BB"/>
    <w:rsid w:val="00686030"/>
    <w:rsid w:val="00686631"/>
    <w:rsid w:val="006866E4"/>
    <w:rsid w:val="0068680C"/>
    <w:rsid w:val="006868D5"/>
    <w:rsid w:val="00686F45"/>
    <w:rsid w:val="006870A9"/>
    <w:rsid w:val="006871EB"/>
    <w:rsid w:val="006876C1"/>
    <w:rsid w:val="0068770E"/>
    <w:rsid w:val="00687770"/>
    <w:rsid w:val="00687901"/>
    <w:rsid w:val="00687B90"/>
    <w:rsid w:val="00687B97"/>
    <w:rsid w:val="00687CFE"/>
    <w:rsid w:val="00687F85"/>
    <w:rsid w:val="006902B8"/>
    <w:rsid w:val="00690305"/>
    <w:rsid w:val="0069037D"/>
    <w:rsid w:val="0069038D"/>
    <w:rsid w:val="00690451"/>
    <w:rsid w:val="006906C0"/>
    <w:rsid w:val="00690791"/>
    <w:rsid w:val="006907BD"/>
    <w:rsid w:val="006908E5"/>
    <w:rsid w:val="00690C48"/>
    <w:rsid w:val="00690F96"/>
    <w:rsid w:val="0069109E"/>
    <w:rsid w:val="0069138B"/>
    <w:rsid w:val="006917D9"/>
    <w:rsid w:val="00691882"/>
    <w:rsid w:val="006918DA"/>
    <w:rsid w:val="00691AD8"/>
    <w:rsid w:val="00691C98"/>
    <w:rsid w:val="00692033"/>
    <w:rsid w:val="00692233"/>
    <w:rsid w:val="00692375"/>
    <w:rsid w:val="006924BA"/>
    <w:rsid w:val="0069259A"/>
    <w:rsid w:val="00692601"/>
    <w:rsid w:val="0069271A"/>
    <w:rsid w:val="00692AA5"/>
    <w:rsid w:val="00692B49"/>
    <w:rsid w:val="00692B4A"/>
    <w:rsid w:val="00692D76"/>
    <w:rsid w:val="006930CF"/>
    <w:rsid w:val="006931FA"/>
    <w:rsid w:val="00693263"/>
    <w:rsid w:val="00693300"/>
    <w:rsid w:val="00693414"/>
    <w:rsid w:val="00693487"/>
    <w:rsid w:val="0069433D"/>
    <w:rsid w:val="00694465"/>
    <w:rsid w:val="0069475F"/>
    <w:rsid w:val="00694825"/>
    <w:rsid w:val="00694849"/>
    <w:rsid w:val="006948F4"/>
    <w:rsid w:val="00694D50"/>
    <w:rsid w:val="0069508C"/>
    <w:rsid w:val="0069513C"/>
    <w:rsid w:val="006955A9"/>
    <w:rsid w:val="00695602"/>
    <w:rsid w:val="00695749"/>
    <w:rsid w:val="006959EB"/>
    <w:rsid w:val="00695AF3"/>
    <w:rsid w:val="00695E1B"/>
    <w:rsid w:val="0069616C"/>
    <w:rsid w:val="0069622F"/>
    <w:rsid w:val="00696356"/>
    <w:rsid w:val="0069673E"/>
    <w:rsid w:val="006967ED"/>
    <w:rsid w:val="006968A2"/>
    <w:rsid w:val="006968F2"/>
    <w:rsid w:val="00696A90"/>
    <w:rsid w:val="00696E06"/>
    <w:rsid w:val="00697054"/>
    <w:rsid w:val="006970C9"/>
    <w:rsid w:val="00697128"/>
    <w:rsid w:val="00697999"/>
    <w:rsid w:val="00697C9B"/>
    <w:rsid w:val="00697F3F"/>
    <w:rsid w:val="00697F4E"/>
    <w:rsid w:val="006A11F4"/>
    <w:rsid w:val="006A12E0"/>
    <w:rsid w:val="006A149F"/>
    <w:rsid w:val="006A1520"/>
    <w:rsid w:val="006A168A"/>
    <w:rsid w:val="006A16D3"/>
    <w:rsid w:val="006A1A11"/>
    <w:rsid w:val="006A1AAE"/>
    <w:rsid w:val="006A1C21"/>
    <w:rsid w:val="006A1D7C"/>
    <w:rsid w:val="006A1E7D"/>
    <w:rsid w:val="006A20AD"/>
    <w:rsid w:val="006A21E9"/>
    <w:rsid w:val="006A226C"/>
    <w:rsid w:val="006A2342"/>
    <w:rsid w:val="006A2479"/>
    <w:rsid w:val="006A26C5"/>
    <w:rsid w:val="006A2A4A"/>
    <w:rsid w:val="006A2BF0"/>
    <w:rsid w:val="006A2D33"/>
    <w:rsid w:val="006A2D53"/>
    <w:rsid w:val="006A2D70"/>
    <w:rsid w:val="006A2D88"/>
    <w:rsid w:val="006A2ED1"/>
    <w:rsid w:val="006A3287"/>
    <w:rsid w:val="006A33D3"/>
    <w:rsid w:val="006A342B"/>
    <w:rsid w:val="006A3689"/>
    <w:rsid w:val="006A371E"/>
    <w:rsid w:val="006A3A86"/>
    <w:rsid w:val="006A3B0F"/>
    <w:rsid w:val="006A3C13"/>
    <w:rsid w:val="006A3D81"/>
    <w:rsid w:val="006A436F"/>
    <w:rsid w:val="006A48A5"/>
    <w:rsid w:val="006A4961"/>
    <w:rsid w:val="006A565C"/>
    <w:rsid w:val="006A56CC"/>
    <w:rsid w:val="006A5758"/>
    <w:rsid w:val="006A584E"/>
    <w:rsid w:val="006A5ABE"/>
    <w:rsid w:val="006A5D3C"/>
    <w:rsid w:val="006A617A"/>
    <w:rsid w:val="006A6223"/>
    <w:rsid w:val="006A624D"/>
    <w:rsid w:val="006A630B"/>
    <w:rsid w:val="006A6390"/>
    <w:rsid w:val="006A64A2"/>
    <w:rsid w:val="006A6538"/>
    <w:rsid w:val="006A65A4"/>
    <w:rsid w:val="006A6863"/>
    <w:rsid w:val="006A6939"/>
    <w:rsid w:val="006A697E"/>
    <w:rsid w:val="006A69BF"/>
    <w:rsid w:val="006A6E7A"/>
    <w:rsid w:val="006A6EB0"/>
    <w:rsid w:val="006A6FAA"/>
    <w:rsid w:val="006A7159"/>
    <w:rsid w:val="006A72F4"/>
    <w:rsid w:val="006A7564"/>
    <w:rsid w:val="006A75ED"/>
    <w:rsid w:val="006A7677"/>
    <w:rsid w:val="006A76A2"/>
    <w:rsid w:val="006A7AFB"/>
    <w:rsid w:val="006A7B4C"/>
    <w:rsid w:val="006A7E49"/>
    <w:rsid w:val="006A7E83"/>
    <w:rsid w:val="006A7EA6"/>
    <w:rsid w:val="006A7F49"/>
    <w:rsid w:val="006B0025"/>
    <w:rsid w:val="006B00FB"/>
    <w:rsid w:val="006B01DD"/>
    <w:rsid w:val="006B064D"/>
    <w:rsid w:val="006B0730"/>
    <w:rsid w:val="006B0764"/>
    <w:rsid w:val="006B09AA"/>
    <w:rsid w:val="006B0A0A"/>
    <w:rsid w:val="006B0A40"/>
    <w:rsid w:val="006B0B4E"/>
    <w:rsid w:val="006B0EBF"/>
    <w:rsid w:val="006B0FD1"/>
    <w:rsid w:val="006B13D8"/>
    <w:rsid w:val="006B15E1"/>
    <w:rsid w:val="006B1847"/>
    <w:rsid w:val="006B1A00"/>
    <w:rsid w:val="006B1A04"/>
    <w:rsid w:val="006B1A4D"/>
    <w:rsid w:val="006B1D78"/>
    <w:rsid w:val="006B1DC1"/>
    <w:rsid w:val="006B1DC9"/>
    <w:rsid w:val="006B1F4D"/>
    <w:rsid w:val="006B202D"/>
    <w:rsid w:val="006B211C"/>
    <w:rsid w:val="006B2255"/>
    <w:rsid w:val="006B2B8B"/>
    <w:rsid w:val="006B2BA5"/>
    <w:rsid w:val="006B2ED3"/>
    <w:rsid w:val="006B3325"/>
    <w:rsid w:val="006B34CF"/>
    <w:rsid w:val="006B3818"/>
    <w:rsid w:val="006B38A2"/>
    <w:rsid w:val="006B3A3F"/>
    <w:rsid w:val="006B3C0D"/>
    <w:rsid w:val="006B3DDD"/>
    <w:rsid w:val="006B3E5F"/>
    <w:rsid w:val="006B3F48"/>
    <w:rsid w:val="006B44D1"/>
    <w:rsid w:val="006B46E7"/>
    <w:rsid w:val="006B47E0"/>
    <w:rsid w:val="006B4808"/>
    <w:rsid w:val="006B4C33"/>
    <w:rsid w:val="006B4D4E"/>
    <w:rsid w:val="006B4D58"/>
    <w:rsid w:val="006B51AD"/>
    <w:rsid w:val="006B526D"/>
    <w:rsid w:val="006B52E2"/>
    <w:rsid w:val="006B57E9"/>
    <w:rsid w:val="006B58DC"/>
    <w:rsid w:val="006B5A58"/>
    <w:rsid w:val="006B5A8B"/>
    <w:rsid w:val="006B5E4A"/>
    <w:rsid w:val="006B614B"/>
    <w:rsid w:val="006B616B"/>
    <w:rsid w:val="006B633E"/>
    <w:rsid w:val="006B6E5A"/>
    <w:rsid w:val="006B707D"/>
    <w:rsid w:val="006B732C"/>
    <w:rsid w:val="006B73E6"/>
    <w:rsid w:val="006B748E"/>
    <w:rsid w:val="006B74E8"/>
    <w:rsid w:val="006B74FA"/>
    <w:rsid w:val="006B7608"/>
    <w:rsid w:val="006B76F6"/>
    <w:rsid w:val="006B7913"/>
    <w:rsid w:val="006B79DA"/>
    <w:rsid w:val="006B7E82"/>
    <w:rsid w:val="006C0277"/>
    <w:rsid w:val="006C0E62"/>
    <w:rsid w:val="006C0EEA"/>
    <w:rsid w:val="006C1040"/>
    <w:rsid w:val="006C12F8"/>
    <w:rsid w:val="006C1A03"/>
    <w:rsid w:val="006C1A35"/>
    <w:rsid w:val="006C1E42"/>
    <w:rsid w:val="006C1F2F"/>
    <w:rsid w:val="006C20FB"/>
    <w:rsid w:val="006C213E"/>
    <w:rsid w:val="006C24E2"/>
    <w:rsid w:val="006C2669"/>
    <w:rsid w:val="006C2741"/>
    <w:rsid w:val="006C2847"/>
    <w:rsid w:val="006C2A94"/>
    <w:rsid w:val="006C2BE8"/>
    <w:rsid w:val="006C2DDF"/>
    <w:rsid w:val="006C2E45"/>
    <w:rsid w:val="006C2ECE"/>
    <w:rsid w:val="006C2F41"/>
    <w:rsid w:val="006C2F71"/>
    <w:rsid w:val="006C2FDA"/>
    <w:rsid w:val="006C31DB"/>
    <w:rsid w:val="006C3246"/>
    <w:rsid w:val="006C340E"/>
    <w:rsid w:val="006C37AD"/>
    <w:rsid w:val="006C3891"/>
    <w:rsid w:val="006C3B22"/>
    <w:rsid w:val="006C3DA4"/>
    <w:rsid w:val="006C43BF"/>
    <w:rsid w:val="006C43E3"/>
    <w:rsid w:val="006C4866"/>
    <w:rsid w:val="006C48A4"/>
    <w:rsid w:val="006C4A6C"/>
    <w:rsid w:val="006C4AE3"/>
    <w:rsid w:val="006C4AE8"/>
    <w:rsid w:val="006C4B1A"/>
    <w:rsid w:val="006C4B40"/>
    <w:rsid w:val="006C4E7F"/>
    <w:rsid w:val="006C556D"/>
    <w:rsid w:val="006C55A4"/>
    <w:rsid w:val="006C5795"/>
    <w:rsid w:val="006C593B"/>
    <w:rsid w:val="006C5CAA"/>
    <w:rsid w:val="006C5DD3"/>
    <w:rsid w:val="006C5DFB"/>
    <w:rsid w:val="006C602F"/>
    <w:rsid w:val="006C612A"/>
    <w:rsid w:val="006C6721"/>
    <w:rsid w:val="006C69BF"/>
    <w:rsid w:val="006C6BD1"/>
    <w:rsid w:val="006C6E07"/>
    <w:rsid w:val="006C6ECE"/>
    <w:rsid w:val="006C6F1F"/>
    <w:rsid w:val="006C7035"/>
    <w:rsid w:val="006C7047"/>
    <w:rsid w:val="006C7176"/>
    <w:rsid w:val="006C7351"/>
    <w:rsid w:val="006C74DD"/>
    <w:rsid w:val="006C79A6"/>
    <w:rsid w:val="006C7B13"/>
    <w:rsid w:val="006C7F1E"/>
    <w:rsid w:val="006C7F64"/>
    <w:rsid w:val="006D006C"/>
    <w:rsid w:val="006D018D"/>
    <w:rsid w:val="006D05A6"/>
    <w:rsid w:val="006D05D1"/>
    <w:rsid w:val="006D0970"/>
    <w:rsid w:val="006D09A8"/>
    <w:rsid w:val="006D0A92"/>
    <w:rsid w:val="006D0C16"/>
    <w:rsid w:val="006D0F7F"/>
    <w:rsid w:val="006D1009"/>
    <w:rsid w:val="006D12EB"/>
    <w:rsid w:val="006D1C5A"/>
    <w:rsid w:val="006D2064"/>
    <w:rsid w:val="006D214D"/>
    <w:rsid w:val="006D249D"/>
    <w:rsid w:val="006D2D9A"/>
    <w:rsid w:val="006D2EAD"/>
    <w:rsid w:val="006D34F6"/>
    <w:rsid w:val="006D377F"/>
    <w:rsid w:val="006D39F2"/>
    <w:rsid w:val="006D3B1E"/>
    <w:rsid w:val="006D3B8A"/>
    <w:rsid w:val="006D3D4D"/>
    <w:rsid w:val="006D43AD"/>
    <w:rsid w:val="006D4544"/>
    <w:rsid w:val="006D4B3E"/>
    <w:rsid w:val="006D5032"/>
    <w:rsid w:val="006D50EC"/>
    <w:rsid w:val="006D531E"/>
    <w:rsid w:val="006D5406"/>
    <w:rsid w:val="006D5415"/>
    <w:rsid w:val="006D5734"/>
    <w:rsid w:val="006D5774"/>
    <w:rsid w:val="006D585B"/>
    <w:rsid w:val="006D5B8C"/>
    <w:rsid w:val="006D5C54"/>
    <w:rsid w:val="006D5CA8"/>
    <w:rsid w:val="006D5D19"/>
    <w:rsid w:val="006D5F3C"/>
    <w:rsid w:val="006D5F75"/>
    <w:rsid w:val="006D62EA"/>
    <w:rsid w:val="006D63EA"/>
    <w:rsid w:val="006D6583"/>
    <w:rsid w:val="006D6688"/>
    <w:rsid w:val="006D6B14"/>
    <w:rsid w:val="006D6B55"/>
    <w:rsid w:val="006D6D32"/>
    <w:rsid w:val="006D6DA2"/>
    <w:rsid w:val="006D6E33"/>
    <w:rsid w:val="006D6F74"/>
    <w:rsid w:val="006D7135"/>
    <w:rsid w:val="006D71CE"/>
    <w:rsid w:val="006D7287"/>
    <w:rsid w:val="006D7523"/>
    <w:rsid w:val="006D7567"/>
    <w:rsid w:val="006D797E"/>
    <w:rsid w:val="006D79E0"/>
    <w:rsid w:val="006D7B5E"/>
    <w:rsid w:val="006D7CC4"/>
    <w:rsid w:val="006E0204"/>
    <w:rsid w:val="006E026A"/>
    <w:rsid w:val="006E02E3"/>
    <w:rsid w:val="006E03A3"/>
    <w:rsid w:val="006E051A"/>
    <w:rsid w:val="006E0536"/>
    <w:rsid w:val="006E07C8"/>
    <w:rsid w:val="006E080E"/>
    <w:rsid w:val="006E0F8F"/>
    <w:rsid w:val="006E11F1"/>
    <w:rsid w:val="006E126C"/>
    <w:rsid w:val="006E12AB"/>
    <w:rsid w:val="006E17CD"/>
    <w:rsid w:val="006E1840"/>
    <w:rsid w:val="006E1881"/>
    <w:rsid w:val="006E1902"/>
    <w:rsid w:val="006E1903"/>
    <w:rsid w:val="006E1A81"/>
    <w:rsid w:val="006E1AB3"/>
    <w:rsid w:val="006E1F34"/>
    <w:rsid w:val="006E1FB3"/>
    <w:rsid w:val="006E20B5"/>
    <w:rsid w:val="006E20FB"/>
    <w:rsid w:val="006E25BC"/>
    <w:rsid w:val="006E2B37"/>
    <w:rsid w:val="006E2C3B"/>
    <w:rsid w:val="006E2D48"/>
    <w:rsid w:val="006E2D55"/>
    <w:rsid w:val="006E30C9"/>
    <w:rsid w:val="006E3103"/>
    <w:rsid w:val="006E32DB"/>
    <w:rsid w:val="006E3426"/>
    <w:rsid w:val="006E34D0"/>
    <w:rsid w:val="006E378F"/>
    <w:rsid w:val="006E37C7"/>
    <w:rsid w:val="006E3B80"/>
    <w:rsid w:val="006E3CF3"/>
    <w:rsid w:val="006E40BC"/>
    <w:rsid w:val="006E44C5"/>
    <w:rsid w:val="006E4644"/>
    <w:rsid w:val="006E4649"/>
    <w:rsid w:val="006E47A3"/>
    <w:rsid w:val="006E49DA"/>
    <w:rsid w:val="006E4CF2"/>
    <w:rsid w:val="006E4E7C"/>
    <w:rsid w:val="006E5225"/>
    <w:rsid w:val="006E534E"/>
    <w:rsid w:val="006E553B"/>
    <w:rsid w:val="006E568E"/>
    <w:rsid w:val="006E5A07"/>
    <w:rsid w:val="006E5AB1"/>
    <w:rsid w:val="006E5AFA"/>
    <w:rsid w:val="006E614E"/>
    <w:rsid w:val="006E6249"/>
    <w:rsid w:val="006E6576"/>
    <w:rsid w:val="006E65A3"/>
    <w:rsid w:val="006E6A00"/>
    <w:rsid w:val="006E6DD6"/>
    <w:rsid w:val="006E6E6B"/>
    <w:rsid w:val="006E6F74"/>
    <w:rsid w:val="006E74D7"/>
    <w:rsid w:val="006E7593"/>
    <w:rsid w:val="006E779C"/>
    <w:rsid w:val="006E7858"/>
    <w:rsid w:val="006E7869"/>
    <w:rsid w:val="006E79DB"/>
    <w:rsid w:val="006E7A01"/>
    <w:rsid w:val="006E7E60"/>
    <w:rsid w:val="006E7F1D"/>
    <w:rsid w:val="006E7F46"/>
    <w:rsid w:val="006F0547"/>
    <w:rsid w:val="006F07BB"/>
    <w:rsid w:val="006F07F2"/>
    <w:rsid w:val="006F07FB"/>
    <w:rsid w:val="006F095A"/>
    <w:rsid w:val="006F0998"/>
    <w:rsid w:val="006F0F5D"/>
    <w:rsid w:val="006F119B"/>
    <w:rsid w:val="006F123D"/>
    <w:rsid w:val="006F14A5"/>
    <w:rsid w:val="006F1AA0"/>
    <w:rsid w:val="006F1EBC"/>
    <w:rsid w:val="006F2024"/>
    <w:rsid w:val="006F202F"/>
    <w:rsid w:val="006F222D"/>
    <w:rsid w:val="006F2299"/>
    <w:rsid w:val="006F233D"/>
    <w:rsid w:val="006F2879"/>
    <w:rsid w:val="006F29FF"/>
    <w:rsid w:val="006F2A65"/>
    <w:rsid w:val="006F2E7C"/>
    <w:rsid w:val="006F2FF7"/>
    <w:rsid w:val="006F38FF"/>
    <w:rsid w:val="006F3EA9"/>
    <w:rsid w:val="006F4097"/>
    <w:rsid w:val="006F40B0"/>
    <w:rsid w:val="006F42F3"/>
    <w:rsid w:val="006F44AC"/>
    <w:rsid w:val="006F464E"/>
    <w:rsid w:val="006F4798"/>
    <w:rsid w:val="006F4AAB"/>
    <w:rsid w:val="006F4CC9"/>
    <w:rsid w:val="006F4D61"/>
    <w:rsid w:val="006F4E41"/>
    <w:rsid w:val="006F4FF3"/>
    <w:rsid w:val="006F507F"/>
    <w:rsid w:val="006F5283"/>
    <w:rsid w:val="006F5325"/>
    <w:rsid w:val="006F553D"/>
    <w:rsid w:val="006F559D"/>
    <w:rsid w:val="006F57A2"/>
    <w:rsid w:val="006F5937"/>
    <w:rsid w:val="006F5961"/>
    <w:rsid w:val="006F5AF8"/>
    <w:rsid w:val="006F5BCE"/>
    <w:rsid w:val="006F64CA"/>
    <w:rsid w:val="006F684C"/>
    <w:rsid w:val="006F6A0D"/>
    <w:rsid w:val="006F6B1D"/>
    <w:rsid w:val="006F6E3E"/>
    <w:rsid w:val="006F6F1A"/>
    <w:rsid w:val="006F7307"/>
    <w:rsid w:val="006F76F5"/>
    <w:rsid w:val="006F7C30"/>
    <w:rsid w:val="007001A6"/>
    <w:rsid w:val="007007AC"/>
    <w:rsid w:val="00700A5D"/>
    <w:rsid w:val="00700D86"/>
    <w:rsid w:val="00700F64"/>
    <w:rsid w:val="007015EF"/>
    <w:rsid w:val="00701655"/>
    <w:rsid w:val="007017BA"/>
    <w:rsid w:val="007019CF"/>
    <w:rsid w:val="00701B77"/>
    <w:rsid w:val="00701C98"/>
    <w:rsid w:val="00702376"/>
    <w:rsid w:val="00702565"/>
    <w:rsid w:val="00702E4F"/>
    <w:rsid w:val="00703125"/>
    <w:rsid w:val="007033D0"/>
    <w:rsid w:val="007033DB"/>
    <w:rsid w:val="0070356C"/>
    <w:rsid w:val="00703661"/>
    <w:rsid w:val="0070373E"/>
    <w:rsid w:val="0070379F"/>
    <w:rsid w:val="0070380F"/>
    <w:rsid w:val="0070383E"/>
    <w:rsid w:val="007038D3"/>
    <w:rsid w:val="00703A74"/>
    <w:rsid w:val="00703D05"/>
    <w:rsid w:val="00703D20"/>
    <w:rsid w:val="00704033"/>
    <w:rsid w:val="00704062"/>
    <w:rsid w:val="00704066"/>
    <w:rsid w:val="0070412F"/>
    <w:rsid w:val="00704686"/>
    <w:rsid w:val="00704A5B"/>
    <w:rsid w:val="00704C39"/>
    <w:rsid w:val="007051FD"/>
    <w:rsid w:val="00705275"/>
    <w:rsid w:val="00705699"/>
    <w:rsid w:val="007056CA"/>
    <w:rsid w:val="007057FE"/>
    <w:rsid w:val="007058CE"/>
    <w:rsid w:val="00705AD5"/>
    <w:rsid w:val="00705D55"/>
    <w:rsid w:val="00705EC9"/>
    <w:rsid w:val="0070603D"/>
    <w:rsid w:val="007060FC"/>
    <w:rsid w:val="00706104"/>
    <w:rsid w:val="0070622E"/>
    <w:rsid w:val="007063F9"/>
    <w:rsid w:val="007066DC"/>
    <w:rsid w:val="00706719"/>
    <w:rsid w:val="00706992"/>
    <w:rsid w:val="00706B54"/>
    <w:rsid w:val="00706C3F"/>
    <w:rsid w:val="00706D44"/>
    <w:rsid w:val="00706DDA"/>
    <w:rsid w:val="00706F97"/>
    <w:rsid w:val="00707816"/>
    <w:rsid w:val="00707860"/>
    <w:rsid w:val="00707D34"/>
    <w:rsid w:val="00707E6F"/>
    <w:rsid w:val="00710051"/>
    <w:rsid w:val="007108AB"/>
    <w:rsid w:val="00710D46"/>
    <w:rsid w:val="0071123B"/>
    <w:rsid w:val="007112FA"/>
    <w:rsid w:val="007113C7"/>
    <w:rsid w:val="00712159"/>
    <w:rsid w:val="00712519"/>
    <w:rsid w:val="00712749"/>
    <w:rsid w:val="00712790"/>
    <w:rsid w:val="00712B31"/>
    <w:rsid w:val="00712D43"/>
    <w:rsid w:val="00713660"/>
    <w:rsid w:val="0071392A"/>
    <w:rsid w:val="007139A3"/>
    <w:rsid w:val="00713C3E"/>
    <w:rsid w:val="00713E12"/>
    <w:rsid w:val="007140F6"/>
    <w:rsid w:val="007142FE"/>
    <w:rsid w:val="00714448"/>
    <w:rsid w:val="0071465D"/>
    <w:rsid w:val="007148EC"/>
    <w:rsid w:val="00714BF7"/>
    <w:rsid w:val="00714C32"/>
    <w:rsid w:val="00714C8A"/>
    <w:rsid w:val="00714F4D"/>
    <w:rsid w:val="00714FC0"/>
    <w:rsid w:val="007153E3"/>
    <w:rsid w:val="007156A9"/>
    <w:rsid w:val="00715AD4"/>
    <w:rsid w:val="00715D4E"/>
    <w:rsid w:val="00715F18"/>
    <w:rsid w:val="0071614C"/>
    <w:rsid w:val="00716364"/>
    <w:rsid w:val="007165BF"/>
    <w:rsid w:val="00716866"/>
    <w:rsid w:val="00716B6E"/>
    <w:rsid w:val="00716D70"/>
    <w:rsid w:val="00717057"/>
    <w:rsid w:val="007170C6"/>
    <w:rsid w:val="007171C7"/>
    <w:rsid w:val="007173B5"/>
    <w:rsid w:val="00717528"/>
    <w:rsid w:val="00717554"/>
    <w:rsid w:val="00717709"/>
    <w:rsid w:val="007178C8"/>
    <w:rsid w:val="00717CBB"/>
    <w:rsid w:val="00720057"/>
    <w:rsid w:val="00720212"/>
    <w:rsid w:val="0072026F"/>
    <w:rsid w:val="007203BC"/>
    <w:rsid w:val="00720423"/>
    <w:rsid w:val="0072081D"/>
    <w:rsid w:val="007208EC"/>
    <w:rsid w:val="00720F63"/>
    <w:rsid w:val="0072126C"/>
    <w:rsid w:val="0072127F"/>
    <w:rsid w:val="0072133F"/>
    <w:rsid w:val="007216B3"/>
    <w:rsid w:val="00721748"/>
    <w:rsid w:val="0072181A"/>
    <w:rsid w:val="00721BDF"/>
    <w:rsid w:val="00721CC2"/>
    <w:rsid w:val="00721E2B"/>
    <w:rsid w:val="00721E81"/>
    <w:rsid w:val="00721E86"/>
    <w:rsid w:val="0072230E"/>
    <w:rsid w:val="007225BC"/>
    <w:rsid w:val="00722A50"/>
    <w:rsid w:val="00722B16"/>
    <w:rsid w:val="00722E64"/>
    <w:rsid w:val="00722F53"/>
    <w:rsid w:val="007238F8"/>
    <w:rsid w:val="00723A3C"/>
    <w:rsid w:val="00723CB9"/>
    <w:rsid w:val="00723E3B"/>
    <w:rsid w:val="00723F6D"/>
    <w:rsid w:val="00723FFF"/>
    <w:rsid w:val="0072404B"/>
    <w:rsid w:val="0072430E"/>
    <w:rsid w:val="007248B3"/>
    <w:rsid w:val="0072491A"/>
    <w:rsid w:val="00724AD2"/>
    <w:rsid w:val="00724B20"/>
    <w:rsid w:val="00725145"/>
    <w:rsid w:val="007253E3"/>
    <w:rsid w:val="007256A4"/>
    <w:rsid w:val="00725BBA"/>
    <w:rsid w:val="00725C6A"/>
    <w:rsid w:val="00725CDE"/>
    <w:rsid w:val="00725F00"/>
    <w:rsid w:val="00726022"/>
    <w:rsid w:val="00726060"/>
    <w:rsid w:val="0072699B"/>
    <w:rsid w:val="00726B7B"/>
    <w:rsid w:val="00726CFA"/>
    <w:rsid w:val="00727029"/>
    <w:rsid w:val="00727126"/>
    <w:rsid w:val="00727376"/>
    <w:rsid w:val="00727599"/>
    <w:rsid w:val="007275C0"/>
    <w:rsid w:val="0072772E"/>
    <w:rsid w:val="0072786E"/>
    <w:rsid w:val="00727B06"/>
    <w:rsid w:val="0073030A"/>
    <w:rsid w:val="007304AA"/>
    <w:rsid w:val="0073054D"/>
    <w:rsid w:val="00730604"/>
    <w:rsid w:val="00730684"/>
    <w:rsid w:val="00730750"/>
    <w:rsid w:val="00730789"/>
    <w:rsid w:val="007308C3"/>
    <w:rsid w:val="00730A10"/>
    <w:rsid w:val="00730DDF"/>
    <w:rsid w:val="00730E30"/>
    <w:rsid w:val="007313A3"/>
    <w:rsid w:val="0073144E"/>
    <w:rsid w:val="007316E3"/>
    <w:rsid w:val="0073185A"/>
    <w:rsid w:val="007319AC"/>
    <w:rsid w:val="00731AAC"/>
    <w:rsid w:val="00731C15"/>
    <w:rsid w:val="00731C68"/>
    <w:rsid w:val="00731E06"/>
    <w:rsid w:val="00731EC8"/>
    <w:rsid w:val="00731F1F"/>
    <w:rsid w:val="00732093"/>
    <w:rsid w:val="00732196"/>
    <w:rsid w:val="007323A5"/>
    <w:rsid w:val="00732466"/>
    <w:rsid w:val="007325D2"/>
    <w:rsid w:val="007325D7"/>
    <w:rsid w:val="00732617"/>
    <w:rsid w:val="0073299F"/>
    <w:rsid w:val="00732D72"/>
    <w:rsid w:val="00732DD0"/>
    <w:rsid w:val="00732E7C"/>
    <w:rsid w:val="00733AFD"/>
    <w:rsid w:val="00733B99"/>
    <w:rsid w:val="00733D61"/>
    <w:rsid w:val="00733F22"/>
    <w:rsid w:val="00733F2A"/>
    <w:rsid w:val="00734217"/>
    <w:rsid w:val="00734260"/>
    <w:rsid w:val="007347AE"/>
    <w:rsid w:val="00734CAD"/>
    <w:rsid w:val="00734E5C"/>
    <w:rsid w:val="00734EA1"/>
    <w:rsid w:val="0073588D"/>
    <w:rsid w:val="00735A6F"/>
    <w:rsid w:val="00735B11"/>
    <w:rsid w:val="00735F12"/>
    <w:rsid w:val="00736200"/>
    <w:rsid w:val="007365FC"/>
    <w:rsid w:val="007366F4"/>
    <w:rsid w:val="0073677F"/>
    <w:rsid w:val="00736C61"/>
    <w:rsid w:val="00736C65"/>
    <w:rsid w:val="00736E0D"/>
    <w:rsid w:val="00736EA1"/>
    <w:rsid w:val="007373EC"/>
    <w:rsid w:val="00737507"/>
    <w:rsid w:val="0073770A"/>
    <w:rsid w:val="0073779C"/>
    <w:rsid w:val="00737B07"/>
    <w:rsid w:val="00737D7D"/>
    <w:rsid w:val="00740003"/>
    <w:rsid w:val="0074005C"/>
    <w:rsid w:val="007401A8"/>
    <w:rsid w:val="007401CA"/>
    <w:rsid w:val="007405BA"/>
    <w:rsid w:val="007405D3"/>
    <w:rsid w:val="00740807"/>
    <w:rsid w:val="00740A12"/>
    <w:rsid w:val="00740ABA"/>
    <w:rsid w:val="00740B08"/>
    <w:rsid w:val="00740B11"/>
    <w:rsid w:val="00740E44"/>
    <w:rsid w:val="00740F1B"/>
    <w:rsid w:val="007413BC"/>
    <w:rsid w:val="00741483"/>
    <w:rsid w:val="007414B8"/>
    <w:rsid w:val="00741874"/>
    <w:rsid w:val="00741A3E"/>
    <w:rsid w:val="00741A53"/>
    <w:rsid w:val="00741BE5"/>
    <w:rsid w:val="00741C43"/>
    <w:rsid w:val="00741D29"/>
    <w:rsid w:val="00741FE6"/>
    <w:rsid w:val="00742290"/>
    <w:rsid w:val="00742348"/>
    <w:rsid w:val="007427A3"/>
    <w:rsid w:val="00742933"/>
    <w:rsid w:val="007432F2"/>
    <w:rsid w:val="007439DE"/>
    <w:rsid w:val="00743C43"/>
    <w:rsid w:val="00743EED"/>
    <w:rsid w:val="00744024"/>
    <w:rsid w:val="00744166"/>
    <w:rsid w:val="007441A5"/>
    <w:rsid w:val="00744519"/>
    <w:rsid w:val="00744530"/>
    <w:rsid w:val="0074459B"/>
    <w:rsid w:val="0074495D"/>
    <w:rsid w:val="007449F0"/>
    <w:rsid w:val="00744C80"/>
    <w:rsid w:val="0074523B"/>
    <w:rsid w:val="00745383"/>
    <w:rsid w:val="007455D8"/>
    <w:rsid w:val="00745614"/>
    <w:rsid w:val="00745703"/>
    <w:rsid w:val="00745D56"/>
    <w:rsid w:val="00745E03"/>
    <w:rsid w:val="0074600D"/>
    <w:rsid w:val="007464CF"/>
    <w:rsid w:val="007465DF"/>
    <w:rsid w:val="00746B7A"/>
    <w:rsid w:val="00746D50"/>
    <w:rsid w:val="00746D93"/>
    <w:rsid w:val="00746E85"/>
    <w:rsid w:val="00746ED5"/>
    <w:rsid w:val="00746F34"/>
    <w:rsid w:val="00746FB8"/>
    <w:rsid w:val="00747054"/>
    <w:rsid w:val="0074713E"/>
    <w:rsid w:val="007474EF"/>
    <w:rsid w:val="007478AE"/>
    <w:rsid w:val="007478C2"/>
    <w:rsid w:val="00747A1F"/>
    <w:rsid w:val="00747A3D"/>
    <w:rsid w:val="00747AF1"/>
    <w:rsid w:val="00747EE2"/>
    <w:rsid w:val="00747F0A"/>
    <w:rsid w:val="00750296"/>
    <w:rsid w:val="0075049A"/>
    <w:rsid w:val="007505AE"/>
    <w:rsid w:val="00750614"/>
    <w:rsid w:val="0075091B"/>
    <w:rsid w:val="00750AD4"/>
    <w:rsid w:val="00750E30"/>
    <w:rsid w:val="00750EF7"/>
    <w:rsid w:val="00750F5C"/>
    <w:rsid w:val="00750FB2"/>
    <w:rsid w:val="007512B5"/>
    <w:rsid w:val="007515A3"/>
    <w:rsid w:val="00751621"/>
    <w:rsid w:val="0075181B"/>
    <w:rsid w:val="0075188A"/>
    <w:rsid w:val="00751AD0"/>
    <w:rsid w:val="00751B38"/>
    <w:rsid w:val="00751C77"/>
    <w:rsid w:val="00751E55"/>
    <w:rsid w:val="0075202F"/>
    <w:rsid w:val="00752149"/>
    <w:rsid w:val="0075217E"/>
    <w:rsid w:val="00752195"/>
    <w:rsid w:val="0075223B"/>
    <w:rsid w:val="00752317"/>
    <w:rsid w:val="00752537"/>
    <w:rsid w:val="0075276A"/>
    <w:rsid w:val="0075279A"/>
    <w:rsid w:val="0075280E"/>
    <w:rsid w:val="007528C7"/>
    <w:rsid w:val="00752DBF"/>
    <w:rsid w:val="00753360"/>
    <w:rsid w:val="0075338A"/>
    <w:rsid w:val="00753399"/>
    <w:rsid w:val="00753446"/>
    <w:rsid w:val="00753817"/>
    <w:rsid w:val="007538FF"/>
    <w:rsid w:val="007539C1"/>
    <w:rsid w:val="00753B46"/>
    <w:rsid w:val="00753B70"/>
    <w:rsid w:val="00753B75"/>
    <w:rsid w:val="00753CC1"/>
    <w:rsid w:val="00754176"/>
    <w:rsid w:val="007541A7"/>
    <w:rsid w:val="007542B3"/>
    <w:rsid w:val="007545A9"/>
    <w:rsid w:val="007546A9"/>
    <w:rsid w:val="00754849"/>
    <w:rsid w:val="00754DF4"/>
    <w:rsid w:val="00754EB3"/>
    <w:rsid w:val="007552A6"/>
    <w:rsid w:val="0075538F"/>
    <w:rsid w:val="00755704"/>
    <w:rsid w:val="007559A4"/>
    <w:rsid w:val="00755A6D"/>
    <w:rsid w:val="0075601B"/>
    <w:rsid w:val="0075613E"/>
    <w:rsid w:val="007563B5"/>
    <w:rsid w:val="00756691"/>
    <w:rsid w:val="007567B4"/>
    <w:rsid w:val="0075681D"/>
    <w:rsid w:val="00756CBE"/>
    <w:rsid w:val="00757150"/>
    <w:rsid w:val="00757272"/>
    <w:rsid w:val="00757409"/>
    <w:rsid w:val="0075748F"/>
    <w:rsid w:val="0075750F"/>
    <w:rsid w:val="00757512"/>
    <w:rsid w:val="00757523"/>
    <w:rsid w:val="007578B6"/>
    <w:rsid w:val="0075792F"/>
    <w:rsid w:val="007579A8"/>
    <w:rsid w:val="0076022F"/>
    <w:rsid w:val="007602F1"/>
    <w:rsid w:val="00760595"/>
    <w:rsid w:val="00760966"/>
    <w:rsid w:val="0076099E"/>
    <w:rsid w:val="007609D5"/>
    <w:rsid w:val="00760A47"/>
    <w:rsid w:val="00760A5A"/>
    <w:rsid w:val="00760AE3"/>
    <w:rsid w:val="00760C16"/>
    <w:rsid w:val="007611B9"/>
    <w:rsid w:val="007611E8"/>
    <w:rsid w:val="0076120E"/>
    <w:rsid w:val="007615B8"/>
    <w:rsid w:val="00761714"/>
    <w:rsid w:val="007617B8"/>
    <w:rsid w:val="007619BF"/>
    <w:rsid w:val="007619FB"/>
    <w:rsid w:val="00761BA2"/>
    <w:rsid w:val="00761FAE"/>
    <w:rsid w:val="00762067"/>
    <w:rsid w:val="007622AB"/>
    <w:rsid w:val="0076247A"/>
    <w:rsid w:val="00762B92"/>
    <w:rsid w:val="00762B9F"/>
    <w:rsid w:val="00762D8A"/>
    <w:rsid w:val="007630D3"/>
    <w:rsid w:val="00763478"/>
    <w:rsid w:val="0076380B"/>
    <w:rsid w:val="0076386E"/>
    <w:rsid w:val="00763C74"/>
    <w:rsid w:val="00763D54"/>
    <w:rsid w:val="00763D7C"/>
    <w:rsid w:val="00763DAA"/>
    <w:rsid w:val="0076413D"/>
    <w:rsid w:val="007642B5"/>
    <w:rsid w:val="007642F5"/>
    <w:rsid w:val="007644AD"/>
    <w:rsid w:val="0076459A"/>
    <w:rsid w:val="007647BA"/>
    <w:rsid w:val="00764BE6"/>
    <w:rsid w:val="00764FAA"/>
    <w:rsid w:val="007650C2"/>
    <w:rsid w:val="00765262"/>
    <w:rsid w:val="00765422"/>
    <w:rsid w:val="007656F8"/>
    <w:rsid w:val="007658D9"/>
    <w:rsid w:val="00765A6D"/>
    <w:rsid w:val="00765AA6"/>
    <w:rsid w:val="00765CF0"/>
    <w:rsid w:val="00765D2A"/>
    <w:rsid w:val="00765F1D"/>
    <w:rsid w:val="00766235"/>
    <w:rsid w:val="00766791"/>
    <w:rsid w:val="007667B0"/>
    <w:rsid w:val="00766D73"/>
    <w:rsid w:val="00766E23"/>
    <w:rsid w:val="00766FB9"/>
    <w:rsid w:val="0076704D"/>
    <w:rsid w:val="00767084"/>
    <w:rsid w:val="007670F5"/>
    <w:rsid w:val="007672B2"/>
    <w:rsid w:val="00767443"/>
    <w:rsid w:val="007675F8"/>
    <w:rsid w:val="007676B8"/>
    <w:rsid w:val="007677EB"/>
    <w:rsid w:val="0076795A"/>
    <w:rsid w:val="00767A22"/>
    <w:rsid w:val="00767A5C"/>
    <w:rsid w:val="00767C06"/>
    <w:rsid w:val="00767D61"/>
    <w:rsid w:val="00767F3A"/>
    <w:rsid w:val="0077023D"/>
    <w:rsid w:val="007702F7"/>
    <w:rsid w:val="0077032E"/>
    <w:rsid w:val="00770367"/>
    <w:rsid w:val="007703D5"/>
    <w:rsid w:val="00770966"/>
    <w:rsid w:val="00770A4C"/>
    <w:rsid w:val="00770B62"/>
    <w:rsid w:val="00770E60"/>
    <w:rsid w:val="00770F43"/>
    <w:rsid w:val="0077100C"/>
    <w:rsid w:val="007710E7"/>
    <w:rsid w:val="00771300"/>
    <w:rsid w:val="007717B1"/>
    <w:rsid w:val="00771808"/>
    <w:rsid w:val="00771ADD"/>
    <w:rsid w:val="00771BB7"/>
    <w:rsid w:val="00771D4E"/>
    <w:rsid w:val="00771E0C"/>
    <w:rsid w:val="00772135"/>
    <w:rsid w:val="00772139"/>
    <w:rsid w:val="007721D6"/>
    <w:rsid w:val="00772357"/>
    <w:rsid w:val="00772360"/>
    <w:rsid w:val="007723F8"/>
    <w:rsid w:val="007724CC"/>
    <w:rsid w:val="00772A10"/>
    <w:rsid w:val="00772C04"/>
    <w:rsid w:val="00772E51"/>
    <w:rsid w:val="00772E8B"/>
    <w:rsid w:val="007733A2"/>
    <w:rsid w:val="00773444"/>
    <w:rsid w:val="0077352C"/>
    <w:rsid w:val="00773688"/>
    <w:rsid w:val="007736F5"/>
    <w:rsid w:val="00773848"/>
    <w:rsid w:val="00773B3D"/>
    <w:rsid w:val="00773CA8"/>
    <w:rsid w:val="00773FFE"/>
    <w:rsid w:val="00774232"/>
    <w:rsid w:val="00774364"/>
    <w:rsid w:val="00774686"/>
    <w:rsid w:val="00774AAB"/>
    <w:rsid w:val="00774CB0"/>
    <w:rsid w:val="00774D68"/>
    <w:rsid w:val="00774E5E"/>
    <w:rsid w:val="00774EAA"/>
    <w:rsid w:val="00775012"/>
    <w:rsid w:val="0077513B"/>
    <w:rsid w:val="00775450"/>
    <w:rsid w:val="007755F2"/>
    <w:rsid w:val="0077564E"/>
    <w:rsid w:val="0077567F"/>
    <w:rsid w:val="00775683"/>
    <w:rsid w:val="007757CD"/>
    <w:rsid w:val="00775956"/>
    <w:rsid w:val="00775CDC"/>
    <w:rsid w:val="007760DD"/>
    <w:rsid w:val="00776150"/>
    <w:rsid w:val="00776195"/>
    <w:rsid w:val="0077627C"/>
    <w:rsid w:val="007762A5"/>
    <w:rsid w:val="0077642B"/>
    <w:rsid w:val="00776648"/>
    <w:rsid w:val="007767E2"/>
    <w:rsid w:val="007769B9"/>
    <w:rsid w:val="00776D07"/>
    <w:rsid w:val="00776D2F"/>
    <w:rsid w:val="00776F5E"/>
    <w:rsid w:val="00777446"/>
    <w:rsid w:val="00777449"/>
    <w:rsid w:val="007778CB"/>
    <w:rsid w:val="00777928"/>
    <w:rsid w:val="007800DB"/>
    <w:rsid w:val="0078030D"/>
    <w:rsid w:val="00780420"/>
    <w:rsid w:val="0078054E"/>
    <w:rsid w:val="0078056A"/>
    <w:rsid w:val="007806EA"/>
    <w:rsid w:val="007808F0"/>
    <w:rsid w:val="00780A08"/>
    <w:rsid w:val="00780A33"/>
    <w:rsid w:val="00780C2B"/>
    <w:rsid w:val="00780D2C"/>
    <w:rsid w:val="007810BE"/>
    <w:rsid w:val="00781163"/>
    <w:rsid w:val="0078125E"/>
    <w:rsid w:val="00781796"/>
    <w:rsid w:val="00781811"/>
    <w:rsid w:val="00781AEE"/>
    <w:rsid w:val="00781DAC"/>
    <w:rsid w:val="0078212A"/>
    <w:rsid w:val="00782449"/>
    <w:rsid w:val="007824FA"/>
    <w:rsid w:val="00782539"/>
    <w:rsid w:val="007825C6"/>
    <w:rsid w:val="00782A7F"/>
    <w:rsid w:val="00782ADD"/>
    <w:rsid w:val="00782B41"/>
    <w:rsid w:val="00783231"/>
    <w:rsid w:val="007833B0"/>
    <w:rsid w:val="007835A5"/>
    <w:rsid w:val="0078365B"/>
    <w:rsid w:val="007838ED"/>
    <w:rsid w:val="00783A1B"/>
    <w:rsid w:val="00783DD3"/>
    <w:rsid w:val="00783EEB"/>
    <w:rsid w:val="00783F8B"/>
    <w:rsid w:val="007841EB"/>
    <w:rsid w:val="00784204"/>
    <w:rsid w:val="00784243"/>
    <w:rsid w:val="007842CE"/>
    <w:rsid w:val="0078452F"/>
    <w:rsid w:val="00784746"/>
    <w:rsid w:val="00784974"/>
    <w:rsid w:val="00784B03"/>
    <w:rsid w:val="00784BA0"/>
    <w:rsid w:val="00784D7D"/>
    <w:rsid w:val="00784EC9"/>
    <w:rsid w:val="007851A1"/>
    <w:rsid w:val="007851B9"/>
    <w:rsid w:val="007853A0"/>
    <w:rsid w:val="007854AA"/>
    <w:rsid w:val="007855D2"/>
    <w:rsid w:val="007857EA"/>
    <w:rsid w:val="0078580F"/>
    <w:rsid w:val="0078594C"/>
    <w:rsid w:val="00785A65"/>
    <w:rsid w:val="00785BD4"/>
    <w:rsid w:val="00785C03"/>
    <w:rsid w:val="00785CA2"/>
    <w:rsid w:val="00785E0A"/>
    <w:rsid w:val="00785F6D"/>
    <w:rsid w:val="00785FE2"/>
    <w:rsid w:val="00786132"/>
    <w:rsid w:val="007864C5"/>
    <w:rsid w:val="007865F8"/>
    <w:rsid w:val="007867FC"/>
    <w:rsid w:val="00786B11"/>
    <w:rsid w:val="00786C77"/>
    <w:rsid w:val="00786C9E"/>
    <w:rsid w:val="00786CBB"/>
    <w:rsid w:val="007871E8"/>
    <w:rsid w:val="00787398"/>
    <w:rsid w:val="00787678"/>
    <w:rsid w:val="007879F2"/>
    <w:rsid w:val="00787AAE"/>
    <w:rsid w:val="00787AEB"/>
    <w:rsid w:val="00787C4C"/>
    <w:rsid w:val="00787EC0"/>
    <w:rsid w:val="0079039E"/>
    <w:rsid w:val="007905DB"/>
    <w:rsid w:val="00790867"/>
    <w:rsid w:val="00790892"/>
    <w:rsid w:val="0079098A"/>
    <w:rsid w:val="00790994"/>
    <w:rsid w:val="00790A60"/>
    <w:rsid w:val="00790F72"/>
    <w:rsid w:val="00790FAE"/>
    <w:rsid w:val="0079118B"/>
    <w:rsid w:val="00791880"/>
    <w:rsid w:val="007919FD"/>
    <w:rsid w:val="00791AC7"/>
    <w:rsid w:val="00791B92"/>
    <w:rsid w:val="00791C23"/>
    <w:rsid w:val="00791CAC"/>
    <w:rsid w:val="00791FE6"/>
    <w:rsid w:val="0079200F"/>
    <w:rsid w:val="007920F3"/>
    <w:rsid w:val="00792687"/>
    <w:rsid w:val="00792AC1"/>
    <w:rsid w:val="00792B19"/>
    <w:rsid w:val="00792FE1"/>
    <w:rsid w:val="00793222"/>
    <w:rsid w:val="00793262"/>
    <w:rsid w:val="007932FC"/>
    <w:rsid w:val="00793324"/>
    <w:rsid w:val="0079348A"/>
    <w:rsid w:val="00793505"/>
    <w:rsid w:val="00793513"/>
    <w:rsid w:val="0079382E"/>
    <w:rsid w:val="00793BCB"/>
    <w:rsid w:val="00793C95"/>
    <w:rsid w:val="00793CBD"/>
    <w:rsid w:val="007940DA"/>
    <w:rsid w:val="0079476C"/>
    <w:rsid w:val="007949D7"/>
    <w:rsid w:val="00794DE3"/>
    <w:rsid w:val="00795041"/>
    <w:rsid w:val="007950CE"/>
    <w:rsid w:val="0079529B"/>
    <w:rsid w:val="00795385"/>
    <w:rsid w:val="0079569B"/>
    <w:rsid w:val="00795A34"/>
    <w:rsid w:val="00795A68"/>
    <w:rsid w:val="00795BE9"/>
    <w:rsid w:val="00795F8B"/>
    <w:rsid w:val="00796276"/>
    <w:rsid w:val="0079689C"/>
    <w:rsid w:val="00796A55"/>
    <w:rsid w:val="00796BF9"/>
    <w:rsid w:val="00796D05"/>
    <w:rsid w:val="00796F0F"/>
    <w:rsid w:val="00796F43"/>
    <w:rsid w:val="00797341"/>
    <w:rsid w:val="007975AD"/>
    <w:rsid w:val="007976FB"/>
    <w:rsid w:val="007977CA"/>
    <w:rsid w:val="007979CE"/>
    <w:rsid w:val="00797AB3"/>
    <w:rsid w:val="00797AB4"/>
    <w:rsid w:val="00797C96"/>
    <w:rsid w:val="00797E91"/>
    <w:rsid w:val="007A004C"/>
    <w:rsid w:val="007A034A"/>
    <w:rsid w:val="007A0552"/>
    <w:rsid w:val="007A059A"/>
    <w:rsid w:val="007A07EF"/>
    <w:rsid w:val="007A0A41"/>
    <w:rsid w:val="007A0E24"/>
    <w:rsid w:val="007A12B2"/>
    <w:rsid w:val="007A1B78"/>
    <w:rsid w:val="007A1B8F"/>
    <w:rsid w:val="007A1C0E"/>
    <w:rsid w:val="007A1C5E"/>
    <w:rsid w:val="007A2004"/>
    <w:rsid w:val="007A2077"/>
    <w:rsid w:val="007A25CB"/>
    <w:rsid w:val="007A27EC"/>
    <w:rsid w:val="007A28CE"/>
    <w:rsid w:val="007A2AFD"/>
    <w:rsid w:val="007A2B98"/>
    <w:rsid w:val="007A2BE2"/>
    <w:rsid w:val="007A2BEB"/>
    <w:rsid w:val="007A2CFB"/>
    <w:rsid w:val="007A2DD6"/>
    <w:rsid w:val="007A2E7A"/>
    <w:rsid w:val="007A2F91"/>
    <w:rsid w:val="007A325B"/>
    <w:rsid w:val="007A336A"/>
    <w:rsid w:val="007A3603"/>
    <w:rsid w:val="007A373E"/>
    <w:rsid w:val="007A38F6"/>
    <w:rsid w:val="007A3C1D"/>
    <w:rsid w:val="007A3C1F"/>
    <w:rsid w:val="007A3DF5"/>
    <w:rsid w:val="007A470F"/>
    <w:rsid w:val="007A4C9D"/>
    <w:rsid w:val="007A4CB0"/>
    <w:rsid w:val="007A4D56"/>
    <w:rsid w:val="007A508B"/>
    <w:rsid w:val="007A54E6"/>
    <w:rsid w:val="007A568F"/>
    <w:rsid w:val="007A5A5D"/>
    <w:rsid w:val="007A5BE8"/>
    <w:rsid w:val="007A6066"/>
    <w:rsid w:val="007A6452"/>
    <w:rsid w:val="007A6A0B"/>
    <w:rsid w:val="007A6A8A"/>
    <w:rsid w:val="007A6BC5"/>
    <w:rsid w:val="007A6CB1"/>
    <w:rsid w:val="007A6CF6"/>
    <w:rsid w:val="007A6F98"/>
    <w:rsid w:val="007A7405"/>
    <w:rsid w:val="007A7452"/>
    <w:rsid w:val="007A74C2"/>
    <w:rsid w:val="007A74CB"/>
    <w:rsid w:val="007A7BAC"/>
    <w:rsid w:val="007A7CBE"/>
    <w:rsid w:val="007B0229"/>
    <w:rsid w:val="007B05A9"/>
    <w:rsid w:val="007B0695"/>
    <w:rsid w:val="007B0A0E"/>
    <w:rsid w:val="007B0BE0"/>
    <w:rsid w:val="007B0C0C"/>
    <w:rsid w:val="007B1124"/>
    <w:rsid w:val="007B121B"/>
    <w:rsid w:val="007B1226"/>
    <w:rsid w:val="007B1AE0"/>
    <w:rsid w:val="007B1D10"/>
    <w:rsid w:val="007B1EB3"/>
    <w:rsid w:val="007B2020"/>
    <w:rsid w:val="007B2180"/>
    <w:rsid w:val="007B2251"/>
    <w:rsid w:val="007B254D"/>
    <w:rsid w:val="007B258B"/>
    <w:rsid w:val="007B2721"/>
    <w:rsid w:val="007B27FA"/>
    <w:rsid w:val="007B2BA8"/>
    <w:rsid w:val="007B309C"/>
    <w:rsid w:val="007B30FB"/>
    <w:rsid w:val="007B3132"/>
    <w:rsid w:val="007B3152"/>
    <w:rsid w:val="007B3965"/>
    <w:rsid w:val="007B3A47"/>
    <w:rsid w:val="007B3C6B"/>
    <w:rsid w:val="007B3E7D"/>
    <w:rsid w:val="007B4094"/>
    <w:rsid w:val="007B40AB"/>
    <w:rsid w:val="007B42F8"/>
    <w:rsid w:val="007B44CA"/>
    <w:rsid w:val="007B4680"/>
    <w:rsid w:val="007B4BCA"/>
    <w:rsid w:val="007B4F36"/>
    <w:rsid w:val="007B5066"/>
    <w:rsid w:val="007B572A"/>
    <w:rsid w:val="007B5764"/>
    <w:rsid w:val="007B57E4"/>
    <w:rsid w:val="007B5A33"/>
    <w:rsid w:val="007B5ADD"/>
    <w:rsid w:val="007B5B60"/>
    <w:rsid w:val="007B5BDF"/>
    <w:rsid w:val="007B5CC8"/>
    <w:rsid w:val="007B5F65"/>
    <w:rsid w:val="007B60A8"/>
    <w:rsid w:val="007B61D6"/>
    <w:rsid w:val="007B6598"/>
    <w:rsid w:val="007B68DB"/>
    <w:rsid w:val="007B68F9"/>
    <w:rsid w:val="007B6933"/>
    <w:rsid w:val="007B6BCB"/>
    <w:rsid w:val="007B71E1"/>
    <w:rsid w:val="007B76B9"/>
    <w:rsid w:val="007B7B55"/>
    <w:rsid w:val="007C0017"/>
    <w:rsid w:val="007C051B"/>
    <w:rsid w:val="007C05BD"/>
    <w:rsid w:val="007C06C1"/>
    <w:rsid w:val="007C0775"/>
    <w:rsid w:val="007C0A8F"/>
    <w:rsid w:val="007C0B80"/>
    <w:rsid w:val="007C0F54"/>
    <w:rsid w:val="007C0F6F"/>
    <w:rsid w:val="007C1179"/>
    <w:rsid w:val="007C1452"/>
    <w:rsid w:val="007C207B"/>
    <w:rsid w:val="007C2121"/>
    <w:rsid w:val="007C2373"/>
    <w:rsid w:val="007C2385"/>
    <w:rsid w:val="007C23AE"/>
    <w:rsid w:val="007C2BBB"/>
    <w:rsid w:val="007C2EBE"/>
    <w:rsid w:val="007C3262"/>
    <w:rsid w:val="007C365C"/>
    <w:rsid w:val="007C36FA"/>
    <w:rsid w:val="007C3734"/>
    <w:rsid w:val="007C378F"/>
    <w:rsid w:val="007C37D2"/>
    <w:rsid w:val="007C3F40"/>
    <w:rsid w:val="007C3F8F"/>
    <w:rsid w:val="007C4105"/>
    <w:rsid w:val="007C418C"/>
    <w:rsid w:val="007C432A"/>
    <w:rsid w:val="007C46B7"/>
    <w:rsid w:val="007C48E6"/>
    <w:rsid w:val="007C4B7C"/>
    <w:rsid w:val="007C4BA1"/>
    <w:rsid w:val="007C4DC4"/>
    <w:rsid w:val="007C4E89"/>
    <w:rsid w:val="007C50E3"/>
    <w:rsid w:val="007C51D4"/>
    <w:rsid w:val="007C53FA"/>
    <w:rsid w:val="007C540C"/>
    <w:rsid w:val="007C5850"/>
    <w:rsid w:val="007C5C07"/>
    <w:rsid w:val="007C5D52"/>
    <w:rsid w:val="007C5D89"/>
    <w:rsid w:val="007C5DD2"/>
    <w:rsid w:val="007C5E66"/>
    <w:rsid w:val="007C66DC"/>
    <w:rsid w:val="007C707A"/>
    <w:rsid w:val="007C7426"/>
    <w:rsid w:val="007C76F2"/>
    <w:rsid w:val="007C78D1"/>
    <w:rsid w:val="007D0003"/>
    <w:rsid w:val="007D0032"/>
    <w:rsid w:val="007D0089"/>
    <w:rsid w:val="007D00A3"/>
    <w:rsid w:val="007D02E1"/>
    <w:rsid w:val="007D0346"/>
    <w:rsid w:val="007D0A17"/>
    <w:rsid w:val="007D0BC6"/>
    <w:rsid w:val="007D0F04"/>
    <w:rsid w:val="007D1290"/>
    <w:rsid w:val="007D12F3"/>
    <w:rsid w:val="007D1484"/>
    <w:rsid w:val="007D15DE"/>
    <w:rsid w:val="007D1642"/>
    <w:rsid w:val="007D1732"/>
    <w:rsid w:val="007D173D"/>
    <w:rsid w:val="007D1771"/>
    <w:rsid w:val="007D1891"/>
    <w:rsid w:val="007D19D4"/>
    <w:rsid w:val="007D1A38"/>
    <w:rsid w:val="007D1C38"/>
    <w:rsid w:val="007D1FAB"/>
    <w:rsid w:val="007D20EF"/>
    <w:rsid w:val="007D2142"/>
    <w:rsid w:val="007D2155"/>
    <w:rsid w:val="007D218B"/>
    <w:rsid w:val="007D2247"/>
    <w:rsid w:val="007D2273"/>
    <w:rsid w:val="007D250D"/>
    <w:rsid w:val="007D2613"/>
    <w:rsid w:val="007D273E"/>
    <w:rsid w:val="007D2741"/>
    <w:rsid w:val="007D27EC"/>
    <w:rsid w:val="007D296E"/>
    <w:rsid w:val="007D2DAB"/>
    <w:rsid w:val="007D35B5"/>
    <w:rsid w:val="007D35CC"/>
    <w:rsid w:val="007D3690"/>
    <w:rsid w:val="007D390D"/>
    <w:rsid w:val="007D39EB"/>
    <w:rsid w:val="007D3B2A"/>
    <w:rsid w:val="007D3C9D"/>
    <w:rsid w:val="007D3CAD"/>
    <w:rsid w:val="007D423F"/>
    <w:rsid w:val="007D4476"/>
    <w:rsid w:val="007D44B9"/>
    <w:rsid w:val="007D4571"/>
    <w:rsid w:val="007D4D98"/>
    <w:rsid w:val="007D4DB9"/>
    <w:rsid w:val="007D5093"/>
    <w:rsid w:val="007D5524"/>
    <w:rsid w:val="007D56AD"/>
    <w:rsid w:val="007D5BAC"/>
    <w:rsid w:val="007D5D6A"/>
    <w:rsid w:val="007D5E4B"/>
    <w:rsid w:val="007D5E50"/>
    <w:rsid w:val="007D5EE5"/>
    <w:rsid w:val="007D6248"/>
    <w:rsid w:val="007D6278"/>
    <w:rsid w:val="007D6456"/>
    <w:rsid w:val="007D64AC"/>
    <w:rsid w:val="007D65CA"/>
    <w:rsid w:val="007D663F"/>
    <w:rsid w:val="007D68CC"/>
    <w:rsid w:val="007D6AE0"/>
    <w:rsid w:val="007D702C"/>
    <w:rsid w:val="007D72D4"/>
    <w:rsid w:val="007D73F7"/>
    <w:rsid w:val="007D750E"/>
    <w:rsid w:val="007D754B"/>
    <w:rsid w:val="007D7702"/>
    <w:rsid w:val="007D7732"/>
    <w:rsid w:val="007D77E7"/>
    <w:rsid w:val="007D7D7E"/>
    <w:rsid w:val="007E00DB"/>
    <w:rsid w:val="007E0158"/>
    <w:rsid w:val="007E03AF"/>
    <w:rsid w:val="007E0581"/>
    <w:rsid w:val="007E08AE"/>
    <w:rsid w:val="007E08FE"/>
    <w:rsid w:val="007E0934"/>
    <w:rsid w:val="007E09E4"/>
    <w:rsid w:val="007E0C32"/>
    <w:rsid w:val="007E0C97"/>
    <w:rsid w:val="007E0F48"/>
    <w:rsid w:val="007E0F5E"/>
    <w:rsid w:val="007E0FC1"/>
    <w:rsid w:val="007E11F1"/>
    <w:rsid w:val="007E12B3"/>
    <w:rsid w:val="007E12DD"/>
    <w:rsid w:val="007E144E"/>
    <w:rsid w:val="007E147D"/>
    <w:rsid w:val="007E17DE"/>
    <w:rsid w:val="007E19DC"/>
    <w:rsid w:val="007E1B22"/>
    <w:rsid w:val="007E1CA4"/>
    <w:rsid w:val="007E1DC6"/>
    <w:rsid w:val="007E1FAB"/>
    <w:rsid w:val="007E207A"/>
    <w:rsid w:val="007E22EE"/>
    <w:rsid w:val="007E2504"/>
    <w:rsid w:val="007E2718"/>
    <w:rsid w:val="007E27C3"/>
    <w:rsid w:val="007E27C6"/>
    <w:rsid w:val="007E2BD1"/>
    <w:rsid w:val="007E2C51"/>
    <w:rsid w:val="007E2CAC"/>
    <w:rsid w:val="007E2E7B"/>
    <w:rsid w:val="007E358C"/>
    <w:rsid w:val="007E3A01"/>
    <w:rsid w:val="007E3B98"/>
    <w:rsid w:val="007E3BB7"/>
    <w:rsid w:val="007E4023"/>
    <w:rsid w:val="007E47EA"/>
    <w:rsid w:val="007E483E"/>
    <w:rsid w:val="007E4C1C"/>
    <w:rsid w:val="007E4C8F"/>
    <w:rsid w:val="007E4D5F"/>
    <w:rsid w:val="007E4DF0"/>
    <w:rsid w:val="007E51A5"/>
    <w:rsid w:val="007E52E2"/>
    <w:rsid w:val="007E53BF"/>
    <w:rsid w:val="007E53C9"/>
    <w:rsid w:val="007E54B2"/>
    <w:rsid w:val="007E565A"/>
    <w:rsid w:val="007E5806"/>
    <w:rsid w:val="007E5AB3"/>
    <w:rsid w:val="007E5E17"/>
    <w:rsid w:val="007E5F40"/>
    <w:rsid w:val="007E61EB"/>
    <w:rsid w:val="007E6242"/>
    <w:rsid w:val="007E6406"/>
    <w:rsid w:val="007E6412"/>
    <w:rsid w:val="007E65B1"/>
    <w:rsid w:val="007E661A"/>
    <w:rsid w:val="007E68EE"/>
    <w:rsid w:val="007E6998"/>
    <w:rsid w:val="007E6A40"/>
    <w:rsid w:val="007E6B19"/>
    <w:rsid w:val="007E6CFA"/>
    <w:rsid w:val="007E6D3E"/>
    <w:rsid w:val="007E6E1D"/>
    <w:rsid w:val="007E72BE"/>
    <w:rsid w:val="007E7758"/>
    <w:rsid w:val="007E7838"/>
    <w:rsid w:val="007E78D5"/>
    <w:rsid w:val="007E7C51"/>
    <w:rsid w:val="007E7D9A"/>
    <w:rsid w:val="007E7DD6"/>
    <w:rsid w:val="007F0123"/>
    <w:rsid w:val="007F1176"/>
    <w:rsid w:val="007F130F"/>
    <w:rsid w:val="007F1339"/>
    <w:rsid w:val="007F14F1"/>
    <w:rsid w:val="007F1750"/>
    <w:rsid w:val="007F17D7"/>
    <w:rsid w:val="007F18D5"/>
    <w:rsid w:val="007F196B"/>
    <w:rsid w:val="007F1B07"/>
    <w:rsid w:val="007F1CCE"/>
    <w:rsid w:val="007F1E6B"/>
    <w:rsid w:val="007F1E77"/>
    <w:rsid w:val="007F2000"/>
    <w:rsid w:val="007F229E"/>
    <w:rsid w:val="007F235D"/>
    <w:rsid w:val="007F2AA7"/>
    <w:rsid w:val="007F3120"/>
    <w:rsid w:val="007F320F"/>
    <w:rsid w:val="007F3AFF"/>
    <w:rsid w:val="007F3D69"/>
    <w:rsid w:val="007F3D9A"/>
    <w:rsid w:val="007F3DA7"/>
    <w:rsid w:val="007F3F8C"/>
    <w:rsid w:val="007F40F9"/>
    <w:rsid w:val="007F4282"/>
    <w:rsid w:val="007F43D9"/>
    <w:rsid w:val="007F44F1"/>
    <w:rsid w:val="007F468D"/>
    <w:rsid w:val="007F4857"/>
    <w:rsid w:val="007F4AF4"/>
    <w:rsid w:val="007F4B5C"/>
    <w:rsid w:val="007F4C0F"/>
    <w:rsid w:val="007F4C63"/>
    <w:rsid w:val="007F4E4D"/>
    <w:rsid w:val="007F4EA2"/>
    <w:rsid w:val="007F50D7"/>
    <w:rsid w:val="007F5222"/>
    <w:rsid w:val="007F52F9"/>
    <w:rsid w:val="007F54EB"/>
    <w:rsid w:val="007F59F9"/>
    <w:rsid w:val="007F5C29"/>
    <w:rsid w:val="007F5D03"/>
    <w:rsid w:val="007F5F32"/>
    <w:rsid w:val="007F6418"/>
    <w:rsid w:val="007F67F1"/>
    <w:rsid w:val="007F6876"/>
    <w:rsid w:val="007F68A7"/>
    <w:rsid w:val="007F71A1"/>
    <w:rsid w:val="007F767D"/>
    <w:rsid w:val="007F7690"/>
    <w:rsid w:val="007F784D"/>
    <w:rsid w:val="007F7B0D"/>
    <w:rsid w:val="007F7B4D"/>
    <w:rsid w:val="007F7C96"/>
    <w:rsid w:val="00800031"/>
    <w:rsid w:val="00800089"/>
    <w:rsid w:val="008003A3"/>
    <w:rsid w:val="00800683"/>
    <w:rsid w:val="008006CC"/>
    <w:rsid w:val="00800A17"/>
    <w:rsid w:val="00800D19"/>
    <w:rsid w:val="00801066"/>
    <w:rsid w:val="00801404"/>
    <w:rsid w:val="00801470"/>
    <w:rsid w:val="008014A6"/>
    <w:rsid w:val="00801623"/>
    <w:rsid w:val="008017B6"/>
    <w:rsid w:val="00801987"/>
    <w:rsid w:val="00801C6A"/>
    <w:rsid w:val="00801C9F"/>
    <w:rsid w:val="008022DE"/>
    <w:rsid w:val="008024B5"/>
    <w:rsid w:val="00802C8D"/>
    <w:rsid w:val="00802E5A"/>
    <w:rsid w:val="00803093"/>
    <w:rsid w:val="0080318D"/>
    <w:rsid w:val="0080320C"/>
    <w:rsid w:val="008032EF"/>
    <w:rsid w:val="00803409"/>
    <w:rsid w:val="00803443"/>
    <w:rsid w:val="008037C1"/>
    <w:rsid w:val="00803EC7"/>
    <w:rsid w:val="0080402E"/>
    <w:rsid w:val="008043FC"/>
    <w:rsid w:val="0080456D"/>
    <w:rsid w:val="008046F0"/>
    <w:rsid w:val="00804DE4"/>
    <w:rsid w:val="00804FFE"/>
    <w:rsid w:val="00805251"/>
    <w:rsid w:val="008052AE"/>
    <w:rsid w:val="00805379"/>
    <w:rsid w:val="00805623"/>
    <w:rsid w:val="008059E0"/>
    <w:rsid w:val="00805CC8"/>
    <w:rsid w:val="00805D67"/>
    <w:rsid w:val="00805E7C"/>
    <w:rsid w:val="0080641D"/>
    <w:rsid w:val="00806528"/>
    <w:rsid w:val="00806731"/>
    <w:rsid w:val="0080690B"/>
    <w:rsid w:val="00806AC5"/>
    <w:rsid w:val="008071E6"/>
    <w:rsid w:val="0080756D"/>
    <w:rsid w:val="00807784"/>
    <w:rsid w:val="00807815"/>
    <w:rsid w:val="00807A2C"/>
    <w:rsid w:val="00807A4B"/>
    <w:rsid w:val="00807A62"/>
    <w:rsid w:val="00807A77"/>
    <w:rsid w:val="00807AFA"/>
    <w:rsid w:val="008102CE"/>
    <w:rsid w:val="0081062C"/>
    <w:rsid w:val="00810AEE"/>
    <w:rsid w:val="00811256"/>
    <w:rsid w:val="008115D9"/>
    <w:rsid w:val="0081177A"/>
    <w:rsid w:val="008117BE"/>
    <w:rsid w:val="008118BF"/>
    <w:rsid w:val="00811991"/>
    <w:rsid w:val="00811D16"/>
    <w:rsid w:val="00811E19"/>
    <w:rsid w:val="00811F65"/>
    <w:rsid w:val="0081211A"/>
    <w:rsid w:val="00812632"/>
    <w:rsid w:val="00812AB3"/>
    <w:rsid w:val="00812D92"/>
    <w:rsid w:val="00813195"/>
    <w:rsid w:val="008131E1"/>
    <w:rsid w:val="008131FC"/>
    <w:rsid w:val="0081372A"/>
    <w:rsid w:val="0081376A"/>
    <w:rsid w:val="0081376C"/>
    <w:rsid w:val="00813BCE"/>
    <w:rsid w:val="00813FD3"/>
    <w:rsid w:val="0081418B"/>
    <w:rsid w:val="0081423B"/>
    <w:rsid w:val="008145D4"/>
    <w:rsid w:val="00814682"/>
    <w:rsid w:val="0081470F"/>
    <w:rsid w:val="00814721"/>
    <w:rsid w:val="0081473A"/>
    <w:rsid w:val="008149DE"/>
    <w:rsid w:val="00814CE7"/>
    <w:rsid w:val="00814E1B"/>
    <w:rsid w:val="00814E82"/>
    <w:rsid w:val="00814FFB"/>
    <w:rsid w:val="00815364"/>
    <w:rsid w:val="008153CF"/>
    <w:rsid w:val="008158E9"/>
    <w:rsid w:val="00815C3A"/>
    <w:rsid w:val="008161AF"/>
    <w:rsid w:val="0081661A"/>
    <w:rsid w:val="008166D5"/>
    <w:rsid w:val="00816704"/>
    <w:rsid w:val="00816870"/>
    <w:rsid w:val="0081688B"/>
    <w:rsid w:val="00816D11"/>
    <w:rsid w:val="008170DB"/>
    <w:rsid w:val="00817279"/>
    <w:rsid w:val="0081729E"/>
    <w:rsid w:val="00817481"/>
    <w:rsid w:val="008177DD"/>
    <w:rsid w:val="00817826"/>
    <w:rsid w:val="0081789D"/>
    <w:rsid w:val="00817955"/>
    <w:rsid w:val="008200D8"/>
    <w:rsid w:val="0082015D"/>
    <w:rsid w:val="008205DE"/>
    <w:rsid w:val="008207B2"/>
    <w:rsid w:val="0082085F"/>
    <w:rsid w:val="00820942"/>
    <w:rsid w:val="00820A16"/>
    <w:rsid w:val="00820A29"/>
    <w:rsid w:val="00820AF7"/>
    <w:rsid w:val="00820D79"/>
    <w:rsid w:val="00820DD1"/>
    <w:rsid w:val="00820F55"/>
    <w:rsid w:val="00820F5A"/>
    <w:rsid w:val="0082108E"/>
    <w:rsid w:val="008218E3"/>
    <w:rsid w:val="0082191B"/>
    <w:rsid w:val="00821926"/>
    <w:rsid w:val="00821C01"/>
    <w:rsid w:val="00822080"/>
    <w:rsid w:val="00822200"/>
    <w:rsid w:val="0082223C"/>
    <w:rsid w:val="00822643"/>
    <w:rsid w:val="008226E5"/>
    <w:rsid w:val="00822879"/>
    <w:rsid w:val="00822A39"/>
    <w:rsid w:val="00822AF6"/>
    <w:rsid w:val="00822C1D"/>
    <w:rsid w:val="00822C8B"/>
    <w:rsid w:val="00822D3F"/>
    <w:rsid w:val="00822D64"/>
    <w:rsid w:val="008230A3"/>
    <w:rsid w:val="008230CB"/>
    <w:rsid w:val="00823132"/>
    <w:rsid w:val="0082377A"/>
    <w:rsid w:val="008237B3"/>
    <w:rsid w:val="008237D4"/>
    <w:rsid w:val="00823967"/>
    <w:rsid w:val="008239D6"/>
    <w:rsid w:val="00823A0E"/>
    <w:rsid w:val="00823ADA"/>
    <w:rsid w:val="00823C03"/>
    <w:rsid w:val="00823C46"/>
    <w:rsid w:val="00823D9C"/>
    <w:rsid w:val="00823E70"/>
    <w:rsid w:val="00823F1D"/>
    <w:rsid w:val="0082428A"/>
    <w:rsid w:val="008242AD"/>
    <w:rsid w:val="008245CF"/>
    <w:rsid w:val="008248D7"/>
    <w:rsid w:val="00824A42"/>
    <w:rsid w:val="00824BCD"/>
    <w:rsid w:val="00824BF9"/>
    <w:rsid w:val="00824C44"/>
    <w:rsid w:val="00824CBC"/>
    <w:rsid w:val="00824D54"/>
    <w:rsid w:val="00824D6C"/>
    <w:rsid w:val="00824F42"/>
    <w:rsid w:val="008253B9"/>
    <w:rsid w:val="008253E0"/>
    <w:rsid w:val="0082570A"/>
    <w:rsid w:val="00825846"/>
    <w:rsid w:val="0082586E"/>
    <w:rsid w:val="00825D76"/>
    <w:rsid w:val="00826118"/>
    <w:rsid w:val="00826167"/>
    <w:rsid w:val="008261B1"/>
    <w:rsid w:val="00826348"/>
    <w:rsid w:val="008264A2"/>
    <w:rsid w:val="008264CC"/>
    <w:rsid w:val="00826522"/>
    <w:rsid w:val="00826830"/>
    <w:rsid w:val="00826D53"/>
    <w:rsid w:val="00826FC2"/>
    <w:rsid w:val="0082748D"/>
    <w:rsid w:val="008276BA"/>
    <w:rsid w:val="00827AA6"/>
    <w:rsid w:val="00827BD3"/>
    <w:rsid w:val="00827BDC"/>
    <w:rsid w:val="00827DEB"/>
    <w:rsid w:val="00827EFB"/>
    <w:rsid w:val="008301B3"/>
    <w:rsid w:val="008303D7"/>
    <w:rsid w:val="00830637"/>
    <w:rsid w:val="0083093B"/>
    <w:rsid w:val="00830AD3"/>
    <w:rsid w:val="00830E36"/>
    <w:rsid w:val="00831103"/>
    <w:rsid w:val="00831222"/>
    <w:rsid w:val="00831298"/>
    <w:rsid w:val="0083129C"/>
    <w:rsid w:val="00831355"/>
    <w:rsid w:val="008317CA"/>
    <w:rsid w:val="008318DC"/>
    <w:rsid w:val="00831AB3"/>
    <w:rsid w:val="00831CC6"/>
    <w:rsid w:val="00831CDB"/>
    <w:rsid w:val="00831F6F"/>
    <w:rsid w:val="00832286"/>
    <w:rsid w:val="008322E1"/>
    <w:rsid w:val="00832892"/>
    <w:rsid w:val="00832901"/>
    <w:rsid w:val="00832ADE"/>
    <w:rsid w:val="00832EC2"/>
    <w:rsid w:val="008332A2"/>
    <w:rsid w:val="0083351F"/>
    <w:rsid w:val="0083378B"/>
    <w:rsid w:val="00833C28"/>
    <w:rsid w:val="00833DDE"/>
    <w:rsid w:val="00833E16"/>
    <w:rsid w:val="0083408E"/>
    <w:rsid w:val="008340C6"/>
    <w:rsid w:val="00834171"/>
    <w:rsid w:val="008344FF"/>
    <w:rsid w:val="00834A42"/>
    <w:rsid w:val="00834E7A"/>
    <w:rsid w:val="00834F4A"/>
    <w:rsid w:val="008350CB"/>
    <w:rsid w:val="00835169"/>
    <w:rsid w:val="008351F5"/>
    <w:rsid w:val="008352C2"/>
    <w:rsid w:val="008352ED"/>
    <w:rsid w:val="00835674"/>
    <w:rsid w:val="00835E17"/>
    <w:rsid w:val="00835E6F"/>
    <w:rsid w:val="00835FF2"/>
    <w:rsid w:val="00835FFA"/>
    <w:rsid w:val="00836245"/>
    <w:rsid w:val="008363B9"/>
    <w:rsid w:val="00836424"/>
    <w:rsid w:val="008366DE"/>
    <w:rsid w:val="008367CB"/>
    <w:rsid w:val="00836B45"/>
    <w:rsid w:val="00836C27"/>
    <w:rsid w:val="00836DB1"/>
    <w:rsid w:val="008373A5"/>
    <w:rsid w:val="00837945"/>
    <w:rsid w:val="008379CB"/>
    <w:rsid w:val="00837C76"/>
    <w:rsid w:val="00837CC3"/>
    <w:rsid w:val="00837D1B"/>
    <w:rsid w:val="008400F9"/>
    <w:rsid w:val="00840263"/>
    <w:rsid w:val="008405AF"/>
    <w:rsid w:val="0084068F"/>
    <w:rsid w:val="008409A7"/>
    <w:rsid w:val="00840A20"/>
    <w:rsid w:val="00840BC3"/>
    <w:rsid w:val="00840E64"/>
    <w:rsid w:val="00840ED8"/>
    <w:rsid w:val="008410EF"/>
    <w:rsid w:val="008412C7"/>
    <w:rsid w:val="00841351"/>
    <w:rsid w:val="008413DA"/>
    <w:rsid w:val="00841565"/>
    <w:rsid w:val="008419AD"/>
    <w:rsid w:val="00841CBA"/>
    <w:rsid w:val="00841CCE"/>
    <w:rsid w:val="008421D7"/>
    <w:rsid w:val="00842468"/>
    <w:rsid w:val="00842521"/>
    <w:rsid w:val="0084255A"/>
    <w:rsid w:val="00842CE6"/>
    <w:rsid w:val="00842E5C"/>
    <w:rsid w:val="00843028"/>
    <w:rsid w:val="00843035"/>
    <w:rsid w:val="00843150"/>
    <w:rsid w:val="0084339E"/>
    <w:rsid w:val="00843417"/>
    <w:rsid w:val="008434BC"/>
    <w:rsid w:val="0084371F"/>
    <w:rsid w:val="00843BE1"/>
    <w:rsid w:val="00843D01"/>
    <w:rsid w:val="00844090"/>
    <w:rsid w:val="0084443B"/>
    <w:rsid w:val="0084473B"/>
    <w:rsid w:val="00844A46"/>
    <w:rsid w:val="00844C86"/>
    <w:rsid w:val="00844CEE"/>
    <w:rsid w:val="00844D32"/>
    <w:rsid w:val="00844EEE"/>
    <w:rsid w:val="0084500D"/>
    <w:rsid w:val="008455D5"/>
    <w:rsid w:val="00845805"/>
    <w:rsid w:val="00845ABF"/>
    <w:rsid w:val="00845BBF"/>
    <w:rsid w:val="00845CFF"/>
    <w:rsid w:val="0084605D"/>
    <w:rsid w:val="008460AD"/>
    <w:rsid w:val="00846290"/>
    <w:rsid w:val="0084643D"/>
    <w:rsid w:val="00846907"/>
    <w:rsid w:val="00846BC8"/>
    <w:rsid w:val="00846F65"/>
    <w:rsid w:val="00846FAB"/>
    <w:rsid w:val="008472A6"/>
    <w:rsid w:val="008473F3"/>
    <w:rsid w:val="0084762F"/>
    <w:rsid w:val="0084781F"/>
    <w:rsid w:val="00847967"/>
    <w:rsid w:val="00850017"/>
    <w:rsid w:val="0085005B"/>
    <w:rsid w:val="00850126"/>
    <w:rsid w:val="0085031D"/>
    <w:rsid w:val="008507DF"/>
    <w:rsid w:val="008508E3"/>
    <w:rsid w:val="00850A76"/>
    <w:rsid w:val="008510B8"/>
    <w:rsid w:val="008513DC"/>
    <w:rsid w:val="00851CF3"/>
    <w:rsid w:val="0085212C"/>
    <w:rsid w:val="00852342"/>
    <w:rsid w:val="008524C7"/>
    <w:rsid w:val="00852721"/>
    <w:rsid w:val="0085274F"/>
    <w:rsid w:val="00852977"/>
    <w:rsid w:val="00852C82"/>
    <w:rsid w:val="00852E52"/>
    <w:rsid w:val="00852F4F"/>
    <w:rsid w:val="00852F54"/>
    <w:rsid w:val="0085321F"/>
    <w:rsid w:val="00853248"/>
    <w:rsid w:val="0085329C"/>
    <w:rsid w:val="0085334E"/>
    <w:rsid w:val="00853425"/>
    <w:rsid w:val="00853702"/>
    <w:rsid w:val="00853831"/>
    <w:rsid w:val="00853C22"/>
    <w:rsid w:val="00853D0C"/>
    <w:rsid w:val="0085410C"/>
    <w:rsid w:val="00854369"/>
    <w:rsid w:val="008545DE"/>
    <w:rsid w:val="0085486A"/>
    <w:rsid w:val="008548A5"/>
    <w:rsid w:val="0085493D"/>
    <w:rsid w:val="00854B1C"/>
    <w:rsid w:val="00854B26"/>
    <w:rsid w:val="00854D24"/>
    <w:rsid w:val="00854D68"/>
    <w:rsid w:val="00854EF0"/>
    <w:rsid w:val="0085518F"/>
    <w:rsid w:val="00855196"/>
    <w:rsid w:val="008551F8"/>
    <w:rsid w:val="008552D3"/>
    <w:rsid w:val="008554C4"/>
    <w:rsid w:val="008554F4"/>
    <w:rsid w:val="008555AE"/>
    <w:rsid w:val="0085572A"/>
    <w:rsid w:val="0085578B"/>
    <w:rsid w:val="00855A98"/>
    <w:rsid w:val="00855B7D"/>
    <w:rsid w:val="00855C78"/>
    <w:rsid w:val="00855C83"/>
    <w:rsid w:val="00855F58"/>
    <w:rsid w:val="008563FE"/>
    <w:rsid w:val="0085640D"/>
    <w:rsid w:val="008568F1"/>
    <w:rsid w:val="0085694D"/>
    <w:rsid w:val="0085694E"/>
    <w:rsid w:val="00857780"/>
    <w:rsid w:val="008578A0"/>
    <w:rsid w:val="00857A4D"/>
    <w:rsid w:val="00857A68"/>
    <w:rsid w:val="00857CF5"/>
    <w:rsid w:val="00857E3E"/>
    <w:rsid w:val="00857E77"/>
    <w:rsid w:val="0086020F"/>
    <w:rsid w:val="008602D6"/>
    <w:rsid w:val="0086039E"/>
    <w:rsid w:val="00860443"/>
    <w:rsid w:val="008606BD"/>
    <w:rsid w:val="008606C2"/>
    <w:rsid w:val="008606DB"/>
    <w:rsid w:val="00860874"/>
    <w:rsid w:val="00860972"/>
    <w:rsid w:val="00860B28"/>
    <w:rsid w:val="00860D73"/>
    <w:rsid w:val="00861080"/>
    <w:rsid w:val="008610BD"/>
    <w:rsid w:val="00861685"/>
    <w:rsid w:val="0086169C"/>
    <w:rsid w:val="008616DC"/>
    <w:rsid w:val="00861735"/>
    <w:rsid w:val="008617F1"/>
    <w:rsid w:val="0086184C"/>
    <w:rsid w:val="008618CD"/>
    <w:rsid w:val="00861ABF"/>
    <w:rsid w:val="00861B01"/>
    <w:rsid w:val="00861D9F"/>
    <w:rsid w:val="00861E6C"/>
    <w:rsid w:val="00862018"/>
    <w:rsid w:val="00862245"/>
    <w:rsid w:val="008623DB"/>
    <w:rsid w:val="0086242B"/>
    <w:rsid w:val="0086258E"/>
    <w:rsid w:val="008625BB"/>
    <w:rsid w:val="00862689"/>
    <w:rsid w:val="0086270C"/>
    <w:rsid w:val="00862C13"/>
    <w:rsid w:val="00862C58"/>
    <w:rsid w:val="00862DD7"/>
    <w:rsid w:val="0086302A"/>
    <w:rsid w:val="008632A0"/>
    <w:rsid w:val="0086345A"/>
    <w:rsid w:val="00863543"/>
    <w:rsid w:val="008635C7"/>
    <w:rsid w:val="0086366A"/>
    <w:rsid w:val="0086368B"/>
    <w:rsid w:val="00863A52"/>
    <w:rsid w:val="00863E50"/>
    <w:rsid w:val="0086416E"/>
    <w:rsid w:val="0086435C"/>
    <w:rsid w:val="0086446F"/>
    <w:rsid w:val="00864BEC"/>
    <w:rsid w:val="00864CDB"/>
    <w:rsid w:val="00864EB0"/>
    <w:rsid w:val="0086505B"/>
    <w:rsid w:val="00865377"/>
    <w:rsid w:val="008656E2"/>
    <w:rsid w:val="0086581E"/>
    <w:rsid w:val="00865850"/>
    <w:rsid w:val="00866193"/>
    <w:rsid w:val="008661EA"/>
    <w:rsid w:val="0086668D"/>
    <w:rsid w:val="00866AD5"/>
    <w:rsid w:val="00866C6E"/>
    <w:rsid w:val="00866D8E"/>
    <w:rsid w:val="00866EF0"/>
    <w:rsid w:val="0086729B"/>
    <w:rsid w:val="008672C4"/>
    <w:rsid w:val="00867483"/>
    <w:rsid w:val="008675E8"/>
    <w:rsid w:val="00867900"/>
    <w:rsid w:val="008679D0"/>
    <w:rsid w:val="00867AE7"/>
    <w:rsid w:val="00867C94"/>
    <w:rsid w:val="00867E36"/>
    <w:rsid w:val="0087008D"/>
    <w:rsid w:val="0087008E"/>
    <w:rsid w:val="00870160"/>
    <w:rsid w:val="008702A0"/>
    <w:rsid w:val="0087036D"/>
    <w:rsid w:val="0087069B"/>
    <w:rsid w:val="008706AE"/>
    <w:rsid w:val="0087111A"/>
    <w:rsid w:val="0087117E"/>
    <w:rsid w:val="00871570"/>
    <w:rsid w:val="00871779"/>
    <w:rsid w:val="008717AD"/>
    <w:rsid w:val="00871831"/>
    <w:rsid w:val="00871974"/>
    <w:rsid w:val="00871CD1"/>
    <w:rsid w:val="00872367"/>
    <w:rsid w:val="008724D6"/>
    <w:rsid w:val="0087250C"/>
    <w:rsid w:val="008729FC"/>
    <w:rsid w:val="00872B84"/>
    <w:rsid w:val="00872BC5"/>
    <w:rsid w:val="00872F78"/>
    <w:rsid w:val="008730A1"/>
    <w:rsid w:val="0087332F"/>
    <w:rsid w:val="008733EE"/>
    <w:rsid w:val="008734A2"/>
    <w:rsid w:val="0087369F"/>
    <w:rsid w:val="00873922"/>
    <w:rsid w:val="00873956"/>
    <w:rsid w:val="0087397B"/>
    <w:rsid w:val="00873A3C"/>
    <w:rsid w:val="008743F3"/>
    <w:rsid w:val="00874487"/>
    <w:rsid w:val="00874841"/>
    <w:rsid w:val="0087498F"/>
    <w:rsid w:val="00874DD3"/>
    <w:rsid w:val="00875070"/>
    <w:rsid w:val="008754A8"/>
    <w:rsid w:val="00875694"/>
    <w:rsid w:val="0087596F"/>
    <w:rsid w:val="008759B7"/>
    <w:rsid w:val="00875B3A"/>
    <w:rsid w:val="00875CDD"/>
    <w:rsid w:val="00875D92"/>
    <w:rsid w:val="00875F3E"/>
    <w:rsid w:val="00875FD7"/>
    <w:rsid w:val="008760B0"/>
    <w:rsid w:val="008760DD"/>
    <w:rsid w:val="0087613E"/>
    <w:rsid w:val="0087664D"/>
    <w:rsid w:val="0087680A"/>
    <w:rsid w:val="0087682B"/>
    <w:rsid w:val="00876872"/>
    <w:rsid w:val="008769E4"/>
    <w:rsid w:val="00876BF5"/>
    <w:rsid w:val="00876E36"/>
    <w:rsid w:val="00876E8B"/>
    <w:rsid w:val="008770CD"/>
    <w:rsid w:val="008771C5"/>
    <w:rsid w:val="008771ED"/>
    <w:rsid w:val="00877259"/>
    <w:rsid w:val="00877287"/>
    <w:rsid w:val="0087759C"/>
    <w:rsid w:val="008775BB"/>
    <w:rsid w:val="008777F4"/>
    <w:rsid w:val="00877AB0"/>
    <w:rsid w:val="00880036"/>
    <w:rsid w:val="008800ED"/>
    <w:rsid w:val="008801B1"/>
    <w:rsid w:val="008802D9"/>
    <w:rsid w:val="0088069B"/>
    <w:rsid w:val="008807CF"/>
    <w:rsid w:val="00880971"/>
    <w:rsid w:val="008809E2"/>
    <w:rsid w:val="00880ADB"/>
    <w:rsid w:val="00880C4F"/>
    <w:rsid w:val="00881108"/>
    <w:rsid w:val="0088151B"/>
    <w:rsid w:val="008815FD"/>
    <w:rsid w:val="00881754"/>
    <w:rsid w:val="00881781"/>
    <w:rsid w:val="0088191F"/>
    <w:rsid w:val="00881CD5"/>
    <w:rsid w:val="008823DD"/>
    <w:rsid w:val="00882451"/>
    <w:rsid w:val="0088246C"/>
    <w:rsid w:val="00882479"/>
    <w:rsid w:val="00882544"/>
    <w:rsid w:val="00882621"/>
    <w:rsid w:val="00882654"/>
    <w:rsid w:val="00882804"/>
    <w:rsid w:val="00882863"/>
    <w:rsid w:val="00882B7B"/>
    <w:rsid w:val="00882C09"/>
    <w:rsid w:val="00882CE7"/>
    <w:rsid w:val="00882D11"/>
    <w:rsid w:val="00882DF4"/>
    <w:rsid w:val="00882E5A"/>
    <w:rsid w:val="00883009"/>
    <w:rsid w:val="008830A5"/>
    <w:rsid w:val="00883596"/>
    <w:rsid w:val="00883635"/>
    <w:rsid w:val="008836DD"/>
    <w:rsid w:val="00883B41"/>
    <w:rsid w:val="00883C0E"/>
    <w:rsid w:val="00883C57"/>
    <w:rsid w:val="00883FBD"/>
    <w:rsid w:val="0088404B"/>
    <w:rsid w:val="0088420A"/>
    <w:rsid w:val="0088428B"/>
    <w:rsid w:val="008844DC"/>
    <w:rsid w:val="008844EA"/>
    <w:rsid w:val="0088470A"/>
    <w:rsid w:val="00884CB8"/>
    <w:rsid w:val="00884E26"/>
    <w:rsid w:val="00884E9F"/>
    <w:rsid w:val="00884F32"/>
    <w:rsid w:val="008855AA"/>
    <w:rsid w:val="00885620"/>
    <w:rsid w:val="00885657"/>
    <w:rsid w:val="008858FB"/>
    <w:rsid w:val="00885A83"/>
    <w:rsid w:val="00885AF3"/>
    <w:rsid w:val="00885CEA"/>
    <w:rsid w:val="00885E8C"/>
    <w:rsid w:val="00886235"/>
    <w:rsid w:val="008863BA"/>
    <w:rsid w:val="00886461"/>
    <w:rsid w:val="008866C2"/>
    <w:rsid w:val="00886733"/>
    <w:rsid w:val="008867F9"/>
    <w:rsid w:val="008868E4"/>
    <w:rsid w:val="0088694C"/>
    <w:rsid w:val="008869C8"/>
    <w:rsid w:val="00886A7F"/>
    <w:rsid w:val="00886B2F"/>
    <w:rsid w:val="00886E98"/>
    <w:rsid w:val="00887251"/>
    <w:rsid w:val="00887268"/>
    <w:rsid w:val="00887356"/>
    <w:rsid w:val="008874A2"/>
    <w:rsid w:val="008874BE"/>
    <w:rsid w:val="008877EC"/>
    <w:rsid w:val="00887830"/>
    <w:rsid w:val="00887B2C"/>
    <w:rsid w:val="00887F35"/>
    <w:rsid w:val="008900C8"/>
    <w:rsid w:val="00890308"/>
    <w:rsid w:val="008904CC"/>
    <w:rsid w:val="0089051A"/>
    <w:rsid w:val="00890BD5"/>
    <w:rsid w:val="00890CE6"/>
    <w:rsid w:val="00890D2C"/>
    <w:rsid w:val="00890F4D"/>
    <w:rsid w:val="008910C7"/>
    <w:rsid w:val="00891237"/>
    <w:rsid w:val="00891487"/>
    <w:rsid w:val="0089167C"/>
    <w:rsid w:val="00891E3F"/>
    <w:rsid w:val="00892216"/>
    <w:rsid w:val="0089252D"/>
    <w:rsid w:val="0089264C"/>
    <w:rsid w:val="00892AB3"/>
    <w:rsid w:val="00892DDF"/>
    <w:rsid w:val="00892F06"/>
    <w:rsid w:val="00893020"/>
    <w:rsid w:val="008933E6"/>
    <w:rsid w:val="0089350C"/>
    <w:rsid w:val="0089363F"/>
    <w:rsid w:val="00893810"/>
    <w:rsid w:val="00893B27"/>
    <w:rsid w:val="00893D5E"/>
    <w:rsid w:val="00893EDC"/>
    <w:rsid w:val="0089424A"/>
    <w:rsid w:val="00894316"/>
    <w:rsid w:val="008947D2"/>
    <w:rsid w:val="008949D3"/>
    <w:rsid w:val="00894C50"/>
    <w:rsid w:val="00894E43"/>
    <w:rsid w:val="00894FA2"/>
    <w:rsid w:val="008950B5"/>
    <w:rsid w:val="008953CD"/>
    <w:rsid w:val="008955BF"/>
    <w:rsid w:val="0089570A"/>
    <w:rsid w:val="008959BC"/>
    <w:rsid w:val="00895B61"/>
    <w:rsid w:val="00895EB5"/>
    <w:rsid w:val="008962FF"/>
    <w:rsid w:val="008964F8"/>
    <w:rsid w:val="00896552"/>
    <w:rsid w:val="008966E5"/>
    <w:rsid w:val="0089680E"/>
    <w:rsid w:val="008969E9"/>
    <w:rsid w:val="00896D35"/>
    <w:rsid w:val="00896E93"/>
    <w:rsid w:val="008970FB"/>
    <w:rsid w:val="0089719A"/>
    <w:rsid w:val="008978AD"/>
    <w:rsid w:val="00897A9C"/>
    <w:rsid w:val="008A026B"/>
    <w:rsid w:val="008A029A"/>
    <w:rsid w:val="008A02E4"/>
    <w:rsid w:val="008A095A"/>
    <w:rsid w:val="008A0ACE"/>
    <w:rsid w:val="008A0B48"/>
    <w:rsid w:val="008A0C2E"/>
    <w:rsid w:val="008A0C6B"/>
    <w:rsid w:val="008A0D57"/>
    <w:rsid w:val="008A0D97"/>
    <w:rsid w:val="008A0DD9"/>
    <w:rsid w:val="008A0DFB"/>
    <w:rsid w:val="008A112A"/>
    <w:rsid w:val="008A15D0"/>
    <w:rsid w:val="008A1695"/>
    <w:rsid w:val="008A16C3"/>
    <w:rsid w:val="008A180D"/>
    <w:rsid w:val="008A181C"/>
    <w:rsid w:val="008A1906"/>
    <w:rsid w:val="008A1AAE"/>
    <w:rsid w:val="008A1BF9"/>
    <w:rsid w:val="008A1C38"/>
    <w:rsid w:val="008A1FE4"/>
    <w:rsid w:val="008A1FF6"/>
    <w:rsid w:val="008A22E2"/>
    <w:rsid w:val="008A239C"/>
    <w:rsid w:val="008A2808"/>
    <w:rsid w:val="008A2918"/>
    <w:rsid w:val="008A297E"/>
    <w:rsid w:val="008A2A60"/>
    <w:rsid w:val="008A2C63"/>
    <w:rsid w:val="008A2F6E"/>
    <w:rsid w:val="008A2FF0"/>
    <w:rsid w:val="008A308C"/>
    <w:rsid w:val="008A30A8"/>
    <w:rsid w:val="008A322D"/>
    <w:rsid w:val="008A328B"/>
    <w:rsid w:val="008A3302"/>
    <w:rsid w:val="008A3521"/>
    <w:rsid w:val="008A3774"/>
    <w:rsid w:val="008A379A"/>
    <w:rsid w:val="008A3827"/>
    <w:rsid w:val="008A383E"/>
    <w:rsid w:val="008A3BF9"/>
    <w:rsid w:val="008A3CB6"/>
    <w:rsid w:val="008A4079"/>
    <w:rsid w:val="008A424D"/>
    <w:rsid w:val="008A430C"/>
    <w:rsid w:val="008A449E"/>
    <w:rsid w:val="008A46B5"/>
    <w:rsid w:val="008A4766"/>
    <w:rsid w:val="008A48EB"/>
    <w:rsid w:val="008A5072"/>
    <w:rsid w:val="008A5143"/>
    <w:rsid w:val="008A521C"/>
    <w:rsid w:val="008A5563"/>
    <w:rsid w:val="008A56C9"/>
    <w:rsid w:val="008A5846"/>
    <w:rsid w:val="008A5926"/>
    <w:rsid w:val="008A6852"/>
    <w:rsid w:val="008A6877"/>
    <w:rsid w:val="008A6918"/>
    <w:rsid w:val="008A6C86"/>
    <w:rsid w:val="008A6CAE"/>
    <w:rsid w:val="008A6ECD"/>
    <w:rsid w:val="008A7511"/>
    <w:rsid w:val="008A77E6"/>
    <w:rsid w:val="008A785D"/>
    <w:rsid w:val="008A78CA"/>
    <w:rsid w:val="008A7C8C"/>
    <w:rsid w:val="008A7D97"/>
    <w:rsid w:val="008B0A69"/>
    <w:rsid w:val="008B0C49"/>
    <w:rsid w:val="008B0EE7"/>
    <w:rsid w:val="008B0EF9"/>
    <w:rsid w:val="008B1068"/>
    <w:rsid w:val="008B11F3"/>
    <w:rsid w:val="008B1359"/>
    <w:rsid w:val="008B167F"/>
    <w:rsid w:val="008B1825"/>
    <w:rsid w:val="008B18ED"/>
    <w:rsid w:val="008B19C5"/>
    <w:rsid w:val="008B1A7F"/>
    <w:rsid w:val="008B1B61"/>
    <w:rsid w:val="008B1B84"/>
    <w:rsid w:val="008B21D5"/>
    <w:rsid w:val="008B2270"/>
    <w:rsid w:val="008B246B"/>
    <w:rsid w:val="008B2472"/>
    <w:rsid w:val="008B249C"/>
    <w:rsid w:val="008B2604"/>
    <w:rsid w:val="008B2674"/>
    <w:rsid w:val="008B2A96"/>
    <w:rsid w:val="008B33DA"/>
    <w:rsid w:val="008B3664"/>
    <w:rsid w:val="008B3AF2"/>
    <w:rsid w:val="008B3CD1"/>
    <w:rsid w:val="008B439E"/>
    <w:rsid w:val="008B453E"/>
    <w:rsid w:val="008B4864"/>
    <w:rsid w:val="008B4AED"/>
    <w:rsid w:val="008B4BAF"/>
    <w:rsid w:val="008B4E70"/>
    <w:rsid w:val="008B4E75"/>
    <w:rsid w:val="008B4EFD"/>
    <w:rsid w:val="008B4F92"/>
    <w:rsid w:val="008B5551"/>
    <w:rsid w:val="008B570C"/>
    <w:rsid w:val="008B57A1"/>
    <w:rsid w:val="008B57D3"/>
    <w:rsid w:val="008B58DE"/>
    <w:rsid w:val="008B5956"/>
    <w:rsid w:val="008B5A16"/>
    <w:rsid w:val="008B5B5D"/>
    <w:rsid w:val="008B616C"/>
    <w:rsid w:val="008B6210"/>
    <w:rsid w:val="008B6252"/>
    <w:rsid w:val="008B6546"/>
    <w:rsid w:val="008B6576"/>
    <w:rsid w:val="008B65DD"/>
    <w:rsid w:val="008B6801"/>
    <w:rsid w:val="008B6D86"/>
    <w:rsid w:val="008B7234"/>
    <w:rsid w:val="008B734C"/>
    <w:rsid w:val="008B7532"/>
    <w:rsid w:val="008B757B"/>
    <w:rsid w:val="008B75F4"/>
    <w:rsid w:val="008B76DC"/>
    <w:rsid w:val="008B7A7F"/>
    <w:rsid w:val="008B7EDE"/>
    <w:rsid w:val="008B7EF1"/>
    <w:rsid w:val="008B7FEE"/>
    <w:rsid w:val="008C0234"/>
    <w:rsid w:val="008C025F"/>
    <w:rsid w:val="008C02B9"/>
    <w:rsid w:val="008C0593"/>
    <w:rsid w:val="008C0A20"/>
    <w:rsid w:val="008C0C2B"/>
    <w:rsid w:val="008C0D6B"/>
    <w:rsid w:val="008C10B7"/>
    <w:rsid w:val="008C12F8"/>
    <w:rsid w:val="008C13CB"/>
    <w:rsid w:val="008C14F3"/>
    <w:rsid w:val="008C15D7"/>
    <w:rsid w:val="008C1793"/>
    <w:rsid w:val="008C1957"/>
    <w:rsid w:val="008C19B4"/>
    <w:rsid w:val="008C1B02"/>
    <w:rsid w:val="008C1BE5"/>
    <w:rsid w:val="008C1C87"/>
    <w:rsid w:val="008C1EF1"/>
    <w:rsid w:val="008C1F19"/>
    <w:rsid w:val="008C1F1B"/>
    <w:rsid w:val="008C2117"/>
    <w:rsid w:val="008C2211"/>
    <w:rsid w:val="008C2289"/>
    <w:rsid w:val="008C233F"/>
    <w:rsid w:val="008C2505"/>
    <w:rsid w:val="008C2712"/>
    <w:rsid w:val="008C27D0"/>
    <w:rsid w:val="008C2A5E"/>
    <w:rsid w:val="008C2D58"/>
    <w:rsid w:val="008C2D6E"/>
    <w:rsid w:val="008C3107"/>
    <w:rsid w:val="008C3BB8"/>
    <w:rsid w:val="008C3FD7"/>
    <w:rsid w:val="008C4357"/>
    <w:rsid w:val="008C436F"/>
    <w:rsid w:val="008C45BC"/>
    <w:rsid w:val="008C4607"/>
    <w:rsid w:val="008C4711"/>
    <w:rsid w:val="008C4AE1"/>
    <w:rsid w:val="008C4DA2"/>
    <w:rsid w:val="008C4DE0"/>
    <w:rsid w:val="008C4E47"/>
    <w:rsid w:val="008C4E62"/>
    <w:rsid w:val="008C52A3"/>
    <w:rsid w:val="008C5346"/>
    <w:rsid w:val="008C594E"/>
    <w:rsid w:val="008C59F3"/>
    <w:rsid w:val="008C5D17"/>
    <w:rsid w:val="008C5E6C"/>
    <w:rsid w:val="008C60F4"/>
    <w:rsid w:val="008C620E"/>
    <w:rsid w:val="008C6348"/>
    <w:rsid w:val="008C6544"/>
    <w:rsid w:val="008C6AE1"/>
    <w:rsid w:val="008C6B30"/>
    <w:rsid w:val="008C6D93"/>
    <w:rsid w:val="008C6E0E"/>
    <w:rsid w:val="008C707B"/>
    <w:rsid w:val="008C716D"/>
    <w:rsid w:val="008C744A"/>
    <w:rsid w:val="008C7450"/>
    <w:rsid w:val="008C7826"/>
    <w:rsid w:val="008C78BD"/>
    <w:rsid w:val="008C7927"/>
    <w:rsid w:val="008C7A4F"/>
    <w:rsid w:val="008C7B3E"/>
    <w:rsid w:val="008C7D73"/>
    <w:rsid w:val="008C7E8F"/>
    <w:rsid w:val="008D00B9"/>
    <w:rsid w:val="008D0282"/>
    <w:rsid w:val="008D0363"/>
    <w:rsid w:val="008D066F"/>
    <w:rsid w:val="008D0871"/>
    <w:rsid w:val="008D0A6E"/>
    <w:rsid w:val="008D0CEF"/>
    <w:rsid w:val="008D1512"/>
    <w:rsid w:val="008D156B"/>
    <w:rsid w:val="008D18A5"/>
    <w:rsid w:val="008D1DAF"/>
    <w:rsid w:val="008D2059"/>
    <w:rsid w:val="008D219A"/>
    <w:rsid w:val="008D21AC"/>
    <w:rsid w:val="008D28B9"/>
    <w:rsid w:val="008D2B31"/>
    <w:rsid w:val="008D2F61"/>
    <w:rsid w:val="008D2F98"/>
    <w:rsid w:val="008D33BB"/>
    <w:rsid w:val="008D340B"/>
    <w:rsid w:val="008D3471"/>
    <w:rsid w:val="008D36FD"/>
    <w:rsid w:val="008D3827"/>
    <w:rsid w:val="008D38C5"/>
    <w:rsid w:val="008D38EE"/>
    <w:rsid w:val="008D3A3D"/>
    <w:rsid w:val="008D3B9A"/>
    <w:rsid w:val="008D40A0"/>
    <w:rsid w:val="008D43E1"/>
    <w:rsid w:val="008D455B"/>
    <w:rsid w:val="008D4680"/>
    <w:rsid w:val="008D4A6E"/>
    <w:rsid w:val="008D4BFE"/>
    <w:rsid w:val="008D51A3"/>
    <w:rsid w:val="008D51FD"/>
    <w:rsid w:val="008D541C"/>
    <w:rsid w:val="008D57EF"/>
    <w:rsid w:val="008D58E9"/>
    <w:rsid w:val="008D5C22"/>
    <w:rsid w:val="008D5F76"/>
    <w:rsid w:val="008D68FD"/>
    <w:rsid w:val="008D692C"/>
    <w:rsid w:val="008D6C14"/>
    <w:rsid w:val="008D6D18"/>
    <w:rsid w:val="008D6EC0"/>
    <w:rsid w:val="008D7072"/>
    <w:rsid w:val="008D7110"/>
    <w:rsid w:val="008D7173"/>
    <w:rsid w:val="008D74E6"/>
    <w:rsid w:val="008D76B1"/>
    <w:rsid w:val="008D76C2"/>
    <w:rsid w:val="008D7777"/>
    <w:rsid w:val="008D790D"/>
    <w:rsid w:val="008D79AA"/>
    <w:rsid w:val="008D7A9F"/>
    <w:rsid w:val="008D7C0D"/>
    <w:rsid w:val="008D7D6D"/>
    <w:rsid w:val="008D7D73"/>
    <w:rsid w:val="008D7EF6"/>
    <w:rsid w:val="008E0315"/>
    <w:rsid w:val="008E0320"/>
    <w:rsid w:val="008E06DB"/>
    <w:rsid w:val="008E0723"/>
    <w:rsid w:val="008E0760"/>
    <w:rsid w:val="008E0782"/>
    <w:rsid w:val="008E0A5B"/>
    <w:rsid w:val="008E0EED"/>
    <w:rsid w:val="008E1282"/>
    <w:rsid w:val="008E1292"/>
    <w:rsid w:val="008E12A7"/>
    <w:rsid w:val="008E149F"/>
    <w:rsid w:val="008E1774"/>
    <w:rsid w:val="008E1797"/>
    <w:rsid w:val="008E181C"/>
    <w:rsid w:val="008E1939"/>
    <w:rsid w:val="008E1C17"/>
    <w:rsid w:val="008E1D26"/>
    <w:rsid w:val="008E1E3E"/>
    <w:rsid w:val="008E1E3F"/>
    <w:rsid w:val="008E1F1C"/>
    <w:rsid w:val="008E2329"/>
    <w:rsid w:val="008E24A3"/>
    <w:rsid w:val="008E29BF"/>
    <w:rsid w:val="008E310F"/>
    <w:rsid w:val="008E314C"/>
    <w:rsid w:val="008E316B"/>
    <w:rsid w:val="008E3629"/>
    <w:rsid w:val="008E38D6"/>
    <w:rsid w:val="008E3F22"/>
    <w:rsid w:val="008E4032"/>
    <w:rsid w:val="008E42C2"/>
    <w:rsid w:val="008E4345"/>
    <w:rsid w:val="008E47EF"/>
    <w:rsid w:val="008E4A70"/>
    <w:rsid w:val="008E4B10"/>
    <w:rsid w:val="008E4CAA"/>
    <w:rsid w:val="008E509C"/>
    <w:rsid w:val="008E50D5"/>
    <w:rsid w:val="008E5596"/>
    <w:rsid w:val="008E5741"/>
    <w:rsid w:val="008E5C3C"/>
    <w:rsid w:val="008E5D79"/>
    <w:rsid w:val="008E5ED4"/>
    <w:rsid w:val="008E5F64"/>
    <w:rsid w:val="008E60BF"/>
    <w:rsid w:val="008E624C"/>
    <w:rsid w:val="008E661D"/>
    <w:rsid w:val="008E673E"/>
    <w:rsid w:val="008E6B42"/>
    <w:rsid w:val="008E6D95"/>
    <w:rsid w:val="008E7016"/>
    <w:rsid w:val="008E70A9"/>
    <w:rsid w:val="008E72F2"/>
    <w:rsid w:val="008E7531"/>
    <w:rsid w:val="008E7603"/>
    <w:rsid w:val="008E784D"/>
    <w:rsid w:val="008E7851"/>
    <w:rsid w:val="008E7F2F"/>
    <w:rsid w:val="008E7FAC"/>
    <w:rsid w:val="008F00AE"/>
    <w:rsid w:val="008F06C4"/>
    <w:rsid w:val="008F06FE"/>
    <w:rsid w:val="008F074E"/>
    <w:rsid w:val="008F0973"/>
    <w:rsid w:val="008F09C6"/>
    <w:rsid w:val="008F11A8"/>
    <w:rsid w:val="008F1285"/>
    <w:rsid w:val="008F1A4C"/>
    <w:rsid w:val="008F1D68"/>
    <w:rsid w:val="008F1FF0"/>
    <w:rsid w:val="008F204C"/>
    <w:rsid w:val="008F2077"/>
    <w:rsid w:val="008F22A2"/>
    <w:rsid w:val="008F2333"/>
    <w:rsid w:val="008F24C9"/>
    <w:rsid w:val="008F26E8"/>
    <w:rsid w:val="008F2C36"/>
    <w:rsid w:val="008F2F9F"/>
    <w:rsid w:val="008F3325"/>
    <w:rsid w:val="008F333D"/>
    <w:rsid w:val="008F344D"/>
    <w:rsid w:val="008F36BB"/>
    <w:rsid w:val="008F38E7"/>
    <w:rsid w:val="008F39B0"/>
    <w:rsid w:val="008F39D7"/>
    <w:rsid w:val="008F3C6D"/>
    <w:rsid w:val="008F3C95"/>
    <w:rsid w:val="008F3D39"/>
    <w:rsid w:val="008F406C"/>
    <w:rsid w:val="008F4234"/>
    <w:rsid w:val="008F4366"/>
    <w:rsid w:val="008F457A"/>
    <w:rsid w:val="008F45B8"/>
    <w:rsid w:val="008F46FF"/>
    <w:rsid w:val="008F4B37"/>
    <w:rsid w:val="008F4CDB"/>
    <w:rsid w:val="008F4EB3"/>
    <w:rsid w:val="008F52C9"/>
    <w:rsid w:val="008F543A"/>
    <w:rsid w:val="008F58A8"/>
    <w:rsid w:val="008F5A48"/>
    <w:rsid w:val="008F5C7A"/>
    <w:rsid w:val="008F5F0E"/>
    <w:rsid w:val="008F5FB9"/>
    <w:rsid w:val="008F6229"/>
    <w:rsid w:val="008F638D"/>
    <w:rsid w:val="008F64DC"/>
    <w:rsid w:val="008F679D"/>
    <w:rsid w:val="008F690D"/>
    <w:rsid w:val="008F6949"/>
    <w:rsid w:val="008F7216"/>
    <w:rsid w:val="008F749A"/>
    <w:rsid w:val="008F766B"/>
    <w:rsid w:val="008F7774"/>
    <w:rsid w:val="008F7B69"/>
    <w:rsid w:val="008F7EDB"/>
    <w:rsid w:val="008F7EE1"/>
    <w:rsid w:val="00900569"/>
    <w:rsid w:val="009008DD"/>
    <w:rsid w:val="00901196"/>
    <w:rsid w:val="0090119A"/>
    <w:rsid w:val="00901316"/>
    <w:rsid w:val="00901563"/>
    <w:rsid w:val="00901694"/>
    <w:rsid w:val="009019C1"/>
    <w:rsid w:val="00901BAA"/>
    <w:rsid w:val="00901C60"/>
    <w:rsid w:val="00901CD1"/>
    <w:rsid w:val="00902012"/>
    <w:rsid w:val="00902253"/>
    <w:rsid w:val="0090227F"/>
    <w:rsid w:val="00902456"/>
    <w:rsid w:val="0090276E"/>
    <w:rsid w:val="00902826"/>
    <w:rsid w:val="00902A43"/>
    <w:rsid w:val="00902DDF"/>
    <w:rsid w:val="00902E48"/>
    <w:rsid w:val="00902ED5"/>
    <w:rsid w:val="00902F9C"/>
    <w:rsid w:val="00903006"/>
    <w:rsid w:val="009031DB"/>
    <w:rsid w:val="009033B1"/>
    <w:rsid w:val="00903689"/>
    <w:rsid w:val="0090397A"/>
    <w:rsid w:val="00903A77"/>
    <w:rsid w:val="00903D3F"/>
    <w:rsid w:val="00903FE9"/>
    <w:rsid w:val="0090401A"/>
    <w:rsid w:val="0090407E"/>
    <w:rsid w:val="009041F4"/>
    <w:rsid w:val="0090446B"/>
    <w:rsid w:val="00904599"/>
    <w:rsid w:val="00904949"/>
    <w:rsid w:val="00904D47"/>
    <w:rsid w:val="00904F84"/>
    <w:rsid w:val="00905174"/>
    <w:rsid w:val="00905290"/>
    <w:rsid w:val="00905553"/>
    <w:rsid w:val="00905A10"/>
    <w:rsid w:val="00905A77"/>
    <w:rsid w:val="00905C58"/>
    <w:rsid w:val="00905CB0"/>
    <w:rsid w:val="00905FB7"/>
    <w:rsid w:val="00906188"/>
    <w:rsid w:val="00906681"/>
    <w:rsid w:val="009067F6"/>
    <w:rsid w:val="0090697B"/>
    <w:rsid w:val="00906A2E"/>
    <w:rsid w:val="00906AFB"/>
    <w:rsid w:val="00906E36"/>
    <w:rsid w:val="00906E4E"/>
    <w:rsid w:val="00907507"/>
    <w:rsid w:val="00907AB9"/>
    <w:rsid w:val="00907F30"/>
    <w:rsid w:val="0091010F"/>
    <w:rsid w:val="00910145"/>
    <w:rsid w:val="00910182"/>
    <w:rsid w:val="00910433"/>
    <w:rsid w:val="0091070A"/>
    <w:rsid w:val="00910BD4"/>
    <w:rsid w:val="00910C49"/>
    <w:rsid w:val="00910F46"/>
    <w:rsid w:val="00910FFD"/>
    <w:rsid w:val="00911091"/>
    <w:rsid w:val="00911194"/>
    <w:rsid w:val="0091129E"/>
    <w:rsid w:val="009114D9"/>
    <w:rsid w:val="00911698"/>
    <w:rsid w:val="009117D0"/>
    <w:rsid w:val="00911B73"/>
    <w:rsid w:val="00911C19"/>
    <w:rsid w:val="00911DBA"/>
    <w:rsid w:val="00912112"/>
    <w:rsid w:val="0091225E"/>
    <w:rsid w:val="009124F3"/>
    <w:rsid w:val="009129AB"/>
    <w:rsid w:val="0091319E"/>
    <w:rsid w:val="0091322C"/>
    <w:rsid w:val="00913574"/>
    <w:rsid w:val="00913729"/>
    <w:rsid w:val="00913959"/>
    <w:rsid w:val="00913B08"/>
    <w:rsid w:val="00913B2A"/>
    <w:rsid w:val="00913C00"/>
    <w:rsid w:val="00913D12"/>
    <w:rsid w:val="00913D82"/>
    <w:rsid w:val="00914170"/>
    <w:rsid w:val="00914430"/>
    <w:rsid w:val="00914466"/>
    <w:rsid w:val="00914539"/>
    <w:rsid w:val="00914571"/>
    <w:rsid w:val="009145C0"/>
    <w:rsid w:val="00914613"/>
    <w:rsid w:val="00914886"/>
    <w:rsid w:val="0091488D"/>
    <w:rsid w:val="009149CB"/>
    <w:rsid w:val="00914B1C"/>
    <w:rsid w:val="00914CBE"/>
    <w:rsid w:val="00914CFA"/>
    <w:rsid w:val="00914D0F"/>
    <w:rsid w:val="00914F7A"/>
    <w:rsid w:val="00914FF0"/>
    <w:rsid w:val="009151C3"/>
    <w:rsid w:val="009154A1"/>
    <w:rsid w:val="009154F7"/>
    <w:rsid w:val="009155E8"/>
    <w:rsid w:val="009156CA"/>
    <w:rsid w:val="00915736"/>
    <w:rsid w:val="00915A72"/>
    <w:rsid w:val="00915DD0"/>
    <w:rsid w:val="00916496"/>
    <w:rsid w:val="00916554"/>
    <w:rsid w:val="0091666C"/>
    <w:rsid w:val="009166B5"/>
    <w:rsid w:val="00916B2D"/>
    <w:rsid w:val="00916C9C"/>
    <w:rsid w:val="00916E85"/>
    <w:rsid w:val="00916EE3"/>
    <w:rsid w:val="0091706E"/>
    <w:rsid w:val="00917174"/>
    <w:rsid w:val="00917219"/>
    <w:rsid w:val="00917353"/>
    <w:rsid w:val="00917B1E"/>
    <w:rsid w:val="00917F26"/>
    <w:rsid w:val="00920638"/>
    <w:rsid w:val="00920648"/>
    <w:rsid w:val="00920683"/>
    <w:rsid w:val="00920700"/>
    <w:rsid w:val="0092092F"/>
    <w:rsid w:val="0092099B"/>
    <w:rsid w:val="00920A68"/>
    <w:rsid w:val="00920AF9"/>
    <w:rsid w:val="00920ECE"/>
    <w:rsid w:val="00920F08"/>
    <w:rsid w:val="009212AF"/>
    <w:rsid w:val="00921416"/>
    <w:rsid w:val="0092146A"/>
    <w:rsid w:val="00921679"/>
    <w:rsid w:val="00921973"/>
    <w:rsid w:val="009219F3"/>
    <w:rsid w:val="00921AC1"/>
    <w:rsid w:val="00921C7F"/>
    <w:rsid w:val="00921F49"/>
    <w:rsid w:val="0092211B"/>
    <w:rsid w:val="0092214D"/>
    <w:rsid w:val="00922232"/>
    <w:rsid w:val="0092243A"/>
    <w:rsid w:val="00922648"/>
    <w:rsid w:val="009227BA"/>
    <w:rsid w:val="00922C92"/>
    <w:rsid w:val="00922E71"/>
    <w:rsid w:val="00922F67"/>
    <w:rsid w:val="00923338"/>
    <w:rsid w:val="009234E0"/>
    <w:rsid w:val="0092370A"/>
    <w:rsid w:val="00923A0C"/>
    <w:rsid w:val="00923DE1"/>
    <w:rsid w:val="00923E55"/>
    <w:rsid w:val="009240A0"/>
    <w:rsid w:val="009240A6"/>
    <w:rsid w:val="009241A8"/>
    <w:rsid w:val="009242CE"/>
    <w:rsid w:val="0092450D"/>
    <w:rsid w:val="00924556"/>
    <w:rsid w:val="00924651"/>
    <w:rsid w:val="0092467F"/>
    <w:rsid w:val="0092484B"/>
    <w:rsid w:val="00924921"/>
    <w:rsid w:val="00924D48"/>
    <w:rsid w:val="00924F46"/>
    <w:rsid w:val="00925B45"/>
    <w:rsid w:val="00925BF4"/>
    <w:rsid w:val="00925C35"/>
    <w:rsid w:val="00925CF8"/>
    <w:rsid w:val="00925F1F"/>
    <w:rsid w:val="00926013"/>
    <w:rsid w:val="00926142"/>
    <w:rsid w:val="00926217"/>
    <w:rsid w:val="009262D3"/>
    <w:rsid w:val="009263BD"/>
    <w:rsid w:val="009265D6"/>
    <w:rsid w:val="00926629"/>
    <w:rsid w:val="0092685D"/>
    <w:rsid w:val="00926898"/>
    <w:rsid w:val="00926947"/>
    <w:rsid w:val="00926A40"/>
    <w:rsid w:val="00926B82"/>
    <w:rsid w:val="00926E05"/>
    <w:rsid w:val="00926F10"/>
    <w:rsid w:val="009270E8"/>
    <w:rsid w:val="009272F9"/>
    <w:rsid w:val="009272FC"/>
    <w:rsid w:val="0092732E"/>
    <w:rsid w:val="009274A6"/>
    <w:rsid w:val="009276DE"/>
    <w:rsid w:val="00927833"/>
    <w:rsid w:val="0092785D"/>
    <w:rsid w:val="00927C8A"/>
    <w:rsid w:val="00930046"/>
    <w:rsid w:val="009300F5"/>
    <w:rsid w:val="00930162"/>
    <w:rsid w:val="00930298"/>
    <w:rsid w:val="0093042E"/>
    <w:rsid w:val="0093074A"/>
    <w:rsid w:val="00930753"/>
    <w:rsid w:val="00930761"/>
    <w:rsid w:val="009307DB"/>
    <w:rsid w:val="009309BB"/>
    <w:rsid w:val="00930DB9"/>
    <w:rsid w:val="00931035"/>
    <w:rsid w:val="0093121D"/>
    <w:rsid w:val="009312D9"/>
    <w:rsid w:val="009313D2"/>
    <w:rsid w:val="009316AB"/>
    <w:rsid w:val="0093180E"/>
    <w:rsid w:val="009318DF"/>
    <w:rsid w:val="00931917"/>
    <w:rsid w:val="00931AEC"/>
    <w:rsid w:val="00931B76"/>
    <w:rsid w:val="00931CB6"/>
    <w:rsid w:val="00931D0D"/>
    <w:rsid w:val="00931D57"/>
    <w:rsid w:val="00931E22"/>
    <w:rsid w:val="009325E3"/>
    <w:rsid w:val="0093262A"/>
    <w:rsid w:val="0093271D"/>
    <w:rsid w:val="00932929"/>
    <w:rsid w:val="00932A50"/>
    <w:rsid w:val="00932DE9"/>
    <w:rsid w:val="00932E40"/>
    <w:rsid w:val="00932F23"/>
    <w:rsid w:val="00933353"/>
    <w:rsid w:val="009333C5"/>
    <w:rsid w:val="00933559"/>
    <w:rsid w:val="009339A2"/>
    <w:rsid w:val="00934201"/>
    <w:rsid w:val="0093420C"/>
    <w:rsid w:val="00934254"/>
    <w:rsid w:val="0093425D"/>
    <w:rsid w:val="0093432B"/>
    <w:rsid w:val="00934679"/>
    <w:rsid w:val="00934717"/>
    <w:rsid w:val="00934935"/>
    <w:rsid w:val="00934CFB"/>
    <w:rsid w:val="00934E24"/>
    <w:rsid w:val="009350C6"/>
    <w:rsid w:val="0093523E"/>
    <w:rsid w:val="0093527B"/>
    <w:rsid w:val="009352BF"/>
    <w:rsid w:val="00935423"/>
    <w:rsid w:val="00935561"/>
    <w:rsid w:val="0093584E"/>
    <w:rsid w:val="009358FF"/>
    <w:rsid w:val="00935B68"/>
    <w:rsid w:val="00935C0F"/>
    <w:rsid w:val="00935D77"/>
    <w:rsid w:val="0093611D"/>
    <w:rsid w:val="00936270"/>
    <w:rsid w:val="00936293"/>
    <w:rsid w:val="00936566"/>
    <w:rsid w:val="00936570"/>
    <w:rsid w:val="009365B9"/>
    <w:rsid w:val="00936643"/>
    <w:rsid w:val="00936B5E"/>
    <w:rsid w:val="00937574"/>
    <w:rsid w:val="009379BE"/>
    <w:rsid w:val="00937F11"/>
    <w:rsid w:val="0094014D"/>
    <w:rsid w:val="009401EE"/>
    <w:rsid w:val="009402A2"/>
    <w:rsid w:val="00940AAB"/>
    <w:rsid w:val="00940ACA"/>
    <w:rsid w:val="00940B15"/>
    <w:rsid w:val="00940B3C"/>
    <w:rsid w:val="00940D6C"/>
    <w:rsid w:val="009414BD"/>
    <w:rsid w:val="009417BC"/>
    <w:rsid w:val="0094181E"/>
    <w:rsid w:val="00941978"/>
    <w:rsid w:val="00941C04"/>
    <w:rsid w:val="00941C2E"/>
    <w:rsid w:val="00941F09"/>
    <w:rsid w:val="00942955"/>
    <w:rsid w:val="00942968"/>
    <w:rsid w:val="00942B6F"/>
    <w:rsid w:val="00942BB6"/>
    <w:rsid w:val="00942E83"/>
    <w:rsid w:val="00942F08"/>
    <w:rsid w:val="0094325B"/>
    <w:rsid w:val="00943944"/>
    <w:rsid w:val="00943B0C"/>
    <w:rsid w:val="00943BE6"/>
    <w:rsid w:val="009440E7"/>
    <w:rsid w:val="00944192"/>
    <w:rsid w:val="00944270"/>
    <w:rsid w:val="009444E6"/>
    <w:rsid w:val="0094462C"/>
    <w:rsid w:val="00944679"/>
    <w:rsid w:val="00944D21"/>
    <w:rsid w:val="00944E18"/>
    <w:rsid w:val="00944E35"/>
    <w:rsid w:val="00944FD5"/>
    <w:rsid w:val="00945043"/>
    <w:rsid w:val="009450D7"/>
    <w:rsid w:val="00945125"/>
    <w:rsid w:val="00945373"/>
    <w:rsid w:val="00945420"/>
    <w:rsid w:val="009455D3"/>
    <w:rsid w:val="009456C9"/>
    <w:rsid w:val="00945980"/>
    <w:rsid w:val="00945A81"/>
    <w:rsid w:val="00945A91"/>
    <w:rsid w:val="00945B99"/>
    <w:rsid w:val="00945E84"/>
    <w:rsid w:val="00946114"/>
    <w:rsid w:val="00946179"/>
    <w:rsid w:val="0094636A"/>
    <w:rsid w:val="009463B4"/>
    <w:rsid w:val="00946655"/>
    <w:rsid w:val="0094672C"/>
    <w:rsid w:val="0094731C"/>
    <w:rsid w:val="00947684"/>
    <w:rsid w:val="00947A47"/>
    <w:rsid w:val="00947B9B"/>
    <w:rsid w:val="00947C59"/>
    <w:rsid w:val="00947D68"/>
    <w:rsid w:val="00947E01"/>
    <w:rsid w:val="00947EF6"/>
    <w:rsid w:val="00947F95"/>
    <w:rsid w:val="0095004E"/>
    <w:rsid w:val="009503CB"/>
    <w:rsid w:val="009503EC"/>
    <w:rsid w:val="00950565"/>
    <w:rsid w:val="009506AD"/>
    <w:rsid w:val="00950798"/>
    <w:rsid w:val="009508A9"/>
    <w:rsid w:val="00950AF9"/>
    <w:rsid w:val="00950B69"/>
    <w:rsid w:val="00950D7C"/>
    <w:rsid w:val="00950D91"/>
    <w:rsid w:val="00950EB6"/>
    <w:rsid w:val="00950F99"/>
    <w:rsid w:val="00951164"/>
    <w:rsid w:val="0095190F"/>
    <w:rsid w:val="00951F9C"/>
    <w:rsid w:val="009522FB"/>
    <w:rsid w:val="00952353"/>
    <w:rsid w:val="009525E2"/>
    <w:rsid w:val="00952799"/>
    <w:rsid w:val="009528C5"/>
    <w:rsid w:val="0095294C"/>
    <w:rsid w:val="00952E0E"/>
    <w:rsid w:val="0095324D"/>
    <w:rsid w:val="00953386"/>
    <w:rsid w:val="0095368A"/>
    <w:rsid w:val="00953769"/>
    <w:rsid w:val="00953892"/>
    <w:rsid w:val="00953936"/>
    <w:rsid w:val="009539F1"/>
    <w:rsid w:val="00953C55"/>
    <w:rsid w:val="00953EA1"/>
    <w:rsid w:val="009540E5"/>
    <w:rsid w:val="009541BC"/>
    <w:rsid w:val="0095425C"/>
    <w:rsid w:val="009542D5"/>
    <w:rsid w:val="009542FF"/>
    <w:rsid w:val="0095431F"/>
    <w:rsid w:val="009548AE"/>
    <w:rsid w:val="00954A57"/>
    <w:rsid w:val="00954D2C"/>
    <w:rsid w:val="00954F2E"/>
    <w:rsid w:val="00955101"/>
    <w:rsid w:val="009551DB"/>
    <w:rsid w:val="0095521B"/>
    <w:rsid w:val="0095528D"/>
    <w:rsid w:val="0095534E"/>
    <w:rsid w:val="0095537F"/>
    <w:rsid w:val="009556DD"/>
    <w:rsid w:val="00955760"/>
    <w:rsid w:val="00955890"/>
    <w:rsid w:val="00955DEA"/>
    <w:rsid w:val="00955DF7"/>
    <w:rsid w:val="00956014"/>
    <w:rsid w:val="0095602A"/>
    <w:rsid w:val="0095611B"/>
    <w:rsid w:val="009562F3"/>
    <w:rsid w:val="009563FD"/>
    <w:rsid w:val="009564D2"/>
    <w:rsid w:val="0095662E"/>
    <w:rsid w:val="0095664A"/>
    <w:rsid w:val="00956753"/>
    <w:rsid w:val="00956B79"/>
    <w:rsid w:val="00956CDF"/>
    <w:rsid w:val="00956FC7"/>
    <w:rsid w:val="00957392"/>
    <w:rsid w:val="0095750F"/>
    <w:rsid w:val="009576B3"/>
    <w:rsid w:val="0095780F"/>
    <w:rsid w:val="00957BF4"/>
    <w:rsid w:val="00957D07"/>
    <w:rsid w:val="00957DDE"/>
    <w:rsid w:val="00957EB6"/>
    <w:rsid w:val="00957ED0"/>
    <w:rsid w:val="009602FB"/>
    <w:rsid w:val="009603E9"/>
    <w:rsid w:val="009606A1"/>
    <w:rsid w:val="009606E5"/>
    <w:rsid w:val="00960862"/>
    <w:rsid w:val="00960F80"/>
    <w:rsid w:val="009611AC"/>
    <w:rsid w:val="009612B3"/>
    <w:rsid w:val="00961309"/>
    <w:rsid w:val="009614D8"/>
    <w:rsid w:val="00961901"/>
    <w:rsid w:val="009619C5"/>
    <w:rsid w:val="00961CCF"/>
    <w:rsid w:val="00961FED"/>
    <w:rsid w:val="009622D7"/>
    <w:rsid w:val="009625EA"/>
    <w:rsid w:val="009629B7"/>
    <w:rsid w:val="009629C9"/>
    <w:rsid w:val="00962ABA"/>
    <w:rsid w:val="00962C1B"/>
    <w:rsid w:val="00962C4D"/>
    <w:rsid w:val="00962F2D"/>
    <w:rsid w:val="009631D9"/>
    <w:rsid w:val="009632AE"/>
    <w:rsid w:val="00963337"/>
    <w:rsid w:val="00963578"/>
    <w:rsid w:val="00963B38"/>
    <w:rsid w:val="00963B8D"/>
    <w:rsid w:val="00963CEF"/>
    <w:rsid w:val="00963CF9"/>
    <w:rsid w:val="00963EAF"/>
    <w:rsid w:val="00963FA4"/>
    <w:rsid w:val="00964136"/>
    <w:rsid w:val="009641E7"/>
    <w:rsid w:val="00964467"/>
    <w:rsid w:val="009644C3"/>
    <w:rsid w:val="00964677"/>
    <w:rsid w:val="009648E1"/>
    <w:rsid w:val="00964903"/>
    <w:rsid w:val="00964A2C"/>
    <w:rsid w:val="00964B9C"/>
    <w:rsid w:val="00964DFE"/>
    <w:rsid w:val="00964E23"/>
    <w:rsid w:val="00964E32"/>
    <w:rsid w:val="009653C7"/>
    <w:rsid w:val="009654B5"/>
    <w:rsid w:val="009654C0"/>
    <w:rsid w:val="00965517"/>
    <w:rsid w:val="0096581E"/>
    <w:rsid w:val="00965CDA"/>
    <w:rsid w:val="00965CEB"/>
    <w:rsid w:val="00965EE8"/>
    <w:rsid w:val="00965F4D"/>
    <w:rsid w:val="00966023"/>
    <w:rsid w:val="009660D2"/>
    <w:rsid w:val="0096617C"/>
    <w:rsid w:val="009662B4"/>
    <w:rsid w:val="009664BD"/>
    <w:rsid w:val="009665C4"/>
    <w:rsid w:val="00966BA3"/>
    <w:rsid w:val="00966C61"/>
    <w:rsid w:val="00966DD7"/>
    <w:rsid w:val="00967061"/>
    <w:rsid w:val="00967065"/>
    <w:rsid w:val="00967282"/>
    <w:rsid w:val="00967398"/>
    <w:rsid w:val="00967581"/>
    <w:rsid w:val="009676A1"/>
    <w:rsid w:val="0096771A"/>
    <w:rsid w:val="00967837"/>
    <w:rsid w:val="00967BC0"/>
    <w:rsid w:val="00967C3F"/>
    <w:rsid w:val="00967F2E"/>
    <w:rsid w:val="00967F3C"/>
    <w:rsid w:val="00967F45"/>
    <w:rsid w:val="0097009F"/>
    <w:rsid w:val="0097028F"/>
    <w:rsid w:val="00970368"/>
    <w:rsid w:val="0097099B"/>
    <w:rsid w:val="00970A1B"/>
    <w:rsid w:val="00970A76"/>
    <w:rsid w:val="00970B33"/>
    <w:rsid w:val="009713DD"/>
    <w:rsid w:val="0097168B"/>
    <w:rsid w:val="009717C4"/>
    <w:rsid w:val="0097198E"/>
    <w:rsid w:val="00971CCB"/>
    <w:rsid w:val="00971D32"/>
    <w:rsid w:val="00971DED"/>
    <w:rsid w:val="00971ED7"/>
    <w:rsid w:val="00972291"/>
    <w:rsid w:val="00972630"/>
    <w:rsid w:val="00972664"/>
    <w:rsid w:val="00972A1F"/>
    <w:rsid w:val="00972BD0"/>
    <w:rsid w:val="00972EAA"/>
    <w:rsid w:val="009733F0"/>
    <w:rsid w:val="00973599"/>
    <w:rsid w:val="0097366F"/>
    <w:rsid w:val="0097394A"/>
    <w:rsid w:val="009739EA"/>
    <w:rsid w:val="009739FD"/>
    <w:rsid w:val="0097410D"/>
    <w:rsid w:val="00974A37"/>
    <w:rsid w:val="00974CB3"/>
    <w:rsid w:val="00974E43"/>
    <w:rsid w:val="00974FB0"/>
    <w:rsid w:val="00975290"/>
    <w:rsid w:val="00975727"/>
    <w:rsid w:val="00975740"/>
    <w:rsid w:val="0097577A"/>
    <w:rsid w:val="00975B70"/>
    <w:rsid w:val="00975DD2"/>
    <w:rsid w:val="009761C4"/>
    <w:rsid w:val="00976289"/>
    <w:rsid w:val="00976815"/>
    <w:rsid w:val="0097685F"/>
    <w:rsid w:val="009768CD"/>
    <w:rsid w:val="00976934"/>
    <w:rsid w:val="00976BBB"/>
    <w:rsid w:val="00976C6F"/>
    <w:rsid w:val="00976F3B"/>
    <w:rsid w:val="00977146"/>
    <w:rsid w:val="00977197"/>
    <w:rsid w:val="009773AF"/>
    <w:rsid w:val="00977405"/>
    <w:rsid w:val="00977748"/>
    <w:rsid w:val="00977765"/>
    <w:rsid w:val="00977C4D"/>
    <w:rsid w:val="009803F4"/>
    <w:rsid w:val="00980403"/>
    <w:rsid w:val="009805BC"/>
    <w:rsid w:val="009807D3"/>
    <w:rsid w:val="009809B9"/>
    <w:rsid w:val="00980B7E"/>
    <w:rsid w:val="0098102F"/>
    <w:rsid w:val="009810C1"/>
    <w:rsid w:val="00981491"/>
    <w:rsid w:val="00981550"/>
    <w:rsid w:val="009815BB"/>
    <w:rsid w:val="0098164C"/>
    <w:rsid w:val="0098184C"/>
    <w:rsid w:val="00981E36"/>
    <w:rsid w:val="00981FEA"/>
    <w:rsid w:val="0098209F"/>
    <w:rsid w:val="00982172"/>
    <w:rsid w:val="009821EC"/>
    <w:rsid w:val="0098230A"/>
    <w:rsid w:val="00982329"/>
    <w:rsid w:val="009829B5"/>
    <w:rsid w:val="00982B0F"/>
    <w:rsid w:val="00982D99"/>
    <w:rsid w:val="00982F60"/>
    <w:rsid w:val="00983258"/>
    <w:rsid w:val="009833DC"/>
    <w:rsid w:val="00983689"/>
    <w:rsid w:val="0098374F"/>
    <w:rsid w:val="009837FE"/>
    <w:rsid w:val="00983A9B"/>
    <w:rsid w:val="00983BDE"/>
    <w:rsid w:val="00983EFA"/>
    <w:rsid w:val="00984240"/>
    <w:rsid w:val="00984393"/>
    <w:rsid w:val="009843E2"/>
    <w:rsid w:val="00984917"/>
    <w:rsid w:val="0098498E"/>
    <w:rsid w:val="00984A76"/>
    <w:rsid w:val="00984A96"/>
    <w:rsid w:val="00984A9C"/>
    <w:rsid w:val="00984C28"/>
    <w:rsid w:val="00984C5E"/>
    <w:rsid w:val="00984D22"/>
    <w:rsid w:val="00984EDE"/>
    <w:rsid w:val="00985152"/>
    <w:rsid w:val="0098525A"/>
    <w:rsid w:val="00985322"/>
    <w:rsid w:val="0098538A"/>
    <w:rsid w:val="009853A0"/>
    <w:rsid w:val="00985550"/>
    <w:rsid w:val="009855CB"/>
    <w:rsid w:val="0098572F"/>
    <w:rsid w:val="009859A1"/>
    <w:rsid w:val="00985BA0"/>
    <w:rsid w:val="00985C55"/>
    <w:rsid w:val="00985D18"/>
    <w:rsid w:val="00985DD7"/>
    <w:rsid w:val="00986587"/>
    <w:rsid w:val="009866E6"/>
    <w:rsid w:val="00986789"/>
    <w:rsid w:val="00986864"/>
    <w:rsid w:val="00986AF3"/>
    <w:rsid w:val="00986B05"/>
    <w:rsid w:val="00986BEC"/>
    <w:rsid w:val="00986C62"/>
    <w:rsid w:val="00986CBD"/>
    <w:rsid w:val="00986DBA"/>
    <w:rsid w:val="00987365"/>
    <w:rsid w:val="009876FB"/>
    <w:rsid w:val="00987777"/>
    <w:rsid w:val="0098785C"/>
    <w:rsid w:val="00987A37"/>
    <w:rsid w:val="00987DA1"/>
    <w:rsid w:val="00987DB8"/>
    <w:rsid w:val="00987EDC"/>
    <w:rsid w:val="00990095"/>
    <w:rsid w:val="00990771"/>
    <w:rsid w:val="00990956"/>
    <w:rsid w:val="009909FE"/>
    <w:rsid w:val="00990A32"/>
    <w:rsid w:val="00990B90"/>
    <w:rsid w:val="009917CC"/>
    <w:rsid w:val="00991812"/>
    <w:rsid w:val="0099198F"/>
    <w:rsid w:val="00992051"/>
    <w:rsid w:val="009921A2"/>
    <w:rsid w:val="00992220"/>
    <w:rsid w:val="009923D4"/>
    <w:rsid w:val="0099241D"/>
    <w:rsid w:val="00992976"/>
    <w:rsid w:val="00992987"/>
    <w:rsid w:val="00992C10"/>
    <w:rsid w:val="00992F01"/>
    <w:rsid w:val="0099311A"/>
    <w:rsid w:val="00993268"/>
    <w:rsid w:val="00993793"/>
    <w:rsid w:val="009937E3"/>
    <w:rsid w:val="00993801"/>
    <w:rsid w:val="00993BC4"/>
    <w:rsid w:val="00993D38"/>
    <w:rsid w:val="009940F7"/>
    <w:rsid w:val="009941F7"/>
    <w:rsid w:val="00994353"/>
    <w:rsid w:val="009944CB"/>
    <w:rsid w:val="00994930"/>
    <w:rsid w:val="00994B9B"/>
    <w:rsid w:val="00994BC1"/>
    <w:rsid w:val="00994D14"/>
    <w:rsid w:val="00994D82"/>
    <w:rsid w:val="00994DA4"/>
    <w:rsid w:val="00994E45"/>
    <w:rsid w:val="00994E61"/>
    <w:rsid w:val="00994EDE"/>
    <w:rsid w:val="009950F8"/>
    <w:rsid w:val="009954EE"/>
    <w:rsid w:val="009958B0"/>
    <w:rsid w:val="009959F0"/>
    <w:rsid w:val="00995ADA"/>
    <w:rsid w:val="00995FDD"/>
    <w:rsid w:val="00996194"/>
    <w:rsid w:val="009966C5"/>
    <w:rsid w:val="009966E7"/>
    <w:rsid w:val="009969B7"/>
    <w:rsid w:val="009969C0"/>
    <w:rsid w:val="00996CFF"/>
    <w:rsid w:val="00996EC9"/>
    <w:rsid w:val="00996F27"/>
    <w:rsid w:val="00997134"/>
    <w:rsid w:val="00997289"/>
    <w:rsid w:val="0099736F"/>
    <w:rsid w:val="00997418"/>
    <w:rsid w:val="0099745C"/>
    <w:rsid w:val="0099746F"/>
    <w:rsid w:val="00997570"/>
    <w:rsid w:val="00997C3C"/>
    <w:rsid w:val="009A012E"/>
    <w:rsid w:val="009A0566"/>
    <w:rsid w:val="009A064B"/>
    <w:rsid w:val="009A06B6"/>
    <w:rsid w:val="009A07B8"/>
    <w:rsid w:val="009A0E7B"/>
    <w:rsid w:val="009A0F38"/>
    <w:rsid w:val="009A0F9C"/>
    <w:rsid w:val="009A103A"/>
    <w:rsid w:val="009A103D"/>
    <w:rsid w:val="009A10BC"/>
    <w:rsid w:val="009A1149"/>
    <w:rsid w:val="009A171D"/>
    <w:rsid w:val="009A1809"/>
    <w:rsid w:val="009A199E"/>
    <w:rsid w:val="009A1B79"/>
    <w:rsid w:val="009A1BC2"/>
    <w:rsid w:val="009A1BF1"/>
    <w:rsid w:val="009A1D1E"/>
    <w:rsid w:val="009A1D24"/>
    <w:rsid w:val="009A1D6E"/>
    <w:rsid w:val="009A2249"/>
    <w:rsid w:val="009A225F"/>
    <w:rsid w:val="009A22F1"/>
    <w:rsid w:val="009A2867"/>
    <w:rsid w:val="009A296B"/>
    <w:rsid w:val="009A2A5A"/>
    <w:rsid w:val="009A2D6E"/>
    <w:rsid w:val="009A2EB3"/>
    <w:rsid w:val="009A3000"/>
    <w:rsid w:val="009A3121"/>
    <w:rsid w:val="009A340D"/>
    <w:rsid w:val="009A34BF"/>
    <w:rsid w:val="009A35A6"/>
    <w:rsid w:val="009A387A"/>
    <w:rsid w:val="009A393F"/>
    <w:rsid w:val="009A3AD5"/>
    <w:rsid w:val="009A3ADE"/>
    <w:rsid w:val="009A3C3B"/>
    <w:rsid w:val="009A3F19"/>
    <w:rsid w:val="009A4137"/>
    <w:rsid w:val="009A4246"/>
    <w:rsid w:val="009A52DA"/>
    <w:rsid w:val="009A5584"/>
    <w:rsid w:val="009A57A8"/>
    <w:rsid w:val="009A5912"/>
    <w:rsid w:val="009A5BEC"/>
    <w:rsid w:val="009A5FF6"/>
    <w:rsid w:val="009A63B8"/>
    <w:rsid w:val="009A649A"/>
    <w:rsid w:val="009A6541"/>
    <w:rsid w:val="009A6D12"/>
    <w:rsid w:val="009A6E31"/>
    <w:rsid w:val="009A6F56"/>
    <w:rsid w:val="009A6FFC"/>
    <w:rsid w:val="009A72DE"/>
    <w:rsid w:val="009A75E5"/>
    <w:rsid w:val="009A76A4"/>
    <w:rsid w:val="009A786A"/>
    <w:rsid w:val="009A7978"/>
    <w:rsid w:val="009A7D5A"/>
    <w:rsid w:val="009A7D92"/>
    <w:rsid w:val="009B0861"/>
    <w:rsid w:val="009B08FD"/>
    <w:rsid w:val="009B0B93"/>
    <w:rsid w:val="009B0FE0"/>
    <w:rsid w:val="009B1268"/>
    <w:rsid w:val="009B126B"/>
    <w:rsid w:val="009B1443"/>
    <w:rsid w:val="009B15F2"/>
    <w:rsid w:val="009B164A"/>
    <w:rsid w:val="009B1813"/>
    <w:rsid w:val="009B1B61"/>
    <w:rsid w:val="009B1C8F"/>
    <w:rsid w:val="009B1D89"/>
    <w:rsid w:val="009B1F8A"/>
    <w:rsid w:val="009B2155"/>
    <w:rsid w:val="009B26C3"/>
    <w:rsid w:val="009B2D9C"/>
    <w:rsid w:val="009B2DE6"/>
    <w:rsid w:val="009B30AF"/>
    <w:rsid w:val="009B33D4"/>
    <w:rsid w:val="009B34DD"/>
    <w:rsid w:val="009B352A"/>
    <w:rsid w:val="009B36A9"/>
    <w:rsid w:val="009B3764"/>
    <w:rsid w:val="009B3801"/>
    <w:rsid w:val="009B3914"/>
    <w:rsid w:val="009B393F"/>
    <w:rsid w:val="009B3A36"/>
    <w:rsid w:val="009B3A73"/>
    <w:rsid w:val="009B4674"/>
    <w:rsid w:val="009B47CB"/>
    <w:rsid w:val="009B4962"/>
    <w:rsid w:val="009B530D"/>
    <w:rsid w:val="009B5433"/>
    <w:rsid w:val="009B56C6"/>
    <w:rsid w:val="009B5765"/>
    <w:rsid w:val="009B5BE5"/>
    <w:rsid w:val="009B5E2C"/>
    <w:rsid w:val="009B60EF"/>
    <w:rsid w:val="009B675C"/>
    <w:rsid w:val="009B6883"/>
    <w:rsid w:val="009B6A57"/>
    <w:rsid w:val="009B6CBC"/>
    <w:rsid w:val="009B6DC5"/>
    <w:rsid w:val="009B6DFC"/>
    <w:rsid w:val="009B756B"/>
    <w:rsid w:val="009B75C6"/>
    <w:rsid w:val="009B75C7"/>
    <w:rsid w:val="009B7663"/>
    <w:rsid w:val="009B798F"/>
    <w:rsid w:val="009B7B73"/>
    <w:rsid w:val="009B7D73"/>
    <w:rsid w:val="009C055A"/>
    <w:rsid w:val="009C060E"/>
    <w:rsid w:val="009C062C"/>
    <w:rsid w:val="009C0844"/>
    <w:rsid w:val="009C097C"/>
    <w:rsid w:val="009C0B99"/>
    <w:rsid w:val="009C0D85"/>
    <w:rsid w:val="009C0E00"/>
    <w:rsid w:val="009C0E81"/>
    <w:rsid w:val="009C0F1F"/>
    <w:rsid w:val="009C1003"/>
    <w:rsid w:val="009C106E"/>
    <w:rsid w:val="009C10C9"/>
    <w:rsid w:val="009C110B"/>
    <w:rsid w:val="009C155E"/>
    <w:rsid w:val="009C15E6"/>
    <w:rsid w:val="009C17E3"/>
    <w:rsid w:val="009C19C1"/>
    <w:rsid w:val="009C1CA5"/>
    <w:rsid w:val="009C1F0A"/>
    <w:rsid w:val="009C1F18"/>
    <w:rsid w:val="009C1FD0"/>
    <w:rsid w:val="009C200E"/>
    <w:rsid w:val="009C23FE"/>
    <w:rsid w:val="009C2548"/>
    <w:rsid w:val="009C25DF"/>
    <w:rsid w:val="009C25FD"/>
    <w:rsid w:val="009C2912"/>
    <w:rsid w:val="009C2950"/>
    <w:rsid w:val="009C2D19"/>
    <w:rsid w:val="009C2D58"/>
    <w:rsid w:val="009C345D"/>
    <w:rsid w:val="009C3475"/>
    <w:rsid w:val="009C3577"/>
    <w:rsid w:val="009C36DE"/>
    <w:rsid w:val="009C3C35"/>
    <w:rsid w:val="009C3E6C"/>
    <w:rsid w:val="009C43B9"/>
    <w:rsid w:val="009C4502"/>
    <w:rsid w:val="009C47A5"/>
    <w:rsid w:val="009C48B5"/>
    <w:rsid w:val="009C4B53"/>
    <w:rsid w:val="009C4BF2"/>
    <w:rsid w:val="009C5021"/>
    <w:rsid w:val="009C5050"/>
    <w:rsid w:val="009C5209"/>
    <w:rsid w:val="009C53D6"/>
    <w:rsid w:val="009C53F8"/>
    <w:rsid w:val="009C557A"/>
    <w:rsid w:val="009C55E6"/>
    <w:rsid w:val="009C5C1F"/>
    <w:rsid w:val="009C5CEA"/>
    <w:rsid w:val="009C6099"/>
    <w:rsid w:val="009C60FE"/>
    <w:rsid w:val="009C632C"/>
    <w:rsid w:val="009C6E2B"/>
    <w:rsid w:val="009C7308"/>
    <w:rsid w:val="009C7767"/>
    <w:rsid w:val="009C7786"/>
    <w:rsid w:val="009C7A2E"/>
    <w:rsid w:val="009C7B2C"/>
    <w:rsid w:val="009C7C68"/>
    <w:rsid w:val="009C7F08"/>
    <w:rsid w:val="009D0084"/>
    <w:rsid w:val="009D014B"/>
    <w:rsid w:val="009D0556"/>
    <w:rsid w:val="009D0637"/>
    <w:rsid w:val="009D0707"/>
    <w:rsid w:val="009D0C36"/>
    <w:rsid w:val="009D0E50"/>
    <w:rsid w:val="009D109F"/>
    <w:rsid w:val="009D1139"/>
    <w:rsid w:val="009D1535"/>
    <w:rsid w:val="009D1582"/>
    <w:rsid w:val="009D1685"/>
    <w:rsid w:val="009D184A"/>
    <w:rsid w:val="009D1BD3"/>
    <w:rsid w:val="009D1C7D"/>
    <w:rsid w:val="009D2010"/>
    <w:rsid w:val="009D2135"/>
    <w:rsid w:val="009D22DA"/>
    <w:rsid w:val="009D22EE"/>
    <w:rsid w:val="009D230A"/>
    <w:rsid w:val="009D23C9"/>
    <w:rsid w:val="009D23EE"/>
    <w:rsid w:val="009D2525"/>
    <w:rsid w:val="009D28F6"/>
    <w:rsid w:val="009D2C1C"/>
    <w:rsid w:val="009D30D3"/>
    <w:rsid w:val="009D3423"/>
    <w:rsid w:val="009D3592"/>
    <w:rsid w:val="009D38F4"/>
    <w:rsid w:val="009D3929"/>
    <w:rsid w:val="009D396D"/>
    <w:rsid w:val="009D39D9"/>
    <w:rsid w:val="009D3AE3"/>
    <w:rsid w:val="009D3B08"/>
    <w:rsid w:val="009D3C06"/>
    <w:rsid w:val="009D3C3B"/>
    <w:rsid w:val="009D3CAB"/>
    <w:rsid w:val="009D3CBD"/>
    <w:rsid w:val="009D3E7E"/>
    <w:rsid w:val="009D3EE5"/>
    <w:rsid w:val="009D4161"/>
    <w:rsid w:val="009D46FE"/>
    <w:rsid w:val="009D4B0E"/>
    <w:rsid w:val="009D4CB9"/>
    <w:rsid w:val="009D4D22"/>
    <w:rsid w:val="009D4EB6"/>
    <w:rsid w:val="009D4F40"/>
    <w:rsid w:val="009D54A9"/>
    <w:rsid w:val="009D586D"/>
    <w:rsid w:val="009D5B37"/>
    <w:rsid w:val="009D5D18"/>
    <w:rsid w:val="009D5E3E"/>
    <w:rsid w:val="009D5E5F"/>
    <w:rsid w:val="009D66F5"/>
    <w:rsid w:val="009D67E0"/>
    <w:rsid w:val="009D67ED"/>
    <w:rsid w:val="009D68BA"/>
    <w:rsid w:val="009D6F97"/>
    <w:rsid w:val="009D701F"/>
    <w:rsid w:val="009D70F3"/>
    <w:rsid w:val="009D724B"/>
    <w:rsid w:val="009D728D"/>
    <w:rsid w:val="009D7304"/>
    <w:rsid w:val="009D7426"/>
    <w:rsid w:val="009D75BC"/>
    <w:rsid w:val="009D7A07"/>
    <w:rsid w:val="009D7AF0"/>
    <w:rsid w:val="009D7CCA"/>
    <w:rsid w:val="009D7FA3"/>
    <w:rsid w:val="009E06BB"/>
    <w:rsid w:val="009E0D02"/>
    <w:rsid w:val="009E0DCE"/>
    <w:rsid w:val="009E0DEC"/>
    <w:rsid w:val="009E0DED"/>
    <w:rsid w:val="009E10BD"/>
    <w:rsid w:val="009E1106"/>
    <w:rsid w:val="009E140E"/>
    <w:rsid w:val="009E14B6"/>
    <w:rsid w:val="009E153B"/>
    <w:rsid w:val="009E1605"/>
    <w:rsid w:val="009E1768"/>
    <w:rsid w:val="009E1A09"/>
    <w:rsid w:val="009E1A3E"/>
    <w:rsid w:val="009E1BA1"/>
    <w:rsid w:val="009E1DCC"/>
    <w:rsid w:val="009E1EFF"/>
    <w:rsid w:val="009E1FF2"/>
    <w:rsid w:val="009E2179"/>
    <w:rsid w:val="009E21C8"/>
    <w:rsid w:val="009E21EF"/>
    <w:rsid w:val="009E251A"/>
    <w:rsid w:val="009E255E"/>
    <w:rsid w:val="009E2635"/>
    <w:rsid w:val="009E2808"/>
    <w:rsid w:val="009E2DC5"/>
    <w:rsid w:val="009E2DD0"/>
    <w:rsid w:val="009E2DED"/>
    <w:rsid w:val="009E2F95"/>
    <w:rsid w:val="009E2F9C"/>
    <w:rsid w:val="009E3068"/>
    <w:rsid w:val="009E30E2"/>
    <w:rsid w:val="009E361E"/>
    <w:rsid w:val="009E3746"/>
    <w:rsid w:val="009E37A8"/>
    <w:rsid w:val="009E395C"/>
    <w:rsid w:val="009E3A0B"/>
    <w:rsid w:val="009E3CDE"/>
    <w:rsid w:val="009E3D3E"/>
    <w:rsid w:val="009E3F3E"/>
    <w:rsid w:val="009E4186"/>
    <w:rsid w:val="009E448D"/>
    <w:rsid w:val="009E44C9"/>
    <w:rsid w:val="009E45E4"/>
    <w:rsid w:val="009E495D"/>
    <w:rsid w:val="009E497C"/>
    <w:rsid w:val="009E4F70"/>
    <w:rsid w:val="009E50AE"/>
    <w:rsid w:val="009E50B3"/>
    <w:rsid w:val="009E5198"/>
    <w:rsid w:val="009E5247"/>
    <w:rsid w:val="009E5287"/>
    <w:rsid w:val="009E5338"/>
    <w:rsid w:val="009E561F"/>
    <w:rsid w:val="009E56CE"/>
    <w:rsid w:val="009E58F8"/>
    <w:rsid w:val="009E59C9"/>
    <w:rsid w:val="009E5AE0"/>
    <w:rsid w:val="009E5DE6"/>
    <w:rsid w:val="009E5FF0"/>
    <w:rsid w:val="009E6445"/>
    <w:rsid w:val="009E661D"/>
    <w:rsid w:val="009E6B7B"/>
    <w:rsid w:val="009E6CD2"/>
    <w:rsid w:val="009E6D3B"/>
    <w:rsid w:val="009E7048"/>
    <w:rsid w:val="009E70B0"/>
    <w:rsid w:val="009E7713"/>
    <w:rsid w:val="009E79CF"/>
    <w:rsid w:val="009E7B94"/>
    <w:rsid w:val="009E7CE8"/>
    <w:rsid w:val="009F0196"/>
    <w:rsid w:val="009F03DF"/>
    <w:rsid w:val="009F04BD"/>
    <w:rsid w:val="009F05D6"/>
    <w:rsid w:val="009F0785"/>
    <w:rsid w:val="009F0806"/>
    <w:rsid w:val="009F0B8F"/>
    <w:rsid w:val="009F0CD7"/>
    <w:rsid w:val="009F1547"/>
    <w:rsid w:val="009F155A"/>
    <w:rsid w:val="009F15A0"/>
    <w:rsid w:val="009F1659"/>
    <w:rsid w:val="009F18CF"/>
    <w:rsid w:val="009F1932"/>
    <w:rsid w:val="009F1A5C"/>
    <w:rsid w:val="009F1B0C"/>
    <w:rsid w:val="009F1B9D"/>
    <w:rsid w:val="009F1BD1"/>
    <w:rsid w:val="009F1EA6"/>
    <w:rsid w:val="009F204E"/>
    <w:rsid w:val="009F20A4"/>
    <w:rsid w:val="009F20DE"/>
    <w:rsid w:val="009F20EC"/>
    <w:rsid w:val="009F215C"/>
    <w:rsid w:val="009F215E"/>
    <w:rsid w:val="009F2217"/>
    <w:rsid w:val="009F2BB3"/>
    <w:rsid w:val="009F2DAC"/>
    <w:rsid w:val="009F2E76"/>
    <w:rsid w:val="009F3205"/>
    <w:rsid w:val="009F3361"/>
    <w:rsid w:val="009F358B"/>
    <w:rsid w:val="009F36D5"/>
    <w:rsid w:val="009F3B7F"/>
    <w:rsid w:val="009F3E18"/>
    <w:rsid w:val="009F4139"/>
    <w:rsid w:val="009F42A7"/>
    <w:rsid w:val="009F4798"/>
    <w:rsid w:val="009F4DE5"/>
    <w:rsid w:val="009F4F0A"/>
    <w:rsid w:val="009F506E"/>
    <w:rsid w:val="009F5074"/>
    <w:rsid w:val="009F5173"/>
    <w:rsid w:val="009F53C0"/>
    <w:rsid w:val="009F55F4"/>
    <w:rsid w:val="009F568E"/>
    <w:rsid w:val="009F5733"/>
    <w:rsid w:val="009F587D"/>
    <w:rsid w:val="009F587E"/>
    <w:rsid w:val="009F5CB1"/>
    <w:rsid w:val="009F5D35"/>
    <w:rsid w:val="009F5D4F"/>
    <w:rsid w:val="009F64FD"/>
    <w:rsid w:val="009F6879"/>
    <w:rsid w:val="009F69C5"/>
    <w:rsid w:val="009F7007"/>
    <w:rsid w:val="009F71F6"/>
    <w:rsid w:val="009F75DE"/>
    <w:rsid w:val="009F77FD"/>
    <w:rsid w:val="009F7C79"/>
    <w:rsid w:val="009F7D0C"/>
    <w:rsid w:val="009F7E27"/>
    <w:rsid w:val="009F7E49"/>
    <w:rsid w:val="00A00277"/>
    <w:rsid w:val="00A00296"/>
    <w:rsid w:val="00A00325"/>
    <w:rsid w:val="00A00618"/>
    <w:rsid w:val="00A00981"/>
    <w:rsid w:val="00A00B4A"/>
    <w:rsid w:val="00A00CA6"/>
    <w:rsid w:val="00A01044"/>
    <w:rsid w:val="00A01179"/>
    <w:rsid w:val="00A01B3E"/>
    <w:rsid w:val="00A01B43"/>
    <w:rsid w:val="00A01BE2"/>
    <w:rsid w:val="00A0203B"/>
    <w:rsid w:val="00A025D4"/>
    <w:rsid w:val="00A025D7"/>
    <w:rsid w:val="00A0260C"/>
    <w:rsid w:val="00A02BCF"/>
    <w:rsid w:val="00A02E4E"/>
    <w:rsid w:val="00A02E66"/>
    <w:rsid w:val="00A030B8"/>
    <w:rsid w:val="00A035C5"/>
    <w:rsid w:val="00A03669"/>
    <w:rsid w:val="00A03BF0"/>
    <w:rsid w:val="00A03D28"/>
    <w:rsid w:val="00A04545"/>
    <w:rsid w:val="00A045D8"/>
    <w:rsid w:val="00A04676"/>
    <w:rsid w:val="00A0472C"/>
    <w:rsid w:val="00A0483F"/>
    <w:rsid w:val="00A0485B"/>
    <w:rsid w:val="00A04E8F"/>
    <w:rsid w:val="00A04FC7"/>
    <w:rsid w:val="00A05290"/>
    <w:rsid w:val="00A05639"/>
    <w:rsid w:val="00A056AC"/>
    <w:rsid w:val="00A05D85"/>
    <w:rsid w:val="00A06468"/>
    <w:rsid w:val="00A064F0"/>
    <w:rsid w:val="00A065A3"/>
    <w:rsid w:val="00A065DB"/>
    <w:rsid w:val="00A0667D"/>
    <w:rsid w:val="00A066ED"/>
    <w:rsid w:val="00A0676D"/>
    <w:rsid w:val="00A06818"/>
    <w:rsid w:val="00A068EE"/>
    <w:rsid w:val="00A06A2E"/>
    <w:rsid w:val="00A06C3D"/>
    <w:rsid w:val="00A06E75"/>
    <w:rsid w:val="00A070AA"/>
    <w:rsid w:val="00A070C6"/>
    <w:rsid w:val="00A070E5"/>
    <w:rsid w:val="00A0719B"/>
    <w:rsid w:val="00A0722F"/>
    <w:rsid w:val="00A07411"/>
    <w:rsid w:val="00A0771D"/>
    <w:rsid w:val="00A07757"/>
    <w:rsid w:val="00A078BD"/>
    <w:rsid w:val="00A07A23"/>
    <w:rsid w:val="00A07BDC"/>
    <w:rsid w:val="00A07CF3"/>
    <w:rsid w:val="00A07DCE"/>
    <w:rsid w:val="00A1014D"/>
    <w:rsid w:val="00A101B2"/>
    <w:rsid w:val="00A1040F"/>
    <w:rsid w:val="00A10513"/>
    <w:rsid w:val="00A105CF"/>
    <w:rsid w:val="00A10834"/>
    <w:rsid w:val="00A108C4"/>
    <w:rsid w:val="00A108DD"/>
    <w:rsid w:val="00A10AA9"/>
    <w:rsid w:val="00A10AD2"/>
    <w:rsid w:val="00A10C7F"/>
    <w:rsid w:val="00A10D9D"/>
    <w:rsid w:val="00A10E67"/>
    <w:rsid w:val="00A10FB6"/>
    <w:rsid w:val="00A1148E"/>
    <w:rsid w:val="00A1173E"/>
    <w:rsid w:val="00A118D9"/>
    <w:rsid w:val="00A1192A"/>
    <w:rsid w:val="00A11AA2"/>
    <w:rsid w:val="00A11B9B"/>
    <w:rsid w:val="00A11E29"/>
    <w:rsid w:val="00A11E72"/>
    <w:rsid w:val="00A11F47"/>
    <w:rsid w:val="00A11F55"/>
    <w:rsid w:val="00A121ED"/>
    <w:rsid w:val="00A1228C"/>
    <w:rsid w:val="00A12487"/>
    <w:rsid w:val="00A12566"/>
    <w:rsid w:val="00A1259D"/>
    <w:rsid w:val="00A1261B"/>
    <w:rsid w:val="00A12C35"/>
    <w:rsid w:val="00A12C50"/>
    <w:rsid w:val="00A13051"/>
    <w:rsid w:val="00A1315C"/>
    <w:rsid w:val="00A131C4"/>
    <w:rsid w:val="00A13717"/>
    <w:rsid w:val="00A137C2"/>
    <w:rsid w:val="00A13F1B"/>
    <w:rsid w:val="00A145BB"/>
    <w:rsid w:val="00A147A0"/>
    <w:rsid w:val="00A147FA"/>
    <w:rsid w:val="00A14895"/>
    <w:rsid w:val="00A149EA"/>
    <w:rsid w:val="00A14C4E"/>
    <w:rsid w:val="00A14C63"/>
    <w:rsid w:val="00A14D28"/>
    <w:rsid w:val="00A14D82"/>
    <w:rsid w:val="00A14F4F"/>
    <w:rsid w:val="00A150A8"/>
    <w:rsid w:val="00A15178"/>
    <w:rsid w:val="00A15250"/>
    <w:rsid w:val="00A15332"/>
    <w:rsid w:val="00A15392"/>
    <w:rsid w:val="00A15418"/>
    <w:rsid w:val="00A15674"/>
    <w:rsid w:val="00A157B6"/>
    <w:rsid w:val="00A15852"/>
    <w:rsid w:val="00A1595F"/>
    <w:rsid w:val="00A15EF8"/>
    <w:rsid w:val="00A1613C"/>
    <w:rsid w:val="00A161E9"/>
    <w:rsid w:val="00A162A6"/>
    <w:rsid w:val="00A162D5"/>
    <w:rsid w:val="00A1636F"/>
    <w:rsid w:val="00A164CA"/>
    <w:rsid w:val="00A16532"/>
    <w:rsid w:val="00A166CA"/>
    <w:rsid w:val="00A16B6D"/>
    <w:rsid w:val="00A16DA2"/>
    <w:rsid w:val="00A16E7C"/>
    <w:rsid w:val="00A17192"/>
    <w:rsid w:val="00A1730C"/>
    <w:rsid w:val="00A1750E"/>
    <w:rsid w:val="00A17523"/>
    <w:rsid w:val="00A17541"/>
    <w:rsid w:val="00A17A77"/>
    <w:rsid w:val="00A17B8E"/>
    <w:rsid w:val="00A20028"/>
    <w:rsid w:val="00A201BB"/>
    <w:rsid w:val="00A20318"/>
    <w:rsid w:val="00A20349"/>
    <w:rsid w:val="00A2069A"/>
    <w:rsid w:val="00A206F1"/>
    <w:rsid w:val="00A208E2"/>
    <w:rsid w:val="00A2090E"/>
    <w:rsid w:val="00A20BB9"/>
    <w:rsid w:val="00A20C66"/>
    <w:rsid w:val="00A20D7F"/>
    <w:rsid w:val="00A20E9E"/>
    <w:rsid w:val="00A21168"/>
    <w:rsid w:val="00A21682"/>
    <w:rsid w:val="00A21876"/>
    <w:rsid w:val="00A218D5"/>
    <w:rsid w:val="00A21C61"/>
    <w:rsid w:val="00A21D1F"/>
    <w:rsid w:val="00A22035"/>
    <w:rsid w:val="00A221A9"/>
    <w:rsid w:val="00A221FF"/>
    <w:rsid w:val="00A2225A"/>
    <w:rsid w:val="00A2229D"/>
    <w:rsid w:val="00A2248C"/>
    <w:rsid w:val="00A225A9"/>
    <w:rsid w:val="00A2276C"/>
    <w:rsid w:val="00A228CC"/>
    <w:rsid w:val="00A22A20"/>
    <w:rsid w:val="00A2324F"/>
    <w:rsid w:val="00A2347D"/>
    <w:rsid w:val="00A23657"/>
    <w:rsid w:val="00A236AA"/>
    <w:rsid w:val="00A23702"/>
    <w:rsid w:val="00A23792"/>
    <w:rsid w:val="00A23892"/>
    <w:rsid w:val="00A238F7"/>
    <w:rsid w:val="00A239D2"/>
    <w:rsid w:val="00A23B32"/>
    <w:rsid w:val="00A23B84"/>
    <w:rsid w:val="00A23BC0"/>
    <w:rsid w:val="00A24113"/>
    <w:rsid w:val="00A241BA"/>
    <w:rsid w:val="00A241D8"/>
    <w:rsid w:val="00A24291"/>
    <w:rsid w:val="00A24669"/>
    <w:rsid w:val="00A24714"/>
    <w:rsid w:val="00A24FE1"/>
    <w:rsid w:val="00A24FFD"/>
    <w:rsid w:val="00A255E0"/>
    <w:rsid w:val="00A259B9"/>
    <w:rsid w:val="00A259C8"/>
    <w:rsid w:val="00A259EE"/>
    <w:rsid w:val="00A259F4"/>
    <w:rsid w:val="00A25B1B"/>
    <w:rsid w:val="00A25CA7"/>
    <w:rsid w:val="00A26261"/>
    <w:rsid w:val="00A262CB"/>
    <w:rsid w:val="00A26A9E"/>
    <w:rsid w:val="00A26BF5"/>
    <w:rsid w:val="00A27047"/>
    <w:rsid w:val="00A270D9"/>
    <w:rsid w:val="00A2727D"/>
    <w:rsid w:val="00A2783C"/>
    <w:rsid w:val="00A27844"/>
    <w:rsid w:val="00A27B66"/>
    <w:rsid w:val="00A27CD7"/>
    <w:rsid w:val="00A27DF7"/>
    <w:rsid w:val="00A300D2"/>
    <w:rsid w:val="00A3020C"/>
    <w:rsid w:val="00A303F6"/>
    <w:rsid w:val="00A30480"/>
    <w:rsid w:val="00A30731"/>
    <w:rsid w:val="00A309F5"/>
    <w:rsid w:val="00A30F11"/>
    <w:rsid w:val="00A314A6"/>
    <w:rsid w:val="00A31542"/>
    <w:rsid w:val="00A315F0"/>
    <w:rsid w:val="00A3190A"/>
    <w:rsid w:val="00A32065"/>
    <w:rsid w:val="00A3221C"/>
    <w:rsid w:val="00A3250B"/>
    <w:rsid w:val="00A326A5"/>
    <w:rsid w:val="00A32807"/>
    <w:rsid w:val="00A32A44"/>
    <w:rsid w:val="00A32FD3"/>
    <w:rsid w:val="00A331A3"/>
    <w:rsid w:val="00A332FD"/>
    <w:rsid w:val="00A335DA"/>
    <w:rsid w:val="00A33641"/>
    <w:rsid w:val="00A33899"/>
    <w:rsid w:val="00A33BC2"/>
    <w:rsid w:val="00A33CE1"/>
    <w:rsid w:val="00A33DFB"/>
    <w:rsid w:val="00A33F24"/>
    <w:rsid w:val="00A3404A"/>
    <w:rsid w:val="00A34413"/>
    <w:rsid w:val="00A34455"/>
    <w:rsid w:val="00A34545"/>
    <w:rsid w:val="00A346F5"/>
    <w:rsid w:val="00A34C2A"/>
    <w:rsid w:val="00A34CDA"/>
    <w:rsid w:val="00A34E5B"/>
    <w:rsid w:val="00A34E63"/>
    <w:rsid w:val="00A35197"/>
    <w:rsid w:val="00A35570"/>
    <w:rsid w:val="00A357F2"/>
    <w:rsid w:val="00A359D7"/>
    <w:rsid w:val="00A35ADE"/>
    <w:rsid w:val="00A35D65"/>
    <w:rsid w:val="00A36067"/>
    <w:rsid w:val="00A363E4"/>
    <w:rsid w:val="00A36797"/>
    <w:rsid w:val="00A36B9E"/>
    <w:rsid w:val="00A36E12"/>
    <w:rsid w:val="00A36E64"/>
    <w:rsid w:val="00A36F53"/>
    <w:rsid w:val="00A37189"/>
    <w:rsid w:val="00A37304"/>
    <w:rsid w:val="00A375C5"/>
    <w:rsid w:val="00A37713"/>
    <w:rsid w:val="00A378F3"/>
    <w:rsid w:val="00A37A67"/>
    <w:rsid w:val="00A37BDF"/>
    <w:rsid w:val="00A37EBC"/>
    <w:rsid w:val="00A37F01"/>
    <w:rsid w:val="00A4037C"/>
    <w:rsid w:val="00A40393"/>
    <w:rsid w:val="00A405AF"/>
    <w:rsid w:val="00A406D3"/>
    <w:rsid w:val="00A40766"/>
    <w:rsid w:val="00A408AB"/>
    <w:rsid w:val="00A40E49"/>
    <w:rsid w:val="00A40FE7"/>
    <w:rsid w:val="00A412AC"/>
    <w:rsid w:val="00A41416"/>
    <w:rsid w:val="00A41449"/>
    <w:rsid w:val="00A41550"/>
    <w:rsid w:val="00A415B2"/>
    <w:rsid w:val="00A417AE"/>
    <w:rsid w:val="00A41826"/>
    <w:rsid w:val="00A4183B"/>
    <w:rsid w:val="00A418ED"/>
    <w:rsid w:val="00A41B27"/>
    <w:rsid w:val="00A41BE4"/>
    <w:rsid w:val="00A41DA7"/>
    <w:rsid w:val="00A41FBE"/>
    <w:rsid w:val="00A42028"/>
    <w:rsid w:val="00A42200"/>
    <w:rsid w:val="00A4221F"/>
    <w:rsid w:val="00A42A0A"/>
    <w:rsid w:val="00A42C01"/>
    <w:rsid w:val="00A42CD3"/>
    <w:rsid w:val="00A42D97"/>
    <w:rsid w:val="00A42EDE"/>
    <w:rsid w:val="00A436E8"/>
    <w:rsid w:val="00A4397B"/>
    <w:rsid w:val="00A43D6E"/>
    <w:rsid w:val="00A44089"/>
    <w:rsid w:val="00A4495B"/>
    <w:rsid w:val="00A4499A"/>
    <w:rsid w:val="00A449BE"/>
    <w:rsid w:val="00A44A43"/>
    <w:rsid w:val="00A44B8D"/>
    <w:rsid w:val="00A44C41"/>
    <w:rsid w:val="00A44C44"/>
    <w:rsid w:val="00A44C7A"/>
    <w:rsid w:val="00A44DB1"/>
    <w:rsid w:val="00A4528E"/>
    <w:rsid w:val="00A452CF"/>
    <w:rsid w:val="00A452D3"/>
    <w:rsid w:val="00A4554F"/>
    <w:rsid w:val="00A456C4"/>
    <w:rsid w:val="00A45AC2"/>
    <w:rsid w:val="00A45BD6"/>
    <w:rsid w:val="00A45D7A"/>
    <w:rsid w:val="00A45F99"/>
    <w:rsid w:val="00A4606A"/>
    <w:rsid w:val="00A46127"/>
    <w:rsid w:val="00A4618D"/>
    <w:rsid w:val="00A4639D"/>
    <w:rsid w:val="00A46522"/>
    <w:rsid w:val="00A465D0"/>
    <w:rsid w:val="00A466D0"/>
    <w:rsid w:val="00A4678B"/>
    <w:rsid w:val="00A4683B"/>
    <w:rsid w:val="00A468FD"/>
    <w:rsid w:val="00A46913"/>
    <w:rsid w:val="00A46CC8"/>
    <w:rsid w:val="00A46F1A"/>
    <w:rsid w:val="00A4707C"/>
    <w:rsid w:val="00A47101"/>
    <w:rsid w:val="00A47546"/>
    <w:rsid w:val="00A4761F"/>
    <w:rsid w:val="00A4769D"/>
    <w:rsid w:val="00A476A5"/>
    <w:rsid w:val="00A47759"/>
    <w:rsid w:val="00A47823"/>
    <w:rsid w:val="00A47C4D"/>
    <w:rsid w:val="00A47FE7"/>
    <w:rsid w:val="00A501EF"/>
    <w:rsid w:val="00A505F2"/>
    <w:rsid w:val="00A5076A"/>
    <w:rsid w:val="00A5082A"/>
    <w:rsid w:val="00A5154B"/>
    <w:rsid w:val="00A51ED9"/>
    <w:rsid w:val="00A520F2"/>
    <w:rsid w:val="00A521A6"/>
    <w:rsid w:val="00A521BB"/>
    <w:rsid w:val="00A522EC"/>
    <w:rsid w:val="00A52621"/>
    <w:rsid w:val="00A52763"/>
    <w:rsid w:val="00A529FE"/>
    <w:rsid w:val="00A52AC5"/>
    <w:rsid w:val="00A52D6E"/>
    <w:rsid w:val="00A5321E"/>
    <w:rsid w:val="00A53245"/>
    <w:rsid w:val="00A5331D"/>
    <w:rsid w:val="00A53391"/>
    <w:rsid w:val="00A53D37"/>
    <w:rsid w:val="00A53E03"/>
    <w:rsid w:val="00A54300"/>
    <w:rsid w:val="00A54329"/>
    <w:rsid w:val="00A54482"/>
    <w:rsid w:val="00A544F7"/>
    <w:rsid w:val="00A545F9"/>
    <w:rsid w:val="00A5467A"/>
    <w:rsid w:val="00A54B16"/>
    <w:rsid w:val="00A54B5F"/>
    <w:rsid w:val="00A55232"/>
    <w:rsid w:val="00A553D2"/>
    <w:rsid w:val="00A55436"/>
    <w:rsid w:val="00A55438"/>
    <w:rsid w:val="00A554A3"/>
    <w:rsid w:val="00A555B2"/>
    <w:rsid w:val="00A556C7"/>
    <w:rsid w:val="00A5583E"/>
    <w:rsid w:val="00A558CE"/>
    <w:rsid w:val="00A55CD6"/>
    <w:rsid w:val="00A56240"/>
    <w:rsid w:val="00A5638C"/>
    <w:rsid w:val="00A567B2"/>
    <w:rsid w:val="00A5689A"/>
    <w:rsid w:val="00A56A93"/>
    <w:rsid w:val="00A56D6B"/>
    <w:rsid w:val="00A5707B"/>
    <w:rsid w:val="00A57097"/>
    <w:rsid w:val="00A5720C"/>
    <w:rsid w:val="00A57348"/>
    <w:rsid w:val="00A57349"/>
    <w:rsid w:val="00A575BB"/>
    <w:rsid w:val="00A57627"/>
    <w:rsid w:val="00A57667"/>
    <w:rsid w:val="00A5783F"/>
    <w:rsid w:val="00A57A39"/>
    <w:rsid w:val="00A57D71"/>
    <w:rsid w:val="00A60000"/>
    <w:rsid w:val="00A60017"/>
    <w:rsid w:val="00A60198"/>
    <w:rsid w:val="00A6028F"/>
    <w:rsid w:val="00A6032B"/>
    <w:rsid w:val="00A603A3"/>
    <w:rsid w:val="00A60408"/>
    <w:rsid w:val="00A60620"/>
    <w:rsid w:val="00A608EE"/>
    <w:rsid w:val="00A60929"/>
    <w:rsid w:val="00A60A15"/>
    <w:rsid w:val="00A60AE0"/>
    <w:rsid w:val="00A60C2F"/>
    <w:rsid w:val="00A60D73"/>
    <w:rsid w:val="00A610A9"/>
    <w:rsid w:val="00A6118A"/>
    <w:rsid w:val="00A61695"/>
    <w:rsid w:val="00A61882"/>
    <w:rsid w:val="00A61ABA"/>
    <w:rsid w:val="00A61CA8"/>
    <w:rsid w:val="00A620D8"/>
    <w:rsid w:val="00A62218"/>
    <w:rsid w:val="00A62235"/>
    <w:rsid w:val="00A62305"/>
    <w:rsid w:val="00A6262B"/>
    <w:rsid w:val="00A628B6"/>
    <w:rsid w:val="00A62C65"/>
    <w:rsid w:val="00A632E5"/>
    <w:rsid w:val="00A63826"/>
    <w:rsid w:val="00A63982"/>
    <w:rsid w:val="00A63C16"/>
    <w:rsid w:val="00A63CA3"/>
    <w:rsid w:val="00A63EA6"/>
    <w:rsid w:val="00A640CD"/>
    <w:rsid w:val="00A642F8"/>
    <w:rsid w:val="00A64369"/>
    <w:rsid w:val="00A6463B"/>
    <w:rsid w:val="00A6479B"/>
    <w:rsid w:val="00A64B14"/>
    <w:rsid w:val="00A64B5D"/>
    <w:rsid w:val="00A64BBC"/>
    <w:rsid w:val="00A64D34"/>
    <w:rsid w:val="00A6504D"/>
    <w:rsid w:val="00A650D3"/>
    <w:rsid w:val="00A652A2"/>
    <w:rsid w:val="00A6532B"/>
    <w:rsid w:val="00A6549A"/>
    <w:rsid w:val="00A6561C"/>
    <w:rsid w:val="00A65813"/>
    <w:rsid w:val="00A65845"/>
    <w:rsid w:val="00A6584D"/>
    <w:rsid w:val="00A658FD"/>
    <w:rsid w:val="00A65D1A"/>
    <w:rsid w:val="00A65FA1"/>
    <w:rsid w:val="00A665AA"/>
    <w:rsid w:val="00A66605"/>
    <w:rsid w:val="00A66D7C"/>
    <w:rsid w:val="00A67215"/>
    <w:rsid w:val="00A6747F"/>
    <w:rsid w:val="00A67775"/>
    <w:rsid w:val="00A677B4"/>
    <w:rsid w:val="00A67A30"/>
    <w:rsid w:val="00A67B14"/>
    <w:rsid w:val="00A67B84"/>
    <w:rsid w:val="00A67E9E"/>
    <w:rsid w:val="00A70113"/>
    <w:rsid w:val="00A7014B"/>
    <w:rsid w:val="00A702B7"/>
    <w:rsid w:val="00A705BC"/>
    <w:rsid w:val="00A70791"/>
    <w:rsid w:val="00A7081B"/>
    <w:rsid w:val="00A708F9"/>
    <w:rsid w:val="00A70A6F"/>
    <w:rsid w:val="00A70A76"/>
    <w:rsid w:val="00A70B4B"/>
    <w:rsid w:val="00A7114B"/>
    <w:rsid w:val="00A711C9"/>
    <w:rsid w:val="00A7143A"/>
    <w:rsid w:val="00A714D9"/>
    <w:rsid w:val="00A71521"/>
    <w:rsid w:val="00A7174B"/>
    <w:rsid w:val="00A71A91"/>
    <w:rsid w:val="00A71ACD"/>
    <w:rsid w:val="00A71C29"/>
    <w:rsid w:val="00A7206A"/>
    <w:rsid w:val="00A7218B"/>
    <w:rsid w:val="00A723A1"/>
    <w:rsid w:val="00A72938"/>
    <w:rsid w:val="00A729F0"/>
    <w:rsid w:val="00A72A58"/>
    <w:rsid w:val="00A72AFE"/>
    <w:rsid w:val="00A72D07"/>
    <w:rsid w:val="00A7302E"/>
    <w:rsid w:val="00A730DD"/>
    <w:rsid w:val="00A735FA"/>
    <w:rsid w:val="00A7361D"/>
    <w:rsid w:val="00A73683"/>
    <w:rsid w:val="00A73939"/>
    <w:rsid w:val="00A739AB"/>
    <w:rsid w:val="00A73A5D"/>
    <w:rsid w:val="00A73B08"/>
    <w:rsid w:val="00A73C27"/>
    <w:rsid w:val="00A73C58"/>
    <w:rsid w:val="00A74056"/>
    <w:rsid w:val="00A741B0"/>
    <w:rsid w:val="00A74231"/>
    <w:rsid w:val="00A74656"/>
    <w:rsid w:val="00A74766"/>
    <w:rsid w:val="00A7510B"/>
    <w:rsid w:val="00A7513B"/>
    <w:rsid w:val="00A75190"/>
    <w:rsid w:val="00A7549C"/>
    <w:rsid w:val="00A755AD"/>
    <w:rsid w:val="00A75687"/>
    <w:rsid w:val="00A75826"/>
    <w:rsid w:val="00A758CC"/>
    <w:rsid w:val="00A75AFA"/>
    <w:rsid w:val="00A75B6E"/>
    <w:rsid w:val="00A75D5F"/>
    <w:rsid w:val="00A75D8B"/>
    <w:rsid w:val="00A75FF2"/>
    <w:rsid w:val="00A76371"/>
    <w:rsid w:val="00A76395"/>
    <w:rsid w:val="00A76936"/>
    <w:rsid w:val="00A76C44"/>
    <w:rsid w:val="00A770A1"/>
    <w:rsid w:val="00A773CC"/>
    <w:rsid w:val="00A7785C"/>
    <w:rsid w:val="00A778FC"/>
    <w:rsid w:val="00A77924"/>
    <w:rsid w:val="00A77A3E"/>
    <w:rsid w:val="00A77D63"/>
    <w:rsid w:val="00A801D4"/>
    <w:rsid w:val="00A8032A"/>
    <w:rsid w:val="00A80569"/>
    <w:rsid w:val="00A80572"/>
    <w:rsid w:val="00A80680"/>
    <w:rsid w:val="00A808B8"/>
    <w:rsid w:val="00A808F2"/>
    <w:rsid w:val="00A80F58"/>
    <w:rsid w:val="00A81455"/>
    <w:rsid w:val="00A814D0"/>
    <w:rsid w:val="00A8150B"/>
    <w:rsid w:val="00A815DD"/>
    <w:rsid w:val="00A81894"/>
    <w:rsid w:val="00A81C08"/>
    <w:rsid w:val="00A81EB3"/>
    <w:rsid w:val="00A82006"/>
    <w:rsid w:val="00A82239"/>
    <w:rsid w:val="00A822C6"/>
    <w:rsid w:val="00A8244A"/>
    <w:rsid w:val="00A82804"/>
    <w:rsid w:val="00A829E9"/>
    <w:rsid w:val="00A82B29"/>
    <w:rsid w:val="00A82ECE"/>
    <w:rsid w:val="00A8306B"/>
    <w:rsid w:val="00A83486"/>
    <w:rsid w:val="00A8349A"/>
    <w:rsid w:val="00A83640"/>
    <w:rsid w:val="00A837B4"/>
    <w:rsid w:val="00A8391B"/>
    <w:rsid w:val="00A83D45"/>
    <w:rsid w:val="00A83EAE"/>
    <w:rsid w:val="00A83EE7"/>
    <w:rsid w:val="00A84013"/>
    <w:rsid w:val="00A84338"/>
    <w:rsid w:val="00A8482F"/>
    <w:rsid w:val="00A8499E"/>
    <w:rsid w:val="00A84C77"/>
    <w:rsid w:val="00A84CDF"/>
    <w:rsid w:val="00A84F71"/>
    <w:rsid w:val="00A84F74"/>
    <w:rsid w:val="00A851C3"/>
    <w:rsid w:val="00A855BD"/>
    <w:rsid w:val="00A856BB"/>
    <w:rsid w:val="00A85C90"/>
    <w:rsid w:val="00A85DDE"/>
    <w:rsid w:val="00A86081"/>
    <w:rsid w:val="00A86133"/>
    <w:rsid w:val="00A86148"/>
    <w:rsid w:val="00A861C1"/>
    <w:rsid w:val="00A8628D"/>
    <w:rsid w:val="00A8685B"/>
    <w:rsid w:val="00A868CC"/>
    <w:rsid w:val="00A86AC4"/>
    <w:rsid w:val="00A86D6F"/>
    <w:rsid w:val="00A86E42"/>
    <w:rsid w:val="00A86E57"/>
    <w:rsid w:val="00A87062"/>
    <w:rsid w:val="00A8737F"/>
    <w:rsid w:val="00A875A9"/>
    <w:rsid w:val="00A875DC"/>
    <w:rsid w:val="00A876C2"/>
    <w:rsid w:val="00A876D9"/>
    <w:rsid w:val="00A87709"/>
    <w:rsid w:val="00A8771E"/>
    <w:rsid w:val="00A877F7"/>
    <w:rsid w:val="00A877FC"/>
    <w:rsid w:val="00A879C8"/>
    <w:rsid w:val="00A87B3E"/>
    <w:rsid w:val="00A87B5F"/>
    <w:rsid w:val="00A87DB8"/>
    <w:rsid w:val="00A900B1"/>
    <w:rsid w:val="00A90339"/>
    <w:rsid w:val="00A9033D"/>
    <w:rsid w:val="00A903A4"/>
    <w:rsid w:val="00A90597"/>
    <w:rsid w:val="00A90D00"/>
    <w:rsid w:val="00A90D8C"/>
    <w:rsid w:val="00A910A4"/>
    <w:rsid w:val="00A91108"/>
    <w:rsid w:val="00A91154"/>
    <w:rsid w:val="00A912D3"/>
    <w:rsid w:val="00A913EB"/>
    <w:rsid w:val="00A91453"/>
    <w:rsid w:val="00A91472"/>
    <w:rsid w:val="00A916DE"/>
    <w:rsid w:val="00A91890"/>
    <w:rsid w:val="00A91991"/>
    <w:rsid w:val="00A91CF9"/>
    <w:rsid w:val="00A91E94"/>
    <w:rsid w:val="00A9262C"/>
    <w:rsid w:val="00A9281B"/>
    <w:rsid w:val="00A928CB"/>
    <w:rsid w:val="00A931F9"/>
    <w:rsid w:val="00A933F1"/>
    <w:rsid w:val="00A93988"/>
    <w:rsid w:val="00A93A47"/>
    <w:rsid w:val="00A93AFC"/>
    <w:rsid w:val="00A93D67"/>
    <w:rsid w:val="00A93E7C"/>
    <w:rsid w:val="00A948D1"/>
    <w:rsid w:val="00A94935"/>
    <w:rsid w:val="00A949E1"/>
    <w:rsid w:val="00A94AA0"/>
    <w:rsid w:val="00A94D0F"/>
    <w:rsid w:val="00A94E99"/>
    <w:rsid w:val="00A950D4"/>
    <w:rsid w:val="00A9576B"/>
    <w:rsid w:val="00A95916"/>
    <w:rsid w:val="00A95BC5"/>
    <w:rsid w:val="00A95CFE"/>
    <w:rsid w:val="00A96083"/>
    <w:rsid w:val="00A9608A"/>
    <w:rsid w:val="00A960C8"/>
    <w:rsid w:val="00A96106"/>
    <w:rsid w:val="00A966ED"/>
    <w:rsid w:val="00A96975"/>
    <w:rsid w:val="00A96B0C"/>
    <w:rsid w:val="00A96B38"/>
    <w:rsid w:val="00A96C16"/>
    <w:rsid w:val="00A972C4"/>
    <w:rsid w:val="00A973F1"/>
    <w:rsid w:val="00A9745B"/>
    <w:rsid w:val="00A9757D"/>
    <w:rsid w:val="00A97855"/>
    <w:rsid w:val="00A97A19"/>
    <w:rsid w:val="00A97BBE"/>
    <w:rsid w:val="00A97D0B"/>
    <w:rsid w:val="00AA01A0"/>
    <w:rsid w:val="00AA01BD"/>
    <w:rsid w:val="00AA01DA"/>
    <w:rsid w:val="00AA02B9"/>
    <w:rsid w:val="00AA03B2"/>
    <w:rsid w:val="00AA04D8"/>
    <w:rsid w:val="00AA099A"/>
    <w:rsid w:val="00AA0A70"/>
    <w:rsid w:val="00AA0B21"/>
    <w:rsid w:val="00AA0B84"/>
    <w:rsid w:val="00AA0DAB"/>
    <w:rsid w:val="00AA0DF6"/>
    <w:rsid w:val="00AA11BB"/>
    <w:rsid w:val="00AA1482"/>
    <w:rsid w:val="00AA1629"/>
    <w:rsid w:val="00AA1BE6"/>
    <w:rsid w:val="00AA1E49"/>
    <w:rsid w:val="00AA1EB4"/>
    <w:rsid w:val="00AA224B"/>
    <w:rsid w:val="00AA232D"/>
    <w:rsid w:val="00AA244A"/>
    <w:rsid w:val="00AA2BDA"/>
    <w:rsid w:val="00AA30F5"/>
    <w:rsid w:val="00AA3243"/>
    <w:rsid w:val="00AA324E"/>
    <w:rsid w:val="00AA381E"/>
    <w:rsid w:val="00AA3898"/>
    <w:rsid w:val="00AA38B4"/>
    <w:rsid w:val="00AA391A"/>
    <w:rsid w:val="00AA3FF4"/>
    <w:rsid w:val="00AA405C"/>
    <w:rsid w:val="00AA411B"/>
    <w:rsid w:val="00AA43CB"/>
    <w:rsid w:val="00AA43ED"/>
    <w:rsid w:val="00AA460E"/>
    <w:rsid w:val="00AA49F9"/>
    <w:rsid w:val="00AA4CDE"/>
    <w:rsid w:val="00AA4DD0"/>
    <w:rsid w:val="00AA4EB3"/>
    <w:rsid w:val="00AA5113"/>
    <w:rsid w:val="00AA533E"/>
    <w:rsid w:val="00AA55AE"/>
    <w:rsid w:val="00AA57E4"/>
    <w:rsid w:val="00AA5B8D"/>
    <w:rsid w:val="00AA5D47"/>
    <w:rsid w:val="00AA6006"/>
    <w:rsid w:val="00AA65D8"/>
    <w:rsid w:val="00AA676D"/>
    <w:rsid w:val="00AA6924"/>
    <w:rsid w:val="00AA694E"/>
    <w:rsid w:val="00AA6CEB"/>
    <w:rsid w:val="00AA6F27"/>
    <w:rsid w:val="00AA71E0"/>
    <w:rsid w:val="00AA7237"/>
    <w:rsid w:val="00AA73DD"/>
    <w:rsid w:val="00AA754B"/>
    <w:rsid w:val="00AA764F"/>
    <w:rsid w:val="00AA77E9"/>
    <w:rsid w:val="00AA7AA2"/>
    <w:rsid w:val="00AA7BE0"/>
    <w:rsid w:val="00AA7D24"/>
    <w:rsid w:val="00AA7DCE"/>
    <w:rsid w:val="00AA7F2B"/>
    <w:rsid w:val="00AA7FC4"/>
    <w:rsid w:val="00AB0176"/>
    <w:rsid w:val="00AB0798"/>
    <w:rsid w:val="00AB0A44"/>
    <w:rsid w:val="00AB0BD7"/>
    <w:rsid w:val="00AB0CE8"/>
    <w:rsid w:val="00AB0F4D"/>
    <w:rsid w:val="00AB1041"/>
    <w:rsid w:val="00AB1262"/>
    <w:rsid w:val="00AB13C4"/>
    <w:rsid w:val="00AB1781"/>
    <w:rsid w:val="00AB1824"/>
    <w:rsid w:val="00AB19EC"/>
    <w:rsid w:val="00AB1D5E"/>
    <w:rsid w:val="00AB1DB1"/>
    <w:rsid w:val="00AB207B"/>
    <w:rsid w:val="00AB2193"/>
    <w:rsid w:val="00AB22E6"/>
    <w:rsid w:val="00AB23EB"/>
    <w:rsid w:val="00AB24AE"/>
    <w:rsid w:val="00AB256A"/>
    <w:rsid w:val="00AB25E6"/>
    <w:rsid w:val="00AB2A7A"/>
    <w:rsid w:val="00AB2D1E"/>
    <w:rsid w:val="00AB2EC6"/>
    <w:rsid w:val="00AB2F04"/>
    <w:rsid w:val="00AB31C7"/>
    <w:rsid w:val="00AB33D7"/>
    <w:rsid w:val="00AB34AE"/>
    <w:rsid w:val="00AB36B8"/>
    <w:rsid w:val="00AB3873"/>
    <w:rsid w:val="00AB3B8B"/>
    <w:rsid w:val="00AB3CC2"/>
    <w:rsid w:val="00AB3EB3"/>
    <w:rsid w:val="00AB3FE0"/>
    <w:rsid w:val="00AB4074"/>
    <w:rsid w:val="00AB4153"/>
    <w:rsid w:val="00AB42DD"/>
    <w:rsid w:val="00AB44C2"/>
    <w:rsid w:val="00AB4B61"/>
    <w:rsid w:val="00AB4F5F"/>
    <w:rsid w:val="00AB513F"/>
    <w:rsid w:val="00AB5265"/>
    <w:rsid w:val="00AB531E"/>
    <w:rsid w:val="00AB5429"/>
    <w:rsid w:val="00AB555C"/>
    <w:rsid w:val="00AB56F7"/>
    <w:rsid w:val="00AB5889"/>
    <w:rsid w:val="00AB58D0"/>
    <w:rsid w:val="00AB59A7"/>
    <w:rsid w:val="00AB5AD3"/>
    <w:rsid w:val="00AB5C0C"/>
    <w:rsid w:val="00AB6139"/>
    <w:rsid w:val="00AB695D"/>
    <w:rsid w:val="00AB6BA3"/>
    <w:rsid w:val="00AB6D1D"/>
    <w:rsid w:val="00AB6D3A"/>
    <w:rsid w:val="00AB6F0C"/>
    <w:rsid w:val="00AB6F95"/>
    <w:rsid w:val="00AB72CC"/>
    <w:rsid w:val="00AB737F"/>
    <w:rsid w:val="00AB74C7"/>
    <w:rsid w:val="00AB7558"/>
    <w:rsid w:val="00AB767A"/>
    <w:rsid w:val="00AB7A78"/>
    <w:rsid w:val="00AB7B39"/>
    <w:rsid w:val="00AB7CE7"/>
    <w:rsid w:val="00AB7DF2"/>
    <w:rsid w:val="00AB7E7B"/>
    <w:rsid w:val="00AB7FE9"/>
    <w:rsid w:val="00AC0126"/>
    <w:rsid w:val="00AC0523"/>
    <w:rsid w:val="00AC05D5"/>
    <w:rsid w:val="00AC05D6"/>
    <w:rsid w:val="00AC0668"/>
    <w:rsid w:val="00AC07E7"/>
    <w:rsid w:val="00AC0A8C"/>
    <w:rsid w:val="00AC1023"/>
    <w:rsid w:val="00AC13FD"/>
    <w:rsid w:val="00AC14DA"/>
    <w:rsid w:val="00AC1892"/>
    <w:rsid w:val="00AC18E3"/>
    <w:rsid w:val="00AC1A60"/>
    <w:rsid w:val="00AC1EF0"/>
    <w:rsid w:val="00AC20B5"/>
    <w:rsid w:val="00AC2522"/>
    <w:rsid w:val="00AC2DD1"/>
    <w:rsid w:val="00AC2E7D"/>
    <w:rsid w:val="00AC307C"/>
    <w:rsid w:val="00AC30E9"/>
    <w:rsid w:val="00AC3233"/>
    <w:rsid w:val="00AC3430"/>
    <w:rsid w:val="00AC37A5"/>
    <w:rsid w:val="00AC3810"/>
    <w:rsid w:val="00AC3B59"/>
    <w:rsid w:val="00AC3BC4"/>
    <w:rsid w:val="00AC3D77"/>
    <w:rsid w:val="00AC3EF3"/>
    <w:rsid w:val="00AC3F55"/>
    <w:rsid w:val="00AC4027"/>
    <w:rsid w:val="00AC409D"/>
    <w:rsid w:val="00AC411B"/>
    <w:rsid w:val="00AC41AF"/>
    <w:rsid w:val="00AC421D"/>
    <w:rsid w:val="00AC4286"/>
    <w:rsid w:val="00AC4464"/>
    <w:rsid w:val="00AC4473"/>
    <w:rsid w:val="00AC461E"/>
    <w:rsid w:val="00AC47FB"/>
    <w:rsid w:val="00AC4C38"/>
    <w:rsid w:val="00AC4C45"/>
    <w:rsid w:val="00AC4D1E"/>
    <w:rsid w:val="00AC501F"/>
    <w:rsid w:val="00AC549D"/>
    <w:rsid w:val="00AC550A"/>
    <w:rsid w:val="00AC595C"/>
    <w:rsid w:val="00AC59F2"/>
    <w:rsid w:val="00AC5AE0"/>
    <w:rsid w:val="00AC5D54"/>
    <w:rsid w:val="00AC5EB2"/>
    <w:rsid w:val="00AC6039"/>
    <w:rsid w:val="00AC60AD"/>
    <w:rsid w:val="00AC6169"/>
    <w:rsid w:val="00AC6181"/>
    <w:rsid w:val="00AC6215"/>
    <w:rsid w:val="00AC6240"/>
    <w:rsid w:val="00AC6728"/>
    <w:rsid w:val="00AC6C61"/>
    <w:rsid w:val="00AC6EE8"/>
    <w:rsid w:val="00AC700F"/>
    <w:rsid w:val="00AC7023"/>
    <w:rsid w:val="00AC70FF"/>
    <w:rsid w:val="00AC73F5"/>
    <w:rsid w:val="00AC7446"/>
    <w:rsid w:val="00AC75B6"/>
    <w:rsid w:val="00AC7791"/>
    <w:rsid w:val="00AC7B90"/>
    <w:rsid w:val="00AC7E45"/>
    <w:rsid w:val="00AD01A3"/>
    <w:rsid w:val="00AD0406"/>
    <w:rsid w:val="00AD114E"/>
    <w:rsid w:val="00AD12DC"/>
    <w:rsid w:val="00AD13AE"/>
    <w:rsid w:val="00AD1B9C"/>
    <w:rsid w:val="00AD1BB7"/>
    <w:rsid w:val="00AD1E3F"/>
    <w:rsid w:val="00AD1F9C"/>
    <w:rsid w:val="00AD20EA"/>
    <w:rsid w:val="00AD29BD"/>
    <w:rsid w:val="00AD309A"/>
    <w:rsid w:val="00AD3258"/>
    <w:rsid w:val="00AD3359"/>
    <w:rsid w:val="00AD3456"/>
    <w:rsid w:val="00AD3503"/>
    <w:rsid w:val="00AD3592"/>
    <w:rsid w:val="00AD37F0"/>
    <w:rsid w:val="00AD38DF"/>
    <w:rsid w:val="00AD38E8"/>
    <w:rsid w:val="00AD38FB"/>
    <w:rsid w:val="00AD41A0"/>
    <w:rsid w:val="00AD457B"/>
    <w:rsid w:val="00AD4B2A"/>
    <w:rsid w:val="00AD522C"/>
    <w:rsid w:val="00AD53B3"/>
    <w:rsid w:val="00AD572E"/>
    <w:rsid w:val="00AD574C"/>
    <w:rsid w:val="00AD581B"/>
    <w:rsid w:val="00AD58D9"/>
    <w:rsid w:val="00AD5945"/>
    <w:rsid w:val="00AD5AE2"/>
    <w:rsid w:val="00AD5CF0"/>
    <w:rsid w:val="00AD6116"/>
    <w:rsid w:val="00AD62E8"/>
    <w:rsid w:val="00AD63E0"/>
    <w:rsid w:val="00AD649E"/>
    <w:rsid w:val="00AD658C"/>
    <w:rsid w:val="00AD6E3C"/>
    <w:rsid w:val="00AD707A"/>
    <w:rsid w:val="00AD7109"/>
    <w:rsid w:val="00AD74A2"/>
    <w:rsid w:val="00AD79E3"/>
    <w:rsid w:val="00AD7BEF"/>
    <w:rsid w:val="00AD7C97"/>
    <w:rsid w:val="00AD7FF5"/>
    <w:rsid w:val="00AE00C3"/>
    <w:rsid w:val="00AE01BD"/>
    <w:rsid w:val="00AE0370"/>
    <w:rsid w:val="00AE08B5"/>
    <w:rsid w:val="00AE0A77"/>
    <w:rsid w:val="00AE0DC1"/>
    <w:rsid w:val="00AE0DD6"/>
    <w:rsid w:val="00AE1434"/>
    <w:rsid w:val="00AE15C4"/>
    <w:rsid w:val="00AE1AF3"/>
    <w:rsid w:val="00AE1B6F"/>
    <w:rsid w:val="00AE1C69"/>
    <w:rsid w:val="00AE1CD8"/>
    <w:rsid w:val="00AE24B5"/>
    <w:rsid w:val="00AE27A8"/>
    <w:rsid w:val="00AE2A09"/>
    <w:rsid w:val="00AE2ADE"/>
    <w:rsid w:val="00AE2B48"/>
    <w:rsid w:val="00AE2CC3"/>
    <w:rsid w:val="00AE2D4D"/>
    <w:rsid w:val="00AE3070"/>
    <w:rsid w:val="00AE31B8"/>
    <w:rsid w:val="00AE3840"/>
    <w:rsid w:val="00AE3B4B"/>
    <w:rsid w:val="00AE4531"/>
    <w:rsid w:val="00AE4628"/>
    <w:rsid w:val="00AE4642"/>
    <w:rsid w:val="00AE46D6"/>
    <w:rsid w:val="00AE47DC"/>
    <w:rsid w:val="00AE47F8"/>
    <w:rsid w:val="00AE49BF"/>
    <w:rsid w:val="00AE4A26"/>
    <w:rsid w:val="00AE4A3B"/>
    <w:rsid w:val="00AE4ACB"/>
    <w:rsid w:val="00AE4B97"/>
    <w:rsid w:val="00AE4C8A"/>
    <w:rsid w:val="00AE4D5B"/>
    <w:rsid w:val="00AE4DE2"/>
    <w:rsid w:val="00AE4E54"/>
    <w:rsid w:val="00AE51A6"/>
    <w:rsid w:val="00AE54B2"/>
    <w:rsid w:val="00AE57C8"/>
    <w:rsid w:val="00AE58AB"/>
    <w:rsid w:val="00AE5C7A"/>
    <w:rsid w:val="00AE5E06"/>
    <w:rsid w:val="00AE5E68"/>
    <w:rsid w:val="00AE5ECE"/>
    <w:rsid w:val="00AE5F91"/>
    <w:rsid w:val="00AE6A60"/>
    <w:rsid w:val="00AE6A93"/>
    <w:rsid w:val="00AE6BD2"/>
    <w:rsid w:val="00AE7232"/>
    <w:rsid w:val="00AE7245"/>
    <w:rsid w:val="00AE7290"/>
    <w:rsid w:val="00AE7619"/>
    <w:rsid w:val="00AE7933"/>
    <w:rsid w:val="00AE7A39"/>
    <w:rsid w:val="00AF014E"/>
    <w:rsid w:val="00AF03A0"/>
    <w:rsid w:val="00AF09D3"/>
    <w:rsid w:val="00AF0A62"/>
    <w:rsid w:val="00AF0CD3"/>
    <w:rsid w:val="00AF0F1E"/>
    <w:rsid w:val="00AF11C1"/>
    <w:rsid w:val="00AF126E"/>
    <w:rsid w:val="00AF177C"/>
    <w:rsid w:val="00AF1832"/>
    <w:rsid w:val="00AF1BD4"/>
    <w:rsid w:val="00AF1C74"/>
    <w:rsid w:val="00AF1CE9"/>
    <w:rsid w:val="00AF1D5D"/>
    <w:rsid w:val="00AF1F21"/>
    <w:rsid w:val="00AF21AC"/>
    <w:rsid w:val="00AF2272"/>
    <w:rsid w:val="00AF24EC"/>
    <w:rsid w:val="00AF2A5E"/>
    <w:rsid w:val="00AF2FA5"/>
    <w:rsid w:val="00AF3051"/>
    <w:rsid w:val="00AF3592"/>
    <w:rsid w:val="00AF35A6"/>
    <w:rsid w:val="00AF369A"/>
    <w:rsid w:val="00AF38EB"/>
    <w:rsid w:val="00AF3BC4"/>
    <w:rsid w:val="00AF3CD7"/>
    <w:rsid w:val="00AF3EB3"/>
    <w:rsid w:val="00AF3ECB"/>
    <w:rsid w:val="00AF3F55"/>
    <w:rsid w:val="00AF3F66"/>
    <w:rsid w:val="00AF4397"/>
    <w:rsid w:val="00AF4416"/>
    <w:rsid w:val="00AF4824"/>
    <w:rsid w:val="00AF4B19"/>
    <w:rsid w:val="00AF4B45"/>
    <w:rsid w:val="00AF4B5E"/>
    <w:rsid w:val="00AF4BD1"/>
    <w:rsid w:val="00AF4C2E"/>
    <w:rsid w:val="00AF4C3B"/>
    <w:rsid w:val="00AF4D07"/>
    <w:rsid w:val="00AF56A5"/>
    <w:rsid w:val="00AF579E"/>
    <w:rsid w:val="00AF57E1"/>
    <w:rsid w:val="00AF584F"/>
    <w:rsid w:val="00AF5A67"/>
    <w:rsid w:val="00AF5ACA"/>
    <w:rsid w:val="00AF5AF8"/>
    <w:rsid w:val="00AF5CB6"/>
    <w:rsid w:val="00AF5CEB"/>
    <w:rsid w:val="00AF5EFB"/>
    <w:rsid w:val="00AF6414"/>
    <w:rsid w:val="00AF667E"/>
    <w:rsid w:val="00AF668A"/>
    <w:rsid w:val="00AF6CCC"/>
    <w:rsid w:val="00AF6F37"/>
    <w:rsid w:val="00AF6FE8"/>
    <w:rsid w:val="00AF71FC"/>
    <w:rsid w:val="00AF742D"/>
    <w:rsid w:val="00AF756C"/>
    <w:rsid w:val="00AF7578"/>
    <w:rsid w:val="00AF7610"/>
    <w:rsid w:val="00AF7667"/>
    <w:rsid w:val="00AF7740"/>
    <w:rsid w:val="00AF7916"/>
    <w:rsid w:val="00AF7BE7"/>
    <w:rsid w:val="00B0001A"/>
    <w:rsid w:val="00B0020E"/>
    <w:rsid w:val="00B0043A"/>
    <w:rsid w:val="00B004B3"/>
    <w:rsid w:val="00B00618"/>
    <w:rsid w:val="00B00777"/>
    <w:rsid w:val="00B008CB"/>
    <w:rsid w:val="00B00A6F"/>
    <w:rsid w:val="00B00C15"/>
    <w:rsid w:val="00B00D20"/>
    <w:rsid w:val="00B00EF7"/>
    <w:rsid w:val="00B01079"/>
    <w:rsid w:val="00B010E4"/>
    <w:rsid w:val="00B01161"/>
    <w:rsid w:val="00B0162E"/>
    <w:rsid w:val="00B01799"/>
    <w:rsid w:val="00B017A6"/>
    <w:rsid w:val="00B017D9"/>
    <w:rsid w:val="00B01A34"/>
    <w:rsid w:val="00B01B3E"/>
    <w:rsid w:val="00B023A5"/>
    <w:rsid w:val="00B02489"/>
    <w:rsid w:val="00B0279F"/>
    <w:rsid w:val="00B02918"/>
    <w:rsid w:val="00B02ABC"/>
    <w:rsid w:val="00B02C87"/>
    <w:rsid w:val="00B02CB1"/>
    <w:rsid w:val="00B030BF"/>
    <w:rsid w:val="00B03263"/>
    <w:rsid w:val="00B033E8"/>
    <w:rsid w:val="00B0343A"/>
    <w:rsid w:val="00B034FC"/>
    <w:rsid w:val="00B0357B"/>
    <w:rsid w:val="00B03687"/>
    <w:rsid w:val="00B037BA"/>
    <w:rsid w:val="00B03A7C"/>
    <w:rsid w:val="00B03B20"/>
    <w:rsid w:val="00B03BB3"/>
    <w:rsid w:val="00B03C15"/>
    <w:rsid w:val="00B04173"/>
    <w:rsid w:val="00B0428B"/>
    <w:rsid w:val="00B043AC"/>
    <w:rsid w:val="00B043C7"/>
    <w:rsid w:val="00B0452E"/>
    <w:rsid w:val="00B047CC"/>
    <w:rsid w:val="00B0489C"/>
    <w:rsid w:val="00B04BE4"/>
    <w:rsid w:val="00B04EEA"/>
    <w:rsid w:val="00B050AA"/>
    <w:rsid w:val="00B05100"/>
    <w:rsid w:val="00B05572"/>
    <w:rsid w:val="00B05C23"/>
    <w:rsid w:val="00B05FAD"/>
    <w:rsid w:val="00B060D2"/>
    <w:rsid w:val="00B060F8"/>
    <w:rsid w:val="00B062BC"/>
    <w:rsid w:val="00B06571"/>
    <w:rsid w:val="00B06848"/>
    <w:rsid w:val="00B070FC"/>
    <w:rsid w:val="00B07ABA"/>
    <w:rsid w:val="00B07D5A"/>
    <w:rsid w:val="00B07DEA"/>
    <w:rsid w:val="00B1006F"/>
    <w:rsid w:val="00B100C3"/>
    <w:rsid w:val="00B10194"/>
    <w:rsid w:val="00B104AE"/>
    <w:rsid w:val="00B104C9"/>
    <w:rsid w:val="00B1085A"/>
    <w:rsid w:val="00B108A4"/>
    <w:rsid w:val="00B108EF"/>
    <w:rsid w:val="00B10BDD"/>
    <w:rsid w:val="00B10DDA"/>
    <w:rsid w:val="00B10E58"/>
    <w:rsid w:val="00B110CF"/>
    <w:rsid w:val="00B11218"/>
    <w:rsid w:val="00B112DF"/>
    <w:rsid w:val="00B115FE"/>
    <w:rsid w:val="00B117A4"/>
    <w:rsid w:val="00B117FE"/>
    <w:rsid w:val="00B11B1A"/>
    <w:rsid w:val="00B11B71"/>
    <w:rsid w:val="00B11E17"/>
    <w:rsid w:val="00B122C5"/>
    <w:rsid w:val="00B127E2"/>
    <w:rsid w:val="00B12854"/>
    <w:rsid w:val="00B12A83"/>
    <w:rsid w:val="00B12AF8"/>
    <w:rsid w:val="00B12C46"/>
    <w:rsid w:val="00B12C67"/>
    <w:rsid w:val="00B12F6D"/>
    <w:rsid w:val="00B131B1"/>
    <w:rsid w:val="00B13335"/>
    <w:rsid w:val="00B133F6"/>
    <w:rsid w:val="00B136D1"/>
    <w:rsid w:val="00B13738"/>
    <w:rsid w:val="00B1375A"/>
    <w:rsid w:val="00B139A7"/>
    <w:rsid w:val="00B13A32"/>
    <w:rsid w:val="00B13B33"/>
    <w:rsid w:val="00B13B63"/>
    <w:rsid w:val="00B13DA3"/>
    <w:rsid w:val="00B13E2B"/>
    <w:rsid w:val="00B13F64"/>
    <w:rsid w:val="00B14180"/>
    <w:rsid w:val="00B1482C"/>
    <w:rsid w:val="00B149E5"/>
    <w:rsid w:val="00B14C47"/>
    <w:rsid w:val="00B1503B"/>
    <w:rsid w:val="00B151CF"/>
    <w:rsid w:val="00B15342"/>
    <w:rsid w:val="00B15368"/>
    <w:rsid w:val="00B1541B"/>
    <w:rsid w:val="00B156F3"/>
    <w:rsid w:val="00B157B5"/>
    <w:rsid w:val="00B1644D"/>
    <w:rsid w:val="00B164EA"/>
    <w:rsid w:val="00B165DD"/>
    <w:rsid w:val="00B16636"/>
    <w:rsid w:val="00B16D08"/>
    <w:rsid w:val="00B16DFA"/>
    <w:rsid w:val="00B172E2"/>
    <w:rsid w:val="00B17626"/>
    <w:rsid w:val="00B17689"/>
    <w:rsid w:val="00B17933"/>
    <w:rsid w:val="00B17B2E"/>
    <w:rsid w:val="00B17BA8"/>
    <w:rsid w:val="00B17F16"/>
    <w:rsid w:val="00B17F90"/>
    <w:rsid w:val="00B20301"/>
    <w:rsid w:val="00B2035D"/>
    <w:rsid w:val="00B2068D"/>
    <w:rsid w:val="00B207EF"/>
    <w:rsid w:val="00B20AA4"/>
    <w:rsid w:val="00B20B24"/>
    <w:rsid w:val="00B2134F"/>
    <w:rsid w:val="00B21369"/>
    <w:rsid w:val="00B2166E"/>
    <w:rsid w:val="00B21670"/>
    <w:rsid w:val="00B22428"/>
    <w:rsid w:val="00B2243B"/>
    <w:rsid w:val="00B224B4"/>
    <w:rsid w:val="00B225BC"/>
    <w:rsid w:val="00B228B8"/>
    <w:rsid w:val="00B22ABF"/>
    <w:rsid w:val="00B22BB6"/>
    <w:rsid w:val="00B22EBB"/>
    <w:rsid w:val="00B23121"/>
    <w:rsid w:val="00B236CC"/>
    <w:rsid w:val="00B23897"/>
    <w:rsid w:val="00B23921"/>
    <w:rsid w:val="00B23AF3"/>
    <w:rsid w:val="00B23C0C"/>
    <w:rsid w:val="00B23C99"/>
    <w:rsid w:val="00B23D41"/>
    <w:rsid w:val="00B23FE9"/>
    <w:rsid w:val="00B244D5"/>
    <w:rsid w:val="00B244EA"/>
    <w:rsid w:val="00B2486D"/>
    <w:rsid w:val="00B2489A"/>
    <w:rsid w:val="00B24C14"/>
    <w:rsid w:val="00B24CE0"/>
    <w:rsid w:val="00B24EB2"/>
    <w:rsid w:val="00B24FB1"/>
    <w:rsid w:val="00B257FB"/>
    <w:rsid w:val="00B25C13"/>
    <w:rsid w:val="00B25D53"/>
    <w:rsid w:val="00B26138"/>
    <w:rsid w:val="00B2650D"/>
    <w:rsid w:val="00B26759"/>
    <w:rsid w:val="00B2686F"/>
    <w:rsid w:val="00B26AA8"/>
    <w:rsid w:val="00B26D13"/>
    <w:rsid w:val="00B270E1"/>
    <w:rsid w:val="00B2727A"/>
    <w:rsid w:val="00B274B1"/>
    <w:rsid w:val="00B2766A"/>
    <w:rsid w:val="00B27726"/>
    <w:rsid w:val="00B278BB"/>
    <w:rsid w:val="00B278BF"/>
    <w:rsid w:val="00B27B5E"/>
    <w:rsid w:val="00B27C27"/>
    <w:rsid w:val="00B27CF6"/>
    <w:rsid w:val="00B27D75"/>
    <w:rsid w:val="00B27FCA"/>
    <w:rsid w:val="00B27FF6"/>
    <w:rsid w:val="00B301F1"/>
    <w:rsid w:val="00B3068B"/>
    <w:rsid w:val="00B30C9A"/>
    <w:rsid w:val="00B30E44"/>
    <w:rsid w:val="00B30EE0"/>
    <w:rsid w:val="00B30FC0"/>
    <w:rsid w:val="00B3102E"/>
    <w:rsid w:val="00B31054"/>
    <w:rsid w:val="00B310F5"/>
    <w:rsid w:val="00B3145B"/>
    <w:rsid w:val="00B314A2"/>
    <w:rsid w:val="00B319B7"/>
    <w:rsid w:val="00B31AFE"/>
    <w:rsid w:val="00B31EEF"/>
    <w:rsid w:val="00B3224C"/>
    <w:rsid w:val="00B3244D"/>
    <w:rsid w:val="00B32483"/>
    <w:rsid w:val="00B32660"/>
    <w:rsid w:val="00B32773"/>
    <w:rsid w:val="00B32789"/>
    <w:rsid w:val="00B32AC9"/>
    <w:rsid w:val="00B32B59"/>
    <w:rsid w:val="00B32DBB"/>
    <w:rsid w:val="00B32F34"/>
    <w:rsid w:val="00B33105"/>
    <w:rsid w:val="00B3334A"/>
    <w:rsid w:val="00B33350"/>
    <w:rsid w:val="00B3350D"/>
    <w:rsid w:val="00B337FF"/>
    <w:rsid w:val="00B3386F"/>
    <w:rsid w:val="00B338E8"/>
    <w:rsid w:val="00B339FE"/>
    <w:rsid w:val="00B33C6E"/>
    <w:rsid w:val="00B33DC9"/>
    <w:rsid w:val="00B33F2B"/>
    <w:rsid w:val="00B3407D"/>
    <w:rsid w:val="00B34126"/>
    <w:rsid w:val="00B342BF"/>
    <w:rsid w:val="00B344FF"/>
    <w:rsid w:val="00B3493A"/>
    <w:rsid w:val="00B34A11"/>
    <w:rsid w:val="00B34B2B"/>
    <w:rsid w:val="00B34B2F"/>
    <w:rsid w:val="00B34C1D"/>
    <w:rsid w:val="00B34EAF"/>
    <w:rsid w:val="00B34FAD"/>
    <w:rsid w:val="00B351C7"/>
    <w:rsid w:val="00B353CE"/>
    <w:rsid w:val="00B35809"/>
    <w:rsid w:val="00B36216"/>
    <w:rsid w:val="00B36774"/>
    <w:rsid w:val="00B369F4"/>
    <w:rsid w:val="00B36B5E"/>
    <w:rsid w:val="00B36CC8"/>
    <w:rsid w:val="00B374DC"/>
    <w:rsid w:val="00B37725"/>
    <w:rsid w:val="00B37829"/>
    <w:rsid w:val="00B37B6B"/>
    <w:rsid w:val="00B37B86"/>
    <w:rsid w:val="00B37BA5"/>
    <w:rsid w:val="00B37C22"/>
    <w:rsid w:val="00B37DEC"/>
    <w:rsid w:val="00B37E3B"/>
    <w:rsid w:val="00B37E87"/>
    <w:rsid w:val="00B37FB8"/>
    <w:rsid w:val="00B40519"/>
    <w:rsid w:val="00B40652"/>
    <w:rsid w:val="00B40843"/>
    <w:rsid w:val="00B409E0"/>
    <w:rsid w:val="00B40D9A"/>
    <w:rsid w:val="00B40D9E"/>
    <w:rsid w:val="00B40E8C"/>
    <w:rsid w:val="00B40EC1"/>
    <w:rsid w:val="00B40FEB"/>
    <w:rsid w:val="00B4104B"/>
    <w:rsid w:val="00B4109D"/>
    <w:rsid w:val="00B410D2"/>
    <w:rsid w:val="00B4125D"/>
    <w:rsid w:val="00B416C3"/>
    <w:rsid w:val="00B416C8"/>
    <w:rsid w:val="00B419DE"/>
    <w:rsid w:val="00B41F07"/>
    <w:rsid w:val="00B42083"/>
    <w:rsid w:val="00B42200"/>
    <w:rsid w:val="00B42A24"/>
    <w:rsid w:val="00B42B15"/>
    <w:rsid w:val="00B42B7A"/>
    <w:rsid w:val="00B42CA0"/>
    <w:rsid w:val="00B42CAB"/>
    <w:rsid w:val="00B42D72"/>
    <w:rsid w:val="00B42E05"/>
    <w:rsid w:val="00B42F06"/>
    <w:rsid w:val="00B431F3"/>
    <w:rsid w:val="00B4382F"/>
    <w:rsid w:val="00B43B8D"/>
    <w:rsid w:val="00B43DF9"/>
    <w:rsid w:val="00B43F4A"/>
    <w:rsid w:val="00B43FD8"/>
    <w:rsid w:val="00B44040"/>
    <w:rsid w:val="00B441AE"/>
    <w:rsid w:val="00B4428B"/>
    <w:rsid w:val="00B4442A"/>
    <w:rsid w:val="00B444A8"/>
    <w:rsid w:val="00B444C0"/>
    <w:rsid w:val="00B44742"/>
    <w:rsid w:val="00B448C6"/>
    <w:rsid w:val="00B44AB0"/>
    <w:rsid w:val="00B44D0B"/>
    <w:rsid w:val="00B4519D"/>
    <w:rsid w:val="00B451CC"/>
    <w:rsid w:val="00B45367"/>
    <w:rsid w:val="00B457F4"/>
    <w:rsid w:val="00B45802"/>
    <w:rsid w:val="00B45A1C"/>
    <w:rsid w:val="00B45CF9"/>
    <w:rsid w:val="00B45EB7"/>
    <w:rsid w:val="00B46044"/>
    <w:rsid w:val="00B46216"/>
    <w:rsid w:val="00B46604"/>
    <w:rsid w:val="00B4667A"/>
    <w:rsid w:val="00B46992"/>
    <w:rsid w:val="00B469A4"/>
    <w:rsid w:val="00B46E70"/>
    <w:rsid w:val="00B4704A"/>
    <w:rsid w:val="00B47666"/>
    <w:rsid w:val="00B47702"/>
    <w:rsid w:val="00B47757"/>
    <w:rsid w:val="00B478A6"/>
    <w:rsid w:val="00B478D6"/>
    <w:rsid w:val="00B479CA"/>
    <w:rsid w:val="00B47AD5"/>
    <w:rsid w:val="00B47B84"/>
    <w:rsid w:val="00B47B8D"/>
    <w:rsid w:val="00B5009E"/>
    <w:rsid w:val="00B501AA"/>
    <w:rsid w:val="00B503FD"/>
    <w:rsid w:val="00B506F4"/>
    <w:rsid w:val="00B50A52"/>
    <w:rsid w:val="00B50F05"/>
    <w:rsid w:val="00B510D3"/>
    <w:rsid w:val="00B512B0"/>
    <w:rsid w:val="00B519A5"/>
    <w:rsid w:val="00B51A0F"/>
    <w:rsid w:val="00B51C79"/>
    <w:rsid w:val="00B5216E"/>
    <w:rsid w:val="00B528B0"/>
    <w:rsid w:val="00B52931"/>
    <w:rsid w:val="00B529E8"/>
    <w:rsid w:val="00B52A43"/>
    <w:rsid w:val="00B52B7B"/>
    <w:rsid w:val="00B52E39"/>
    <w:rsid w:val="00B52FE0"/>
    <w:rsid w:val="00B53013"/>
    <w:rsid w:val="00B532DF"/>
    <w:rsid w:val="00B533A7"/>
    <w:rsid w:val="00B53554"/>
    <w:rsid w:val="00B5369D"/>
    <w:rsid w:val="00B537EC"/>
    <w:rsid w:val="00B53800"/>
    <w:rsid w:val="00B538F6"/>
    <w:rsid w:val="00B53C3E"/>
    <w:rsid w:val="00B53CB7"/>
    <w:rsid w:val="00B53EE3"/>
    <w:rsid w:val="00B5434B"/>
    <w:rsid w:val="00B5440E"/>
    <w:rsid w:val="00B54ACC"/>
    <w:rsid w:val="00B54ACE"/>
    <w:rsid w:val="00B54DC9"/>
    <w:rsid w:val="00B54F7F"/>
    <w:rsid w:val="00B550C6"/>
    <w:rsid w:val="00B5540B"/>
    <w:rsid w:val="00B556DF"/>
    <w:rsid w:val="00B5585A"/>
    <w:rsid w:val="00B558B0"/>
    <w:rsid w:val="00B558C6"/>
    <w:rsid w:val="00B55CAF"/>
    <w:rsid w:val="00B55EEE"/>
    <w:rsid w:val="00B560CF"/>
    <w:rsid w:val="00B56278"/>
    <w:rsid w:val="00B563AF"/>
    <w:rsid w:val="00B564AB"/>
    <w:rsid w:val="00B5651B"/>
    <w:rsid w:val="00B56765"/>
    <w:rsid w:val="00B56968"/>
    <w:rsid w:val="00B569B6"/>
    <w:rsid w:val="00B56A4E"/>
    <w:rsid w:val="00B56B39"/>
    <w:rsid w:val="00B56D3F"/>
    <w:rsid w:val="00B56F98"/>
    <w:rsid w:val="00B5767E"/>
    <w:rsid w:val="00B577BC"/>
    <w:rsid w:val="00B5795A"/>
    <w:rsid w:val="00B57A27"/>
    <w:rsid w:val="00B57A91"/>
    <w:rsid w:val="00B57AE9"/>
    <w:rsid w:val="00B57CE5"/>
    <w:rsid w:val="00B60048"/>
    <w:rsid w:val="00B6075A"/>
    <w:rsid w:val="00B60834"/>
    <w:rsid w:val="00B609FB"/>
    <w:rsid w:val="00B60B83"/>
    <w:rsid w:val="00B60BF4"/>
    <w:rsid w:val="00B60C56"/>
    <w:rsid w:val="00B61099"/>
    <w:rsid w:val="00B61229"/>
    <w:rsid w:val="00B612E0"/>
    <w:rsid w:val="00B614A5"/>
    <w:rsid w:val="00B61563"/>
    <w:rsid w:val="00B615D8"/>
    <w:rsid w:val="00B6195B"/>
    <w:rsid w:val="00B61A2F"/>
    <w:rsid w:val="00B62139"/>
    <w:rsid w:val="00B62231"/>
    <w:rsid w:val="00B624CE"/>
    <w:rsid w:val="00B6255A"/>
    <w:rsid w:val="00B62609"/>
    <w:rsid w:val="00B626CE"/>
    <w:rsid w:val="00B626DC"/>
    <w:rsid w:val="00B62780"/>
    <w:rsid w:val="00B62989"/>
    <w:rsid w:val="00B62A50"/>
    <w:rsid w:val="00B62E53"/>
    <w:rsid w:val="00B62EE6"/>
    <w:rsid w:val="00B62FB4"/>
    <w:rsid w:val="00B633CE"/>
    <w:rsid w:val="00B6357F"/>
    <w:rsid w:val="00B636BF"/>
    <w:rsid w:val="00B6390B"/>
    <w:rsid w:val="00B63A4A"/>
    <w:rsid w:val="00B63F0A"/>
    <w:rsid w:val="00B6405A"/>
    <w:rsid w:val="00B64306"/>
    <w:rsid w:val="00B643C2"/>
    <w:rsid w:val="00B645E5"/>
    <w:rsid w:val="00B64760"/>
    <w:rsid w:val="00B64825"/>
    <w:rsid w:val="00B64C12"/>
    <w:rsid w:val="00B64DA6"/>
    <w:rsid w:val="00B64F60"/>
    <w:rsid w:val="00B653C8"/>
    <w:rsid w:val="00B656EF"/>
    <w:rsid w:val="00B65AAB"/>
    <w:rsid w:val="00B65DA5"/>
    <w:rsid w:val="00B65F63"/>
    <w:rsid w:val="00B6607D"/>
    <w:rsid w:val="00B6663E"/>
    <w:rsid w:val="00B666F1"/>
    <w:rsid w:val="00B66834"/>
    <w:rsid w:val="00B66BCD"/>
    <w:rsid w:val="00B6725E"/>
    <w:rsid w:val="00B67355"/>
    <w:rsid w:val="00B676E2"/>
    <w:rsid w:val="00B677B1"/>
    <w:rsid w:val="00B67A37"/>
    <w:rsid w:val="00B67C25"/>
    <w:rsid w:val="00B70288"/>
    <w:rsid w:val="00B703F0"/>
    <w:rsid w:val="00B705EF"/>
    <w:rsid w:val="00B7064F"/>
    <w:rsid w:val="00B7079E"/>
    <w:rsid w:val="00B70890"/>
    <w:rsid w:val="00B708EB"/>
    <w:rsid w:val="00B7090A"/>
    <w:rsid w:val="00B70BD0"/>
    <w:rsid w:val="00B70D2D"/>
    <w:rsid w:val="00B710DF"/>
    <w:rsid w:val="00B71405"/>
    <w:rsid w:val="00B71BF4"/>
    <w:rsid w:val="00B720A4"/>
    <w:rsid w:val="00B7227B"/>
    <w:rsid w:val="00B72291"/>
    <w:rsid w:val="00B72460"/>
    <w:rsid w:val="00B72497"/>
    <w:rsid w:val="00B724F6"/>
    <w:rsid w:val="00B7260C"/>
    <w:rsid w:val="00B7261F"/>
    <w:rsid w:val="00B728DE"/>
    <w:rsid w:val="00B72F49"/>
    <w:rsid w:val="00B72F51"/>
    <w:rsid w:val="00B73027"/>
    <w:rsid w:val="00B731BB"/>
    <w:rsid w:val="00B73345"/>
    <w:rsid w:val="00B73387"/>
    <w:rsid w:val="00B734BA"/>
    <w:rsid w:val="00B74471"/>
    <w:rsid w:val="00B7462D"/>
    <w:rsid w:val="00B74660"/>
    <w:rsid w:val="00B74729"/>
    <w:rsid w:val="00B74833"/>
    <w:rsid w:val="00B74966"/>
    <w:rsid w:val="00B749F0"/>
    <w:rsid w:val="00B74A0F"/>
    <w:rsid w:val="00B74A40"/>
    <w:rsid w:val="00B74E87"/>
    <w:rsid w:val="00B751AF"/>
    <w:rsid w:val="00B7544C"/>
    <w:rsid w:val="00B757CE"/>
    <w:rsid w:val="00B758D7"/>
    <w:rsid w:val="00B75C99"/>
    <w:rsid w:val="00B75CDE"/>
    <w:rsid w:val="00B75DD5"/>
    <w:rsid w:val="00B75F6A"/>
    <w:rsid w:val="00B76264"/>
    <w:rsid w:val="00B762D1"/>
    <w:rsid w:val="00B765A1"/>
    <w:rsid w:val="00B770AB"/>
    <w:rsid w:val="00B77153"/>
    <w:rsid w:val="00B7731F"/>
    <w:rsid w:val="00B77400"/>
    <w:rsid w:val="00B77410"/>
    <w:rsid w:val="00B7759D"/>
    <w:rsid w:val="00B775E8"/>
    <w:rsid w:val="00B77631"/>
    <w:rsid w:val="00B77C8A"/>
    <w:rsid w:val="00B77E41"/>
    <w:rsid w:val="00B77EED"/>
    <w:rsid w:val="00B802F8"/>
    <w:rsid w:val="00B80317"/>
    <w:rsid w:val="00B806D9"/>
    <w:rsid w:val="00B806F3"/>
    <w:rsid w:val="00B80976"/>
    <w:rsid w:val="00B80CDA"/>
    <w:rsid w:val="00B80D58"/>
    <w:rsid w:val="00B80F42"/>
    <w:rsid w:val="00B80F58"/>
    <w:rsid w:val="00B81053"/>
    <w:rsid w:val="00B81101"/>
    <w:rsid w:val="00B812B6"/>
    <w:rsid w:val="00B81551"/>
    <w:rsid w:val="00B81AF1"/>
    <w:rsid w:val="00B81B5A"/>
    <w:rsid w:val="00B81B73"/>
    <w:rsid w:val="00B81B79"/>
    <w:rsid w:val="00B81C85"/>
    <w:rsid w:val="00B81FD5"/>
    <w:rsid w:val="00B822C5"/>
    <w:rsid w:val="00B8241E"/>
    <w:rsid w:val="00B825EB"/>
    <w:rsid w:val="00B8296B"/>
    <w:rsid w:val="00B82BAA"/>
    <w:rsid w:val="00B82D4E"/>
    <w:rsid w:val="00B82DB2"/>
    <w:rsid w:val="00B82F17"/>
    <w:rsid w:val="00B834F7"/>
    <w:rsid w:val="00B83572"/>
    <w:rsid w:val="00B8361E"/>
    <w:rsid w:val="00B83852"/>
    <w:rsid w:val="00B8388D"/>
    <w:rsid w:val="00B83B31"/>
    <w:rsid w:val="00B83D3D"/>
    <w:rsid w:val="00B83E70"/>
    <w:rsid w:val="00B843C2"/>
    <w:rsid w:val="00B843E9"/>
    <w:rsid w:val="00B846E0"/>
    <w:rsid w:val="00B847E7"/>
    <w:rsid w:val="00B848ED"/>
    <w:rsid w:val="00B84B09"/>
    <w:rsid w:val="00B84D26"/>
    <w:rsid w:val="00B84D83"/>
    <w:rsid w:val="00B84F5B"/>
    <w:rsid w:val="00B8505B"/>
    <w:rsid w:val="00B853E4"/>
    <w:rsid w:val="00B855EC"/>
    <w:rsid w:val="00B85719"/>
    <w:rsid w:val="00B85787"/>
    <w:rsid w:val="00B85DCE"/>
    <w:rsid w:val="00B860B6"/>
    <w:rsid w:val="00B8622D"/>
    <w:rsid w:val="00B86283"/>
    <w:rsid w:val="00B8665B"/>
    <w:rsid w:val="00B8665D"/>
    <w:rsid w:val="00B86778"/>
    <w:rsid w:val="00B86ADB"/>
    <w:rsid w:val="00B86DF8"/>
    <w:rsid w:val="00B86E06"/>
    <w:rsid w:val="00B86ED7"/>
    <w:rsid w:val="00B8713E"/>
    <w:rsid w:val="00B87209"/>
    <w:rsid w:val="00B87307"/>
    <w:rsid w:val="00B8772B"/>
    <w:rsid w:val="00B8775A"/>
    <w:rsid w:val="00B877C6"/>
    <w:rsid w:val="00B877E7"/>
    <w:rsid w:val="00B878F2"/>
    <w:rsid w:val="00B879B7"/>
    <w:rsid w:val="00B87CFB"/>
    <w:rsid w:val="00B9019F"/>
    <w:rsid w:val="00B90454"/>
    <w:rsid w:val="00B9046F"/>
    <w:rsid w:val="00B90483"/>
    <w:rsid w:val="00B9060C"/>
    <w:rsid w:val="00B90807"/>
    <w:rsid w:val="00B90ABB"/>
    <w:rsid w:val="00B90AC8"/>
    <w:rsid w:val="00B90D80"/>
    <w:rsid w:val="00B90E24"/>
    <w:rsid w:val="00B910DE"/>
    <w:rsid w:val="00B9145C"/>
    <w:rsid w:val="00B91498"/>
    <w:rsid w:val="00B915F2"/>
    <w:rsid w:val="00B917E1"/>
    <w:rsid w:val="00B91814"/>
    <w:rsid w:val="00B91CD5"/>
    <w:rsid w:val="00B91DCA"/>
    <w:rsid w:val="00B92014"/>
    <w:rsid w:val="00B9216F"/>
    <w:rsid w:val="00B92185"/>
    <w:rsid w:val="00B92207"/>
    <w:rsid w:val="00B92265"/>
    <w:rsid w:val="00B9227A"/>
    <w:rsid w:val="00B92704"/>
    <w:rsid w:val="00B92A4F"/>
    <w:rsid w:val="00B92BF5"/>
    <w:rsid w:val="00B92C66"/>
    <w:rsid w:val="00B92DB3"/>
    <w:rsid w:val="00B92E90"/>
    <w:rsid w:val="00B93043"/>
    <w:rsid w:val="00B93044"/>
    <w:rsid w:val="00B93047"/>
    <w:rsid w:val="00B9304E"/>
    <w:rsid w:val="00B931DF"/>
    <w:rsid w:val="00B9326C"/>
    <w:rsid w:val="00B9370D"/>
    <w:rsid w:val="00B93903"/>
    <w:rsid w:val="00B93B2B"/>
    <w:rsid w:val="00B93BED"/>
    <w:rsid w:val="00B93D75"/>
    <w:rsid w:val="00B93DFC"/>
    <w:rsid w:val="00B93E4F"/>
    <w:rsid w:val="00B93E81"/>
    <w:rsid w:val="00B93F79"/>
    <w:rsid w:val="00B94034"/>
    <w:rsid w:val="00B94206"/>
    <w:rsid w:val="00B947AD"/>
    <w:rsid w:val="00B94931"/>
    <w:rsid w:val="00B949FB"/>
    <w:rsid w:val="00B94CF0"/>
    <w:rsid w:val="00B94D12"/>
    <w:rsid w:val="00B94F81"/>
    <w:rsid w:val="00B950E0"/>
    <w:rsid w:val="00B95156"/>
    <w:rsid w:val="00B9519E"/>
    <w:rsid w:val="00B95497"/>
    <w:rsid w:val="00B9564F"/>
    <w:rsid w:val="00B9598E"/>
    <w:rsid w:val="00B95BF4"/>
    <w:rsid w:val="00B95C70"/>
    <w:rsid w:val="00B9633B"/>
    <w:rsid w:val="00B96426"/>
    <w:rsid w:val="00B96524"/>
    <w:rsid w:val="00B96652"/>
    <w:rsid w:val="00B9686B"/>
    <w:rsid w:val="00B96924"/>
    <w:rsid w:val="00B96A3D"/>
    <w:rsid w:val="00B96B9A"/>
    <w:rsid w:val="00B96F89"/>
    <w:rsid w:val="00B97278"/>
    <w:rsid w:val="00B974EE"/>
    <w:rsid w:val="00B974FD"/>
    <w:rsid w:val="00B97805"/>
    <w:rsid w:val="00B9781E"/>
    <w:rsid w:val="00B97CD6"/>
    <w:rsid w:val="00BA00BD"/>
    <w:rsid w:val="00BA010E"/>
    <w:rsid w:val="00BA017A"/>
    <w:rsid w:val="00BA035C"/>
    <w:rsid w:val="00BA05B3"/>
    <w:rsid w:val="00BA066D"/>
    <w:rsid w:val="00BA06D7"/>
    <w:rsid w:val="00BA0CC9"/>
    <w:rsid w:val="00BA101D"/>
    <w:rsid w:val="00BA1589"/>
    <w:rsid w:val="00BA1BD4"/>
    <w:rsid w:val="00BA1EED"/>
    <w:rsid w:val="00BA1F67"/>
    <w:rsid w:val="00BA2069"/>
    <w:rsid w:val="00BA212B"/>
    <w:rsid w:val="00BA21C0"/>
    <w:rsid w:val="00BA2397"/>
    <w:rsid w:val="00BA2939"/>
    <w:rsid w:val="00BA2975"/>
    <w:rsid w:val="00BA2BE7"/>
    <w:rsid w:val="00BA2DFC"/>
    <w:rsid w:val="00BA2EDA"/>
    <w:rsid w:val="00BA2F70"/>
    <w:rsid w:val="00BA3069"/>
    <w:rsid w:val="00BA33BB"/>
    <w:rsid w:val="00BA354B"/>
    <w:rsid w:val="00BA398E"/>
    <w:rsid w:val="00BA413E"/>
    <w:rsid w:val="00BA463B"/>
    <w:rsid w:val="00BA47AF"/>
    <w:rsid w:val="00BA4877"/>
    <w:rsid w:val="00BA4963"/>
    <w:rsid w:val="00BA49BC"/>
    <w:rsid w:val="00BA49F0"/>
    <w:rsid w:val="00BA4B4B"/>
    <w:rsid w:val="00BA4C20"/>
    <w:rsid w:val="00BA4F27"/>
    <w:rsid w:val="00BA5237"/>
    <w:rsid w:val="00BA57F4"/>
    <w:rsid w:val="00BA5AC2"/>
    <w:rsid w:val="00BA5AF2"/>
    <w:rsid w:val="00BA5B29"/>
    <w:rsid w:val="00BA5B68"/>
    <w:rsid w:val="00BA6821"/>
    <w:rsid w:val="00BA687A"/>
    <w:rsid w:val="00BA6FD6"/>
    <w:rsid w:val="00BA710A"/>
    <w:rsid w:val="00BA712C"/>
    <w:rsid w:val="00BA72D7"/>
    <w:rsid w:val="00BA7301"/>
    <w:rsid w:val="00BA7370"/>
    <w:rsid w:val="00BA7C9A"/>
    <w:rsid w:val="00BB03E1"/>
    <w:rsid w:val="00BB0F14"/>
    <w:rsid w:val="00BB105E"/>
    <w:rsid w:val="00BB122A"/>
    <w:rsid w:val="00BB1450"/>
    <w:rsid w:val="00BB1515"/>
    <w:rsid w:val="00BB1539"/>
    <w:rsid w:val="00BB1A50"/>
    <w:rsid w:val="00BB1AD7"/>
    <w:rsid w:val="00BB1B98"/>
    <w:rsid w:val="00BB21FE"/>
    <w:rsid w:val="00BB22DC"/>
    <w:rsid w:val="00BB2490"/>
    <w:rsid w:val="00BB26CB"/>
    <w:rsid w:val="00BB2A5A"/>
    <w:rsid w:val="00BB2D97"/>
    <w:rsid w:val="00BB2FC8"/>
    <w:rsid w:val="00BB33E8"/>
    <w:rsid w:val="00BB354A"/>
    <w:rsid w:val="00BB36C4"/>
    <w:rsid w:val="00BB3706"/>
    <w:rsid w:val="00BB3895"/>
    <w:rsid w:val="00BB396D"/>
    <w:rsid w:val="00BB4ADC"/>
    <w:rsid w:val="00BB4B36"/>
    <w:rsid w:val="00BB4E43"/>
    <w:rsid w:val="00BB5580"/>
    <w:rsid w:val="00BB55D7"/>
    <w:rsid w:val="00BB5603"/>
    <w:rsid w:val="00BB5B12"/>
    <w:rsid w:val="00BB5C33"/>
    <w:rsid w:val="00BB6001"/>
    <w:rsid w:val="00BB640E"/>
    <w:rsid w:val="00BB648C"/>
    <w:rsid w:val="00BB6B0E"/>
    <w:rsid w:val="00BB6BFC"/>
    <w:rsid w:val="00BB6E96"/>
    <w:rsid w:val="00BB6FF3"/>
    <w:rsid w:val="00BB707A"/>
    <w:rsid w:val="00BB70C5"/>
    <w:rsid w:val="00BB724E"/>
    <w:rsid w:val="00BB77A7"/>
    <w:rsid w:val="00BB7817"/>
    <w:rsid w:val="00BB791A"/>
    <w:rsid w:val="00BB7D88"/>
    <w:rsid w:val="00BB7E6B"/>
    <w:rsid w:val="00BC02DA"/>
    <w:rsid w:val="00BC06A6"/>
    <w:rsid w:val="00BC0AF5"/>
    <w:rsid w:val="00BC0EF2"/>
    <w:rsid w:val="00BC0F33"/>
    <w:rsid w:val="00BC1234"/>
    <w:rsid w:val="00BC1609"/>
    <w:rsid w:val="00BC1736"/>
    <w:rsid w:val="00BC1827"/>
    <w:rsid w:val="00BC1912"/>
    <w:rsid w:val="00BC1ADB"/>
    <w:rsid w:val="00BC1AE4"/>
    <w:rsid w:val="00BC1B7D"/>
    <w:rsid w:val="00BC1C1D"/>
    <w:rsid w:val="00BC1E17"/>
    <w:rsid w:val="00BC1FB3"/>
    <w:rsid w:val="00BC205C"/>
    <w:rsid w:val="00BC2082"/>
    <w:rsid w:val="00BC21A6"/>
    <w:rsid w:val="00BC24D2"/>
    <w:rsid w:val="00BC2A40"/>
    <w:rsid w:val="00BC2E85"/>
    <w:rsid w:val="00BC304F"/>
    <w:rsid w:val="00BC30EF"/>
    <w:rsid w:val="00BC31A0"/>
    <w:rsid w:val="00BC34A6"/>
    <w:rsid w:val="00BC360E"/>
    <w:rsid w:val="00BC366A"/>
    <w:rsid w:val="00BC3A00"/>
    <w:rsid w:val="00BC3C4A"/>
    <w:rsid w:val="00BC3E50"/>
    <w:rsid w:val="00BC418F"/>
    <w:rsid w:val="00BC4913"/>
    <w:rsid w:val="00BC497D"/>
    <w:rsid w:val="00BC4CA0"/>
    <w:rsid w:val="00BC55A6"/>
    <w:rsid w:val="00BC5D61"/>
    <w:rsid w:val="00BC6410"/>
    <w:rsid w:val="00BC6571"/>
    <w:rsid w:val="00BC68F1"/>
    <w:rsid w:val="00BC6946"/>
    <w:rsid w:val="00BC6986"/>
    <w:rsid w:val="00BC6EFA"/>
    <w:rsid w:val="00BC6F10"/>
    <w:rsid w:val="00BC702B"/>
    <w:rsid w:val="00BC76D7"/>
    <w:rsid w:val="00BC78A9"/>
    <w:rsid w:val="00BC797E"/>
    <w:rsid w:val="00BC7C01"/>
    <w:rsid w:val="00BC7D12"/>
    <w:rsid w:val="00BC7E5E"/>
    <w:rsid w:val="00BD0006"/>
    <w:rsid w:val="00BD0548"/>
    <w:rsid w:val="00BD072D"/>
    <w:rsid w:val="00BD0D71"/>
    <w:rsid w:val="00BD0EB9"/>
    <w:rsid w:val="00BD10BC"/>
    <w:rsid w:val="00BD1458"/>
    <w:rsid w:val="00BD155F"/>
    <w:rsid w:val="00BD1922"/>
    <w:rsid w:val="00BD19EE"/>
    <w:rsid w:val="00BD1A27"/>
    <w:rsid w:val="00BD1D62"/>
    <w:rsid w:val="00BD1D77"/>
    <w:rsid w:val="00BD1F83"/>
    <w:rsid w:val="00BD21BC"/>
    <w:rsid w:val="00BD2297"/>
    <w:rsid w:val="00BD2613"/>
    <w:rsid w:val="00BD2614"/>
    <w:rsid w:val="00BD283C"/>
    <w:rsid w:val="00BD28B9"/>
    <w:rsid w:val="00BD2957"/>
    <w:rsid w:val="00BD2F46"/>
    <w:rsid w:val="00BD2FDB"/>
    <w:rsid w:val="00BD30AF"/>
    <w:rsid w:val="00BD323B"/>
    <w:rsid w:val="00BD3B07"/>
    <w:rsid w:val="00BD4556"/>
    <w:rsid w:val="00BD4739"/>
    <w:rsid w:val="00BD4934"/>
    <w:rsid w:val="00BD4A25"/>
    <w:rsid w:val="00BD4CC0"/>
    <w:rsid w:val="00BD4E3C"/>
    <w:rsid w:val="00BD4F57"/>
    <w:rsid w:val="00BD506B"/>
    <w:rsid w:val="00BD53E3"/>
    <w:rsid w:val="00BD57F9"/>
    <w:rsid w:val="00BD5816"/>
    <w:rsid w:val="00BD592D"/>
    <w:rsid w:val="00BD5983"/>
    <w:rsid w:val="00BD5BD7"/>
    <w:rsid w:val="00BD5C5B"/>
    <w:rsid w:val="00BD5CBC"/>
    <w:rsid w:val="00BD5D51"/>
    <w:rsid w:val="00BD5FCD"/>
    <w:rsid w:val="00BD6370"/>
    <w:rsid w:val="00BD664E"/>
    <w:rsid w:val="00BD6D3F"/>
    <w:rsid w:val="00BD6D82"/>
    <w:rsid w:val="00BD6EDE"/>
    <w:rsid w:val="00BD6EE0"/>
    <w:rsid w:val="00BD6F87"/>
    <w:rsid w:val="00BD70B0"/>
    <w:rsid w:val="00BD718F"/>
    <w:rsid w:val="00BD71ED"/>
    <w:rsid w:val="00BD7514"/>
    <w:rsid w:val="00BD755D"/>
    <w:rsid w:val="00BD75FC"/>
    <w:rsid w:val="00BD766A"/>
    <w:rsid w:val="00BD78E4"/>
    <w:rsid w:val="00BD7978"/>
    <w:rsid w:val="00BD7A29"/>
    <w:rsid w:val="00BD7B0F"/>
    <w:rsid w:val="00BE02AC"/>
    <w:rsid w:val="00BE04BD"/>
    <w:rsid w:val="00BE0645"/>
    <w:rsid w:val="00BE0762"/>
    <w:rsid w:val="00BE0CEB"/>
    <w:rsid w:val="00BE11BC"/>
    <w:rsid w:val="00BE12E1"/>
    <w:rsid w:val="00BE14DC"/>
    <w:rsid w:val="00BE17E4"/>
    <w:rsid w:val="00BE1C40"/>
    <w:rsid w:val="00BE1E4D"/>
    <w:rsid w:val="00BE20F1"/>
    <w:rsid w:val="00BE23F9"/>
    <w:rsid w:val="00BE2608"/>
    <w:rsid w:val="00BE27D4"/>
    <w:rsid w:val="00BE2D05"/>
    <w:rsid w:val="00BE30EB"/>
    <w:rsid w:val="00BE322C"/>
    <w:rsid w:val="00BE3573"/>
    <w:rsid w:val="00BE3788"/>
    <w:rsid w:val="00BE38E3"/>
    <w:rsid w:val="00BE3952"/>
    <w:rsid w:val="00BE3A1E"/>
    <w:rsid w:val="00BE3AAA"/>
    <w:rsid w:val="00BE3AD8"/>
    <w:rsid w:val="00BE3C4B"/>
    <w:rsid w:val="00BE3EC1"/>
    <w:rsid w:val="00BE403F"/>
    <w:rsid w:val="00BE4136"/>
    <w:rsid w:val="00BE42E9"/>
    <w:rsid w:val="00BE43B1"/>
    <w:rsid w:val="00BE43B2"/>
    <w:rsid w:val="00BE48A6"/>
    <w:rsid w:val="00BE4A89"/>
    <w:rsid w:val="00BE4ABE"/>
    <w:rsid w:val="00BE4D49"/>
    <w:rsid w:val="00BE4EE8"/>
    <w:rsid w:val="00BE4EF8"/>
    <w:rsid w:val="00BE4FB1"/>
    <w:rsid w:val="00BE5043"/>
    <w:rsid w:val="00BE52E0"/>
    <w:rsid w:val="00BE53E5"/>
    <w:rsid w:val="00BE567C"/>
    <w:rsid w:val="00BE5968"/>
    <w:rsid w:val="00BE59E8"/>
    <w:rsid w:val="00BE5B67"/>
    <w:rsid w:val="00BE637E"/>
    <w:rsid w:val="00BE6707"/>
    <w:rsid w:val="00BE683A"/>
    <w:rsid w:val="00BE68D8"/>
    <w:rsid w:val="00BE69FE"/>
    <w:rsid w:val="00BE6B3A"/>
    <w:rsid w:val="00BE6DA6"/>
    <w:rsid w:val="00BE6DBE"/>
    <w:rsid w:val="00BE6DCB"/>
    <w:rsid w:val="00BE707D"/>
    <w:rsid w:val="00BE727B"/>
    <w:rsid w:val="00BE734B"/>
    <w:rsid w:val="00BE740C"/>
    <w:rsid w:val="00BE75E1"/>
    <w:rsid w:val="00BE7664"/>
    <w:rsid w:val="00BE7809"/>
    <w:rsid w:val="00BE7BAF"/>
    <w:rsid w:val="00BE7BE8"/>
    <w:rsid w:val="00BE7EBA"/>
    <w:rsid w:val="00BE7F46"/>
    <w:rsid w:val="00BF01C3"/>
    <w:rsid w:val="00BF0543"/>
    <w:rsid w:val="00BF0545"/>
    <w:rsid w:val="00BF0888"/>
    <w:rsid w:val="00BF09C3"/>
    <w:rsid w:val="00BF0D69"/>
    <w:rsid w:val="00BF12D1"/>
    <w:rsid w:val="00BF1940"/>
    <w:rsid w:val="00BF1AD9"/>
    <w:rsid w:val="00BF1C49"/>
    <w:rsid w:val="00BF1C70"/>
    <w:rsid w:val="00BF2196"/>
    <w:rsid w:val="00BF22E9"/>
    <w:rsid w:val="00BF2681"/>
    <w:rsid w:val="00BF26B7"/>
    <w:rsid w:val="00BF285D"/>
    <w:rsid w:val="00BF2FF9"/>
    <w:rsid w:val="00BF31B6"/>
    <w:rsid w:val="00BF3555"/>
    <w:rsid w:val="00BF3686"/>
    <w:rsid w:val="00BF387D"/>
    <w:rsid w:val="00BF398C"/>
    <w:rsid w:val="00BF3A44"/>
    <w:rsid w:val="00BF3A7C"/>
    <w:rsid w:val="00BF401D"/>
    <w:rsid w:val="00BF40C1"/>
    <w:rsid w:val="00BF4342"/>
    <w:rsid w:val="00BF4482"/>
    <w:rsid w:val="00BF45B2"/>
    <w:rsid w:val="00BF4A46"/>
    <w:rsid w:val="00BF4C06"/>
    <w:rsid w:val="00BF4C2F"/>
    <w:rsid w:val="00BF4D96"/>
    <w:rsid w:val="00BF4E5D"/>
    <w:rsid w:val="00BF4FE0"/>
    <w:rsid w:val="00BF4FE7"/>
    <w:rsid w:val="00BF54B9"/>
    <w:rsid w:val="00BF54E7"/>
    <w:rsid w:val="00BF5585"/>
    <w:rsid w:val="00BF58DA"/>
    <w:rsid w:val="00BF5956"/>
    <w:rsid w:val="00BF5975"/>
    <w:rsid w:val="00BF5A2E"/>
    <w:rsid w:val="00BF5B4B"/>
    <w:rsid w:val="00BF61CC"/>
    <w:rsid w:val="00BF6971"/>
    <w:rsid w:val="00BF699C"/>
    <w:rsid w:val="00BF69B3"/>
    <w:rsid w:val="00BF6D86"/>
    <w:rsid w:val="00BF706C"/>
    <w:rsid w:val="00BF745B"/>
    <w:rsid w:val="00BF7601"/>
    <w:rsid w:val="00BF79C0"/>
    <w:rsid w:val="00BF7AB5"/>
    <w:rsid w:val="00BF7B31"/>
    <w:rsid w:val="00BF7BF6"/>
    <w:rsid w:val="00C00229"/>
    <w:rsid w:val="00C00367"/>
    <w:rsid w:val="00C003FE"/>
    <w:rsid w:val="00C0043C"/>
    <w:rsid w:val="00C004A5"/>
    <w:rsid w:val="00C005BA"/>
    <w:rsid w:val="00C0086D"/>
    <w:rsid w:val="00C00AD3"/>
    <w:rsid w:val="00C00C06"/>
    <w:rsid w:val="00C00D36"/>
    <w:rsid w:val="00C011D8"/>
    <w:rsid w:val="00C01433"/>
    <w:rsid w:val="00C01521"/>
    <w:rsid w:val="00C01704"/>
    <w:rsid w:val="00C018E2"/>
    <w:rsid w:val="00C01E2C"/>
    <w:rsid w:val="00C01F0B"/>
    <w:rsid w:val="00C01F86"/>
    <w:rsid w:val="00C02190"/>
    <w:rsid w:val="00C02204"/>
    <w:rsid w:val="00C02380"/>
    <w:rsid w:val="00C024DE"/>
    <w:rsid w:val="00C026C4"/>
    <w:rsid w:val="00C029BA"/>
    <w:rsid w:val="00C02A4C"/>
    <w:rsid w:val="00C02D0F"/>
    <w:rsid w:val="00C03639"/>
    <w:rsid w:val="00C03640"/>
    <w:rsid w:val="00C03BE2"/>
    <w:rsid w:val="00C03DA7"/>
    <w:rsid w:val="00C0427C"/>
    <w:rsid w:val="00C042F4"/>
    <w:rsid w:val="00C0438D"/>
    <w:rsid w:val="00C04896"/>
    <w:rsid w:val="00C04C6A"/>
    <w:rsid w:val="00C04DC2"/>
    <w:rsid w:val="00C04DCD"/>
    <w:rsid w:val="00C04FC7"/>
    <w:rsid w:val="00C053F4"/>
    <w:rsid w:val="00C05483"/>
    <w:rsid w:val="00C054AF"/>
    <w:rsid w:val="00C054C3"/>
    <w:rsid w:val="00C0554D"/>
    <w:rsid w:val="00C0561C"/>
    <w:rsid w:val="00C05824"/>
    <w:rsid w:val="00C05CE9"/>
    <w:rsid w:val="00C05D61"/>
    <w:rsid w:val="00C05EA3"/>
    <w:rsid w:val="00C060FC"/>
    <w:rsid w:val="00C062B3"/>
    <w:rsid w:val="00C06971"/>
    <w:rsid w:val="00C06EE9"/>
    <w:rsid w:val="00C07265"/>
    <w:rsid w:val="00C0746C"/>
    <w:rsid w:val="00C0749D"/>
    <w:rsid w:val="00C077ED"/>
    <w:rsid w:val="00C079AF"/>
    <w:rsid w:val="00C07A81"/>
    <w:rsid w:val="00C07C7E"/>
    <w:rsid w:val="00C07D59"/>
    <w:rsid w:val="00C07E40"/>
    <w:rsid w:val="00C07ED8"/>
    <w:rsid w:val="00C07FFA"/>
    <w:rsid w:val="00C1018C"/>
    <w:rsid w:val="00C10314"/>
    <w:rsid w:val="00C10AFE"/>
    <w:rsid w:val="00C10B0D"/>
    <w:rsid w:val="00C10C75"/>
    <w:rsid w:val="00C10CC5"/>
    <w:rsid w:val="00C10E2B"/>
    <w:rsid w:val="00C10E6B"/>
    <w:rsid w:val="00C10F63"/>
    <w:rsid w:val="00C11221"/>
    <w:rsid w:val="00C11349"/>
    <w:rsid w:val="00C11565"/>
    <w:rsid w:val="00C11689"/>
    <w:rsid w:val="00C11995"/>
    <w:rsid w:val="00C12117"/>
    <w:rsid w:val="00C1254F"/>
    <w:rsid w:val="00C12BF4"/>
    <w:rsid w:val="00C12E53"/>
    <w:rsid w:val="00C12EB9"/>
    <w:rsid w:val="00C1304A"/>
    <w:rsid w:val="00C1309A"/>
    <w:rsid w:val="00C13340"/>
    <w:rsid w:val="00C13461"/>
    <w:rsid w:val="00C1360D"/>
    <w:rsid w:val="00C13AF3"/>
    <w:rsid w:val="00C13B83"/>
    <w:rsid w:val="00C13D70"/>
    <w:rsid w:val="00C142AD"/>
    <w:rsid w:val="00C1443C"/>
    <w:rsid w:val="00C14471"/>
    <w:rsid w:val="00C14738"/>
    <w:rsid w:val="00C148FB"/>
    <w:rsid w:val="00C1497D"/>
    <w:rsid w:val="00C14C7B"/>
    <w:rsid w:val="00C14CA8"/>
    <w:rsid w:val="00C14DB3"/>
    <w:rsid w:val="00C15355"/>
    <w:rsid w:val="00C15424"/>
    <w:rsid w:val="00C15660"/>
    <w:rsid w:val="00C156C3"/>
    <w:rsid w:val="00C15816"/>
    <w:rsid w:val="00C15C2F"/>
    <w:rsid w:val="00C15CCC"/>
    <w:rsid w:val="00C15EF5"/>
    <w:rsid w:val="00C16039"/>
    <w:rsid w:val="00C161EA"/>
    <w:rsid w:val="00C1686E"/>
    <w:rsid w:val="00C16897"/>
    <w:rsid w:val="00C16A4A"/>
    <w:rsid w:val="00C16BF1"/>
    <w:rsid w:val="00C17487"/>
    <w:rsid w:val="00C1775D"/>
    <w:rsid w:val="00C1778B"/>
    <w:rsid w:val="00C17A69"/>
    <w:rsid w:val="00C17BF4"/>
    <w:rsid w:val="00C17D0F"/>
    <w:rsid w:val="00C17D29"/>
    <w:rsid w:val="00C17D74"/>
    <w:rsid w:val="00C17ECC"/>
    <w:rsid w:val="00C17F49"/>
    <w:rsid w:val="00C20355"/>
    <w:rsid w:val="00C206AA"/>
    <w:rsid w:val="00C209AC"/>
    <w:rsid w:val="00C20E5F"/>
    <w:rsid w:val="00C20FC6"/>
    <w:rsid w:val="00C2130C"/>
    <w:rsid w:val="00C216D9"/>
    <w:rsid w:val="00C21AB0"/>
    <w:rsid w:val="00C21C24"/>
    <w:rsid w:val="00C21E85"/>
    <w:rsid w:val="00C22009"/>
    <w:rsid w:val="00C220F8"/>
    <w:rsid w:val="00C224D3"/>
    <w:rsid w:val="00C225C9"/>
    <w:rsid w:val="00C22669"/>
    <w:rsid w:val="00C226AC"/>
    <w:rsid w:val="00C2276E"/>
    <w:rsid w:val="00C22B6C"/>
    <w:rsid w:val="00C22D9D"/>
    <w:rsid w:val="00C22E82"/>
    <w:rsid w:val="00C22EC9"/>
    <w:rsid w:val="00C22EEC"/>
    <w:rsid w:val="00C22F78"/>
    <w:rsid w:val="00C2306E"/>
    <w:rsid w:val="00C23098"/>
    <w:rsid w:val="00C230F2"/>
    <w:rsid w:val="00C23503"/>
    <w:rsid w:val="00C23525"/>
    <w:rsid w:val="00C23E9A"/>
    <w:rsid w:val="00C23EDA"/>
    <w:rsid w:val="00C24232"/>
    <w:rsid w:val="00C24594"/>
    <w:rsid w:val="00C24AB5"/>
    <w:rsid w:val="00C24F5D"/>
    <w:rsid w:val="00C2566F"/>
    <w:rsid w:val="00C258AF"/>
    <w:rsid w:val="00C25A4C"/>
    <w:rsid w:val="00C25CFE"/>
    <w:rsid w:val="00C25D17"/>
    <w:rsid w:val="00C26007"/>
    <w:rsid w:val="00C26034"/>
    <w:rsid w:val="00C2603F"/>
    <w:rsid w:val="00C260BB"/>
    <w:rsid w:val="00C2646B"/>
    <w:rsid w:val="00C2666C"/>
    <w:rsid w:val="00C26A58"/>
    <w:rsid w:val="00C26B5D"/>
    <w:rsid w:val="00C27196"/>
    <w:rsid w:val="00C2781C"/>
    <w:rsid w:val="00C27BD2"/>
    <w:rsid w:val="00C27DBE"/>
    <w:rsid w:val="00C27E7D"/>
    <w:rsid w:val="00C301C2"/>
    <w:rsid w:val="00C301CE"/>
    <w:rsid w:val="00C302ED"/>
    <w:rsid w:val="00C303E5"/>
    <w:rsid w:val="00C306E0"/>
    <w:rsid w:val="00C30B1C"/>
    <w:rsid w:val="00C3133F"/>
    <w:rsid w:val="00C31A6E"/>
    <w:rsid w:val="00C31C17"/>
    <w:rsid w:val="00C32028"/>
    <w:rsid w:val="00C3211F"/>
    <w:rsid w:val="00C32390"/>
    <w:rsid w:val="00C324C5"/>
    <w:rsid w:val="00C32749"/>
    <w:rsid w:val="00C327AE"/>
    <w:rsid w:val="00C3282E"/>
    <w:rsid w:val="00C3284C"/>
    <w:rsid w:val="00C328C6"/>
    <w:rsid w:val="00C32A72"/>
    <w:rsid w:val="00C32C89"/>
    <w:rsid w:val="00C33530"/>
    <w:rsid w:val="00C335FC"/>
    <w:rsid w:val="00C3367E"/>
    <w:rsid w:val="00C3367F"/>
    <w:rsid w:val="00C3370E"/>
    <w:rsid w:val="00C3371F"/>
    <w:rsid w:val="00C338F4"/>
    <w:rsid w:val="00C33923"/>
    <w:rsid w:val="00C33DD8"/>
    <w:rsid w:val="00C33E62"/>
    <w:rsid w:val="00C34116"/>
    <w:rsid w:val="00C34185"/>
    <w:rsid w:val="00C3444E"/>
    <w:rsid w:val="00C344AE"/>
    <w:rsid w:val="00C3482D"/>
    <w:rsid w:val="00C34969"/>
    <w:rsid w:val="00C349D5"/>
    <w:rsid w:val="00C34AB9"/>
    <w:rsid w:val="00C34D4A"/>
    <w:rsid w:val="00C35067"/>
    <w:rsid w:val="00C35386"/>
    <w:rsid w:val="00C35BFB"/>
    <w:rsid w:val="00C36044"/>
    <w:rsid w:val="00C36505"/>
    <w:rsid w:val="00C367BB"/>
    <w:rsid w:val="00C36D93"/>
    <w:rsid w:val="00C36F8D"/>
    <w:rsid w:val="00C37768"/>
    <w:rsid w:val="00C37881"/>
    <w:rsid w:val="00C37B13"/>
    <w:rsid w:val="00C37D7C"/>
    <w:rsid w:val="00C37EA1"/>
    <w:rsid w:val="00C40154"/>
    <w:rsid w:val="00C4059F"/>
    <w:rsid w:val="00C40706"/>
    <w:rsid w:val="00C408ED"/>
    <w:rsid w:val="00C409F5"/>
    <w:rsid w:val="00C40A66"/>
    <w:rsid w:val="00C40A85"/>
    <w:rsid w:val="00C40B26"/>
    <w:rsid w:val="00C40B3E"/>
    <w:rsid w:val="00C40B8C"/>
    <w:rsid w:val="00C40CA5"/>
    <w:rsid w:val="00C40D00"/>
    <w:rsid w:val="00C40DDA"/>
    <w:rsid w:val="00C4112F"/>
    <w:rsid w:val="00C4163E"/>
    <w:rsid w:val="00C41CC4"/>
    <w:rsid w:val="00C4287B"/>
    <w:rsid w:val="00C42A84"/>
    <w:rsid w:val="00C42D0F"/>
    <w:rsid w:val="00C42D72"/>
    <w:rsid w:val="00C42E54"/>
    <w:rsid w:val="00C43436"/>
    <w:rsid w:val="00C43515"/>
    <w:rsid w:val="00C4393E"/>
    <w:rsid w:val="00C43978"/>
    <w:rsid w:val="00C43A34"/>
    <w:rsid w:val="00C43B16"/>
    <w:rsid w:val="00C43BD0"/>
    <w:rsid w:val="00C43F3D"/>
    <w:rsid w:val="00C442E7"/>
    <w:rsid w:val="00C44359"/>
    <w:rsid w:val="00C44849"/>
    <w:rsid w:val="00C449AB"/>
    <w:rsid w:val="00C449BD"/>
    <w:rsid w:val="00C44DBE"/>
    <w:rsid w:val="00C45028"/>
    <w:rsid w:val="00C450D5"/>
    <w:rsid w:val="00C4545E"/>
    <w:rsid w:val="00C454A6"/>
    <w:rsid w:val="00C455AA"/>
    <w:rsid w:val="00C4569F"/>
    <w:rsid w:val="00C45C5E"/>
    <w:rsid w:val="00C45D83"/>
    <w:rsid w:val="00C45F80"/>
    <w:rsid w:val="00C460D2"/>
    <w:rsid w:val="00C4661A"/>
    <w:rsid w:val="00C46827"/>
    <w:rsid w:val="00C46F2D"/>
    <w:rsid w:val="00C47135"/>
    <w:rsid w:val="00C471BD"/>
    <w:rsid w:val="00C47351"/>
    <w:rsid w:val="00C47A82"/>
    <w:rsid w:val="00C47AD0"/>
    <w:rsid w:val="00C47B9E"/>
    <w:rsid w:val="00C50175"/>
    <w:rsid w:val="00C50308"/>
    <w:rsid w:val="00C503BC"/>
    <w:rsid w:val="00C504E0"/>
    <w:rsid w:val="00C505DB"/>
    <w:rsid w:val="00C50664"/>
    <w:rsid w:val="00C5072C"/>
    <w:rsid w:val="00C5083C"/>
    <w:rsid w:val="00C50950"/>
    <w:rsid w:val="00C50AD4"/>
    <w:rsid w:val="00C50B91"/>
    <w:rsid w:val="00C50BB5"/>
    <w:rsid w:val="00C50F2B"/>
    <w:rsid w:val="00C51054"/>
    <w:rsid w:val="00C513E5"/>
    <w:rsid w:val="00C514EF"/>
    <w:rsid w:val="00C51659"/>
    <w:rsid w:val="00C516A2"/>
    <w:rsid w:val="00C51720"/>
    <w:rsid w:val="00C51865"/>
    <w:rsid w:val="00C5187B"/>
    <w:rsid w:val="00C51D88"/>
    <w:rsid w:val="00C51E69"/>
    <w:rsid w:val="00C51F81"/>
    <w:rsid w:val="00C52014"/>
    <w:rsid w:val="00C5224C"/>
    <w:rsid w:val="00C52622"/>
    <w:rsid w:val="00C5264D"/>
    <w:rsid w:val="00C52660"/>
    <w:rsid w:val="00C52AED"/>
    <w:rsid w:val="00C52E94"/>
    <w:rsid w:val="00C53081"/>
    <w:rsid w:val="00C530B0"/>
    <w:rsid w:val="00C530BA"/>
    <w:rsid w:val="00C5329B"/>
    <w:rsid w:val="00C53B4E"/>
    <w:rsid w:val="00C53CC5"/>
    <w:rsid w:val="00C54435"/>
    <w:rsid w:val="00C5446E"/>
    <w:rsid w:val="00C544E8"/>
    <w:rsid w:val="00C54B39"/>
    <w:rsid w:val="00C54E2B"/>
    <w:rsid w:val="00C54F47"/>
    <w:rsid w:val="00C5521C"/>
    <w:rsid w:val="00C552C3"/>
    <w:rsid w:val="00C55A4A"/>
    <w:rsid w:val="00C55AAE"/>
    <w:rsid w:val="00C55CC7"/>
    <w:rsid w:val="00C55D87"/>
    <w:rsid w:val="00C55E7E"/>
    <w:rsid w:val="00C55EFE"/>
    <w:rsid w:val="00C56D8E"/>
    <w:rsid w:val="00C56DD9"/>
    <w:rsid w:val="00C56FF7"/>
    <w:rsid w:val="00C5705A"/>
    <w:rsid w:val="00C57147"/>
    <w:rsid w:val="00C5725A"/>
    <w:rsid w:val="00C57374"/>
    <w:rsid w:val="00C574DE"/>
    <w:rsid w:val="00C575AA"/>
    <w:rsid w:val="00C57733"/>
    <w:rsid w:val="00C578C3"/>
    <w:rsid w:val="00C57A6C"/>
    <w:rsid w:val="00C57D2B"/>
    <w:rsid w:val="00C57E55"/>
    <w:rsid w:val="00C57FD3"/>
    <w:rsid w:val="00C60489"/>
    <w:rsid w:val="00C604A5"/>
    <w:rsid w:val="00C604B5"/>
    <w:rsid w:val="00C604F4"/>
    <w:rsid w:val="00C60E55"/>
    <w:rsid w:val="00C610DB"/>
    <w:rsid w:val="00C6155F"/>
    <w:rsid w:val="00C61594"/>
    <w:rsid w:val="00C61C33"/>
    <w:rsid w:val="00C61ECF"/>
    <w:rsid w:val="00C61F65"/>
    <w:rsid w:val="00C61F7B"/>
    <w:rsid w:val="00C61FD7"/>
    <w:rsid w:val="00C6210C"/>
    <w:rsid w:val="00C622C4"/>
    <w:rsid w:val="00C6263E"/>
    <w:rsid w:val="00C626C5"/>
    <w:rsid w:val="00C62909"/>
    <w:rsid w:val="00C62938"/>
    <w:rsid w:val="00C62FAD"/>
    <w:rsid w:val="00C63373"/>
    <w:rsid w:val="00C633F1"/>
    <w:rsid w:val="00C63ADA"/>
    <w:rsid w:val="00C63C54"/>
    <w:rsid w:val="00C6407A"/>
    <w:rsid w:val="00C64169"/>
    <w:rsid w:val="00C645C6"/>
    <w:rsid w:val="00C64790"/>
    <w:rsid w:val="00C64EAF"/>
    <w:rsid w:val="00C64EE5"/>
    <w:rsid w:val="00C64F34"/>
    <w:rsid w:val="00C64FA2"/>
    <w:rsid w:val="00C64FFB"/>
    <w:rsid w:val="00C65119"/>
    <w:rsid w:val="00C6567B"/>
    <w:rsid w:val="00C658BD"/>
    <w:rsid w:val="00C65A15"/>
    <w:rsid w:val="00C65A9A"/>
    <w:rsid w:val="00C65D30"/>
    <w:rsid w:val="00C65D33"/>
    <w:rsid w:val="00C65DAA"/>
    <w:rsid w:val="00C65EA6"/>
    <w:rsid w:val="00C6608F"/>
    <w:rsid w:val="00C660F0"/>
    <w:rsid w:val="00C662FC"/>
    <w:rsid w:val="00C66372"/>
    <w:rsid w:val="00C66614"/>
    <w:rsid w:val="00C666D5"/>
    <w:rsid w:val="00C666DD"/>
    <w:rsid w:val="00C66707"/>
    <w:rsid w:val="00C6675F"/>
    <w:rsid w:val="00C672DB"/>
    <w:rsid w:val="00C673D0"/>
    <w:rsid w:val="00C673DC"/>
    <w:rsid w:val="00C6748E"/>
    <w:rsid w:val="00C67578"/>
    <w:rsid w:val="00C67910"/>
    <w:rsid w:val="00C67A54"/>
    <w:rsid w:val="00C67B46"/>
    <w:rsid w:val="00C67B9C"/>
    <w:rsid w:val="00C67D56"/>
    <w:rsid w:val="00C67E5E"/>
    <w:rsid w:val="00C70046"/>
    <w:rsid w:val="00C700E3"/>
    <w:rsid w:val="00C703C7"/>
    <w:rsid w:val="00C70621"/>
    <w:rsid w:val="00C70793"/>
    <w:rsid w:val="00C708A5"/>
    <w:rsid w:val="00C70B06"/>
    <w:rsid w:val="00C7102B"/>
    <w:rsid w:val="00C7125E"/>
    <w:rsid w:val="00C71456"/>
    <w:rsid w:val="00C71629"/>
    <w:rsid w:val="00C71686"/>
    <w:rsid w:val="00C716DB"/>
    <w:rsid w:val="00C71836"/>
    <w:rsid w:val="00C71A59"/>
    <w:rsid w:val="00C71A78"/>
    <w:rsid w:val="00C71AD3"/>
    <w:rsid w:val="00C71CE7"/>
    <w:rsid w:val="00C72226"/>
    <w:rsid w:val="00C72650"/>
    <w:rsid w:val="00C726E5"/>
    <w:rsid w:val="00C72AB7"/>
    <w:rsid w:val="00C72BA7"/>
    <w:rsid w:val="00C72BE3"/>
    <w:rsid w:val="00C72F1D"/>
    <w:rsid w:val="00C72F21"/>
    <w:rsid w:val="00C72F24"/>
    <w:rsid w:val="00C73158"/>
    <w:rsid w:val="00C732BF"/>
    <w:rsid w:val="00C73526"/>
    <w:rsid w:val="00C7353D"/>
    <w:rsid w:val="00C73735"/>
    <w:rsid w:val="00C73849"/>
    <w:rsid w:val="00C7386E"/>
    <w:rsid w:val="00C73F25"/>
    <w:rsid w:val="00C741AE"/>
    <w:rsid w:val="00C7454B"/>
    <w:rsid w:val="00C7462C"/>
    <w:rsid w:val="00C74696"/>
    <w:rsid w:val="00C7478D"/>
    <w:rsid w:val="00C747BA"/>
    <w:rsid w:val="00C74B66"/>
    <w:rsid w:val="00C74EA8"/>
    <w:rsid w:val="00C74EE8"/>
    <w:rsid w:val="00C7504C"/>
    <w:rsid w:val="00C75137"/>
    <w:rsid w:val="00C75347"/>
    <w:rsid w:val="00C75449"/>
    <w:rsid w:val="00C754CC"/>
    <w:rsid w:val="00C75515"/>
    <w:rsid w:val="00C757FE"/>
    <w:rsid w:val="00C7585D"/>
    <w:rsid w:val="00C758C4"/>
    <w:rsid w:val="00C75C50"/>
    <w:rsid w:val="00C75C65"/>
    <w:rsid w:val="00C75CA1"/>
    <w:rsid w:val="00C76149"/>
    <w:rsid w:val="00C762DF"/>
    <w:rsid w:val="00C76B44"/>
    <w:rsid w:val="00C76C67"/>
    <w:rsid w:val="00C76C80"/>
    <w:rsid w:val="00C76D5F"/>
    <w:rsid w:val="00C7707E"/>
    <w:rsid w:val="00C77350"/>
    <w:rsid w:val="00C7742F"/>
    <w:rsid w:val="00C77A7F"/>
    <w:rsid w:val="00C77A98"/>
    <w:rsid w:val="00C77B8F"/>
    <w:rsid w:val="00C77CD7"/>
    <w:rsid w:val="00C77E53"/>
    <w:rsid w:val="00C8007E"/>
    <w:rsid w:val="00C802E0"/>
    <w:rsid w:val="00C809DA"/>
    <w:rsid w:val="00C80EE7"/>
    <w:rsid w:val="00C80F54"/>
    <w:rsid w:val="00C811DC"/>
    <w:rsid w:val="00C812BB"/>
    <w:rsid w:val="00C81300"/>
    <w:rsid w:val="00C813F6"/>
    <w:rsid w:val="00C814B3"/>
    <w:rsid w:val="00C81A7C"/>
    <w:rsid w:val="00C81B26"/>
    <w:rsid w:val="00C81BD4"/>
    <w:rsid w:val="00C81C56"/>
    <w:rsid w:val="00C82066"/>
    <w:rsid w:val="00C82283"/>
    <w:rsid w:val="00C823C9"/>
    <w:rsid w:val="00C823D7"/>
    <w:rsid w:val="00C82738"/>
    <w:rsid w:val="00C82B4F"/>
    <w:rsid w:val="00C82D82"/>
    <w:rsid w:val="00C82DE8"/>
    <w:rsid w:val="00C8317B"/>
    <w:rsid w:val="00C83332"/>
    <w:rsid w:val="00C8349C"/>
    <w:rsid w:val="00C83957"/>
    <w:rsid w:val="00C83A8F"/>
    <w:rsid w:val="00C83B29"/>
    <w:rsid w:val="00C83E17"/>
    <w:rsid w:val="00C83FD5"/>
    <w:rsid w:val="00C83FE3"/>
    <w:rsid w:val="00C84061"/>
    <w:rsid w:val="00C8434B"/>
    <w:rsid w:val="00C84374"/>
    <w:rsid w:val="00C845E3"/>
    <w:rsid w:val="00C84761"/>
    <w:rsid w:val="00C849AF"/>
    <w:rsid w:val="00C849B4"/>
    <w:rsid w:val="00C850E5"/>
    <w:rsid w:val="00C85394"/>
    <w:rsid w:val="00C853BC"/>
    <w:rsid w:val="00C8591C"/>
    <w:rsid w:val="00C85959"/>
    <w:rsid w:val="00C85F0B"/>
    <w:rsid w:val="00C85FF0"/>
    <w:rsid w:val="00C8600B"/>
    <w:rsid w:val="00C8613B"/>
    <w:rsid w:val="00C86663"/>
    <w:rsid w:val="00C86698"/>
    <w:rsid w:val="00C86734"/>
    <w:rsid w:val="00C86CB1"/>
    <w:rsid w:val="00C86CD8"/>
    <w:rsid w:val="00C86D31"/>
    <w:rsid w:val="00C86EA8"/>
    <w:rsid w:val="00C87A41"/>
    <w:rsid w:val="00C87C86"/>
    <w:rsid w:val="00C87CAF"/>
    <w:rsid w:val="00C9003E"/>
    <w:rsid w:val="00C90088"/>
    <w:rsid w:val="00C9028A"/>
    <w:rsid w:val="00C904F1"/>
    <w:rsid w:val="00C90577"/>
    <w:rsid w:val="00C90C1E"/>
    <w:rsid w:val="00C90C64"/>
    <w:rsid w:val="00C90CF8"/>
    <w:rsid w:val="00C90FF7"/>
    <w:rsid w:val="00C9112B"/>
    <w:rsid w:val="00C91896"/>
    <w:rsid w:val="00C91DF7"/>
    <w:rsid w:val="00C91E74"/>
    <w:rsid w:val="00C9237B"/>
    <w:rsid w:val="00C92407"/>
    <w:rsid w:val="00C9279B"/>
    <w:rsid w:val="00C928D0"/>
    <w:rsid w:val="00C92D53"/>
    <w:rsid w:val="00C92EA3"/>
    <w:rsid w:val="00C93093"/>
    <w:rsid w:val="00C930DE"/>
    <w:rsid w:val="00C9336B"/>
    <w:rsid w:val="00C933D0"/>
    <w:rsid w:val="00C93490"/>
    <w:rsid w:val="00C936A8"/>
    <w:rsid w:val="00C93856"/>
    <w:rsid w:val="00C93A64"/>
    <w:rsid w:val="00C93BA4"/>
    <w:rsid w:val="00C93DAA"/>
    <w:rsid w:val="00C941B4"/>
    <w:rsid w:val="00C941BF"/>
    <w:rsid w:val="00C941EA"/>
    <w:rsid w:val="00C94280"/>
    <w:rsid w:val="00C9433D"/>
    <w:rsid w:val="00C94569"/>
    <w:rsid w:val="00C94740"/>
    <w:rsid w:val="00C94868"/>
    <w:rsid w:val="00C94AAE"/>
    <w:rsid w:val="00C94BFE"/>
    <w:rsid w:val="00C94EB9"/>
    <w:rsid w:val="00C94EC5"/>
    <w:rsid w:val="00C94FBA"/>
    <w:rsid w:val="00C95044"/>
    <w:rsid w:val="00C95143"/>
    <w:rsid w:val="00C951AE"/>
    <w:rsid w:val="00C951B3"/>
    <w:rsid w:val="00C958D0"/>
    <w:rsid w:val="00C959D3"/>
    <w:rsid w:val="00C95AC2"/>
    <w:rsid w:val="00C95BD4"/>
    <w:rsid w:val="00C95E08"/>
    <w:rsid w:val="00C95E91"/>
    <w:rsid w:val="00C96213"/>
    <w:rsid w:val="00C963F4"/>
    <w:rsid w:val="00C96580"/>
    <w:rsid w:val="00C9666F"/>
    <w:rsid w:val="00C966CA"/>
    <w:rsid w:val="00C9679B"/>
    <w:rsid w:val="00C9687B"/>
    <w:rsid w:val="00C96B2B"/>
    <w:rsid w:val="00C96F39"/>
    <w:rsid w:val="00C970F0"/>
    <w:rsid w:val="00C971D4"/>
    <w:rsid w:val="00C97369"/>
    <w:rsid w:val="00C976FF"/>
    <w:rsid w:val="00C9773A"/>
    <w:rsid w:val="00C97A82"/>
    <w:rsid w:val="00C97E73"/>
    <w:rsid w:val="00C9B70C"/>
    <w:rsid w:val="00CA02D9"/>
    <w:rsid w:val="00CA0392"/>
    <w:rsid w:val="00CA05E8"/>
    <w:rsid w:val="00CA0B2A"/>
    <w:rsid w:val="00CA0D38"/>
    <w:rsid w:val="00CA0E69"/>
    <w:rsid w:val="00CA1C50"/>
    <w:rsid w:val="00CA1CC8"/>
    <w:rsid w:val="00CA228E"/>
    <w:rsid w:val="00CA2867"/>
    <w:rsid w:val="00CA2940"/>
    <w:rsid w:val="00CA294F"/>
    <w:rsid w:val="00CA2BDC"/>
    <w:rsid w:val="00CA2D25"/>
    <w:rsid w:val="00CA3314"/>
    <w:rsid w:val="00CA33A6"/>
    <w:rsid w:val="00CA33BC"/>
    <w:rsid w:val="00CA3586"/>
    <w:rsid w:val="00CA3CFC"/>
    <w:rsid w:val="00CA3DEA"/>
    <w:rsid w:val="00CA4229"/>
    <w:rsid w:val="00CA44A9"/>
    <w:rsid w:val="00CA4575"/>
    <w:rsid w:val="00CA46AB"/>
    <w:rsid w:val="00CA4ABB"/>
    <w:rsid w:val="00CA4CE2"/>
    <w:rsid w:val="00CA4ECB"/>
    <w:rsid w:val="00CA5DFB"/>
    <w:rsid w:val="00CA5E72"/>
    <w:rsid w:val="00CA5F99"/>
    <w:rsid w:val="00CA64C2"/>
    <w:rsid w:val="00CA6674"/>
    <w:rsid w:val="00CA67EC"/>
    <w:rsid w:val="00CA6A27"/>
    <w:rsid w:val="00CA6B21"/>
    <w:rsid w:val="00CA6BBE"/>
    <w:rsid w:val="00CA76DB"/>
    <w:rsid w:val="00CA76DE"/>
    <w:rsid w:val="00CA79B3"/>
    <w:rsid w:val="00CA7B4E"/>
    <w:rsid w:val="00CA7E4E"/>
    <w:rsid w:val="00CA7E81"/>
    <w:rsid w:val="00CB0174"/>
    <w:rsid w:val="00CB05BF"/>
    <w:rsid w:val="00CB08B6"/>
    <w:rsid w:val="00CB0B5E"/>
    <w:rsid w:val="00CB1061"/>
    <w:rsid w:val="00CB1094"/>
    <w:rsid w:val="00CB1153"/>
    <w:rsid w:val="00CB1C2F"/>
    <w:rsid w:val="00CB2002"/>
    <w:rsid w:val="00CB235B"/>
    <w:rsid w:val="00CB24B9"/>
    <w:rsid w:val="00CB2523"/>
    <w:rsid w:val="00CB2529"/>
    <w:rsid w:val="00CB263E"/>
    <w:rsid w:val="00CB2698"/>
    <w:rsid w:val="00CB26B3"/>
    <w:rsid w:val="00CB280E"/>
    <w:rsid w:val="00CB294D"/>
    <w:rsid w:val="00CB2A93"/>
    <w:rsid w:val="00CB2C05"/>
    <w:rsid w:val="00CB2D24"/>
    <w:rsid w:val="00CB2FE7"/>
    <w:rsid w:val="00CB2FFB"/>
    <w:rsid w:val="00CB3180"/>
    <w:rsid w:val="00CB3279"/>
    <w:rsid w:val="00CB3564"/>
    <w:rsid w:val="00CB3700"/>
    <w:rsid w:val="00CB386F"/>
    <w:rsid w:val="00CB414D"/>
    <w:rsid w:val="00CB436B"/>
    <w:rsid w:val="00CB451E"/>
    <w:rsid w:val="00CB45F1"/>
    <w:rsid w:val="00CB4951"/>
    <w:rsid w:val="00CB4B75"/>
    <w:rsid w:val="00CB4B8C"/>
    <w:rsid w:val="00CB4FD6"/>
    <w:rsid w:val="00CB508C"/>
    <w:rsid w:val="00CB527D"/>
    <w:rsid w:val="00CB53F5"/>
    <w:rsid w:val="00CB541F"/>
    <w:rsid w:val="00CB5930"/>
    <w:rsid w:val="00CB59A4"/>
    <w:rsid w:val="00CB5A63"/>
    <w:rsid w:val="00CB5B96"/>
    <w:rsid w:val="00CB5C21"/>
    <w:rsid w:val="00CB5CF0"/>
    <w:rsid w:val="00CB5DD0"/>
    <w:rsid w:val="00CB5EA2"/>
    <w:rsid w:val="00CB5F6F"/>
    <w:rsid w:val="00CB5F77"/>
    <w:rsid w:val="00CB62CE"/>
    <w:rsid w:val="00CB639C"/>
    <w:rsid w:val="00CB64D6"/>
    <w:rsid w:val="00CB67B8"/>
    <w:rsid w:val="00CB696C"/>
    <w:rsid w:val="00CB6A1D"/>
    <w:rsid w:val="00CB6A96"/>
    <w:rsid w:val="00CB6BF7"/>
    <w:rsid w:val="00CB6D9E"/>
    <w:rsid w:val="00CB70AA"/>
    <w:rsid w:val="00CB7257"/>
    <w:rsid w:val="00CB7398"/>
    <w:rsid w:val="00CB75AC"/>
    <w:rsid w:val="00CB7739"/>
    <w:rsid w:val="00CB77AA"/>
    <w:rsid w:val="00CB7942"/>
    <w:rsid w:val="00CB7953"/>
    <w:rsid w:val="00CB7CA1"/>
    <w:rsid w:val="00CB7EF7"/>
    <w:rsid w:val="00CC0002"/>
    <w:rsid w:val="00CC01F5"/>
    <w:rsid w:val="00CC0228"/>
    <w:rsid w:val="00CC0439"/>
    <w:rsid w:val="00CC072C"/>
    <w:rsid w:val="00CC0888"/>
    <w:rsid w:val="00CC09E2"/>
    <w:rsid w:val="00CC0D60"/>
    <w:rsid w:val="00CC0DAE"/>
    <w:rsid w:val="00CC0E1B"/>
    <w:rsid w:val="00CC12AE"/>
    <w:rsid w:val="00CC131A"/>
    <w:rsid w:val="00CC14D9"/>
    <w:rsid w:val="00CC154D"/>
    <w:rsid w:val="00CC1733"/>
    <w:rsid w:val="00CC19BE"/>
    <w:rsid w:val="00CC1A53"/>
    <w:rsid w:val="00CC1C09"/>
    <w:rsid w:val="00CC1C0E"/>
    <w:rsid w:val="00CC2284"/>
    <w:rsid w:val="00CC23E0"/>
    <w:rsid w:val="00CC2575"/>
    <w:rsid w:val="00CC25FE"/>
    <w:rsid w:val="00CC26B6"/>
    <w:rsid w:val="00CC28CE"/>
    <w:rsid w:val="00CC2B19"/>
    <w:rsid w:val="00CC2B1B"/>
    <w:rsid w:val="00CC2DED"/>
    <w:rsid w:val="00CC32FF"/>
    <w:rsid w:val="00CC35AE"/>
    <w:rsid w:val="00CC3AAE"/>
    <w:rsid w:val="00CC3B9D"/>
    <w:rsid w:val="00CC3E55"/>
    <w:rsid w:val="00CC3FAC"/>
    <w:rsid w:val="00CC4154"/>
    <w:rsid w:val="00CC41DD"/>
    <w:rsid w:val="00CC4624"/>
    <w:rsid w:val="00CC464E"/>
    <w:rsid w:val="00CC4811"/>
    <w:rsid w:val="00CC497E"/>
    <w:rsid w:val="00CC4D7F"/>
    <w:rsid w:val="00CC51BC"/>
    <w:rsid w:val="00CC5292"/>
    <w:rsid w:val="00CC5382"/>
    <w:rsid w:val="00CC5599"/>
    <w:rsid w:val="00CC5812"/>
    <w:rsid w:val="00CC5A4D"/>
    <w:rsid w:val="00CC5EFE"/>
    <w:rsid w:val="00CC60CE"/>
    <w:rsid w:val="00CC6215"/>
    <w:rsid w:val="00CC65CE"/>
    <w:rsid w:val="00CC67BD"/>
    <w:rsid w:val="00CC67BF"/>
    <w:rsid w:val="00CC68E8"/>
    <w:rsid w:val="00CC6BDB"/>
    <w:rsid w:val="00CC6CA3"/>
    <w:rsid w:val="00CC6D0A"/>
    <w:rsid w:val="00CC6EA1"/>
    <w:rsid w:val="00CC6EF0"/>
    <w:rsid w:val="00CC7234"/>
    <w:rsid w:val="00CC728C"/>
    <w:rsid w:val="00CC733F"/>
    <w:rsid w:val="00CC746E"/>
    <w:rsid w:val="00CC757D"/>
    <w:rsid w:val="00CC75D7"/>
    <w:rsid w:val="00CC762A"/>
    <w:rsid w:val="00CC764F"/>
    <w:rsid w:val="00CC7A9D"/>
    <w:rsid w:val="00CC7C03"/>
    <w:rsid w:val="00CC7FD2"/>
    <w:rsid w:val="00CD022E"/>
    <w:rsid w:val="00CD05C1"/>
    <w:rsid w:val="00CD05CA"/>
    <w:rsid w:val="00CD0A3B"/>
    <w:rsid w:val="00CD0AF3"/>
    <w:rsid w:val="00CD1041"/>
    <w:rsid w:val="00CD132E"/>
    <w:rsid w:val="00CD1398"/>
    <w:rsid w:val="00CD1435"/>
    <w:rsid w:val="00CD158E"/>
    <w:rsid w:val="00CD1656"/>
    <w:rsid w:val="00CD192B"/>
    <w:rsid w:val="00CD198E"/>
    <w:rsid w:val="00CD19DB"/>
    <w:rsid w:val="00CD1DB8"/>
    <w:rsid w:val="00CD1DDB"/>
    <w:rsid w:val="00CD1E79"/>
    <w:rsid w:val="00CD1EC2"/>
    <w:rsid w:val="00CD1EF7"/>
    <w:rsid w:val="00CD1FF7"/>
    <w:rsid w:val="00CD21A7"/>
    <w:rsid w:val="00CD26DE"/>
    <w:rsid w:val="00CD2A46"/>
    <w:rsid w:val="00CD2AE0"/>
    <w:rsid w:val="00CD2E59"/>
    <w:rsid w:val="00CD30B2"/>
    <w:rsid w:val="00CD31EA"/>
    <w:rsid w:val="00CD348E"/>
    <w:rsid w:val="00CD39F4"/>
    <w:rsid w:val="00CD3F90"/>
    <w:rsid w:val="00CD4342"/>
    <w:rsid w:val="00CD4541"/>
    <w:rsid w:val="00CD45E2"/>
    <w:rsid w:val="00CD486E"/>
    <w:rsid w:val="00CD4BAD"/>
    <w:rsid w:val="00CD4E34"/>
    <w:rsid w:val="00CD4FB6"/>
    <w:rsid w:val="00CD5099"/>
    <w:rsid w:val="00CD5432"/>
    <w:rsid w:val="00CD54D2"/>
    <w:rsid w:val="00CD5E3C"/>
    <w:rsid w:val="00CD6264"/>
    <w:rsid w:val="00CD6528"/>
    <w:rsid w:val="00CD6B5E"/>
    <w:rsid w:val="00CD6CB6"/>
    <w:rsid w:val="00CD6D4A"/>
    <w:rsid w:val="00CD6FA4"/>
    <w:rsid w:val="00CD711C"/>
    <w:rsid w:val="00CD73C8"/>
    <w:rsid w:val="00CD789E"/>
    <w:rsid w:val="00CD78F8"/>
    <w:rsid w:val="00CD7953"/>
    <w:rsid w:val="00CD7A8B"/>
    <w:rsid w:val="00CD7C1C"/>
    <w:rsid w:val="00CD7C5F"/>
    <w:rsid w:val="00CD7DA4"/>
    <w:rsid w:val="00CD7EAD"/>
    <w:rsid w:val="00CE006C"/>
    <w:rsid w:val="00CE00B1"/>
    <w:rsid w:val="00CE027E"/>
    <w:rsid w:val="00CE0335"/>
    <w:rsid w:val="00CE03EA"/>
    <w:rsid w:val="00CE070A"/>
    <w:rsid w:val="00CE0A6F"/>
    <w:rsid w:val="00CE0BBA"/>
    <w:rsid w:val="00CE0E4A"/>
    <w:rsid w:val="00CE0FC0"/>
    <w:rsid w:val="00CE11E3"/>
    <w:rsid w:val="00CE143C"/>
    <w:rsid w:val="00CE14D9"/>
    <w:rsid w:val="00CE1E2D"/>
    <w:rsid w:val="00CE1F87"/>
    <w:rsid w:val="00CE203F"/>
    <w:rsid w:val="00CE21E4"/>
    <w:rsid w:val="00CE2570"/>
    <w:rsid w:val="00CE2589"/>
    <w:rsid w:val="00CE28D2"/>
    <w:rsid w:val="00CE2940"/>
    <w:rsid w:val="00CE29B5"/>
    <w:rsid w:val="00CE2A18"/>
    <w:rsid w:val="00CE2C49"/>
    <w:rsid w:val="00CE2DA7"/>
    <w:rsid w:val="00CE2EB5"/>
    <w:rsid w:val="00CE2EEE"/>
    <w:rsid w:val="00CE314F"/>
    <w:rsid w:val="00CE326C"/>
    <w:rsid w:val="00CE32A8"/>
    <w:rsid w:val="00CE3815"/>
    <w:rsid w:val="00CE3A82"/>
    <w:rsid w:val="00CE3AE2"/>
    <w:rsid w:val="00CE3C51"/>
    <w:rsid w:val="00CE3D00"/>
    <w:rsid w:val="00CE3F03"/>
    <w:rsid w:val="00CE3F8C"/>
    <w:rsid w:val="00CE40CB"/>
    <w:rsid w:val="00CE417C"/>
    <w:rsid w:val="00CE4742"/>
    <w:rsid w:val="00CE4923"/>
    <w:rsid w:val="00CE4A4E"/>
    <w:rsid w:val="00CE4C61"/>
    <w:rsid w:val="00CE5018"/>
    <w:rsid w:val="00CE52E3"/>
    <w:rsid w:val="00CE5398"/>
    <w:rsid w:val="00CE54EB"/>
    <w:rsid w:val="00CE5522"/>
    <w:rsid w:val="00CE58FF"/>
    <w:rsid w:val="00CE5AA8"/>
    <w:rsid w:val="00CE5E82"/>
    <w:rsid w:val="00CE5F6D"/>
    <w:rsid w:val="00CE61AD"/>
    <w:rsid w:val="00CE6427"/>
    <w:rsid w:val="00CE6514"/>
    <w:rsid w:val="00CE65A7"/>
    <w:rsid w:val="00CE65BF"/>
    <w:rsid w:val="00CE68CC"/>
    <w:rsid w:val="00CE68E9"/>
    <w:rsid w:val="00CE68FB"/>
    <w:rsid w:val="00CE69D6"/>
    <w:rsid w:val="00CE6A7F"/>
    <w:rsid w:val="00CE6ACB"/>
    <w:rsid w:val="00CE6CCE"/>
    <w:rsid w:val="00CE6DCF"/>
    <w:rsid w:val="00CE6E07"/>
    <w:rsid w:val="00CE6EAB"/>
    <w:rsid w:val="00CE6F4A"/>
    <w:rsid w:val="00CE6F5C"/>
    <w:rsid w:val="00CE711C"/>
    <w:rsid w:val="00CE7465"/>
    <w:rsid w:val="00CE7500"/>
    <w:rsid w:val="00CE76F6"/>
    <w:rsid w:val="00CE7881"/>
    <w:rsid w:val="00CE78CE"/>
    <w:rsid w:val="00CE7925"/>
    <w:rsid w:val="00CE798C"/>
    <w:rsid w:val="00CE7AEB"/>
    <w:rsid w:val="00CE7B8D"/>
    <w:rsid w:val="00CE7C3B"/>
    <w:rsid w:val="00CE7C8B"/>
    <w:rsid w:val="00CE7E99"/>
    <w:rsid w:val="00CE7EB4"/>
    <w:rsid w:val="00CF0329"/>
    <w:rsid w:val="00CF03B0"/>
    <w:rsid w:val="00CF0474"/>
    <w:rsid w:val="00CF0725"/>
    <w:rsid w:val="00CF07F8"/>
    <w:rsid w:val="00CF0FB1"/>
    <w:rsid w:val="00CF0FBE"/>
    <w:rsid w:val="00CF175A"/>
    <w:rsid w:val="00CF17C9"/>
    <w:rsid w:val="00CF183F"/>
    <w:rsid w:val="00CF18E0"/>
    <w:rsid w:val="00CF1C13"/>
    <w:rsid w:val="00CF1CFF"/>
    <w:rsid w:val="00CF1E65"/>
    <w:rsid w:val="00CF21E4"/>
    <w:rsid w:val="00CF251E"/>
    <w:rsid w:val="00CF2593"/>
    <w:rsid w:val="00CF2646"/>
    <w:rsid w:val="00CF2E88"/>
    <w:rsid w:val="00CF2EA0"/>
    <w:rsid w:val="00CF35B3"/>
    <w:rsid w:val="00CF3601"/>
    <w:rsid w:val="00CF36C9"/>
    <w:rsid w:val="00CF374D"/>
    <w:rsid w:val="00CF3A7A"/>
    <w:rsid w:val="00CF3BCF"/>
    <w:rsid w:val="00CF3EFF"/>
    <w:rsid w:val="00CF433F"/>
    <w:rsid w:val="00CF4527"/>
    <w:rsid w:val="00CF46CD"/>
    <w:rsid w:val="00CF479F"/>
    <w:rsid w:val="00CF47D7"/>
    <w:rsid w:val="00CF4AFE"/>
    <w:rsid w:val="00CF4D41"/>
    <w:rsid w:val="00CF4DF1"/>
    <w:rsid w:val="00CF501B"/>
    <w:rsid w:val="00CF5222"/>
    <w:rsid w:val="00CF52F4"/>
    <w:rsid w:val="00CF5350"/>
    <w:rsid w:val="00CF54AD"/>
    <w:rsid w:val="00CF5AA7"/>
    <w:rsid w:val="00CF5BED"/>
    <w:rsid w:val="00CF5E45"/>
    <w:rsid w:val="00CF60ED"/>
    <w:rsid w:val="00CF6132"/>
    <w:rsid w:val="00CF6315"/>
    <w:rsid w:val="00CF6552"/>
    <w:rsid w:val="00CF660E"/>
    <w:rsid w:val="00CF6AE8"/>
    <w:rsid w:val="00CF6C85"/>
    <w:rsid w:val="00CF6D64"/>
    <w:rsid w:val="00CF6F89"/>
    <w:rsid w:val="00CF726E"/>
    <w:rsid w:val="00CF72F6"/>
    <w:rsid w:val="00CF762E"/>
    <w:rsid w:val="00CF786C"/>
    <w:rsid w:val="00CF7914"/>
    <w:rsid w:val="00CF794C"/>
    <w:rsid w:val="00CF7AB8"/>
    <w:rsid w:val="00CF7AD4"/>
    <w:rsid w:val="00CF7B71"/>
    <w:rsid w:val="00CF7F28"/>
    <w:rsid w:val="00D000C7"/>
    <w:rsid w:val="00D00203"/>
    <w:rsid w:val="00D00263"/>
    <w:rsid w:val="00D003A3"/>
    <w:rsid w:val="00D00421"/>
    <w:rsid w:val="00D00478"/>
    <w:rsid w:val="00D004A2"/>
    <w:rsid w:val="00D0064B"/>
    <w:rsid w:val="00D00A15"/>
    <w:rsid w:val="00D00E21"/>
    <w:rsid w:val="00D01323"/>
    <w:rsid w:val="00D0153C"/>
    <w:rsid w:val="00D01565"/>
    <w:rsid w:val="00D01644"/>
    <w:rsid w:val="00D016C6"/>
    <w:rsid w:val="00D01991"/>
    <w:rsid w:val="00D01A56"/>
    <w:rsid w:val="00D01A7C"/>
    <w:rsid w:val="00D01B9C"/>
    <w:rsid w:val="00D01C8F"/>
    <w:rsid w:val="00D01E62"/>
    <w:rsid w:val="00D02248"/>
    <w:rsid w:val="00D02279"/>
    <w:rsid w:val="00D022D6"/>
    <w:rsid w:val="00D02617"/>
    <w:rsid w:val="00D027E4"/>
    <w:rsid w:val="00D02A01"/>
    <w:rsid w:val="00D02B5A"/>
    <w:rsid w:val="00D02CCB"/>
    <w:rsid w:val="00D03048"/>
    <w:rsid w:val="00D03306"/>
    <w:rsid w:val="00D03843"/>
    <w:rsid w:val="00D038AC"/>
    <w:rsid w:val="00D03EA5"/>
    <w:rsid w:val="00D03F75"/>
    <w:rsid w:val="00D043B7"/>
    <w:rsid w:val="00D043F8"/>
    <w:rsid w:val="00D04445"/>
    <w:rsid w:val="00D045B0"/>
    <w:rsid w:val="00D045F9"/>
    <w:rsid w:val="00D048E8"/>
    <w:rsid w:val="00D04932"/>
    <w:rsid w:val="00D04B6C"/>
    <w:rsid w:val="00D04C45"/>
    <w:rsid w:val="00D04EA9"/>
    <w:rsid w:val="00D04FB2"/>
    <w:rsid w:val="00D05054"/>
    <w:rsid w:val="00D0571D"/>
    <w:rsid w:val="00D05C03"/>
    <w:rsid w:val="00D05C74"/>
    <w:rsid w:val="00D05C83"/>
    <w:rsid w:val="00D062DA"/>
    <w:rsid w:val="00D06585"/>
    <w:rsid w:val="00D0698B"/>
    <w:rsid w:val="00D06BF5"/>
    <w:rsid w:val="00D06EE7"/>
    <w:rsid w:val="00D07064"/>
    <w:rsid w:val="00D0727B"/>
    <w:rsid w:val="00D07325"/>
    <w:rsid w:val="00D073E9"/>
    <w:rsid w:val="00D078BD"/>
    <w:rsid w:val="00D079F6"/>
    <w:rsid w:val="00D079FF"/>
    <w:rsid w:val="00D07A4C"/>
    <w:rsid w:val="00D07B70"/>
    <w:rsid w:val="00D07BC0"/>
    <w:rsid w:val="00D07BE5"/>
    <w:rsid w:val="00D07CD5"/>
    <w:rsid w:val="00D07E1C"/>
    <w:rsid w:val="00D07FD2"/>
    <w:rsid w:val="00D07FDD"/>
    <w:rsid w:val="00D10103"/>
    <w:rsid w:val="00D101F6"/>
    <w:rsid w:val="00D104A1"/>
    <w:rsid w:val="00D104FF"/>
    <w:rsid w:val="00D10771"/>
    <w:rsid w:val="00D1080A"/>
    <w:rsid w:val="00D10913"/>
    <w:rsid w:val="00D109BA"/>
    <w:rsid w:val="00D10B32"/>
    <w:rsid w:val="00D10BB3"/>
    <w:rsid w:val="00D10C2A"/>
    <w:rsid w:val="00D10D45"/>
    <w:rsid w:val="00D10D5C"/>
    <w:rsid w:val="00D10EF1"/>
    <w:rsid w:val="00D10F24"/>
    <w:rsid w:val="00D10F31"/>
    <w:rsid w:val="00D10FC6"/>
    <w:rsid w:val="00D111F3"/>
    <w:rsid w:val="00D1165B"/>
    <w:rsid w:val="00D11711"/>
    <w:rsid w:val="00D1185F"/>
    <w:rsid w:val="00D1190F"/>
    <w:rsid w:val="00D120ED"/>
    <w:rsid w:val="00D1227E"/>
    <w:rsid w:val="00D123ED"/>
    <w:rsid w:val="00D12726"/>
    <w:rsid w:val="00D12728"/>
    <w:rsid w:val="00D127BF"/>
    <w:rsid w:val="00D12821"/>
    <w:rsid w:val="00D128F5"/>
    <w:rsid w:val="00D12AA0"/>
    <w:rsid w:val="00D12C68"/>
    <w:rsid w:val="00D12D72"/>
    <w:rsid w:val="00D13480"/>
    <w:rsid w:val="00D1357A"/>
    <w:rsid w:val="00D13744"/>
    <w:rsid w:val="00D13C86"/>
    <w:rsid w:val="00D13F47"/>
    <w:rsid w:val="00D14042"/>
    <w:rsid w:val="00D1412B"/>
    <w:rsid w:val="00D141B8"/>
    <w:rsid w:val="00D14493"/>
    <w:rsid w:val="00D144BF"/>
    <w:rsid w:val="00D148CB"/>
    <w:rsid w:val="00D14969"/>
    <w:rsid w:val="00D14B2A"/>
    <w:rsid w:val="00D14C4A"/>
    <w:rsid w:val="00D14C72"/>
    <w:rsid w:val="00D14E00"/>
    <w:rsid w:val="00D150D9"/>
    <w:rsid w:val="00D15207"/>
    <w:rsid w:val="00D1521C"/>
    <w:rsid w:val="00D1531F"/>
    <w:rsid w:val="00D1550E"/>
    <w:rsid w:val="00D15593"/>
    <w:rsid w:val="00D15866"/>
    <w:rsid w:val="00D158B9"/>
    <w:rsid w:val="00D158D5"/>
    <w:rsid w:val="00D15967"/>
    <w:rsid w:val="00D1597F"/>
    <w:rsid w:val="00D15CD1"/>
    <w:rsid w:val="00D15D3D"/>
    <w:rsid w:val="00D16722"/>
    <w:rsid w:val="00D16A32"/>
    <w:rsid w:val="00D16EAD"/>
    <w:rsid w:val="00D16FCE"/>
    <w:rsid w:val="00D17414"/>
    <w:rsid w:val="00D17532"/>
    <w:rsid w:val="00D17909"/>
    <w:rsid w:val="00D17C5C"/>
    <w:rsid w:val="00D17DB8"/>
    <w:rsid w:val="00D17DFB"/>
    <w:rsid w:val="00D2052A"/>
    <w:rsid w:val="00D20578"/>
    <w:rsid w:val="00D2063F"/>
    <w:rsid w:val="00D206E9"/>
    <w:rsid w:val="00D207D0"/>
    <w:rsid w:val="00D209BE"/>
    <w:rsid w:val="00D21179"/>
    <w:rsid w:val="00D21323"/>
    <w:rsid w:val="00D213A9"/>
    <w:rsid w:val="00D213F3"/>
    <w:rsid w:val="00D21564"/>
    <w:rsid w:val="00D21815"/>
    <w:rsid w:val="00D21BFB"/>
    <w:rsid w:val="00D21C69"/>
    <w:rsid w:val="00D21E24"/>
    <w:rsid w:val="00D21FA2"/>
    <w:rsid w:val="00D22014"/>
    <w:rsid w:val="00D22269"/>
    <w:rsid w:val="00D22286"/>
    <w:rsid w:val="00D22304"/>
    <w:rsid w:val="00D226EE"/>
    <w:rsid w:val="00D2287A"/>
    <w:rsid w:val="00D2290A"/>
    <w:rsid w:val="00D22A8D"/>
    <w:rsid w:val="00D22E0A"/>
    <w:rsid w:val="00D22E4E"/>
    <w:rsid w:val="00D230A5"/>
    <w:rsid w:val="00D231E3"/>
    <w:rsid w:val="00D23425"/>
    <w:rsid w:val="00D23501"/>
    <w:rsid w:val="00D235D3"/>
    <w:rsid w:val="00D235E5"/>
    <w:rsid w:val="00D2365B"/>
    <w:rsid w:val="00D2397B"/>
    <w:rsid w:val="00D23DE9"/>
    <w:rsid w:val="00D24381"/>
    <w:rsid w:val="00D244E0"/>
    <w:rsid w:val="00D24B39"/>
    <w:rsid w:val="00D24DBB"/>
    <w:rsid w:val="00D24FFF"/>
    <w:rsid w:val="00D250AC"/>
    <w:rsid w:val="00D255D8"/>
    <w:rsid w:val="00D2566A"/>
    <w:rsid w:val="00D2567F"/>
    <w:rsid w:val="00D2573C"/>
    <w:rsid w:val="00D25E92"/>
    <w:rsid w:val="00D25FA0"/>
    <w:rsid w:val="00D26984"/>
    <w:rsid w:val="00D26C96"/>
    <w:rsid w:val="00D26F5C"/>
    <w:rsid w:val="00D26FF2"/>
    <w:rsid w:val="00D2740C"/>
    <w:rsid w:val="00D27920"/>
    <w:rsid w:val="00D27AAD"/>
    <w:rsid w:val="00D27CA1"/>
    <w:rsid w:val="00D27D24"/>
    <w:rsid w:val="00D27F13"/>
    <w:rsid w:val="00D301F7"/>
    <w:rsid w:val="00D302C7"/>
    <w:rsid w:val="00D30557"/>
    <w:rsid w:val="00D30869"/>
    <w:rsid w:val="00D30970"/>
    <w:rsid w:val="00D30A2E"/>
    <w:rsid w:val="00D30C01"/>
    <w:rsid w:val="00D30CF4"/>
    <w:rsid w:val="00D30F55"/>
    <w:rsid w:val="00D312C4"/>
    <w:rsid w:val="00D31719"/>
    <w:rsid w:val="00D31AD3"/>
    <w:rsid w:val="00D31BDF"/>
    <w:rsid w:val="00D31F2E"/>
    <w:rsid w:val="00D321EC"/>
    <w:rsid w:val="00D32420"/>
    <w:rsid w:val="00D3262B"/>
    <w:rsid w:val="00D3268C"/>
    <w:rsid w:val="00D32B7D"/>
    <w:rsid w:val="00D3305B"/>
    <w:rsid w:val="00D33071"/>
    <w:rsid w:val="00D33387"/>
    <w:rsid w:val="00D33466"/>
    <w:rsid w:val="00D33963"/>
    <w:rsid w:val="00D33C4E"/>
    <w:rsid w:val="00D33E37"/>
    <w:rsid w:val="00D340C9"/>
    <w:rsid w:val="00D344D5"/>
    <w:rsid w:val="00D346C1"/>
    <w:rsid w:val="00D3477E"/>
    <w:rsid w:val="00D3477F"/>
    <w:rsid w:val="00D347C4"/>
    <w:rsid w:val="00D3486F"/>
    <w:rsid w:val="00D3507B"/>
    <w:rsid w:val="00D35258"/>
    <w:rsid w:val="00D3530F"/>
    <w:rsid w:val="00D3551F"/>
    <w:rsid w:val="00D35828"/>
    <w:rsid w:val="00D35A63"/>
    <w:rsid w:val="00D35BAA"/>
    <w:rsid w:val="00D35CCC"/>
    <w:rsid w:val="00D35CF2"/>
    <w:rsid w:val="00D35D8A"/>
    <w:rsid w:val="00D35E65"/>
    <w:rsid w:val="00D35EB8"/>
    <w:rsid w:val="00D35FB6"/>
    <w:rsid w:val="00D3607E"/>
    <w:rsid w:val="00D36108"/>
    <w:rsid w:val="00D361AC"/>
    <w:rsid w:val="00D3637C"/>
    <w:rsid w:val="00D364EE"/>
    <w:rsid w:val="00D365F3"/>
    <w:rsid w:val="00D366C0"/>
    <w:rsid w:val="00D36BCC"/>
    <w:rsid w:val="00D36C43"/>
    <w:rsid w:val="00D36CF2"/>
    <w:rsid w:val="00D36D75"/>
    <w:rsid w:val="00D370E3"/>
    <w:rsid w:val="00D379F3"/>
    <w:rsid w:val="00D40115"/>
    <w:rsid w:val="00D40214"/>
    <w:rsid w:val="00D404DA"/>
    <w:rsid w:val="00D405F3"/>
    <w:rsid w:val="00D4077E"/>
    <w:rsid w:val="00D409E7"/>
    <w:rsid w:val="00D40A46"/>
    <w:rsid w:val="00D40A5B"/>
    <w:rsid w:val="00D40D7D"/>
    <w:rsid w:val="00D40E4E"/>
    <w:rsid w:val="00D40E56"/>
    <w:rsid w:val="00D40F4E"/>
    <w:rsid w:val="00D41068"/>
    <w:rsid w:val="00D41076"/>
    <w:rsid w:val="00D41D01"/>
    <w:rsid w:val="00D41E54"/>
    <w:rsid w:val="00D41F64"/>
    <w:rsid w:val="00D42126"/>
    <w:rsid w:val="00D423C8"/>
    <w:rsid w:val="00D4281D"/>
    <w:rsid w:val="00D42914"/>
    <w:rsid w:val="00D42AAD"/>
    <w:rsid w:val="00D42AD3"/>
    <w:rsid w:val="00D42B0C"/>
    <w:rsid w:val="00D42C25"/>
    <w:rsid w:val="00D42D64"/>
    <w:rsid w:val="00D42F38"/>
    <w:rsid w:val="00D43439"/>
    <w:rsid w:val="00D43ABA"/>
    <w:rsid w:val="00D43CDC"/>
    <w:rsid w:val="00D43D81"/>
    <w:rsid w:val="00D43F8D"/>
    <w:rsid w:val="00D440BE"/>
    <w:rsid w:val="00D4429A"/>
    <w:rsid w:val="00D445D3"/>
    <w:rsid w:val="00D44978"/>
    <w:rsid w:val="00D44E34"/>
    <w:rsid w:val="00D4506B"/>
    <w:rsid w:val="00D45215"/>
    <w:rsid w:val="00D45248"/>
    <w:rsid w:val="00D454B1"/>
    <w:rsid w:val="00D45525"/>
    <w:rsid w:val="00D4578E"/>
    <w:rsid w:val="00D45822"/>
    <w:rsid w:val="00D458A9"/>
    <w:rsid w:val="00D45BD1"/>
    <w:rsid w:val="00D45D26"/>
    <w:rsid w:val="00D45DB7"/>
    <w:rsid w:val="00D45DDE"/>
    <w:rsid w:val="00D45E05"/>
    <w:rsid w:val="00D45FC0"/>
    <w:rsid w:val="00D4612D"/>
    <w:rsid w:val="00D46352"/>
    <w:rsid w:val="00D46453"/>
    <w:rsid w:val="00D46620"/>
    <w:rsid w:val="00D468BD"/>
    <w:rsid w:val="00D469F9"/>
    <w:rsid w:val="00D46F06"/>
    <w:rsid w:val="00D46FC3"/>
    <w:rsid w:val="00D46FF6"/>
    <w:rsid w:val="00D473D7"/>
    <w:rsid w:val="00D4744B"/>
    <w:rsid w:val="00D47B93"/>
    <w:rsid w:val="00D47BA1"/>
    <w:rsid w:val="00D47C70"/>
    <w:rsid w:val="00D47CEA"/>
    <w:rsid w:val="00D47F5F"/>
    <w:rsid w:val="00D500B8"/>
    <w:rsid w:val="00D50280"/>
    <w:rsid w:val="00D5032B"/>
    <w:rsid w:val="00D5033C"/>
    <w:rsid w:val="00D50519"/>
    <w:rsid w:val="00D50715"/>
    <w:rsid w:val="00D507E1"/>
    <w:rsid w:val="00D50B29"/>
    <w:rsid w:val="00D50CD3"/>
    <w:rsid w:val="00D50CFF"/>
    <w:rsid w:val="00D50D81"/>
    <w:rsid w:val="00D5119C"/>
    <w:rsid w:val="00D514BA"/>
    <w:rsid w:val="00D51523"/>
    <w:rsid w:val="00D51530"/>
    <w:rsid w:val="00D51922"/>
    <w:rsid w:val="00D51C18"/>
    <w:rsid w:val="00D52195"/>
    <w:rsid w:val="00D522AF"/>
    <w:rsid w:val="00D5236F"/>
    <w:rsid w:val="00D52384"/>
    <w:rsid w:val="00D523CE"/>
    <w:rsid w:val="00D526D7"/>
    <w:rsid w:val="00D52C62"/>
    <w:rsid w:val="00D52CB4"/>
    <w:rsid w:val="00D53533"/>
    <w:rsid w:val="00D53551"/>
    <w:rsid w:val="00D53568"/>
    <w:rsid w:val="00D538B4"/>
    <w:rsid w:val="00D53A95"/>
    <w:rsid w:val="00D53A9D"/>
    <w:rsid w:val="00D53B63"/>
    <w:rsid w:val="00D540FC"/>
    <w:rsid w:val="00D541BF"/>
    <w:rsid w:val="00D543B1"/>
    <w:rsid w:val="00D5472B"/>
    <w:rsid w:val="00D548EB"/>
    <w:rsid w:val="00D55044"/>
    <w:rsid w:val="00D5512F"/>
    <w:rsid w:val="00D55169"/>
    <w:rsid w:val="00D551E0"/>
    <w:rsid w:val="00D552A9"/>
    <w:rsid w:val="00D5530F"/>
    <w:rsid w:val="00D5536B"/>
    <w:rsid w:val="00D553B3"/>
    <w:rsid w:val="00D55752"/>
    <w:rsid w:val="00D55999"/>
    <w:rsid w:val="00D55E94"/>
    <w:rsid w:val="00D55FEB"/>
    <w:rsid w:val="00D5618A"/>
    <w:rsid w:val="00D561F1"/>
    <w:rsid w:val="00D562E3"/>
    <w:rsid w:val="00D562E5"/>
    <w:rsid w:val="00D564B1"/>
    <w:rsid w:val="00D567AA"/>
    <w:rsid w:val="00D5691F"/>
    <w:rsid w:val="00D56CBF"/>
    <w:rsid w:val="00D56DF6"/>
    <w:rsid w:val="00D56F26"/>
    <w:rsid w:val="00D56F8D"/>
    <w:rsid w:val="00D57069"/>
    <w:rsid w:val="00D5709A"/>
    <w:rsid w:val="00D571E9"/>
    <w:rsid w:val="00D57232"/>
    <w:rsid w:val="00D57924"/>
    <w:rsid w:val="00D5799C"/>
    <w:rsid w:val="00D579BD"/>
    <w:rsid w:val="00D57E73"/>
    <w:rsid w:val="00D57F58"/>
    <w:rsid w:val="00D57F80"/>
    <w:rsid w:val="00D60076"/>
    <w:rsid w:val="00D60096"/>
    <w:rsid w:val="00D60378"/>
    <w:rsid w:val="00D60386"/>
    <w:rsid w:val="00D60415"/>
    <w:rsid w:val="00D604B3"/>
    <w:rsid w:val="00D609BC"/>
    <w:rsid w:val="00D60A63"/>
    <w:rsid w:val="00D60D0D"/>
    <w:rsid w:val="00D60D20"/>
    <w:rsid w:val="00D60D2F"/>
    <w:rsid w:val="00D60EDE"/>
    <w:rsid w:val="00D60FB5"/>
    <w:rsid w:val="00D61571"/>
    <w:rsid w:val="00D6193A"/>
    <w:rsid w:val="00D619C5"/>
    <w:rsid w:val="00D61BAC"/>
    <w:rsid w:val="00D61F39"/>
    <w:rsid w:val="00D6217E"/>
    <w:rsid w:val="00D62238"/>
    <w:rsid w:val="00D625C4"/>
    <w:rsid w:val="00D62772"/>
    <w:rsid w:val="00D62814"/>
    <w:rsid w:val="00D62E5A"/>
    <w:rsid w:val="00D62EA8"/>
    <w:rsid w:val="00D62F6D"/>
    <w:rsid w:val="00D633C6"/>
    <w:rsid w:val="00D6343A"/>
    <w:rsid w:val="00D63696"/>
    <w:rsid w:val="00D63967"/>
    <w:rsid w:val="00D63B28"/>
    <w:rsid w:val="00D63C11"/>
    <w:rsid w:val="00D63C62"/>
    <w:rsid w:val="00D6423B"/>
    <w:rsid w:val="00D64825"/>
    <w:rsid w:val="00D64A25"/>
    <w:rsid w:val="00D64B4D"/>
    <w:rsid w:val="00D64D79"/>
    <w:rsid w:val="00D64D90"/>
    <w:rsid w:val="00D64E46"/>
    <w:rsid w:val="00D6509A"/>
    <w:rsid w:val="00D65245"/>
    <w:rsid w:val="00D6529C"/>
    <w:rsid w:val="00D652E9"/>
    <w:rsid w:val="00D65389"/>
    <w:rsid w:val="00D65425"/>
    <w:rsid w:val="00D6552B"/>
    <w:rsid w:val="00D65585"/>
    <w:rsid w:val="00D656BE"/>
    <w:rsid w:val="00D65B9B"/>
    <w:rsid w:val="00D65BE7"/>
    <w:rsid w:val="00D65C67"/>
    <w:rsid w:val="00D65C75"/>
    <w:rsid w:val="00D65CFD"/>
    <w:rsid w:val="00D65EE8"/>
    <w:rsid w:val="00D66033"/>
    <w:rsid w:val="00D66058"/>
    <w:rsid w:val="00D66172"/>
    <w:rsid w:val="00D661BE"/>
    <w:rsid w:val="00D66598"/>
    <w:rsid w:val="00D66632"/>
    <w:rsid w:val="00D667CD"/>
    <w:rsid w:val="00D667FB"/>
    <w:rsid w:val="00D66976"/>
    <w:rsid w:val="00D66BCB"/>
    <w:rsid w:val="00D66E9B"/>
    <w:rsid w:val="00D67723"/>
    <w:rsid w:val="00D6789B"/>
    <w:rsid w:val="00D67B99"/>
    <w:rsid w:val="00D67C8B"/>
    <w:rsid w:val="00D67E21"/>
    <w:rsid w:val="00D67EE2"/>
    <w:rsid w:val="00D67EE7"/>
    <w:rsid w:val="00D70181"/>
    <w:rsid w:val="00D7062A"/>
    <w:rsid w:val="00D7083E"/>
    <w:rsid w:val="00D708CA"/>
    <w:rsid w:val="00D7091E"/>
    <w:rsid w:val="00D70B47"/>
    <w:rsid w:val="00D71313"/>
    <w:rsid w:val="00D713CE"/>
    <w:rsid w:val="00D71D9E"/>
    <w:rsid w:val="00D71E2B"/>
    <w:rsid w:val="00D71F05"/>
    <w:rsid w:val="00D722B8"/>
    <w:rsid w:val="00D72350"/>
    <w:rsid w:val="00D72DA3"/>
    <w:rsid w:val="00D72E28"/>
    <w:rsid w:val="00D73788"/>
    <w:rsid w:val="00D73BFF"/>
    <w:rsid w:val="00D73D32"/>
    <w:rsid w:val="00D74073"/>
    <w:rsid w:val="00D74A1B"/>
    <w:rsid w:val="00D74B51"/>
    <w:rsid w:val="00D74D40"/>
    <w:rsid w:val="00D74D5D"/>
    <w:rsid w:val="00D75078"/>
    <w:rsid w:val="00D7510B"/>
    <w:rsid w:val="00D75386"/>
    <w:rsid w:val="00D7570F"/>
    <w:rsid w:val="00D7584D"/>
    <w:rsid w:val="00D75AE8"/>
    <w:rsid w:val="00D75C03"/>
    <w:rsid w:val="00D75C81"/>
    <w:rsid w:val="00D75DE6"/>
    <w:rsid w:val="00D75E4F"/>
    <w:rsid w:val="00D76083"/>
    <w:rsid w:val="00D76183"/>
    <w:rsid w:val="00D7622C"/>
    <w:rsid w:val="00D764CE"/>
    <w:rsid w:val="00D76533"/>
    <w:rsid w:val="00D765B2"/>
    <w:rsid w:val="00D766C7"/>
    <w:rsid w:val="00D76786"/>
    <w:rsid w:val="00D76E2D"/>
    <w:rsid w:val="00D76EBB"/>
    <w:rsid w:val="00D76ED7"/>
    <w:rsid w:val="00D77025"/>
    <w:rsid w:val="00D77833"/>
    <w:rsid w:val="00D77BD2"/>
    <w:rsid w:val="00D77F33"/>
    <w:rsid w:val="00D803E9"/>
    <w:rsid w:val="00D808B9"/>
    <w:rsid w:val="00D808EF"/>
    <w:rsid w:val="00D8091E"/>
    <w:rsid w:val="00D8093D"/>
    <w:rsid w:val="00D80A73"/>
    <w:rsid w:val="00D80BAD"/>
    <w:rsid w:val="00D80FBF"/>
    <w:rsid w:val="00D813E0"/>
    <w:rsid w:val="00D81E6C"/>
    <w:rsid w:val="00D820DA"/>
    <w:rsid w:val="00D82351"/>
    <w:rsid w:val="00D8258A"/>
    <w:rsid w:val="00D829F1"/>
    <w:rsid w:val="00D82AAE"/>
    <w:rsid w:val="00D82AE5"/>
    <w:rsid w:val="00D82E16"/>
    <w:rsid w:val="00D8335B"/>
    <w:rsid w:val="00D83471"/>
    <w:rsid w:val="00D83880"/>
    <w:rsid w:val="00D8396F"/>
    <w:rsid w:val="00D83985"/>
    <w:rsid w:val="00D83BC3"/>
    <w:rsid w:val="00D83BF9"/>
    <w:rsid w:val="00D84119"/>
    <w:rsid w:val="00D844B1"/>
    <w:rsid w:val="00D84945"/>
    <w:rsid w:val="00D84A63"/>
    <w:rsid w:val="00D84C53"/>
    <w:rsid w:val="00D851EC"/>
    <w:rsid w:val="00D851FF"/>
    <w:rsid w:val="00D8532C"/>
    <w:rsid w:val="00D85358"/>
    <w:rsid w:val="00D853F7"/>
    <w:rsid w:val="00D85912"/>
    <w:rsid w:val="00D8632F"/>
    <w:rsid w:val="00D86450"/>
    <w:rsid w:val="00D8652E"/>
    <w:rsid w:val="00D865CE"/>
    <w:rsid w:val="00D865E8"/>
    <w:rsid w:val="00D8662F"/>
    <w:rsid w:val="00D867DC"/>
    <w:rsid w:val="00D86ADF"/>
    <w:rsid w:val="00D870AC"/>
    <w:rsid w:val="00D870BE"/>
    <w:rsid w:val="00D871CA"/>
    <w:rsid w:val="00D87273"/>
    <w:rsid w:val="00D87400"/>
    <w:rsid w:val="00D875B3"/>
    <w:rsid w:val="00D8767D"/>
    <w:rsid w:val="00D87758"/>
    <w:rsid w:val="00D87B7D"/>
    <w:rsid w:val="00D87C26"/>
    <w:rsid w:val="00D87E1A"/>
    <w:rsid w:val="00D87E7E"/>
    <w:rsid w:val="00D87ECB"/>
    <w:rsid w:val="00D9005E"/>
    <w:rsid w:val="00D90544"/>
    <w:rsid w:val="00D90626"/>
    <w:rsid w:val="00D90646"/>
    <w:rsid w:val="00D906EE"/>
    <w:rsid w:val="00D90823"/>
    <w:rsid w:val="00D90C35"/>
    <w:rsid w:val="00D90EDC"/>
    <w:rsid w:val="00D911FA"/>
    <w:rsid w:val="00D912A9"/>
    <w:rsid w:val="00D9139E"/>
    <w:rsid w:val="00D918ED"/>
    <w:rsid w:val="00D9194C"/>
    <w:rsid w:val="00D919BF"/>
    <w:rsid w:val="00D91CBA"/>
    <w:rsid w:val="00D91F90"/>
    <w:rsid w:val="00D92286"/>
    <w:rsid w:val="00D922BA"/>
    <w:rsid w:val="00D9231F"/>
    <w:rsid w:val="00D92531"/>
    <w:rsid w:val="00D9280C"/>
    <w:rsid w:val="00D928FA"/>
    <w:rsid w:val="00D92A9B"/>
    <w:rsid w:val="00D92B4B"/>
    <w:rsid w:val="00D92D10"/>
    <w:rsid w:val="00D92DED"/>
    <w:rsid w:val="00D92E88"/>
    <w:rsid w:val="00D92FED"/>
    <w:rsid w:val="00D930D1"/>
    <w:rsid w:val="00D933BF"/>
    <w:rsid w:val="00D93676"/>
    <w:rsid w:val="00D93693"/>
    <w:rsid w:val="00D93FE7"/>
    <w:rsid w:val="00D940A4"/>
    <w:rsid w:val="00D940F1"/>
    <w:rsid w:val="00D945BA"/>
    <w:rsid w:val="00D94B54"/>
    <w:rsid w:val="00D94CEB"/>
    <w:rsid w:val="00D94DD4"/>
    <w:rsid w:val="00D95248"/>
    <w:rsid w:val="00D95252"/>
    <w:rsid w:val="00D9539D"/>
    <w:rsid w:val="00D957D9"/>
    <w:rsid w:val="00D959C8"/>
    <w:rsid w:val="00D95A13"/>
    <w:rsid w:val="00D95B95"/>
    <w:rsid w:val="00D95F12"/>
    <w:rsid w:val="00D96046"/>
    <w:rsid w:val="00D96593"/>
    <w:rsid w:val="00D96762"/>
    <w:rsid w:val="00D9683E"/>
    <w:rsid w:val="00D969A8"/>
    <w:rsid w:val="00D96D08"/>
    <w:rsid w:val="00D97117"/>
    <w:rsid w:val="00D972A2"/>
    <w:rsid w:val="00D97359"/>
    <w:rsid w:val="00D973C3"/>
    <w:rsid w:val="00D97582"/>
    <w:rsid w:val="00D97A21"/>
    <w:rsid w:val="00D97F63"/>
    <w:rsid w:val="00DA018F"/>
    <w:rsid w:val="00DA0479"/>
    <w:rsid w:val="00DA06E2"/>
    <w:rsid w:val="00DA0715"/>
    <w:rsid w:val="00DA086F"/>
    <w:rsid w:val="00DA0C96"/>
    <w:rsid w:val="00DA0E3D"/>
    <w:rsid w:val="00DA0EF3"/>
    <w:rsid w:val="00DA10BB"/>
    <w:rsid w:val="00DA1298"/>
    <w:rsid w:val="00DA14A4"/>
    <w:rsid w:val="00DA18DB"/>
    <w:rsid w:val="00DA18FF"/>
    <w:rsid w:val="00DA1976"/>
    <w:rsid w:val="00DA1F92"/>
    <w:rsid w:val="00DA20C1"/>
    <w:rsid w:val="00DA242C"/>
    <w:rsid w:val="00DA24D1"/>
    <w:rsid w:val="00DA2E59"/>
    <w:rsid w:val="00DA2F6F"/>
    <w:rsid w:val="00DA317A"/>
    <w:rsid w:val="00DA33EC"/>
    <w:rsid w:val="00DA34C3"/>
    <w:rsid w:val="00DA35CB"/>
    <w:rsid w:val="00DA36A2"/>
    <w:rsid w:val="00DA3A7D"/>
    <w:rsid w:val="00DA3C34"/>
    <w:rsid w:val="00DA3DDA"/>
    <w:rsid w:val="00DA3E42"/>
    <w:rsid w:val="00DA3F98"/>
    <w:rsid w:val="00DA409B"/>
    <w:rsid w:val="00DA410B"/>
    <w:rsid w:val="00DA428D"/>
    <w:rsid w:val="00DA4462"/>
    <w:rsid w:val="00DA463B"/>
    <w:rsid w:val="00DA46D8"/>
    <w:rsid w:val="00DA473E"/>
    <w:rsid w:val="00DA4740"/>
    <w:rsid w:val="00DA4941"/>
    <w:rsid w:val="00DA4B2C"/>
    <w:rsid w:val="00DA4C08"/>
    <w:rsid w:val="00DA4DC7"/>
    <w:rsid w:val="00DA4F6B"/>
    <w:rsid w:val="00DA508C"/>
    <w:rsid w:val="00DA50AB"/>
    <w:rsid w:val="00DA5119"/>
    <w:rsid w:val="00DA51BE"/>
    <w:rsid w:val="00DA60C8"/>
    <w:rsid w:val="00DA627C"/>
    <w:rsid w:val="00DA62E5"/>
    <w:rsid w:val="00DA6509"/>
    <w:rsid w:val="00DA6677"/>
    <w:rsid w:val="00DA679A"/>
    <w:rsid w:val="00DA689F"/>
    <w:rsid w:val="00DA6A8E"/>
    <w:rsid w:val="00DA6B07"/>
    <w:rsid w:val="00DA6BB9"/>
    <w:rsid w:val="00DA6CDC"/>
    <w:rsid w:val="00DA6D2E"/>
    <w:rsid w:val="00DA702C"/>
    <w:rsid w:val="00DA7141"/>
    <w:rsid w:val="00DA71F6"/>
    <w:rsid w:val="00DA7686"/>
    <w:rsid w:val="00DA77EE"/>
    <w:rsid w:val="00DB0084"/>
    <w:rsid w:val="00DB0255"/>
    <w:rsid w:val="00DB0796"/>
    <w:rsid w:val="00DB083F"/>
    <w:rsid w:val="00DB0C08"/>
    <w:rsid w:val="00DB0E93"/>
    <w:rsid w:val="00DB16AE"/>
    <w:rsid w:val="00DB1775"/>
    <w:rsid w:val="00DB1851"/>
    <w:rsid w:val="00DB1952"/>
    <w:rsid w:val="00DB1A40"/>
    <w:rsid w:val="00DB1EA4"/>
    <w:rsid w:val="00DB202E"/>
    <w:rsid w:val="00DB2043"/>
    <w:rsid w:val="00DB2082"/>
    <w:rsid w:val="00DB2418"/>
    <w:rsid w:val="00DB2546"/>
    <w:rsid w:val="00DB260F"/>
    <w:rsid w:val="00DB2722"/>
    <w:rsid w:val="00DB2968"/>
    <w:rsid w:val="00DB29F3"/>
    <w:rsid w:val="00DB3094"/>
    <w:rsid w:val="00DB32C6"/>
    <w:rsid w:val="00DB335D"/>
    <w:rsid w:val="00DB33B3"/>
    <w:rsid w:val="00DB34E0"/>
    <w:rsid w:val="00DB353B"/>
    <w:rsid w:val="00DB3679"/>
    <w:rsid w:val="00DB3887"/>
    <w:rsid w:val="00DB3890"/>
    <w:rsid w:val="00DB3920"/>
    <w:rsid w:val="00DB392B"/>
    <w:rsid w:val="00DB3A6C"/>
    <w:rsid w:val="00DB3D1A"/>
    <w:rsid w:val="00DB3D1D"/>
    <w:rsid w:val="00DB4005"/>
    <w:rsid w:val="00DB4068"/>
    <w:rsid w:val="00DB42DE"/>
    <w:rsid w:val="00DB4679"/>
    <w:rsid w:val="00DB4751"/>
    <w:rsid w:val="00DB4815"/>
    <w:rsid w:val="00DB49E6"/>
    <w:rsid w:val="00DB4EE9"/>
    <w:rsid w:val="00DB4F75"/>
    <w:rsid w:val="00DB5388"/>
    <w:rsid w:val="00DB53B8"/>
    <w:rsid w:val="00DB56A7"/>
    <w:rsid w:val="00DB5896"/>
    <w:rsid w:val="00DB59F6"/>
    <w:rsid w:val="00DB5A02"/>
    <w:rsid w:val="00DB5B32"/>
    <w:rsid w:val="00DB5CB9"/>
    <w:rsid w:val="00DB5DB2"/>
    <w:rsid w:val="00DB5E2B"/>
    <w:rsid w:val="00DB5F37"/>
    <w:rsid w:val="00DB6177"/>
    <w:rsid w:val="00DB66A7"/>
    <w:rsid w:val="00DB6B55"/>
    <w:rsid w:val="00DB6BFC"/>
    <w:rsid w:val="00DB6C99"/>
    <w:rsid w:val="00DB6D6A"/>
    <w:rsid w:val="00DB6E28"/>
    <w:rsid w:val="00DB70CD"/>
    <w:rsid w:val="00DB719E"/>
    <w:rsid w:val="00DB730B"/>
    <w:rsid w:val="00DB73ED"/>
    <w:rsid w:val="00DB776D"/>
    <w:rsid w:val="00DB78DD"/>
    <w:rsid w:val="00DB7C7E"/>
    <w:rsid w:val="00DB7C97"/>
    <w:rsid w:val="00DB7EFE"/>
    <w:rsid w:val="00DC0283"/>
    <w:rsid w:val="00DC0300"/>
    <w:rsid w:val="00DC035E"/>
    <w:rsid w:val="00DC0869"/>
    <w:rsid w:val="00DC0A7A"/>
    <w:rsid w:val="00DC0C87"/>
    <w:rsid w:val="00DC0FFF"/>
    <w:rsid w:val="00DC15B2"/>
    <w:rsid w:val="00DC15FB"/>
    <w:rsid w:val="00DC1607"/>
    <w:rsid w:val="00DC1EC6"/>
    <w:rsid w:val="00DC1F52"/>
    <w:rsid w:val="00DC2040"/>
    <w:rsid w:val="00DC2791"/>
    <w:rsid w:val="00DC2B3F"/>
    <w:rsid w:val="00DC2C81"/>
    <w:rsid w:val="00DC2F99"/>
    <w:rsid w:val="00DC30D5"/>
    <w:rsid w:val="00DC3542"/>
    <w:rsid w:val="00DC3609"/>
    <w:rsid w:val="00DC386A"/>
    <w:rsid w:val="00DC389C"/>
    <w:rsid w:val="00DC3A90"/>
    <w:rsid w:val="00DC3C93"/>
    <w:rsid w:val="00DC3EA0"/>
    <w:rsid w:val="00DC3EA1"/>
    <w:rsid w:val="00DC3F46"/>
    <w:rsid w:val="00DC41A8"/>
    <w:rsid w:val="00DC41C6"/>
    <w:rsid w:val="00DC433E"/>
    <w:rsid w:val="00DC4989"/>
    <w:rsid w:val="00DC4C11"/>
    <w:rsid w:val="00DC4E6F"/>
    <w:rsid w:val="00DC51EC"/>
    <w:rsid w:val="00DC52E8"/>
    <w:rsid w:val="00DC53D6"/>
    <w:rsid w:val="00DC5617"/>
    <w:rsid w:val="00DC5C72"/>
    <w:rsid w:val="00DC5DF1"/>
    <w:rsid w:val="00DC5E5C"/>
    <w:rsid w:val="00DC5E9E"/>
    <w:rsid w:val="00DC60B3"/>
    <w:rsid w:val="00DC634A"/>
    <w:rsid w:val="00DC63AB"/>
    <w:rsid w:val="00DC6683"/>
    <w:rsid w:val="00DC68D7"/>
    <w:rsid w:val="00DC6ABB"/>
    <w:rsid w:val="00DC6AD7"/>
    <w:rsid w:val="00DC6D15"/>
    <w:rsid w:val="00DC6E0E"/>
    <w:rsid w:val="00DC6E9D"/>
    <w:rsid w:val="00DC6EED"/>
    <w:rsid w:val="00DC6F9C"/>
    <w:rsid w:val="00DC70B6"/>
    <w:rsid w:val="00DC70BF"/>
    <w:rsid w:val="00DC7185"/>
    <w:rsid w:val="00DC7878"/>
    <w:rsid w:val="00DC7ADB"/>
    <w:rsid w:val="00DC7E14"/>
    <w:rsid w:val="00DC7FD5"/>
    <w:rsid w:val="00DD01C7"/>
    <w:rsid w:val="00DD057E"/>
    <w:rsid w:val="00DD0AE7"/>
    <w:rsid w:val="00DD0B71"/>
    <w:rsid w:val="00DD0C8C"/>
    <w:rsid w:val="00DD100C"/>
    <w:rsid w:val="00DD1356"/>
    <w:rsid w:val="00DD1697"/>
    <w:rsid w:val="00DD21DD"/>
    <w:rsid w:val="00DD247A"/>
    <w:rsid w:val="00DD25C6"/>
    <w:rsid w:val="00DD2BA1"/>
    <w:rsid w:val="00DD2DC5"/>
    <w:rsid w:val="00DD2FF6"/>
    <w:rsid w:val="00DD3074"/>
    <w:rsid w:val="00DD3543"/>
    <w:rsid w:val="00DD35AB"/>
    <w:rsid w:val="00DD3C02"/>
    <w:rsid w:val="00DD3F51"/>
    <w:rsid w:val="00DD4035"/>
    <w:rsid w:val="00DD41D9"/>
    <w:rsid w:val="00DD421C"/>
    <w:rsid w:val="00DD43FF"/>
    <w:rsid w:val="00DD467D"/>
    <w:rsid w:val="00DD4C8A"/>
    <w:rsid w:val="00DD50ED"/>
    <w:rsid w:val="00DD5482"/>
    <w:rsid w:val="00DD5595"/>
    <w:rsid w:val="00DD56A4"/>
    <w:rsid w:val="00DD588C"/>
    <w:rsid w:val="00DD59F1"/>
    <w:rsid w:val="00DD5A1D"/>
    <w:rsid w:val="00DD5E35"/>
    <w:rsid w:val="00DD6165"/>
    <w:rsid w:val="00DD66D3"/>
    <w:rsid w:val="00DD67B6"/>
    <w:rsid w:val="00DD6B9B"/>
    <w:rsid w:val="00DD6CF0"/>
    <w:rsid w:val="00DD6D6F"/>
    <w:rsid w:val="00DD6FA2"/>
    <w:rsid w:val="00DD6FD2"/>
    <w:rsid w:val="00DD6FDE"/>
    <w:rsid w:val="00DD6FE3"/>
    <w:rsid w:val="00DD71BE"/>
    <w:rsid w:val="00DD72D4"/>
    <w:rsid w:val="00DD7390"/>
    <w:rsid w:val="00DD76DF"/>
    <w:rsid w:val="00DD7855"/>
    <w:rsid w:val="00DD7888"/>
    <w:rsid w:val="00DD7924"/>
    <w:rsid w:val="00DD794C"/>
    <w:rsid w:val="00DD7B7A"/>
    <w:rsid w:val="00DD7C25"/>
    <w:rsid w:val="00DD7F8B"/>
    <w:rsid w:val="00DE06E1"/>
    <w:rsid w:val="00DE0881"/>
    <w:rsid w:val="00DE0A0D"/>
    <w:rsid w:val="00DE0AE6"/>
    <w:rsid w:val="00DE0B51"/>
    <w:rsid w:val="00DE0B70"/>
    <w:rsid w:val="00DE0BC8"/>
    <w:rsid w:val="00DE0ED2"/>
    <w:rsid w:val="00DE0F79"/>
    <w:rsid w:val="00DE11C2"/>
    <w:rsid w:val="00DE1691"/>
    <w:rsid w:val="00DE1796"/>
    <w:rsid w:val="00DE1934"/>
    <w:rsid w:val="00DE19DE"/>
    <w:rsid w:val="00DE1E68"/>
    <w:rsid w:val="00DE2217"/>
    <w:rsid w:val="00DE28CD"/>
    <w:rsid w:val="00DE2972"/>
    <w:rsid w:val="00DE2A54"/>
    <w:rsid w:val="00DE2AA3"/>
    <w:rsid w:val="00DE2C40"/>
    <w:rsid w:val="00DE2E1B"/>
    <w:rsid w:val="00DE2E32"/>
    <w:rsid w:val="00DE3151"/>
    <w:rsid w:val="00DE32CC"/>
    <w:rsid w:val="00DE33B8"/>
    <w:rsid w:val="00DE3487"/>
    <w:rsid w:val="00DE34C8"/>
    <w:rsid w:val="00DE357D"/>
    <w:rsid w:val="00DE3C46"/>
    <w:rsid w:val="00DE3DF4"/>
    <w:rsid w:val="00DE3F9E"/>
    <w:rsid w:val="00DE3FED"/>
    <w:rsid w:val="00DE479B"/>
    <w:rsid w:val="00DE4880"/>
    <w:rsid w:val="00DE4952"/>
    <w:rsid w:val="00DE49AF"/>
    <w:rsid w:val="00DE4A23"/>
    <w:rsid w:val="00DE4C93"/>
    <w:rsid w:val="00DE4DB0"/>
    <w:rsid w:val="00DE5001"/>
    <w:rsid w:val="00DE51B5"/>
    <w:rsid w:val="00DE5237"/>
    <w:rsid w:val="00DE54D3"/>
    <w:rsid w:val="00DE5653"/>
    <w:rsid w:val="00DE58EA"/>
    <w:rsid w:val="00DE5E8F"/>
    <w:rsid w:val="00DE5F17"/>
    <w:rsid w:val="00DE6570"/>
    <w:rsid w:val="00DE659A"/>
    <w:rsid w:val="00DE662C"/>
    <w:rsid w:val="00DE6D65"/>
    <w:rsid w:val="00DE6FC3"/>
    <w:rsid w:val="00DE72E1"/>
    <w:rsid w:val="00DE752D"/>
    <w:rsid w:val="00DE75C3"/>
    <w:rsid w:val="00DE7657"/>
    <w:rsid w:val="00DE77F4"/>
    <w:rsid w:val="00DE7B07"/>
    <w:rsid w:val="00DE7D98"/>
    <w:rsid w:val="00DE7DC4"/>
    <w:rsid w:val="00DF0230"/>
    <w:rsid w:val="00DF0710"/>
    <w:rsid w:val="00DF076D"/>
    <w:rsid w:val="00DF0813"/>
    <w:rsid w:val="00DF0928"/>
    <w:rsid w:val="00DF0ACD"/>
    <w:rsid w:val="00DF0D77"/>
    <w:rsid w:val="00DF0EDB"/>
    <w:rsid w:val="00DF0F11"/>
    <w:rsid w:val="00DF12E2"/>
    <w:rsid w:val="00DF13A9"/>
    <w:rsid w:val="00DF16F2"/>
    <w:rsid w:val="00DF171E"/>
    <w:rsid w:val="00DF1D97"/>
    <w:rsid w:val="00DF22DE"/>
    <w:rsid w:val="00DF254D"/>
    <w:rsid w:val="00DF26C8"/>
    <w:rsid w:val="00DF2AB8"/>
    <w:rsid w:val="00DF2B89"/>
    <w:rsid w:val="00DF2D4E"/>
    <w:rsid w:val="00DF3135"/>
    <w:rsid w:val="00DF3191"/>
    <w:rsid w:val="00DF31FC"/>
    <w:rsid w:val="00DF35AE"/>
    <w:rsid w:val="00DF37D0"/>
    <w:rsid w:val="00DF3C38"/>
    <w:rsid w:val="00DF3CAA"/>
    <w:rsid w:val="00DF3F55"/>
    <w:rsid w:val="00DF4060"/>
    <w:rsid w:val="00DF433E"/>
    <w:rsid w:val="00DF445A"/>
    <w:rsid w:val="00DF4C6E"/>
    <w:rsid w:val="00DF500A"/>
    <w:rsid w:val="00DF5125"/>
    <w:rsid w:val="00DF51AC"/>
    <w:rsid w:val="00DF51DC"/>
    <w:rsid w:val="00DF52C0"/>
    <w:rsid w:val="00DF5663"/>
    <w:rsid w:val="00DF56D5"/>
    <w:rsid w:val="00DF5A63"/>
    <w:rsid w:val="00DF5A8B"/>
    <w:rsid w:val="00DF5C72"/>
    <w:rsid w:val="00DF5F1F"/>
    <w:rsid w:val="00DF5FF2"/>
    <w:rsid w:val="00DF6075"/>
    <w:rsid w:val="00DF61C9"/>
    <w:rsid w:val="00DF628A"/>
    <w:rsid w:val="00DF69E5"/>
    <w:rsid w:val="00DF6A83"/>
    <w:rsid w:val="00DF6AB0"/>
    <w:rsid w:val="00DF6D78"/>
    <w:rsid w:val="00DF6F50"/>
    <w:rsid w:val="00DF79B0"/>
    <w:rsid w:val="00DF7B3B"/>
    <w:rsid w:val="00DF7CB6"/>
    <w:rsid w:val="00E00016"/>
    <w:rsid w:val="00E00270"/>
    <w:rsid w:val="00E0047F"/>
    <w:rsid w:val="00E0055E"/>
    <w:rsid w:val="00E006A3"/>
    <w:rsid w:val="00E00B88"/>
    <w:rsid w:val="00E00C37"/>
    <w:rsid w:val="00E00D60"/>
    <w:rsid w:val="00E00DD4"/>
    <w:rsid w:val="00E01042"/>
    <w:rsid w:val="00E01161"/>
    <w:rsid w:val="00E01386"/>
    <w:rsid w:val="00E01B5E"/>
    <w:rsid w:val="00E01BDF"/>
    <w:rsid w:val="00E01EAC"/>
    <w:rsid w:val="00E02229"/>
    <w:rsid w:val="00E02372"/>
    <w:rsid w:val="00E029C1"/>
    <w:rsid w:val="00E02A81"/>
    <w:rsid w:val="00E02E0C"/>
    <w:rsid w:val="00E033EF"/>
    <w:rsid w:val="00E035D7"/>
    <w:rsid w:val="00E035EE"/>
    <w:rsid w:val="00E037CD"/>
    <w:rsid w:val="00E03887"/>
    <w:rsid w:val="00E038AE"/>
    <w:rsid w:val="00E03DE9"/>
    <w:rsid w:val="00E04158"/>
    <w:rsid w:val="00E049F2"/>
    <w:rsid w:val="00E04DAA"/>
    <w:rsid w:val="00E04EE3"/>
    <w:rsid w:val="00E050AD"/>
    <w:rsid w:val="00E0519C"/>
    <w:rsid w:val="00E053D8"/>
    <w:rsid w:val="00E054D3"/>
    <w:rsid w:val="00E05A2B"/>
    <w:rsid w:val="00E05B15"/>
    <w:rsid w:val="00E05C66"/>
    <w:rsid w:val="00E05E34"/>
    <w:rsid w:val="00E06361"/>
    <w:rsid w:val="00E06433"/>
    <w:rsid w:val="00E06787"/>
    <w:rsid w:val="00E06CED"/>
    <w:rsid w:val="00E073A1"/>
    <w:rsid w:val="00E076C8"/>
    <w:rsid w:val="00E0776F"/>
    <w:rsid w:val="00E07783"/>
    <w:rsid w:val="00E07E08"/>
    <w:rsid w:val="00E07F59"/>
    <w:rsid w:val="00E103B5"/>
    <w:rsid w:val="00E105D6"/>
    <w:rsid w:val="00E108BD"/>
    <w:rsid w:val="00E10958"/>
    <w:rsid w:val="00E10A71"/>
    <w:rsid w:val="00E10A78"/>
    <w:rsid w:val="00E10CF4"/>
    <w:rsid w:val="00E11168"/>
    <w:rsid w:val="00E112C1"/>
    <w:rsid w:val="00E11389"/>
    <w:rsid w:val="00E114B1"/>
    <w:rsid w:val="00E115B9"/>
    <w:rsid w:val="00E116E5"/>
    <w:rsid w:val="00E117D4"/>
    <w:rsid w:val="00E1189C"/>
    <w:rsid w:val="00E1195A"/>
    <w:rsid w:val="00E11EEB"/>
    <w:rsid w:val="00E120BD"/>
    <w:rsid w:val="00E1253F"/>
    <w:rsid w:val="00E126EC"/>
    <w:rsid w:val="00E12813"/>
    <w:rsid w:val="00E129A6"/>
    <w:rsid w:val="00E129F4"/>
    <w:rsid w:val="00E12B7E"/>
    <w:rsid w:val="00E12BD3"/>
    <w:rsid w:val="00E12BDB"/>
    <w:rsid w:val="00E12CDB"/>
    <w:rsid w:val="00E137C9"/>
    <w:rsid w:val="00E13BD8"/>
    <w:rsid w:val="00E13F58"/>
    <w:rsid w:val="00E140C3"/>
    <w:rsid w:val="00E14368"/>
    <w:rsid w:val="00E14383"/>
    <w:rsid w:val="00E144D1"/>
    <w:rsid w:val="00E145B6"/>
    <w:rsid w:val="00E145FF"/>
    <w:rsid w:val="00E1463C"/>
    <w:rsid w:val="00E14681"/>
    <w:rsid w:val="00E153E5"/>
    <w:rsid w:val="00E15596"/>
    <w:rsid w:val="00E156F0"/>
    <w:rsid w:val="00E15720"/>
    <w:rsid w:val="00E1593A"/>
    <w:rsid w:val="00E1603D"/>
    <w:rsid w:val="00E16364"/>
    <w:rsid w:val="00E16450"/>
    <w:rsid w:val="00E165A4"/>
    <w:rsid w:val="00E165A8"/>
    <w:rsid w:val="00E16700"/>
    <w:rsid w:val="00E16D1B"/>
    <w:rsid w:val="00E16E8A"/>
    <w:rsid w:val="00E16F14"/>
    <w:rsid w:val="00E171D3"/>
    <w:rsid w:val="00E1791F"/>
    <w:rsid w:val="00E17C28"/>
    <w:rsid w:val="00E17DF5"/>
    <w:rsid w:val="00E17EC0"/>
    <w:rsid w:val="00E200CA"/>
    <w:rsid w:val="00E20142"/>
    <w:rsid w:val="00E208E1"/>
    <w:rsid w:val="00E20929"/>
    <w:rsid w:val="00E209EE"/>
    <w:rsid w:val="00E20B7C"/>
    <w:rsid w:val="00E20C1F"/>
    <w:rsid w:val="00E20F17"/>
    <w:rsid w:val="00E20F40"/>
    <w:rsid w:val="00E210BA"/>
    <w:rsid w:val="00E2145E"/>
    <w:rsid w:val="00E21AA8"/>
    <w:rsid w:val="00E21B36"/>
    <w:rsid w:val="00E21C18"/>
    <w:rsid w:val="00E22356"/>
    <w:rsid w:val="00E22370"/>
    <w:rsid w:val="00E22A2E"/>
    <w:rsid w:val="00E22C12"/>
    <w:rsid w:val="00E22DF8"/>
    <w:rsid w:val="00E22E19"/>
    <w:rsid w:val="00E233F7"/>
    <w:rsid w:val="00E23588"/>
    <w:rsid w:val="00E235B8"/>
    <w:rsid w:val="00E2361E"/>
    <w:rsid w:val="00E237D1"/>
    <w:rsid w:val="00E23972"/>
    <w:rsid w:val="00E23AF3"/>
    <w:rsid w:val="00E23B9A"/>
    <w:rsid w:val="00E23C09"/>
    <w:rsid w:val="00E23C39"/>
    <w:rsid w:val="00E2411F"/>
    <w:rsid w:val="00E242AF"/>
    <w:rsid w:val="00E242BE"/>
    <w:rsid w:val="00E24307"/>
    <w:rsid w:val="00E243A1"/>
    <w:rsid w:val="00E243CA"/>
    <w:rsid w:val="00E24436"/>
    <w:rsid w:val="00E246F8"/>
    <w:rsid w:val="00E24753"/>
    <w:rsid w:val="00E24CE6"/>
    <w:rsid w:val="00E24FAD"/>
    <w:rsid w:val="00E2527F"/>
    <w:rsid w:val="00E2542D"/>
    <w:rsid w:val="00E256FC"/>
    <w:rsid w:val="00E2583C"/>
    <w:rsid w:val="00E25877"/>
    <w:rsid w:val="00E25B54"/>
    <w:rsid w:val="00E25CFB"/>
    <w:rsid w:val="00E2606D"/>
    <w:rsid w:val="00E26551"/>
    <w:rsid w:val="00E26580"/>
    <w:rsid w:val="00E26B79"/>
    <w:rsid w:val="00E26D6B"/>
    <w:rsid w:val="00E26D92"/>
    <w:rsid w:val="00E2713C"/>
    <w:rsid w:val="00E2737D"/>
    <w:rsid w:val="00E274ED"/>
    <w:rsid w:val="00E27695"/>
    <w:rsid w:val="00E279B4"/>
    <w:rsid w:val="00E27A20"/>
    <w:rsid w:val="00E27BF8"/>
    <w:rsid w:val="00E27C3E"/>
    <w:rsid w:val="00E27FAB"/>
    <w:rsid w:val="00E30232"/>
    <w:rsid w:val="00E306D3"/>
    <w:rsid w:val="00E30700"/>
    <w:rsid w:val="00E30850"/>
    <w:rsid w:val="00E30A8D"/>
    <w:rsid w:val="00E30B11"/>
    <w:rsid w:val="00E3144A"/>
    <w:rsid w:val="00E3156B"/>
    <w:rsid w:val="00E316F4"/>
    <w:rsid w:val="00E3189A"/>
    <w:rsid w:val="00E319EE"/>
    <w:rsid w:val="00E31AF5"/>
    <w:rsid w:val="00E31B69"/>
    <w:rsid w:val="00E31C7B"/>
    <w:rsid w:val="00E31CBC"/>
    <w:rsid w:val="00E31E41"/>
    <w:rsid w:val="00E31E67"/>
    <w:rsid w:val="00E31E71"/>
    <w:rsid w:val="00E32035"/>
    <w:rsid w:val="00E320B3"/>
    <w:rsid w:val="00E3287D"/>
    <w:rsid w:val="00E32D24"/>
    <w:rsid w:val="00E33209"/>
    <w:rsid w:val="00E33888"/>
    <w:rsid w:val="00E33973"/>
    <w:rsid w:val="00E34026"/>
    <w:rsid w:val="00E340CA"/>
    <w:rsid w:val="00E341A6"/>
    <w:rsid w:val="00E3448B"/>
    <w:rsid w:val="00E34652"/>
    <w:rsid w:val="00E3479C"/>
    <w:rsid w:val="00E34BB1"/>
    <w:rsid w:val="00E354C3"/>
    <w:rsid w:val="00E35818"/>
    <w:rsid w:val="00E35875"/>
    <w:rsid w:val="00E35DC1"/>
    <w:rsid w:val="00E35E7E"/>
    <w:rsid w:val="00E35EE1"/>
    <w:rsid w:val="00E35FB7"/>
    <w:rsid w:val="00E36279"/>
    <w:rsid w:val="00E36510"/>
    <w:rsid w:val="00E36525"/>
    <w:rsid w:val="00E369A3"/>
    <w:rsid w:val="00E36AE8"/>
    <w:rsid w:val="00E36C32"/>
    <w:rsid w:val="00E36C9D"/>
    <w:rsid w:val="00E37111"/>
    <w:rsid w:val="00E375D0"/>
    <w:rsid w:val="00E375D2"/>
    <w:rsid w:val="00E376EE"/>
    <w:rsid w:val="00E379D3"/>
    <w:rsid w:val="00E37E27"/>
    <w:rsid w:val="00E37F4A"/>
    <w:rsid w:val="00E40044"/>
    <w:rsid w:val="00E40628"/>
    <w:rsid w:val="00E40CD4"/>
    <w:rsid w:val="00E40D2A"/>
    <w:rsid w:val="00E40D3E"/>
    <w:rsid w:val="00E40DF1"/>
    <w:rsid w:val="00E40FDF"/>
    <w:rsid w:val="00E40FF8"/>
    <w:rsid w:val="00E4120E"/>
    <w:rsid w:val="00E4157A"/>
    <w:rsid w:val="00E4184D"/>
    <w:rsid w:val="00E41854"/>
    <w:rsid w:val="00E41A7C"/>
    <w:rsid w:val="00E41A7E"/>
    <w:rsid w:val="00E41D5A"/>
    <w:rsid w:val="00E41E11"/>
    <w:rsid w:val="00E41E28"/>
    <w:rsid w:val="00E42592"/>
    <w:rsid w:val="00E4260A"/>
    <w:rsid w:val="00E426C6"/>
    <w:rsid w:val="00E426F1"/>
    <w:rsid w:val="00E42878"/>
    <w:rsid w:val="00E429BC"/>
    <w:rsid w:val="00E42A66"/>
    <w:rsid w:val="00E42C60"/>
    <w:rsid w:val="00E42C79"/>
    <w:rsid w:val="00E42CF9"/>
    <w:rsid w:val="00E42E01"/>
    <w:rsid w:val="00E432E0"/>
    <w:rsid w:val="00E43510"/>
    <w:rsid w:val="00E43CA9"/>
    <w:rsid w:val="00E43DF6"/>
    <w:rsid w:val="00E43EE6"/>
    <w:rsid w:val="00E44005"/>
    <w:rsid w:val="00E444D1"/>
    <w:rsid w:val="00E44541"/>
    <w:rsid w:val="00E449EA"/>
    <w:rsid w:val="00E44D03"/>
    <w:rsid w:val="00E44E2C"/>
    <w:rsid w:val="00E44E76"/>
    <w:rsid w:val="00E454E4"/>
    <w:rsid w:val="00E4582E"/>
    <w:rsid w:val="00E45A34"/>
    <w:rsid w:val="00E45AE5"/>
    <w:rsid w:val="00E45B99"/>
    <w:rsid w:val="00E45BA3"/>
    <w:rsid w:val="00E45D64"/>
    <w:rsid w:val="00E466C1"/>
    <w:rsid w:val="00E46901"/>
    <w:rsid w:val="00E469BE"/>
    <w:rsid w:val="00E46D77"/>
    <w:rsid w:val="00E46DBF"/>
    <w:rsid w:val="00E47014"/>
    <w:rsid w:val="00E47286"/>
    <w:rsid w:val="00E47449"/>
    <w:rsid w:val="00E4751F"/>
    <w:rsid w:val="00E47A7E"/>
    <w:rsid w:val="00E47AB6"/>
    <w:rsid w:val="00E47B0A"/>
    <w:rsid w:val="00E47BD7"/>
    <w:rsid w:val="00E47BFE"/>
    <w:rsid w:val="00E47D65"/>
    <w:rsid w:val="00E47DB8"/>
    <w:rsid w:val="00E5032D"/>
    <w:rsid w:val="00E50754"/>
    <w:rsid w:val="00E50883"/>
    <w:rsid w:val="00E50AC0"/>
    <w:rsid w:val="00E50B2A"/>
    <w:rsid w:val="00E50B35"/>
    <w:rsid w:val="00E50BCD"/>
    <w:rsid w:val="00E50F25"/>
    <w:rsid w:val="00E51128"/>
    <w:rsid w:val="00E5166B"/>
    <w:rsid w:val="00E518B0"/>
    <w:rsid w:val="00E51ABA"/>
    <w:rsid w:val="00E51ACC"/>
    <w:rsid w:val="00E5236D"/>
    <w:rsid w:val="00E52485"/>
    <w:rsid w:val="00E525A7"/>
    <w:rsid w:val="00E52904"/>
    <w:rsid w:val="00E52A16"/>
    <w:rsid w:val="00E52B68"/>
    <w:rsid w:val="00E52F72"/>
    <w:rsid w:val="00E53191"/>
    <w:rsid w:val="00E53216"/>
    <w:rsid w:val="00E5365A"/>
    <w:rsid w:val="00E53F04"/>
    <w:rsid w:val="00E541B6"/>
    <w:rsid w:val="00E54A23"/>
    <w:rsid w:val="00E54E91"/>
    <w:rsid w:val="00E54F65"/>
    <w:rsid w:val="00E550BB"/>
    <w:rsid w:val="00E551B7"/>
    <w:rsid w:val="00E55634"/>
    <w:rsid w:val="00E55647"/>
    <w:rsid w:val="00E55A15"/>
    <w:rsid w:val="00E55BAF"/>
    <w:rsid w:val="00E560F9"/>
    <w:rsid w:val="00E56147"/>
    <w:rsid w:val="00E562F9"/>
    <w:rsid w:val="00E56444"/>
    <w:rsid w:val="00E564DA"/>
    <w:rsid w:val="00E566FD"/>
    <w:rsid w:val="00E5677B"/>
    <w:rsid w:val="00E56878"/>
    <w:rsid w:val="00E56994"/>
    <w:rsid w:val="00E569E0"/>
    <w:rsid w:val="00E56AC3"/>
    <w:rsid w:val="00E56AC6"/>
    <w:rsid w:val="00E56FDE"/>
    <w:rsid w:val="00E572FE"/>
    <w:rsid w:val="00E573A3"/>
    <w:rsid w:val="00E574B6"/>
    <w:rsid w:val="00E57775"/>
    <w:rsid w:val="00E57812"/>
    <w:rsid w:val="00E57C2F"/>
    <w:rsid w:val="00E57CDB"/>
    <w:rsid w:val="00E57F07"/>
    <w:rsid w:val="00E57F62"/>
    <w:rsid w:val="00E6011D"/>
    <w:rsid w:val="00E60122"/>
    <w:rsid w:val="00E601F5"/>
    <w:rsid w:val="00E60767"/>
    <w:rsid w:val="00E608BE"/>
    <w:rsid w:val="00E608DE"/>
    <w:rsid w:val="00E60902"/>
    <w:rsid w:val="00E60C83"/>
    <w:rsid w:val="00E60D24"/>
    <w:rsid w:val="00E60F51"/>
    <w:rsid w:val="00E60F5E"/>
    <w:rsid w:val="00E6104B"/>
    <w:rsid w:val="00E61132"/>
    <w:rsid w:val="00E611D7"/>
    <w:rsid w:val="00E6121B"/>
    <w:rsid w:val="00E61380"/>
    <w:rsid w:val="00E614A2"/>
    <w:rsid w:val="00E614BB"/>
    <w:rsid w:val="00E61588"/>
    <w:rsid w:val="00E615B8"/>
    <w:rsid w:val="00E61C2C"/>
    <w:rsid w:val="00E61E29"/>
    <w:rsid w:val="00E6200C"/>
    <w:rsid w:val="00E620C7"/>
    <w:rsid w:val="00E62166"/>
    <w:rsid w:val="00E6241C"/>
    <w:rsid w:val="00E6243D"/>
    <w:rsid w:val="00E6267D"/>
    <w:rsid w:val="00E62866"/>
    <w:rsid w:val="00E62A44"/>
    <w:rsid w:val="00E62D1D"/>
    <w:rsid w:val="00E62DF7"/>
    <w:rsid w:val="00E62E0B"/>
    <w:rsid w:val="00E6335A"/>
    <w:rsid w:val="00E633B7"/>
    <w:rsid w:val="00E639AA"/>
    <w:rsid w:val="00E63A82"/>
    <w:rsid w:val="00E63BDA"/>
    <w:rsid w:val="00E63E3A"/>
    <w:rsid w:val="00E6434A"/>
    <w:rsid w:val="00E64573"/>
    <w:rsid w:val="00E6457F"/>
    <w:rsid w:val="00E649BF"/>
    <w:rsid w:val="00E64BA9"/>
    <w:rsid w:val="00E64BE7"/>
    <w:rsid w:val="00E64D50"/>
    <w:rsid w:val="00E64DCB"/>
    <w:rsid w:val="00E65080"/>
    <w:rsid w:val="00E65157"/>
    <w:rsid w:val="00E6526D"/>
    <w:rsid w:val="00E6527D"/>
    <w:rsid w:val="00E6538A"/>
    <w:rsid w:val="00E6546E"/>
    <w:rsid w:val="00E654A8"/>
    <w:rsid w:val="00E65549"/>
    <w:rsid w:val="00E655B5"/>
    <w:rsid w:val="00E65643"/>
    <w:rsid w:val="00E65690"/>
    <w:rsid w:val="00E65882"/>
    <w:rsid w:val="00E65B04"/>
    <w:rsid w:val="00E65BF0"/>
    <w:rsid w:val="00E661A6"/>
    <w:rsid w:val="00E661B5"/>
    <w:rsid w:val="00E66266"/>
    <w:rsid w:val="00E6626C"/>
    <w:rsid w:val="00E6631B"/>
    <w:rsid w:val="00E66609"/>
    <w:rsid w:val="00E6665C"/>
    <w:rsid w:val="00E667EB"/>
    <w:rsid w:val="00E668FB"/>
    <w:rsid w:val="00E66A57"/>
    <w:rsid w:val="00E66B1E"/>
    <w:rsid w:val="00E66B72"/>
    <w:rsid w:val="00E66CE1"/>
    <w:rsid w:val="00E66F16"/>
    <w:rsid w:val="00E67065"/>
    <w:rsid w:val="00E670AF"/>
    <w:rsid w:val="00E674F0"/>
    <w:rsid w:val="00E67807"/>
    <w:rsid w:val="00E67BA4"/>
    <w:rsid w:val="00E67C6F"/>
    <w:rsid w:val="00E67D87"/>
    <w:rsid w:val="00E67E47"/>
    <w:rsid w:val="00E70077"/>
    <w:rsid w:val="00E70119"/>
    <w:rsid w:val="00E70478"/>
    <w:rsid w:val="00E70538"/>
    <w:rsid w:val="00E70691"/>
    <w:rsid w:val="00E70976"/>
    <w:rsid w:val="00E71467"/>
    <w:rsid w:val="00E715D1"/>
    <w:rsid w:val="00E716B1"/>
    <w:rsid w:val="00E71914"/>
    <w:rsid w:val="00E71B26"/>
    <w:rsid w:val="00E71C3B"/>
    <w:rsid w:val="00E71D45"/>
    <w:rsid w:val="00E71E4C"/>
    <w:rsid w:val="00E72016"/>
    <w:rsid w:val="00E72381"/>
    <w:rsid w:val="00E72551"/>
    <w:rsid w:val="00E7290D"/>
    <w:rsid w:val="00E72B27"/>
    <w:rsid w:val="00E72B39"/>
    <w:rsid w:val="00E72FFE"/>
    <w:rsid w:val="00E73019"/>
    <w:rsid w:val="00E73042"/>
    <w:rsid w:val="00E731A3"/>
    <w:rsid w:val="00E731D7"/>
    <w:rsid w:val="00E736A5"/>
    <w:rsid w:val="00E73A2F"/>
    <w:rsid w:val="00E73B3E"/>
    <w:rsid w:val="00E73B81"/>
    <w:rsid w:val="00E73C8D"/>
    <w:rsid w:val="00E73D9D"/>
    <w:rsid w:val="00E74063"/>
    <w:rsid w:val="00E74086"/>
    <w:rsid w:val="00E7413D"/>
    <w:rsid w:val="00E7422B"/>
    <w:rsid w:val="00E7425F"/>
    <w:rsid w:val="00E743E7"/>
    <w:rsid w:val="00E74652"/>
    <w:rsid w:val="00E74662"/>
    <w:rsid w:val="00E74C3E"/>
    <w:rsid w:val="00E753C7"/>
    <w:rsid w:val="00E75463"/>
    <w:rsid w:val="00E75636"/>
    <w:rsid w:val="00E75797"/>
    <w:rsid w:val="00E75B31"/>
    <w:rsid w:val="00E75C03"/>
    <w:rsid w:val="00E75C12"/>
    <w:rsid w:val="00E760EF"/>
    <w:rsid w:val="00E76A06"/>
    <w:rsid w:val="00E76A57"/>
    <w:rsid w:val="00E76CC6"/>
    <w:rsid w:val="00E76F2E"/>
    <w:rsid w:val="00E76F72"/>
    <w:rsid w:val="00E770FF"/>
    <w:rsid w:val="00E77109"/>
    <w:rsid w:val="00E771BC"/>
    <w:rsid w:val="00E772D3"/>
    <w:rsid w:val="00E77630"/>
    <w:rsid w:val="00E778FC"/>
    <w:rsid w:val="00E7795F"/>
    <w:rsid w:val="00E77EBA"/>
    <w:rsid w:val="00E800C7"/>
    <w:rsid w:val="00E80518"/>
    <w:rsid w:val="00E80883"/>
    <w:rsid w:val="00E8102E"/>
    <w:rsid w:val="00E81111"/>
    <w:rsid w:val="00E81822"/>
    <w:rsid w:val="00E818DE"/>
    <w:rsid w:val="00E81F32"/>
    <w:rsid w:val="00E81FEF"/>
    <w:rsid w:val="00E82126"/>
    <w:rsid w:val="00E82192"/>
    <w:rsid w:val="00E821DB"/>
    <w:rsid w:val="00E822FD"/>
    <w:rsid w:val="00E82345"/>
    <w:rsid w:val="00E823FA"/>
    <w:rsid w:val="00E82634"/>
    <w:rsid w:val="00E82956"/>
    <w:rsid w:val="00E82AE3"/>
    <w:rsid w:val="00E82DDD"/>
    <w:rsid w:val="00E82F7A"/>
    <w:rsid w:val="00E82FA7"/>
    <w:rsid w:val="00E83092"/>
    <w:rsid w:val="00E8330D"/>
    <w:rsid w:val="00E835DB"/>
    <w:rsid w:val="00E843B3"/>
    <w:rsid w:val="00E84B00"/>
    <w:rsid w:val="00E84B3F"/>
    <w:rsid w:val="00E84C34"/>
    <w:rsid w:val="00E84D96"/>
    <w:rsid w:val="00E84EAC"/>
    <w:rsid w:val="00E84F07"/>
    <w:rsid w:val="00E851FC"/>
    <w:rsid w:val="00E8535B"/>
    <w:rsid w:val="00E8536B"/>
    <w:rsid w:val="00E858A4"/>
    <w:rsid w:val="00E858AB"/>
    <w:rsid w:val="00E85983"/>
    <w:rsid w:val="00E85A87"/>
    <w:rsid w:val="00E85E22"/>
    <w:rsid w:val="00E85E9E"/>
    <w:rsid w:val="00E85ECD"/>
    <w:rsid w:val="00E862EC"/>
    <w:rsid w:val="00E86584"/>
    <w:rsid w:val="00E86978"/>
    <w:rsid w:val="00E86A7D"/>
    <w:rsid w:val="00E86D9B"/>
    <w:rsid w:val="00E87440"/>
    <w:rsid w:val="00E87463"/>
    <w:rsid w:val="00E87560"/>
    <w:rsid w:val="00E87630"/>
    <w:rsid w:val="00E877D5"/>
    <w:rsid w:val="00E878E0"/>
    <w:rsid w:val="00E878F8"/>
    <w:rsid w:val="00E87A65"/>
    <w:rsid w:val="00E87B58"/>
    <w:rsid w:val="00E87C61"/>
    <w:rsid w:val="00E90058"/>
    <w:rsid w:val="00E90574"/>
    <w:rsid w:val="00E90595"/>
    <w:rsid w:val="00E907D7"/>
    <w:rsid w:val="00E908C0"/>
    <w:rsid w:val="00E90908"/>
    <w:rsid w:val="00E90BAD"/>
    <w:rsid w:val="00E91079"/>
    <w:rsid w:val="00E9144C"/>
    <w:rsid w:val="00E9158C"/>
    <w:rsid w:val="00E91595"/>
    <w:rsid w:val="00E91D3C"/>
    <w:rsid w:val="00E91DF8"/>
    <w:rsid w:val="00E91F69"/>
    <w:rsid w:val="00E920B4"/>
    <w:rsid w:val="00E920E8"/>
    <w:rsid w:val="00E9231C"/>
    <w:rsid w:val="00E9253A"/>
    <w:rsid w:val="00E925C0"/>
    <w:rsid w:val="00E92944"/>
    <w:rsid w:val="00E929CE"/>
    <w:rsid w:val="00E92FAF"/>
    <w:rsid w:val="00E93078"/>
    <w:rsid w:val="00E93096"/>
    <w:rsid w:val="00E93119"/>
    <w:rsid w:val="00E931AF"/>
    <w:rsid w:val="00E93513"/>
    <w:rsid w:val="00E93591"/>
    <w:rsid w:val="00E93716"/>
    <w:rsid w:val="00E9379F"/>
    <w:rsid w:val="00E9398B"/>
    <w:rsid w:val="00E93BA3"/>
    <w:rsid w:val="00E93BAC"/>
    <w:rsid w:val="00E93CEB"/>
    <w:rsid w:val="00E941E1"/>
    <w:rsid w:val="00E94434"/>
    <w:rsid w:val="00E94704"/>
    <w:rsid w:val="00E947FE"/>
    <w:rsid w:val="00E949E5"/>
    <w:rsid w:val="00E94F05"/>
    <w:rsid w:val="00E95079"/>
    <w:rsid w:val="00E95254"/>
    <w:rsid w:val="00E95278"/>
    <w:rsid w:val="00E95369"/>
    <w:rsid w:val="00E95651"/>
    <w:rsid w:val="00E956A9"/>
    <w:rsid w:val="00E9578F"/>
    <w:rsid w:val="00E958F6"/>
    <w:rsid w:val="00E95D58"/>
    <w:rsid w:val="00E962D6"/>
    <w:rsid w:val="00E96780"/>
    <w:rsid w:val="00E96AA9"/>
    <w:rsid w:val="00E970BD"/>
    <w:rsid w:val="00E971CC"/>
    <w:rsid w:val="00E97222"/>
    <w:rsid w:val="00E97318"/>
    <w:rsid w:val="00E974A6"/>
    <w:rsid w:val="00E978B4"/>
    <w:rsid w:val="00E978ED"/>
    <w:rsid w:val="00E97B60"/>
    <w:rsid w:val="00EA0218"/>
    <w:rsid w:val="00EA043E"/>
    <w:rsid w:val="00EA0623"/>
    <w:rsid w:val="00EA09E0"/>
    <w:rsid w:val="00EA0A88"/>
    <w:rsid w:val="00EA0C81"/>
    <w:rsid w:val="00EA0CE3"/>
    <w:rsid w:val="00EA0FA2"/>
    <w:rsid w:val="00EA102C"/>
    <w:rsid w:val="00EA1113"/>
    <w:rsid w:val="00EA17A1"/>
    <w:rsid w:val="00EA1897"/>
    <w:rsid w:val="00EA19AB"/>
    <w:rsid w:val="00EA1AED"/>
    <w:rsid w:val="00EA1B62"/>
    <w:rsid w:val="00EA1B77"/>
    <w:rsid w:val="00EA2239"/>
    <w:rsid w:val="00EA2436"/>
    <w:rsid w:val="00EA26F8"/>
    <w:rsid w:val="00EA278C"/>
    <w:rsid w:val="00EA288C"/>
    <w:rsid w:val="00EA29B3"/>
    <w:rsid w:val="00EA2B11"/>
    <w:rsid w:val="00EA2DFC"/>
    <w:rsid w:val="00EA2E04"/>
    <w:rsid w:val="00EA2E99"/>
    <w:rsid w:val="00EA3058"/>
    <w:rsid w:val="00EA30C3"/>
    <w:rsid w:val="00EA331E"/>
    <w:rsid w:val="00EA33F8"/>
    <w:rsid w:val="00EA344A"/>
    <w:rsid w:val="00EA35C4"/>
    <w:rsid w:val="00EA3719"/>
    <w:rsid w:val="00EA39B8"/>
    <w:rsid w:val="00EA3CE0"/>
    <w:rsid w:val="00EA424C"/>
    <w:rsid w:val="00EA4282"/>
    <w:rsid w:val="00EA45AD"/>
    <w:rsid w:val="00EA45EF"/>
    <w:rsid w:val="00EA476E"/>
    <w:rsid w:val="00EA4841"/>
    <w:rsid w:val="00EA4857"/>
    <w:rsid w:val="00EA4910"/>
    <w:rsid w:val="00EA548E"/>
    <w:rsid w:val="00EA54FE"/>
    <w:rsid w:val="00EA5911"/>
    <w:rsid w:val="00EA5B5C"/>
    <w:rsid w:val="00EA5C64"/>
    <w:rsid w:val="00EA61E3"/>
    <w:rsid w:val="00EA6729"/>
    <w:rsid w:val="00EA6962"/>
    <w:rsid w:val="00EA6A61"/>
    <w:rsid w:val="00EA6B1C"/>
    <w:rsid w:val="00EA6BB0"/>
    <w:rsid w:val="00EA6BBF"/>
    <w:rsid w:val="00EA6BFD"/>
    <w:rsid w:val="00EA6FC8"/>
    <w:rsid w:val="00EA721E"/>
    <w:rsid w:val="00EA72B4"/>
    <w:rsid w:val="00EA736B"/>
    <w:rsid w:val="00EA7660"/>
    <w:rsid w:val="00EA77C6"/>
    <w:rsid w:val="00EA785B"/>
    <w:rsid w:val="00EA79B3"/>
    <w:rsid w:val="00EA7C56"/>
    <w:rsid w:val="00EA7C86"/>
    <w:rsid w:val="00EA7D77"/>
    <w:rsid w:val="00EA7D9F"/>
    <w:rsid w:val="00EA7E85"/>
    <w:rsid w:val="00EA7EE1"/>
    <w:rsid w:val="00EB0200"/>
    <w:rsid w:val="00EB0233"/>
    <w:rsid w:val="00EB0550"/>
    <w:rsid w:val="00EB0747"/>
    <w:rsid w:val="00EB0A1A"/>
    <w:rsid w:val="00EB0A52"/>
    <w:rsid w:val="00EB0FBA"/>
    <w:rsid w:val="00EB15CB"/>
    <w:rsid w:val="00EB16A4"/>
    <w:rsid w:val="00EB1B9C"/>
    <w:rsid w:val="00EB1D4E"/>
    <w:rsid w:val="00EB1EA8"/>
    <w:rsid w:val="00EB1FD2"/>
    <w:rsid w:val="00EB29FD"/>
    <w:rsid w:val="00EB2F0A"/>
    <w:rsid w:val="00EB307B"/>
    <w:rsid w:val="00EB3A97"/>
    <w:rsid w:val="00EB3BB8"/>
    <w:rsid w:val="00EB3CEB"/>
    <w:rsid w:val="00EB3D97"/>
    <w:rsid w:val="00EB3FED"/>
    <w:rsid w:val="00EB4168"/>
    <w:rsid w:val="00EB429A"/>
    <w:rsid w:val="00EB454A"/>
    <w:rsid w:val="00EB471B"/>
    <w:rsid w:val="00EB4740"/>
    <w:rsid w:val="00EB47BB"/>
    <w:rsid w:val="00EB4EE6"/>
    <w:rsid w:val="00EB4FA3"/>
    <w:rsid w:val="00EB5153"/>
    <w:rsid w:val="00EB5287"/>
    <w:rsid w:val="00EB52D6"/>
    <w:rsid w:val="00EB540A"/>
    <w:rsid w:val="00EB5413"/>
    <w:rsid w:val="00EB562F"/>
    <w:rsid w:val="00EB5762"/>
    <w:rsid w:val="00EB5816"/>
    <w:rsid w:val="00EB5B32"/>
    <w:rsid w:val="00EB5BC7"/>
    <w:rsid w:val="00EB5CA6"/>
    <w:rsid w:val="00EB6325"/>
    <w:rsid w:val="00EB6999"/>
    <w:rsid w:val="00EB6A3A"/>
    <w:rsid w:val="00EB6AAF"/>
    <w:rsid w:val="00EB6BBF"/>
    <w:rsid w:val="00EB6C20"/>
    <w:rsid w:val="00EB6C27"/>
    <w:rsid w:val="00EB70A7"/>
    <w:rsid w:val="00EB72BD"/>
    <w:rsid w:val="00EB72DE"/>
    <w:rsid w:val="00EB756A"/>
    <w:rsid w:val="00EB75A6"/>
    <w:rsid w:val="00EB7951"/>
    <w:rsid w:val="00EB7BFD"/>
    <w:rsid w:val="00EC0759"/>
    <w:rsid w:val="00EC08F5"/>
    <w:rsid w:val="00EC0ACA"/>
    <w:rsid w:val="00EC0B36"/>
    <w:rsid w:val="00EC0FA1"/>
    <w:rsid w:val="00EC12FC"/>
    <w:rsid w:val="00EC1320"/>
    <w:rsid w:val="00EC137D"/>
    <w:rsid w:val="00EC1506"/>
    <w:rsid w:val="00EC150B"/>
    <w:rsid w:val="00EC1650"/>
    <w:rsid w:val="00EC1CED"/>
    <w:rsid w:val="00EC1D6F"/>
    <w:rsid w:val="00EC1F32"/>
    <w:rsid w:val="00EC21C6"/>
    <w:rsid w:val="00EC21FD"/>
    <w:rsid w:val="00EC22D7"/>
    <w:rsid w:val="00EC2337"/>
    <w:rsid w:val="00EC2402"/>
    <w:rsid w:val="00EC2510"/>
    <w:rsid w:val="00EC2604"/>
    <w:rsid w:val="00EC2684"/>
    <w:rsid w:val="00EC2841"/>
    <w:rsid w:val="00EC3040"/>
    <w:rsid w:val="00EC3D5D"/>
    <w:rsid w:val="00EC3EAD"/>
    <w:rsid w:val="00EC3F2B"/>
    <w:rsid w:val="00EC3F57"/>
    <w:rsid w:val="00EC4025"/>
    <w:rsid w:val="00EC437A"/>
    <w:rsid w:val="00EC43C1"/>
    <w:rsid w:val="00EC442A"/>
    <w:rsid w:val="00EC46EE"/>
    <w:rsid w:val="00EC4910"/>
    <w:rsid w:val="00EC4B9A"/>
    <w:rsid w:val="00EC4C02"/>
    <w:rsid w:val="00EC5082"/>
    <w:rsid w:val="00EC53E4"/>
    <w:rsid w:val="00EC56C7"/>
    <w:rsid w:val="00EC59B9"/>
    <w:rsid w:val="00EC5F72"/>
    <w:rsid w:val="00EC6269"/>
    <w:rsid w:val="00EC645E"/>
    <w:rsid w:val="00EC64CE"/>
    <w:rsid w:val="00EC6763"/>
    <w:rsid w:val="00EC68B0"/>
    <w:rsid w:val="00EC692B"/>
    <w:rsid w:val="00EC69CC"/>
    <w:rsid w:val="00EC6A26"/>
    <w:rsid w:val="00EC708E"/>
    <w:rsid w:val="00EC726D"/>
    <w:rsid w:val="00EC753E"/>
    <w:rsid w:val="00EC756B"/>
    <w:rsid w:val="00EC75CA"/>
    <w:rsid w:val="00EC7868"/>
    <w:rsid w:val="00EC7C39"/>
    <w:rsid w:val="00EC7F17"/>
    <w:rsid w:val="00ED01A3"/>
    <w:rsid w:val="00ED02DC"/>
    <w:rsid w:val="00ED02ED"/>
    <w:rsid w:val="00ED03A1"/>
    <w:rsid w:val="00ED0405"/>
    <w:rsid w:val="00ED048D"/>
    <w:rsid w:val="00ED0842"/>
    <w:rsid w:val="00ED0B31"/>
    <w:rsid w:val="00ED0B6B"/>
    <w:rsid w:val="00ED0D80"/>
    <w:rsid w:val="00ED0EEB"/>
    <w:rsid w:val="00ED1013"/>
    <w:rsid w:val="00ED11BC"/>
    <w:rsid w:val="00ED1225"/>
    <w:rsid w:val="00ED123B"/>
    <w:rsid w:val="00ED12F1"/>
    <w:rsid w:val="00ED1321"/>
    <w:rsid w:val="00ED149E"/>
    <w:rsid w:val="00ED170C"/>
    <w:rsid w:val="00ED1D7C"/>
    <w:rsid w:val="00ED2021"/>
    <w:rsid w:val="00ED21BD"/>
    <w:rsid w:val="00ED27B5"/>
    <w:rsid w:val="00ED27DC"/>
    <w:rsid w:val="00ED27EE"/>
    <w:rsid w:val="00ED2826"/>
    <w:rsid w:val="00ED2990"/>
    <w:rsid w:val="00ED2ACA"/>
    <w:rsid w:val="00ED2E33"/>
    <w:rsid w:val="00ED333A"/>
    <w:rsid w:val="00ED369A"/>
    <w:rsid w:val="00ED370C"/>
    <w:rsid w:val="00ED3B29"/>
    <w:rsid w:val="00ED3F48"/>
    <w:rsid w:val="00ED4190"/>
    <w:rsid w:val="00ED461C"/>
    <w:rsid w:val="00ED47F1"/>
    <w:rsid w:val="00ED4C94"/>
    <w:rsid w:val="00ED4D2F"/>
    <w:rsid w:val="00ED4DE0"/>
    <w:rsid w:val="00ED4E40"/>
    <w:rsid w:val="00ED4F75"/>
    <w:rsid w:val="00ED4FDA"/>
    <w:rsid w:val="00ED513F"/>
    <w:rsid w:val="00ED5304"/>
    <w:rsid w:val="00ED5884"/>
    <w:rsid w:val="00ED598E"/>
    <w:rsid w:val="00ED5EDE"/>
    <w:rsid w:val="00ED61F8"/>
    <w:rsid w:val="00ED6492"/>
    <w:rsid w:val="00ED65CC"/>
    <w:rsid w:val="00ED6719"/>
    <w:rsid w:val="00ED6B08"/>
    <w:rsid w:val="00ED6C71"/>
    <w:rsid w:val="00ED753E"/>
    <w:rsid w:val="00ED755C"/>
    <w:rsid w:val="00ED75AF"/>
    <w:rsid w:val="00ED76E5"/>
    <w:rsid w:val="00ED7B4A"/>
    <w:rsid w:val="00ED7DD5"/>
    <w:rsid w:val="00EE00E4"/>
    <w:rsid w:val="00EE013B"/>
    <w:rsid w:val="00EE0244"/>
    <w:rsid w:val="00EE0349"/>
    <w:rsid w:val="00EE067F"/>
    <w:rsid w:val="00EE06C4"/>
    <w:rsid w:val="00EE0B23"/>
    <w:rsid w:val="00EE0BD5"/>
    <w:rsid w:val="00EE0EFD"/>
    <w:rsid w:val="00EE0FC9"/>
    <w:rsid w:val="00EE15C8"/>
    <w:rsid w:val="00EE1745"/>
    <w:rsid w:val="00EE19E3"/>
    <w:rsid w:val="00EE1B52"/>
    <w:rsid w:val="00EE1D72"/>
    <w:rsid w:val="00EE22CF"/>
    <w:rsid w:val="00EE23F0"/>
    <w:rsid w:val="00EE2461"/>
    <w:rsid w:val="00EE27FD"/>
    <w:rsid w:val="00EE2891"/>
    <w:rsid w:val="00EE289D"/>
    <w:rsid w:val="00EE29AC"/>
    <w:rsid w:val="00EE29B5"/>
    <w:rsid w:val="00EE2A9D"/>
    <w:rsid w:val="00EE2C94"/>
    <w:rsid w:val="00EE2E88"/>
    <w:rsid w:val="00EE3060"/>
    <w:rsid w:val="00EE3309"/>
    <w:rsid w:val="00EE36B1"/>
    <w:rsid w:val="00EE39DB"/>
    <w:rsid w:val="00EE3B22"/>
    <w:rsid w:val="00EE3CB1"/>
    <w:rsid w:val="00EE3DE2"/>
    <w:rsid w:val="00EE3F99"/>
    <w:rsid w:val="00EE4140"/>
    <w:rsid w:val="00EE4198"/>
    <w:rsid w:val="00EE4539"/>
    <w:rsid w:val="00EE47AF"/>
    <w:rsid w:val="00EE47C7"/>
    <w:rsid w:val="00EE491E"/>
    <w:rsid w:val="00EE49D3"/>
    <w:rsid w:val="00EE4A43"/>
    <w:rsid w:val="00EE4E04"/>
    <w:rsid w:val="00EE54B4"/>
    <w:rsid w:val="00EE5509"/>
    <w:rsid w:val="00EE5608"/>
    <w:rsid w:val="00EE5615"/>
    <w:rsid w:val="00EE5745"/>
    <w:rsid w:val="00EE5869"/>
    <w:rsid w:val="00EE59DE"/>
    <w:rsid w:val="00EE5A76"/>
    <w:rsid w:val="00EE5DEF"/>
    <w:rsid w:val="00EE5EAB"/>
    <w:rsid w:val="00EE5EC1"/>
    <w:rsid w:val="00EE606C"/>
    <w:rsid w:val="00EE6294"/>
    <w:rsid w:val="00EE634A"/>
    <w:rsid w:val="00EE63A4"/>
    <w:rsid w:val="00EE6996"/>
    <w:rsid w:val="00EE6C57"/>
    <w:rsid w:val="00EE6DB9"/>
    <w:rsid w:val="00EE6DBE"/>
    <w:rsid w:val="00EE6F35"/>
    <w:rsid w:val="00EE6F9A"/>
    <w:rsid w:val="00EE72F3"/>
    <w:rsid w:val="00EE746F"/>
    <w:rsid w:val="00EE7471"/>
    <w:rsid w:val="00EE760C"/>
    <w:rsid w:val="00EE79D6"/>
    <w:rsid w:val="00EE7B5A"/>
    <w:rsid w:val="00EE7CAF"/>
    <w:rsid w:val="00EE7CC9"/>
    <w:rsid w:val="00EE7FAB"/>
    <w:rsid w:val="00EE7FB7"/>
    <w:rsid w:val="00EF000E"/>
    <w:rsid w:val="00EF0057"/>
    <w:rsid w:val="00EF0110"/>
    <w:rsid w:val="00EF044C"/>
    <w:rsid w:val="00EF04E1"/>
    <w:rsid w:val="00EF0678"/>
    <w:rsid w:val="00EF0699"/>
    <w:rsid w:val="00EF07E6"/>
    <w:rsid w:val="00EF0936"/>
    <w:rsid w:val="00EF0C03"/>
    <w:rsid w:val="00EF1052"/>
    <w:rsid w:val="00EF10DA"/>
    <w:rsid w:val="00EF13ED"/>
    <w:rsid w:val="00EF1911"/>
    <w:rsid w:val="00EF1ED0"/>
    <w:rsid w:val="00EF2012"/>
    <w:rsid w:val="00EF20A5"/>
    <w:rsid w:val="00EF214A"/>
    <w:rsid w:val="00EF2396"/>
    <w:rsid w:val="00EF2EAB"/>
    <w:rsid w:val="00EF3063"/>
    <w:rsid w:val="00EF309C"/>
    <w:rsid w:val="00EF3944"/>
    <w:rsid w:val="00EF3B4A"/>
    <w:rsid w:val="00EF3F94"/>
    <w:rsid w:val="00EF41E0"/>
    <w:rsid w:val="00EF4263"/>
    <w:rsid w:val="00EF447C"/>
    <w:rsid w:val="00EF4DC4"/>
    <w:rsid w:val="00EF4DF9"/>
    <w:rsid w:val="00EF5326"/>
    <w:rsid w:val="00EF5792"/>
    <w:rsid w:val="00EF584A"/>
    <w:rsid w:val="00EF5DBA"/>
    <w:rsid w:val="00EF5E06"/>
    <w:rsid w:val="00EF5EAB"/>
    <w:rsid w:val="00EF5F1D"/>
    <w:rsid w:val="00EF620A"/>
    <w:rsid w:val="00EF6295"/>
    <w:rsid w:val="00EF6447"/>
    <w:rsid w:val="00EF6949"/>
    <w:rsid w:val="00EF69C1"/>
    <w:rsid w:val="00EF6A98"/>
    <w:rsid w:val="00EF6B2D"/>
    <w:rsid w:val="00EF6D44"/>
    <w:rsid w:val="00EF6F7C"/>
    <w:rsid w:val="00EF70A4"/>
    <w:rsid w:val="00EF70C3"/>
    <w:rsid w:val="00EF7184"/>
    <w:rsid w:val="00EF7D0C"/>
    <w:rsid w:val="00EF7D89"/>
    <w:rsid w:val="00EF7F22"/>
    <w:rsid w:val="00F00329"/>
    <w:rsid w:val="00F003B7"/>
    <w:rsid w:val="00F00451"/>
    <w:rsid w:val="00F007C9"/>
    <w:rsid w:val="00F00851"/>
    <w:rsid w:val="00F00AFC"/>
    <w:rsid w:val="00F00BFC"/>
    <w:rsid w:val="00F00F70"/>
    <w:rsid w:val="00F01254"/>
    <w:rsid w:val="00F012B1"/>
    <w:rsid w:val="00F013ED"/>
    <w:rsid w:val="00F01511"/>
    <w:rsid w:val="00F01B58"/>
    <w:rsid w:val="00F01E7A"/>
    <w:rsid w:val="00F01EA8"/>
    <w:rsid w:val="00F0214A"/>
    <w:rsid w:val="00F02319"/>
    <w:rsid w:val="00F0232D"/>
    <w:rsid w:val="00F0281C"/>
    <w:rsid w:val="00F02AEF"/>
    <w:rsid w:val="00F02BDA"/>
    <w:rsid w:val="00F031C3"/>
    <w:rsid w:val="00F0359A"/>
    <w:rsid w:val="00F038EA"/>
    <w:rsid w:val="00F03A53"/>
    <w:rsid w:val="00F03C59"/>
    <w:rsid w:val="00F045D4"/>
    <w:rsid w:val="00F04734"/>
    <w:rsid w:val="00F0474B"/>
    <w:rsid w:val="00F04903"/>
    <w:rsid w:val="00F04A5E"/>
    <w:rsid w:val="00F04D9B"/>
    <w:rsid w:val="00F04E98"/>
    <w:rsid w:val="00F04F09"/>
    <w:rsid w:val="00F051DD"/>
    <w:rsid w:val="00F05273"/>
    <w:rsid w:val="00F0537A"/>
    <w:rsid w:val="00F05410"/>
    <w:rsid w:val="00F05512"/>
    <w:rsid w:val="00F0560B"/>
    <w:rsid w:val="00F05782"/>
    <w:rsid w:val="00F05B04"/>
    <w:rsid w:val="00F05B18"/>
    <w:rsid w:val="00F05C62"/>
    <w:rsid w:val="00F05C98"/>
    <w:rsid w:val="00F05E9D"/>
    <w:rsid w:val="00F063AA"/>
    <w:rsid w:val="00F06783"/>
    <w:rsid w:val="00F0688B"/>
    <w:rsid w:val="00F06D96"/>
    <w:rsid w:val="00F07068"/>
    <w:rsid w:val="00F073FA"/>
    <w:rsid w:val="00F074AA"/>
    <w:rsid w:val="00F0763D"/>
    <w:rsid w:val="00F07834"/>
    <w:rsid w:val="00F079B3"/>
    <w:rsid w:val="00F07D8A"/>
    <w:rsid w:val="00F07E71"/>
    <w:rsid w:val="00F106F5"/>
    <w:rsid w:val="00F10B9B"/>
    <w:rsid w:val="00F1106A"/>
    <w:rsid w:val="00F116F2"/>
    <w:rsid w:val="00F11746"/>
    <w:rsid w:val="00F1180A"/>
    <w:rsid w:val="00F118BE"/>
    <w:rsid w:val="00F11916"/>
    <w:rsid w:val="00F11AFF"/>
    <w:rsid w:val="00F11C31"/>
    <w:rsid w:val="00F11C45"/>
    <w:rsid w:val="00F11CE1"/>
    <w:rsid w:val="00F11D76"/>
    <w:rsid w:val="00F11EBE"/>
    <w:rsid w:val="00F12094"/>
    <w:rsid w:val="00F12136"/>
    <w:rsid w:val="00F124D4"/>
    <w:rsid w:val="00F12824"/>
    <w:rsid w:val="00F1285B"/>
    <w:rsid w:val="00F12898"/>
    <w:rsid w:val="00F12A37"/>
    <w:rsid w:val="00F12DDA"/>
    <w:rsid w:val="00F12E85"/>
    <w:rsid w:val="00F12F3B"/>
    <w:rsid w:val="00F131AA"/>
    <w:rsid w:val="00F1334D"/>
    <w:rsid w:val="00F13791"/>
    <w:rsid w:val="00F13866"/>
    <w:rsid w:val="00F13BD2"/>
    <w:rsid w:val="00F13EC9"/>
    <w:rsid w:val="00F13F18"/>
    <w:rsid w:val="00F13FA3"/>
    <w:rsid w:val="00F1403E"/>
    <w:rsid w:val="00F14223"/>
    <w:rsid w:val="00F14251"/>
    <w:rsid w:val="00F1425D"/>
    <w:rsid w:val="00F14532"/>
    <w:rsid w:val="00F14807"/>
    <w:rsid w:val="00F1494F"/>
    <w:rsid w:val="00F14BD2"/>
    <w:rsid w:val="00F14DC0"/>
    <w:rsid w:val="00F15157"/>
    <w:rsid w:val="00F152D6"/>
    <w:rsid w:val="00F152E8"/>
    <w:rsid w:val="00F15352"/>
    <w:rsid w:val="00F155F5"/>
    <w:rsid w:val="00F1565C"/>
    <w:rsid w:val="00F15845"/>
    <w:rsid w:val="00F158A5"/>
    <w:rsid w:val="00F15C5D"/>
    <w:rsid w:val="00F16039"/>
    <w:rsid w:val="00F1608F"/>
    <w:rsid w:val="00F161D2"/>
    <w:rsid w:val="00F1627C"/>
    <w:rsid w:val="00F16311"/>
    <w:rsid w:val="00F163A8"/>
    <w:rsid w:val="00F164C8"/>
    <w:rsid w:val="00F16704"/>
    <w:rsid w:val="00F16ACD"/>
    <w:rsid w:val="00F172FA"/>
    <w:rsid w:val="00F201E7"/>
    <w:rsid w:val="00F20408"/>
    <w:rsid w:val="00F204E0"/>
    <w:rsid w:val="00F206AD"/>
    <w:rsid w:val="00F206DC"/>
    <w:rsid w:val="00F20838"/>
    <w:rsid w:val="00F20F63"/>
    <w:rsid w:val="00F20FEC"/>
    <w:rsid w:val="00F21128"/>
    <w:rsid w:val="00F21172"/>
    <w:rsid w:val="00F211F8"/>
    <w:rsid w:val="00F212D6"/>
    <w:rsid w:val="00F21343"/>
    <w:rsid w:val="00F21364"/>
    <w:rsid w:val="00F2165B"/>
    <w:rsid w:val="00F217A0"/>
    <w:rsid w:val="00F2190B"/>
    <w:rsid w:val="00F21BD2"/>
    <w:rsid w:val="00F21CC1"/>
    <w:rsid w:val="00F21D30"/>
    <w:rsid w:val="00F21F4F"/>
    <w:rsid w:val="00F22266"/>
    <w:rsid w:val="00F222D3"/>
    <w:rsid w:val="00F22663"/>
    <w:rsid w:val="00F226C2"/>
    <w:rsid w:val="00F22945"/>
    <w:rsid w:val="00F22C47"/>
    <w:rsid w:val="00F23414"/>
    <w:rsid w:val="00F234D2"/>
    <w:rsid w:val="00F237DF"/>
    <w:rsid w:val="00F23C52"/>
    <w:rsid w:val="00F23D86"/>
    <w:rsid w:val="00F244A9"/>
    <w:rsid w:val="00F244DD"/>
    <w:rsid w:val="00F2456D"/>
    <w:rsid w:val="00F251A0"/>
    <w:rsid w:val="00F2546E"/>
    <w:rsid w:val="00F25AF8"/>
    <w:rsid w:val="00F25C94"/>
    <w:rsid w:val="00F25F81"/>
    <w:rsid w:val="00F261E9"/>
    <w:rsid w:val="00F2629E"/>
    <w:rsid w:val="00F26811"/>
    <w:rsid w:val="00F268F7"/>
    <w:rsid w:val="00F26976"/>
    <w:rsid w:val="00F26D84"/>
    <w:rsid w:val="00F26F1B"/>
    <w:rsid w:val="00F26FF4"/>
    <w:rsid w:val="00F270EE"/>
    <w:rsid w:val="00F2727A"/>
    <w:rsid w:val="00F27489"/>
    <w:rsid w:val="00F275F7"/>
    <w:rsid w:val="00F27ACF"/>
    <w:rsid w:val="00F27CC2"/>
    <w:rsid w:val="00F27DE0"/>
    <w:rsid w:val="00F27F9F"/>
    <w:rsid w:val="00F2EFAE"/>
    <w:rsid w:val="00F300FD"/>
    <w:rsid w:val="00F30537"/>
    <w:rsid w:val="00F30D8F"/>
    <w:rsid w:val="00F312FE"/>
    <w:rsid w:val="00F3172E"/>
    <w:rsid w:val="00F320F8"/>
    <w:rsid w:val="00F32375"/>
    <w:rsid w:val="00F323C5"/>
    <w:rsid w:val="00F32522"/>
    <w:rsid w:val="00F32B83"/>
    <w:rsid w:val="00F333BF"/>
    <w:rsid w:val="00F334C5"/>
    <w:rsid w:val="00F334CD"/>
    <w:rsid w:val="00F33AE2"/>
    <w:rsid w:val="00F33EA4"/>
    <w:rsid w:val="00F33FCF"/>
    <w:rsid w:val="00F34141"/>
    <w:rsid w:val="00F341FC"/>
    <w:rsid w:val="00F3436E"/>
    <w:rsid w:val="00F34399"/>
    <w:rsid w:val="00F348B0"/>
    <w:rsid w:val="00F348EF"/>
    <w:rsid w:val="00F34A5E"/>
    <w:rsid w:val="00F34F01"/>
    <w:rsid w:val="00F3509C"/>
    <w:rsid w:val="00F3517C"/>
    <w:rsid w:val="00F352F0"/>
    <w:rsid w:val="00F3591B"/>
    <w:rsid w:val="00F35BA8"/>
    <w:rsid w:val="00F35DAE"/>
    <w:rsid w:val="00F35E2D"/>
    <w:rsid w:val="00F35ECB"/>
    <w:rsid w:val="00F35F68"/>
    <w:rsid w:val="00F35F76"/>
    <w:rsid w:val="00F3612F"/>
    <w:rsid w:val="00F362A6"/>
    <w:rsid w:val="00F36658"/>
    <w:rsid w:val="00F36B2A"/>
    <w:rsid w:val="00F370F1"/>
    <w:rsid w:val="00F3732C"/>
    <w:rsid w:val="00F37476"/>
    <w:rsid w:val="00F37668"/>
    <w:rsid w:val="00F37896"/>
    <w:rsid w:val="00F379DD"/>
    <w:rsid w:val="00F37AD5"/>
    <w:rsid w:val="00F37CDA"/>
    <w:rsid w:val="00F37E32"/>
    <w:rsid w:val="00F40054"/>
    <w:rsid w:val="00F400D8"/>
    <w:rsid w:val="00F404C6"/>
    <w:rsid w:val="00F4064F"/>
    <w:rsid w:val="00F407ED"/>
    <w:rsid w:val="00F4087F"/>
    <w:rsid w:val="00F408C8"/>
    <w:rsid w:val="00F409C3"/>
    <w:rsid w:val="00F40A2D"/>
    <w:rsid w:val="00F40AC6"/>
    <w:rsid w:val="00F40AFE"/>
    <w:rsid w:val="00F40CA7"/>
    <w:rsid w:val="00F40CE2"/>
    <w:rsid w:val="00F40CF1"/>
    <w:rsid w:val="00F40D9E"/>
    <w:rsid w:val="00F40E86"/>
    <w:rsid w:val="00F41062"/>
    <w:rsid w:val="00F416D9"/>
    <w:rsid w:val="00F4192F"/>
    <w:rsid w:val="00F41C25"/>
    <w:rsid w:val="00F41C9D"/>
    <w:rsid w:val="00F41E8C"/>
    <w:rsid w:val="00F42346"/>
    <w:rsid w:val="00F42601"/>
    <w:rsid w:val="00F4294D"/>
    <w:rsid w:val="00F42CEB"/>
    <w:rsid w:val="00F42D10"/>
    <w:rsid w:val="00F42F62"/>
    <w:rsid w:val="00F43023"/>
    <w:rsid w:val="00F43109"/>
    <w:rsid w:val="00F4327B"/>
    <w:rsid w:val="00F4357C"/>
    <w:rsid w:val="00F435F6"/>
    <w:rsid w:val="00F43AA6"/>
    <w:rsid w:val="00F43AAD"/>
    <w:rsid w:val="00F43C11"/>
    <w:rsid w:val="00F44012"/>
    <w:rsid w:val="00F4445F"/>
    <w:rsid w:val="00F44471"/>
    <w:rsid w:val="00F4447D"/>
    <w:rsid w:val="00F445C0"/>
    <w:rsid w:val="00F44762"/>
    <w:rsid w:val="00F449E2"/>
    <w:rsid w:val="00F44BBB"/>
    <w:rsid w:val="00F44FA3"/>
    <w:rsid w:val="00F45095"/>
    <w:rsid w:val="00F45672"/>
    <w:rsid w:val="00F45676"/>
    <w:rsid w:val="00F458A9"/>
    <w:rsid w:val="00F459ED"/>
    <w:rsid w:val="00F45C0E"/>
    <w:rsid w:val="00F45CCD"/>
    <w:rsid w:val="00F45EFB"/>
    <w:rsid w:val="00F45F33"/>
    <w:rsid w:val="00F45F97"/>
    <w:rsid w:val="00F46412"/>
    <w:rsid w:val="00F46482"/>
    <w:rsid w:val="00F4679F"/>
    <w:rsid w:val="00F468CB"/>
    <w:rsid w:val="00F468D3"/>
    <w:rsid w:val="00F46A95"/>
    <w:rsid w:val="00F46AC8"/>
    <w:rsid w:val="00F46D5E"/>
    <w:rsid w:val="00F46E3E"/>
    <w:rsid w:val="00F47135"/>
    <w:rsid w:val="00F47332"/>
    <w:rsid w:val="00F47383"/>
    <w:rsid w:val="00F47482"/>
    <w:rsid w:val="00F47C5C"/>
    <w:rsid w:val="00F47D6C"/>
    <w:rsid w:val="00F47E5B"/>
    <w:rsid w:val="00F5006A"/>
    <w:rsid w:val="00F50240"/>
    <w:rsid w:val="00F505F8"/>
    <w:rsid w:val="00F5084D"/>
    <w:rsid w:val="00F50DB9"/>
    <w:rsid w:val="00F51193"/>
    <w:rsid w:val="00F512F1"/>
    <w:rsid w:val="00F51336"/>
    <w:rsid w:val="00F5137A"/>
    <w:rsid w:val="00F5148B"/>
    <w:rsid w:val="00F5149F"/>
    <w:rsid w:val="00F515F6"/>
    <w:rsid w:val="00F51900"/>
    <w:rsid w:val="00F51AAC"/>
    <w:rsid w:val="00F51BA5"/>
    <w:rsid w:val="00F51BCF"/>
    <w:rsid w:val="00F51CC9"/>
    <w:rsid w:val="00F51FE9"/>
    <w:rsid w:val="00F5299B"/>
    <w:rsid w:val="00F52A7E"/>
    <w:rsid w:val="00F52B28"/>
    <w:rsid w:val="00F52E98"/>
    <w:rsid w:val="00F52FDF"/>
    <w:rsid w:val="00F532F3"/>
    <w:rsid w:val="00F536EC"/>
    <w:rsid w:val="00F539D4"/>
    <w:rsid w:val="00F53C54"/>
    <w:rsid w:val="00F53DCE"/>
    <w:rsid w:val="00F54164"/>
    <w:rsid w:val="00F541F3"/>
    <w:rsid w:val="00F5457D"/>
    <w:rsid w:val="00F545E4"/>
    <w:rsid w:val="00F547D0"/>
    <w:rsid w:val="00F54C37"/>
    <w:rsid w:val="00F54E93"/>
    <w:rsid w:val="00F54EA7"/>
    <w:rsid w:val="00F54EB2"/>
    <w:rsid w:val="00F5541A"/>
    <w:rsid w:val="00F554C8"/>
    <w:rsid w:val="00F5568A"/>
    <w:rsid w:val="00F5570F"/>
    <w:rsid w:val="00F55735"/>
    <w:rsid w:val="00F55833"/>
    <w:rsid w:val="00F558F6"/>
    <w:rsid w:val="00F55C34"/>
    <w:rsid w:val="00F55DAD"/>
    <w:rsid w:val="00F56064"/>
    <w:rsid w:val="00F5610B"/>
    <w:rsid w:val="00F5615C"/>
    <w:rsid w:val="00F562BB"/>
    <w:rsid w:val="00F5655F"/>
    <w:rsid w:val="00F5656F"/>
    <w:rsid w:val="00F569CE"/>
    <w:rsid w:val="00F56A7F"/>
    <w:rsid w:val="00F56B1B"/>
    <w:rsid w:val="00F56C2D"/>
    <w:rsid w:val="00F56D2B"/>
    <w:rsid w:val="00F56E45"/>
    <w:rsid w:val="00F57113"/>
    <w:rsid w:val="00F5714E"/>
    <w:rsid w:val="00F5715A"/>
    <w:rsid w:val="00F575EE"/>
    <w:rsid w:val="00F578FF"/>
    <w:rsid w:val="00F57ADC"/>
    <w:rsid w:val="00F60556"/>
    <w:rsid w:val="00F6109A"/>
    <w:rsid w:val="00F61247"/>
    <w:rsid w:val="00F61386"/>
    <w:rsid w:val="00F61468"/>
    <w:rsid w:val="00F61525"/>
    <w:rsid w:val="00F615A6"/>
    <w:rsid w:val="00F61662"/>
    <w:rsid w:val="00F61683"/>
    <w:rsid w:val="00F61A3B"/>
    <w:rsid w:val="00F620C9"/>
    <w:rsid w:val="00F62157"/>
    <w:rsid w:val="00F62363"/>
    <w:rsid w:val="00F62635"/>
    <w:rsid w:val="00F62649"/>
    <w:rsid w:val="00F626C2"/>
    <w:rsid w:val="00F6275E"/>
    <w:rsid w:val="00F62787"/>
    <w:rsid w:val="00F62800"/>
    <w:rsid w:val="00F62AE6"/>
    <w:rsid w:val="00F63267"/>
    <w:rsid w:val="00F63346"/>
    <w:rsid w:val="00F637AF"/>
    <w:rsid w:val="00F63D9E"/>
    <w:rsid w:val="00F63E67"/>
    <w:rsid w:val="00F64154"/>
    <w:rsid w:val="00F64438"/>
    <w:rsid w:val="00F6463F"/>
    <w:rsid w:val="00F64EFA"/>
    <w:rsid w:val="00F6507C"/>
    <w:rsid w:val="00F65085"/>
    <w:rsid w:val="00F6525E"/>
    <w:rsid w:val="00F654C8"/>
    <w:rsid w:val="00F65AD6"/>
    <w:rsid w:val="00F65B15"/>
    <w:rsid w:val="00F65B2F"/>
    <w:rsid w:val="00F65C4B"/>
    <w:rsid w:val="00F65CC9"/>
    <w:rsid w:val="00F65F03"/>
    <w:rsid w:val="00F661D9"/>
    <w:rsid w:val="00F662C0"/>
    <w:rsid w:val="00F668E0"/>
    <w:rsid w:val="00F6696A"/>
    <w:rsid w:val="00F669FA"/>
    <w:rsid w:val="00F66C08"/>
    <w:rsid w:val="00F66C86"/>
    <w:rsid w:val="00F66C8E"/>
    <w:rsid w:val="00F66CEA"/>
    <w:rsid w:val="00F66EB6"/>
    <w:rsid w:val="00F66EDF"/>
    <w:rsid w:val="00F6718B"/>
    <w:rsid w:val="00F67751"/>
    <w:rsid w:val="00F67F94"/>
    <w:rsid w:val="00F7003D"/>
    <w:rsid w:val="00F702F8"/>
    <w:rsid w:val="00F703A2"/>
    <w:rsid w:val="00F70467"/>
    <w:rsid w:val="00F70480"/>
    <w:rsid w:val="00F705C4"/>
    <w:rsid w:val="00F7079B"/>
    <w:rsid w:val="00F70DF1"/>
    <w:rsid w:val="00F70E16"/>
    <w:rsid w:val="00F70EF2"/>
    <w:rsid w:val="00F70F92"/>
    <w:rsid w:val="00F71465"/>
    <w:rsid w:val="00F715B8"/>
    <w:rsid w:val="00F71899"/>
    <w:rsid w:val="00F71A3F"/>
    <w:rsid w:val="00F71CA0"/>
    <w:rsid w:val="00F71E93"/>
    <w:rsid w:val="00F71F7F"/>
    <w:rsid w:val="00F721F1"/>
    <w:rsid w:val="00F723DD"/>
    <w:rsid w:val="00F72588"/>
    <w:rsid w:val="00F72759"/>
    <w:rsid w:val="00F727E8"/>
    <w:rsid w:val="00F72EBA"/>
    <w:rsid w:val="00F72F0F"/>
    <w:rsid w:val="00F7301C"/>
    <w:rsid w:val="00F7350A"/>
    <w:rsid w:val="00F73625"/>
    <w:rsid w:val="00F73802"/>
    <w:rsid w:val="00F73864"/>
    <w:rsid w:val="00F73C68"/>
    <w:rsid w:val="00F74278"/>
    <w:rsid w:val="00F74E17"/>
    <w:rsid w:val="00F74FCA"/>
    <w:rsid w:val="00F74FD1"/>
    <w:rsid w:val="00F75105"/>
    <w:rsid w:val="00F75236"/>
    <w:rsid w:val="00F75589"/>
    <w:rsid w:val="00F756DD"/>
    <w:rsid w:val="00F7592D"/>
    <w:rsid w:val="00F75C26"/>
    <w:rsid w:val="00F767C0"/>
    <w:rsid w:val="00F7685C"/>
    <w:rsid w:val="00F76BCB"/>
    <w:rsid w:val="00F76E67"/>
    <w:rsid w:val="00F7729C"/>
    <w:rsid w:val="00F773A1"/>
    <w:rsid w:val="00F7753C"/>
    <w:rsid w:val="00F77542"/>
    <w:rsid w:val="00F779C0"/>
    <w:rsid w:val="00F77C56"/>
    <w:rsid w:val="00F77D24"/>
    <w:rsid w:val="00F77D58"/>
    <w:rsid w:val="00F77DA3"/>
    <w:rsid w:val="00F77E12"/>
    <w:rsid w:val="00F77F5A"/>
    <w:rsid w:val="00F77FA2"/>
    <w:rsid w:val="00F802D4"/>
    <w:rsid w:val="00F8049A"/>
    <w:rsid w:val="00F807AF"/>
    <w:rsid w:val="00F807C9"/>
    <w:rsid w:val="00F80C3F"/>
    <w:rsid w:val="00F80CAE"/>
    <w:rsid w:val="00F80CC9"/>
    <w:rsid w:val="00F80E70"/>
    <w:rsid w:val="00F80E94"/>
    <w:rsid w:val="00F810D9"/>
    <w:rsid w:val="00F813D4"/>
    <w:rsid w:val="00F8152D"/>
    <w:rsid w:val="00F81550"/>
    <w:rsid w:val="00F81734"/>
    <w:rsid w:val="00F81924"/>
    <w:rsid w:val="00F81980"/>
    <w:rsid w:val="00F81A9C"/>
    <w:rsid w:val="00F81E19"/>
    <w:rsid w:val="00F8223A"/>
    <w:rsid w:val="00F823B8"/>
    <w:rsid w:val="00F8269A"/>
    <w:rsid w:val="00F82A14"/>
    <w:rsid w:val="00F82A76"/>
    <w:rsid w:val="00F82B07"/>
    <w:rsid w:val="00F82C5B"/>
    <w:rsid w:val="00F835D2"/>
    <w:rsid w:val="00F83709"/>
    <w:rsid w:val="00F838C9"/>
    <w:rsid w:val="00F8393F"/>
    <w:rsid w:val="00F8396F"/>
    <w:rsid w:val="00F83D72"/>
    <w:rsid w:val="00F84165"/>
    <w:rsid w:val="00F8439E"/>
    <w:rsid w:val="00F84572"/>
    <w:rsid w:val="00F84724"/>
    <w:rsid w:val="00F84B06"/>
    <w:rsid w:val="00F84DC9"/>
    <w:rsid w:val="00F84E84"/>
    <w:rsid w:val="00F84FC4"/>
    <w:rsid w:val="00F850FC"/>
    <w:rsid w:val="00F8518A"/>
    <w:rsid w:val="00F85603"/>
    <w:rsid w:val="00F85697"/>
    <w:rsid w:val="00F8579D"/>
    <w:rsid w:val="00F85B8E"/>
    <w:rsid w:val="00F85C9F"/>
    <w:rsid w:val="00F85DA9"/>
    <w:rsid w:val="00F85F3C"/>
    <w:rsid w:val="00F86672"/>
    <w:rsid w:val="00F866BB"/>
    <w:rsid w:val="00F868DD"/>
    <w:rsid w:val="00F868F7"/>
    <w:rsid w:val="00F869A8"/>
    <w:rsid w:val="00F86B9E"/>
    <w:rsid w:val="00F86BD2"/>
    <w:rsid w:val="00F86E29"/>
    <w:rsid w:val="00F86FD4"/>
    <w:rsid w:val="00F87200"/>
    <w:rsid w:val="00F872DD"/>
    <w:rsid w:val="00F87396"/>
    <w:rsid w:val="00F8759B"/>
    <w:rsid w:val="00F876AA"/>
    <w:rsid w:val="00F87872"/>
    <w:rsid w:val="00F8796D"/>
    <w:rsid w:val="00F87CC9"/>
    <w:rsid w:val="00F87E2C"/>
    <w:rsid w:val="00F90156"/>
    <w:rsid w:val="00F901A8"/>
    <w:rsid w:val="00F9079D"/>
    <w:rsid w:val="00F9095F"/>
    <w:rsid w:val="00F90B79"/>
    <w:rsid w:val="00F90D97"/>
    <w:rsid w:val="00F91074"/>
    <w:rsid w:val="00F911BF"/>
    <w:rsid w:val="00F91217"/>
    <w:rsid w:val="00F914F3"/>
    <w:rsid w:val="00F915D0"/>
    <w:rsid w:val="00F91CED"/>
    <w:rsid w:val="00F91CFC"/>
    <w:rsid w:val="00F922AE"/>
    <w:rsid w:val="00F92400"/>
    <w:rsid w:val="00F92583"/>
    <w:rsid w:val="00F9280D"/>
    <w:rsid w:val="00F92AD2"/>
    <w:rsid w:val="00F92D27"/>
    <w:rsid w:val="00F931F0"/>
    <w:rsid w:val="00F932FA"/>
    <w:rsid w:val="00F935E5"/>
    <w:rsid w:val="00F939B3"/>
    <w:rsid w:val="00F939DE"/>
    <w:rsid w:val="00F93AEA"/>
    <w:rsid w:val="00F93B0A"/>
    <w:rsid w:val="00F93D69"/>
    <w:rsid w:val="00F93D90"/>
    <w:rsid w:val="00F93F8C"/>
    <w:rsid w:val="00F93F93"/>
    <w:rsid w:val="00F94359"/>
    <w:rsid w:val="00F944B3"/>
    <w:rsid w:val="00F94635"/>
    <w:rsid w:val="00F9477E"/>
    <w:rsid w:val="00F94982"/>
    <w:rsid w:val="00F949D5"/>
    <w:rsid w:val="00F949DC"/>
    <w:rsid w:val="00F94ACE"/>
    <w:rsid w:val="00F94E28"/>
    <w:rsid w:val="00F94EEC"/>
    <w:rsid w:val="00F94F3C"/>
    <w:rsid w:val="00F95501"/>
    <w:rsid w:val="00F955D9"/>
    <w:rsid w:val="00F955F4"/>
    <w:rsid w:val="00F95A6F"/>
    <w:rsid w:val="00F95E15"/>
    <w:rsid w:val="00F95E2E"/>
    <w:rsid w:val="00F95E40"/>
    <w:rsid w:val="00F95F10"/>
    <w:rsid w:val="00F95F44"/>
    <w:rsid w:val="00F964E5"/>
    <w:rsid w:val="00F969BD"/>
    <w:rsid w:val="00F96A24"/>
    <w:rsid w:val="00F96BD6"/>
    <w:rsid w:val="00F97083"/>
    <w:rsid w:val="00F9717B"/>
    <w:rsid w:val="00F972D0"/>
    <w:rsid w:val="00F97698"/>
    <w:rsid w:val="00F97A80"/>
    <w:rsid w:val="00F97B69"/>
    <w:rsid w:val="00F97C64"/>
    <w:rsid w:val="00F97E5C"/>
    <w:rsid w:val="00F97EFC"/>
    <w:rsid w:val="00F97F4D"/>
    <w:rsid w:val="00FA0260"/>
    <w:rsid w:val="00FA03DE"/>
    <w:rsid w:val="00FA0617"/>
    <w:rsid w:val="00FA06E0"/>
    <w:rsid w:val="00FA07A5"/>
    <w:rsid w:val="00FA0A8C"/>
    <w:rsid w:val="00FA178D"/>
    <w:rsid w:val="00FA17F1"/>
    <w:rsid w:val="00FA1954"/>
    <w:rsid w:val="00FA1986"/>
    <w:rsid w:val="00FA1DF9"/>
    <w:rsid w:val="00FA2044"/>
    <w:rsid w:val="00FA204E"/>
    <w:rsid w:val="00FA24B2"/>
    <w:rsid w:val="00FA24E0"/>
    <w:rsid w:val="00FA2991"/>
    <w:rsid w:val="00FA2992"/>
    <w:rsid w:val="00FA2A21"/>
    <w:rsid w:val="00FA2A7D"/>
    <w:rsid w:val="00FA2C63"/>
    <w:rsid w:val="00FA2C8F"/>
    <w:rsid w:val="00FA2EF4"/>
    <w:rsid w:val="00FA2F16"/>
    <w:rsid w:val="00FA2F2C"/>
    <w:rsid w:val="00FA3015"/>
    <w:rsid w:val="00FA31CA"/>
    <w:rsid w:val="00FA369D"/>
    <w:rsid w:val="00FA36C8"/>
    <w:rsid w:val="00FA3747"/>
    <w:rsid w:val="00FA39A3"/>
    <w:rsid w:val="00FA424F"/>
    <w:rsid w:val="00FA4317"/>
    <w:rsid w:val="00FA4CAF"/>
    <w:rsid w:val="00FA4CDE"/>
    <w:rsid w:val="00FA56B1"/>
    <w:rsid w:val="00FA5C02"/>
    <w:rsid w:val="00FA5FEC"/>
    <w:rsid w:val="00FA6126"/>
    <w:rsid w:val="00FA61B5"/>
    <w:rsid w:val="00FA633D"/>
    <w:rsid w:val="00FA6451"/>
    <w:rsid w:val="00FA6655"/>
    <w:rsid w:val="00FA6C81"/>
    <w:rsid w:val="00FA72D4"/>
    <w:rsid w:val="00FA74C1"/>
    <w:rsid w:val="00FA772B"/>
    <w:rsid w:val="00FA7761"/>
    <w:rsid w:val="00FA78D0"/>
    <w:rsid w:val="00FA7A1A"/>
    <w:rsid w:val="00FA7AB2"/>
    <w:rsid w:val="00FA7BA9"/>
    <w:rsid w:val="00FA7BF2"/>
    <w:rsid w:val="00FA7E1E"/>
    <w:rsid w:val="00FA7EC7"/>
    <w:rsid w:val="00FA7FA7"/>
    <w:rsid w:val="00FB00D5"/>
    <w:rsid w:val="00FB0111"/>
    <w:rsid w:val="00FB01C6"/>
    <w:rsid w:val="00FB0211"/>
    <w:rsid w:val="00FB028D"/>
    <w:rsid w:val="00FB056E"/>
    <w:rsid w:val="00FB0A73"/>
    <w:rsid w:val="00FB0BE7"/>
    <w:rsid w:val="00FB0C02"/>
    <w:rsid w:val="00FB0DEA"/>
    <w:rsid w:val="00FB10B0"/>
    <w:rsid w:val="00FB1353"/>
    <w:rsid w:val="00FB1557"/>
    <w:rsid w:val="00FB170E"/>
    <w:rsid w:val="00FB1728"/>
    <w:rsid w:val="00FB1737"/>
    <w:rsid w:val="00FB1B5B"/>
    <w:rsid w:val="00FB1B89"/>
    <w:rsid w:val="00FB1BF1"/>
    <w:rsid w:val="00FB2232"/>
    <w:rsid w:val="00FB2BBA"/>
    <w:rsid w:val="00FB2BDA"/>
    <w:rsid w:val="00FB2CD7"/>
    <w:rsid w:val="00FB2DB8"/>
    <w:rsid w:val="00FB2DFE"/>
    <w:rsid w:val="00FB2E48"/>
    <w:rsid w:val="00FB2EEB"/>
    <w:rsid w:val="00FB3070"/>
    <w:rsid w:val="00FB30C3"/>
    <w:rsid w:val="00FB3482"/>
    <w:rsid w:val="00FB3720"/>
    <w:rsid w:val="00FB3769"/>
    <w:rsid w:val="00FB3823"/>
    <w:rsid w:val="00FB398C"/>
    <w:rsid w:val="00FB3BC1"/>
    <w:rsid w:val="00FB3C5F"/>
    <w:rsid w:val="00FB3F7C"/>
    <w:rsid w:val="00FB3FE2"/>
    <w:rsid w:val="00FB42BC"/>
    <w:rsid w:val="00FB431E"/>
    <w:rsid w:val="00FB4368"/>
    <w:rsid w:val="00FB46C3"/>
    <w:rsid w:val="00FB4B8B"/>
    <w:rsid w:val="00FB4F15"/>
    <w:rsid w:val="00FB4F2B"/>
    <w:rsid w:val="00FB4FC4"/>
    <w:rsid w:val="00FB5103"/>
    <w:rsid w:val="00FB52A1"/>
    <w:rsid w:val="00FB531A"/>
    <w:rsid w:val="00FB56C8"/>
    <w:rsid w:val="00FB5E12"/>
    <w:rsid w:val="00FB5FFF"/>
    <w:rsid w:val="00FB600E"/>
    <w:rsid w:val="00FB60C2"/>
    <w:rsid w:val="00FB6125"/>
    <w:rsid w:val="00FB624E"/>
    <w:rsid w:val="00FB630A"/>
    <w:rsid w:val="00FB6414"/>
    <w:rsid w:val="00FB6849"/>
    <w:rsid w:val="00FB6862"/>
    <w:rsid w:val="00FB68EA"/>
    <w:rsid w:val="00FB6A38"/>
    <w:rsid w:val="00FB6D7B"/>
    <w:rsid w:val="00FB7668"/>
    <w:rsid w:val="00FB7740"/>
    <w:rsid w:val="00FB776B"/>
    <w:rsid w:val="00FB78A4"/>
    <w:rsid w:val="00FB7B4E"/>
    <w:rsid w:val="00FB7FD3"/>
    <w:rsid w:val="00FC00B5"/>
    <w:rsid w:val="00FC0125"/>
    <w:rsid w:val="00FC01A6"/>
    <w:rsid w:val="00FC046C"/>
    <w:rsid w:val="00FC079A"/>
    <w:rsid w:val="00FC0A16"/>
    <w:rsid w:val="00FC0B2E"/>
    <w:rsid w:val="00FC0B4B"/>
    <w:rsid w:val="00FC0B96"/>
    <w:rsid w:val="00FC0CDD"/>
    <w:rsid w:val="00FC0D97"/>
    <w:rsid w:val="00FC0DF4"/>
    <w:rsid w:val="00FC0E0D"/>
    <w:rsid w:val="00FC1344"/>
    <w:rsid w:val="00FC1FF0"/>
    <w:rsid w:val="00FC20B2"/>
    <w:rsid w:val="00FC2162"/>
    <w:rsid w:val="00FC2440"/>
    <w:rsid w:val="00FC245D"/>
    <w:rsid w:val="00FC24C2"/>
    <w:rsid w:val="00FC24C8"/>
    <w:rsid w:val="00FC266C"/>
    <w:rsid w:val="00FC2A4D"/>
    <w:rsid w:val="00FC32C1"/>
    <w:rsid w:val="00FC32E9"/>
    <w:rsid w:val="00FC361F"/>
    <w:rsid w:val="00FC3659"/>
    <w:rsid w:val="00FC3A71"/>
    <w:rsid w:val="00FC3B0E"/>
    <w:rsid w:val="00FC3B37"/>
    <w:rsid w:val="00FC3CDD"/>
    <w:rsid w:val="00FC3DC0"/>
    <w:rsid w:val="00FC3E18"/>
    <w:rsid w:val="00FC3E9D"/>
    <w:rsid w:val="00FC3FD3"/>
    <w:rsid w:val="00FC41FF"/>
    <w:rsid w:val="00FC4274"/>
    <w:rsid w:val="00FC4460"/>
    <w:rsid w:val="00FC456B"/>
    <w:rsid w:val="00FC4720"/>
    <w:rsid w:val="00FC4843"/>
    <w:rsid w:val="00FC48DB"/>
    <w:rsid w:val="00FC4935"/>
    <w:rsid w:val="00FC4A3F"/>
    <w:rsid w:val="00FC4B92"/>
    <w:rsid w:val="00FC4E6B"/>
    <w:rsid w:val="00FC5110"/>
    <w:rsid w:val="00FC512F"/>
    <w:rsid w:val="00FC51F7"/>
    <w:rsid w:val="00FC52AB"/>
    <w:rsid w:val="00FC537C"/>
    <w:rsid w:val="00FC543A"/>
    <w:rsid w:val="00FC56FA"/>
    <w:rsid w:val="00FC5BD9"/>
    <w:rsid w:val="00FC5CE9"/>
    <w:rsid w:val="00FC5F04"/>
    <w:rsid w:val="00FC608D"/>
    <w:rsid w:val="00FC63FE"/>
    <w:rsid w:val="00FC6529"/>
    <w:rsid w:val="00FC65A1"/>
    <w:rsid w:val="00FC670B"/>
    <w:rsid w:val="00FC6747"/>
    <w:rsid w:val="00FC6B69"/>
    <w:rsid w:val="00FC707E"/>
    <w:rsid w:val="00FC70DE"/>
    <w:rsid w:val="00FC7171"/>
    <w:rsid w:val="00FC7295"/>
    <w:rsid w:val="00FC74A9"/>
    <w:rsid w:val="00FC74BD"/>
    <w:rsid w:val="00FC789F"/>
    <w:rsid w:val="00FC7931"/>
    <w:rsid w:val="00FC7A0D"/>
    <w:rsid w:val="00FC7AD1"/>
    <w:rsid w:val="00FC7ED1"/>
    <w:rsid w:val="00FD0425"/>
    <w:rsid w:val="00FD0827"/>
    <w:rsid w:val="00FD0FE3"/>
    <w:rsid w:val="00FD10BB"/>
    <w:rsid w:val="00FD140B"/>
    <w:rsid w:val="00FD14C9"/>
    <w:rsid w:val="00FD16D2"/>
    <w:rsid w:val="00FD16D3"/>
    <w:rsid w:val="00FD17F3"/>
    <w:rsid w:val="00FD195A"/>
    <w:rsid w:val="00FD1F11"/>
    <w:rsid w:val="00FD1F34"/>
    <w:rsid w:val="00FD1F7A"/>
    <w:rsid w:val="00FD2027"/>
    <w:rsid w:val="00FD2355"/>
    <w:rsid w:val="00FD23F3"/>
    <w:rsid w:val="00FD24C2"/>
    <w:rsid w:val="00FD2807"/>
    <w:rsid w:val="00FD2B04"/>
    <w:rsid w:val="00FD2BC0"/>
    <w:rsid w:val="00FD2E96"/>
    <w:rsid w:val="00FD30C0"/>
    <w:rsid w:val="00FD3144"/>
    <w:rsid w:val="00FD3170"/>
    <w:rsid w:val="00FD3562"/>
    <w:rsid w:val="00FD37B0"/>
    <w:rsid w:val="00FD3801"/>
    <w:rsid w:val="00FD3927"/>
    <w:rsid w:val="00FD394A"/>
    <w:rsid w:val="00FD3AB7"/>
    <w:rsid w:val="00FD3D9F"/>
    <w:rsid w:val="00FD423E"/>
    <w:rsid w:val="00FD436F"/>
    <w:rsid w:val="00FD470D"/>
    <w:rsid w:val="00FD4866"/>
    <w:rsid w:val="00FD4A6E"/>
    <w:rsid w:val="00FD534A"/>
    <w:rsid w:val="00FD5682"/>
    <w:rsid w:val="00FD5B55"/>
    <w:rsid w:val="00FD5B7D"/>
    <w:rsid w:val="00FD5BA8"/>
    <w:rsid w:val="00FD5CEC"/>
    <w:rsid w:val="00FD5DA5"/>
    <w:rsid w:val="00FD5F22"/>
    <w:rsid w:val="00FD62C1"/>
    <w:rsid w:val="00FD632F"/>
    <w:rsid w:val="00FD63C9"/>
    <w:rsid w:val="00FD673E"/>
    <w:rsid w:val="00FD6BAC"/>
    <w:rsid w:val="00FD6CD3"/>
    <w:rsid w:val="00FD6D76"/>
    <w:rsid w:val="00FD7060"/>
    <w:rsid w:val="00FD7576"/>
    <w:rsid w:val="00FD7827"/>
    <w:rsid w:val="00FD7866"/>
    <w:rsid w:val="00FD7B32"/>
    <w:rsid w:val="00FD7D0D"/>
    <w:rsid w:val="00FE027B"/>
    <w:rsid w:val="00FE02AC"/>
    <w:rsid w:val="00FE0474"/>
    <w:rsid w:val="00FE0924"/>
    <w:rsid w:val="00FE0A23"/>
    <w:rsid w:val="00FE114D"/>
    <w:rsid w:val="00FE11C8"/>
    <w:rsid w:val="00FE151A"/>
    <w:rsid w:val="00FE1590"/>
    <w:rsid w:val="00FE1712"/>
    <w:rsid w:val="00FE17C5"/>
    <w:rsid w:val="00FE1B99"/>
    <w:rsid w:val="00FE1C6B"/>
    <w:rsid w:val="00FE2157"/>
    <w:rsid w:val="00FE2281"/>
    <w:rsid w:val="00FE27E0"/>
    <w:rsid w:val="00FE2911"/>
    <w:rsid w:val="00FE2DDE"/>
    <w:rsid w:val="00FE32BE"/>
    <w:rsid w:val="00FE3377"/>
    <w:rsid w:val="00FE36F7"/>
    <w:rsid w:val="00FE37F7"/>
    <w:rsid w:val="00FE39EB"/>
    <w:rsid w:val="00FE3B33"/>
    <w:rsid w:val="00FE4090"/>
    <w:rsid w:val="00FE40AC"/>
    <w:rsid w:val="00FE4359"/>
    <w:rsid w:val="00FE43D4"/>
    <w:rsid w:val="00FE4540"/>
    <w:rsid w:val="00FE46AF"/>
    <w:rsid w:val="00FE4763"/>
    <w:rsid w:val="00FE4893"/>
    <w:rsid w:val="00FE5050"/>
    <w:rsid w:val="00FE5484"/>
    <w:rsid w:val="00FE54C7"/>
    <w:rsid w:val="00FE55C1"/>
    <w:rsid w:val="00FE5BA6"/>
    <w:rsid w:val="00FE5D54"/>
    <w:rsid w:val="00FE5D92"/>
    <w:rsid w:val="00FE5F41"/>
    <w:rsid w:val="00FE600B"/>
    <w:rsid w:val="00FE6171"/>
    <w:rsid w:val="00FE61B8"/>
    <w:rsid w:val="00FE6202"/>
    <w:rsid w:val="00FE6877"/>
    <w:rsid w:val="00FE68A3"/>
    <w:rsid w:val="00FE6D66"/>
    <w:rsid w:val="00FE71C0"/>
    <w:rsid w:val="00FE74E1"/>
    <w:rsid w:val="00FE7666"/>
    <w:rsid w:val="00FE78C9"/>
    <w:rsid w:val="00FE7B8B"/>
    <w:rsid w:val="00FE7F1C"/>
    <w:rsid w:val="00FE7F97"/>
    <w:rsid w:val="00FF05B0"/>
    <w:rsid w:val="00FF0651"/>
    <w:rsid w:val="00FF09E9"/>
    <w:rsid w:val="00FF0A03"/>
    <w:rsid w:val="00FF0A23"/>
    <w:rsid w:val="00FF0E6C"/>
    <w:rsid w:val="00FF12FC"/>
    <w:rsid w:val="00FF160F"/>
    <w:rsid w:val="00FF16AB"/>
    <w:rsid w:val="00FF16F0"/>
    <w:rsid w:val="00FF18F3"/>
    <w:rsid w:val="00FF1A64"/>
    <w:rsid w:val="00FF1C62"/>
    <w:rsid w:val="00FF1F07"/>
    <w:rsid w:val="00FF1F1B"/>
    <w:rsid w:val="00FF1FD8"/>
    <w:rsid w:val="00FF22F5"/>
    <w:rsid w:val="00FF23C2"/>
    <w:rsid w:val="00FF23E2"/>
    <w:rsid w:val="00FF24A9"/>
    <w:rsid w:val="00FF2689"/>
    <w:rsid w:val="00FF2763"/>
    <w:rsid w:val="00FF281B"/>
    <w:rsid w:val="00FF29F7"/>
    <w:rsid w:val="00FF2F0D"/>
    <w:rsid w:val="00FF3061"/>
    <w:rsid w:val="00FF30F0"/>
    <w:rsid w:val="00FF3456"/>
    <w:rsid w:val="00FF3870"/>
    <w:rsid w:val="00FF3999"/>
    <w:rsid w:val="00FF3A51"/>
    <w:rsid w:val="00FF3CF6"/>
    <w:rsid w:val="00FF40C2"/>
    <w:rsid w:val="00FF4755"/>
    <w:rsid w:val="00FF48F9"/>
    <w:rsid w:val="00FF4B31"/>
    <w:rsid w:val="00FF4E06"/>
    <w:rsid w:val="00FF4E16"/>
    <w:rsid w:val="00FF4E3F"/>
    <w:rsid w:val="00FF50E8"/>
    <w:rsid w:val="00FF533A"/>
    <w:rsid w:val="00FF5488"/>
    <w:rsid w:val="00FF5500"/>
    <w:rsid w:val="00FF556F"/>
    <w:rsid w:val="00FF55FE"/>
    <w:rsid w:val="00FF5622"/>
    <w:rsid w:val="00FF5895"/>
    <w:rsid w:val="00FF5A01"/>
    <w:rsid w:val="00FF5B8F"/>
    <w:rsid w:val="00FF5CDA"/>
    <w:rsid w:val="00FF5D82"/>
    <w:rsid w:val="00FF5ECB"/>
    <w:rsid w:val="00FF5FF4"/>
    <w:rsid w:val="00FF63A2"/>
    <w:rsid w:val="00FF6461"/>
    <w:rsid w:val="00FF6485"/>
    <w:rsid w:val="00FF6A23"/>
    <w:rsid w:val="00FF6A6D"/>
    <w:rsid w:val="00FF6AA6"/>
    <w:rsid w:val="00FF6F62"/>
    <w:rsid w:val="00FF70AC"/>
    <w:rsid w:val="00FF71F4"/>
    <w:rsid w:val="00FF7215"/>
    <w:rsid w:val="00FF761D"/>
    <w:rsid w:val="00FF7923"/>
    <w:rsid w:val="00FF79A4"/>
    <w:rsid w:val="00FF7D9E"/>
    <w:rsid w:val="00FF7EBA"/>
    <w:rsid w:val="018C1F27"/>
    <w:rsid w:val="0196AB25"/>
    <w:rsid w:val="01A218D7"/>
    <w:rsid w:val="01DB6389"/>
    <w:rsid w:val="01DD0D5D"/>
    <w:rsid w:val="01E2915E"/>
    <w:rsid w:val="02780FC1"/>
    <w:rsid w:val="027896CD"/>
    <w:rsid w:val="02831A08"/>
    <w:rsid w:val="0297969F"/>
    <w:rsid w:val="02EE5AED"/>
    <w:rsid w:val="02F276AA"/>
    <w:rsid w:val="03323984"/>
    <w:rsid w:val="0348CA52"/>
    <w:rsid w:val="0357DAE3"/>
    <w:rsid w:val="0379472C"/>
    <w:rsid w:val="037B79B4"/>
    <w:rsid w:val="03F7A407"/>
    <w:rsid w:val="0434531A"/>
    <w:rsid w:val="049F03E8"/>
    <w:rsid w:val="05B46254"/>
    <w:rsid w:val="05C9E098"/>
    <w:rsid w:val="05CC5EE1"/>
    <w:rsid w:val="05FB11B2"/>
    <w:rsid w:val="061F6979"/>
    <w:rsid w:val="063F06CF"/>
    <w:rsid w:val="0662A911"/>
    <w:rsid w:val="06D3D08B"/>
    <w:rsid w:val="07141088"/>
    <w:rsid w:val="072EB37B"/>
    <w:rsid w:val="074E2C52"/>
    <w:rsid w:val="0768394B"/>
    <w:rsid w:val="07951047"/>
    <w:rsid w:val="07A61C00"/>
    <w:rsid w:val="083D085C"/>
    <w:rsid w:val="088647F8"/>
    <w:rsid w:val="08ACCB00"/>
    <w:rsid w:val="09090672"/>
    <w:rsid w:val="091B6324"/>
    <w:rsid w:val="099D1A6E"/>
    <w:rsid w:val="0A08AEBF"/>
    <w:rsid w:val="0A4713B4"/>
    <w:rsid w:val="0A61BFA0"/>
    <w:rsid w:val="0B677CEC"/>
    <w:rsid w:val="0B6A056D"/>
    <w:rsid w:val="0BA9B470"/>
    <w:rsid w:val="0C58CF79"/>
    <w:rsid w:val="0CB10010"/>
    <w:rsid w:val="0CC59A8E"/>
    <w:rsid w:val="0D0B6574"/>
    <w:rsid w:val="0D3FFE0A"/>
    <w:rsid w:val="0D48AF37"/>
    <w:rsid w:val="0D65DB73"/>
    <w:rsid w:val="0D8454E9"/>
    <w:rsid w:val="0D8FCE0F"/>
    <w:rsid w:val="0DB831AA"/>
    <w:rsid w:val="0DBE1819"/>
    <w:rsid w:val="0DCA3D5F"/>
    <w:rsid w:val="0DD5026F"/>
    <w:rsid w:val="0E34CD2F"/>
    <w:rsid w:val="0EA3E769"/>
    <w:rsid w:val="0F696D26"/>
    <w:rsid w:val="0F8AC17C"/>
    <w:rsid w:val="0FFC50F9"/>
    <w:rsid w:val="100C4A82"/>
    <w:rsid w:val="101AF4DF"/>
    <w:rsid w:val="104BD284"/>
    <w:rsid w:val="10D21215"/>
    <w:rsid w:val="11A78EAA"/>
    <w:rsid w:val="11B67041"/>
    <w:rsid w:val="11DB88A7"/>
    <w:rsid w:val="1220E3C1"/>
    <w:rsid w:val="12329484"/>
    <w:rsid w:val="1232DCC8"/>
    <w:rsid w:val="128ABB74"/>
    <w:rsid w:val="1295B0A4"/>
    <w:rsid w:val="129BEB31"/>
    <w:rsid w:val="12A730E3"/>
    <w:rsid w:val="12C484E6"/>
    <w:rsid w:val="12D3FA50"/>
    <w:rsid w:val="12DAD580"/>
    <w:rsid w:val="130102AD"/>
    <w:rsid w:val="13803EDD"/>
    <w:rsid w:val="13A0941D"/>
    <w:rsid w:val="13B0C5C0"/>
    <w:rsid w:val="13E4C736"/>
    <w:rsid w:val="13FBAB31"/>
    <w:rsid w:val="142F4425"/>
    <w:rsid w:val="1499CED2"/>
    <w:rsid w:val="14AD4A70"/>
    <w:rsid w:val="14DEC7A6"/>
    <w:rsid w:val="1515E042"/>
    <w:rsid w:val="1525C0BB"/>
    <w:rsid w:val="15317EE7"/>
    <w:rsid w:val="15B8D76F"/>
    <w:rsid w:val="15BCD4D7"/>
    <w:rsid w:val="15FAFD06"/>
    <w:rsid w:val="1624368F"/>
    <w:rsid w:val="166EC65A"/>
    <w:rsid w:val="166FCD56"/>
    <w:rsid w:val="1700D781"/>
    <w:rsid w:val="1706EE16"/>
    <w:rsid w:val="1729FDA7"/>
    <w:rsid w:val="17C3DCB6"/>
    <w:rsid w:val="17D7B414"/>
    <w:rsid w:val="17E6C91F"/>
    <w:rsid w:val="18013F39"/>
    <w:rsid w:val="182E260A"/>
    <w:rsid w:val="186D996C"/>
    <w:rsid w:val="1885FB21"/>
    <w:rsid w:val="18AEA2BA"/>
    <w:rsid w:val="19A19752"/>
    <w:rsid w:val="19AC970B"/>
    <w:rsid w:val="19B34B0D"/>
    <w:rsid w:val="19B94831"/>
    <w:rsid w:val="19E2233D"/>
    <w:rsid w:val="1A184BA8"/>
    <w:rsid w:val="1A4C6783"/>
    <w:rsid w:val="1A6E6BAA"/>
    <w:rsid w:val="1A8339DD"/>
    <w:rsid w:val="1AAAD909"/>
    <w:rsid w:val="1AB0DFC3"/>
    <w:rsid w:val="1ABF41FE"/>
    <w:rsid w:val="1ADA6C88"/>
    <w:rsid w:val="1B7F78E4"/>
    <w:rsid w:val="1B84AA6A"/>
    <w:rsid w:val="1B8DCA5E"/>
    <w:rsid w:val="1BD3C7B6"/>
    <w:rsid w:val="1C23C4EA"/>
    <w:rsid w:val="1C5D6266"/>
    <w:rsid w:val="1C8C6210"/>
    <w:rsid w:val="1CA9AB18"/>
    <w:rsid w:val="1D0B51FC"/>
    <w:rsid w:val="1D292EA8"/>
    <w:rsid w:val="1D76D1EE"/>
    <w:rsid w:val="1DB5135E"/>
    <w:rsid w:val="1DB75ED1"/>
    <w:rsid w:val="1DBC57E4"/>
    <w:rsid w:val="1E0535F9"/>
    <w:rsid w:val="1E6E5A51"/>
    <w:rsid w:val="1E9FBE6D"/>
    <w:rsid w:val="1F13A084"/>
    <w:rsid w:val="1F26CA0D"/>
    <w:rsid w:val="1F8E035C"/>
    <w:rsid w:val="1F91CD17"/>
    <w:rsid w:val="1FB6CB2A"/>
    <w:rsid w:val="1FCCB7C3"/>
    <w:rsid w:val="2002AB24"/>
    <w:rsid w:val="200C13B5"/>
    <w:rsid w:val="2064662B"/>
    <w:rsid w:val="206E0D51"/>
    <w:rsid w:val="208D385B"/>
    <w:rsid w:val="20A0784A"/>
    <w:rsid w:val="210042B4"/>
    <w:rsid w:val="210FB1FB"/>
    <w:rsid w:val="21668A55"/>
    <w:rsid w:val="21822592"/>
    <w:rsid w:val="21B5BA0A"/>
    <w:rsid w:val="227735DF"/>
    <w:rsid w:val="228F52E2"/>
    <w:rsid w:val="22AF8827"/>
    <w:rsid w:val="22C0B705"/>
    <w:rsid w:val="2315B638"/>
    <w:rsid w:val="2347718B"/>
    <w:rsid w:val="2358D00C"/>
    <w:rsid w:val="23ACF251"/>
    <w:rsid w:val="23B2EE41"/>
    <w:rsid w:val="23B8F68B"/>
    <w:rsid w:val="2432E373"/>
    <w:rsid w:val="243FCCF2"/>
    <w:rsid w:val="247994DE"/>
    <w:rsid w:val="24B0FB1C"/>
    <w:rsid w:val="24DC577B"/>
    <w:rsid w:val="24F7AC46"/>
    <w:rsid w:val="2513805A"/>
    <w:rsid w:val="253E1917"/>
    <w:rsid w:val="2598871D"/>
    <w:rsid w:val="259E9E9A"/>
    <w:rsid w:val="25A966A4"/>
    <w:rsid w:val="25BD0FEE"/>
    <w:rsid w:val="25EBA5DF"/>
    <w:rsid w:val="25F43536"/>
    <w:rsid w:val="26613F7B"/>
    <w:rsid w:val="2721DEBA"/>
    <w:rsid w:val="27457A17"/>
    <w:rsid w:val="274AC2B8"/>
    <w:rsid w:val="274C650C"/>
    <w:rsid w:val="2750EA65"/>
    <w:rsid w:val="27670706"/>
    <w:rsid w:val="2783EDFF"/>
    <w:rsid w:val="27AA31D7"/>
    <w:rsid w:val="27AF32FD"/>
    <w:rsid w:val="2826E0ED"/>
    <w:rsid w:val="2879A4A1"/>
    <w:rsid w:val="28ABD19F"/>
    <w:rsid w:val="28ACFC12"/>
    <w:rsid w:val="28DF7EA2"/>
    <w:rsid w:val="28E517FB"/>
    <w:rsid w:val="298C9084"/>
    <w:rsid w:val="29E4850E"/>
    <w:rsid w:val="29EF248D"/>
    <w:rsid w:val="2A17C806"/>
    <w:rsid w:val="2A17EFA8"/>
    <w:rsid w:val="2A4C8CAB"/>
    <w:rsid w:val="2A6C38D1"/>
    <w:rsid w:val="2A84BC96"/>
    <w:rsid w:val="2AC923C1"/>
    <w:rsid w:val="2ADE8140"/>
    <w:rsid w:val="2AE0525F"/>
    <w:rsid w:val="2AF2C43A"/>
    <w:rsid w:val="2B51B3CE"/>
    <w:rsid w:val="2B84A818"/>
    <w:rsid w:val="2C355982"/>
    <w:rsid w:val="2C842FE7"/>
    <w:rsid w:val="2C8BCA32"/>
    <w:rsid w:val="2CC9A0B8"/>
    <w:rsid w:val="2CE40741"/>
    <w:rsid w:val="2D025C84"/>
    <w:rsid w:val="2D0D86B7"/>
    <w:rsid w:val="2D62FC7E"/>
    <w:rsid w:val="2D9B442B"/>
    <w:rsid w:val="2DB2E369"/>
    <w:rsid w:val="2E7D7D79"/>
    <w:rsid w:val="2EEDE7DF"/>
    <w:rsid w:val="2F64A2A8"/>
    <w:rsid w:val="2F6AB264"/>
    <w:rsid w:val="2FA0984C"/>
    <w:rsid w:val="2FB802CA"/>
    <w:rsid w:val="2FE394DB"/>
    <w:rsid w:val="303F94AE"/>
    <w:rsid w:val="30A1ED01"/>
    <w:rsid w:val="30AF072C"/>
    <w:rsid w:val="30E5EC49"/>
    <w:rsid w:val="312BC009"/>
    <w:rsid w:val="313F9B34"/>
    <w:rsid w:val="319A8A74"/>
    <w:rsid w:val="31E58BE7"/>
    <w:rsid w:val="31F1CB0F"/>
    <w:rsid w:val="32333F52"/>
    <w:rsid w:val="3290FE2F"/>
    <w:rsid w:val="330536BE"/>
    <w:rsid w:val="3344D42C"/>
    <w:rsid w:val="3349CD8F"/>
    <w:rsid w:val="334B791F"/>
    <w:rsid w:val="33C55E22"/>
    <w:rsid w:val="33DD2F51"/>
    <w:rsid w:val="346D637A"/>
    <w:rsid w:val="347BA4B2"/>
    <w:rsid w:val="35081D01"/>
    <w:rsid w:val="352DE14D"/>
    <w:rsid w:val="3591434D"/>
    <w:rsid w:val="35A3E7C6"/>
    <w:rsid w:val="35F1D782"/>
    <w:rsid w:val="36081B09"/>
    <w:rsid w:val="36408D1E"/>
    <w:rsid w:val="364ABC9F"/>
    <w:rsid w:val="36D05EFF"/>
    <w:rsid w:val="36E22371"/>
    <w:rsid w:val="371A10B3"/>
    <w:rsid w:val="3741D89E"/>
    <w:rsid w:val="37433714"/>
    <w:rsid w:val="37644628"/>
    <w:rsid w:val="378697D1"/>
    <w:rsid w:val="378BD253"/>
    <w:rsid w:val="37B6F741"/>
    <w:rsid w:val="37D01011"/>
    <w:rsid w:val="37FD568A"/>
    <w:rsid w:val="3827EA7E"/>
    <w:rsid w:val="389240C3"/>
    <w:rsid w:val="38BB2AE8"/>
    <w:rsid w:val="39057019"/>
    <w:rsid w:val="3929E2E2"/>
    <w:rsid w:val="3934F331"/>
    <w:rsid w:val="39453B9C"/>
    <w:rsid w:val="39740A4E"/>
    <w:rsid w:val="3998EF95"/>
    <w:rsid w:val="39A9BF96"/>
    <w:rsid w:val="39D4A21E"/>
    <w:rsid w:val="39E89349"/>
    <w:rsid w:val="39F4B8C6"/>
    <w:rsid w:val="3A5B4982"/>
    <w:rsid w:val="3A7DB102"/>
    <w:rsid w:val="3A834720"/>
    <w:rsid w:val="3AA62153"/>
    <w:rsid w:val="3AC7580B"/>
    <w:rsid w:val="3B8150A3"/>
    <w:rsid w:val="3B847C58"/>
    <w:rsid w:val="3BEFCA4E"/>
    <w:rsid w:val="3C6247BE"/>
    <w:rsid w:val="3CBD8A6E"/>
    <w:rsid w:val="3CD5AFDD"/>
    <w:rsid w:val="3CD81E6A"/>
    <w:rsid w:val="3CDFDAB5"/>
    <w:rsid w:val="3D32EDA0"/>
    <w:rsid w:val="3DFFE6FF"/>
    <w:rsid w:val="3E01E215"/>
    <w:rsid w:val="3EA07F4F"/>
    <w:rsid w:val="3F0DEB05"/>
    <w:rsid w:val="3FC5B1AE"/>
    <w:rsid w:val="408ECE28"/>
    <w:rsid w:val="40EC2965"/>
    <w:rsid w:val="4116F34C"/>
    <w:rsid w:val="41A34973"/>
    <w:rsid w:val="41DA25A4"/>
    <w:rsid w:val="41E03FFF"/>
    <w:rsid w:val="41F7ED6E"/>
    <w:rsid w:val="422814AF"/>
    <w:rsid w:val="42429446"/>
    <w:rsid w:val="42451A7D"/>
    <w:rsid w:val="424ACB07"/>
    <w:rsid w:val="425A2811"/>
    <w:rsid w:val="426FA42C"/>
    <w:rsid w:val="428D214E"/>
    <w:rsid w:val="4340E1C4"/>
    <w:rsid w:val="43542B85"/>
    <w:rsid w:val="436E0AB9"/>
    <w:rsid w:val="437999A1"/>
    <w:rsid w:val="43B268B8"/>
    <w:rsid w:val="43DDCD2F"/>
    <w:rsid w:val="43FC109F"/>
    <w:rsid w:val="443A3206"/>
    <w:rsid w:val="44661E93"/>
    <w:rsid w:val="44D4B0AE"/>
    <w:rsid w:val="44EDCD89"/>
    <w:rsid w:val="455CF98E"/>
    <w:rsid w:val="45714F3D"/>
    <w:rsid w:val="462F99E9"/>
    <w:rsid w:val="466941D9"/>
    <w:rsid w:val="46D9B281"/>
    <w:rsid w:val="46F1F04B"/>
    <w:rsid w:val="473E4449"/>
    <w:rsid w:val="477CF6AE"/>
    <w:rsid w:val="478241D8"/>
    <w:rsid w:val="47A63FCE"/>
    <w:rsid w:val="47D5F92A"/>
    <w:rsid w:val="47F7A1D7"/>
    <w:rsid w:val="48059A0A"/>
    <w:rsid w:val="4824BD6C"/>
    <w:rsid w:val="4853D4C0"/>
    <w:rsid w:val="485C0EAB"/>
    <w:rsid w:val="48A4BF0C"/>
    <w:rsid w:val="490F2D12"/>
    <w:rsid w:val="492467A8"/>
    <w:rsid w:val="495B31DF"/>
    <w:rsid w:val="49A34062"/>
    <w:rsid w:val="49E3A8DD"/>
    <w:rsid w:val="49E9DC9E"/>
    <w:rsid w:val="4A08776B"/>
    <w:rsid w:val="4A09514C"/>
    <w:rsid w:val="4A732011"/>
    <w:rsid w:val="4A761459"/>
    <w:rsid w:val="4ACDAA73"/>
    <w:rsid w:val="4AEAD239"/>
    <w:rsid w:val="4B642046"/>
    <w:rsid w:val="4B722E7D"/>
    <w:rsid w:val="4BB4CBDB"/>
    <w:rsid w:val="4C0115EA"/>
    <w:rsid w:val="4C22018D"/>
    <w:rsid w:val="4C88518B"/>
    <w:rsid w:val="4CB24D6C"/>
    <w:rsid w:val="4CC0AE28"/>
    <w:rsid w:val="4CE8CC12"/>
    <w:rsid w:val="4D174E8B"/>
    <w:rsid w:val="4D70A43B"/>
    <w:rsid w:val="4DA46E2F"/>
    <w:rsid w:val="4DB4504D"/>
    <w:rsid w:val="4DB84C40"/>
    <w:rsid w:val="4DBAD931"/>
    <w:rsid w:val="4DC94746"/>
    <w:rsid w:val="4DD363EF"/>
    <w:rsid w:val="4DF02D21"/>
    <w:rsid w:val="4E1F9481"/>
    <w:rsid w:val="4E802C22"/>
    <w:rsid w:val="4E87864E"/>
    <w:rsid w:val="4E9BEF04"/>
    <w:rsid w:val="4F4785A3"/>
    <w:rsid w:val="4F8A3DF7"/>
    <w:rsid w:val="4FF23C13"/>
    <w:rsid w:val="4FFD948A"/>
    <w:rsid w:val="501B650B"/>
    <w:rsid w:val="505EC863"/>
    <w:rsid w:val="50BA7546"/>
    <w:rsid w:val="510EC357"/>
    <w:rsid w:val="51331747"/>
    <w:rsid w:val="51462BA7"/>
    <w:rsid w:val="51521DCE"/>
    <w:rsid w:val="5179E6DD"/>
    <w:rsid w:val="51C43C61"/>
    <w:rsid w:val="522AD250"/>
    <w:rsid w:val="524829C8"/>
    <w:rsid w:val="525F75AB"/>
    <w:rsid w:val="52636263"/>
    <w:rsid w:val="5268511A"/>
    <w:rsid w:val="533A5F25"/>
    <w:rsid w:val="53462BAC"/>
    <w:rsid w:val="53920224"/>
    <w:rsid w:val="539DA83F"/>
    <w:rsid w:val="53A42E48"/>
    <w:rsid w:val="53F085C9"/>
    <w:rsid w:val="541A0898"/>
    <w:rsid w:val="544AB5A8"/>
    <w:rsid w:val="54B4026C"/>
    <w:rsid w:val="54C077E6"/>
    <w:rsid w:val="54C6DC6D"/>
    <w:rsid w:val="54E8180D"/>
    <w:rsid w:val="555F655E"/>
    <w:rsid w:val="55B26444"/>
    <w:rsid w:val="55CE5E5A"/>
    <w:rsid w:val="55E461A8"/>
    <w:rsid w:val="566639C1"/>
    <w:rsid w:val="56A59FEC"/>
    <w:rsid w:val="56DC5318"/>
    <w:rsid w:val="5746C4EB"/>
    <w:rsid w:val="57756A27"/>
    <w:rsid w:val="57ED1913"/>
    <w:rsid w:val="57FBB7ED"/>
    <w:rsid w:val="583E92F5"/>
    <w:rsid w:val="5853F5F1"/>
    <w:rsid w:val="5886A399"/>
    <w:rsid w:val="58A47CD3"/>
    <w:rsid w:val="58ADF5D8"/>
    <w:rsid w:val="592CEA9F"/>
    <w:rsid w:val="597C7261"/>
    <w:rsid w:val="59845544"/>
    <w:rsid w:val="59CAB0DF"/>
    <w:rsid w:val="59F96800"/>
    <w:rsid w:val="5A275709"/>
    <w:rsid w:val="5A27CBB5"/>
    <w:rsid w:val="5A3D4144"/>
    <w:rsid w:val="5A86E56D"/>
    <w:rsid w:val="5A9FE8F4"/>
    <w:rsid w:val="5AD76621"/>
    <w:rsid w:val="5AF5E35F"/>
    <w:rsid w:val="5AFE3828"/>
    <w:rsid w:val="5B0A43CC"/>
    <w:rsid w:val="5B16A6C8"/>
    <w:rsid w:val="5B477309"/>
    <w:rsid w:val="5B496D26"/>
    <w:rsid w:val="5B7E00C8"/>
    <w:rsid w:val="5BA7AABD"/>
    <w:rsid w:val="5BAEE142"/>
    <w:rsid w:val="5C1C3A28"/>
    <w:rsid w:val="5C70AE69"/>
    <w:rsid w:val="5C9535A3"/>
    <w:rsid w:val="5CC027CC"/>
    <w:rsid w:val="5D32A033"/>
    <w:rsid w:val="5D595C3E"/>
    <w:rsid w:val="5D5E0644"/>
    <w:rsid w:val="5D78D173"/>
    <w:rsid w:val="5D91F4A7"/>
    <w:rsid w:val="5D943B36"/>
    <w:rsid w:val="5DADB521"/>
    <w:rsid w:val="5E1633F5"/>
    <w:rsid w:val="5E8D9987"/>
    <w:rsid w:val="5EFC0E93"/>
    <w:rsid w:val="5FAA0F02"/>
    <w:rsid w:val="5FFC9EC8"/>
    <w:rsid w:val="6014A32F"/>
    <w:rsid w:val="605551AD"/>
    <w:rsid w:val="60577727"/>
    <w:rsid w:val="60EBEDEB"/>
    <w:rsid w:val="612DDB5E"/>
    <w:rsid w:val="61310ECF"/>
    <w:rsid w:val="619DC882"/>
    <w:rsid w:val="619DFF66"/>
    <w:rsid w:val="62219F04"/>
    <w:rsid w:val="6277389F"/>
    <w:rsid w:val="6287DBFE"/>
    <w:rsid w:val="6291D27C"/>
    <w:rsid w:val="62B19A3D"/>
    <w:rsid w:val="62B8FA85"/>
    <w:rsid w:val="62DE4840"/>
    <w:rsid w:val="6362BD26"/>
    <w:rsid w:val="636FE59D"/>
    <w:rsid w:val="638934E2"/>
    <w:rsid w:val="6396CCF2"/>
    <w:rsid w:val="63AE5DEF"/>
    <w:rsid w:val="63EB392C"/>
    <w:rsid w:val="6437E726"/>
    <w:rsid w:val="646F0885"/>
    <w:rsid w:val="64864F37"/>
    <w:rsid w:val="648FE744"/>
    <w:rsid w:val="64BE2C80"/>
    <w:rsid w:val="64CCD1C9"/>
    <w:rsid w:val="654915A1"/>
    <w:rsid w:val="6557BBC6"/>
    <w:rsid w:val="657B50C4"/>
    <w:rsid w:val="658B77DE"/>
    <w:rsid w:val="65F85A00"/>
    <w:rsid w:val="660DEE56"/>
    <w:rsid w:val="6672681A"/>
    <w:rsid w:val="667AC083"/>
    <w:rsid w:val="6684B835"/>
    <w:rsid w:val="669FFB9F"/>
    <w:rsid w:val="66C9C56C"/>
    <w:rsid w:val="670D6A69"/>
    <w:rsid w:val="6726E6F0"/>
    <w:rsid w:val="6736D3A2"/>
    <w:rsid w:val="67441058"/>
    <w:rsid w:val="67B9ABD8"/>
    <w:rsid w:val="67E7333D"/>
    <w:rsid w:val="67F31982"/>
    <w:rsid w:val="680AF5CB"/>
    <w:rsid w:val="689FC9A9"/>
    <w:rsid w:val="68CACA3C"/>
    <w:rsid w:val="68CDBF16"/>
    <w:rsid w:val="68E7EAE2"/>
    <w:rsid w:val="68FFE975"/>
    <w:rsid w:val="6988A4D2"/>
    <w:rsid w:val="69A86D38"/>
    <w:rsid w:val="6A1DD0AC"/>
    <w:rsid w:val="6A1F9059"/>
    <w:rsid w:val="6A5792F3"/>
    <w:rsid w:val="6A90BCF8"/>
    <w:rsid w:val="6AC4258D"/>
    <w:rsid w:val="6AE9D2FE"/>
    <w:rsid w:val="6AEB8821"/>
    <w:rsid w:val="6B63FCC4"/>
    <w:rsid w:val="6B70BA2E"/>
    <w:rsid w:val="6B7FA976"/>
    <w:rsid w:val="6B9F8F6E"/>
    <w:rsid w:val="6BB9B0D3"/>
    <w:rsid w:val="6BBB690D"/>
    <w:rsid w:val="6BE8B941"/>
    <w:rsid w:val="6C6577A0"/>
    <w:rsid w:val="6C67C379"/>
    <w:rsid w:val="6C87B0D4"/>
    <w:rsid w:val="6CA0BE2D"/>
    <w:rsid w:val="6CE78FD7"/>
    <w:rsid w:val="6E0374C1"/>
    <w:rsid w:val="6E61A8CD"/>
    <w:rsid w:val="6EFCF9A5"/>
    <w:rsid w:val="6F26EABA"/>
    <w:rsid w:val="6F6F058A"/>
    <w:rsid w:val="6F8C1101"/>
    <w:rsid w:val="6F98A2AE"/>
    <w:rsid w:val="6FA4CA30"/>
    <w:rsid w:val="6FFFF206"/>
    <w:rsid w:val="706664A2"/>
    <w:rsid w:val="70758351"/>
    <w:rsid w:val="7091506E"/>
    <w:rsid w:val="70DC1DAE"/>
    <w:rsid w:val="70E2AE16"/>
    <w:rsid w:val="70E75FA8"/>
    <w:rsid w:val="7131D87C"/>
    <w:rsid w:val="72415948"/>
    <w:rsid w:val="72A67CBA"/>
    <w:rsid w:val="72B2399D"/>
    <w:rsid w:val="72B6867E"/>
    <w:rsid w:val="73063BC1"/>
    <w:rsid w:val="730885E5"/>
    <w:rsid w:val="73152B73"/>
    <w:rsid w:val="7372BFAF"/>
    <w:rsid w:val="7375F391"/>
    <w:rsid w:val="73D284A4"/>
    <w:rsid w:val="73F1D9A0"/>
    <w:rsid w:val="7404A93F"/>
    <w:rsid w:val="74474A82"/>
    <w:rsid w:val="7456DC52"/>
    <w:rsid w:val="74A13CC6"/>
    <w:rsid w:val="75ADE8E9"/>
    <w:rsid w:val="75D3463B"/>
    <w:rsid w:val="7606B3A2"/>
    <w:rsid w:val="76160E8A"/>
    <w:rsid w:val="76303D18"/>
    <w:rsid w:val="767991C8"/>
    <w:rsid w:val="768003E7"/>
    <w:rsid w:val="77161F10"/>
    <w:rsid w:val="775AE3D8"/>
    <w:rsid w:val="77836D05"/>
    <w:rsid w:val="77A0AFFB"/>
    <w:rsid w:val="77C577A2"/>
    <w:rsid w:val="77D0BE2C"/>
    <w:rsid w:val="77DDE632"/>
    <w:rsid w:val="783C523B"/>
    <w:rsid w:val="78427FCC"/>
    <w:rsid w:val="784848B4"/>
    <w:rsid w:val="7875C049"/>
    <w:rsid w:val="78B14F83"/>
    <w:rsid w:val="78CA870E"/>
    <w:rsid w:val="78EAADEC"/>
    <w:rsid w:val="790756CE"/>
    <w:rsid w:val="79325243"/>
    <w:rsid w:val="79585818"/>
    <w:rsid w:val="796447F3"/>
    <w:rsid w:val="79906C85"/>
    <w:rsid w:val="79926BB9"/>
    <w:rsid w:val="799A17D3"/>
    <w:rsid w:val="79E36B0F"/>
    <w:rsid w:val="7A5767DB"/>
    <w:rsid w:val="7A68B954"/>
    <w:rsid w:val="7A8D0638"/>
    <w:rsid w:val="7B1F66D4"/>
    <w:rsid w:val="7B4A08FF"/>
    <w:rsid w:val="7B74E1BE"/>
    <w:rsid w:val="7B8F2128"/>
    <w:rsid w:val="7BBEF75C"/>
    <w:rsid w:val="7BEBCE4A"/>
    <w:rsid w:val="7C18BF8F"/>
    <w:rsid w:val="7C217041"/>
    <w:rsid w:val="7C55653D"/>
    <w:rsid w:val="7C9302F8"/>
    <w:rsid w:val="7C994D29"/>
    <w:rsid w:val="7CA65826"/>
    <w:rsid w:val="7CFC6912"/>
    <w:rsid w:val="7D16492D"/>
    <w:rsid w:val="7D4DCA35"/>
    <w:rsid w:val="7D5809F7"/>
    <w:rsid w:val="7DD8114A"/>
    <w:rsid w:val="7DDFDBA9"/>
    <w:rsid w:val="7E0C8053"/>
    <w:rsid w:val="7E5FB3D2"/>
    <w:rsid w:val="7E79711D"/>
    <w:rsid w:val="7E7F8D6E"/>
    <w:rsid w:val="7E9445FE"/>
    <w:rsid w:val="7ED58E37"/>
    <w:rsid w:val="7ED769BF"/>
    <w:rsid w:val="7EDB1ED5"/>
    <w:rsid w:val="7F0D8E4F"/>
    <w:rsid w:val="7F59A780"/>
    <w:rsid w:val="7F713860"/>
    <w:rsid w:val="7FAC8042"/>
    <w:rsid w:val="7FBA43F1"/>
    <w:rsid w:val="7FCF44E1"/>
    <w:rsid w:val="7FD44E21"/>
    <w:rsid w:val="7FE947F8"/>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689170"/>
  <w15:chartTrackingRefBased/>
  <w15:docId w15:val="{53A0A23B-8A39-4666-8C9A-7C97FCACF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sz w:val="22"/>
        <w:lang w:val="es-CO" w:eastAsia="es-CO"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1512"/>
    <w:pPr>
      <w:spacing w:before="120" w:after="120"/>
      <w:jc w:val="both"/>
    </w:pPr>
  </w:style>
  <w:style w:type="paragraph" w:styleId="Ttulo1">
    <w:name w:val="heading 1"/>
    <w:basedOn w:val="Normal"/>
    <w:next w:val="Normal"/>
    <w:link w:val="Ttulo1Car"/>
    <w:qFormat/>
    <w:rsid w:val="00ED4190"/>
    <w:pPr>
      <w:keepNext/>
      <w:numPr>
        <w:numId w:val="1"/>
      </w:numPr>
      <w:suppressAutoHyphens/>
      <w:spacing w:before="240" w:after="240"/>
      <w:outlineLvl w:val="0"/>
    </w:pPr>
    <w:rPr>
      <w:b/>
    </w:rPr>
  </w:style>
  <w:style w:type="paragraph" w:styleId="Ttulo2">
    <w:name w:val="heading 2"/>
    <w:basedOn w:val="Normal"/>
    <w:next w:val="Normal"/>
    <w:autoRedefine/>
    <w:qFormat/>
    <w:rsid w:val="00DB3094"/>
    <w:pPr>
      <w:keepNext/>
      <w:numPr>
        <w:ilvl w:val="1"/>
        <w:numId w:val="1"/>
      </w:numPr>
      <w:spacing w:before="240" w:after="240"/>
      <w:outlineLvl w:val="1"/>
    </w:pPr>
    <w:rPr>
      <w:b/>
      <w:szCs w:val="24"/>
    </w:rPr>
  </w:style>
  <w:style w:type="paragraph" w:styleId="Ttulo3">
    <w:name w:val="heading 3"/>
    <w:basedOn w:val="Normal"/>
    <w:next w:val="Normal"/>
    <w:qFormat/>
    <w:rsid w:val="00ED4C94"/>
    <w:pPr>
      <w:keepNext/>
      <w:numPr>
        <w:ilvl w:val="2"/>
        <w:numId w:val="1"/>
      </w:numPr>
      <w:tabs>
        <w:tab w:val="left" w:pos="0"/>
      </w:tabs>
      <w:suppressAutoHyphens/>
      <w:spacing w:before="240" w:after="240"/>
      <w:outlineLvl w:val="2"/>
    </w:pPr>
    <w:rPr>
      <w:b/>
    </w:rPr>
  </w:style>
  <w:style w:type="paragraph" w:styleId="Ttulo4">
    <w:name w:val="heading 4"/>
    <w:basedOn w:val="Normal"/>
    <w:next w:val="Normal"/>
    <w:link w:val="Ttulo4Car"/>
    <w:qFormat/>
    <w:pPr>
      <w:keepNext/>
      <w:numPr>
        <w:ilvl w:val="3"/>
        <w:numId w:val="1"/>
      </w:numPr>
      <w:spacing w:after="240"/>
      <w:outlineLvl w:val="3"/>
    </w:pPr>
    <w:rPr>
      <w:b/>
    </w:rPr>
  </w:style>
  <w:style w:type="paragraph" w:styleId="Ttulo5">
    <w:name w:val="heading 5"/>
    <w:basedOn w:val="Normal"/>
    <w:next w:val="Normal"/>
    <w:qFormat/>
    <w:pPr>
      <w:keepNext/>
      <w:numPr>
        <w:ilvl w:val="4"/>
        <w:numId w:val="1"/>
      </w:numPr>
      <w:spacing w:after="240"/>
      <w:outlineLvl w:val="4"/>
    </w:pPr>
  </w:style>
  <w:style w:type="paragraph" w:styleId="Ttulo6">
    <w:name w:val="heading 6"/>
    <w:basedOn w:val="Normal"/>
    <w:next w:val="Normal"/>
    <w:qFormat/>
    <w:pPr>
      <w:numPr>
        <w:ilvl w:val="5"/>
        <w:numId w:val="1"/>
      </w:numPr>
      <w:spacing w:before="240" w:after="60"/>
      <w:outlineLvl w:val="5"/>
    </w:pPr>
    <w:rPr>
      <w:rFonts w:ascii="Times New Roman" w:hAnsi="Times New Roman"/>
      <w:i/>
    </w:rPr>
  </w:style>
  <w:style w:type="paragraph" w:styleId="Ttulo7">
    <w:name w:val="heading 7"/>
    <w:basedOn w:val="Normal"/>
    <w:next w:val="Normal"/>
    <w:qFormat/>
    <w:pPr>
      <w:numPr>
        <w:ilvl w:val="6"/>
        <w:numId w:val="1"/>
      </w:numPr>
      <w:spacing w:before="240" w:after="60"/>
      <w:outlineLvl w:val="6"/>
    </w:pPr>
    <w:rPr>
      <w:sz w:val="20"/>
    </w:rPr>
  </w:style>
  <w:style w:type="paragraph" w:styleId="Ttulo8">
    <w:name w:val="heading 8"/>
    <w:basedOn w:val="Normal"/>
    <w:next w:val="Normal"/>
    <w:qFormat/>
    <w:pPr>
      <w:numPr>
        <w:ilvl w:val="7"/>
        <w:numId w:val="1"/>
      </w:numPr>
      <w:spacing w:before="240" w:after="60"/>
      <w:outlineLvl w:val="7"/>
    </w:pPr>
    <w:rPr>
      <w:i/>
      <w:sz w:val="20"/>
    </w:rPr>
  </w:style>
  <w:style w:type="paragraph" w:styleId="Ttulo9">
    <w:name w:val="heading 9"/>
    <w:basedOn w:val="Normal"/>
    <w:next w:val="Normal"/>
    <w:qFormat/>
    <w:pPr>
      <w:numPr>
        <w:ilvl w:val="8"/>
        <w:numId w:val="1"/>
      </w:numPr>
      <w:spacing w:before="240" w:after="60"/>
      <w:outlineLvl w:val="8"/>
    </w:pPr>
    <w:rPr>
      <w:b/>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qFormat/>
    <w:pPr>
      <w:jc w:val="center"/>
    </w:pPr>
    <w:rPr>
      <w:b/>
    </w:rPr>
  </w:style>
  <w:style w:type="paragraph" w:styleId="TDC1">
    <w:name w:val="toc 1"/>
    <w:basedOn w:val="Normal"/>
    <w:next w:val="Normal"/>
    <w:autoRedefine/>
    <w:uiPriority w:val="39"/>
    <w:rsid w:val="00162479"/>
    <w:pPr>
      <w:tabs>
        <w:tab w:val="left" w:pos="284"/>
        <w:tab w:val="right" w:leader="dot" w:pos="8828"/>
      </w:tabs>
    </w:pPr>
    <w:rPr>
      <w:noProof/>
      <w:szCs w:val="24"/>
    </w:rPr>
  </w:style>
  <w:style w:type="paragraph" w:styleId="TDC2">
    <w:name w:val="toc 2"/>
    <w:basedOn w:val="Normal"/>
    <w:next w:val="Normal"/>
    <w:autoRedefine/>
    <w:uiPriority w:val="39"/>
    <w:rsid w:val="00C5224C"/>
    <w:pPr>
      <w:tabs>
        <w:tab w:val="left" w:pos="960"/>
        <w:tab w:val="right" w:leader="dot" w:pos="8820"/>
      </w:tabs>
      <w:ind w:left="960" w:right="378" w:hanging="534"/>
      <w:jc w:val="left"/>
    </w:pPr>
    <w:rPr>
      <w:noProof/>
      <w:szCs w:val="24"/>
    </w:rPr>
  </w:style>
  <w:style w:type="paragraph" w:styleId="TDC3">
    <w:name w:val="toc 3"/>
    <w:basedOn w:val="Normal"/>
    <w:next w:val="Normal"/>
    <w:autoRedefine/>
    <w:uiPriority w:val="39"/>
    <w:rsid w:val="009A07B8"/>
    <w:pPr>
      <w:tabs>
        <w:tab w:val="left" w:pos="1440"/>
        <w:tab w:val="right" w:leader="dot" w:pos="8828"/>
      </w:tabs>
      <w:ind w:left="480"/>
    </w:pPr>
    <w:rPr>
      <w:szCs w:val="24"/>
    </w:rPr>
  </w:style>
  <w:style w:type="paragraph" w:customStyle="1" w:styleId="Citas">
    <w:name w:val="Citas"/>
    <w:basedOn w:val="Normal"/>
    <w:next w:val="Normal"/>
    <w:pPr>
      <w:ind w:left="708" w:right="476"/>
    </w:pPr>
    <w:rPr>
      <w:rFonts w:ascii="Times New Roman" w:hAnsi="Times New Roman"/>
      <w:i/>
      <w:iCs/>
    </w:rPr>
  </w:style>
  <w:style w:type="paragraph" w:styleId="Piedepgina">
    <w:name w:val="footer"/>
    <w:basedOn w:val="Normal"/>
    <w:link w:val="PiedepginaCar"/>
    <w:uiPriority w:val="99"/>
    <w:pPr>
      <w:tabs>
        <w:tab w:val="center" w:pos="4252"/>
        <w:tab w:val="right" w:pos="8504"/>
      </w:tabs>
    </w:p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 Car Car Car"/>
    <w:basedOn w:val="Normal"/>
    <w:link w:val="TextonotapieCar"/>
    <w:rPr>
      <w:sz w:val="20"/>
    </w:rPr>
  </w:style>
  <w:style w:type="paragraph" w:customStyle="1" w:styleId="Epgrafe">
    <w:name w:val="Epígrafe"/>
    <w:basedOn w:val="Normal"/>
    <w:next w:val="Normal"/>
    <w:qFormat/>
    <w:rPr>
      <w:b/>
    </w:rPr>
  </w:style>
  <w:style w:type="paragraph" w:styleId="Sangra2detindependiente">
    <w:name w:val="Body Text Indent 2"/>
    <w:basedOn w:val="Normal"/>
    <w:semiHidden/>
    <w:pPr>
      <w:ind w:left="567" w:hanging="567"/>
      <w:outlineLvl w:val="0"/>
    </w:pPr>
    <w:rPr>
      <w:b/>
      <w:sz w:val="20"/>
      <w:szCs w:val="24"/>
    </w:rPr>
  </w:style>
  <w:style w:type="paragraph" w:styleId="Textoindependiente">
    <w:name w:val="Body Text"/>
    <w:basedOn w:val="Normal"/>
    <w:semiHidden/>
    <w:pPr>
      <w:jc w:val="center"/>
    </w:pPr>
    <w:rPr>
      <w:b/>
      <w:sz w:val="48"/>
    </w:rPr>
  </w:style>
  <w:style w:type="paragraph" w:styleId="TDC4">
    <w:name w:val="toc 4"/>
    <w:basedOn w:val="Normal"/>
    <w:next w:val="Normal"/>
    <w:autoRedefine/>
    <w:uiPriority w:val="39"/>
    <w:pPr>
      <w:ind w:left="720"/>
    </w:pPr>
  </w:style>
  <w:style w:type="paragraph" w:styleId="TDC5">
    <w:name w:val="toc 5"/>
    <w:basedOn w:val="Normal"/>
    <w:next w:val="Normal"/>
    <w:autoRedefine/>
    <w:semiHidden/>
    <w:pPr>
      <w:ind w:left="960"/>
    </w:pPr>
  </w:style>
  <w:style w:type="paragraph" w:styleId="TDC6">
    <w:name w:val="toc 6"/>
    <w:basedOn w:val="Normal"/>
    <w:next w:val="Normal"/>
    <w:autoRedefine/>
    <w:semiHidden/>
    <w:pPr>
      <w:ind w:left="1200"/>
    </w:pPr>
  </w:style>
  <w:style w:type="paragraph" w:styleId="TDC7">
    <w:name w:val="toc 7"/>
    <w:basedOn w:val="Normal"/>
    <w:next w:val="Normal"/>
    <w:autoRedefine/>
    <w:semiHidden/>
    <w:pPr>
      <w:ind w:left="1440"/>
    </w:pPr>
  </w:style>
  <w:style w:type="paragraph" w:styleId="TDC8">
    <w:name w:val="toc 8"/>
    <w:basedOn w:val="Normal"/>
    <w:next w:val="Normal"/>
    <w:autoRedefine/>
    <w:semiHidden/>
    <w:pPr>
      <w:ind w:left="1680"/>
    </w:pPr>
  </w:style>
  <w:style w:type="paragraph" w:styleId="TDC9">
    <w:name w:val="toc 9"/>
    <w:basedOn w:val="Normal"/>
    <w:next w:val="Normal"/>
    <w:autoRedefine/>
    <w:semiHidden/>
    <w:pPr>
      <w:ind w:left="1920"/>
    </w:pPr>
  </w:style>
  <w:style w:type="character" w:styleId="Hipervnculo">
    <w:name w:val="Hyperlink"/>
    <w:uiPriority w:val="99"/>
    <w:rPr>
      <w:color w:val="0000FF"/>
      <w:u w:val="single"/>
    </w:rPr>
  </w:style>
  <w:style w:type="character" w:styleId="Nmerodepgina">
    <w:name w:val="page number"/>
    <w:basedOn w:val="Fuentedeprrafopredeter"/>
    <w:semiHidden/>
  </w:style>
  <w:style w:type="paragraph" w:styleId="Encabezado">
    <w:name w:val="header"/>
    <w:basedOn w:val="Normal"/>
    <w:semiHidden/>
    <w:pPr>
      <w:tabs>
        <w:tab w:val="center" w:pos="4252"/>
        <w:tab w:val="right" w:pos="8504"/>
      </w:tabs>
    </w:pPr>
  </w:style>
  <w:style w:type="character" w:styleId="Refdenotaalpie">
    <w:name w:val="footnote reference"/>
    <w:uiPriority w:val="99"/>
    <w:semiHidden/>
    <w:rPr>
      <w:vertAlign w:val="superscript"/>
    </w:rPr>
  </w:style>
  <w:style w:type="paragraph" w:styleId="Textoindependiente2">
    <w:name w:val="Body Text 2"/>
    <w:basedOn w:val="Normal"/>
    <w:semiHidden/>
    <w:pPr>
      <w:tabs>
        <w:tab w:val="left" w:pos="-720"/>
        <w:tab w:val="left" w:pos="0"/>
      </w:tabs>
      <w:suppressAutoHyphens/>
    </w:pPr>
    <w:rPr>
      <w:color w:val="000000"/>
      <w:spacing w:val="-3"/>
    </w:rPr>
  </w:style>
  <w:style w:type="paragraph" w:styleId="Textoindependiente3">
    <w:name w:val="Body Text 3"/>
    <w:basedOn w:val="Normal"/>
    <w:semiHidden/>
    <w:pPr>
      <w:jc w:val="center"/>
    </w:pPr>
    <w:rPr>
      <w:b/>
      <w:bCs/>
    </w:rPr>
  </w:style>
  <w:style w:type="paragraph" w:styleId="Textodebloque">
    <w:name w:val="Block Text"/>
    <w:basedOn w:val="Normal"/>
    <w:semiHidden/>
    <w:pPr>
      <w:ind w:left="709" w:right="901"/>
      <w:jc w:val="center"/>
    </w:pPr>
    <w:rPr>
      <w:rFonts w:ascii="Bookman Old Style" w:hAnsi="Bookman Old Style"/>
      <w:szCs w:val="24"/>
    </w:rPr>
  </w:style>
  <w:style w:type="paragraph" w:styleId="Tabladeilustraciones">
    <w:name w:val="table of figures"/>
    <w:basedOn w:val="Normal"/>
    <w:next w:val="Normal"/>
    <w:uiPriority w:val="99"/>
    <w:pPr>
      <w:tabs>
        <w:tab w:val="right" w:leader="dot" w:pos="8828"/>
      </w:tabs>
      <w:ind w:left="480" w:hanging="480"/>
    </w:pPr>
    <w:rPr>
      <w:noProof/>
    </w:rPr>
  </w:style>
  <w:style w:type="character" w:styleId="Refdecomentario">
    <w:name w:val="annotation reference"/>
    <w:uiPriority w:val="99"/>
    <w:semiHidden/>
    <w:rPr>
      <w:sz w:val="16"/>
      <w:szCs w:val="16"/>
    </w:rPr>
  </w:style>
  <w:style w:type="paragraph" w:styleId="Textocomentario">
    <w:name w:val="annotation text"/>
    <w:basedOn w:val="Normal"/>
    <w:link w:val="TextocomentarioCar"/>
    <w:uiPriority w:val="99"/>
    <w:rPr>
      <w:sz w:val="20"/>
    </w:rPr>
  </w:style>
  <w:style w:type="paragraph" w:styleId="Mapadeldocumento">
    <w:name w:val="Document Map"/>
    <w:basedOn w:val="Normal"/>
    <w:semiHidden/>
    <w:pPr>
      <w:shd w:val="clear" w:color="auto" w:fill="000080"/>
    </w:pPr>
    <w:rPr>
      <w:rFonts w:ascii="Tahoma" w:hAnsi="Tahoma" w:cs="Tahoma"/>
    </w:rPr>
  </w:style>
  <w:style w:type="character" w:customStyle="1" w:styleId="eacep1">
    <w:name w:val="eacep1"/>
    <w:rPr>
      <w:color w:val="000000"/>
    </w:rPr>
  </w:style>
  <w:style w:type="character" w:customStyle="1" w:styleId="PiedepginaCar">
    <w:name w:val="Pie de página Car"/>
    <w:link w:val="Piedepgina"/>
    <w:uiPriority w:val="99"/>
    <w:rsid w:val="0077100C"/>
    <w:rPr>
      <w:rFonts w:ascii="Arial" w:hAnsi="Arial"/>
      <w:sz w:val="24"/>
      <w:lang w:val="es-ES_tradnl" w:eastAsia="es-ES"/>
    </w:rPr>
  </w:style>
  <w:style w:type="paragraph" w:styleId="Prrafodelista">
    <w:name w:val="List Paragraph"/>
    <w:aliases w:val="titulo 3,Liste 1,Bullets,References,Lista vistosa - Énfasis 11,Bolita,BOLA,BOLADEF,Antes de enumeración,Párrafo de lista2,Suntítulo 4,Bullet,lista numerada,Subtítulo 4,titulo 4,Fluvial1,Párrafo numerado,Titulo 4,lp1"/>
    <w:basedOn w:val="Normal"/>
    <w:link w:val="PrrafodelistaCar"/>
    <w:qFormat/>
    <w:rsid w:val="00F56E45"/>
    <w:pPr>
      <w:ind w:left="708"/>
    </w:pPr>
  </w:style>
  <w:style w:type="paragraph" w:styleId="Asuntodelcomentario">
    <w:name w:val="annotation subject"/>
    <w:basedOn w:val="Textocomentario"/>
    <w:next w:val="Textocomentario"/>
    <w:link w:val="AsuntodelcomentarioCar"/>
    <w:uiPriority w:val="99"/>
    <w:semiHidden/>
    <w:unhideWhenUsed/>
    <w:rsid w:val="007216B3"/>
    <w:rPr>
      <w:b/>
      <w:bCs/>
    </w:rPr>
  </w:style>
  <w:style w:type="character" w:customStyle="1" w:styleId="TextocomentarioCar">
    <w:name w:val="Texto comentario Car"/>
    <w:link w:val="Textocomentario"/>
    <w:uiPriority w:val="99"/>
    <w:rsid w:val="007216B3"/>
    <w:rPr>
      <w:rFonts w:ascii="Arial" w:hAnsi="Arial"/>
      <w:lang w:val="es-ES_tradnl" w:eastAsia="es-ES"/>
    </w:rPr>
  </w:style>
  <w:style w:type="character" w:customStyle="1" w:styleId="AsuntodelcomentarioCar">
    <w:name w:val="Asunto del comentario Car"/>
    <w:link w:val="Asuntodelcomentario"/>
    <w:uiPriority w:val="99"/>
    <w:semiHidden/>
    <w:rsid w:val="007216B3"/>
    <w:rPr>
      <w:rFonts w:ascii="Arial" w:hAnsi="Arial"/>
      <w:b/>
      <w:bCs/>
      <w:lang w:val="es-ES_tradnl" w:eastAsia="es-ES"/>
    </w:rPr>
  </w:style>
  <w:style w:type="paragraph" w:styleId="Textodeglobo">
    <w:name w:val="Balloon Text"/>
    <w:basedOn w:val="Normal"/>
    <w:link w:val="TextodegloboCar"/>
    <w:uiPriority w:val="99"/>
    <w:semiHidden/>
    <w:unhideWhenUsed/>
    <w:rsid w:val="007216B3"/>
    <w:rPr>
      <w:rFonts w:ascii="Segoe UI" w:hAnsi="Segoe UI" w:cs="Segoe UI"/>
      <w:sz w:val="18"/>
      <w:szCs w:val="18"/>
    </w:rPr>
  </w:style>
  <w:style w:type="character" w:customStyle="1" w:styleId="TextodegloboCar">
    <w:name w:val="Texto de globo Car"/>
    <w:link w:val="Textodeglobo"/>
    <w:uiPriority w:val="99"/>
    <w:semiHidden/>
    <w:rsid w:val="007216B3"/>
    <w:rPr>
      <w:rFonts w:ascii="Segoe UI" w:hAnsi="Segoe UI" w:cs="Segoe UI"/>
      <w:sz w:val="18"/>
      <w:szCs w:val="18"/>
      <w:lang w:val="es-ES_tradnl" w:eastAsia="es-ES"/>
    </w:rPr>
  </w:style>
  <w:style w:type="paragraph" w:styleId="TtuloTDC">
    <w:name w:val="TOC Heading"/>
    <w:basedOn w:val="Ttulo1"/>
    <w:next w:val="Normal"/>
    <w:uiPriority w:val="39"/>
    <w:unhideWhenUsed/>
    <w:qFormat/>
    <w:rsid w:val="003C1F82"/>
    <w:pPr>
      <w:keepLines/>
      <w:suppressAutoHyphens w:val="0"/>
      <w:spacing w:after="0" w:line="259" w:lineRule="auto"/>
      <w:ind w:left="0" w:firstLine="0"/>
      <w:jc w:val="left"/>
      <w:outlineLvl w:val="9"/>
    </w:pPr>
    <w:rPr>
      <w:rFonts w:ascii="Calibri Light" w:hAnsi="Calibri Light"/>
      <w:b w:val="0"/>
      <w:color w:val="2E74B5"/>
      <w:sz w:val="32"/>
      <w:szCs w:val="32"/>
    </w:rPr>
  </w:style>
  <w:style w:type="table" w:styleId="Tablaconcuadrcula">
    <w:name w:val="Table Grid"/>
    <w:basedOn w:val="Tablanormal"/>
    <w:uiPriority w:val="39"/>
    <w:rsid w:val="008E60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culo">
    <w:name w:val="Artículo"/>
    <w:basedOn w:val="Normal"/>
    <w:next w:val="Normal"/>
    <w:link w:val="ArtculoCar"/>
    <w:qFormat/>
    <w:rsid w:val="0038261A"/>
    <w:pPr>
      <w:spacing w:before="240" w:after="240"/>
      <w:ind w:left="2202" w:hanging="360"/>
    </w:pPr>
    <w:rPr>
      <w:rFonts w:ascii="Bookman Old Style" w:hAnsi="Bookman Old Style" w:cs="Arial"/>
      <w:b/>
      <w:szCs w:val="24"/>
    </w:rPr>
  </w:style>
  <w:style w:type="character" w:customStyle="1" w:styleId="ArtculoCar">
    <w:name w:val="Artículo Car"/>
    <w:link w:val="Artculo"/>
    <w:rsid w:val="0038261A"/>
    <w:rPr>
      <w:rFonts w:ascii="Bookman Old Style" w:hAnsi="Bookman Old Style" w:cs="Arial"/>
      <w:b/>
      <w:sz w:val="24"/>
      <w:szCs w:val="24"/>
      <w:lang w:val="es-ES" w:eastAsia="es-ES"/>
    </w:rPr>
  </w:style>
  <w:style w:type="paragraph" w:styleId="Revisin">
    <w:name w:val="Revision"/>
    <w:hidden/>
    <w:uiPriority w:val="99"/>
    <w:semiHidden/>
    <w:rsid w:val="007F767D"/>
    <w:rPr>
      <w:sz w:val="24"/>
      <w:lang w:val="es-ES_tradnl" w:eastAsia="es-ES"/>
    </w:rPr>
  </w:style>
  <w:style w:type="paragraph" w:styleId="Descripcin">
    <w:name w:val="caption"/>
    <w:basedOn w:val="Normal"/>
    <w:next w:val="Normal"/>
    <w:uiPriority w:val="35"/>
    <w:qFormat/>
    <w:rsid w:val="00ED4190"/>
    <w:pPr>
      <w:keepNext/>
      <w:spacing w:after="200"/>
    </w:pPr>
    <w:rPr>
      <w:i/>
      <w:iCs/>
      <w:color w:val="44546A" w:themeColor="text2"/>
      <w:sz w:val="18"/>
      <w:szCs w:val="18"/>
    </w:rPr>
  </w:style>
  <w:style w:type="table" w:customStyle="1" w:styleId="Tablaconcuadrcula1">
    <w:name w:val="Tabla con cuadrícula1"/>
    <w:basedOn w:val="Tablanormal"/>
    <w:next w:val="Tablaconcuadrcula"/>
    <w:uiPriority w:val="39"/>
    <w:rsid w:val="00681789"/>
    <w:rPr>
      <w:rFonts w:asciiTheme="minorHAnsi" w:eastAsiaTheme="minorHAnsi" w:hAnsiTheme="minorHAnsi" w:cstheme="minorBidi"/>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Figura">
    <w:name w:val="T-Figura"/>
    <w:basedOn w:val="Normal"/>
    <w:link w:val="T-FiguraCar"/>
    <w:qFormat/>
    <w:rsid w:val="00681789"/>
    <w:pPr>
      <w:keepNext/>
      <w:keepLines/>
      <w:spacing w:before="240" w:line="276" w:lineRule="auto"/>
      <w:ind w:left="851" w:right="851"/>
      <w:jc w:val="center"/>
      <w:outlineLvl w:val="0"/>
    </w:pPr>
    <w:rPr>
      <w:rFonts w:ascii="Century Gothic" w:eastAsiaTheme="majorEastAsia" w:hAnsi="Century Gothic" w:cstheme="majorBidi"/>
      <w:b/>
      <w:bCs/>
      <w:color w:val="C00000"/>
      <w:sz w:val="20"/>
    </w:rPr>
  </w:style>
  <w:style w:type="character" w:customStyle="1" w:styleId="T-FiguraCar">
    <w:name w:val="T-Figura Car"/>
    <w:basedOn w:val="Fuentedeprrafopredeter"/>
    <w:link w:val="T-Figura"/>
    <w:rsid w:val="00681789"/>
    <w:rPr>
      <w:rFonts w:ascii="Century Gothic" w:eastAsiaTheme="majorEastAsia" w:hAnsi="Century Gothic" w:cstheme="majorBidi"/>
      <w:b/>
      <w:bCs/>
      <w:color w:val="C00000"/>
    </w:rPr>
  </w:style>
  <w:style w:type="character" w:customStyle="1" w:styleId="PrrafodelistaCar">
    <w:name w:val="Párrafo de lista Car"/>
    <w:aliases w:val="titulo 3 Car,Liste 1 Car,Bullets Car,References Car,Lista vistosa - Énfasis 11 Car,Bolita Car,BOLA Car,BOLADEF Car,Antes de enumeración Car,Párrafo de lista2 Car,Suntítulo 4 Car,Bullet Car,lista numerada Car,Subtítulo 4 Car,lp1 Car"/>
    <w:basedOn w:val="Fuentedeprrafopredeter"/>
    <w:link w:val="Prrafodelista"/>
    <w:qFormat/>
    <w:locked/>
    <w:rsid w:val="00681789"/>
    <w:rPr>
      <w:rFonts w:ascii="Arial" w:hAnsi="Arial"/>
      <w:sz w:val="24"/>
      <w:lang w:val="es-ES_tradnl" w:eastAsia="es-ES"/>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rsid w:val="00B34A11"/>
    <w:rPr>
      <w:rFonts w:ascii="Arial" w:hAnsi="Arial"/>
      <w:lang w:val="es-ES_tradnl" w:eastAsia="es-ES"/>
    </w:rPr>
  </w:style>
  <w:style w:type="table" w:customStyle="1" w:styleId="Tablaconcuadrcula2">
    <w:name w:val="Tabla con cuadrícula2"/>
    <w:basedOn w:val="Tablanormal"/>
    <w:next w:val="Tablaconcuadrcula"/>
    <w:uiPriority w:val="39"/>
    <w:rsid w:val="00805E7C"/>
    <w:rPr>
      <w:rFonts w:asciiTheme="minorHAnsi" w:eastAsiaTheme="minorHAnsi" w:hAnsiTheme="minorHAnsi" w:cstheme="minorBidi"/>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Fuentedeprrafopredeter"/>
    <w:uiPriority w:val="99"/>
    <w:semiHidden/>
    <w:unhideWhenUsed/>
    <w:rsid w:val="00315F25"/>
    <w:rPr>
      <w:color w:val="605E5C"/>
      <w:shd w:val="clear" w:color="auto" w:fill="E1DFDD"/>
    </w:rPr>
  </w:style>
  <w:style w:type="paragraph" w:styleId="Bibliografa">
    <w:name w:val="Bibliography"/>
    <w:basedOn w:val="Normal"/>
    <w:next w:val="Normal"/>
    <w:uiPriority w:val="37"/>
    <w:unhideWhenUsed/>
    <w:rsid w:val="007E2CAC"/>
    <w:pPr>
      <w:spacing w:after="160" w:line="259" w:lineRule="auto"/>
      <w:jc w:val="left"/>
    </w:pPr>
    <w:rPr>
      <w:rFonts w:asciiTheme="minorHAnsi" w:eastAsiaTheme="minorHAnsi" w:hAnsiTheme="minorHAnsi" w:cstheme="minorBidi"/>
      <w:szCs w:val="22"/>
      <w:lang w:val="en-US" w:eastAsia="en-US"/>
    </w:rPr>
  </w:style>
  <w:style w:type="character" w:customStyle="1" w:styleId="Ttulo1Car">
    <w:name w:val="Título 1 Car"/>
    <w:basedOn w:val="Fuentedeprrafopredeter"/>
    <w:link w:val="Ttulo1"/>
    <w:rsid w:val="00ED4190"/>
    <w:rPr>
      <w:b/>
    </w:rPr>
  </w:style>
  <w:style w:type="paragraph" w:customStyle="1" w:styleId="Default">
    <w:name w:val="Default"/>
    <w:rsid w:val="00496931"/>
    <w:pPr>
      <w:autoSpaceDE w:val="0"/>
      <w:autoSpaceDN w:val="0"/>
      <w:adjustRightInd w:val="0"/>
    </w:pPr>
    <w:rPr>
      <w:rFonts w:ascii="Calibri" w:hAnsi="Calibri" w:cs="Calibri"/>
      <w:color w:val="000000"/>
      <w:sz w:val="24"/>
      <w:szCs w:val="24"/>
      <w:lang w:val="en-US"/>
    </w:rPr>
  </w:style>
  <w:style w:type="character" w:customStyle="1" w:styleId="Ttulo4Car">
    <w:name w:val="Título 4 Car"/>
    <w:basedOn w:val="Fuentedeprrafopredeter"/>
    <w:link w:val="Ttulo4"/>
    <w:rsid w:val="00415B18"/>
    <w:rPr>
      <w:b/>
    </w:rPr>
  </w:style>
  <w:style w:type="paragraph" w:styleId="NormalWeb">
    <w:name w:val="Normal (Web)"/>
    <w:basedOn w:val="Normal"/>
    <w:uiPriority w:val="99"/>
    <w:semiHidden/>
    <w:unhideWhenUsed/>
    <w:rsid w:val="004413F0"/>
    <w:pPr>
      <w:spacing w:before="100" w:beforeAutospacing="1" w:after="100" w:afterAutospacing="1"/>
      <w:jc w:val="left"/>
    </w:pPr>
    <w:rPr>
      <w:rFonts w:ascii="Times New Roman" w:hAnsi="Times New Roman"/>
      <w:szCs w:val="24"/>
      <w:lang w:val="en-US" w:eastAsia="en-US"/>
    </w:rPr>
  </w:style>
  <w:style w:type="character" w:styleId="Mencinsinresolver">
    <w:name w:val="Unresolved Mention"/>
    <w:basedOn w:val="Fuentedeprrafopredeter"/>
    <w:uiPriority w:val="99"/>
    <w:semiHidden/>
    <w:unhideWhenUsed/>
    <w:rsid w:val="00DE5F17"/>
    <w:rPr>
      <w:color w:val="605E5C"/>
      <w:shd w:val="clear" w:color="auto" w:fill="E1DFDD"/>
    </w:rPr>
  </w:style>
  <w:style w:type="character" w:customStyle="1" w:styleId="highlight">
    <w:name w:val="highlight"/>
    <w:basedOn w:val="Fuentedeprrafopredeter"/>
    <w:rsid w:val="004D25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03891">
      <w:bodyDiv w:val="1"/>
      <w:marLeft w:val="0"/>
      <w:marRight w:val="0"/>
      <w:marTop w:val="0"/>
      <w:marBottom w:val="0"/>
      <w:divBdr>
        <w:top w:val="none" w:sz="0" w:space="0" w:color="auto"/>
        <w:left w:val="none" w:sz="0" w:space="0" w:color="auto"/>
        <w:bottom w:val="none" w:sz="0" w:space="0" w:color="auto"/>
        <w:right w:val="none" w:sz="0" w:space="0" w:color="auto"/>
      </w:divBdr>
      <w:divsChild>
        <w:div w:id="104231150">
          <w:marLeft w:val="0"/>
          <w:marRight w:val="0"/>
          <w:marTop w:val="0"/>
          <w:marBottom w:val="0"/>
          <w:divBdr>
            <w:top w:val="none" w:sz="0" w:space="0" w:color="auto"/>
            <w:left w:val="none" w:sz="0" w:space="0" w:color="auto"/>
            <w:bottom w:val="none" w:sz="0" w:space="0" w:color="auto"/>
            <w:right w:val="none" w:sz="0" w:space="0" w:color="auto"/>
          </w:divBdr>
          <w:divsChild>
            <w:div w:id="352221379">
              <w:marLeft w:val="0"/>
              <w:marRight w:val="0"/>
              <w:marTop w:val="0"/>
              <w:marBottom w:val="0"/>
              <w:divBdr>
                <w:top w:val="none" w:sz="0" w:space="0" w:color="auto"/>
                <w:left w:val="none" w:sz="0" w:space="0" w:color="auto"/>
                <w:bottom w:val="none" w:sz="0" w:space="0" w:color="auto"/>
                <w:right w:val="none" w:sz="0" w:space="0" w:color="auto"/>
              </w:divBdr>
            </w:div>
          </w:divsChild>
        </w:div>
        <w:div w:id="447822749">
          <w:marLeft w:val="0"/>
          <w:marRight w:val="0"/>
          <w:marTop w:val="0"/>
          <w:marBottom w:val="0"/>
          <w:divBdr>
            <w:top w:val="none" w:sz="0" w:space="0" w:color="auto"/>
            <w:left w:val="none" w:sz="0" w:space="0" w:color="auto"/>
            <w:bottom w:val="none" w:sz="0" w:space="0" w:color="auto"/>
            <w:right w:val="none" w:sz="0" w:space="0" w:color="auto"/>
          </w:divBdr>
          <w:divsChild>
            <w:div w:id="30693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9021">
      <w:bodyDiv w:val="1"/>
      <w:marLeft w:val="0"/>
      <w:marRight w:val="0"/>
      <w:marTop w:val="0"/>
      <w:marBottom w:val="0"/>
      <w:divBdr>
        <w:top w:val="none" w:sz="0" w:space="0" w:color="auto"/>
        <w:left w:val="none" w:sz="0" w:space="0" w:color="auto"/>
        <w:bottom w:val="none" w:sz="0" w:space="0" w:color="auto"/>
        <w:right w:val="none" w:sz="0" w:space="0" w:color="auto"/>
      </w:divBdr>
      <w:divsChild>
        <w:div w:id="29458377">
          <w:marLeft w:val="288"/>
          <w:marRight w:val="0"/>
          <w:marTop w:val="0"/>
          <w:marBottom w:val="0"/>
          <w:divBdr>
            <w:top w:val="none" w:sz="0" w:space="0" w:color="auto"/>
            <w:left w:val="none" w:sz="0" w:space="0" w:color="auto"/>
            <w:bottom w:val="none" w:sz="0" w:space="0" w:color="auto"/>
            <w:right w:val="none" w:sz="0" w:space="0" w:color="auto"/>
          </w:divBdr>
        </w:div>
      </w:divsChild>
    </w:div>
    <w:div w:id="33359963">
      <w:bodyDiv w:val="1"/>
      <w:marLeft w:val="0"/>
      <w:marRight w:val="0"/>
      <w:marTop w:val="0"/>
      <w:marBottom w:val="0"/>
      <w:divBdr>
        <w:top w:val="none" w:sz="0" w:space="0" w:color="auto"/>
        <w:left w:val="none" w:sz="0" w:space="0" w:color="auto"/>
        <w:bottom w:val="none" w:sz="0" w:space="0" w:color="auto"/>
        <w:right w:val="none" w:sz="0" w:space="0" w:color="auto"/>
      </w:divBdr>
    </w:div>
    <w:div w:id="33582871">
      <w:bodyDiv w:val="1"/>
      <w:marLeft w:val="0"/>
      <w:marRight w:val="0"/>
      <w:marTop w:val="0"/>
      <w:marBottom w:val="0"/>
      <w:divBdr>
        <w:top w:val="none" w:sz="0" w:space="0" w:color="auto"/>
        <w:left w:val="none" w:sz="0" w:space="0" w:color="auto"/>
        <w:bottom w:val="none" w:sz="0" w:space="0" w:color="auto"/>
        <w:right w:val="none" w:sz="0" w:space="0" w:color="auto"/>
      </w:divBdr>
    </w:div>
    <w:div w:id="36123937">
      <w:bodyDiv w:val="1"/>
      <w:marLeft w:val="0"/>
      <w:marRight w:val="0"/>
      <w:marTop w:val="0"/>
      <w:marBottom w:val="0"/>
      <w:divBdr>
        <w:top w:val="none" w:sz="0" w:space="0" w:color="auto"/>
        <w:left w:val="none" w:sz="0" w:space="0" w:color="auto"/>
        <w:bottom w:val="none" w:sz="0" w:space="0" w:color="auto"/>
        <w:right w:val="none" w:sz="0" w:space="0" w:color="auto"/>
      </w:divBdr>
    </w:div>
    <w:div w:id="40715275">
      <w:bodyDiv w:val="1"/>
      <w:marLeft w:val="0"/>
      <w:marRight w:val="0"/>
      <w:marTop w:val="0"/>
      <w:marBottom w:val="0"/>
      <w:divBdr>
        <w:top w:val="none" w:sz="0" w:space="0" w:color="auto"/>
        <w:left w:val="none" w:sz="0" w:space="0" w:color="auto"/>
        <w:bottom w:val="none" w:sz="0" w:space="0" w:color="auto"/>
        <w:right w:val="none" w:sz="0" w:space="0" w:color="auto"/>
      </w:divBdr>
    </w:div>
    <w:div w:id="61176367">
      <w:bodyDiv w:val="1"/>
      <w:marLeft w:val="0"/>
      <w:marRight w:val="0"/>
      <w:marTop w:val="0"/>
      <w:marBottom w:val="0"/>
      <w:divBdr>
        <w:top w:val="none" w:sz="0" w:space="0" w:color="auto"/>
        <w:left w:val="none" w:sz="0" w:space="0" w:color="auto"/>
        <w:bottom w:val="none" w:sz="0" w:space="0" w:color="auto"/>
        <w:right w:val="none" w:sz="0" w:space="0" w:color="auto"/>
      </w:divBdr>
    </w:div>
    <w:div w:id="62262823">
      <w:bodyDiv w:val="1"/>
      <w:marLeft w:val="0"/>
      <w:marRight w:val="0"/>
      <w:marTop w:val="0"/>
      <w:marBottom w:val="0"/>
      <w:divBdr>
        <w:top w:val="none" w:sz="0" w:space="0" w:color="auto"/>
        <w:left w:val="none" w:sz="0" w:space="0" w:color="auto"/>
        <w:bottom w:val="none" w:sz="0" w:space="0" w:color="auto"/>
        <w:right w:val="none" w:sz="0" w:space="0" w:color="auto"/>
      </w:divBdr>
    </w:div>
    <w:div w:id="68238360">
      <w:bodyDiv w:val="1"/>
      <w:marLeft w:val="0"/>
      <w:marRight w:val="0"/>
      <w:marTop w:val="0"/>
      <w:marBottom w:val="0"/>
      <w:divBdr>
        <w:top w:val="none" w:sz="0" w:space="0" w:color="auto"/>
        <w:left w:val="none" w:sz="0" w:space="0" w:color="auto"/>
        <w:bottom w:val="none" w:sz="0" w:space="0" w:color="auto"/>
        <w:right w:val="none" w:sz="0" w:space="0" w:color="auto"/>
      </w:divBdr>
    </w:div>
    <w:div w:id="90510379">
      <w:bodyDiv w:val="1"/>
      <w:marLeft w:val="0"/>
      <w:marRight w:val="0"/>
      <w:marTop w:val="0"/>
      <w:marBottom w:val="0"/>
      <w:divBdr>
        <w:top w:val="none" w:sz="0" w:space="0" w:color="auto"/>
        <w:left w:val="none" w:sz="0" w:space="0" w:color="auto"/>
        <w:bottom w:val="none" w:sz="0" w:space="0" w:color="auto"/>
        <w:right w:val="none" w:sz="0" w:space="0" w:color="auto"/>
      </w:divBdr>
    </w:div>
    <w:div w:id="99111919">
      <w:bodyDiv w:val="1"/>
      <w:marLeft w:val="0"/>
      <w:marRight w:val="0"/>
      <w:marTop w:val="0"/>
      <w:marBottom w:val="0"/>
      <w:divBdr>
        <w:top w:val="none" w:sz="0" w:space="0" w:color="auto"/>
        <w:left w:val="none" w:sz="0" w:space="0" w:color="auto"/>
        <w:bottom w:val="none" w:sz="0" w:space="0" w:color="auto"/>
        <w:right w:val="none" w:sz="0" w:space="0" w:color="auto"/>
      </w:divBdr>
    </w:div>
    <w:div w:id="100996364">
      <w:bodyDiv w:val="1"/>
      <w:marLeft w:val="0"/>
      <w:marRight w:val="0"/>
      <w:marTop w:val="0"/>
      <w:marBottom w:val="0"/>
      <w:divBdr>
        <w:top w:val="none" w:sz="0" w:space="0" w:color="auto"/>
        <w:left w:val="none" w:sz="0" w:space="0" w:color="auto"/>
        <w:bottom w:val="none" w:sz="0" w:space="0" w:color="auto"/>
        <w:right w:val="none" w:sz="0" w:space="0" w:color="auto"/>
      </w:divBdr>
    </w:div>
    <w:div w:id="125005056">
      <w:bodyDiv w:val="1"/>
      <w:marLeft w:val="0"/>
      <w:marRight w:val="0"/>
      <w:marTop w:val="0"/>
      <w:marBottom w:val="0"/>
      <w:divBdr>
        <w:top w:val="none" w:sz="0" w:space="0" w:color="auto"/>
        <w:left w:val="none" w:sz="0" w:space="0" w:color="auto"/>
        <w:bottom w:val="none" w:sz="0" w:space="0" w:color="auto"/>
        <w:right w:val="none" w:sz="0" w:space="0" w:color="auto"/>
      </w:divBdr>
    </w:div>
    <w:div w:id="165832075">
      <w:bodyDiv w:val="1"/>
      <w:marLeft w:val="0"/>
      <w:marRight w:val="0"/>
      <w:marTop w:val="0"/>
      <w:marBottom w:val="0"/>
      <w:divBdr>
        <w:top w:val="none" w:sz="0" w:space="0" w:color="auto"/>
        <w:left w:val="none" w:sz="0" w:space="0" w:color="auto"/>
        <w:bottom w:val="none" w:sz="0" w:space="0" w:color="auto"/>
        <w:right w:val="none" w:sz="0" w:space="0" w:color="auto"/>
      </w:divBdr>
    </w:div>
    <w:div w:id="188683718">
      <w:bodyDiv w:val="1"/>
      <w:marLeft w:val="0"/>
      <w:marRight w:val="0"/>
      <w:marTop w:val="0"/>
      <w:marBottom w:val="0"/>
      <w:divBdr>
        <w:top w:val="none" w:sz="0" w:space="0" w:color="auto"/>
        <w:left w:val="none" w:sz="0" w:space="0" w:color="auto"/>
        <w:bottom w:val="none" w:sz="0" w:space="0" w:color="auto"/>
        <w:right w:val="none" w:sz="0" w:space="0" w:color="auto"/>
      </w:divBdr>
    </w:div>
    <w:div w:id="188882173">
      <w:bodyDiv w:val="1"/>
      <w:marLeft w:val="0"/>
      <w:marRight w:val="0"/>
      <w:marTop w:val="0"/>
      <w:marBottom w:val="0"/>
      <w:divBdr>
        <w:top w:val="none" w:sz="0" w:space="0" w:color="auto"/>
        <w:left w:val="none" w:sz="0" w:space="0" w:color="auto"/>
        <w:bottom w:val="none" w:sz="0" w:space="0" w:color="auto"/>
        <w:right w:val="none" w:sz="0" w:space="0" w:color="auto"/>
      </w:divBdr>
    </w:div>
    <w:div w:id="215166997">
      <w:bodyDiv w:val="1"/>
      <w:marLeft w:val="0"/>
      <w:marRight w:val="0"/>
      <w:marTop w:val="0"/>
      <w:marBottom w:val="0"/>
      <w:divBdr>
        <w:top w:val="none" w:sz="0" w:space="0" w:color="auto"/>
        <w:left w:val="none" w:sz="0" w:space="0" w:color="auto"/>
        <w:bottom w:val="none" w:sz="0" w:space="0" w:color="auto"/>
        <w:right w:val="none" w:sz="0" w:space="0" w:color="auto"/>
      </w:divBdr>
    </w:div>
    <w:div w:id="224070121">
      <w:bodyDiv w:val="1"/>
      <w:marLeft w:val="0"/>
      <w:marRight w:val="0"/>
      <w:marTop w:val="0"/>
      <w:marBottom w:val="0"/>
      <w:divBdr>
        <w:top w:val="none" w:sz="0" w:space="0" w:color="auto"/>
        <w:left w:val="none" w:sz="0" w:space="0" w:color="auto"/>
        <w:bottom w:val="none" w:sz="0" w:space="0" w:color="auto"/>
        <w:right w:val="none" w:sz="0" w:space="0" w:color="auto"/>
      </w:divBdr>
      <w:divsChild>
        <w:div w:id="822283498">
          <w:marLeft w:val="720"/>
          <w:marRight w:val="0"/>
          <w:marTop w:val="0"/>
          <w:marBottom w:val="0"/>
          <w:divBdr>
            <w:top w:val="none" w:sz="0" w:space="0" w:color="auto"/>
            <w:left w:val="none" w:sz="0" w:space="0" w:color="auto"/>
            <w:bottom w:val="none" w:sz="0" w:space="0" w:color="auto"/>
            <w:right w:val="none" w:sz="0" w:space="0" w:color="auto"/>
          </w:divBdr>
        </w:div>
        <w:div w:id="1204903039">
          <w:marLeft w:val="720"/>
          <w:marRight w:val="0"/>
          <w:marTop w:val="0"/>
          <w:marBottom w:val="0"/>
          <w:divBdr>
            <w:top w:val="none" w:sz="0" w:space="0" w:color="auto"/>
            <w:left w:val="none" w:sz="0" w:space="0" w:color="auto"/>
            <w:bottom w:val="none" w:sz="0" w:space="0" w:color="auto"/>
            <w:right w:val="none" w:sz="0" w:space="0" w:color="auto"/>
          </w:divBdr>
        </w:div>
        <w:div w:id="1491365958">
          <w:marLeft w:val="720"/>
          <w:marRight w:val="0"/>
          <w:marTop w:val="0"/>
          <w:marBottom w:val="0"/>
          <w:divBdr>
            <w:top w:val="none" w:sz="0" w:space="0" w:color="auto"/>
            <w:left w:val="none" w:sz="0" w:space="0" w:color="auto"/>
            <w:bottom w:val="none" w:sz="0" w:space="0" w:color="auto"/>
            <w:right w:val="none" w:sz="0" w:space="0" w:color="auto"/>
          </w:divBdr>
        </w:div>
        <w:div w:id="1800682817">
          <w:marLeft w:val="720"/>
          <w:marRight w:val="0"/>
          <w:marTop w:val="0"/>
          <w:marBottom w:val="0"/>
          <w:divBdr>
            <w:top w:val="none" w:sz="0" w:space="0" w:color="auto"/>
            <w:left w:val="none" w:sz="0" w:space="0" w:color="auto"/>
            <w:bottom w:val="none" w:sz="0" w:space="0" w:color="auto"/>
            <w:right w:val="none" w:sz="0" w:space="0" w:color="auto"/>
          </w:divBdr>
        </w:div>
      </w:divsChild>
    </w:div>
    <w:div w:id="237137207">
      <w:bodyDiv w:val="1"/>
      <w:marLeft w:val="0"/>
      <w:marRight w:val="0"/>
      <w:marTop w:val="0"/>
      <w:marBottom w:val="0"/>
      <w:divBdr>
        <w:top w:val="none" w:sz="0" w:space="0" w:color="auto"/>
        <w:left w:val="none" w:sz="0" w:space="0" w:color="auto"/>
        <w:bottom w:val="none" w:sz="0" w:space="0" w:color="auto"/>
        <w:right w:val="none" w:sz="0" w:space="0" w:color="auto"/>
      </w:divBdr>
    </w:div>
    <w:div w:id="264272782">
      <w:bodyDiv w:val="1"/>
      <w:marLeft w:val="0"/>
      <w:marRight w:val="0"/>
      <w:marTop w:val="0"/>
      <w:marBottom w:val="0"/>
      <w:divBdr>
        <w:top w:val="none" w:sz="0" w:space="0" w:color="auto"/>
        <w:left w:val="none" w:sz="0" w:space="0" w:color="auto"/>
        <w:bottom w:val="none" w:sz="0" w:space="0" w:color="auto"/>
        <w:right w:val="none" w:sz="0" w:space="0" w:color="auto"/>
      </w:divBdr>
    </w:div>
    <w:div w:id="269433299">
      <w:bodyDiv w:val="1"/>
      <w:marLeft w:val="0"/>
      <w:marRight w:val="0"/>
      <w:marTop w:val="0"/>
      <w:marBottom w:val="0"/>
      <w:divBdr>
        <w:top w:val="none" w:sz="0" w:space="0" w:color="auto"/>
        <w:left w:val="none" w:sz="0" w:space="0" w:color="auto"/>
        <w:bottom w:val="none" w:sz="0" w:space="0" w:color="auto"/>
        <w:right w:val="none" w:sz="0" w:space="0" w:color="auto"/>
      </w:divBdr>
    </w:div>
    <w:div w:id="272633775">
      <w:bodyDiv w:val="1"/>
      <w:marLeft w:val="0"/>
      <w:marRight w:val="0"/>
      <w:marTop w:val="0"/>
      <w:marBottom w:val="0"/>
      <w:divBdr>
        <w:top w:val="none" w:sz="0" w:space="0" w:color="auto"/>
        <w:left w:val="none" w:sz="0" w:space="0" w:color="auto"/>
        <w:bottom w:val="none" w:sz="0" w:space="0" w:color="auto"/>
        <w:right w:val="none" w:sz="0" w:space="0" w:color="auto"/>
      </w:divBdr>
    </w:div>
    <w:div w:id="303655499">
      <w:bodyDiv w:val="1"/>
      <w:marLeft w:val="0"/>
      <w:marRight w:val="0"/>
      <w:marTop w:val="0"/>
      <w:marBottom w:val="0"/>
      <w:divBdr>
        <w:top w:val="none" w:sz="0" w:space="0" w:color="auto"/>
        <w:left w:val="none" w:sz="0" w:space="0" w:color="auto"/>
        <w:bottom w:val="none" w:sz="0" w:space="0" w:color="auto"/>
        <w:right w:val="none" w:sz="0" w:space="0" w:color="auto"/>
      </w:divBdr>
      <w:divsChild>
        <w:div w:id="980815590">
          <w:marLeft w:val="274"/>
          <w:marRight w:val="0"/>
          <w:marTop w:val="0"/>
          <w:marBottom w:val="0"/>
          <w:divBdr>
            <w:top w:val="none" w:sz="0" w:space="0" w:color="auto"/>
            <w:left w:val="none" w:sz="0" w:space="0" w:color="auto"/>
            <w:bottom w:val="none" w:sz="0" w:space="0" w:color="auto"/>
            <w:right w:val="none" w:sz="0" w:space="0" w:color="auto"/>
          </w:divBdr>
        </w:div>
      </w:divsChild>
    </w:div>
    <w:div w:id="343828132">
      <w:bodyDiv w:val="1"/>
      <w:marLeft w:val="0"/>
      <w:marRight w:val="0"/>
      <w:marTop w:val="0"/>
      <w:marBottom w:val="0"/>
      <w:divBdr>
        <w:top w:val="none" w:sz="0" w:space="0" w:color="auto"/>
        <w:left w:val="none" w:sz="0" w:space="0" w:color="auto"/>
        <w:bottom w:val="none" w:sz="0" w:space="0" w:color="auto"/>
        <w:right w:val="none" w:sz="0" w:space="0" w:color="auto"/>
      </w:divBdr>
    </w:div>
    <w:div w:id="366492807">
      <w:bodyDiv w:val="1"/>
      <w:marLeft w:val="0"/>
      <w:marRight w:val="0"/>
      <w:marTop w:val="0"/>
      <w:marBottom w:val="0"/>
      <w:divBdr>
        <w:top w:val="none" w:sz="0" w:space="0" w:color="auto"/>
        <w:left w:val="none" w:sz="0" w:space="0" w:color="auto"/>
        <w:bottom w:val="none" w:sz="0" w:space="0" w:color="auto"/>
        <w:right w:val="none" w:sz="0" w:space="0" w:color="auto"/>
      </w:divBdr>
    </w:div>
    <w:div w:id="382874473">
      <w:bodyDiv w:val="1"/>
      <w:marLeft w:val="0"/>
      <w:marRight w:val="0"/>
      <w:marTop w:val="0"/>
      <w:marBottom w:val="0"/>
      <w:divBdr>
        <w:top w:val="none" w:sz="0" w:space="0" w:color="auto"/>
        <w:left w:val="none" w:sz="0" w:space="0" w:color="auto"/>
        <w:bottom w:val="none" w:sz="0" w:space="0" w:color="auto"/>
        <w:right w:val="none" w:sz="0" w:space="0" w:color="auto"/>
      </w:divBdr>
    </w:div>
    <w:div w:id="388192066">
      <w:bodyDiv w:val="1"/>
      <w:marLeft w:val="0"/>
      <w:marRight w:val="0"/>
      <w:marTop w:val="0"/>
      <w:marBottom w:val="0"/>
      <w:divBdr>
        <w:top w:val="none" w:sz="0" w:space="0" w:color="auto"/>
        <w:left w:val="none" w:sz="0" w:space="0" w:color="auto"/>
        <w:bottom w:val="none" w:sz="0" w:space="0" w:color="auto"/>
        <w:right w:val="none" w:sz="0" w:space="0" w:color="auto"/>
      </w:divBdr>
      <w:divsChild>
        <w:div w:id="732849773">
          <w:marLeft w:val="274"/>
          <w:marRight w:val="0"/>
          <w:marTop w:val="0"/>
          <w:marBottom w:val="0"/>
          <w:divBdr>
            <w:top w:val="none" w:sz="0" w:space="0" w:color="auto"/>
            <w:left w:val="none" w:sz="0" w:space="0" w:color="auto"/>
            <w:bottom w:val="none" w:sz="0" w:space="0" w:color="auto"/>
            <w:right w:val="none" w:sz="0" w:space="0" w:color="auto"/>
          </w:divBdr>
        </w:div>
      </w:divsChild>
    </w:div>
    <w:div w:id="402484069">
      <w:bodyDiv w:val="1"/>
      <w:marLeft w:val="0"/>
      <w:marRight w:val="0"/>
      <w:marTop w:val="0"/>
      <w:marBottom w:val="0"/>
      <w:divBdr>
        <w:top w:val="none" w:sz="0" w:space="0" w:color="auto"/>
        <w:left w:val="none" w:sz="0" w:space="0" w:color="auto"/>
        <w:bottom w:val="none" w:sz="0" w:space="0" w:color="auto"/>
        <w:right w:val="none" w:sz="0" w:space="0" w:color="auto"/>
      </w:divBdr>
    </w:div>
    <w:div w:id="405497548">
      <w:bodyDiv w:val="1"/>
      <w:marLeft w:val="0"/>
      <w:marRight w:val="0"/>
      <w:marTop w:val="0"/>
      <w:marBottom w:val="0"/>
      <w:divBdr>
        <w:top w:val="none" w:sz="0" w:space="0" w:color="auto"/>
        <w:left w:val="none" w:sz="0" w:space="0" w:color="auto"/>
        <w:bottom w:val="none" w:sz="0" w:space="0" w:color="auto"/>
        <w:right w:val="none" w:sz="0" w:space="0" w:color="auto"/>
      </w:divBdr>
      <w:divsChild>
        <w:div w:id="26222963">
          <w:marLeft w:val="446"/>
          <w:marRight w:val="0"/>
          <w:marTop w:val="0"/>
          <w:marBottom w:val="0"/>
          <w:divBdr>
            <w:top w:val="none" w:sz="0" w:space="0" w:color="auto"/>
            <w:left w:val="none" w:sz="0" w:space="0" w:color="auto"/>
            <w:bottom w:val="none" w:sz="0" w:space="0" w:color="auto"/>
            <w:right w:val="none" w:sz="0" w:space="0" w:color="auto"/>
          </w:divBdr>
        </w:div>
        <w:div w:id="238446884">
          <w:marLeft w:val="1166"/>
          <w:marRight w:val="0"/>
          <w:marTop w:val="0"/>
          <w:marBottom w:val="0"/>
          <w:divBdr>
            <w:top w:val="none" w:sz="0" w:space="0" w:color="auto"/>
            <w:left w:val="none" w:sz="0" w:space="0" w:color="auto"/>
            <w:bottom w:val="none" w:sz="0" w:space="0" w:color="auto"/>
            <w:right w:val="none" w:sz="0" w:space="0" w:color="auto"/>
          </w:divBdr>
        </w:div>
        <w:div w:id="288052743">
          <w:marLeft w:val="288"/>
          <w:marRight w:val="0"/>
          <w:marTop w:val="0"/>
          <w:marBottom w:val="0"/>
          <w:divBdr>
            <w:top w:val="none" w:sz="0" w:space="0" w:color="auto"/>
            <w:left w:val="none" w:sz="0" w:space="0" w:color="auto"/>
            <w:bottom w:val="none" w:sz="0" w:space="0" w:color="auto"/>
            <w:right w:val="none" w:sz="0" w:space="0" w:color="auto"/>
          </w:divBdr>
        </w:div>
        <w:div w:id="333268687">
          <w:marLeft w:val="288"/>
          <w:marRight w:val="0"/>
          <w:marTop w:val="0"/>
          <w:marBottom w:val="0"/>
          <w:divBdr>
            <w:top w:val="none" w:sz="0" w:space="0" w:color="auto"/>
            <w:left w:val="none" w:sz="0" w:space="0" w:color="auto"/>
            <w:bottom w:val="none" w:sz="0" w:space="0" w:color="auto"/>
            <w:right w:val="none" w:sz="0" w:space="0" w:color="auto"/>
          </w:divBdr>
        </w:div>
        <w:div w:id="416097488">
          <w:marLeft w:val="446"/>
          <w:marRight w:val="0"/>
          <w:marTop w:val="0"/>
          <w:marBottom w:val="0"/>
          <w:divBdr>
            <w:top w:val="none" w:sz="0" w:space="0" w:color="auto"/>
            <w:left w:val="none" w:sz="0" w:space="0" w:color="auto"/>
            <w:bottom w:val="none" w:sz="0" w:space="0" w:color="auto"/>
            <w:right w:val="none" w:sz="0" w:space="0" w:color="auto"/>
          </w:divBdr>
        </w:div>
        <w:div w:id="455297473">
          <w:marLeft w:val="288"/>
          <w:marRight w:val="0"/>
          <w:marTop w:val="0"/>
          <w:marBottom w:val="0"/>
          <w:divBdr>
            <w:top w:val="none" w:sz="0" w:space="0" w:color="auto"/>
            <w:left w:val="none" w:sz="0" w:space="0" w:color="auto"/>
            <w:bottom w:val="none" w:sz="0" w:space="0" w:color="auto"/>
            <w:right w:val="none" w:sz="0" w:space="0" w:color="auto"/>
          </w:divBdr>
        </w:div>
        <w:div w:id="652370175">
          <w:marLeft w:val="288"/>
          <w:marRight w:val="0"/>
          <w:marTop w:val="0"/>
          <w:marBottom w:val="0"/>
          <w:divBdr>
            <w:top w:val="none" w:sz="0" w:space="0" w:color="auto"/>
            <w:left w:val="none" w:sz="0" w:space="0" w:color="auto"/>
            <w:bottom w:val="none" w:sz="0" w:space="0" w:color="auto"/>
            <w:right w:val="none" w:sz="0" w:space="0" w:color="auto"/>
          </w:divBdr>
        </w:div>
        <w:div w:id="711879411">
          <w:marLeft w:val="288"/>
          <w:marRight w:val="0"/>
          <w:marTop w:val="0"/>
          <w:marBottom w:val="0"/>
          <w:divBdr>
            <w:top w:val="none" w:sz="0" w:space="0" w:color="auto"/>
            <w:left w:val="none" w:sz="0" w:space="0" w:color="auto"/>
            <w:bottom w:val="none" w:sz="0" w:space="0" w:color="auto"/>
            <w:right w:val="none" w:sz="0" w:space="0" w:color="auto"/>
          </w:divBdr>
        </w:div>
        <w:div w:id="952204630">
          <w:marLeft w:val="1166"/>
          <w:marRight w:val="0"/>
          <w:marTop w:val="0"/>
          <w:marBottom w:val="0"/>
          <w:divBdr>
            <w:top w:val="none" w:sz="0" w:space="0" w:color="auto"/>
            <w:left w:val="none" w:sz="0" w:space="0" w:color="auto"/>
            <w:bottom w:val="none" w:sz="0" w:space="0" w:color="auto"/>
            <w:right w:val="none" w:sz="0" w:space="0" w:color="auto"/>
          </w:divBdr>
        </w:div>
        <w:div w:id="990135095">
          <w:marLeft w:val="446"/>
          <w:marRight w:val="0"/>
          <w:marTop w:val="0"/>
          <w:marBottom w:val="0"/>
          <w:divBdr>
            <w:top w:val="none" w:sz="0" w:space="0" w:color="auto"/>
            <w:left w:val="none" w:sz="0" w:space="0" w:color="auto"/>
            <w:bottom w:val="none" w:sz="0" w:space="0" w:color="auto"/>
            <w:right w:val="none" w:sz="0" w:space="0" w:color="auto"/>
          </w:divBdr>
        </w:div>
        <w:div w:id="1137986619">
          <w:marLeft w:val="1166"/>
          <w:marRight w:val="0"/>
          <w:marTop w:val="0"/>
          <w:marBottom w:val="0"/>
          <w:divBdr>
            <w:top w:val="none" w:sz="0" w:space="0" w:color="auto"/>
            <w:left w:val="none" w:sz="0" w:space="0" w:color="auto"/>
            <w:bottom w:val="none" w:sz="0" w:space="0" w:color="auto"/>
            <w:right w:val="none" w:sz="0" w:space="0" w:color="auto"/>
          </w:divBdr>
        </w:div>
        <w:div w:id="1215194886">
          <w:marLeft w:val="1166"/>
          <w:marRight w:val="0"/>
          <w:marTop w:val="0"/>
          <w:marBottom w:val="0"/>
          <w:divBdr>
            <w:top w:val="none" w:sz="0" w:space="0" w:color="auto"/>
            <w:left w:val="none" w:sz="0" w:space="0" w:color="auto"/>
            <w:bottom w:val="none" w:sz="0" w:space="0" w:color="auto"/>
            <w:right w:val="none" w:sz="0" w:space="0" w:color="auto"/>
          </w:divBdr>
        </w:div>
        <w:div w:id="1438988216">
          <w:marLeft w:val="446"/>
          <w:marRight w:val="0"/>
          <w:marTop w:val="0"/>
          <w:marBottom w:val="0"/>
          <w:divBdr>
            <w:top w:val="none" w:sz="0" w:space="0" w:color="auto"/>
            <w:left w:val="none" w:sz="0" w:space="0" w:color="auto"/>
            <w:bottom w:val="none" w:sz="0" w:space="0" w:color="auto"/>
            <w:right w:val="none" w:sz="0" w:space="0" w:color="auto"/>
          </w:divBdr>
        </w:div>
        <w:div w:id="1439325538">
          <w:marLeft w:val="446"/>
          <w:marRight w:val="0"/>
          <w:marTop w:val="0"/>
          <w:marBottom w:val="0"/>
          <w:divBdr>
            <w:top w:val="none" w:sz="0" w:space="0" w:color="auto"/>
            <w:left w:val="none" w:sz="0" w:space="0" w:color="auto"/>
            <w:bottom w:val="none" w:sz="0" w:space="0" w:color="auto"/>
            <w:right w:val="none" w:sz="0" w:space="0" w:color="auto"/>
          </w:divBdr>
        </w:div>
        <w:div w:id="1575630345">
          <w:marLeft w:val="288"/>
          <w:marRight w:val="0"/>
          <w:marTop w:val="0"/>
          <w:marBottom w:val="0"/>
          <w:divBdr>
            <w:top w:val="none" w:sz="0" w:space="0" w:color="auto"/>
            <w:left w:val="none" w:sz="0" w:space="0" w:color="auto"/>
            <w:bottom w:val="none" w:sz="0" w:space="0" w:color="auto"/>
            <w:right w:val="none" w:sz="0" w:space="0" w:color="auto"/>
          </w:divBdr>
        </w:div>
        <w:div w:id="1692493403">
          <w:marLeft w:val="446"/>
          <w:marRight w:val="0"/>
          <w:marTop w:val="0"/>
          <w:marBottom w:val="0"/>
          <w:divBdr>
            <w:top w:val="none" w:sz="0" w:space="0" w:color="auto"/>
            <w:left w:val="none" w:sz="0" w:space="0" w:color="auto"/>
            <w:bottom w:val="none" w:sz="0" w:space="0" w:color="auto"/>
            <w:right w:val="none" w:sz="0" w:space="0" w:color="auto"/>
          </w:divBdr>
        </w:div>
        <w:div w:id="1728841793">
          <w:marLeft w:val="1166"/>
          <w:marRight w:val="0"/>
          <w:marTop w:val="0"/>
          <w:marBottom w:val="0"/>
          <w:divBdr>
            <w:top w:val="none" w:sz="0" w:space="0" w:color="auto"/>
            <w:left w:val="none" w:sz="0" w:space="0" w:color="auto"/>
            <w:bottom w:val="none" w:sz="0" w:space="0" w:color="auto"/>
            <w:right w:val="none" w:sz="0" w:space="0" w:color="auto"/>
          </w:divBdr>
        </w:div>
        <w:div w:id="1955937231">
          <w:marLeft w:val="1166"/>
          <w:marRight w:val="0"/>
          <w:marTop w:val="0"/>
          <w:marBottom w:val="0"/>
          <w:divBdr>
            <w:top w:val="none" w:sz="0" w:space="0" w:color="auto"/>
            <w:left w:val="none" w:sz="0" w:space="0" w:color="auto"/>
            <w:bottom w:val="none" w:sz="0" w:space="0" w:color="auto"/>
            <w:right w:val="none" w:sz="0" w:space="0" w:color="auto"/>
          </w:divBdr>
        </w:div>
        <w:div w:id="2110002383">
          <w:marLeft w:val="288"/>
          <w:marRight w:val="0"/>
          <w:marTop w:val="0"/>
          <w:marBottom w:val="0"/>
          <w:divBdr>
            <w:top w:val="none" w:sz="0" w:space="0" w:color="auto"/>
            <w:left w:val="none" w:sz="0" w:space="0" w:color="auto"/>
            <w:bottom w:val="none" w:sz="0" w:space="0" w:color="auto"/>
            <w:right w:val="none" w:sz="0" w:space="0" w:color="auto"/>
          </w:divBdr>
        </w:div>
      </w:divsChild>
    </w:div>
    <w:div w:id="412359391">
      <w:bodyDiv w:val="1"/>
      <w:marLeft w:val="0"/>
      <w:marRight w:val="0"/>
      <w:marTop w:val="0"/>
      <w:marBottom w:val="0"/>
      <w:divBdr>
        <w:top w:val="none" w:sz="0" w:space="0" w:color="auto"/>
        <w:left w:val="none" w:sz="0" w:space="0" w:color="auto"/>
        <w:bottom w:val="none" w:sz="0" w:space="0" w:color="auto"/>
        <w:right w:val="none" w:sz="0" w:space="0" w:color="auto"/>
      </w:divBdr>
    </w:div>
    <w:div w:id="430972479">
      <w:bodyDiv w:val="1"/>
      <w:marLeft w:val="0"/>
      <w:marRight w:val="0"/>
      <w:marTop w:val="0"/>
      <w:marBottom w:val="0"/>
      <w:divBdr>
        <w:top w:val="none" w:sz="0" w:space="0" w:color="auto"/>
        <w:left w:val="none" w:sz="0" w:space="0" w:color="auto"/>
        <w:bottom w:val="none" w:sz="0" w:space="0" w:color="auto"/>
        <w:right w:val="none" w:sz="0" w:space="0" w:color="auto"/>
      </w:divBdr>
      <w:divsChild>
        <w:div w:id="1721786469">
          <w:marLeft w:val="274"/>
          <w:marRight w:val="0"/>
          <w:marTop w:val="0"/>
          <w:marBottom w:val="0"/>
          <w:divBdr>
            <w:top w:val="none" w:sz="0" w:space="0" w:color="auto"/>
            <w:left w:val="none" w:sz="0" w:space="0" w:color="auto"/>
            <w:bottom w:val="none" w:sz="0" w:space="0" w:color="auto"/>
            <w:right w:val="none" w:sz="0" w:space="0" w:color="auto"/>
          </w:divBdr>
        </w:div>
      </w:divsChild>
    </w:div>
    <w:div w:id="437532167">
      <w:bodyDiv w:val="1"/>
      <w:marLeft w:val="0"/>
      <w:marRight w:val="0"/>
      <w:marTop w:val="0"/>
      <w:marBottom w:val="0"/>
      <w:divBdr>
        <w:top w:val="none" w:sz="0" w:space="0" w:color="auto"/>
        <w:left w:val="none" w:sz="0" w:space="0" w:color="auto"/>
        <w:bottom w:val="none" w:sz="0" w:space="0" w:color="auto"/>
        <w:right w:val="none" w:sz="0" w:space="0" w:color="auto"/>
      </w:divBdr>
    </w:div>
    <w:div w:id="444233055">
      <w:bodyDiv w:val="1"/>
      <w:marLeft w:val="0"/>
      <w:marRight w:val="0"/>
      <w:marTop w:val="0"/>
      <w:marBottom w:val="0"/>
      <w:divBdr>
        <w:top w:val="none" w:sz="0" w:space="0" w:color="auto"/>
        <w:left w:val="none" w:sz="0" w:space="0" w:color="auto"/>
        <w:bottom w:val="none" w:sz="0" w:space="0" w:color="auto"/>
        <w:right w:val="none" w:sz="0" w:space="0" w:color="auto"/>
      </w:divBdr>
    </w:div>
    <w:div w:id="453207605">
      <w:bodyDiv w:val="1"/>
      <w:marLeft w:val="0"/>
      <w:marRight w:val="0"/>
      <w:marTop w:val="0"/>
      <w:marBottom w:val="0"/>
      <w:divBdr>
        <w:top w:val="none" w:sz="0" w:space="0" w:color="auto"/>
        <w:left w:val="none" w:sz="0" w:space="0" w:color="auto"/>
        <w:bottom w:val="none" w:sz="0" w:space="0" w:color="auto"/>
        <w:right w:val="none" w:sz="0" w:space="0" w:color="auto"/>
      </w:divBdr>
    </w:div>
    <w:div w:id="456264808">
      <w:bodyDiv w:val="1"/>
      <w:marLeft w:val="0"/>
      <w:marRight w:val="0"/>
      <w:marTop w:val="0"/>
      <w:marBottom w:val="0"/>
      <w:divBdr>
        <w:top w:val="none" w:sz="0" w:space="0" w:color="auto"/>
        <w:left w:val="none" w:sz="0" w:space="0" w:color="auto"/>
        <w:bottom w:val="none" w:sz="0" w:space="0" w:color="auto"/>
        <w:right w:val="none" w:sz="0" w:space="0" w:color="auto"/>
      </w:divBdr>
    </w:div>
    <w:div w:id="456610125">
      <w:bodyDiv w:val="1"/>
      <w:marLeft w:val="0"/>
      <w:marRight w:val="0"/>
      <w:marTop w:val="0"/>
      <w:marBottom w:val="0"/>
      <w:divBdr>
        <w:top w:val="none" w:sz="0" w:space="0" w:color="auto"/>
        <w:left w:val="none" w:sz="0" w:space="0" w:color="auto"/>
        <w:bottom w:val="none" w:sz="0" w:space="0" w:color="auto"/>
        <w:right w:val="none" w:sz="0" w:space="0" w:color="auto"/>
      </w:divBdr>
    </w:div>
    <w:div w:id="462620991">
      <w:bodyDiv w:val="1"/>
      <w:marLeft w:val="0"/>
      <w:marRight w:val="0"/>
      <w:marTop w:val="0"/>
      <w:marBottom w:val="0"/>
      <w:divBdr>
        <w:top w:val="none" w:sz="0" w:space="0" w:color="auto"/>
        <w:left w:val="none" w:sz="0" w:space="0" w:color="auto"/>
        <w:bottom w:val="none" w:sz="0" w:space="0" w:color="auto"/>
        <w:right w:val="none" w:sz="0" w:space="0" w:color="auto"/>
      </w:divBdr>
    </w:div>
    <w:div w:id="496464709">
      <w:bodyDiv w:val="1"/>
      <w:marLeft w:val="0"/>
      <w:marRight w:val="0"/>
      <w:marTop w:val="0"/>
      <w:marBottom w:val="0"/>
      <w:divBdr>
        <w:top w:val="none" w:sz="0" w:space="0" w:color="auto"/>
        <w:left w:val="none" w:sz="0" w:space="0" w:color="auto"/>
        <w:bottom w:val="none" w:sz="0" w:space="0" w:color="auto"/>
        <w:right w:val="none" w:sz="0" w:space="0" w:color="auto"/>
      </w:divBdr>
    </w:div>
    <w:div w:id="500701590">
      <w:bodyDiv w:val="1"/>
      <w:marLeft w:val="0"/>
      <w:marRight w:val="0"/>
      <w:marTop w:val="0"/>
      <w:marBottom w:val="0"/>
      <w:divBdr>
        <w:top w:val="none" w:sz="0" w:space="0" w:color="auto"/>
        <w:left w:val="none" w:sz="0" w:space="0" w:color="auto"/>
        <w:bottom w:val="none" w:sz="0" w:space="0" w:color="auto"/>
        <w:right w:val="none" w:sz="0" w:space="0" w:color="auto"/>
      </w:divBdr>
    </w:div>
    <w:div w:id="512493682">
      <w:bodyDiv w:val="1"/>
      <w:marLeft w:val="0"/>
      <w:marRight w:val="0"/>
      <w:marTop w:val="0"/>
      <w:marBottom w:val="0"/>
      <w:divBdr>
        <w:top w:val="none" w:sz="0" w:space="0" w:color="auto"/>
        <w:left w:val="none" w:sz="0" w:space="0" w:color="auto"/>
        <w:bottom w:val="none" w:sz="0" w:space="0" w:color="auto"/>
        <w:right w:val="none" w:sz="0" w:space="0" w:color="auto"/>
      </w:divBdr>
    </w:div>
    <w:div w:id="520700721">
      <w:bodyDiv w:val="1"/>
      <w:marLeft w:val="0"/>
      <w:marRight w:val="0"/>
      <w:marTop w:val="0"/>
      <w:marBottom w:val="0"/>
      <w:divBdr>
        <w:top w:val="none" w:sz="0" w:space="0" w:color="auto"/>
        <w:left w:val="none" w:sz="0" w:space="0" w:color="auto"/>
        <w:bottom w:val="none" w:sz="0" w:space="0" w:color="auto"/>
        <w:right w:val="none" w:sz="0" w:space="0" w:color="auto"/>
      </w:divBdr>
    </w:div>
    <w:div w:id="528183688">
      <w:bodyDiv w:val="1"/>
      <w:marLeft w:val="0"/>
      <w:marRight w:val="0"/>
      <w:marTop w:val="0"/>
      <w:marBottom w:val="0"/>
      <w:divBdr>
        <w:top w:val="none" w:sz="0" w:space="0" w:color="auto"/>
        <w:left w:val="none" w:sz="0" w:space="0" w:color="auto"/>
        <w:bottom w:val="none" w:sz="0" w:space="0" w:color="auto"/>
        <w:right w:val="none" w:sz="0" w:space="0" w:color="auto"/>
      </w:divBdr>
    </w:div>
    <w:div w:id="536696651">
      <w:bodyDiv w:val="1"/>
      <w:marLeft w:val="0"/>
      <w:marRight w:val="0"/>
      <w:marTop w:val="0"/>
      <w:marBottom w:val="0"/>
      <w:divBdr>
        <w:top w:val="none" w:sz="0" w:space="0" w:color="auto"/>
        <w:left w:val="none" w:sz="0" w:space="0" w:color="auto"/>
        <w:bottom w:val="none" w:sz="0" w:space="0" w:color="auto"/>
        <w:right w:val="none" w:sz="0" w:space="0" w:color="auto"/>
      </w:divBdr>
    </w:div>
    <w:div w:id="567955091">
      <w:bodyDiv w:val="1"/>
      <w:marLeft w:val="0"/>
      <w:marRight w:val="0"/>
      <w:marTop w:val="0"/>
      <w:marBottom w:val="0"/>
      <w:divBdr>
        <w:top w:val="none" w:sz="0" w:space="0" w:color="auto"/>
        <w:left w:val="none" w:sz="0" w:space="0" w:color="auto"/>
        <w:bottom w:val="none" w:sz="0" w:space="0" w:color="auto"/>
        <w:right w:val="none" w:sz="0" w:space="0" w:color="auto"/>
      </w:divBdr>
    </w:div>
    <w:div w:id="585961155">
      <w:bodyDiv w:val="1"/>
      <w:marLeft w:val="0"/>
      <w:marRight w:val="0"/>
      <w:marTop w:val="0"/>
      <w:marBottom w:val="0"/>
      <w:divBdr>
        <w:top w:val="none" w:sz="0" w:space="0" w:color="auto"/>
        <w:left w:val="none" w:sz="0" w:space="0" w:color="auto"/>
        <w:bottom w:val="none" w:sz="0" w:space="0" w:color="auto"/>
        <w:right w:val="none" w:sz="0" w:space="0" w:color="auto"/>
      </w:divBdr>
    </w:div>
    <w:div w:id="593055881">
      <w:bodyDiv w:val="1"/>
      <w:marLeft w:val="0"/>
      <w:marRight w:val="0"/>
      <w:marTop w:val="0"/>
      <w:marBottom w:val="0"/>
      <w:divBdr>
        <w:top w:val="none" w:sz="0" w:space="0" w:color="auto"/>
        <w:left w:val="none" w:sz="0" w:space="0" w:color="auto"/>
        <w:bottom w:val="none" w:sz="0" w:space="0" w:color="auto"/>
        <w:right w:val="none" w:sz="0" w:space="0" w:color="auto"/>
      </w:divBdr>
    </w:div>
    <w:div w:id="597979767">
      <w:bodyDiv w:val="1"/>
      <w:marLeft w:val="0"/>
      <w:marRight w:val="0"/>
      <w:marTop w:val="0"/>
      <w:marBottom w:val="0"/>
      <w:divBdr>
        <w:top w:val="none" w:sz="0" w:space="0" w:color="auto"/>
        <w:left w:val="none" w:sz="0" w:space="0" w:color="auto"/>
        <w:bottom w:val="none" w:sz="0" w:space="0" w:color="auto"/>
        <w:right w:val="none" w:sz="0" w:space="0" w:color="auto"/>
      </w:divBdr>
    </w:div>
    <w:div w:id="620961047">
      <w:bodyDiv w:val="1"/>
      <w:marLeft w:val="0"/>
      <w:marRight w:val="0"/>
      <w:marTop w:val="0"/>
      <w:marBottom w:val="0"/>
      <w:divBdr>
        <w:top w:val="none" w:sz="0" w:space="0" w:color="auto"/>
        <w:left w:val="none" w:sz="0" w:space="0" w:color="auto"/>
        <w:bottom w:val="none" w:sz="0" w:space="0" w:color="auto"/>
        <w:right w:val="none" w:sz="0" w:space="0" w:color="auto"/>
      </w:divBdr>
    </w:div>
    <w:div w:id="628514825">
      <w:bodyDiv w:val="1"/>
      <w:marLeft w:val="0"/>
      <w:marRight w:val="0"/>
      <w:marTop w:val="0"/>
      <w:marBottom w:val="0"/>
      <w:divBdr>
        <w:top w:val="none" w:sz="0" w:space="0" w:color="auto"/>
        <w:left w:val="none" w:sz="0" w:space="0" w:color="auto"/>
        <w:bottom w:val="none" w:sz="0" w:space="0" w:color="auto"/>
        <w:right w:val="none" w:sz="0" w:space="0" w:color="auto"/>
      </w:divBdr>
    </w:div>
    <w:div w:id="628627305">
      <w:bodyDiv w:val="1"/>
      <w:marLeft w:val="0"/>
      <w:marRight w:val="0"/>
      <w:marTop w:val="0"/>
      <w:marBottom w:val="0"/>
      <w:divBdr>
        <w:top w:val="none" w:sz="0" w:space="0" w:color="auto"/>
        <w:left w:val="none" w:sz="0" w:space="0" w:color="auto"/>
        <w:bottom w:val="none" w:sz="0" w:space="0" w:color="auto"/>
        <w:right w:val="none" w:sz="0" w:space="0" w:color="auto"/>
      </w:divBdr>
    </w:div>
    <w:div w:id="635720137">
      <w:bodyDiv w:val="1"/>
      <w:marLeft w:val="0"/>
      <w:marRight w:val="0"/>
      <w:marTop w:val="0"/>
      <w:marBottom w:val="0"/>
      <w:divBdr>
        <w:top w:val="none" w:sz="0" w:space="0" w:color="auto"/>
        <w:left w:val="none" w:sz="0" w:space="0" w:color="auto"/>
        <w:bottom w:val="none" w:sz="0" w:space="0" w:color="auto"/>
        <w:right w:val="none" w:sz="0" w:space="0" w:color="auto"/>
      </w:divBdr>
    </w:div>
    <w:div w:id="659506732">
      <w:bodyDiv w:val="1"/>
      <w:marLeft w:val="0"/>
      <w:marRight w:val="0"/>
      <w:marTop w:val="0"/>
      <w:marBottom w:val="0"/>
      <w:divBdr>
        <w:top w:val="none" w:sz="0" w:space="0" w:color="auto"/>
        <w:left w:val="none" w:sz="0" w:space="0" w:color="auto"/>
        <w:bottom w:val="none" w:sz="0" w:space="0" w:color="auto"/>
        <w:right w:val="none" w:sz="0" w:space="0" w:color="auto"/>
      </w:divBdr>
    </w:div>
    <w:div w:id="663356345">
      <w:bodyDiv w:val="1"/>
      <w:marLeft w:val="0"/>
      <w:marRight w:val="0"/>
      <w:marTop w:val="0"/>
      <w:marBottom w:val="0"/>
      <w:divBdr>
        <w:top w:val="none" w:sz="0" w:space="0" w:color="auto"/>
        <w:left w:val="none" w:sz="0" w:space="0" w:color="auto"/>
        <w:bottom w:val="none" w:sz="0" w:space="0" w:color="auto"/>
        <w:right w:val="none" w:sz="0" w:space="0" w:color="auto"/>
      </w:divBdr>
    </w:div>
    <w:div w:id="695694214">
      <w:bodyDiv w:val="1"/>
      <w:marLeft w:val="0"/>
      <w:marRight w:val="0"/>
      <w:marTop w:val="0"/>
      <w:marBottom w:val="0"/>
      <w:divBdr>
        <w:top w:val="none" w:sz="0" w:space="0" w:color="auto"/>
        <w:left w:val="none" w:sz="0" w:space="0" w:color="auto"/>
        <w:bottom w:val="none" w:sz="0" w:space="0" w:color="auto"/>
        <w:right w:val="none" w:sz="0" w:space="0" w:color="auto"/>
      </w:divBdr>
    </w:div>
    <w:div w:id="699551861">
      <w:bodyDiv w:val="1"/>
      <w:marLeft w:val="0"/>
      <w:marRight w:val="0"/>
      <w:marTop w:val="0"/>
      <w:marBottom w:val="0"/>
      <w:divBdr>
        <w:top w:val="none" w:sz="0" w:space="0" w:color="auto"/>
        <w:left w:val="none" w:sz="0" w:space="0" w:color="auto"/>
        <w:bottom w:val="none" w:sz="0" w:space="0" w:color="auto"/>
        <w:right w:val="none" w:sz="0" w:space="0" w:color="auto"/>
      </w:divBdr>
    </w:div>
    <w:div w:id="716126466">
      <w:bodyDiv w:val="1"/>
      <w:marLeft w:val="0"/>
      <w:marRight w:val="0"/>
      <w:marTop w:val="0"/>
      <w:marBottom w:val="0"/>
      <w:divBdr>
        <w:top w:val="none" w:sz="0" w:space="0" w:color="auto"/>
        <w:left w:val="none" w:sz="0" w:space="0" w:color="auto"/>
        <w:bottom w:val="none" w:sz="0" w:space="0" w:color="auto"/>
        <w:right w:val="none" w:sz="0" w:space="0" w:color="auto"/>
      </w:divBdr>
    </w:div>
    <w:div w:id="725103320">
      <w:bodyDiv w:val="1"/>
      <w:marLeft w:val="0"/>
      <w:marRight w:val="0"/>
      <w:marTop w:val="0"/>
      <w:marBottom w:val="0"/>
      <w:divBdr>
        <w:top w:val="none" w:sz="0" w:space="0" w:color="auto"/>
        <w:left w:val="none" w:sz="0" w:space="0" w:color="auto"/>
        <w:bottom w:val="none" w:sz="0" w:space="0" w:color="auto"/>
        <w:right w:val="none" w:sz="0" w:space="0" w:color="auto"/>
      </w:divBdr>
    </w:div>
    <w:div w:id="732123168">
      <w:bodyDiv w:val="1"/>
      <w:marLeft w:val="0"/>
      <w:marRight w:val="0"/>
      <w:marTop w:val="0"/>
      <w:marBottom w:val="0"/>
      <w:divBdr>
        <w:top w:val="none" w:sz="0" w:space="0" w:color="auto"/>
        <w:left w:val="none" w:sz="0" w:space="0" w:color="auto"/>
        <w:bottom w:val="none" w:sz="0" w:space="0" w:color="auto"/>
        <w:right w:val="none" w:sz="0" w:space="0" w:color="auto"/>
      </w:divBdr>
    </w:div>
    <w:div w:id="744887069">
      <w:bodyDiv w:val="1"/>
      <w:marLeft w:val="0"/>
      <w:marRight w:val="0"/>
      <w:marTop w:val="0"/>
      <w:marBottom w:val="0"/>
      <w:divBdr>
        <w:top w:val="none" w:sz="0" w:space="0" w:color="auto"/>
        <w:left w:val="none" w:sz="0" w:space="0" w:color="auto"/>
        <w:bottom w:val="none" w:sz="0" w:space="0" w:color="auto"/>
        <w:right w:val="none" w:sz="0" w:space="0" w:color="auto"/>
      </w:divBdr>
    </w:div>
    <w:div w:id="745569018">
      <w:bodyDiv w:val="1"/>
      <w:marLeft w:val="0"/>
      <w:marRight w:val="0"/>
      <w:marTop w:val="0"/>
      <w:marBottom w:val="0"/>
      <w:divBdr>
        <w:top w:val="none" w:sz="0" w:space="0" w:color="auto"/>
        <w:left w:val="none" w:sz="0" w:space="0" w:color="auto"/>
        <w:bottom w:val="none" w:sz="0" w:space="0" w:color="auto"/>
        <w:right w:val="none" w:sz="0" w:space="0" w:color="auto"/>
      </w:divBdr>
      <w:divsChild>
        <w:div w:id="944918003">
          <w:marLeft w:val="288"/>
          <w:marRight w:val="0"/>
          <w:marTop w:val="0"/>
          <w:marBottom w:val="0"/>
          <w:divBdr>
            <w:top w:val="none" w:sz="0" w:space="0" w:color="auto"/>
            <w:left w:val="none" w:sz="0" w:space="0" w:color="auto"/>
            <w:bottom w:val="none" w:sz="0" w:space="0" w:color="auto"/>
            <w:right w:val="none" w:sz="0" w:space="0" w:color="auto"/>
          </w:divBdr>
        </w:div>
        <w:div w:id="981886467">
          <w:marLeft w:val="288"/>
          <w:marRight w:val="0"/>
          <w:marTop w:val="0"/>
          <w:marBottom w:val="0"/>
          <w:divBdr>
            <w:top w:val="none" w:sz="0" w:space="0" w:color="auto"/>
            <w:left w:val="none" w:sz="0" w:space="0" w:color="auto"/>
            <w:bottom w:val="none" w:sz="0" w:space="0" w:color="auto"/>
            <w:right w:val="none" w:sz="0" w:space="0" w:color="auto"/>
          </w:divBdr>
        </w:div>
        <w:div w:id="1159426772">
          <w:marLeft w:val="288"/>
          <w:marRight w:val="0"/>
          <w:marTop w:val="0"/>
          <w:marBottom w:val="0"/>
          <w:divBdr>
            <w:top w:val="none" w:sz="0" w:space="0" w:color="auto"/>
            <w:left w:val="none" w:sz="0" w:space="0" w:color="auto"/>
            <w:bottom w:val="none" w:sz="0" w:space="0" w:color="auto"/>
            <w:right w:val="none" w:sz="0" w:space="0" w:color="auto"/>
          </w:divBdr>
        </w:div>
      </w:divsChild>
    </w:div>
    <w:div w:id="746078611">
      <w:bodyDiv w:val="1"/>
      <w:marLeft w:val="0"/>
      <w:marRight w:val="0"/>
      <w:marTop w:val="0"/>
      <w:marBottom w:val="0"/>
      <w:divBdr>
        <w:top w:val="none" w:sz="0" w:space="0" w:color="auto"/>
        <w:left w:val="none" w:sz="0" w:space="0" w:color="auto"/>
        <w:bottom w:val="none" w:sz="0" w:space="0" w:color="auto"/>
        <w:right w:val="none" w:sz="0" w:space="0" w:color="auto"/>
      </w:divBdr>
    </w:div>
    <w:div w:id="766851563">
      <w:bodyDiv w:val="1"/>
      <w:marLeft w:val="0"/>
      <w:marRight w:val="0"/>
      <w:marTop w:val="0"/>
      <w:marBottom w:val="0"/>
      <w:divBdr>
        <w:top w:val="none" w:sz="0" w:space="0" w:color="auto"/>
        <w:left w:val="none" w:sz="0" w:space="0" w:color="auto"/>
        <w:bottom w:val="none" w:sz="0" w:space="0" w:color="auto"/>
        <w:right w:val="none" w:sz="0" w:space="0" w:color="auto"/>
      </w:divBdr>
    </w:div>
    <w:div w:id="777219997">
      <w:bodyDiv w:val="1"/>
      <w:marLeft w:val="0"/>
      <w:marRight w:val="0"/>
      <w:marTop w:val="0"/>
      <w:marBottom w:val="0"/>
      <w:divBdr>
        <w:top w:val="none" w:sz="0" w:space="0" w:color="auto"/>
        <w:left w:val="none" w:sz="0" w:space="0" w:color="auto"/>
        <w:bottom w:val="none" w:sz="0" w:space="0" w:color="auto"/>
        <w:right w:val="none" w:sz="0" w:space="0" w:color="auto"/>
      </w:divBdr>
    </w:div>
    <w:div w:id="796798057">
      <w:bodyDiv w:val="1"/>
      <w:marLeft w:val="0"/>
      <w:marRight w:val="0"/>
      <w:marTop w:val="0"/>
      <w:marBottom w:val="0"/>
      <w:divBdr>
        <w:top w:val="none" w:sz="0" w:space="0" w:color="auto"/>
        <w:left w:val="none" w:sz="0" w:space="0" w:color="auto"/>
        <w:bottom w:val="none" w:sz="0" w:space="0" w:color="auto"/>
        <w:right w:val="none" w:sz="0" w:space="0" w:color="auto"/>
      </w:divBdr>
    </w:div>
    <w:div w:id="811748493">
      <w:bodyDiv w:val="1"/>
      <w:marLeft w:val="0"/>
      <w:marRight w:val="0"/>
      <w:marTop w:val="0"/>
      <w:marBottom w:val="0"/>
      <w:divBdr>
        <w:top w:val="none" w:sz="0" w:space="0" w:color="auto"/>
        <w:left w:val="none" w:sz="0" w:space="0" w:color="auto"/>
        <w:bottom w:val="none" w:sz="0" w:space="0" w:color="auto"/>
        <w:right w:val="none" w:sz="0" w:space="0" w:color="auto"/>
      </w:divBdr>
    </w:div>
    <w:div w:id="817460646">
      <w:bodyDiv w:val="1"/>
      <w:marLeft w:val="0"/>
      <w:marRight w:val="0"/>
      <w:marTop w:val="0"/>
      <w:marBottom w:val="0"/>
      <w:divBdr>
        <w:top w:val="none" w:sz="0" w:space="0" w:color="auto"/>
        <w:left w:val="none" w:sz="0" w:space="0" w:color="auto"/>
        <w:bottom w:val="none" w:sz="0" w:space="0" w:color="auto"/>
        <w:right w:val="none" w:sz="0" w:space="0" w:color="auto"/>
      </w:divBdr>
    </w:div>
    <w:div w:id="864251069">
      <w:bodyDiv w:val="1"/>
      <w:marLeft w:val="0"/>
      <w:marRight w:val="0"/>
      <w:marTop w:val="0"/>
      <w:marBottom w:val="0"/>
      <w:divBdr>
        <w:top w:val="none" w:sz="0" w:space="0" w:color="auto"/>
        <w:left w:val="none" w:sz="0" w:space="0" w:color="auto"/>
        <w:bottom w:val="none" w:sz="0" w:space="0" w:color="auto"/>
        <w:right w:val="none" w:sz="0" w:space="0" w:color="auto"/>
      </w:divBdr>
    </w:div>
    <w:div w:id="868641193">
      <w:bodyDiv w:val="1"/>
      <w:marLeft w:val="0"/>
      <w:marRight w:val="0"/>
      <w:marTop w:val="0"/>
      <w:marBottom w:val="0"/>
      <w:divBdr>
        <w:top w:val="none" w:sz="0" w:space="0" w:color="auto"/>
        <w:left w:val="none" w:sz="0" w:space="0" w:color="auto"/>
        <w:bottom w:val="none" w:sz="0" w:space="0" w:color="auto"/>
        <w:right w:val="none" w:sz="0" w:space="0" w:color="auto"/>
      </w:divBdr>
    </w:div>
    <w:div w:id="870265895">
      <w:bodyDiv w:val="1"/>
      <w:marLeft w:val="0"/>
      <w:marRight w:val="0"/>
      <w:marTop w:val="0"/>
      <w:marBottom w:val="0"/>
      <w:divBdr>
        <w:top w:val="none" w:sz="0" w:space="0" w:color="auto"/>
        <w:left w:val="none" w:sz="0" w:space="0" w:color="auto"/>
        <w:bottom w:val="none" w:sz="0" w:space="0" w:color="auto"/>
        <w:right w:val="none" w:sz="0" w:space="0" w:color="auto"/>
      </w:divBdr>
    </w:div>
    <w:div w:id="872040198">
      <w:bodyDiv w:val="1"/>
      <w:marLeft w:val="0"/>
      <w:marRight w:val="0"/>
      <w:marTop w:val="0"/>
      <w:marBottom w:val="0"/>
      <w:divBdr>
        <w:top w:val="none" w:sz="0" w:space="0" w:color="auto"/>
        <w:left w:val="none" w:sz="0" w:space="0" w:color="auto"/>
        <w:bottom w:val="none" w:sz="0" w:space="0" w:color="auto"/>
        <w:right w:val="none" w:sz="0" w:space="0" w:color="auto"/>
      </w:divBdr>
    </w:div>
    <w:div w:id="874930983">
      <w:bodyDiv w:val="1"/>
      <w:marLeft w:val="0"/>
      <w:marRight w:val="0"/>
      <w:marTop w:val="0"/>
      <w:marBottom w:val="0"/>
      <w:divBdr>
        <w:top w:val="none" w:sz="0" w:space="0" w:color="auto"/>
        <w:left w:val="none" w:sz="0" w:space="0" w:color="auto"/>
        <w:bottom w:val="none" w:sz="0" w:space="0" w:color="auto"/>
        <w:right w:val="none" w:sz="0" w:space="0" w:color="auto"/>
      </w:divBdr>
    </w:div>
    <w:div w:id="882249032">
      <w:bodyDiv w:val="1"/>
      <w:marLeft w:val="0"/>
      <w:marRight w:val="0"/>
      <w:marTop w:val="0"/>
      <w:marBottom w:val="0"/>
      <w:divBdr>
        <w:top w:val="none" w:sz="0" w:space="0" w:color="auto"/>
        <w:left w:val="none" w:sz="0" w:space="0" w:color="auto"/>
        <w:bottom w:val="none" w:sz="0" w:space="0" w:color="auto"/>
        <w:right w:val="none" w:sz="0" w:space="0" w:color="auto"/>
      </w:divBdr>
    </w:div>
    <w:div w:id="885336494">
      <w:bodyDiv w:val="1"/>
      <w:marLeft w:val="0"/>
      <w:marRight w:val="0"/>
      <w:marTop w:val="0"/>
      <w:marBottom w:val="0"/>
      <w:divBdr>
        <w:top w:val="none" w:sz="0" w:space="0" w:color="auto"/>
        <w:left w:val="none" w:sz="0" w:space="0" w:color="auto"/>
        <w:bottom w:val="none" w:sz="0" w:space="0" w:color="auto"/>
        <w:right w:val="none" w:sz="0" w:space="0" w:color="auto"/>
      </w:divBdr>
    </w:div>
    <w:div w:id="898519295">
      <w:bodyDiv w:val="1"/>
      <w:marLeft w:val="0"/>
      <w:marRight w:val="0"/>
      <w:marTop w:val="0"/>
      <w:marBottom w:val="0"/>
      <w:divBdr>
        <w:top w:val="none" w:sz="0" w:space="0" w:color="auto"/>
        <w:left w:val="none" w:sz="0" w:space="0" w:color="auto"/>
        <w:bottom w:val="none" w:sz="0" w:space="0" w:color="auto"/>
        <w:right w:val="none" w:sz="0" w:space="0" w:color="auto"/>
      </w:divBdr>
      <w:divsChild>
        <w:div w:id="565920413">
          <w:marLeft w:val="1166"/>
          <w:marRight w:val="0"/>
          <w:marTop w:val="0"/>
          <w:marBottom w:val="0"/>
          <w:divBdr>
            <w:top w:val="none" w:sz="0" w:space="0" w:color="auto"/>
            <w:left w:val="none" w:sz="0" w:space="0" w:color="auto"/>
            <w:bottom w:val="none" w:sz="0" w:space="0" w:color="auto"/>
            <w:right w:val="none" w:sz="0" w:space="0" w:color="auto"/>
          </w:divBdr>
        </w:div>
        <w:div w:id="654919160">
          <w:marLeft w:val="1166"/>
          <w:marRight w:val="0"/>
          <w:marTop w:val="0"/>
          <w:marBottom w:val="0"/>
          <w:divBdr>
            <w:top w:val="none" w:sz="0" w:space="0" w:color="auto"/>
            <w:left w:val="none" w:sz="0" w:space="0" w:color="auto"/>
            <w:bottom w:val="none" w:sz="0" w:space="0" w:color="auto"/>
            <w:right w:val="none" w:sz="0" w:space="0" w:color="auto"/>
          </w:divBdr>
        </w:div>
        <w:div w:id="1277830732">
          <w:marLeft w:val="1166"/>
          <w:marRight w:val="0"/>
          <w:marTop w:val="0"/>
          <w:marBottom w:val="0"/>
          <w:divBdr>
            <w:top w:val="none" w:sz="0" w:space="0" w:color="auto"/>
            <w:left w:val="none" w:sz="0" w:space="0" w:color="auto"/>
            <w:bottom w:val="none" w:sz="0" w:space="0" w:color="auto"/>
            <w:right w:val="none" w:sz="0" w:space="0" w:color="auto"/>
          </w:divBdr>
        </w:div>
        <w:div w:id="1929386081">
          <w:marLeft w:val="446"/>
          <w:marRight w:val="0"/>
          <w:marTop w:val="0"/>
          <w:marBottom w:val="0"/>
          <w:divBdr>
            <w:top w:val="none" w:sz="0" w:space="0" w:color="auto"/>
            <w:left w:val="none" w:sz="0" w:space="0" w:color="auto"/>
            <w:bottom w:val="none" w:sz="0" w:space="0" w:color="auto"/>
            <w:right w:val="none" w:sz="0" w:space="0" w:color="auto"/>
          </w:divBdr>
        </w:div>
        <w:div w:id="2092459389">
          <w:marLeft w:val="446"/>
          <w:marRight w:val="0"/>
          <w:marTop w:val="0"/>
          <w:marBottom w:val="0"/>
          <w:divBdr>
            <w:top w:val="none" w:sz="0" w:space="0" w:color="auto"/>
            <w:left w:val="none" w:sz="0" w:space="0" w:color="auto"/>
            <w:bottom w:val="none" w:sz="0" w:space="0" w:color="auto"/>
            <w:right w:val="none" w:sz="0" w:space="0" w:color="auto"/>
          </w:divBdr>
        </w:div>
        <w:div w:id="2131626699">
          <w:marLeft w:val="446"/>
          <w:marRight w:val="0"/>
          <w:marTop w:val="0"/>
          <w:marBottom w:val="0"/>
          <w:divBdr>
            <w:top w:val="none" w:sz="0" w:space="0" w:color="auto"/>
            <w:left w:val="none" w:sz="0" w:space="0" w:color="auto"/>
            <w:bottom w:val="none" w:sz="0" w:space="0" w:color="auto"/>
            <w:right w:val="none" w:sz="0" w:space="0" w:color="auto"/>
          </w:divBdr>
        </w:div>
      </w:divsChild>
    </w:div>
    <w:div w:id="907154237">
      <w:bodyDiv w:val="1"/>
      <w:marLeft w:val="0"/>
      <w:marRight w:val="0"/>
      <w:marTop w:val="0"/>
      <w:marBottom w:val="0"/>
      <w:divBdr>
        <w:top w:val="none" w:sz="0" w:space="0" w:color="auto"/>
        <w:left w:val="none" w:sz="0" w:space="0" w:color="auto"/>
        <w:bottom w:val="none" w:sz="0" w:space="0" w:color="auto"/>
        <w:right w:val="none" w:sz="0" w:space="0" w:color="auto"/>
      </w:divBdr>
    </w:div>
    <w:div w:id="915480107">
      <w:bodyDiv w:val="1"/>
      <w:marLeft w:val="0"/>
      <w:marRight w:val="0"/>
      <w:marTop w:val="0"/>
      <w:marBottom w:val="0"/>
      <w:divBdr>
        <w:top w:val="none" w:sz="0" w:space="0" w:color="auto"/>
        <w:left w:val="none" w:sz="0" w:space="0" w:color="auto"/>
        <w:bottom w:val="none" w:sz="0" w:space="0" w:color="auto"/>
        <w:right w:val="none" w:sz="0" w:space="0" w:color="auto"/>
      </w:divBdr>
      <w:divsChild>
        <w:div w:id="100146783">
          <w:marLeft w:val="274"/>
          <w:marRight w:val="0"/>
          <w:marTop w:val="0"/>
          <w:marBottom w:val="0"/>
          <w:divBdr>
            <w:top w:val="none" w:sz="0" w:space="0" w:color="auto"/>
            <w:left w:val="none" w:sz="0" w:space="0" w:color="auto"/>
            <w:bottom w:val="none" w:sz="0" w:space="0" w:color="auto"/>
            <w:right w:val="none" w:sz="0" w:space="0" w:color="auto"/>
          </w:divBdr>
        </w:div>
      </w:divsChild>
    </w:div>
    <w:div w:id="977758575">
      <w:bodyDiv w:val="1"/>
      <w:marLeft w:val="0"/>
      <w:marRight w:val="0"/>
      <w:marTop w:val="0"/>
      <w:marBottom w:val="0"/>
      <w:divBdr>
        <w:top w:val="none" w:sz="0" w:space="0" w:color="auto"/>
        <w:left w:val="none" w:sz="0" w:space="0" w:color="auto"/>
        <w:bottom w:val="none" w:sz="0" w:space="0" w:color="auto"/>
        <w:right w:val="none" w:sz="0" w:space="0" w:color="auto"/>
      </w:divBdr>
    </w:div>
    <w:div w:id="978069753">
      <w:bodyDiv w:val="1"/>
      <w:marLeft w:val="0"/>
      <w:marRight w:val="0"/>
      <w:marTop w:val="0"/>
      <w:marBottom w:val="0"/>
      <w:divBdr>
        <w:top w:val="none" w:sz="0" w:space="0" w:color="auto"/>
        <w:left w:val="none" w:sz="0" w:space="0" w:color="auto"/>
        <w:bottom w:val="none" w:sz="0" w:space="0" w:color="auto"/>
        <w:right w:val="none" w:sz="0" w:space="0" w:color="auto"/>
      </w:divBdr>
    </w:div>
    <w:div w:id="990601378">
      <w:bodyDiv w:val="1"/>
      <w:marLeft w:val="0"/>
      <w:marRight w:val="0"/>
      <w:marTop w:val="0"/>
      <w:marBottom w:val="0"/>
      <w:divBdr>
        <w:top w:val="none" w:sz="0" w:space="0" w:color="auto"/>
        <w:left w:val="none" w:sz="0" w:space="0" w:color="auto"/>
        <w:bottom w:val="none" w:sz="0" w:space="0" w:color="auto"/>
        <w:right w:val="none" w:sz="0" w:space="0" w:color="auto"/>
      </w:divBdr>
    </w:div>
    <w:div w:id="993920365">
      <w:bodyDiv w:val="1"/>
      <w:marLeft w:val="0"/>
      <w:marRight w:val="0"/>
      <w:marTop w:val="0"/>
      <w:marBottom w:val="0"/>
      <w:divBdr>
        <w:top w:val="none" w:sz="0" w:space="0" w:color="auto"/>
        <w:left w:val="none" w:sz="0" w:space="0" w:color="auto"/>
        <w:bottom w:val="none" w:sz="0" w:space="0" w:color="auto"/>
        <w:right w:val="none" w:sz="0" w:space="0" w:color="auto"/>
      </w:divBdr>
    </w:div>
    <w:div w:id="994066149">
      <w:bodyDiv w:val="1"/>
      <w:marLeft w:val="0"/>
      <w:marRight w:val="0"/>
      <w:marTop w:val="0"/>
      <w:marBottom w:val="0"/>
      <w:divBdr>
        <w:top w:val="none" w:sz="0" w:space="0" w:color="auto"/>
        <w:left w:val="none" w:sz="0" w:space="0" w:color="auto"/>
        <w:bottom w:val="none" w:sz="0" w:space="0" w:color="auto"/>
        <w:right w:val="none" w:sz="0" w:space="0" w:color="auto"/>
      </w:divBdr>
    </w:div>
    <w:div w:id="1004287414">
      <w:bodyDiv w:val="1"/>
      <w:marLeft w:val="0"/>
      <w:marRight w:val="0"/>
      <w:marTop w:val="0"/>
      <w:marBottom w:val="0"/>
      <w:divBdr>
        <w:top w:val="none" w:sz="0" w:space="0" w:color="auto"/>
        <w:left w:val="none" w:sz="0" w:space="0" w:color="auto"/>
        <w:bottom w:val="none" w:sz="0" w:space="0" w:color="auto"/>
        <w:right w:val="none" w:sz="0" w:space="0" w:color="auto"/>
      </w:divBdr>
    </w:div>
    <w:div w:id="1059325987">
      <w:bodyDiv w:val="1"/>
      <w:marLeft w:val="0"/>
      <w:marRight w:val="0"/>
      <w:marTop w:val="0"/>
      <w:marBottom w:val="0"/>
      <w:divBdr>
        <w:top w:val="none" w:sz="0" w:space="0" w:color="auto"/>
        <w:left w:val="none" w:sz="0" w:space="0" w:color="auto"/>
        <w:bottom w:val="none" w:sz="0" w:space="0" w:color="auto"/>
        <w:right w:val="none" w:sz="0" w:space="0" w:color="auto"/>
      </w:divBdr>
    </w:div>
    <w:div w:id="1068846583">
      <w:bodyDiv w:val="1"/>
      <w:marLeft w:val="0"/>
      <w:marRight w:val="0"/>
      <w:marTop w:val="0"/>
      <w:marBottom w:val="0"/>
      <w:divBdr>
        <w:top w:val="none" w:sz="0" w:space="0" w:color="auto"/>
        <w:left w:val="none" w:sz="0" w:space="0" w:color="auto"/>
        <w:bottom w:val="none" w:sz="0" w:space="0" w:color="auto"/>
        <w:right w:val="none" w:sz="0" w:space="0" w:color="auto"/>
      </w:divBdr>
    </w:div>
    <w:div w:id="1079640582">
      <w:bodyDiv w:val="1"/>
      <w:marLeft w:val="0"/>
      <w:marRight w:val="0"/>
      <w:marTop w:val="0"/>
      <w:marBottom w:val="0"/>
      <w:divBdr>
        <w:top w:val="none" w:sz="0" w:space="0" w:color="auto"/>
        <w:left w:val="none" w:sz="0" w:space="0" w:color="auto"/>
        <w:bottom w:val="none" w:sz="0" w:space="0" w:color="auto"/>
        <w:right w:val="none" w:sz="0" w:space="0" w:color="auto"/>
      </w:divBdr>
    </w:div>
    <w:div w:id="1106116642">
      <w:bodyDiv w:val="1"/>
      <w:marLeft w:val="0"/>
      <w:marRight w:val="0"/>
      <w:marTop w:val="0"/>
      <w:marBottom w:val="0"/>
      <w:divBdr>
        <w:top w:val="none" w:sz="0" w:space="0" w:color="auto"/>
        <w:left w:val="none" w:sz="0" w:space="0" w:color="auto"/>
        <w:bottom w:val="none" w:sz="0" w:space="0" w:color="auto"/>
        <w:right w:val="none" w:sz="0" w:space="0" w:color="auto"/>
      </w:divBdr>
    </w:div>
    <w:div w:id="1116214329">
      <w:bodyDiv w:val="1"/>
      <w:marLeft w:val="0"/>
      <w:marRight w:val="0"/>
      <w:marTop w:val="0"/>
      <w:marBottom w:val="0"/>
      <w:divBdr>
        <w:top w:val="none" w:sz="0" w:space="0" w:color="auto"/>
        <w:left w:val="none" w:sz="0" w:space="0" w:color="auto"/>
        <w:bottom w:val="none" w:sz="0" w:space="0" w:color="auto"/>
        <w:right w:val="none" w:sz="0" w:space="0" w:color="auto"/>
      </w:divBdr>
    </w:div>
    <w:div w:id="1122770125">
      <w:bodyDiv w:val="1"/>
      <w:marLeft w:val="0"/>
      <w:marRight w:val="0"/>
      <w:marTop w:val="0"/>
      <w:marBottom w:val="0"/>
      <w:divBdr>
        <w:top w:val="none" w:sz="0" w:space="0" w:color="auto"/>
        <w:left w:val="none" w:sz="0" w:space="0" w:color="auto"/>
        <w:bottom w:val="none" w:sz="0" w:space="0" w:color="auto"/>
        <w:right w:val="none" w:sz="0" w:space="0" w:color="auto"/>
      </w:divBdr>
    </w:div>
    <w:div w:id="1133015052">
      <w:bodyDiv w:val="1"/>
      <w:marLeft w:val="0"/>
      <w:marRight w:val="0"/>
      <w:marTop w:val="0"/>
      <w:marBottom w:val="0"/>
      <w:divBdr>
        <w:top w:val="none" w:sz="0" w:space="0" w:color="auto"/>
        <w:left w:val="none" w:sz="0" w:space="0" w:color="auto"/>
        <w:bottom w:val="none" w:sz="0" w:space="0" w:color="auto"/>
        <w:right w:val="none" w:sz="0" w:space="0" w:color="auto"/>
      </w:divBdr>
    </w:div>
    <w:div w:id="1138454809">
      <w:bodyDiv w:val="1"/>
      <w:marLeft w:val="0"/>
      <w:marRight w:val="0"/>
      <w:marTop w:val="0"/>
      <w:marBottom w:val="0"/>
      <w:divBdr>
        <w:top w:val="none" w:sz="0" w:space="0" w:color="auto"/>
        <w:left w:val="none" w:sz="0" w:space="0" w:color="auto"/>
        <w:bottom w:val="none" w:sz="0" w:space="0" w:color="auto"/>
        <w:right w:val="none" w:sz="0" w:space="0" w:color="auto"/>
      </w:divBdr>
    </w:div>
    <w:div w:id="1139686692">
      <w:bodyDiv w:val="1"/>
      <w:marLeft w:val="0"/>
      <w:marRight w:val="0"/>
      <w:marTop w:val="0"/>
      <w:marBottom w:val="0"/>
      <w:divBdr>
        <w:top w:val="none" w:sz="0" w:space="0" w:color="auto"/>
        <w:left w:val="none" w:sz="0" w:space="0" w:color="auto"/>
        <w:bottom w:val="none" w:sz="0" w:space="0" w:color="auto"/>
        <w:right w:val="none" w:sz="0" w:space="0" w:color="auto"/>
      </w:divBdr>
    </w:div>
    <w:div w:id="1170943290">
      <w:bodyDiv w:val="1"/>
      <w:marLeft w:val="0"/>
      <w:marRight w:val="0"/>
      <w:marTop w:val="0"/>
      <w:marBottom w:val="0"/>
      <w:divBdr>
        <w:top w:val="none" w:sz="0" w:space="0" w:color="auto"/>
        <w:left w:val="none" w:sz="0" w:space="0" w:color="auto"/>
        <w:bottom w:val="none" w:sz="0" w:space="0" w:color="auto"/>
        <w:right w:val="none" w:sz="0" w:space="0" w:color="auto"/>
      </w:divBdr>
    </w:div>
    <w:div w:id="1219899187">
      <w:bodyDiv w:val="1"/>
      <w:marLeft w:val="0"/>
      <w:marRight w:val="0"/>
      <w:marTop w:val="0"/>
      <w:marBottom w:val="0"/>
      <w:divBdr>
        <w:top w:val="none" w:sz="0" w:space="0" w:color="auto"/>
        <w:left w:val="none" w:sz="0" w:space="0" w:color="auto"/>
        <w:bottom w:val="none" w:sz="0" w:space="0" w:color="auto"/>
        <w:right w:val="none" w:sz="0" w:space="0" w:color="auto"/>
      </w:divBdr>
    </w:div>
    <w:div w:id="1235164015">
      <w:bodyDiv w:val="1"/>
      <w:marLeft w:val="0"/>
      <w:marRight w:val="0"/>
      <w:marTop w:val="0"/>
      <w:marBottom w:val="0"/>
      <w:divBdr>
        <w:top w:val="none" w:sz="0" w:space="0" w:color="auto"/>
        <w:left w:val="none" w:sz="0" w:space="0" w:color="auto"/>
        <w:bottom w:val="none" w:sz="0" w:space="0" w:color="auto"/>
        <w:right w:val="none" w:sz="0" w:space="0" w:color="auto"/>
      </w:divBdr>
    </w:div>
    <w:div w:id="1235168762">
      <w:bodyDiv w:val="1"/>
      <w:marLeft w:val="0"/>
      <w:marRight w:val="0"/>
      <w:marTop w:val="0"/>
      <w:marBottom w:val="0"/>
      <w:divBdr>
        <w:top w:val="none" w:sz="0" w:space="0" w:color="auto"/>
        <w:left w:val="none" w:sz="0" w:space="0" w:color="auto"/>
        <w:bottom w:val="none" w:sz="0" w:space="0" w:color="auto"/>
        <w:right w:val="none" w:sz="0" w:space="0" w:color="auto"/>
      </w:divBdr>
    </w:div>
    <w:div w:id="1260523493">
      <w:bodyDiv w:val="1"/>
      <w:marLeft w:val="0"/>
      <w:marRight w:val="0"/>
      <w:marTop w:val="0"/>
      <w:marBottom w:val="0"/>
      <w:divBdr>
        <w:top w:val="none" w:sz="0" w:space="0" w:color="auto"/>
        <w:left w:val="none" w:sz="0" w:space="0" w:color="auto"/>
        <w:bottom w:val="none" w:sz="0" w:space="0" w:color="auto"/>
        <w:right w:val="none" w:sz="0" w:space="0" w:color="auto"/>
      </w:divBdr>
    </w:div>
    <w:div w:id="1264847123">
      <w:bodyDiv w:val="1"/>
      <w:marLeft w:val="0"/>
      <w:marRight w:val="0"/>
      <w:marTop w:val="0"/>
      <w:marBottom w:val="0"/>
      <w:divBdr>
        <w:top w:val="none" w:sz="0" w:space="0" w:color="auto"/>
        <w:left w:val="none" w:sz="0" w:space="0" w:color="auto"/>
        <w:bottom w:val="none" w:sz="0" w:space="0" w:color="auto"/>
        <w:right w:val="none" w:sz="0" w:space="0" w:color="auto"/>
      </w:divBdr>
    </w:div>
    <w:div w:id="1270160995">
      <w:bodyDiv w:val="1"/>
      <w:marLeft w:val="0"/>
      <w:marRight w:val="0"/>
      <w:marTop w:val="0"/>
      <w:marBottom w:val="0"/>
      <w:divBdr>
        <w:top w:val="none" w:sz="0" w:space="0" w:color="auto"/>
        <w:left w:val="none" w:sz="0" w:space="0" w:color="auto"/>
        <w:bottom w:val="none" w:sz="0" w:space="0" w:color="auto"/>
        <w:right w:val="none" w:sz="0" w:space="0" w:color="auto"/>
      </w:divBdr>
    </w:div>
    <w:div w:id="1271426964">
      <w:bodyDiv w:val="1"/>
      <w:marLeft w:val="0"/>
      <w:marRight w:val="0"/>
      <w:marTop w:val="0"/>
      <w:marBottom w:val="0"/>
      <w:divBdr>
        <w:top w:val="none" w:sz="0" w:space="0" w:color="auto"/>
        <w:left w:val="none" w:sz="0" w:space="0" w:color="auto"/>
        <w:bottom w:val="none" w:sz="0" w:space="0" w:color="auto"/>
        <w:right w:val="none" w:sz="0" w:space="0" w:color="auto"/>
      </w:divBdr>
    </w:div>
    <w:div w:id="1288194499">
      <w:bodyDiv w:val="1"/>
      <w:marLeft w:val="0"/>
      <w:marRight w:val="0"/>
      <w:marTop w:val="0"/>
      <w:marBottom w:val="0"/>
      <w:divBdr>
        <w:top w:val="none" w:sz="0" w:space="0" w:color="auto"/>
        <w:left w:val="none" w:sz="0" w:space="0" w:color="auto"/>
        <w:bottom w:val="none" w:sz="0" w:space="0" w:color="auto"/>
        <w:right w:val="none" w:sz="0" w:space="0" w:color="auto"/>
      </w:divBdr>
    </w:div>
    <w:div w:id="1289967640">
      <w:bodyDiv w:val="1"/>
      <w:marLeft w:val="0"/>
      <w:marRight w:val="0"/>
      <w:marTop w:val="0"/>
      <w:marBottom w:val="0"/>
      <w:divBdr>
        <w:top w:val="none" w:sz="0" w:space="0" w:color="auto"/>
        <w:left w:val="none" w:sz="0" w:space="0" w:color="auto"/>
        <w:bottom w:val="none" w:sz="0" w:space="0" w:color="auto"/>
        <w:right w:val="none" w:sz="0" w:space="0" w:color="auto"/>
      </w:divBdr>
    </w:div>
    <w:div w:id="1323041783">
      <w:bodyDiv w:val="1"/>
      <w:marLeft w:val="0"/>
      <w:marRight w:val="0"/>
      <w:marTop w:val="0"/>
      <w:marBottom w:val="0"/>
      <w:divBdr>
        <w:top w:val="none" w:sz="0" w:space="0" w:color="auto"/>
        <w:left w:val="none" w:sz="0" w:space="0" w:color="auto"/>
        <w:bottom w:val="none" w:sz="0" w:space="0" w:color="auto"/>
        <w:right w:val="none" w:sz="0" w:space="0" w:color="auto"/>
      </w:divBdr>
    </w:div>
    <w:div w:id="1332412486">
      <w:bodyDiv w:val="1"/>
      <w:marLeft w:val="0"/>
      <w:marRight w:val="0"/>
      <w:marTop w:val="0"/>
      <w:marBottom w:val="0"/>
      <w:divBdr>
        <w:top w:val="none" w:sz="0" w:space="0" w:color="auto"/>
        <w:left w:val="none" w:sz="0" w:space="0" w:color="auto"/>
        <w:bottom w:val="none" w:sz="0" w:space="0" w:color="auto"/>
        <w:right w:val="none" w:sz="0" w:space="0" w:color="auto"/>
      </w:divBdr>
    </w:div>
    <w:div w:id="1333920153">
      <w:bodyDiv w:val="1"/>
      <w:marLeft w:val="0"/>
      <w:marRight w:val="0"/>
      <w:marTop w:val="0"/>
      <w:marBottom w:val="0"/>
      <w:divBdr>
        <w:top w:val="none" w:sz="0" w:space="0" w:color="auto"/>
        <w:left w:val="none" w:sz="0" w:space="0" w:color="auto"/>
        <w:bottom w:val="none" w:sz="0" w:space="0" w:color="auto"/>
        <w:right w:val="none" w:sz="0" w:space="0" w:color="auto"/>
      </w:divBdr>
    </w:div>
    <w:div w:id="1335495335">
      <w:bodyDiv w:val="1"/>
      <w:marLeft w:val="0"/>
      <w:marRight w:val="0"/>
      <w:marTop w:val="0"/>
      <w:marBottom w:val="0"/>
      <w:divBdr>
        <w:top w:val="none" w:sz="0" w:space="0" w:color="auto"/>
        <w:left w:val="none" w:sz="0" w:space="0" w:color="auto"/>
        <w:bottom w:val="none" w:sz="0" w:space="0" w:color="auto"/>
        <w:right w:val="none" w:sz="0" w:space="0" w:color="auto"/>
      </w:divBdr>
    </w:div>
    <w:div w:id="1345353767">
      <w:bodyDiv w:val="1"/>
      <w:marLeft w:val="0"/>
      <w:marRight w:val="0"/>
      <w:marTop w:val="0"/>
      <w:marBottom w:val="0"/>
      <w:divBdr>
        <w:top w:val="none" w:sz="0" w:space="0" w:color="auto"/>
        <w:left w:val="none" w:sz="0" w:space="0" w:color="auto"/>
        <w:bottom w:val="none" w:sz="0" w:space="0" w:color="auto"/>
        <w:right w:val="none" w:sz="0" w:space="0" w:color="auto"/>
      </w:divBdr>
    </w:div>
    <w:div w:id="1348141444">
      <w:bodyDiv w:val="1"/>
      <w:marLeft w:val="0"/>
      <w:marRight w:val="0"/>
      <w:marTop w:val="0"/>
      <w:marBottom w:val="0"/>
      <w:divBdr>
        <w:top w:val="none" w:sz="0" w:space="0" w:color="auto"/>
        <w:left w:val="none" w:sz="0" w:space="0" w:color="auto"/>
        <w:bottom w:val="none" w:sz="0" w:space="0" w:color="auto"/>
        <w:right w:val="none" w:sz="0" w:space="0" w:color="auto"/>
      </w:divBdr>
    </w:div>
    <w:div w:id="1351026601">
      <w:bodyDiv w:val="1"/>
      <w:marLeft w:val="0"/>
      <w:marRight w:val="0"/>
      <w:marTop w:val="0"/>
      <w:marBottom w:val="0"/>
      <w:divBdr>
        <w:top w:val="none" w:sz="0" w:space="0" w:color="auto"/>
        <w:left w:val="none" w:sz="0" w:space="0" w:color="auto"/>
        <w:bottom w:val="none" w:sz="0" w:space="0" w:color="auto"/>
        <w:right w:val="none" w:sz="0" w:space="0" w:color="auto"/>
      </w:divBdr>
    </w:div>
    <w:div w:id="1373916279">
      <w:bodyDiv w:val="1"/>
      <w:marLeft w:val="0"/>
      <w:marRight w:val="0"/>
      <w:marTop w:val="0"/>
      <w:marBottom w:val="0"/>
      <w:divBdr>
        <w:top w:val="none" w:sz="0" w:space="0" w:color="auto"/>
        <w:left w:val="none" w:sz="0" w:space="0" w:color="auto"/>
        <w:bottom w:val="none" w:sz="0" w:space="0" w:color="auto"/>
        <w:right w:val="none" w:sz="0" w:space="0" w:color="auto"/>
      </w:divBdr>
    </w:div>
    <w:div w:id="1375232847">
      <w:bodyDiv w:val="1"/>
      <w:marLeft w:val="0"/>
      <w:marRight w:val="0"/>
      <w:marTop w:val="0"/>
      <w:marBottom w:val="0"/>
      <w:divBdr>
        <w:top w:val="none" w:sz="0" w:space="0" w:color="auto"/>
        <w:left w:val="none" w:sz="0" w:space="0" w:color="auto"/>
        <w:bottom w:val="none" w:sz="0" w:space="0" w:color="auto"/>
        <w:right w:val="none" w:sz="0" w:space="0" w:color="auto"/>
      </w:divBdr>
    </w:div>
    <w:div w:id="1383022537">
      <w:bodyDiv w:val="1"/>
      <w:marLeft w:val="0"/>
      <w:marRight w:val="0"/>
      <w:marTop w:val="0"/>
      <w:marBottom w:val="0"/>
      <w:divBdr>
        <w:top w:val="none" w:sz="0" w:space="0" w:color="auto"/>
        <w:left w:val="none" w:sz="0" w:space="0" w:color="auto"/>
        <w:bottom w:val="none" w:sz="0" w:space="0" w:color="auto"/>
        <w:right w:val="none" w:sz="0" w:space="0" w:color="auto"/>
      </w:divBdr>
    </w:div>
    <w:div w:id="1389958934">
      <w:bodyDiv w:val="1"/>
      <w:marLeft w:val="0"/>
      <w:marRight w:val="0"/>
      <w:marTop w:val="0"/>
      <w:marBottom w:val="0"/>
      <w:divBdr>
        <w:top w:val="none" w:sz="0" w:space="0" w:color="auto"/>
        <w:left w:val="none" w:sz="0" w:space="0" w:color="auto"/>
        <w:bottom w:val="none" w:sz="0" w:space="0" w:color="auto"/>
        <w:right w:val="none" w:sz="0" w:space="0" w:color="auto"/>
      </w:divBdr>
    </w:div>
    <w:div w:id="1395658878">
      <w:bodyDiv w:val="1"/>
      <w:marLeft w:val="0"/>
      <w:marRight w:val="0"/>
      <w:marTop w:val="0"/>
      <w:marBottom w:val="0"/>
      <w:divBdr>
        <w:top w:val="none" w:sz="0" w:space="0" w:color="auto"/>
        <w:left w:val="none" w:sz="0" w:space="0" w:color="auto"/>
        <w:bottom w:val="none" w:sz="0" w:space="0" w:color="auto"/>
        <w:right w:val="none" w:sz="0" w:space="0" w:color="auto"/>
      </w:divBdr>
    </w:div>
    <w:div w:id="1410930912">
      <w:bodyDiv w:val="1"/>
      <w:marLeft w:val="0"/>
      <w:marRight w:val="0"/>
      <w:marTop w:val="0"/>
      <w:marBottom w:val="0"/>
      <w:divBdr>
        <w:top w:val="none" w:sz="0" w:space="0" w:color="auto"/>
        <w:left w:val="none" w:sz="0" w:space="0" w:color="auto"/>
        <w:bottom w:val="none" w:sz="0" w:space="0" w:color="auto"/>
        <w:right w:val="none" w:sz="0" w:space="0" w:color="auto"/>
      </w:divBdr>
      <w:divsChild>
        <w:div w:id="1626548022">
          <w:marLeft w:val="274"/>
          <w:marRight w:val="0"/>
          <w:marTop w:val="0"/>
          <w:marBottom w:val="0"/>
          <w:divBdr>
            <w:top w:val="none" w:sz="0" w:space="0" w:color="auto"/>
            <w:left w:val="none" w:sz="0" w:space="0" w:color="auto"/>
            <w:bottom w:val="none" w:sz="0" w:space="0" w:color="auto"/>
            <w:right w:val="none" w:sz="0" w:space="0" w:color="auto"/>
          </w:divBdr>
        </w:div>
      </w:divsChild>
    </w:div>
    <w:div w:id="1439175013">
      <w:bodyDiv w:val="1"/>
      <w:marLeft w:val="0"/>
      <w:marRight w:val="0"/>
      <w:marTop w:val="0"/>
      <w:marBottom w:val="0"/>
      <w:divBdr>
        <w:top w:val="none" w:sz="0" w:space="0" w:color="auto"/>
        <w:left w:val="none" w:sz="0" w:space="0" w:color="auto"/>
        <w:bottom w:val="none" w:sz="0" w:space="0" w:color="auto"/>
        <w:right w:val="none" w:sz="0" w:space="0" w:color="auto"/>
      </w:divBdr>
      <w:divsChild>
        <w:div w:id="634484330">
          <w:marLeft w:val="288"/>
          <w:marRight w:val="0"/>
          <w:marTop w:val="0"/>
          <w:marBottom w:val="0"/>
          <w:divBdr>
            <w:top w:val="none" w:sz="0" w:space="0" w:color="auto"/>
            <w:left w:val="none" w:sz="0" w:space="0" w:color="auto"/>
            <w:bottom w:val="none" w:sz="0" w:space="0" w:color="auto"/>
            <w:right w:val="none" w:sz="0" w:space="0" w:color="auto"/>
          </w:divBdr>
        </w:div>
        <w:div w:id="1258908112">
          <w:marLeft w:val="288"/>
          <w:marRight w:val="0"/>
          <w:marTop w:val="0"/>
          <w:marBottom w:val="0"/>
          <w:divBdr>
            <w:top w:val="none" w:sz="0" w:space="0" w:color="auto"/>
            <w:left w:val="none" w:sz="0" w:space="0" w:color="auto"/>
            <w:bottom w:val="none" w:sz="0" w:space="0" w:color="auto"/>
            <w:right w:val="none" w:sz="0" w:space="0" w:color="auto"/>
          </w:divBdr>
        </w:div>
        <w:div w:id="1548446306">
          <w:marLeft w:val="288"/>
          <w:marRight w:val="0"/>
          <w:marTop w:val="0"/>
          <w:marBottom w:val="0"/>
          <w:divBdr>
            <w:top w:val="none" w:sz="0" w:space="0" w:color="auto"/>
            <w:left w:val="none" w:sz="0" w:space="0" w:color="auto"/>
            <w:bottom w:val="none" w:sz="0" w:space="0" w:color="auto"/>
            <w:right w:val="none" w:sz="0" w:space="0" w:color="auto"/>
          </w:divBdr>
        </w:div>
      </w:divsChild>
    </w:div>
    <w:div w:id="1446727706">
      <w:bodyDiv w:val="1"/>
      <w:marLeft w:val="0"/>
      <w:marRight w:val="0"/>
      <w:marTop w:val="0"/>
      <w:marBottom w:val="0"/>
      <w:divBdr>
        <w:top w:val="none" w:sz="0" w:space="0" w:color="auto"/>
        <w:left w:val="none" w:sz="0" w:space="0" w:color="auto"/>
        <w:bottom w:val="none" w:sz="0" w:space="0" w:color="auto"/>
        <w:right w:val="none" w:sz="0" w:space="0" w:color="auto"/>
      </w:divBdr>
    </w:div>
    <w:div w:id="1462453776">
      <w:bodyDiv w:val="1"/>
      <w:marLeft w:val="0"/>
      <w:marRight w:val="0"/>
      <w:marTop w:val="0"/>
      <w:marBottom w:val="0"/>
      <w:divBdr>
        <w:top w:val="none" w:sz="0" w:space="0" w:color="auto"/>
        <w:left w:val="none" w:sz="0" w:space="0" w:color="auto"/>
        <w:bottom w:val="none" w:sz="0" w:space="0" w:color="auto"/>
        <w:right w:val="none" w:sz="0" w:space="0" w:color="auto"/>
      </w:divBdr>
    </w:div>
    <w:div w:id="1465194066">
      <w:bodyDiv w:val="1"/>
      <w:marLeft w:val="0"/>
      <w:marRight w:val="0"/>
      <w:marTop w:val="0"/>
      <w:marBottom w:val="0"/>
      <w:divBdr>
        <w:top w:val="none" w:sz="0" w:space="0" w:color="auto"/>
        <w:left w:val="none" w:sz="0" w:space="0" w:color="auto"/>
        <w:bottom w:val="none" w:sz="0" w:space="0" w:color="auto"/>
        <w:right w:val="none" w:sz="0" w:space="0" w:color="auto"/>
      </w:divBdr>
    </w:div>
    <w:div w:id="1483232881">
      <w:bodyDiv w:val="1"/>
      <w:marLeft w:val="0"/>
      <w:marRight w:val="0"/>
      <w:marTop w:val="0"/>
      <w:marBottom w:val="0"/>
      <w:divBdr>
        <w:top w:val="none" w:sz="0" w:space="0" w:color="auto"/>
        <w:left w:val="none" w:sz="0" w:space="0" w:color="auto"/>
        <w:bottom w:val="none" w:sz="0" w:space="0" w:color="auto"/>
        <w:right w:val="none" w:sz="0" w:space="0" w:color="auto"/>
      </w:divBdr>
    </w:div>
    <w:div w:id="1491141302">
      <w:bodyDiv w:val="1"/>
      <w:marLeft w:val="0"/>
      <w:marRight w:val="0"/>
      <w:marTop w:val="0"/>
      <w:marBottom w:val="0"/>
      <w:divBdr>
        <w:top w:val="none" w:sz="0" w:space="0" w:color="auto"/>
        <w:left w:val="none" w:sz="0" w:space="0" w:color="auto"/>
        <w:bottom w:val="none" w:sz="0" w:space="0" w:color="auto"/>
        <w:right w:val="none" w:sz="0" w:space="0" w:color="auto"/>
      </w:divBdr>
    </w:div>
    <w:div w:id="1501236189">
      <w:bodyDiv w:val="1"/>
      <w:marLeft w:val="0"/>
      <w:marRight w:val="0"/>
      <w:marTop w:val="0"/>
      <w:marBottom w:val="0"/>
      <w:divBdr>
        <w:top w:val="none" w:sz="0" w:space="0" w:color="auto"/>
        <w:left w:val="none" w:sz="0" w:space="0" w:color="auto"/>
        <w:bottom w:val="none" w:sz="0" w:space="0" w:color="auto"/>
        <w:right w:val="none" w:sz="0" w:space="0" w:color="auto"/>
      </w:divBdr>
    </w:div>
    <w:div w:id="1505054912">
      <w:bodyDiv w:val="1"/>
      <w:marLeft w:val="0"/>
      <w:marRight w:val="0"/>
      <w:marTop w:val="0"/>
      <w:marBottom w:val="0"/>
      <w:divBdr>
        <w:top w:val="none" w:sz="0" w:space="0" w:color="auto"/>
        <w:left w:val="none" w:sz="0" w:space="0" w:color="auto"/>
        <w:bottom w:val="none" w:sz="0" w:space="0" w:color="auto"/>
        <w:right w:val="none" w:sz="0" w:space="0" w:color="auto"/>
      </w:divBdr>
    </w:div>
    <w:div w:id="1514026620">
      <w:bodyDiv w:val="1"/>
      <w:marLeft w:val="0"/>
      <w:marRight w:val="0"/>
      <w:marTop w:val="0"/>
      <w:marBottom w:val="0"/>
      <w:divBdr>
        <w:top w:val="none" w:sz="0" w:space="0" w:color="auto"/>
        <w:left w:val="none" w:sz="0" w:space="0" w:color="auto"/>
        <w:bottom w:val="none" w:sz="0" w:space="0" w:color="auto"/>
        <w:right w:val="none" w:sz="0" w:space="0" w:color="auto"/>
      </w:divBdr>
    </w:div>
    <w:div w:id="1523975489">
      <w:bodyDiv w:val="1"/>
      <w:marLeft w:val="0"/>
      <w:marRight w:val="0"/>
      <w:marTop w:val="0"/>
      <w:marBottom w:val="0"/>
      <w:divBdr>
        <w:top w:val="none" w:sz="0" w:space="0" w:color="auto"/>
        <w:left w:val="none" w:sz="0" w:space="0" w:color="auto"/>
        <w:bottom w:val="none" w:sz="0" w:space="0" w:color="auto"/>
        <w:right w:val="none" w:sz="0" w:space="0" w:color="auto"/>
      </w:divBdr>
    </w:div>
    <w:div w:id="1557424435">
      <w:bodyDiv w:val="1"/>
      <w:marLeft w:val="0"/>
      <w:marRight w:val="0"/>
      <w:marTop w:val="0"/>
      <w:marBottom w:val="0"/>
      <w:divBdr>
        <w:top w:val="none" w:sz="0" w:space="0" w:color="auto"/>
        <w:left w:val="none" w:sz="0" w:space="0" w:color="auto"/>
        <w:bottom w:val="none" w:sz="0" w:space="0" w:color="auto"/>
        <w:right w:val="none" w:sz="0" w:space="0" w:color="auto"/>
      </w:divBdr>
    </w:div>
    <w:div w:id="1565722197">
      <w:bodyDiv w:val="1"/>
      <w:marLeft w:val="0"/>
      <w:marRight w:val="0"/>
      <w:marTop w:val="0"/>
      <w:marBottom w:val="0"/>
      <w:divBdr>
        <w:top w:val="none" w:sz="0" w:space="0" w:color="auto"/>
        <w:left w:val="none" w:sz="0" w:space="0" w:color="auto"/>
        <w:bottom w:val="none" w:sz="0" w:space="0" w:color="auto"/>
        <w:right w:val="none" w:sz="0" w:space="0" w:color="auto"/>
      </w:divBdr>
      <w:divsChild>
        <w:div w:id="52198624">
          <w:marLeft w:val="446"/>
          <w:marRight w:val="0"/>
          <w:marTop w:val="0"/>
          <w:marBottom w:val="0"/>
          <w:divBdr>
            <w:top w:val="none" w:sz="0" w:space="0" w:color="auto"/>
            <w:left w:val="none" w:sz="0" w:space="0" w:color="auto"/>
            <w:bottom w:val="none" w:sz="0" w:space="0" w:color="auto"/>
            <w:right w:val="none" w:sz="0" w:space="0" w:color="auto"/>
          </w:divBdr>
        </w:div>
        <w:div w:id="205215367">
          <w:marLeft w:val="446"/>
          <w:marRight w:val="0"/>
          <w:marTop w:val="0"/>
          <w:marBottom w:val="0"/>
          <w:divBdr>
            <w:top w:val="none" w:sz="0" w:space="0" w:color="auto"/>
            <w:left w:val="none" w:sz="0" w:space="0" w:color="auto"/>
            <w:bottom w:val="none" w:sz="0" w:space="0" w:color="auto"/>
            <w:right w:val="none" w:sz="0" w:space="0" w:color="auto"/>
          </w:divBdr>
        </w:div>
        <w:div w:id="1096946748">
          <w:marLeft w:val="1166"/>
          <w:marRight w:val="0"/>
          <w:marTop w:val="0"/>
          <w:marBottom w:val="0"/>
          <w:divBdr>
            <w:top w:val="none" w:sz="0" w:space="0" w:color="auto"/>
            <w:left w:val="none" w:sz="0" w:space="0" w:color="auto"/>
            <w:bottom w:val="none" w:sz="0" w:space="0" w:color="auto"/>
            <w:right w:val="none" w:sz="0" w:space="0" w:color="auto"/>
          </w:divBdr>
        </w:div>
        <w:div w:id="1289627168">
          <w:marLeft w:val="1166"/>
          <w:marRight w:val="0"/>
          <w:marTop w:val="0"/>
          <w:marBottom w:val="0"/>
          <w:divBdr>
            <w:top w:val="none" w:sz="0" w:space="0" w:color="auto"/>
            <w:left w:val="none" w:sz="0" w:space="0" w:color="auto"/>
            <w:bottom w:val="none" w:sz="0" w:space="0" w:color="auto"/>
            <w:right w:val="none" w:sz="0" w:space="0" w:color="auto"/>
          </w:divBdr>
        </w:div>
        <w:div w:id="1333333996">
          <w:marLeft w:val="1166"/>
          <w:marRight w:val="0"/>
          <w:marTop w:val="0"/>
          <w:marBottom w:val="0"/>
          <w:divBdr>
            <w:top w:val="none" w:sz="0" w:space="0" w:color="auto"/>
            <w:left w:val="none" w:sz="0" w:space="0" w:color="auto"/>
            <w:bottom w:val="none" w:sz="0" w:space="0" w:color="auto"/>
            <w:right w:val="none" w:sz="0" w:space="0" w:color="auto"/>
          </w:divBdr>
        </w:div>
        <w:div w:id="1421290570">
          <w:marLeft w:val="446"/>
          <w:marRight w:val="0"/>
          <w:marTop w:val="0"/>
          <w:marBottom w:val="0"/>
          <w:divBdr>
            <w:top w:val="none" w:sz="0" w:space="0" w:color="auto"/>
            <w:left w:val="none" w:sz="0" w:space="0" w:color="auto"/>
            <w:bottom w:val="none" w:sz="0" w:space="0" w:color="auto"/>
            <w:right w:val="none" w:sz="0" w:space="0" w:color="auto"/>
          </w:divBdr>
        </w:div>
      </w:divsChild>
    </w:div>
    <w:div w:id="1571386172">
      <w:bodyDiv w:val="1"/>
      <w:marLeft w:val="0"/>
      <w:marRight w:val="0"/>
      <w:marTop w:val="0"/>
      <w:marBottom w:val="0"/>
      <w:divBdr>
        <w:top w:val="none" w:sz="0" w:space="0" w:color="auto"/>
        <w:left w:val="none" w:sz="0" w:space="0" w:color="auto"/>
        <w:bottom w:val="none" w:sz="0" w:space="0" w:color="auto"/>
        <w:right w:val="none" w:sz="0" w:space="0" w:color="auto"/>
      </w:divBdr>
      <w:divsChild>
        <w:div w:id="1043751508">
          <w:marLeft w:val="0"/>
          <w:marRight w:val="0"/>
          <w:marTop w:val="0"/>
          <w:marBottom w:val="0"/>
          <w:divBdr>
            <w:top w:val="none" w:sz="0" w:space="0" w:color="auto"/>
            <w:left w:val="none" w:sz="0" w:space="0" w:color="auto"/>
            <w:bottom w:val="none" w:sz="0" w:space="0" w:color="auto"/>
            <w:right w:val="none" w:sz="0" w:space="0" w:color="auto"/>
          </w:divBdr>
        </w:div>
      </w:divsChild>
    </w:div>
    <w:div w:id="1603487738">
      <w:bodyDiv w:val="1"/>
      <w:marLeft w:val="0"/>
      <w:marRight w:val="0"/>
      <w:marTop w:val="0"/>
      <w:marBottom w:val="0"/>
      <w:divBdr>
        <w:top w:val="none" w:sz="0" w:space="0" w:color="auto"/>
        <w:left w:val="none" w:sz="0" w:space="0" w:color="auto"/>
        <w:bottom w:val="none" w:sz="0" w:space="0" w:color="auto"/>
        <w:right w:val="none" w:sz="0" w:space="0" w:color="auto"/>
      </w:divBdr>
    </w:div>
    <w:div w:id="1609118224">
      <w:bodyDiv w:val="1"/>
      <w:marLeft w:val="0"/>
      <w:marRight w:val="0"/>
      <w:marTop w:val="0"/>
      <w:marBottom w:val="0"/>
      <w:divBdr>
        <w:top w:val="none" w:sz="0" w:space="0" w:color="auto"/>
        <w:left w:val="none" w:sz="0" w:space="0" w:color="auto"/>
        <w:bottom w:val="none" w:sz="0" w:space="0" w:color="auto"/>
        <w:right w:val="none" w:sz="0" w:space="0" w:color="auto"/>
      </w:divBdr>
    </w:div>
    <w:div w:id="1616521265">
      <w:bodyDiv w:val="1"/>
      <w:marLeft w:val="0"/>
      <w:marRight w:val="0"/>
      <w:marTop w:val="0"/>
      <w:marBottom w:val="0"/>
      <w:divBdr>
        <w:top w:val="none" w:sz="0" w:space="0" w:color="auto"/>
        <w:left w:val="none" w:sz="0" w:space="0" w:color="auto"/>
        <w:bottom w:val="none" w:sz="0" w:space="0" w:color="auto"/>
        <w:right w:val="none" w:sz="0" w:space="0" w:color="auto"/>
      </w:divBdr>
    </w:div>
    <w:div w:id="1635211192">
      <w:bodyDiv w:val="1"/>
      <w:marLeft w:val="0"/>
      <w:marRight w:val="0"/>
      <w:marTop w:val="0"/>
      <w:marBottom w:val="0"/>
      <w:divBdr>
        <w:top w:val="none" w:sz="0" w:space="0" w:color="auto"/>
        <w:left w:val="none" w:sz="0" w:space="0" w:color="auto"/>
        <w:bottom w:val="none" w:sz="0" w:space="0" w:color="auto"/>
        <w:right w:val="none" w:sz="0" w:space="0" w:color="auto"/>
      </w:divBdr>
    </w:div>
    <w:div w:id="1668703788">
      <w:bodyDiv w:val="1"/>
      <w:marLeft w:val="0"/>
      <w:marRight w:val="0"/>
      <w:marTop w:val="0"/>
      <w:marBottom w:val="0"/>
      <w:divBdr>
        <w:top w:val="none" w:sz="0" w:space="0" w:color="auto"/>
        <w:left w:val="none" w:sz="0" w:space="0" w:color="auto"/>
        <w:bottom w:val="none" w:sz="0" w:space="0" w:color="auto"/>
        <w:right w:val="none" w:sz="0" w:space="0" w:color="auto"/>
      </w:divBdr>
    </w:div>
    <w:div w:id="1672370175">
      <w:bodyDiv w:val="1"/>
      <w:marLeft w:val="0"/>
      <w:marRight w:val="0"/>
      <w:marTop w:val="0"/>
      <w:marBottom w:val="0"/>
      <w:divBdr>
        <w:top w:val="none" w:sz="0" w:space="0" w:color="auto"/>
        <w:left w:val="none" w:sz="0" w:space="0" w:color="auto"/>
        <w:bottom w:val="none" w:sz="0" w:space="0" w:color="auto"/>
        <w:right w:val="none" w:sz="0" w:space="0" w:color="auto"/>
      </w:divBdr>
    </w:div>
    <w:div w:id="1681925416">
      <w:bodyDiv w:val="1"/>
      <w:marLeft w:val="0"/>
      <w:marRight w:val="0"/>
      <w:marTop w:val="0"/>
      <w:marBottom w:val="0"/>
      <w:divBdr>
        <w:top w:val="none" w:sz="0" w:space="0" w:color="auto"/>
        <w:left w:val="none" w:sz="0" w:space="0" w:color="auto"/>
        <w:bottom w:val="none" w:sz="0" w:space="0" w:color="auto"/>
        <w:right w:val="none" w:sz="0" w:space="0" w:color="auto"/>
      </w:divBdr>
    </w:div>
    <w:div w:id="1685090216">
      <w:bodyDiv w:val="1"/>
      <w:marLeft w:val="0"/>
      <w:marRight w:val="0"/>
      <w:marTop w:val="0"/>
      <w:marBottom w:val="0"/>
      <w:divBdr>
        <w:top w:val="none" w:sz="0" w:space="0" w:color="auto"/>
        <w:left w:val="none" w:sz="0" w:space="0" w:color="auto"/>
        <w:bottom w:val="none" w:sz="0" w:space="0" w:color="auto"/>
        <w:right w:val="none" w:sz="0" w:space="0" w:color="auto"/>
      </w:divBdr>
    </w:div>
    <w:div w:id="1689137997">
      <w:bodyDiv w:val="1"/>
      <w:marLeft w:val="0"/>
      <w:marRight w:val="0"/>
      <w:marTop w:val="0"/>
      <w:marBottom w:val="0"/>
      <w:divBdr>
        <w:top w:val="none" w:sz="0" w:space="0" w:color="auto"/>
        <w:left w:val="none" w:sz="0" w:space="0" w:color="auto"/>
        <w:bottom w:val="none" w:sz="0" w:space="0" w:color="auto"/>
        <w:right w:val="none" w:sz="0" w:space="0" w:color="auto"/>
      </w:divBdr>
    </w:div>
    <w:div w:id="1700010539">
      <w:bodyDiv w:val="1"/>
      <w:marLeft w:val="0"/>
      <w:marRight w:val="0"/>
      <w:marTop w:val="0"/>
      <w:marBottom w:val="0"/>
      <w:divBdr>
        <w:top w:val="none" w:sz="0" w:space="0" w:color="auto"/>
        <w:left w:val="none" w:sz="0" w:space="0" w:color="auto"/>
        <w:bottom w:val="none" w:sz="0" w:space="0" w:color="auto"/>
        <w:right w:val="none" w:sz="0" w:space="0" w:color="auto"/>
      </w:divBdr>
    </w:div>
    <w:div w:id="1701474050">
      <w:bodyDiv w:val="1"/>
      <w:marLeft w:val="0"/>
      <w:marRight w:val="0"/>
      <w:marTop w:val="0"/>
      <w:marBottom w:val="0"/>
      <w:divBdr>
        <w:top w:val="none" w:sz="0" w:space="0" w:color="auto"/>
        <w:left w:val="none" w:sz="0" w:space="0" w:color="auto"/>
        <w:bottom w:val="none" w:sz="0" w:space="0" w:color="auto"/>
        <w:right w:val="none" w:sz="0" w:space="0" w:color="auto"/>
      </w:divBdr>
    </w:div>
    <w:div w:id="1706131071">
      <w:bodyDiv w:val="1"/>
      <w:marLeft w:val="0"/>
      <w:marRight w:val="0"/>
      <w:marTop w:val="0"/>
      <w:marBottom w:val="0"/>
      <w:divBdr>
        <w:top w:val="none" w:sz="0" w:space="0" w:color="auto"/>
        <w:left w:val="none" w:sz="0" w:space="0" w:color="auto"/>
        <w:bottom w:val="none" w:sz="0" w:space="0" w:color="auto"/>
        <w:right w:val="none" w:sz="0" w:space="0" w:color="auto"/>
      </w:divBdr>
    </w:div>
    <w:div w:id="1714384677">
      <w:bodyDiv w:val="1"/>
      <w:marLeft w:val="0"/>
      <w:marRight w:val="0"/>
      <w:marTop w:val="0"/>
      <w:marBottom w:val="0"/>
      <w:divBdr>
        <w:top w:val="none" w:sz="0" w:space="0" w:color="auto"/>
        <w:left w:val="none" w:sz="0" w:space="0" w:color="auto"/>
        <w:bottom w:val="none" w:sz="0" w:space="0" w:color="auto"/>
        <w:right w:val="none" w:sz="0" w:space="0" w:color="auto"/>
      </w:divBdr>
    </w:div>
    <w:div w:id="1749692076">
      <w:bodyDiv w:val="1"/>
      <w:marLeft w:val="0"/>
      <w:marRight w:val="0"/>
      <w:marTop w:val="0"/>
      <w:marBottom w:val="0"/>
      <w:divBdr>
        <w:top w:val="none" w:sz="0" w:space="0" w:color="auto"/>
        <w:left w:val="none" w:sz="0" w:space="0" w:color="auto"/>
        <w:bottom w:val="none" w:sz="0" w:space="0" w:color="auto"/>
        <w:right w:val="none" w:sz="0" w:space="0" w:color="auto"/>
      </w:divBdr>
    </w:div>
    <w:div w:id="1765879348">
      <w:bodyDiv w:val="1"/>
      <w:marLeft w:val="0"/>
      <w:marRight w:val="0"/>
      <w:marTop w:val="0"/>
      <w:marBottom w:val="0"/>
      <w:divBdr>
        <w:top w:val="none" w:sz="0" w:space="0" w:color="auto"/>
        <w:left w:val="none" w:sz="0" w:space="0" w:color="auto"/>
        <w:bottom w:val="none" w:sz="0" w:space="0" w:color="auto"/>
        <w:right w:val="none" w:sz="0" w:space="0" w:color="auto"/>
      </w:divBdr>
    </w:div>
    <w:div w:id="1782339291">
      <w:bodyDiv w:val="1"/>
      <w:marLeft w:val="0"/>
      <w:marRight w:val="0"/>
      <w:marTop w:val="0"/>
      <w:marBottom w:val="0"/>
      <w:divBdr>
        <w:top w:val="none" w:sz="0" w:space="0" w:color="auto"/>
        <w:left w:val="none" w:sz="0" w:space="0" w:color="auto"/>
        <w:bottom w:val="none" w:sz="0" w:space="0" w:color="auto"/>
        <w:right w:val="none" w:sz="0" w:space="0" w:color="auto"/>
      </w:divBdr>
    </w:div>
    <w:div w:id="1788936251">
      <w:bodyDiv w:val="1"/>
      <w:marLeft w:val="0"/>
      <w:marRight w:val="0"/>
      <w:marTop w:val="0"/>
      <w:marBottom w:val="0"/>
      <w:divBdr>
        <w:top w:val="none" w:sz="0" w:space="0" w:color="auto"/>
        <w:left w:val="none" w:sz="0" w:space="0" w:color="auto"/>
        <w:bottom w:val="none" w:sz="0" w:space="0" w:color="auto"/>
        <w:right w:val="none" w:sz="0" w:space="0" w:color="auto"/>
      </w:divBdr>
    </w:div>
    <w:div w:id="1794783650">
      <w:bodyDiv w:val="1"/>
      <w:marLeft w:val="0"/>
      <w:marRight w:val="0"/>
      <w:marTop w:val="0"/>
      <w:marBottom w:val="0"/>
      <w:divBdr>
        <w:top w:val="none" w:sz="0" w:space="0" w:color="auto"/>
        <w:left w:val="none" w:sz="0" w:space="0" w:color="auto"/>
        <w:bottom w:val="none" w:sz="0" w:space="0" w:color="auto"/>
        <w:right w:val="none" w:sz="0" w:space="0" w:color="auto"/>
      </w:divBdr>
    </w:div>
    <w:div w:id="1798261418">
      <w:bodyDiv w:val="1"/>
      <w:marLeft w:val="0"/>
      <w:marRight w:val="0"/>
      <w:marTop w:val="0"/>
      <w:marBottom w:val="0"/>
      <w:divBdr>
        <w:top w:val="none" w:sz="0" w:space="0" w:color="auto"/>
        <w:left w:val="none" w:sz="0" w:space="0" w:color="auto"/>
        <w:bottom w:val="none" w:sz="0" w:space="0" w:color="auto"/>
        <w:right w:val="none" w:sz="0" w:space="0" w:color="auto"/>
      </w:divBdr>
    </w:div>
    <w:div w:id="1816409235">
      <w:bodyDiv w:val="1"/>
      <w:marLeft w:val="0"/>
      <w:marRight w:val="0"/>
      <w:marTop w:val="0"/>
      <w:marBottom w:val="0"/>
      <w:divBdr>
        <w:top w:val="none" w:sz="0" w:space="0" w:color="auto"/>
        <w:left w:val="none" w:sz="0" w:space="0" w:color="auto"/>
        <w:bottom w:val="none" w:sz="0" w:space="0" w:color="auto"/>
        <w:right w:val="none" w:sz="0" w:space="0" w:color="auto"/>
      </w:divBdr>
    </w:div>
    <w:div w:id="1825122586">
      <w:bodyDiv w:val="1"/>
      <w:marLeft w:val="0"/>
      <w:marRight w:val="0"/>
      <w:marTop w:val="0"/>
      <w:marBottom w:val="0"/>
      <w:divBdr>
        <w:top w:val="none" w:sz="0" w:space="0" w:color="auto"/>
        <w:left w:val="none" w:sz="0" w:space="0" w:color="auto"/>
        <w:bottom w:val="none" w:sz="0" w:space="0" w:color="auto"/>
        <w:right w:val="none" w:sz="0" w:space="0" w:color="auto"/>
      </w:divBdr>
    </w:div>
    <w:div w:id="1828860458">
      <w:bodyDiv w:val="1"/>
      <w:marLeft w:val="0"/>
      <w:marRight w:val="0"/>
      <w:marTop w:val="0"/>
      <w:marBottom w:val="0"/>
      <w:divBdr>
        <w:top w:val="none" w:sz="0" w:space="0" w:color="auto"/>
        <w:left w:val="none" w:sz="0" w:space="0" w:color="auto"/>
        <w:bottom w:val="none" w:sz="0" w:space="0" w:color="auto"/>
        <w:right w:val="none" w:sz="0" w:space="0" w:color="auto"/>
      </w:divBdr>
    </w:div>
    <w:div w:id="1832912226">
      <w:bodyDiv w:val="1"/>
      <w:marLeft w:val="0"/>
      <w:marRight w:val="0"/>
      <w:marTop w:val="0"/>
      <w:marBottom w:val="0"/>
      <w:divBdr>
        <w:top w:val="none" w:sz="0" w:space="0" w:color="auto"/>
        <w:left w:val="none" w:sz="0" w:space="0" w:color="auto"/>
        <w:bottom w:val="none" w:sz="0" w:space="0" w:color="auto"/>
        <w:right w:val="none" w:sz="0" w:space="0" w:color="auto"/>
      </w:divBdr>
      <w:divsChild>
        <w:div w:id="496503358">
          <w:marLeft w:val="288"/>
          <w:marRight w:val="0"/>
          <w:marTop w:val="0"/>
          <w:marBottom w:val="0"/>
          <w:divBdr>
            <w:top w:val="none" w:sz="0" w:space="0" w:color="auto"/>
            <w:left w:val="none" w:sz="0" w:space="0" w:color="auto"/>
            <w:bottom w:val="none" w:sz="0" w:space="0" w:color="auto"/>
            <w:right w:val="none" w:sz="0" w:space="0" w:color="auto"/>
          </w:divBdr>
        </w:div>
        <w:div w:id="913319965">
          <w:marLeft w:val="288"/>
          <w:marRight w:val="0"/>
          <w:marTop w:val="0"/>
          <w:marBottom w:val="0"/>
          <w:divBdr>
            <w:top w:val="none" w:sz="0" w:space="0" w:color="auto"/>
            <w:left w:val="none" w:sz="0" w:space="0" w:color="auto"/>
            <w:bottom w:val="none" w:sz="0" w:space="0" w:color="auto"/>
            <w:right w:val="none" w:sz="0" w:space="0" w:color="auto"/>
          </w:divBdr>
        </w:div>
        <w:div w:id="1472403766">
          <w:marLeft w:val="288"/>
          <w:marRight w:val="0"/>
          <w:marTop w:val="0"/>
          <w:marBottom w:val="0"/>
          <w:divBdr>
            <w:top w:val="none" w:sz="0" w:space="0" w:color="auto"/>
            <w:left w:val="none" w:sz="0" w:space="0" w:color="auto"/>
            <w:bottom w:val="none" w:sz="0" w:space="0" w:color="auto"/>
            <w:right w:val="none" w:sz="0" w:space="0" w:color="auto"/>
          </w:divBdr>
        </w:div>
        <w:div w:id="1917131854">
          <w:marLeft w:val="288"/>
          <w:marRight w:val="0"/>
          <w:marTop w:val="0"/>
          <w:marBottom w:val="0"/>
          <w:divBdr>
            <w:top w:val="none" w:sz="0" w:space="0" w:color="auto"/>
            <w:left w:val="none" w:sz="0" w:space="0" w:color="auto"/>
            <w:bottom w:val="none" w:sz="0" w:space="0" w:color="auto"/>
            <w:right w:val="none" w:sz="0" w:space="0" w:color="auto"/>
          </w:divBdr>
        </w:div>
      </w:divsChild>
    </w:div>
    <w:div w:id="1834881168">
      <w:bodyDiv w:val="1"/>
      <w:marLeft w:val="0"/>
      <w:marRight w:val="0"/>
      <w:marTop w:val="0"/>
      <w:marBottom w:val="0"/>
      <w:divBdr>
        <w:top w:val="none" w:sz="0" w:space="0" w:color="auto"/>
        <w:left w:val="none" w:sz="0" w:space="0" w:color="auto"/>
        <w:bottom w:val="none" w:sz="0" w:space="0" w:color="auto"/>
        <w:right w:val="none" w:sz="0" w:space="0" w:color="auto"/>
      </w:divBdr>
    </w:div>
    <w:div w:id="1839686510">
      <w:bodyDiv w:val="1"/>
      <w:marLeft w:val="0"/>
      <w:marRight w:val="0"/>
      <w:marTop w:val="0"/>
      <w:marBottom w:val="0"/>
      <w:divBdr>
        <w:top w:val="none" w:sz="0" w:space="0" w:color="auto"/>
        <w:left w:val="none" w:sz="0" w:space="0" w:color="auto"/>
        <w:bottom w:val="none" w:sz="0" w:space="0" w:color="auto"/>
        <w:right w:val="none" w:sz="0" w:space="0" w:color="auto"/>
      </w:divBdr>
    </w:div>
    <w:div w:id="1849909808">
      <w:bodyDiv w:val="1"/>
      <w:marLeft w:val="0"/>
      <w:marRight w:val="0"/>
      <w:marTop w:val="0"/>
      <w:marBottom w:val="0"/>
      <w:divBdr>
        <w:top w:val="none" w:sz="0" w:space="0" w:color="auto"/>
        <w:left w:val="none" w:sz="0" w:space="0" w:color="auto"/>
        <w:bottom w:val="none" w:sz="0" w:space="0" w:color="auto"/>
        <w:right w:val="none" w:sz="0" w:space="0" w:color="auto"/>
      </w:divBdr>
    </w:div>
    <w:div w:id="1862011996">
      <w:bodyDiv w:val="1"/>
      <w:marLeft w:val="0"/>
      <w:marRight w:val="0"/>
      <w:marTop w:val="0"/>
      <w:marBottom w:val="0"/>
      <w:divBdr>
        <w:top w:val="none" w:sz="0" w:space="0" w:color="auto"/>
        <w:left w:val="none" w:sz="0" w:space="0" w:color="auto"/>
        <w:bottom w:val="none" w:sz="0" w:space="0" w:color="auto"/>
        <w:right w:val="none" w:sz="0" w:space="0" w:color="auto"/>
      </w:divBdr>
    </w:div>
    <w:div w:id="1869684721">
      <w:bodyDiv w:val="1"/>
      <w:marLeft w:val="0"/>
      <w:marRight w:val="0"/>
      <w:marTop w:val="0"/>
      <w:marBottom w:val="0"/>
      <w:divBdr>
        <w:top w:val="none" w:sz="0" w:space="0" w:color="auto"/>
        <w:left w:val="none" w:sz="0" w:space="0" w:color="auto"/>
        <w:bottom w:val="none" w:sz="0" w:space="0" w:color="auto"/>
        <w:right w:val="none" w:sz="0" w:space="0" w:color="auto"/>
      </w:divBdr>
    </w:div>
    <w:div w:id="1876456067">
      <w:bodyDiv w:val="1"/>
      <w:marLeft w:val="0"/>
      <w:marRight w:val="0"/>
      <w:marTop w:val="0"/>
      <w:marBottom w:val="0"/>
      <w:divBdr>
        <w:top w:val="none" w:sz="0" w:space="0" w:color="auto"/>
        <w:left w:val="none" w:sz="0" w:space="0" w:color="auto"/>
        <w:bottom w:val="none" w:sz="0" w:space="0" w:color="auto"/>
        <w:right w:val="none" w:sz="0" w:space="0" w:color="auto"/>
      </w:divBdr>
    </w:div>
    <w:div w:id="1902062002">
      <w:bodyDiv w:val="1"/>
      <w:marLeft w:val="0"/>
      <w:marRight w:val="0"/>
      <w:marTop w:val="0"/>
      <w:marBottom w:val="0"/>
      <w:divBdr>
        <w:top w:val="none" w:sz="0" w:space="0" w:color="auto"/>
        <w:left w:val="none" w:sz="0" w:space="0" w:color="auto"/>
        <w:bottom w:val="none" w:sz="0" w:space="0" w:color="auto"/>
        <w:right w:val="none" w:sz="0" w:space="0" w:color="auto"/>
      </w:divBdr>
    </w:div>
    <w:div w:id="1911378407">
      <w:bodyDiv w:val="1"/>
      <w:marLeft w:val="0"/>
      <w:marRight w:val="0"/>
      <w:marTop w:val="0"/>
      <w:marBottom w:val="0"/>
      <w:divBdr>
        <w:top w:val="none" w:sz="0" w:space="0" w:color="auto"/>
        <w:left w:val="none" w:sz="0" w:space="0" w:color="auto"/>
        <w:bottom w:val="none" w:sz="0" w:space="0" w:color="auto"/>
        <w:right w:val="none" w:sz="0" w:space="0" w:color="auto"/>
      </w:divBdr>
    </w:div>
    <w:div w:id="1922641480">
      <w:bodyDiv w:val="1"/>
      <w:marLeft w:val="0"/>
      <w:marRight w:val="0"/>
      <w:marTop w:val="0"/>
      <w:marBottom w:val="0"/>
      <w:divBdr>
        <w:top w:val="none" w:sz="0" w:space="0" w:color="auto"/>
        <w:left w:val="none" w:sz="0" w:space="0" w:color="auto"/>
        <w:bottom w:val="none" w:sz="0" w:space="0" w:color="auto"/>
        <w:right w:val="none" w:sz="0" w:space="0" w:color="auto"/>
      </w:divBdr>
    </w:div>
    <w:div w:id="1924101593">
      <w:bodyDiv w:val="1"/>
      <w:marLeft w:val="0"/>
      <w:marRight w:val="0"/>
      <w:marTop w:val="0"/>
      <w:marBottom w:val="0"/>
      <w:divBdr>
        <w:top w:val="none" w:sz="0" w:space="0" w:color="auto"/>
        <w:left w:val="none" w:sz="0" w:space="0" w:color="auto"/>
        <w:bottom w:val="none" w:sz="0" w:space="0" w:color="auto"/>
        <w:right w:val="none" w:sz="0" w:space="0" w:color="auto"/>
      </w:divBdr>
    </w:div>
    <w:div w:id="1944651466">
      <w:bodyDiv w:val="1"/>
      <w:marLeft w:val="0"/>
      <w:marRight w:val="0"/>
      <w:marTop w:val="0"/>
      <w:marBottom w:val="0"/>
      <w:divBdr>
        <w:top w:val="none" w:sz="0" w:space="0" w:color="auto"/>
        <w:left w:val="none" w:sz="0" w:space="0" w:color="auto"/>
        <w:bottom w:val="none" w:sz="0" w:space="0" w:color="auto"/>
        <w:right w:val="none" w:sz="0" w:space="0" w:color="auto"/>
      </w:divBdr>
    </w:div>
    <w:div w:id="1955674222">
      <w:bodyDiv w:val="1"/>
      <w:marLeft w:val="0"/>
      <w:marRight w:val="0"/>
      <w:marTop w:val="0"/>
      <w:marBottom w:val="0"/>
      <w:divBdr>
        <w:top w:val="none" w:sz="0" w:space="0" w:color="auto"/>
        <w:left w:val="none" w:sz="0" w:space="0" w:color="auto"/>
        <w:bottom w:val="none" w:sz="0" w:space="0" w:color="auto"/>
        <w:right w:val="none" w:sz="0" w:space="0" w:color="auto"/>
      </w:divBdr>
    </w:div>
    <w:div w:id="1956519933">
      <w:bodyDiv w:val="1"/>
      <w:marLeft w:val="0"/>
      <w:marRight w:val="0"/>
      <w:marTop w:val="0"/>
      <w:marBottom w:val="0"/>
      <w:divBdr>
        <w:top w:val="none" w:sz="0" w:space="0" w:color="auto"/>
        <w:left w:val="none" w:sz="0" w:space="0" w:color="auto"/>
        <w:bottom w:val="none" w:sz="0" w:space="0" w:color="auto"/>
        <w:right w:val="none" w:sz="0" w:space="0" w:color="auto"/>
      </w:divBdr>
    </w:div>
    <w:div w:id="1964800261">
      <w:bodyDiv w:val="1"/>
      <w:marLeft w:val="0"/>
      <w:marRight w:val="0"/>
      <w:marTop w:val="0"/>
      <w:marBottom w:val="0"/>
      <w:divBdr>
        <w:top w:val="none" w:sz="0" w:space="0" w:color="auto"/>
        <w:left w:val="none" w:sz="0" w:space="0" w:color="auto"/>
        <w:bottom w:val="none" w:sz="0" w:space="0" w:color="auto"/>
        <w:right w:val="none" w:sz="0" w:space="0" w:color="auto"/>
      </w:divBdr>
    </w:div>
    <w:div w:id="1971664182">
      <w:bodyDiv w:val="1"/>
      <w:marLeft w:val="0"/>
      <w:marRight w:val="0"/>
      <w:marTop w:val="0"/>
      <w:marBottom w:val="0"/>
      <w:divBdr>
        <w:top w:val="none" w:sz="0" w:space="0" w:color="auto"/>
        <w:left w:val="none" w:sz="0" w:space="0" w:color="auto"/>
        <w:bottom w:val="none" w:sz="0" w:space="0" w:color="auto"/>
        <w:right w:val="none" w:sz="0" w:space="0" w:color="auto"/>
      </w:divBdr>
    </w:div>
    <w:div w:id="1983077927">
      <w:bodyDiv w:val="1"/>
      <w:marLeft w:val="0"/>
      <w:marRight w:val="0"/>
      <w:marTop w:val="0"/>
      <w:marBottom w:val="0"/>
      <w:divBdr>
        <w:top w:val="none" w:sz="0" w:space="0" w:color="auto"/>
        <w:left w:val="none" w:sz="0" w:space="0" w:color="auto"/>
        <w:bottom w:val="none" w:sz="0" w:space="0" w:color="auto"/>
        <w:right w:val="none" w:sz="0" w:space="0" w:color="auto"/>
      </w:divBdr>
    </w:div>
    <w:div w:id="2009600714">
      <w:bodyDiv w:val="1"/>
      <w:marLeft w:val="0"/>
      <w:marRight w:val="0"/>
      <w:marTop w:val="0"/>
      <w:marBottom w:val="0"/>
      <w:divBdr>
        <w:top w:val="none" w:sz="0" w:space="0" w:color="auto"/>
        <w:left w:val="none" w:sz="0" w:space="0" w:color="auto"/>
        <w:bottom w:val="none" w:sz="0" w:space="0" w:color="auto"/>
        <w:right w:val="none" w:sz="0" w:space="0" w:color="auto"/>
      </w:divBdr>
    </w:div>
    <w:div w:id="2038653337">
      <w:bodyDiv w:val="1"/>
      <w:marLeft w:val="0"/>
      <w:marRight w:val="0"/>
      <w:marTop w:val="0"/>
      <w:marBottom w:val="0"/>
      <w:divBdr>
        <w:top w:val="none" w:sz="0" w:space="0" w:color="auto"/>
        <w:left w:val="none" w:sz="0" w:space="0" w:color="auto"/>
        <w:bottom w:val="none" w:sz="0" w:space="0" w:color="auto"/>
        <w:right w:val="none" w:sz="0" w:space="0" w:color="auto"/>
      </w:divBdr>
    </w:div>
    <w:div w:id="2039312384">
      <w:bodyDiv w:val="1"/>
      <w:marLeft w:val="0"/>
      <w:marRight w:val="0"/>
      <w:marTop w:val="0"/>
      <w:marBottom w:val="0"/>
      <w:divBdr>
        <w:top w:val="none" w:sz="0" w:space="0" w:color="auto"/>
        <w:left w:val="none" w:sz="0" w:space="0" w:color="auto"/>
        <w:bottom w:val="none" w:sz="0" w:space="0" w:color="auto"/>
        <w:right w:val="none" w:sz="0" w:space="0" w:color="auto"/>
      </w:divBdr>
    </w:div>
    <w:div w:id="2040233906">
      <w:bodyDiv w:val="1"/>
      <w:marLeft w:val="0"/>
      <w:marRight w:val="0"/>
      <w:marTop w:val="0"/>
      <w:marBottom w:val="0"/>
      <w:divBdr>
        <w:top w:val="none" w:sz="0" w:space="0" w:color="auto"/>
        <w:left w:val="none" w:sz="0" w:space="0" w:color="auto"/>
        <w:bottom w:val="none" w:sz="0" w:space="0" w:color="auto"/>
        <w:right w:val="none" w:sz="0" w:space="0" w:color="auto"/>
      </w:divBdr>
    </w:div>
    <w:div w:id="2043051866">
      <w:bodyDiv w:val="1"/>
      <w:marLeft w:val="0"/>
      <w:marRight w:val="0"/>
      <w:marTop w:val="0"/>
      <w:marBottom w:val="0"/>
      <w:divBdr>
        <w:top w:val="none" w:sz="0" w:space="0" w:color="auto"/>
        <w:left w:val="none" w:sz="0" w:space="0" w:color="auto"/>
        <w:bottom w:val="none" w:sz="0" w:space="0" w:color="auto"/>
        <w:right w:val="none" w:sz="0" w:space="0" w:color="auto"/>
      </w:divBdr>
    </w:div>
    <w:div w:id="2055885266">
      <w:bodyDiv w:val="1"/>
      <w:marLeft w:val="0"/>
      <w:marRight w:val="0"/>
      <w:marTop w:val="0"/>
      <w:marBottom w:val="0"/>
      <w:divBdr>
        <w:top w:val="none" w:sz="0" w:space="0" w:color="auto"/>
        <w:left w:val="none" w:sz="0" w:space="0" w:color="auto"/>
        <w:bottom w:val="none" w:sz="0" w:space="0" w:color="auto"/>
        <w:right w:val="none" w:sz="0" w:space="0" w:color="auto"/>
      </w:divBdr>
    </w:div>
    <w:div w:id="2057925301">
      <w:bodyDiv w:val="1"/>
      <w:marLeft w:val="0"/>
      <w:marRight w:val="0"/>
      <w:marTop w:val="0"/>
      <w:marBottom w:val="0"/>
      <w:divBdr>
        <w:top w:val="none" w:sz="0" w:space="0" w:color="auto"/>
        <w:left w:val="none" w:sz="0" w:space="0" w:color="auto"/>
        <w:bottom w:val="none" w:sz="0" w:space="0" w:color="auto"/>
        <w:right w:val="none" w:sz="0" w:space="0" w:color="auto"/>
      </w:divBdr>
      <w:divsChild>
        <w:div w:id="138815714">
          <w:marLeft w:val="288"/>
          <w:marRight w:val="0"/>
          <w:marTop w:val="0"/>
          <w:marBottom w:val="0"/>
          <w:divBdr>
            <w:top w:val="none" w:sz="0" w:space="0" w:color="auto"/>
            <w:left w:val="none" w:sz="0" w:space="0" w:color="auto"/>
            <w:bottom w:val="none" w:sz="0" w:space="0" w:color="auto"/>
            <w:right w:val="none" w:sz="0" w:space="0" w:color="auto"/>
          </w:divBdr>
        </w:div>
        <w:div w:id="1127551015">
          <w:marLeft w:val="288"/>
          <w:marRight w:val="0"/>
          <w:marTop w:val="0"/>
          <w:marBottom w:val="0"/>
          <w:divBdr>
            <w:top w:val="none" w:sz="0" w:space="0" w:color="auto"/>
            <w:left w:val="none" w:sz="0" w:space="0" w:color="auto"/>
            <w:bottom w:val="none" w:sz="0" w:space="0" w:color="auto"/>
            <w:right w:val="none" w:sz="0" w:space="0" w:color="auto"/>
          </w:divBdr>
        </w:div>
        <w:div w:id="1734305668">
          <w:marLeft w:val="288"/>
          <w:marRight w:val="0"/>
          <w:marTop w:val="0"/>
          <w:marBottom w:val="0"/>
          <w:divBdr>
            <w:top w:val="none" w:sz="0" w:space="0" w:color="auto"/>
            <w:left w:val="none" w:sz="0" w:space="0" w:color="auto"/>
            <w:bottom w:val="none" w:sz="0" w:space="0" w:color="auto"/>
            <w:right w:val="none" w:sz="0" w:space="0" w:color="auto"/>
          </w:divBdr>
        </w:div>
      </w:divsChild>
    </w:div>
    <w:div w:id="2082171856">
      <w:bodyDiv w:val="1"/>
      <w:marLeft w:val="0"/>
      <w:marRight w:val="0"/>
      <w:marTop w:val="0"/>
      <w:marBottom w:val="0"/>
      <w:divBdr>
        <w:top w:val="none" w:sz="0" w:space="0" w:color="auto"/>
        <w:left w:val="none" w:sz="0" w:space="0" w:color="auto"/>
        <w:bottom w:val="none" w:sz="0" w:space="0" w:color="auto"/>
        <w:right w:val="none" w:sz="0" w:space="0" w:color="auto"/>
      </w:divBdr>
    </w:div>
    <w:div w:id="2091459526">
      <w:bodyDiv w:val="1"/>
      <w:marLeft w:val="0"/>
      <w:marRight w:val="0"/>
      <w:marTop w:val="0"/>
      <w:marBottom w:val="0"/>
      <w:divBdr>
        <w:top w:val="none" w:sz="0" w:space="0" w:color="auto"/>
        <w:left w:val="none" w:sz="0" w:space="0" w:color="auto"/>
        <w:bottom w:val="none" w:sz="0" w:space="0" w:color="auto"/>
        <w:right w:val="none" w:sz="0" w:space="0" w:color="auto"/>
      </w:divBdr>
    </w:div>
    <w:div w:id="2091807725">
      <w:bodyDiv w:val="1"/>
      <w:marLeft w:val="0"/>
      <w:marRight w:val="0"/>
      <w:marTop w:val="0"/>
      <w:marBottom w:val="0"/>
      <w:divBdr>
        <w:top w:val="none" w:sz="0" w:space="0" w:color="auto"/>
        <w:left w:val="none" w:sz="0" w:space="0" w:color="auto"/>
        <w:bottom w:val="none" w:sz="0" w:space="0" w:color="auto"/>
        <w:right w:val="none" w:sz="0" w:space="0" w:color="auto"/>
      </w:divBdr>
    </w:div>
    <w:div w:id="2112507606">
      <w:bodyDiv w:val="1"/>
      <w:marLeft w:val="0"/>
      <w:marRight w:val="0"/>
      <w:marTop w:val="0"/>
      <w:marBottom w:val="0"/>
      <w:divBdr>
        <w:top w:val="none" w:sz="0" w:space="0" w:color="auto"/>
        <w:left w:val="none" w:sz="0" w:space="0" w:color="auto"/>
        <w:bottom w:val="none" w:sz="0" w:space="0" w:color="auto"/>
        <w:right w:val="none" w:sz="0" w:space="0" w:color="auto"/>
      </w:divBdr>
    </w:div>
    <w:div w:id="2125541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svg"/><Relationship Id="rId26" Type="http://schemas.openxmlformats.org/officeDocument/2006/relationships/image" Target="media/image13.svg"/><Relationship Id="rId39" Type="http://schemas.openxmlformats.org/officeDocument/2006/relationships/image" Target="media/image26.emf"/><Relationship Id="rId21" Type="http://schemas.openxmlformats.org/officeDocument/2006/relationships/image" Target="media/image8.png"/><Relationship Id="rId34" Type="http://schemas.openxmlformats.org/officeDocument/2006/relationships/image" Target="media/image21.emf"/><Relationship Id="rId42" Type="http://schemas.openxmlformats.org/officeDocument/2006/relationships/header" Target="header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3.sv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1.svg"/><Relationship Id="rId32" Type="http://schemas.openxmlformats.org/officeDocument/2006/relationships/image" Target="media/image19.emf"/><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svg"/><Relationship Id="rId36" Type="http://schemas.openxmlformats.org/officeDocument/2006/relationships/image" Target="media/image23.emf"/><Relationship Id="rId10" Type="http://schemas.openxmlformats.org/officeDocument/2006/relationships/webSettings" Target="webSettings.xml"/><Relationship Id="rId19" Type="http://schemas.openxmlformats.org/officeDocument/2006/relationships/image" Target="media/image6.png"/><Relationship Id="rId31" Type="http://schemas.openxmlformats.org/officeDocument/2006/relationships/image" Target="media/image18.emf"/><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creg.gov.co" TargetMode="External"/><Relationship Id="rId22" Type="http://schemas.openxmlformats.org/officeDocument/2006/relationships/image" Target="media/image9.svg"/><Relationship Id="rId27" Type="http://schemas.openxmlformats.org/officeDocument/2006/relationships/image" Target="media/image14.png"/><Relationship Id="rId30" Type="http://schemas.openxmlformats.org/officeDocument/2006/relationships/image" Target="media/image17.svg"/><Relationship Id="rId35" Type="http://schemas.openxmlformats.org/officeDocument/2006/relationships/image" Target="media/image22.emf"/><Relationship Id="rId43" Type="http://schemas.openxmlformats.org/officeDocument/2006/relationships/footer" Target="footer1.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emf"/><Relationship Id="rId38" Type="http://schemas.openxmlformats.org/officeDocument/2006/relationships/image" Target="media/image25.emf"/><Relationship Id="rId20" Type="http://schemas.openxmlformats.org/officeDocument/2006/relationships/image" Target="media/image7.svg"/><Relationship Id="rId41" Type="http://schemas.openxmlformats.org/officeDocument/2006/relationships/image" Target="media/image28.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DCDD0B26ABEDD0459BD4267A57D8442E" ma:contentTypeVersion="17" ma:contentTypeDescription="Crear nuevo documento." ma:contentTypeScope="" ma:versionID="d2cb70e79c00bed14d5a5536c55124d2">
  <xsd:schema xmlns:xsd="http://www.w3.org/2001/XMLSchema" xmlns:xs="http://www.w3.org/2001/XMLSchema" xmlns:p="http://schemas.microsoft.com/office/2006/metadata/properties" xmlns:ns2="52f50d89-700a-49c3-acb1-cc45863f80d1" xmlns:ns3="c5e352c5-a0a5-4aff-9101-fc8c076df9f7" targetNamespace="http://schemas.microsoft.com/office/2006/metadata/properties" ma:root="true" ma:fieldsID="c18c26698dd5add1dafe0ebada72a9fc" ns2:_="" ns3:_="">
    <xsd:import namespace="52f50d89-700a-49c3-acb1-cc45863f80d1"/>
    <xsd:import namespace="c5e352c5-a0a5-4aff-9101-fc8c076df9f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f50d89-700a-49c3-acb1-cc45863f80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Etiquetas de imagen" ma:readOnly="false" ma:fieldId="{5cf76f15-5ced-4ddc-b409-7134ff3c332f}" ma:taxonomyMulti="true" ma:sspId="42cdfcee-ca2d-46b2-8159-5b17d2d80cf8" ma:termSetId="09814cd3-568e-fe90-9814-8d621ff8fb84" ma:anchorId="fba54fb3-c3e1-fe81-a776-ca4b69148c4d" ma:open="true" ma:isKeyword="false">
      <xsd:complexType>
        <xsd:sequence>
          <xsd:element ref="pc:Terms" minOccurs="0" maxOccurs="1"/>
        </xsd:sequence>
      </xsd:complex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5e352c5-a0a5-4aff-9101-fc8c076df9f7" elementFormDefault="qualified">
    <xsd:import namespace="http://schemas.microsoft.com/office/2006/documentManagement/types"/>
    <xsd:import namespace="http://schemas.microsoft.com/office/infopath/2007/PartnerControls"/>
    <xsd:element name="SharedWithUsers" ma:index="14"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les de uso compartido" ma:internalName="SharedWithDetails" ma:readOnly="true">
      <xsd:simpleType>
        <xsd:restriction base="dms:Note">
          <xsd:maxLength value="255"/>
        </xsd:restriction>
      </xsd:simpleType>
    </xsd:element>
    <xsd:element name="TaxCatchAll" ma:index="21" nillable="true" ma:displayName="Taxonomy Catch All Column" ma:hidden="true" ma:list="{c4f91114-da55-458f-b2e4-07801fb3de9c}" ma:internalName="TaxCatchAll" ma:showField="CatchAllData" ma:web="c5e352c5-a0a5-4aff-9101-fc8c076df9f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b:Source>
    <b:Tag>Eco20</b:Tag>
    <b:SourceType>Report</b:SourceType>
    <b:Guid>{12696517-B1FF-4449-8F1B-BB09DB7A3B27}</b:Guid>
    <b:Author>
      <b:Author>
        <b:NameList>
          <b:Person>
            <b:Last>Econometría</b:Last>
          </b:Person>
        </b:NameList>
      </b:Author>
    </b:Author>
    <b:Title>Insumos para el análisis de beneficios netos de alternativas para implementación de la infraestructura de medición avanzada en el SIN</b:Title>
    <b:Year>2020</b:Year>
    <b:City>Bogotá</b:City>
    <b:RefOrder>1</b:RefOrder>
  </b:Source>
  <b:Source>
    <b:Tag>CRE201</b:Tag>
    <b:SourceType>Report</b:SourceType>
    <b:Guid>{BBD7FD24-5DF8-492E-9C89-9CC33C46E506}</b:Guid>
    <b:Author>
      <b:Author>
        <b:NameList>
          <b:Person>
            <b:Last>CREG</b:Last>
          </b:Person>
        </b:NameList>
      </b:Author>
    </b:Author>
    <b:Title>Documento CREG - 103  Condiciones para la implementación de la infraestructura de medición avanzada en el SIN.</b:Title>
    <b:Year>2020</b:Year>
    <b:City>Bogotá</b:City>
    <b:RefOrder>2</b:RefOrder>
  </b:Source>
  <b:Source>
    <b:Tag>CRE20</b:Tag>
    <b:SourceType>Report</b:SourceType>
    <b:Guid>{5140C45E-7B7E-4290-BD29-50BF2BE2EC82}</b:Guid>
    <b:Title>Resolución 131, Por la cual se ordena hacer público el proyecto de resolución "Por la cual se establecen las condiciones para la implementación de la infraestructura de medición Avanzada en el SIN"</b:Title>
    <b:Year>2020</b:Year>
    <b:City>Bogotá</b:City>
    <b:Author>
      <b:Author>
        <b:NameList>
          <b:Person>
            <b:Last>CREG</b:Last>
          </b:Person>
        </b:NameList>
      </b:Author>
    </b:Author>
    <b:RefOrder>3</b:RefOrder>
  </b:Source>
  <b:Source>
    <b:Tag>Bac20</b:Tag>
    <b:SourceType>Report</b:SourceType>
    <b:Guid>{5FC413E1-7474-4D94-9838-E20A79EA9974}</b:Guid>
    <b:Author>
      <b:Author>
        <b:NameList>
          <b:Person>
            <b:Last>Bacca</b:Last>
          </b:Person>
        </b:NameList>
      </b:Author>
    </b:Author>
    <b:Title>Informe preliminar de consultoría para la definición de la actividad de gestión independiente de datos e información y el diseño general del agente que realizaría la actividad</b:Title>
    <b:Year>2020</b:Year>
    <b:City>Bogotá</b:City>
    <b:RefOrder>4</b:RefOrder>
  </b:Source>
</b:Sources>
</file>

<file path=customXml/item6.xml><?xml version="1.0" encoding="utf-8"?>
<p:properties xmlns:p="http://schemas.microsoft.com/office/2006/metadata/properties" xmlns:xsi="http://www.w3.org/2001/XMLSchema-instance" xmlns:pc="http://schemas.microsoft.com/office/infopath/2007/PartnerControls">
  <documentManagement>
    <SharedWithUsers xmlns="c5e352c5-a0a5-4aff-9101-fc8c076df9f7">
      <UserInfo>
        <DisplayName>Carolina Cruz</DisplayName>
        <AccountId>10</AccountId>
        <AccountType/>
      </UserInfo>
      <UserInfo>
        <DisplayName>Diego Ernesto Mariño Silva</DisplayName>
        <AccountId>12</AccountId>
        <AccountType/>
      </UserInfo>
      <UserInfo>
        <DisplayName>Luis Fernando León Granados</DisplayName>
        <AccountId>13</AccountId>
        <AccountType/>
      </UserInfo>
      <UserInfo>
        <DisplayName>Maria Paula Echeverri Uribe</DisplayName>
        <AccountId>14</AccountId>
        <AccountType/>
      </UserInfo>
      <UserInfo>
        <DisplayName>German Castro Ferreira</DisplayName>
        <AccountId>16</AccountId>
        <AccountType/>
      </UserInfo>
      <UserInfo>
        <DisplayName>Maria Claudia Alzate</DisplayName>
        <AccountId>15</AccountId>
        <AccountType/>
      </UserInfo>
      <UserInfo>
        <DisplayName>Gerson Castañeda Soto</DisplayName>
        <AccountId>8</AccountId>
        <AccountType/>
      </UserInfo>
    </SharedWithUsers>
    <lcf76f155ced4ddcb4097134ff3c332f xmlns="52f50d89-700a-49c3-acb1-cc45863f80d1">
      <Terms xmlns="http://schemas.microsoft.com/office/infopath/2007/PartnerControls"/>
    </lcf76f155ced4ddcb4097134ff3c332f>
    <TaxCatchAll xmlns="c5e352c5-a0a5-4aff-9101-fc8c076df9f7" xsi:nil="true"/>
  </documentManagement>
</p:properties>
</file>

<file path=customXml/itemProps1.xml><?xml version="1.0" encoding="utf-8"?>
<ds:datastoreItem xmlns:ds="http://schemas.openxmlformats.org/officeDocument/2006/customXml" ds:itemID="{F8BABF23-6264-4345-B305-2157E32094E1}">
  <ds:schemaRefs>
    <ds:schemaRef ds:uri="http://schemas.microsoft.com/sharepoint/v3/contenttype/forms"/>
  </ds:schemaRefs>
</ds:datastoreItem>
</file>

<file path=customXml/itemProps2.xml><?xml version="1.0" encoding="utf-8"?>
<ds:datastoreItem xmlns:ds="http://schemas.openxmlformats.org/officeDocument/2006/customXml" ds:itemID="{963D4AF2-6182-4411-AC18-0E62682660B7}">
  <ds:schemaRefs>
    <ds:schemaRef ds:uri="http://schemas.microsoft.com/sharepoint/v3/contenttype/forms"/>
  </ds:schemaRefs>
</ds:datastoreItem>
</file>

<file path=customXml/itemProps3.xml><?xml version="1.0" encoding="utf-8"?>
<ds:datastoreItem xmlns:ds="http://schemas.openxmlformats.org/officeDocument/2006/customXml" ds:itemID="{0589B0D6-CC1C-420E-95A1-76A4121180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f50d89-700a-49c3-acb1-cc45863f80d1"/>
    <ds:schemaRef ds:uri="c5e352c5-a0a5-4aff-9101-fc8c076df9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1C4CC53-9BFB-4EFB-BC56-38A9FBCE7F81}">
  <ds:schemaRefs>
    <ds:schemaRef ds:uri="http://schemas.microsoft.com/office/2006/metadata/longProperties"/>
  </ds:schemaRefs>
</ds:datastoreItem>
</file>

<file path=customXml/itemProps5.xml><?xml version="1.0" encoding="utf-8"?>
<ds:datastoreItem xmlns:ds="http://schemas.openxmlformats.org/officeDocument/2006/customXml" ds:itemID="{E447A71F-FEBD-43C9-B96C-D9B0F84E70CF}">
  <ds:schemaRefs>
    <ds:schemaRef ds:uri="http://schemas.openxmlformats.org/officeDocument/2006/bibliography"/>
  </ds:schemaRefs>
</ds:datastoreItem>
</file>

<file path=customXml/itemProps6.xml><?xml version="1.0" encoding="utf-8"?>
<ds:datastoreItem xmlns:ds="http://schemas.openxmlformats.org/officeDocument/2006/customXml" ds:itemID="{433DB6FD-9620-4B55-9C15-E393CC5673FC}">
  <ds:schemaRefs>
    <ds:schemaRef ds:uri="http://schemas.microsoft.com/office/2006/metadata/properties"/>
    <ds:schemaRef ds:uri="http://schemas.microsoft.com/office/infopath/2007/PartnerControls"/>
    <ds:schemaRef ds:uri="c5e352c5-a0a5-4aff-9101-fc8c076df9f7"/>
    <ds:schemaRef ds:uri="52f50d89-700a-49c3-acb1-cc45863f80d1"/>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79</Pages>
  <Words>31661</Words>
  <Characters>167834</Characters>
  <Application>Microsoft Office Word</Application>
  <DocSecurity>0</DocSecurity>
  <Lines>1398</Lines>
  <Paragraphs>398</Paragraphs>
  <ScaleCrop>false</ScaleCrop>
  <HeadingPairs>
    <vt:vector size="2" baseType="variant">
      <vt:variant>
        <vt:lpstr>Título</vt:lpstr>
      </vt:variant>
      <vt:variant>
        <vt:i4>1</vt:i4>
      </vt:variant>
    </vt:vector>
  </HeadingPairs>
  <TitlesOfParts>
    <vt:vector size="1" baseType="lpstr">
      <vt:lpstr>3 espacios (Interlineado sencillo)</vt:lpstr>
    </vt:vector>
  </TitlesOfParts>
  <Company>CREG</Company>
  <LinksUpToDate>false</LinksUpToDate>
  <CharactersWithSpaces>199097</CharactersWithSpaces>
  <SharedDoc>false</SharedDoc>
  <HLinks>
    <vt:vector size="210" baseType="variant">
      <vt:variant>
        <vt:i4>2949175</vt:i4>
      </vt:variant>
      <vt:variant>
        <vt:i4>210</vt:i4>
      </vt:variant>
      <vt:variant>
        <vt:i4>0</vt:i4>
      </vt:variant>
      <vt:variant>
        <vt:i4>5</vt:i4>
      </vt:variant>
      <vt:variant>
        <vt:lpwstr>http://www.creg.gov.co/</vt:lpwstr>
      </vt:variant>
      <vt:variant>
        <vt:lpwstr/>
      </vt:variant>
      <vt:variant>
        <vt:i4>1966134</vt:i4>
      </vt:variant>
      <vt:variant>
        <vt:i4>200</vt:i4>
      </vt:variant>
      <vt:variant>
        <vt:i4>0</vt:i4>
      </vt:variant>
      <vt:variant>
        <vt:i4>5</vt:i4>
      </vt:variant>
      <vt:variant>
        <vt:lpwstr/>
      </vt:variant>
      <vt:variant>
        <vt:lpwstr>_Toc145927036</vt:lpwstr>
      </vt:variant>
      <vt:variant>
        <vt:i4>1966134</vt:i4>
      </vt:variant>
      <vt:variant>
        <vt:i4>194</vt:i4>
      </vt:variant>
      <vt:variant>
        <vt:i4>0</vt:i4>
      </vt:variant>
      <vt:variant>
        <vt:i4>5</vt:i4>
      </vt:variant>
      <vt:variant>
        <vt:lpwstr/>
      </vt:variant>
      <vt:variant>
        <vt:lpwstr>_Toc145927035</vt:lpwstr>
      </vt:variant>
      <vt:variant>
        <vt:i4>1966134</vt:i4>
      </vt:variant>
      <vt:variant>
        <vt:i4>188</vt:i4>
      </vt:variant>
      <vt:variant>
        <vt:i4>0</vt:i4>
      </vt:variant>
      <vt:variant>
        <vt:i4>5</vt:i4>
      </vt:variant>
      <vt:variant>
        <vt:lpwstr/>
      </vt:variant>
      <vt:variant>
        <vt:lpwstr>_Toc145927034</vt:lpwstr>
      </vt:variant>
      <vt:variant>
        <vt:i4>1966134</vt:i4>
      </vt:variant>
      <vt:variant>
        <vt:i4>182</vt:i4>
      </vt:variant>
      <vt:variant>
        <vt:i4>0</vt:i4>
      </vt:variant>
      <vt:variant>
        <vt:i4>5</vt:i4>
      </vt:variant>
      <vt:variant>
        <vt:lpwstr/>
      </vt:variant>
      <vt:variant>
        <vt:lpwstr>_Toc145927033</vt:lpwstr>
      </vt:variant>
      <vt:variant>
        <vt:i4>1966134</vt:i4>
      </vt:variant>
      <vt:variant>
        <vt:i4>176</vt:i4>
      </vt:variant>
      <vt:variant>
        <vt:i4>0</vt:i4>
      </vt:variant>
      <vt:variant>
        <vt:i4>5</vt:i4>
      </vt:variant>
      <vt:variant>
        <vt:lpwstr/>
      </vt:variant>
      <vt:variant>
        <vt:lpwstr>_Toc145927032</vt:lpwstr>
      </vt:variant>
      <vt:variant>
        <vt:i4>1966134</vt:i4>
      </vt:variant>
      <vt:variant>
        <vt:i4>170</vt:i4>
      </vt:variant>
      <vt:variant>
        <vt:i4>0</vt:i4>
      </vt:variant>
      <vt:variant>
        <vt:i4>5</vt:i4>
      </vt:variant>
      <vt:variant>
        <vt:lpwstr/>
      </vt:variant>
      <vt:variant>
        <vt:lpwstr>_Toc145927031</vt:lpwstr>
      </vt:variant>
      <vt:variant>
        <vt:i4>1966134</vt:i4>
      </vt:variant>
      <vt:variant>
        <vt:i4>164</vt:i4>
      </vt:variant>
      <vt:variant>
        <vt:i4>0</vt:i4>
      </vt:variant>
      <vt:variant>
        <vt:i4>5</vt:i4>
      </vt:variant>
      <vt:variant>
        <vt:lpwstr/>
      </vt:variant>
      <vt:variant>
        <vt:lpwstr>_Toc145927030</vt:lpwstr>
      </vt:variant>
      <vt:variant>
        <vt:i4>2031670</vt:i4>
      </vt:variant>
      <vt:variant>
        <vt:i4>158</vt:i4>
      </vt:variant>
      <vt:variant>
        <vt:i4>0</vt:i4>
      </vt:variant>
      <vt:variant>
        <vt:i4>5</vt:i4>
      </vt:variant>
      <vt:variant>
        <vt:lpwstr/>
      </vt:variant>
      <vt:variant>
        <vt:lpwstr>_Toc145927029</vt:lpwstr>
      </vt:variant>
      <vt:variant>
        <vt:i4>2031670</vt:i4>
      </vt:variant>
      <vt:variant>
        <vt:i4>152</vt:i4>
      </vt:variant>
      <vt:variant>
        <vt:i4>0</vt:i4>
      </vt:variant>
      <vt:variant>
        <vt:i4>5</vt:i4>
      </vt:variant>
      <vt:variant>
        <vt:lpwstr/>
      </vt:variant>
      <vt:variant>
        <vt:lpwstr>_Toc145927028</vt:lpwstr>
      </vt:variant>
      <vt:variant>
        <vt:i4>2031670</vt:i4>
      </vt:variant>
      <vt:variant>
        <vt:i4>146</vt:i4>
      </vt:variant>
      <vt:variant>
        <vt:i4>0</vt:i4>
      </vt:variant>
      <vt:variant>
        <vt:i4>5</vt:i4>
      </vt:variant>
      <vt:variant>
        <vt:lpwstr/>
      </vt:variant>
      <vt:variant>
        <vt:lpwstr>_Toc145927027</vt:lpwstr>
      </vt:variant>
      <vt:variant>
        <vt:i4>2031670</vt:i4>
      </vt:variant>
      <vt:variant>
        <vt:i4>140</vt:i4>
      </vt:variant>
      <vt:variant>
        <vt:i4>0</vt:i4>
      </vt:variant>
      <vt:variant>
        <vt:i4>5</vt:i4>
      </vt:variant>
      <vt:variant>
        <vt:lpwstr/>
      </vt:variant>
      <vt:variant>
        <vt:lpwstr>_Toc145927026</vt:lpwstr>
      </vt:variant>
      <vt:variant>
        <vt:i4>2031670</vt:i4>
      </vt:variant>
      <vt:variant>
        <vt:i4>134</vt:i4>
      </vt:variant>
      <vt:variant>
        <vt:i4>0</vt:i4>
      </vt:variant>
      <vt:variant>
        <vt:i4>5</vt:i4>
      </vt:variant>
      <vt:variant>
        <vt:lpwstr/>
      </vt:variant>
      <vt:variant>
        <vt:lpwstr>_Toc145927025</vt:lpwstr>
      </vt:variant>
      <vt:variant>
        <vt:i4>2031670</vt:i4>
      </vt:variant>
      <vt:variant>
        <vt:i4>128</vt:i4>
      </vt:variant>
      <vt:variant>
        <vt:i4>0</vt:i4>
      </vt:variant>
      <vt:variant>
        <vt:i4>5</vt:i4>
      </vt:variant>
      <vt:variant>
        <vt:lpwstr/>
      </vt:variant>
      <vt:variant>
        <vt:lpwstr>_Toc145927024</vt:lpwstr>
      </vt:variant>
      <vt:variant>
        <vt:i4>2031670</vt:i4>
      </vt:variant>
      <vt:variant>
        <vt:i4>122</vt:i4>
      </vt:variant>
      <vt:variant>
        <vt:i4>0</vt:i4>
      </vt:variant>
      <vt:variant>
        <vt:i4>5</vt:i4>
      </vt:variant>
      <vt:variant>
        <vt:lpwstr/>
      </vt:variant>
      <vt:variant>
        <vt:lpwstr>_Toc145927023</vt:lpwstr>
      </vt:variant>
      <vt:variant>
        <vt:i4>2031670</vt:i4>
      </vt:variant>
      <vt:variant>
        <vt:i4>116</vt:i4>
      </vt:variant>
      <vt:variant>
        <vt:i4>0</vt:i4>
      </vt:variant>
      <vt:variant>
        <vt:i4>5</vt:i4>
      </vt:variant>
      <vt:variant>
        <vt:lpwstr/>
      </vt:variant>
      <vt:variant>
        <vt:lpwstr>_Toc145927022</vt:lpwstr>
      </vt:variant>
      <vt:variant>
        <vt:i4>2031670</vt:i4>
      </vt:variant>
      <vt:variant>
        <vt:i4>110</vt:i4>
      </vt:variant>
      <vt:variant>
        <vt:i4>0</vt:i4>
      </vt:variant>
      <vt:variant>
        <vt:i4>5</vt:i4>
      </vt:variant>
      <vt:variant>
        <vt:lpwstr/>
      </vt:variant>
      <vt:variant>
        <vt:lpwstr>_Toc145927021</vt:lpwstr>
      </vt:variant>
      <vt:variant>
        <vt:i4>2031670</vt:i4>
      </vt:variant>
      <vt:variant>
        <vt:i4>104</vt:i4>
      </vt:variant>
      <vt:variant>
        <vt:i4>0</vt:i4>
      </vt:variant>
      <vt:variant>
        <vt:i4>5</vt:i4>
      </vt:variant>
      <vt:variant>
        <vt:lpwstr/>
      </vt:variant>
      <vt:variant>
        <vt:lpwstr>_Toc145927020</vt:lpwstr>
      </vt:variant>
      <vt:variant>
        <vt:i4>1835062</vt:i4>
      </vt:variant>
      <vt:variant>
        <vt:i4>98</vt:i4>
      </vt:variant>
      <vt:variant>
        <vt:i4>0</vt:i4>
      </vt:variant>
      <vt:variant>
        <vt:i4>5</vt:i4>
      </vt:variant>
      <vt:variant>
        <vt:lpwstr/>
      </vt:variant>
      <vt:variant>
        <vt:lpwstr>_Toc145927019</vt:lpwstr>
      </vt:variant>
      <vt:variant>
        <vt:i4>1835062</vt:i4>
      </vt:variant>
      <vt:variant>
        <vt:i4>92</vt:i4>
      </vt:variant>
      <vt:variant>
        <vt:i4>0</vt:i4>
      </vt:variant>
      <vt:variant>
        <vt:i4>5</vt:i4>
      </vt:variant>
      <vt:variant>
        <vt:lpwstr/>
      </vt:variant>
      <vt:variant>
        <vt:lpwstr>_Toc145927018</vt:lpwstr>
      </vt:variant>
      <vt:variant>
        <vt:i4>1835062</vt:i4>
      </vt:variant>
      <vt:variant>
        <vt:i4>86</vt:i4>
      </vt:variant>
      <vt:variant>
        <vt:i4>0</vt:i4>
      </vt:variant>
      <vt:variant>
        <vt:i4>5</vt:i4>
      </vt:variant>
      <vt:variant>
        <vt:lpwstr/>
      </vt:variant>
      <vt:variant>
        <vt:lpwstr>_Toc145927017</vt:lpwstr>
      </vt:variant>
      <vt:variant>
        <vt:i4>1835062</vt:i4>
      </vt:variant>
      <vt:variant>
        <vt:i4>80</vt:i4>
      </vt:variant>
      <vt:variant>
        <vt:i4>0</vt:i4>
      </vt:variant>
      <vt:variant>
        <vt:i4>5</vt:i4>
      </vt:variant>
      <vt:variant>
        <vt:lpwstr/>
      </vt:variant>
      <vt:variant>
        <vt:lpwstr>_Toc145927016</vt:lpwstr>
      </vt:variant>
      <vt:variant>
        <vt:i4>1835062</vt:i4>
      </vt:variant>
      <vt:variant>
        <vt:i4>74</vt:i4>
      </vt:variant>
      <vt:variant>
        <vt:i4>0</vt:i4>
      </vt:variant>
      <vt:variant>
        <vt:i4>5</vt:i4>
      </vt:variant>
      <vt:variant>
        <vt:lpwstr/>
      </vt:variant>
      <vt:variant>
        <vt:lpwstr>_Toc145927015</vt:lpwstr>
      </vt:variant>
      <vt:variant>
        <vt:i4>1835062</vt:i4>
      </vt:variant>
      <vt:variant>
        <vt:i4>68</vt:i4>
      </vt:variant>
      <vt:variant>
        <vt:i4>0</vt:i4>
      </vt:variant>
      <vt:variant>
        <vt:i4>5</vt:i4>
      </vt:variant>
      <vt:variant>
        <vt:lpwstr/>
      </vt:variant>
      <vt:variant>
        <vt:lpwstr>_Toc145927014</vt:lpwstr>
      </vt:variant>
      <vt:variant>
        <vt:i4>1835062</vt:i4>
      </vt:variant>
      <vt:variant>
        <vt:i4>62</vt:i4>
      </vt:variant>
      <vt:variant>
        <vt:i4>0</vt:i4>
      </vt:variant>
      <vt:variant>
        <vt:i4>5</vt:i4>
      </vt:variant>
      <vt:variant>
        <vt:lpwstr/>
      </vt:variant>
      <vt:variant>
        <vt:lpwstr>_Toc145927013</vt:lpwstr>
      </vt:variant>
      <vt:variant>
        <vt:i4>1835062</vt:i4>
      </vt:variant>
      <vt:variant>
        <vt:i4>56</vt:i4>
      </vt:variant>
      <vt:variant>
        <vt:i4>0</vt:i4>
      </vt:variant>
      <vt:variant>
        <vt:i4>5</vt:i4>
      </vt:variant>
      <vt:variant>
        <vt:lpwstr/>
      </vt:variant>
      <vt:variant>
        <vt:lpwstr>_Toc145927012</vt:lpwstr>
      </vt:variant>
      <vt:variant>
        <vt:i4>1835062</vt:i4>
      </vt:variant>
      <vt:variant>
        <vt:i4>50</vt:i4>
      </vt:variant>
      <vt:variant>
        <vt:i4>0</vt:i4>
      </vt:variant>
      <vt:variant>
        <vt:i4>5</vt:i4>
      </vt:variant>
      <vt:variant>
        <vt:lpwstr/>
      </vt:variant>
      <vt:variant>
        <vt:lpwstr>_Toc145927011</vt:lpwstr>
      </vt:variant>
      <vt:variant>
        <vt:i4>1835062</vt:i4>
      </vt:variant>
      <vt:variant>
        <vt:i4>44</vt:i4>
      </vt:variant>
      <vt:variant>
        <vt:i4>0</vt:i4>
      </vt:variant>
      <vt:variant>
        <vt:i4>5</vt:i4>
      </vt:variant>
      <vt:variant>
        <vt:lpwstr/>
      </vt:variant>
      <vt:variant>
        <vt:lpwstr>_Toc145927010</vt:lpwstr>
      </vt:variant>
      <vt:variant>
        <vt:i4>1900598</vt:i4>
      </vt:variant>
      <vt:variant>
        <vt:i4>38</vt:i4>
      </vt:variant>
      <vt:variant>
        <vt:i4>0</vt:i4>
      </vt:variant>
      <vt:variant>
        <vt:i4>5</vt:i4>
      </vt:variant>
      <vt:variant>
        <vt:lpwstr/>
      </vt:variant>
      <vt:variant>
        <vt:lpwstr>_Toc145927009</vt:lpwstr>
      </vt:variant>
      <vt:variant>
        <vt:i4>1900598</vt:i4>
      </vt:variant>
      <vt:variant>
        <vt:i4>32</vt:i4>
      </vt:variant>
      <vt:variant>
        <vt:i4>0</vt:i4>
      </vt:variant>
      <vt:variant>
        <vt:i4>5</vt:i4>
      </vt:variant>
      <vt:variant>
        <vt:lpwstr/>
      </vt:variant>
      <vt:variant>
        <vt:lpwstr>_Toc145927008</vt:lpwstr>
      </vt:variant>
      <vt:variant>
        <vt:i4>1900598</vt:i4>
      </vt:variant>
      <vt:variant>
        <vt:i4>26</vt:i4>
      </vt:variant>
      <vt:variant>
        <vt:i4>0</vt:i4>
      </vt:variant>
      <vt:variant>
        <vt:i4>5</vt:i4>
      </vt:variant>
      <vt:variant>
        <vt:lpwstr/>
      </vt:variant>
      <vt:variant>
        <vt:lpwstr>_Toc145927007</vt:lpwstr>
      </vt:variant>
      <vt:variant>
        <vt:i4>1900598</vt:i4>
      </vt:variant>
      <vt:variant>
        <vt:i4>20</vt:i4>
      </vt:variant>
      <vt:variant>
        <vt:i4>0</vt:i4>
      </vt:variant>
      <vt:variant>
        <vt:i4>5</vt:i4>
      </vt:variant>
      <vt:variant>
        <vt:lpwstr/>
      </vt:variant>
      <vt:variant>
        <vt:lpwstr>_Toc145927006</vt:lpwstr>
      </vt:variant>
      <vt:variant>
        <vt:i4>1900598</vt:i4>
      </vt:variant>
      <vt:variant>
        <vt:i4>14</vt:i4>
      </vt:variant>
      <vt:variant>
        <vt:i4>0</vt:i4>
      </vt:variant>
      <vt:variant>
        <vt:i4>5</vt:i4>
      </vt:variant>
      <vt:variant>
        <vt:lpwstr/>
      </vt:variant>
      <vt:variant>
        <vt:lpwstr>_Toc145927005</vt:lpwstr>
      </vt:variant>
      <vt:variant>
        <vt:i4>1900598</vt:i4>
      </vt:variant>
      <vt:variant>
        <vt:i4>8</vt:i4>
      </vt:variant>
      <vt:variant>
        <vt:i4>0</vt:i4>
      </vt:variant>
      <vt:variant>
        <vt:i4>5</vt:i4>
      </vt:variant>
      <vt:variant>
        <vt:lpwstr/>
      </vt:variant>
      <vt:variant>
        <vt:lpwstr>_Toc145927004</vt:lpwstr>
      </vt:variant>
      <vt:variant>
        <vt:i4>1900598</vt:i4>
      </vt:variant>
      <vt:variant>
        <vt:i4>2</vt:i4>
      </vt:variant>
      <vt:variant>
        <vt:i4>0</vt:i4>
      </vt:variant>
      <vt:variant>
        <vt:i4>5</vt:i4>
      </vt:variant>
      <vt:variant>
        <vt:lpwstr/>
      </vt:variant>
      <vt:variant>
        <vt:lpwstr>_Toc145927003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 espacios (Interlineado sencillo)</dc:title>
  <dc:subject/>
  <dc:creator>Creg189</dc:creator>
  <cp:keywords/>
  <cp:lastModifiedBy>Eliana Rodriguez Fonseca</cp:lastModifiedBy>
  <cp:revision>2</cp:revision>
  <cp:lastPrinted>2021-04-10T05:47:00Z</cp:lastPrinted>
  <dcterms:created xsi:type="dcterms:W3CDTF">2023-12-08T15:24:00Z</dcterms:created>
  <dcterms:modified xsi:type="dcterms:W3CDTF">2023-12-08T15:24:00Z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SharedWithUsers">
    <vt:lpwstr>Carolina Cruz;Diego Ernesto Mariño Silva;Luis Fernando León Granados;Maria Paula Echeverri Uribe;German Castro Ferreira;Maria Claudia Alzate</vt:lpwstr>
  </property>
  <property fmtid="{D5CDD505-2E9C-101B-9397-08002B2CF9AE}" pid="3" name="SharedWithUsers">
    <vt:lpwstr>10;#Carolina Cruz;#12;#Diego Ernesto Mariño Silva;#13;#Luis Fernando León Granados;#14;#Maria Paula Echeverri Uribe;#16;#German Castro Ferreira;#15;#Maria Claudia Alzate</vt:lpwstr>
  </property>
  <property fmtid="{D5CDD505-2E9C-101B-9397-08002B2CF9AE}" pid="4" name="ContentTypeId">
    <vt:lpwstr>0x010100DCDD0B26ABEDD0459BD4267A57D8442E</vt:lpwstr>
  </property>
  <property fmtid="{D5CDD505-2E9C-101B-9397-08002B2CF9AE}" pid="5" name="MediaServiceImageTags">
    <vt:lpwstr/>
  </property>
</Properties>
</file>