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BBDF" w14:textId="77777777" w:rsidR="00CA77FB" w:rsidRPr="00BF69C9" w:rsidRDefault="00943FA1" w:rsidP="003B3EF0">
      <w:pPr>
        <w:pStyle w:val="Encabezado"/>
        <w:tabs>
          <w:tab w:val="clear" w:pos="8504"/>
          <w:tab w:val="left" w:pos="0"/>
          <w:tab w:val="right" w:pos="9356"/>
        </w:tabs>
        <w:spacing w:before="600"/>
        <w:jc w:val="center"/>
        <w:rPr>
          <w:rFonts w:ascii="Bookman Old Style" w:hAnsi="Bookman Old Style"/>
          <w:b/>
          <w:bCs/>
          <w:noProof/>
          <w:szCs w:val="24"/>
          <w:lang w:val="es-ES"/>
        </w:rPr>
      </w:pPr>
      <w:r>
        <w:rPr>
          <w:rFonts w:ascii="Bookman Old Style" w:hAnsi="Bookman Old Style"/>
          <w:noProof/>
          <w:szCs w:val="24"/>
        </w:rPr>
        <w:object w:dxaOrig="1440" w:dyaOrig="1440" w14:anchorId="660A8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5.15pt;margin-top:-34.35pt;width:38.55pt;height:39.05pt;z-index:251658240" fillcolor="#0c9">
            <v:imagedata r:id="rId11" o:title=""/>
          </v:shape>
          <o:OLEObject Type="Embed" ProgID="PBrush" ShapeID="_x0000_s2050" DrawAspect="Content" ObjectID="_1758111608" r:id="rId12"/>
        </w:object>
      </w:r>
      <w:r w:rsidR="00CA77FB" w:rsidRPr="00BF69C9">
        <w:rPr>
          <w:rFonts w:ascii="Bookman Old Style" w:hAnsi="Bookman Old Style"/>
          <w:bCs/>
          <w:szCs w:val="24"/>
        </w:rPr>
        <w:t>Ministerio de Minas y Energía</w:t>
      </w:r>
    </w:p>
    <w:p w14:paraId="22B00C13" w14:textId="77777777" w:rsidR="00862786" w:rsidRPr="00862786" w:rsidRDefault="00862786" w:rsidP="00862786">
      <w:pPr>
        <w:spacing w:before="480" w:after="480"/>
        <w:jc w:val="center"/>
        <w:rPr>
          <w:rFonts w:cs="Arial"/>
          <w:b/>
          <w:snapToGrid w:val="0"/>
          <w:color w:val="000000"/>
          <w:spacing w:val="20"/>
          <w:lang w:val="es-ES_tradnl"/>
        </w:rPr>
      </w:pPr>
      <w:r w:rsidRPr="00862786">
        <w:rPr>
          <w:rFonts w:cs="Arial"/>
          <w:b/>
          <w:snapToGrid w:val="0"/>
          <w:color w:val="000000"/>
          <w:spacing w:val="20"/>
          <w:lang w:val="es-ES_tradnl"/>
        </w:rPr>
        <w:t>COMISIÓN DE REGULACIÓN DE ENERGÍA Y GAS</w:t>
      </w:r>
    </w:p>
    <w:p w14:paraId="2D533D29" w14:textId="7F8196C7" w:rsidR="00F707F6" w:rsidRPr="009C07D5" w:rsidRDefault="00100049" w:rsidP="00F707F6">
      <w:pPr>
        <w:ind w:left="142" w:right="-142"/>
        <w:jc w:val="center"/>
        <w:rPr>
          <w:rFonts w:cs="Arial"/>
          <w:b/>
          <w:bCs/>
          <w:color w:val="000000"/>
          <w:highlight w:val="yellow"/>
        </w:rPr>
      </w:pPr>
      <w:r w:rsidRPr="009C07D5">
        <w:rPr>
          <w:b/>
          <w:bCs/>
        </w:rPr>
        <w:t xml:space="preserve">RESOLUCIÓN No. </w:t>
      </w:r>
      <w:r w:rsidR="00BE6B8B" w:rsidRPr="00BE6B8B">
        <w:rPr>
          <w:b/>
          <w:bCs/>
          <w:sz w:val="32"/>
          <w:szCs w:val="32"/>
        </w:rPr>
        <w:t>501 011</w:t>
      </w:r>
    </w:p>
    <w:p w14:paraId="1793831F" w14:textId="77777777" w:rsidR="00116847" w:rsidRPr="00BE6B8B" w:rsidRDefault="00116847" w:rsidP="00116847">
      <w:pPr>
        <w:tabs>
          <w:tab w:val="left" w:pos="0"/>
          <w:tab w:val="right" w:pos="9356"/>
        </w:tabs>
        <w:jc w:val="center"/>
        <w:rPr>
          <w:rFonts w:cs="Arial"/>
          <w:b/>
          <w:bCs/>
          <w:snapToGrid w:val="0"/>
          <w:color w:val="000000"/>
          <w:lang w:val="es-ES_tradnl"/>
        </w:rPr>
      </w:pPr>
    </w:p>
    <w:p w14:paraId="509A23CC" w14:textId="0104BB89" w:rsidR="00F707F6" w:rsidRPr="00BE6B8B" w:rsidRDefault="00D138CB" w:rsidP="00F707F6">
      <w:pPr>
        <w:ind w:left="142" w:right="-142"/>
        <w:jc w:val="center"/>
        <w:rPr>
          <w:rFonts w:cs="Arial"/>
          <w:b/>
          <w:bCs/>
          <w:color w:val="000000"/>
          <w:sz w:val="32"/>
          <w:szCs w:val="32"/>
        </w:rPr>
      </w:pPr>
      <w:r w:rsidRPr="00BE6B8B">
        <w:rPr>
          <w:b/>
          <w:bCs/>
        </w:rPr>
        <w:t>(</w:t>
      </w:r>
      <w:r w:rsidR="00BE6B8B" w:rsidRPr="00BE6B8B">
        <w:rPr>
          <w:b/>
          <w:bCs/>
        </w:rPr>
        <w:t>28 ABR. 2023</w:t>
      </w:r>
      <w:r w:rsidRPr="00BE6B8B">
        <w:rPr>
          <w:b/>
          <w:bCs/>
        </w:rPr>
        <w:t>)</w:t>
      </w:r>
    </w:p>
    <w:p w14:paraId="0D3543DB" w14:textId="7DB22D9E" w:rsidR="00510CBD" w:rsidRPr="002D1321" w:rsidRDefault="00AC6C60" w:rsidP="002D1321">
      <w:pPr>
        <w:spacing w:before="360" w:after="360"/>
        <w:ind w:right="51"/>
        <w:jc w:val="center"/>
        <w:rPr>
          <w:b/>
        </w:rPr>
      </w:pPr>
      <w:bookmarkStart w:id="0" w:name="_Hlk80778688"/>
      <w:r w:rsidRPr="00AC6C60">
        <w:t xml:space="preserve">Por la cual se resuelve el recurso de reposición interpuesto por </w:t>
      </w:r>
      <w:r w:rsidR="00083EF8">
        <w:br/>
      </w:r>
      <w:r w:rsidR="00D66C3D" w:rsidRPr="00D66C3D">
        <w:t>AIR-E S.A.S. E.S.P.,</w:t>
      </w:r>
      <w:r w:rsidRPr="00AC6C60">
        <w:t xml:space="preserve"> contra la Resolución CREG </w:t>
      </w:r>
      <w:bookmarkStart w:id="1" w:name="_Hlk129629416"/>
      <w:r w:rsidR="005E20FA" w:rsidRPr="005E20FA">
        <w:t>501 05</w:t>
      </w:r>
      <w:r w:rsidR="00BE0080">
        <w:t>6</w:t>
      </w:r>
      <w:r w:rsidRPr="00AC6C60">
        <w:t xml:space="preserve"> </w:t>
      </w:r>
      <w:bookmarkEnd w:id="1"/>
      <w:r w:rsidRPr="00AC6C60">
        <w:t>de 202</w:t>
      </w:r>
      <w:r w:rsidR="00E577D8">
        <w:t>2</w:t>
      </w:r>
      <w:r w:rsidRPr="00AC6C60">
        <w:t>.</w:t>
      </w:r>
    </w:p>
    <w:bookmarkEnd w:id="0"/>
    <w:p w14:paraId="1C01FCB2" w14:textId="77777777" w:rsidR="00045D3D" w:rsidRPr="00BF69C9" w:rsidRDefault="00045D3D" w:rsidP="00083EF8">
      <w:pPr>
        <w:spacing w:before="480" w:after="240"/>
        <w:ind w:right="51"/>
        <w:jc w:val="center"/>
        <w:rPr>
          <w:b/>
        </w:rPr>
      </w:pPr>
      <w:r w:rsidRPr="00BF69C9">
        <w:rPr>
          <w:b/>
        </w:rPr>
        <w:t xml:space="preserve">LA COMISIÓN DE REGULACIÓN </w:t>
      </w:r>
      <w:r w:rsidR="00A06C25" w:rsidRPr="00BF69C9">
        <w:rPr>
          <w:b/>
        </w:rPr>
        <w:t>DE ENERGÍA</w:t>
      </w:r>
      <w:r w:rsidRPr="00BF69C9">
        <w:rPr>
          <w:b/>
        </w:rPr>
        <w:t xml:space="preserve"> Y GAS</w:t>
      </w:r>
    </w:p>
    <w:p w14:paraId="47E3D62C" w14:textId="2BECF465" w:rsidR="00862786" w:rsidRPr="00862786" w:rsidRDefault="00862786" w:rsidP="00862786">
      <w:pPr>
        <w:jc w:val="center"/>
        <w:rPr>
          <w:rFonts w:cs="Arial"/>
          <w:bCs/>
          <w:spacing w:val="-3"/>
        </w:rPr>
      </w:pPr>
      <w:r w:rsidRPr="00862786">
        <w:rPr>
          <w:rFonts w:cs="Arial"/>
          <w:bCs/>
          <w:spacing w:val="-3"/>
        </w:rPr>
        <w:t>En ejercicio de las atribuciones legales, en especial las conferidas por las Leyes 142 y 143 de 1994, y los decretos 1524 y 2253 de 1994, y 1260 de 2013.</w:t>
      </w:r>
    </w:p>
    <w:p w14:paraId="49DECB61" w14:textId="77777777" w:rsidR="00045D3D" w:rsidRPr="00BF69C9" w:rsidRDefault="00955F64" w:rsidP="00083EF8">
      <w:pPr>
        <w:suppressAutoHyphens/>
        <w:spacing w:before="480" w:after="240"/>
        <w:jc w:val="center"/>
        <w:rPr>
          <w:b/>
        </w:rPr>
      </w:pPr>
      <w:r w:rsidRPr="00BF69C9">
        <w:rPr>
          <w:b/>
        </w:rPr>
        <w:t>C</w:t>
      </w:r>
      <w:r w:rsidR="00045D3D" w:rsidRPr="00BF69C9">
        <w:rPr>
          <w:b/>
        </w:rPr>
        <w:t>ONSIDERAND</w:t>
      </w:r>
      <w:r w:rsidR="00A06C25" w:rsidRPr="00BF69C9">
        <w:rPr>
          <w:b/>
        </w:rPr>
        <w:t>O</w:t>
      </w:r>
      <w:r w:rsidRPr="00BF69C9">
        <w:rPr>
          <w:b/>
        </w:rPr>
        <w:t xml:space="preserve"> </w:t>
      </w:r>
      <w:r w:rsidR="00A06C25" w:rsidRPr="00BF69C9">
        <w:rPr>
          <w:b/>
        </w:rPr>
        <w:t>Q</w:t>
      </w:r>
      <w:r w:rsidR="00045D3D" w:rsidRPr="00BF69C9">
        <w:rPr>
          <w:b/>
        </w:rPr>
        <w:t>UE:</w:t>
      </w:r>
    </w:p>
    <w:p w14:paraId="6F197E79" w14:textId="77777777" w:rsidR="009A38F6" w:rsidRPr="009A38F6" w:rsidRDefault="009A38F6" w:rsidP="009A38F6">
      <w:pPr>
        <w:spacing w:before="240" w:after="0"/>
        <w:rPr>
          <w:rFonts w:cs="Arial"/>
          <w:lang w:val="es-CO" w:eastAsia="es-CO"/>
        </w:rPr>
      </w:pPr>
      <w:r w:rsidRPr="009A38F6">
        <w:rPr>
          <w:rFonts w:cs="Arial"/>
          <w:lang w:val="es-CO" w:eastAsia="es-CO"/>
        </w:rPr>
        <w:t>Le corresponde a la CREG señalar las políticas generales de administración y control de eficiencia de los servicios públicos domiciliarios, en los términos de la Constitución Nacional y la Ley, y definir el régimen tarifario con fundamento en los criterios establecidos para garantizar el cumplimiento de los fines de la intervención del Estado en la prestación de los servicios públicos, y conforme a la política pública del Gobierno Nacional.</w:t>
      </w:r>
    </w:p>
    <w:p w14:paraId="7E48607A" w14:textId="3BC9EE74" w:rsidR="009A38F6" w:rsidRDefault="009A38F6" w:rsidP="009A38F6">
      <w:pPr>
        <w:spacing w:before="240" w:after="0"/>
        <w:rPr>
          <w:rFonts w:cs="Arial"/>
          <w:lang w:val="es-CO" w:eastAsia="es-CO"/>
        </w:rPr>
      </w:pPr>
      <w:r w:rsidRPr="009A38F6">
        <w:rPr>
          <w:rFonts w:cs="Arial"/>
          <w:lang w:val="es-CO" w:eastAsia="es-CO"/>
        </w:rPr>
        <w:t>Mediante la Resolución CREG 015 de 2018 se estableció la metodología para la remuneración de la actividad de distribución de energía eléctrica en el Sistema Interconectado Nacional</w:t>
      </w:r>
      <w:r w:rsidR="001D5242">
        <w:rPr>
          <w:rFonts w:cs="Arial"/>
          <w:lang w:val="es-CO" w:eastAsia="es-CO"/>
        </w:rPr>
        <w:t xml:space="preserve"> </w:t>
      </w:r>
      <w:r w:rsidR="001D5242" w:rsidRPr="00C2693A">
        <w:rPr>
          <w:rFonts w:cs="Arial"/>
          <w:lang w:val="es-CO" w:eastAsia="es-CO"/>
        </w:rPr>
        <w:t xml:space="preserve">y </w:t>
      </w:r>
      <w:r w:rsidR="00200874">
        <w:rPr>
          <w:rFonts w:cs="Arial"/>
          <w:lang w:val="es-CO" w:eastAsia="es-CO"/>
        </w:rPr>
        <w:t>mediante</w:t>
      </w:r>
      <w:r w:rsidR="00200874" w:rsidRPr="00C2693A">
        <w:rPr>
          <w:rFonts w:cs="Arial"/>
          <w:lang w:val="es-CO" w:eastAsia="es-CO"/>
        </w:rPr>
        <w:t xml:space="preserve"> </w:t>
      </w:r>
      <w:r w:rsidR="001D5242" w:rsidRPr="00C2693A">
        <w:rPr>
          <w:rFonts w:cs="Arial"/>
          <w:lang w:val="es-CO" w:eastAsia="es-CO"/>
        </w:rPr>
        <w:t xml:space="preserve">la Resolución CREG 010 de 2020 </w:t>
      </w:r>
      <w:r w:rsidR="00381357">
        <w:rPr>
          <w:rFonts w:cs="Arial"/>
          <w:lang w:val="es-CO" w:eastAsia="es-CO"/>
        </w:rPr>
        <w:t xml:space="preserve">se </w:t>
      </w:r>
      <w:r w:rsidR="001D5242" w:rsidRPr="00C2693A">
        <w:rPr>
          <w:rFonts w:cs="Arial"/>
          <w:lang w:val="es-CO" w:eastAsia="es-CO"/>
        </w:rPr>
        <w:t>estableció el régimen transitorio especial en materia tarifaria para la región Caribe.</w:t>
      </w:r>
    </w:p>
    <w:p w14:paraId="3F532208" w14:textId="77777777" w:rsidR="001D5242" w:rsidRDefault="001D5242" w:rsidP="00242899">
      <w:pPr>
        <w:spacing w:before="240" w:after="0"/>
      </w:pPr>
      <w:r w:rsidRPr="00CD0671">
        <w:t xml:space="preserve">La Resolución CREG 015 de 2018 fue modificada </w:t>
      </w:r>
      <w:r>
        <w:t>por las</w:t>
      </w:r>
      <w:r w:rsidRPr="00CD0671">
        <w:t xml:space="preserve"> Resoluciones CREG 085 de 2018, 036 </w:t>
      </w:r>
      <w:r w:rsidRPr="00FA0562">
        <w:t>y 199 de 2019, 167 y 195 de 2020</w:t>
      </w:r>
      <w:r>
        <w:t>,</w:t>
      </w:r>
      <w:r w:rsidRPr="00FA0562">
        <w:t xml:space="preserve"> 222 de 2021</w:t>
      </w:r>
      <w:r>
        <w:t xml:space="preserve"> </w:t>
      </w:r>
      <w:r w:rsidRPr="00FD0A8D">
        <w:t>y 101 009, 101 012, 101 022 y 101 027 de 2022</w:t>
      </w:r>
      <w:r w:rsidRPr="00FA0562">
        <w:t>.</w:t>
      </w:r>
    </w:p>
    <w:p w14:paraId="60D73376" w14:textId="4CCD9954" w:rsidR="00D2143C" w:rsidRDefault="00DC44AA" w:rsidP="00B71E2A">
      <w:pPr>
        <w:spacing w:before="240" w:after="0"/>
      </w:pPr>
      <w:r>
        <w:t>Mediante</w:t>
      </w:r>
      <w:r w:rsidRPr="008972F0">
        <w:t xml:space="preserve"> </w:t>
      </w:r>
      <w:r w:rsidR="008972F0" w:rsidRPr="008972F0">
        <w:t>la Resolución CREG 02</w:t>
      </w:r>
      <w:r w:rsidR="00565895">
        <w:t>4</w:t>
      </w:r>
      <w:r w:rsidR="008972F0" w:rsidRPr="008972F0">
        <w:t xml:space="preserve"> de 2021 se aprobaron las variables necesarias para calcular los </w:t>
      </w:r>
      <w:r w:rsidR="008972F0" w:rsidRPr="00242899">
        <w:rPr>
          <w:rFonts w:cs="Arial"/>
          <w:lang w:val="es-CO" w:eastAsia="es-CO"/>
        </w:rPr>
        <w:t>ingresos</w:t>
      </w:r>
      <w:r w:rsidR="008972F0" w:rsidRPr="008972F0">
        <w:t xml:space="preserve"> y cargos asociados con la actividad de distribución de energía eléctrica para el mercado de comercialización atendido por </w:t>
      </w:r>
      <w:r w:rsidR="008E6BC2">
        <w:t>AIR-E S.A.S. E.S.P</w:t>
      </w:r>
      <w:r w:rsidR="00084968" w:rsidRPr="00084968">
        <w:t>.</w:t>
      </w:r>
      <w:r w:rsidR="006D05CE">
        <w:t xml:space="preserve"> Posteriormente, </w:t>
      </w:r>
      <w:r w:rsidR="008972F0" w:rsidRPr="008972F0">
        <w:t>a través de la Resolución CREG 07</w:t>
      </w:r>
      <w:r w:rsidR="008E6BC2">
        <w:t>8</w:t>
      </w:r>
      <w:r w:rsidR="008972F0" w:rsidRPr="008972F0">
        <w:t xml:space="preserve"> de 2021 se resolvió el recurso de reposición, interpuesto por </w:t>
      </w:r>
      <w:r w:rsidR="00B71E2A">
        <w:t>AIR-E S.A.S. E.S.P. contra la Resolución CREG 024 de 2021</w:t>
      </w:r>
      <w:r w:rsidR="008972F0" w:rsidRPr="008972F0">
        <w:t>.</w:t>
      </w:r>
    </w:p>
    <w:p w14:paraId="37D9D328" w14:textId="5D63507F" w:rsidR="00D20AD0" w:rsidRDefault="00A53881" w:rsidP="00242899">
      <w:pPr>
        <w:spacing w:before="240" w:after="0"/>
      </w:pPr>
      <w:r>
        <w:t xml:space="preserve">Con base en </w:t>
      </w:r>
      <w:r w:rsidR="00FE354F">
        <w:t xml:space="preserve">la solicitud </w:t>
      </w:r>
      <w:r w:rsidR="00A9774A">
        <w:t xml:space="preserve">con radicado </w:t>
      </w:r>
      <w:r w:rsidR="000E6059" w:rsidRPr="000E6059">
        <w:t>E-2021-015784</w:t>
      </w:r>
      <w:r w:rsidR="00A9774A">
        <w:t xml:space="preserve"> de</w:t>
      </w:r>
      <w:r w:rsidR="001C43D9">
        <w:t>l</w:t>
      </w:r>
      <w:r w:rsidR="00A9774A">
        <w:t xml:space="preserve"> </w:t>
      </w:r>
      <w:r w:rsidR="001C43D9">
        <w:t>31 de diciembre de 2021</w:t>
      </w:r>
      <w:r w:rsidR="00A9774A">
        <w:t xml:space="preserve"> </w:t>
      </w:r>
      <w:r w:rsidR="00FE354F">
        <w:t>presentada</w:t>
      </w:r>
      <w:r w:rsidR="0065605D">
        <w:t xml:space="preserve"> por el OR, en aplica</w:t>
      </w:r>
      <w:r w:rsidR="00FE354F">
        <w:t>ción del</w:t>
      </w:r>
      <w:r w:rsidR="0065605D">
        <w:t xml:space="preserve"> artículo </w:t>
      </w:r>
      <w:r w:rsidR="0065605D" w:rsidRPr="00B431C6">
        <w:t>6 de la Resolución CREG 015 de 2018</w:t>
      </w:r>
      <w:r w:rsidR="00FE354F">
        <w:t xml:space="preserve">, la Comisión </w:t>
      </w:r>
      <w:r w:rsidR="00252FFD">
        <w:t>expidió</w:t>
      </w:r>
      <w:r w:rsidR="00BB4CC4">
        <w:t xml:space="preserve"> la</w:t>
      </w:r>
      <w:r w:rsidR="006B0C4E" w:rsidRPr="005678C2">
        <w:t xml:space="preserve"> Resolución </w:t>
      </w:r>
      <w:r w:rsidR="006B0C4E" w:rsidRPr="002C008E">
        <w:t xml:space="preserve">CREG </w:t>
      </w:r>
      <w:r w:rsidR="00056893" w:rsidRPr="002C008E">
        <w:t>501 05</w:t>
      </w:r>
      <w:r w:rsidR="00A85024">
        <w:t>6</w:t>
      </w:r>
      <w:r w:rsidR="00056893" w:rsidRPr="002C008E">
        <w:t xml:space="preserve"> </w:t>
      </w:r>
      <w:r w:rsidR="006B0C4E" w:rsidRPr="002C008E">
        <w:t>de 202</w:t>
      </w:r>
      <w:r w:rsidR="00056893" w:rsidRPr="002C008E">
        <w:t>2</w:t>
      </w:r>
      <w:r w:rsidR="00B62DF7">
        <w:t xml:space="preserve"> donde</w:t>
      </w:r>
      <w:r w:rsidR="00B62DF7" w:rsidRPr="005678C2">
        <w:t xml:space="preserve"> </w:t>
      </w:r>
      <w:r w:rsidR="00084968" w:rsidRPr="00084968">
        <w:lastRenderedPageBreak/>
        <w:t>modific</w:t>
      </w:r>
      <w:r w:rsidR="00084968">
        <w:t>ó</w:t>
      </w:r>
      <w:r w:rsidR="00084968" w:rsidRPr="00084968">
        <w:t xml:space="preserve"> el plan de inversiones del mercado de comercialización atendido por </w:t>
      </w:r>
      <w:r w:rsidR="00D348DD">
        <w:t>AIR-E S.A.S. E.S.P.</w:t>
      </w:r>
      <w:r w:rsidR="00084968" w:rsidRPr="00084968">
        <w:t xml:space="preserve"> aprobado en la Resolución CREG 02</w:t>
      </w:r>
      <w:r w:rsidR="00D348DD">
        <w:t>4</w:t>
      </w:r>
      <w:r w:rsidR="00084968" w:rsidRPr="00084968">
        <w:t xml:space="preserve"> de 2021</w:t>
      </w:r>
      <w:r w:rsidR="00084968">
        <w:t>.</w:t>
      </w:r>
    </w:p>
    <w:p w14:paraId="5D5A9543" w14:textId="75C9C1F4" w:rsidR="00D92E12" w:rsidRDefault="00D92E12" w:rsidP="00F12851">
      <w:pPr>
        <w:spacing w:before="240" w:after="0"/>
      </w:pPr>
      <w:r w:rsidRPr="005678C2">
        <w:t>En el Documento CREG</w:t>
      </w:r>
      <w:r w:rsidR="008A1234">
        <w:t xml:space="preserve"> 501</w:t>
      </w:r>
      <w:r w:rsidRPr="005678C2">
        <w:t xml:space="preserve"> </w:t>
      </w:r>
      <w:r w:rsidR="008A1234">
        <w:t>01</w:t>
      </w:r>
      <w:r w:rsidR="00D601E0">
        <w:t>3</w:t>
      </w:r>
      <w:r w:rsidR="008A1234">
        <w:t xml:space="preserve"> </w:t>
      </w:r>
      <w:r w:rsidRPr="005678C2">
        <w:t>de 202</w:t>
      </w:r>
      <w:r w:rsidR="0005637B">
        <w:t>2</w:t>
      </w:r>
      <w:r w:rsidRPr="005678C2">
        <w:t xml:space="preserve"> se encuentra el soporte de la Resolución CREG </w:t>
      </w:r>
      <w:r w:rsidR="00B92BFA">
        <w:t>501 056</w:t>
      </w:r>
      <w:r w:rsidR="00B92BFA" w:rsidRPr="00084968">
        <w:t xml:space="preserve"> </w:t>
      </w:r>
      <w:r w:rsidRPr="005678C2">
        <w:t>de 202</w:t>
      </w:r>
      <w:r w:rsidR="00B92BFA">
        <w:t>2</w:t>
      </w:r>
      <w:r w:rsidR="00874F4D">
        <w:t xml:space="preserve">, </w:t>
      </w:r>
      <w:r w:rsidR="000472C7">
        <w:t xml:space="preserve">y contiene </w:t>
      </w:r>
      <w:r w:rsidRPr="005678C2">
        <w:t>las diferencias identificadas</w:t>
      </w:r>
      <w:r w:rsidR="00B24D7C">
        <w:t xml:space="preserve"> </w:t>
      </w:r>
      <w:r w:rsidR="00A14044" w:rsidRPr="00C91378">
        <w:t>frente a</w:t>
      </w:r>
      <w:r w:rsidR="00D93B84" w:rsidRPr="00C91378">
        <w:t xml:space="preserve"> la información </w:t>
      </w:r>
      <w:r w:rsidR="004667E4" w:rsidRPr="00C91378">
        <w:t>reportada por el OR en la solicitud de ajuste del plan de inversiones</w:t>
      </w:r>
      <w:r w:rsidRPr="00C91378">
        <w:t>, las memorias de cálculo</w:t>
      </w:r>
      <w:r w:rsidR="009564CD" w:rsidRPr="00C91378">
        <w:t>,</w:t>
      </w:r>
      <w:r w:rsidRPr="00C91378">
        <w:t xml:space="preserve"> </w:t>
      </w:r>
      <w:r w:rsidR="00B24D7C" w:rsidRPr="00C91378">
        <w:t xml:space="preserve">y </w:t>
      </w:r>
      <w:r w:rsidRPr="00C91378">
        <w:t>demás consideraciones empleadas para</w:t>
      </w:r>
      <w:r w:rsidRPr="005678C2">
        <w:t xml:space="preserve"> calcular </w:t>
      </w:r>
      <w:r w:rsidR="00BD00D1">
        <w:t>los valores</w:t>
      </w:r>
      <w:r w:rsidRPr="005678C2">
        <w:t xml:space="preserve"> aprobado</w:t>
      </w:r>
      <w:r w:rsidR="00BD00D1">
        <w:t>s</w:t>
      </w:r>
      <w:r w:rsidRPr="005678C2">
        <w:t xml:space="preserve"> en dicha resolución</w:t>
      </w:r>
      <w:r w:rsidR="000224C7">
        <w:t>; adicionalmente</w:t>
      </w:r>
      <w:r w:rsidR="009564CD">
        <w:t xml:space="preserve"> </w:t>
      </w:r>
      <w:r w:rsidR="00263ED9">
        <w:t>incluye</w:t>
      </w:r>
      <w:r w:rsidR="009564CD">
        <w:t xml:space="preserve"> e</w:t>
      </w:r>
      <w:r w:rsidR="00EC7620">
        <w:t>l</w:t>
      </w:r>
      <w:r w:rsidR="009564CD" w:rsidRPr="005678C2">
        <w:t xml:space="preserve"> inventario </w:t>
      </w:r>
      <w:r w:rsidR="005C395D">
        <w:t xml:space="preserve">de activos </w:t>
      </w:r>
      <w:r w:rsidR="009564CD" w:rsidRPr="005678C2">
        <w:t>aprobado</w:t>
      </w:r>
      <w:r w:rsidRPr="005678C2">
        <w:t>.</w:t>
      </w:r>
    </w:p>
    <w:p w14:paraId="37882828" w14:textId="5822AF7D" w:rsidR="00B121BF" w:rsidRDefault="0001053B" w:rsidP="001732B8">
      <w:pPr>
        <w:spacing w:before="240" w:after="0"/>
        <w:rPr>
          <w:lang w:val="es-CO"/>
        </w:rPr>
      </w:pPr>
      <w:r>
        <w:t xml:space="preserve">Posteriormente, </w:t>
      </w:r>
      <w:r w:rsidR="00E45F0E">
        <w:t>AIR-E S.A.S. E.S.P.</w:t>
      </w:r>
      <w:r w:rsidR="00D8202E" w:rsidRPr="00D8202E">
        <w:t xml:space="preserve">, </w:t>
      </w:r>
      <w:r w:rsidR="00E45F0E">
        <w:t>AIR-E</w:t>
      </w:r>
      <w:r w:rsidR="00D8202E" w:rsidRPr="00D8202E">
        <w:t>, mediante comunicaci</w:t>
      </w:r>
      <w:r w:rsidR="00FD0C4E">
        <w:t>ones</w:t>
      </w:r>
      <w:r w:rsidR="00D8202E" w:rsidRPr="00D8202E">
        <w:t xml:space="preserve"> con radicado</w:t>
      </w:r>
      <w:r w:rsidR="00FD0C4E">
        <w:t>s CREG</w:t>
      </w:r>
      <w:r w:rsidR="00D8202E" w:rsidRPr="00D8202E">
        <w:t xml:space="preserve"> </w:t>
      </w:r>
      <w:r w:rsidR="00FD0C4E" w:rsidRPr="00FD0C4E">
        <w:t>E2022010333</w:t>
      </w:r>
      <w:r w:rsidR="00FD0C4E">
        <w:t xml:space="preserve"> </w:t>
      </w:r>
      <w:r w:rsidR="00EF69AA" w:rsidRPr="00EF69AA">
        <w:t xml:space="preserve">del 13 de septiembre de 2022 </w:t>
      </w:r>
      <w:r w:rsidR="00FD0C4E">
        <w:t xml:space="preserve">y </w:t>
      </w:r>
      <w:r w:rsidR="00015E53" w:rsidRPr="00015E53">
        <w:t>E2022010376</w:t>
      </w:r>
      <w:r w:rsidR="00EF69AA">
        <w:t xml:space="preserve"> </w:t>
      </w:r>
      <w:r w:rsidR="00EF69AA" w:rsidRPr="00EF69AA">
        <w:t>del 14 de septiembre de 2022</w:t>
      </w:r>
      <w:r w:rsidR="00D8202E" w:rsidRPr="00D8202E">
        <w:t>,</w:t>
      </w:r>
      <w:r w:rsidR="00EF69AA">
        <w:t xml:space="preserve"> </w:t>
      </w:r>
      <w:r w:rsidR="00D8202E" w:rsidRPr="00D8202E">
        <w:t xml:space="preserve">presentó recurso de reposición contra la Resolución </w:t>
      </w:r>
      <w:r w:rsidR="002C008E" w:rsidRPr="002C008E">
        <w:t>CREG 501 05</w:t>
      </w:r>
      <w:r w:rsidR="006A12EE">
        <w:t>6</w:t>
      </w:r>
      <w:r w:rsidR="002C008E" w:rsidRPr="002C008E">
        <w:t xml:space="preserve"> de 2022</w:t>
      </w:r>
      <w:r w:rsidR="00D8202E" w:rsidRPr="00D8202E">
        <w:t>. En esta</w:t>
      </w:r>
      <w:r w:rsidR="006A12EE">
        <w:t>s</w:t>
      </w:r>
      <w:r w:rsidR="00D8202E" w:rsidRPr="00D8202E">
        <w:t xml:space="preserve"> comunicaci</w:t>
      </w:r>
      <w:r w:rsidR="006A12EE">
        <w:t>ones</w:t>
      </w:r>
      <w:r w:rsidR="00D8202E" w:rsidRPr="00D8202E">
        <w:t xml:space="preserve"> se presentan los antecedentes, las razones de inconformidad y las peticiones del recurso de reposición</w:t>
      </w:r>
      <w:r w:rsidR="00CE4E9C">
        <w:t>,</w:t>
      </w:r>
      <w:r w:rsidR="001732B8">
        <w:t xml:space="preserve"> las cuales </w:t>
      </w:r>
      <w:r w:rsidR="00B121BF" w:rsidRPr="00B121BF">
        <w:rPr>
          <w:lang w:val="es-CO"/>
        </w:rPr>
        <w:t xml:space="preserve">se transcriben </w:t>
      </w:r>
      <w:r w:rsidR="00E8243D">
        <w:rPr>
          <w:lang w:val="es-CO"/>
        </w:rPr>
        <w:t xml:space="preserve">a continuación con el respectivo análisis de </w:t>
      </w:r>
      <w:r w:rsidR="00B121BF" w:rsidRPr="00B121BF">
        <w:rPr>
          <w:lang w:val="es-CO"/>
        </w:rPr>
        <w:t>Comisión</w:t>
      </w:r>
      <w:r w:rsidR="00CE4E9C">
        <w:rPr>
          <w:lang w:val="es-CO"/>
        </w:rPr>
        <w:t xml:space="preserve"> en cada solicitud</w:t>
      </w:r>
      <w:r w:rsidR="00B121BF" w:rsidRPr="00B121BF">
        <w:rPr>
          <w:lang w:val="es-CO"/>
        </w:rPr>
        <w:t>.</w:t>
      </w:r>
    </w:p>
    <w:p w14:paraId="4A8A308E" w14:textId="57A0C0D1" w:rsidR="00174133" w:rsidRPr="00EC1BA0" w:rsidRDefault="007E5C90" w:rsidP="00174133">
      <w:pPr>
        <w:spacing w:before="240" w:after="0"/>
        <w:rPr>
          <w:b/>
          <w:bCs/>
          <w:i/>
          <w:iCs/>
          <w:lang w:val="es-CO"/>
        </w:rPr>
      </w:pPr>
      <w:r w:rsidRPr="0040652E">
        <w:rPr>
          <w:lang w:val="es-CO"/>
        </w:rPr>
        <w:t>“</w:t>
      </w:r>
      <w:r w:rsidR="00174133" w:rsidRPr="00EC1BA0">
        <w:rPr>
          <w:b/>
          <w:bCs/>
          <w:i/>
          <w:iCs/>
          <w:lang w:val="es-CO"/>
        </w:rPr>
        <w:t>2. RAZONES DE INCONFORMIDAD</w:t>
      </w:r>
    </w:p>
    <w:p w14:paraId="32758DE8" w14:textId="77777777" w:rsidR="00174133" w:rsidRPr="00174133" w:rsidRDefault="00174133" w:rsidP="00174133">
      <w:pPr>
        <w:spacing w:before="240" w:after="0"/>
        <w:rPr>
          <w:i/>
          <w:iCs/>
          <w:lang w:val="es-CO"/>
        </w:rPr>
      </w:pPr>
      <w:r w:rsidRPr="00174133">
        <w:rPr>
          <w:i/>
          <w:iCs/>
          <w:lang w:val="es-CO"/>
        </w:rPr>
        <w:t>La razón de inconformidad en que se fundamenta el presente recurso se enmarca en el no reconocimiento de las Unidades Constructivas Especiales solicitadas.</w:t>
      </w:r>
    </w:p>
    <w:p w14:paraId="62D1BA59" w14:textId="77777777" w:rsidR="00174133" w:rsidRPr="00174133" w:rsidRDefault="00174133" w:rsidP="00174133">
      <w:pPr>
        <w:spacing w:before="240" w:after="0"/>
        <w:rPr>
          <w:i/>
          <w:iCs/>
          <w:lang w:val="es-CO"/>
        </w:rPr>
      </w:pPr>
      <w:r w:rsidRPr="00174133">
        <w:rPr>
          <w:i/>
          <w:iCs/>
          <w:lang w:val="es-CO"/>
        </w:rPr>
        <w:t>El literal i del Artículo 4 de la Resolución CREG 015 de 2018, tiene en cuenta que “Los OR podrán presentar UC especiales para lo cual deberán suministrar la información correspondiente dentro de la respectiva actuación administrativa”; por lo cual se solicita a la Comisión muy respetuosamente la aprobación de las Unidades Constructivas Especiales: 1) Banco de Compensación Reactiva de 3MVAr, 2) Postes N1 y 3) Protección Diferencial de Barra N2. Para lo cual se presenta la información teniendo en cuenta la siguiente estructura:</w:t>
      </w:r>
    </w:p>
    <w:p w14:paraId="22E6C399" w14:textId="77777777" w:rsidR="00174133" w:rsidRPr="00174133" w:rsidRDefault="00174133" w:rsidP="00174133">
      <w:pPr>
        <w:spacing w:before="240" w:after="0"/>
        <w:rPr>
          <w:i/>
          <w:iCs/>
          <w:lang w:val="es-CO"/>
        </w:rPr>
      </w:pPr>
      <w:r w:rsidRPr="00174133">
        <w:rPr>
          <w:i/>
          <w:iCs/>
          <w:lang w:val="es-CO"/>
        </w:rPr>
        <w:t>En el archivo Anexo 2 “Soportes UC Especiales”, se encuentran las carpetas correspondientes a las Unidades Constructivas Especiales para las cuales se solicita aprobación a la Comisión. La información contenida dentro de cada carpeta correspondiente a la UC solicitada, se encuentra a su vez estructurada en cuatro (4) subcarpetas:</w:t>
      </w:r>
    </w:p>
    <w:p w14:paraId="09EA8134" w14:textId="77777777" w:rsidR="00174133" w:rsidRPr="00174133" w:rsidRDefault="00174133" w:rsidP="00174133">
      <w:pPr>
        <w:spacing w:before="240" w:after="0"/>
        <w:rPr>
          <w:i/>
          <w:iCs/>
          <w:lang w:val="es-CO"/>
        </w:rPr>
      </w:pPr>
      <w:r w:rsidRPr="00174133">
        <w:rPr>
          <w:i/>
          <w:iCs/>
          <w:lang w:val="es-CO"/>
        </w:rPr>
        <w:t>▪ Justificación Técnica: Contiene el documento de la justificación técnica para la implementación de cada UC.</w:t>
      </w:r>
    </w:p>
    <w:p w14:paraId="046B5959" w14:textId="77777777" w:rsidR="00174133" w:rsidRPr="00174133" w:rsidRDefault="00174133" w:rsidP="00174133">
      <w:pPr>
        <w:spacing w:before="240" w:after="0"/>
        <w:rPr>
          <w:i/>
          <w:iCs/>
          <w:lang w:val="es-CO"/>
        </w:rPr>
      </w:pPr>
      <w:r w:rsidRPr="00174133">
        <w:rPr>
          <w:i/>
          <w:iCs/>
          <w:lang w:val="es-CO"/>
        </w:rPr>
        <w:t>▪ Invitaciones: Contiene la invitación a ofertar realizada por la empresa Air-e, así como las respuestas de las compañías a la invitación.</w:t>
      </w:r>
    </w:p>
    <w:p w14:paraId="254F5A50" w14:textId="77777777" w:rsidR="00174133" w:rsidRPr="00174133" w:rsidRDefault="00174133" w:rsidP="00174133">
      <w:pPr>
        <w:spacing w:before="240" w:after="0"/>
        <w:rPr>
          <w:i/>
          <w:iCs/>
          <w:lang w:val="es-CO"/>
        </w:rPr>
      </w:pPr>
      <w:r w:rsidRPr="00174133">
        <w:rPr>
          <w:i/>
          <w:iCs/>
          <w:lang w:val="es-CO"/>
        </w:rPr>
        <w:t>▪ Ofertas: Contiene la información sobre las ofertas recibidas para el suministro y puesta en funcionamiento de la UC.</w:t>
      </w:r>
    </w:p>
    <w:p w14:paraId="0A649B8A" w14:textId="78189858" w:rsidR="006A5ADA" w:rsidRDefault="00174133" w:rsidP="00174133">
      <w:pPr>
        <w:spacing w:before="240" w:after="0"/>
        <w:rPr>
          <w:i/>
          <w:iCs/>
          <w:lang w:val="es-CO"/>
        </w:rPr>
      </w:pPr>
      <w:r w:rsidRPr="00174133">
        <w:rPr>
          <w:i/>
          <w:iCs/>
          <w:lang w:val="es-CO"/>
        </w:rPr>
        <w:t>▪ Contratos: Contiene la información de los contratos realizados para el suministro y puesta en funcionamiento de la UC.</w:t>
      </w:r>
      <w:r w:rsidR="00F151A8" w:rsidRPr="0040652E">
        <w:rPr>
          <w:lang w:val="es-CO"/>
        </w:rPr>
        <w:t>”</w:t>
      </w:r>
    </w:p>
    <w:p w14:paraId="1FF51F12" w14:textId="19B5BAA0" w:rsidR="00A438E7" w:rsidRDefault="00A438E7" w:rsidP="00174133">
      <w:pPr>
        <w:spacing w:before="240" w:after="0"/>
        <w:rPr>
          <w:b/>
          <w:bCs/>
          <w:lang w:val="es-CO"/>
        </w:rPr>
      </w:pPr>
      <w:r>
        <w:rPr>
          <w:b/>
          <w:bCs/>
          <w:lang w:val="es-CO"/>
        </w:rPr>
        <w:t>Análisis de la Comisión</w:t>
      </w:r>
    </w:p>
    <w:p w14:paraId="74C90454" w14:textId="77777777" w:rsidR="00582A07" w:rsidRDefault="00582A07" w:rsidP="00582A07">
      <w:pPr>
        <w:spacing w:before="240" w:after="0"/>
        <w:rPr>
          <w:lang w:val="es-CO"/>
        </w:rPr>
      </w:pPr>
      <w:r>
        <w:rPr>
          <w:lang w:val="es-CO"/>
        </w:rPr>
        <w:lastRenderedPageBreak/>
        <w:t>De conformidad con el literal i) del Artículo 4 de la Resolución CREG 015 de 2018, l</w:t>
      </w:r>
      <w:r w:rsidRPr="00C24BAD">
        <w:rPr>
          <w:lang w:val="es-CO"/>
        </w:rPr>
        <w:t>os OR podrán presentar UC especiales para lo cual deberán suministrar la información correspondiente dentro de la respectiva actuación administrativa</w:t>
      </w:r>
      <w:r>
        <w:rPr>
          <w:lang w:val="es-CO"/>
        </w:rPr>
        <w:t>.</w:t>
      </w:r>
    </w:p>
    <w:p w14:paraId="36F8240D" w14:textId="14FA02BD" w:rsidR="00240FB8" w:rsidRPr="00F84BC3" w:rsidRDefault="00582A07" w:rsidP="00240FB8">
      <w:pPr>
        <w:spacing w:before="240" w:after="0"/>
        <w:rPr>
          <w:lang w:val="es-CO"/>
        </w:rPr>
      </w:pPr>
      <w:r>
        <w:rPr>
          <w:lang w:val="es-CO"/>
        </w:rPr>
        <w:t>Por su parte, el literal n. del numeral 6</w:t>
      </w:r>
      <w:r w:rsidR="00EF69AA">
        <w:rPr>
          <w:lang w:val="es-CO"/>
        </w:rPr>
        <w:t>.</w:t>
      </w:r>
      <w:r>
        <w:rPr>
          <w:lang w:val="es-CO"/>
        </w:rPr>
        <w:t>1 del capítulo 6 del anexo general de la Resolución CREG 015 de 2018 indica que e</w:t>
      </w:r>
      <w:r w:rsidRPr="009D26E5">
        <w:rPr>
          <w:lang w:val="es-CO"/>
        </w:rPr>
        <w:t>l OR podrá incluir en el plan de inversión unidades constructivas especiales para lo cual debe dar aplicación a lo señalado en el capítulo 14</w:t>
      </w:r>
      <w:r w:rsidR="003651E2">
        <w:rPr>
          <w:lang w:val="es-CO"/>
        </w:rPr>
        <w:t>.</w:t>
      </w:r>
    </w:p>
    <w:p w14:paraId="35B5038A" w14:textId="41000A25" w:rsidR="00956380" w:rsidRDefault="00956380" w:rsidP="00956380">
      <w:pPr>
        <w:spacing w:before="240" w:after="0"/>
        <w:rPr>
          <w:lang w:val="es-CO"/>
        </w:rPr>
      </w:pPr>
      <w:r>
        <w:rPr>
          <w:lang w:val="es-CO"/>
        </w:rPr>
        <w:t xml:space="preserve">Sobre las UC especiales, el Artículo 3 y el capítulo 14 de la Resolución CREG 015 </w:t>
      </w:r>
      <w:r w:rsidR="000A38CB">
        <w:rPr>
          <w:lang w:val="es-CO"/>
        </w:rPr>
        <w:t>establecen</w:t>
      </w:r>
      <w:r>
        <w:rPr>
          <w:lang w:val="es-CO"/>
        </w:rPr>
        <w:t xml:space="preserve"> que:</w:t>
      </w:r>
    </w:p>
    <w:p w14:paraId="7C55A856" w14:textId="57737218" w:rsidR="00956380" w:rsidRPr="008D4F64" w:rsidRDefault="00F151A8" w:rsidP="00956380">
      <w:pPr>
        <w:spacing w:before="240" w:after="0"/>
        <w:rPr>
          <w:i/>
          <w:iCs/>
          <w:sz w:val="22"/>
          <w:szCs w:val="22"/>
          <w:lang w:val="es-CO"/>
        </w:rPr>
      </w:pPr>
      <w:r>
        <w:rPr>
          <w:i/>
          <w:iCs/>
          <w:sz w:val="22"/>
          <w:szCs w:val="22"/>
          <w:lang w:val="es-CO"/>
        </w:rPr>
        <w:t>“</w:t>
      </w:r>
      <w:r w:rsidR="00956380" w:rsidRPr="008D4F64">
        <w:rPr>
          <w:i/>
          <w:iCs/>
          <w:sz w:val="22"/>
          <w:szCs w:val="22"/>
          <w:lang w:val="es-CO"/>
        </w:rPr>
        <w:t xml:space="preserve">ARTÍCULO 3o. DEFINICIONES. </w:t>
      </w:r>
    </w:p>
    <w:p w14:paraId="7D27EEF6" w14:textId="77777777" w:rsidR="00956380" w:rsidRPr="00B302E5" w:rsidRDefault="00956380" w:rsidP="00956380">
      <w:pPr>
        <w:spacing w:before="240" w:after="0"/>
        <w:rPr>
          <w:i/>
          <w:iCs/>
          <w:sz w:val="22"/>
          <w:szCs w:val="22"/>
          <w:lang w:val="es-CO"/>
        </w:rPr>
      </w:pPr>
      <w:r w:rsidRPr="00B302E5">
        <w:rPr>
          <w:i/>
          <w:iCs/>
          <w:sz w:val="22"/>
          <w:szCs w:val="22"/>
          <w:lang w:val="es-CO"/>
        </w:rPr>
        <w:t xml:space="preserve">(…) </w:t>
      </w:r>
    </w:p>
    <w:p w14:paraId="00076029" w14:textId="77777777" w:rsidR="00956380" w:rsidRPr="008D4F64" w:rsidRDefault="00956380" w:rsidP="00956380">
      <w:pPr>
        <w:spacing w:before="240" w:after="0"/>
        <w:rPr>
          <w:i/>
          <w:iCs/>
          <w:sz w:val="22"/>
          <w:szCs w:val="22"/>
          <w:lang w:val="es-CO"/>
        </w:rPr>
      </w:pPr>
      <w:r w:rsidRPr="008D4F64">
        <w:rPr>
          <w:i/>
          <w:iCs/>
          <w:sz w:val="22"/>
          <w:szCs w:val="22"/>
          <w:lang w:val="es-CO"/>
        </w:rPr>
        <w:t xml:space="preserve">Unidad constructiva especial: </w:t>
      </w:r>
      <w:bookmarkStart w:id="2" w:name="_Hlk130366449"/>
      <w:r w:rsidRPr="008D4F64">
        <w:rPr>
          <w:i/>
          <w:iCs/>
          <w:sz w:val="22"/>
          <w:szCs w:val="22"/>
          <w:lang w:val="es-CO"/>
        </w:rPr>
        <w:t>es aquella que contiene elementos con características técnicas que no la hace asimilable a las UC definidas</w:t>
      </w:r>
      <w:bookmarkEnd w:id="2"/>
      <w:r w:rsidRPr="008D4F64">
        <w:rPr>
          <w:i/>
          <w:iCs/>
          <w:sz w:val="22"/>
          <w:szCs w:val="22"/>
          <w:lang w:val="es-CO"/>
        </w:rPr>
        <w:t>.</w:t>
      </w:r>
    </w:p>
    <w:p w14:paraId="3600C40F" w14:textId="77777777" w:rsidR="00956380" w:rsidRDefault="00956380" w:rsidP="00956380">
      <w:pPr>
        <w:spacing w:before="240" w:after="0"/>
        <w:rPr>
          <w:i/>
          <w:iCs/>
          <w:sz w:val="22"/>
          <w:szCs w:val="22"/>
          <w:lang w:val="es-CO"/>
        </w:rPr>
      </w:pPr>
      <w:r w:rsidRPr="00B302E5">
        <w:rPr>
          <w:i/>
          <w:iCs/>
          <w:sz w:val="22"/>
          <w:szCs w:val="22"/>
          <w:lang w:val="es-CO"/>
        </w:rPr>
        <w:t xml:space="preserve">(…) </w:t>
      </w:r>
    </w:p>
    <w:p w14:paraId="566E5202" w14:textId="77777777" w:rsidR="00956380" w:rsidRPr="00B302E5" w:rsidRDefault="00956380" w:rsidP="00956380">
      <w:pPr>
        <w:spacing w:before="240" w:after="0"/>
        <w:rPr>
          <w:i/>
          <w:iCs/>
          <w:sz w:val="22"/>
          <w:szCs w:val="22"/>
          <w:lang w:val="es-CO"/>
        </w:rPr>
      </w:pPr>
      <w:r w:rsidRPr="00B302E5">
        <w:rPr>
          <w:i/>
          <w:iCs/>
          <w:sz w:val="22"/>
          <w:szCs w:val="22"/>
          <w:lang w:val="es-CO"/>
        </w:rPr>
        <w:t xml:space="preserve">CAPITULO 14. UC PARA VALORACIÓN DE ACTIVOS NUEVOS.  </w:t>
      </w:r>
    </w:p>
    <w:p w14:paraId="614D070B" w14:textId="77777777" w:rsidR="00956380" w:rsidRPr="00B302E5" w:rsidRDefault="00956380" w:rsidP="00956380">
      <w:pPr>
        <w:spacing w:before="240" w:after="0"/>
        <w:rPr>
          <w:i/>
          <w:iCs/>
          <w:sz w:val="22"/>
          <w:szCs w:val="22"/>
          <w:lang w:val="es-CO"/>
        </w:rPr>
      </w:pPr>
      <w:r w:rsidRPr="00B302E5">
        <w:rPr>
          <w:i/>
          <w:iCs/>
          <w:sz w:val="22"/>
          <w:szCs w:val="22"/>
          <w:lang w:val="es-CO"/>
        </w:rPr>
        <w:t xml:space="preserve">(…) </w:t>
      </w:r>
    </w:p>
    <w:p w14:paraId="6314158C" w14:textId="77777777" w:rsidR="00956380" w:rsidRPr="00B302E5" w:rsidRDefault="00956380" w:rsidP="00956380">
      <w:pPr>
        <w:spacing w:before="240" w:after="0"/>
        <w:rPr>
          <w:i/>
          <w:iCs/>
          <w:sz w:val="22"/>
          <w:szCs w:val="22"/>
          <w:lang w:val="es-CO"/>
        </w:rPr>
      </w:pPr>
      <w:r w:rsidRPr="00B302E5">
        <w:rPr>
          <w:i/>
          <w:iCs/>
          <w:sz w:val="22"/>
          <w:szCs w:val="22"/>
          <w:lang w:val="es-CO"/>
        </w:rPr>
        <w:t xml:space="preserve">Cuando existan activos con características técnicas distintas a las de las UC establecidas, los OR podrán solicitar a la Comisión la creación de UC especiales. La solicitud debe estar acompañada de las consideraciones técnicas que justifican la creación de la UC especial, el costo detallado de cada equipo que la compone y los costos de instalación asociados. Para adquisiciones directas se debe adjuntar tres cotizaciones de suministro e instalación de los equipos que la conforman y para adquisiciones a través de concursos abiertos o licitaciones se deben enviar los documentos que acreditan su realización incluyendo los pliegos de solicitudes, términos de referencia, etc. </w:t>
      </w:r>
    </w:p>
    <w:p w14:paraId="148B92EC" w14:textId="03BDF1C0" w:rsidR="00956380" w:rsidRPr="00B302E5" w:rsidRDefault="00956380" w:rsidP="00956380">
      <w:pPr>
        <w:spacing w:before="240" w:after="0"/>
        <w:rPr>
          <w:i/>
          <w:iCs/>
          <w:sz w:val="22"/>
          <w:szCs w:val="22"/>
          <w:lang w:val="es-CO"/>
        </w:rPr>
      </w:pPr>
      <w:r w:rsidRPr="00B302E5">
        <w:rPr>
          <w:i/>
          <w:iCs/>
          <w:sz w:val="22"/>
          <w:szCs w:val="22"/>
          <w:lang w:val="es-CO"/>
        </w:rPr>
        <w:t>(…)</w:t>
      </w:r>
      <w:r w:rsidR="00F151A8">
        <w:rPr>
          <w:i/>
          <w:iCs/>
          <w:sz w:val="22"/>
          <w:szCs w:val="22"/>
          <w:lang w:val="es-CO"/>
        </w:rPr>
        <w:t>”</w:t>
      </w:r>
    </w:p>
    <w:p w14:paraId="0945301F" w14:textId="52E79015" w:rsidR="003651E2" w:rsidRPr="00D9202C" w:rsidRDefault="00A74EF9" w:rsidP="007F0328">
      <w:pPr>
        <w:spacing w:before="240" w:after="0"/>
      </w:pPr>
      <w:r>
        <w:rPr>
          <w:lang w:val="es-CO"/>
        </w:rPr>
        <w:t xml:space="preserve">Bajo </w:t>
      </w:r>
      <w:r w:rsidR="007F0328">
        <w:rPr>
          <w:lang w:val="es-CO"/>
        </w:rPr>
        <w:t>las anteriores consideraciones</w:t>
      </w:r>
      <w:r w:rsidR="00EA7B8D">
        <w:rPr>
          <w:lang w:val="es-CO"/>
        </w:rPr>
        <w:t>,</w:t>
      </w:r>
      <w:r w:rsidR="000B48E1">
        <w:rPr>
          <w:lang w:val="es-CO"/>
        </w:rPr>
        <w:t xml:space="preserve"> se procede a la evaluación de las UC especiales</w:t>
      </w:r>
      <w:r w:rsidR="00EA7B8D">
        <w:rPr>
          <w:lang w:val="es-CO"/>
        </w:rPr>
        <w:t xml:space="preserve"> atendiendo</w:t>
      </w:r>
      <w:r w:rsidR="0029122F">
        <w:rPr>
          <w:lang w:val="es-CO"/>
        </w:rPr>
        <w:t xml:space="preserve"> cada solicitud conforme fue presentado por el OR en el recurso</w:t>
      </w:r>
      <w:r w:rsidR="007F0328">
        <w:rPr>
          <w:lang w:val="es-CO"/>
        </w:rPr>
        <w:t>.</w:t>
      </w:r>
    </w:p>
    <w:p w14:paraId="2338FC62" w14:textId="234F2691" w:rsidR="00BC3C3B" w:rsidRPr="00743D24" w:rsidRDefault="00F54C93" w:rsidP="00BC3C3B">
      <w:pPr>
        <w:spacing w:before="240" w:after="0"/>
        <w:rPr>
          <w:b/>
          <w:bCs/>
          <w:lang w:val="es-CO"/>
        </w:rPr>
      </w:pPr>
      <w:r w:rsidRPr="00743D24">
        <w:rPr>
          <w:b/>
          <w:bCs/>
          <w:lang w:val="es-CO"/>
        </w:rPr>
        <w:t>Primera solicitud</w:t>
      </w:r>
    </w:p>
    <w:p w14:paraId="29304BAB" w14:textId="210BCBD5" w:rsidR="004B64C3" w:rsidRPr="004B64C3" w:rsidRDefault="00CE4E9C" w:rsidP="004B64C3">
      <w:pPr>
        <w:spacing w:before="240" w:after="0"/>
        <w:rPr>
          <w:i/>
          <w:iCs/>
          <w:lang w:val="es-CO"/>
        </w:rPr>
      </w:pPr>
      <w:r>
        <w:rPr>
          <w:i/>
          <w:iCs/>
          <w:lang w:val="es-CO"/>
        </w:rPr>
        <w:t>“</w:t>
      </w:r>
      <w:r w:rsidR="004B64C3" w:rsidRPr="004B64C3">
        <w:rPr>
          <w:i/>
          <w:iCs/>
          <w:lang w:val="es-CO"/>
        </w:rPr>
        <w:t>2.1. Unidad Constructiva Especial Banco de Compensación Reactiva de 3MVAr:</w:t>
      </w:r>
    </w:p>
    <w:p w14:paraId="6C8E0BE1" w14:textId="77777777" w:rsidR="00E12BBE" w:rsidRDefault="004B64C3" w:rsidP="004B64C3">
      <w:pPr>
        <w:spacing w:before="240" w:after="0"/>
        <w:rPr>
          <w:i/>
          <w:iCs/>
          <w:lang w:val="es-CO"/>
        </w:rPr>
      </w:pPr>
      <w:r w:rsidRPr="004B64C3">
        <w:rPr>
          <w:i/>
          <w:iCs/>
          <w:lang w:val="es-CO"/>
        </w:rPr>
        <w:t>Atendiendo las disposiciones establecidas en el literal u) del numeral 14.1 de la Resolución CREG 015 de 2018, se establece que los equipos de compensación reactiva deben presentarse como unidades constructivas especiales. Así mismo, en el Capítulo 7 de la citada Resolución, entre los criterios para determinar las pérdidas eficientes en el SDL, se menciona que en ningún punto del sistema se pueden presentar factores de potencia inferiores a 0,9 y en ningún caso valores de voltaje inferiores a los establecidos en las normas vigentes.</w:t>
      </w:r>
    </w:p>
    <w:p w14:paraId="2FAACE80" w14:textId="77777777" w:rsidR="00820205" w:rsidRDefault="00E12BBE" w:rsidP="004B64C3">
      <w:pPr>
        <w:spacing w:before="240" w:after="0"/>
        <w:rPr>
          <w:i/>
          <w:iCs/>
          <w:lang w:val="es-CO"/>
        </w:rPr>
      </w:pPr>
      <w:r w:rsidRPr="00E12BBE">
        <w:rPr>
          <w:i/>
          <w:iCs/>
          <w:lang w:val="es-CO"/>
        </w:rPr>
        <w:t xml:space="preserve">Por lo anterior, se solicitó a la Comisión la aprobación de la UC Especial Banco de Compensación Reactiva de 3MVAr, donde con su instalación en las subestaciones </w:t>
      </w:r>
      <w:r w:rsidRPr="00E12BBE">
        <w:rPr>
          <w:i/>
          <w:iCs/>
          <w:lang w:val="es-CO"/>
        </w:rPr>
        <w:lastRenderedPageBreak/>
        <w:t>del sistema de Air-e, se pretende mejorar los perfiles de tensión y los factores de potencia en los diferentes puntos del SDL como Manaure, Uribia, Fonseca y Villanueva todos pertenecientes al departamento de La Guajira.</w:t>
      </w:r>
    </w:p>
    <w:p w14:paraId="1B4DEA76" w14:textId="77777777" w:rsidR="006C76DF" w:rsidRDefault="00820205" w:rsidP="00820205">
      <w:pPr>
        <w:spacing w:before="240" w:after="0"/>
        <w:rPr>
          <w:i/>
          <w:iCs/>
          <w:lang w:val="es-CO"/>
        </w:rPr>
      </w:pPr>
      <w:r w:rsidRPr="00820205">
        <w:rPr>
          <w:i/>
          <w:iCs/>
          <w:lang w:val="es-CO"/>
        </w:rPr>
        <w:t>Sin</w:t>
      </w:r>
      <w:r>
        <w:rPr>
          <w:i/>
          <w:iCs/>
          <w:lang w:val="es-CO"/>
        </w:rPr>
        <w:t xml:space="preserve"> </w:t>
      </w:r>
      <w:r w:rsidRPr="00820205">
        <w:rPr>
          <w:i/>
          <w:iCs/>
          <w:lang w:val="es-CO"/>
        </w:rPr>
        <w:t xml:space="preserve">embargo, la Comisión a través del Documento D-501 013 de 2022 –Modificación Plan de Inversiones Air-e S.A.S. E.S.P.- </w:t>
      </w:r>
      <w:r w:rsidRPr="00AB4452">
        <w:rPr>
          <w:i/>
          <w:iCs/>
          <w:u w:val="single"/>
          <w:lang w:val="es-CO"/>
        </w:rPr>
        <w:t>manifiesta que no es aceptada la UC Especial Banco de Compensación Reactiva 3MVAr, debido a que no se adjuntan las cotizaciones de suministro e instalación</w:t>
      </w:r>
      <w:r w:rsidRPr="00820205">
        <w:rPr>
          <w:i/>
          <w:iCs/>
          <w:lang w:val="es-CO"/>
        </w:rPr>
        <w:t>. Por esta razón, se solicita muy respetuosamente a la CREG la aprobación de esta UC, dada su importancia para el mejoramiento de las condiciones de calidad de los usuarios del mercado de Air-e.</w:t>
      </w:r>
    </w:p>
    <w:p w14:paraId="5ECA88CB" w14:textId="77777777" w:rsidR="00626D5E" w:rsidRDefault="006C76DF" w:rsidP="00820205">
      <w:pPr>
        <w:spacing w:before="240" w:after="0"/>
        <w:rPr>
          <w:i/>
          <w:iCs/>
          <w:lang w:val="es-CO"/>
        </w:rPr>
      </w:pPr>
      <w:r w:rsidRPr="006C76DF">
        <w:rPr>
          <w:i/>
          <w:iCs/>
          <w:lang w:val="es-CO"/>
        </w:rPr>
        <w:t>En la carpeta “Ofertas”, perteneciente a la UC Banco de compensación Reactiva de 3MVAr, se presentan las ofertas en formato Excel que fueron diligenciadas por los oferentes en la plataforma Strattegi, de acuerdo con el proceso detallado a continuación:</w:t>
      </w:r>
    </w:p>
    <w:p w14:paraId="22BC506E" w14:textId="77777777" w:rsidR="00453340" w:rsidRDefault="00626D5E" w:rsidP="00820205">
      <w:pPr>
        <w:spacing w:before="240" w:after="0"/>
        <w:rPr>
          <w:i/>
          <w:iCs/>
          <w:lang w:val="es-CO"/>
        </w:rPr>
      </w:pPr>
      <w:r w:rsidRPr="00626D5E">
        <w:rPr>
          <w:i/>
          <w:iCs/>
          <w:lang w:val="es-CO"/>
        </w:rPr>
        <w:t>Para la invitación del montaje, instalación y puesta en operación de los bancos de compensación, fueron recibidas las propuestas de los diferentes oferentes, luego de haber aceptado la participación en el concurso de licitación “Contrato EPC (Engineering, Procurement and Construction), para ejecutar los trabajos de diseño, adquisición de los instrumentos, construcción, pruebas y puesta en operación de los proyectos de transformación de subestaciones – CONPES 3933 modificado por el CONPES 3966”. La invitación se publicó en www.strattegi.com, en al año 2019 mediante el código 11400519C1.</w:t>
      </w:r>
    </w:p>
    <w:p w14:paraId="46D1EE41" w14:textId="77777777" w:rsidR="004D20E9" w:rsidRDefault="004D20E9" w:rsidP="00820205">
      <w:pPr>
        <w:spacing w:before="240" w:after="0"/>
        <w:rPr>
          <w:i/>
          <w:iCs/>
          <w:lang w:val="es-CO"/>
        </w:rPr>
      </w:pPr>
      <w:r>
        <w:rPr>
          <w:i/>
          <w:iCs/>
          <w:lang w:val="es-CO"/>
        </w:rPr>
        <w:t>(…)</w:t>
      </w:r>
    </w:p>
    <w:p w14:paraId="295714CF" w14:textId="77777777" w:rsidR="00683B47" w:rsidRPr="00683B47" w:rsidRDefault="00683B47" w:rsidP="00683B47">
      <w:pPr>
        <w:spacing w:before="240" w:after="0"/>
        <w:rPr>
          <w:i/>
          <w:iCs/>
          <w:lang w:val="es-CO"/>
        </w:rPr>
      </w:pPr>
      <w:r w:rsidRPr="00683B47">
        <w:rPr>
          <w:i/>
          <w:iCs/>
          <w:lang w:val="es-CO"/>
        </w:rPr>
        <w:t>Las anteriores ofertas se recibieron como resultado de la invitación a licitar “11400519C1” realizada durante el año 2019 publicada en el portal web www.strattegi.com. La invitación, se realizó bajo la modalidad contrato EPC (Engineering, Procurement and Construction), el cual, tenía como objeto: “ejecutar los trabajos de diseño, adquisición de los suministros, construcción, pruebas y puesta en operación de los proyectos de Transformación y Celdas de Subestaciones”. A continuación, se muestran las empresas invitadas a presentar ofertas, cuya información se encuentra detallada en la carpeta Invitaciones:</w:t>
      </w:r>
    </w:p>
    <w:p w14:paraId="0CC622F7" w14:textId="77777777" w:rsidR="00683B47" w:rsidRPr="00683B47" w:rsidRDefault="00683B47" w:rsidP="00772150">
      <w:pPr>
        <w:spacing w:after="0"/>
        <w:rPr>
          <w:i/>
          <w:iCs/>
          <w:lang w:val="es-CO"/>
        </w:rPr>
      </w:pPr>
      <w:r w:rsidRPr="00683B47">
        <w:rPr>
          <w:i/>
          <w:iCs/>
          <w:lang w:val="es-CO"/>
        </w:rPr>
        <w:t>• Siemens S.A.</w:t>
      </w:r>
    </w:p>
    <w:p w14:paraId="28382870" w14:textId="77777777" w:rsidR="00683B47" w:rsidRPr="00683B47" w:rsidRDefault="00683B47" w:rsidP="00772150">
      <w:pPr>
        <w:spacing w:after="0"/>
        <w:rPr>
          <w:i/>
          <w:iCs/>
          <w:lang w:val="es-CO"/>
        </w:rPr>
      </w:pPr>
      <w:r w:rsidRPr="00683B47">
        <w:rPr>
          <w:i/>
          <w:iCs/>
          <w:lang w:val="es-CO"/>
        </w:rPr>
        <w:t>• Ge Energy Colombia S.A.</w:t>
      </w:r>
    </w:p>
    <w:p w14:paraId="0D7407D7" w14:textId="77777777" w:rsidR="00683B47" w:rsidRPr="00683B47" w:rsidRDefault="00683B47" w:rsidP="00772150">
      <w:pPr>
        <w:spacing w:after="0"/>
        <w:rPr>
          <w:i/>
          <w:iCs/>
          <w:lang w:val="es-CO"/>
        </w:rPr>
      </w:pPr>
      <w:r w:rsidRPr="00683B47">
        <w:rPr>
          <w:i/>
          <w:iCs/>
          <w:lang w:val="es-CO"/>
        </w:rPr>
        <w:t>• Compañía Energética De Occidente</w:t>
      </w:r>
    </w:p>
    <w:p w14:paraId="375D6A98" w14:textId="77777777" w:rsidR="00683B47" w:rsidRPr="00683B47" w:rsidRDefault="00683B47" w:rsidP="00772150">
      <w:pPr>
        <w:spacing w:after="0"/>
        <w:rPr>
          <w:i/>
          <w:iCs/>
          <w:lang w:val="es-CO"/>
        </w:rPr>
      </w:pPr>
      <w:r w:rsidRPr="00683B47">
        <w:rPr>
          <w:i/>
          <w:iCs/>
          <w:lang w:val="es-CO"/>
        </w:rPr>
        <w:t>• Unión Eléctrica S.A.</w:t>
      </w:r>
    </w:p>
    <w:p w14:paraId="15CF187F" w14:textId="77777777" w:rsidR="00683B47" w:rsidRPr="00683B47" w:rsidRDefault="00683B47" w:rsidP="00772150">
      <w:pPr>
        <w:spacing w:after="0"/>
        <w:rPr>
          <w:i/>
          <w:iCs/>
          <w:lang w:val="es-CO"/>
        </w:rPr>
      </w:pPr>
      <w:r w:rsidRPr="00683B47">
        <w:rPr>
          <w:i/>
          <w:iCs/>
          <w:lang w:val="es-CO"/>
        </w:rPr>
        <w:t>• Ingema S.A.</w:t>
      </w:r>
    </w:p>
    <w:p w14:paraId="44EB7A5B" w14:textId="77777777" w:rsidR="00683B47" w:rsidRPr="00683B47" w:rsidRDefault="00683B47" w:rsidP="00772150">
      <w:pPr>
        <w:spacing w:after="0"/>
        <w:rPr>
          <w:i/>
          <w:iCs/>
          <w:lang w:val="es-CO"/>
        </w:rPr>
      </w:pPr>
      <w:r w:rsidRPr="00683B47">
        <w:rPr>
          <w:i/>
          <w:iCs/>
          <w:lang w:val="es-CO"/>
        </w:rPr>
        <w:t>• Hmv Ingenieros Ltda.</w:t>
      </w:r>
    </w:p>
    <w:p w14:paraId="18C1D412" w14:textId="77777777" w:rsidR="00683B47" w:rsidRPr="00683B47" w:rsidRDefault="00683B47" w:rsidP="00772150">
      <w:pPr>
        <w:spacing w:after="0"/>
        <w:rPr>
          <w:i/>
          <w:iCs/>
          <w:lang w:val="es-CO"/>
        </w:rPr>
      </w:pPr>
      <w:r w:rsidRPr="00683B47">
        <w:rPr>
          <w:i/>
          <w:iCs/>
          <w:lang w:val="es-CO"/>
        </w:rPr>
        <w:t>• Schneider Electric</w:t>
      </w:r>
    </w:p>
    <w:p w14:paraId="5EF1764D" w14:textId="77777777" w:rsidR="00683B47" w:rsidRPr="00683B47" w:rsidRDefault="00683B47" w:rsidP="00772150">
      <w:pPr>
        <w:spacing w:after="0"/>
        <w:rPr>
          <w:i/>
          <w:iCs/>
          <w:lang w:val="es-CO"/>
        </w:rPr>
      </w:pPr>
      <w:r w:rsidRPr="00683B47">
        <w:rPr>
          <w:i/>
          <w:iCs/>
          <w:lang w:val="es-CO"/>
        </w:rPr>
        <w:t>• Abb Power Grid Colombia Ltda.</w:t>
      </w:r>
    </w:p>
    <w:p w14:paraId="705457EA" w14:textId="77777777" w:rsidR="00683B47" w:rsidRPr="00683B47" w:rsidRDefault="00683B47" w:rsidP="00772150">
      <w:pPr>
        <w:spacing w:after="0"/>
        <w:rPr>
          <w:i/>
          <w:iCs/>
          <w:lang w:val="es-CO"/>
        </w:rPr>
      </w:pPr>
      <w:r w:rsidRPr="00683B47">
        <w:rPr>
          <w:i/>
          <w:iCs/>
          <w:lang w:val="es-CO"/>
        </w:rPr>
        <w:t>• Enel Codensa</w:t>
      </w:r>
    </w:p>
    <w:p w14:paraId="6EBD9415" w14:textId="77777777" w:rsidR="00683B47" w:rsidRPr="00683B47" w:rsidRDefault="00683B47" w:rsidP="00772150">
      <w:pPr>
        <w:spacing w:after="0"/>
        <w:rPr>
          <w:i/>
          <w:iCs/>
          <w:lang w:val="es-CO"/>
        </w:rPr>
      </w:pPr>
      <w:r w:rsidRPr="00683B47">
        <w:rPr>
          <w:i/>
          <w:iCs/>
          <w:lang w:val="es-CO"/>
        </w:rPr>
        <w:t>• Celsia</w:t>
      </w:r>
    </w:p>
    <w:p w14:paraId="79E6CF01" w14:textId="77777777" w:rsidR="00683B47" w:rsidRPr="00683B47" w:rsidRDefault="00683B47" w:rsidP="00772150">
      <w:pPr>
        <w:spacing w:after="0"/>
        <w:rPr>
          <w:i/>
          <w:iCs/>
          <w:lang w:val="es-CO"/>
        </w:rPr>
      </w:pPr>
      <w:r w:rsidRPr="00683B47">
        <w:rPr>
          <w:i/>
          <w:iCs/>
          <w:lang w:val="es-CO"/>
        </w:rPr>
        <w:t>• Eléctricas De Medellín Comercial</w:t>
      </w:r>
    </w:p>
    <w:p w14:paraId="26A0506D" w14:textId="77777777" w:rsidR="00683B47" w:rsidRPr="00BE5B4F" w:rsidRDefault="00683B47" w:rsidP="00772150">
      <w:pPr>
        <w:spacing w:after="0"/>
        <w:rPr>
          <w:i/>
          <w:iCs/>
          <w:lang w:val="en-US"/>
        </w:rPr>
      </w:pPr>
      <w:r w:rsidRPr="00BE5B4F">
        <w:rPr>
          <w:i/>
          <w:iCs/>
          <w:lang w:val="en-US"/>
        </w:rPr>
        <w:lastRenderedPageBreak/>
        <w:t>• Quark Up S.A.S.</w:t>
      </w:r>
    </w:p>
    <w:p w14:paraId="6F3A3133" w14:textId="77777777" w:rsidR="00683B47" w:rsidRPr="00683B47" w:rsidRDefault="00683B47" w:rsidP="00772150">
      <w:pPr>
        <w:spacing w:after="0"/>
        <w:rPr>
          <w:i/>
          <w:iCs/>
          <w:lang w:val="es-CO"/>
        </w:rPr>
      </w:pPr>
      <w:r w:rsidRPr="00683B47">
        <w:rPr>
          <w:i/>
          <w:iCs/>
          <w:lang w:val="es-CO"/>
        </w:rPr>
        <w:t>• Transelca S.A. Esp</w:t>
      </w:r>
    </w:p>
    <w:p w14:paraId="267E55EF" w14:textId="77777777" w:rsidR="00683B47" w:rsidRPr="00683B47" w:rsidRDefault="00683B47" w:rsidP="00772150">
      <w:pPr>
        <w:spacing w:after="0"/>
        <w:rPr>
          <w:i/>
          <w:iCs/>
          <w:lang w:val="es-CO"/>
        </w:rPr>
      </w:pPr>
      <w:r w:rsidRPr="00683B47">
        <w:rPr>
          <w:i/>
          <w:iCs/>
          <w:lang w:val="es-CO"/>
        </w:rPr>
        <w:t>• Ormazabal</w:t>
      </w:r>
    </w:p>
    <w:p w14:paraId="57B37496" w14:textId="77777777" w:rsidR="00683B47" w:rsidRPr="00683B47" w:rsidRDefault="00683B47" w:rsidP="00772150">
      <w:pPr>
        <w:spacing w:after="0"/>
        <w:rPr>
          <w:i/>
          <w:iCs/>
          <w:lang w:val="es-CO"/>
        </w:rPr>
      </w:pPr>
      <w:r w:rsidRPr="00683B47">
        <w:rPr>
          <w:i/>
          <w:iCs/>
          <w:lang w:val="es-CO"/>
        </w:rPr>
        <w:t>• Weg Colombia S.A.S.</w:t>
      </w:r>
    </w:p>
    <w:p w14:paraId="1A8C7244" w14:textId="77777777" w:rsidR="00683B47" w:rsidRPr="00683B47" w:rsidRDefault="00683B47" w:rsidP="00772150">
      <w:pPr>
        <w:spacing w:after="0"/>
        <w:rPr>
          <w:i/>
          <w:iCs/>
          <w:lang w:val="es-CO"/>
        </w:rPr>
      </w:pPr>
      <w:r w:rsidRPr="00683B47">
        <w:rPr>
          <w:i/>
          <w:iCs/>
          <w:lang w:val="es-CO"/>
        </w:rPr>
        <w:t>• Grupo De Energía De Bogota</w:t>
      </w:r>
    </w:p>
    <w:p w14:paraId="19085107" w14:textId="77777777" w:rsidR="00683B47" w:rsidRPr="00683B47" w:rsidRDefault="00683B47" w:rsidP="00772150">
      <w:pPr>
        <w:spacing w:after="0"/>
        <w:rPr>
          <w:i/>
          <w:iCs/>
          <w:lang w:val="es-CO"/>
        </w:rPr>
      </w:pPr>
      <w:r w:rsidRPr="00683B47">
        <w:rPr>
          <w:i/>
          <w:iCs/>
          <w:lang w:val="es-CO"/>
        </w:rPr>
        <w:t>• Empresas Públicas De Medellín</w:t>
      </w:r>
    </w:p>
    <w:p w14:paraId="6F194777" w14:textId="77777777" w:rsidR="00683B47" w:rsidRPr="00683B47" w:rsidRDefault="00683B47" w:rsidP="00772150">
      <w:pPr>
        <w:spacing w:after="0"/>
        <w:rPr>
          <w:i/>
          <w:iCs/>
          <w:lang w:val="es-CO"/>
        </w:rPr>
      </w:pPr>
      <w:r w:rsidRPr="00683B47">
        <w:rPr>
          <w:i/>
          <w:iCs/>
          <w:lang w:val="es-CO"/>
        </w:rPr>
        <w:t>• Actividades De Instalaciones Y Servicios Cobra</w:t>
      </w:r>
    </w:p>
    <w:p w14:paraId="37D79CD6" w14:textId="77777777" w:rsidR="00683B47" w:rsidRPr="00683B47" w:rsidRDefault="00683B47" w:rsidP="00772150">
      <w:pPr>
        <w:spacing w:after="0"/>
        <w:rPr>
          <w:i/>
          <w:iCs/>
          <w:lang w:val="es-CO"/>
        </w:rPr>
      </w:pPr>
      <w:r w:rsidRPr="00683B47">
        <w:rPr>
          <w:i/>
          <w:iCs/>
          <w:lang w:val="es-CO"/>
        </w:rPr>
        <w:t>• Ingeniería Y Proyectos De Colombia Ltda.</w:t>
      </w:r>
    </w:p>
    <w:p w14:paraId="4D673063" w14:textId="65A89A47" w:rsidR="003C33A2" w:rsidRDefault="00683B47" w:rsidP="00772150">
      <w:pPr>
        <w:spacing w:after="0"/>
        <w:rPr>
          <w:i/>
          <w:iCs/>
          <w:lang w:val="es-CO"/>
        </w:rPr>
      </w:pPr>
      <w:r w:rsidRPr="00683B47">
        <w:rPr>
          <w:i/>
          <w:iCs/>
          <w:lang w:val="es-CO"/>
        </w:rPr>
        <w:t>• Eaton Colombia</w:t>
      </w:r>
      <w:r w:rsidR="003C33A2" w:rsidRPr="00AD2BF6">
        <w:rPr>
          <w:i/>
          <w:iCs/>
          <w:lang w:val="es-CO"/>
        </w:rPr>
        <w:t>.</w:t>
      </w:r>
    </w:p>
    <w:p w14:paraId="654786C6" w14:textId="77777777" w:rsidR="00C16A3D" w:rsidRPr="00C16A3D" w:rsidRDefault="00C16A3D" w:rsidP="00C16A3D">
      <w:pPr>
        <w:spacing w:before="240" w:after="0"/>
        <w:rPr>
          <w:i/>
          <w:iCs/>
          <w:lang w:val="es-CO"/>
        </w:rPr>
      </w:pPr>
      <w:r w:rsidRPr="00C16A3D">
        <w:rPr>
          <w:i/>
          <w:iCs/>
          <w:lang w:val="es-CO"/>
        </w:rPr>
        <w:t>Surtidos los procesos anteriores, se seleccionó la oferta presentada por la empresa WEG Colombia S.A.S., dando lugar a la celebración del contrato número 4120000015, el cual se adjunta en la carpeta “Contratos” identificados como “Anexo 3_WEG_4120000015”. Es del caso señalar que el proceso de contratación en donde se extendieron las invitaciones y se recibieron las ofertas fue adelantado por ELECTRICARIBE y el contrato celebrado fue cedido a Air-e producto del proceso de solución empresarial adelantado en ELECTRICARIBE.</w:t>
      </w:r>
    </w:p>
    <w:p w14:paraId="0B0603B3" w14:textId="040A4B13" w:rsidR="00C16A3D" w:rsidRDefault="00C16A3D" w:rsidP="00C16A3D">
      <w:pPr>
        <w:spacing w:before="240" w:after="0"/>
        <w:rPr>
          <w:i/>
          <w:iCs/>
          <w:lang w:val="es-CO"/>
        </w:rPr>
      </w:pPr>
      <w:r w:rsidRPr="00C16A3D">
        <w:rPr>
          <w:i/>
          <w:iCs/>
          <w:lang w:val="es-CO"/>
        </w:rPr>
        <w:t>Con base en lo anterior, se solicita a la Comisión la aprobación de la UC Especial Banco de Compensación Reactiva de 3MVAr, de acuerdo con lo montos desagregados en la Tabla 7:</w:t>
      </w:r>
    </w:p>
    <w:p w14:paraId="048D1429" w14:textId="77777777" w:rsidR="002B3A24" w:rsidRDefault="002B3A24" w:rsidP="002B3A24">
      <w:pPr>
        <w:spacing w:before="0" w:after="0"/>
        <w:rPr>
          <w:i/>
          <w:iCs/>
          <w:lang w:val="es-CO"/>
        </w:rPr>
      </w:pPr>
    </w:p>
    <w:tbl>
      <w:tblPr>
        <w:tblStyle w:val="Tablaconcuadrcula"/>
        <w:tblW w:w="9781" w:type="dxa"/>
        <w:tblInd w:w="-147" w:type="dxa"/>
        <w:tblLayout w:type="fixed"/>
        <w:tblLook w:val="04A0" w:firstRow="1" w:lastRow="0" w:firstColumn="1" w:lastColumn="0" w:noHBand="0" w:noVBand="1"/>
      </w:tblPr>
      <w:tblGrid>
        <w:gridCol w:w="568"/>
        <w:gridCol w:w="567"/>
        <w:gridCol w:w="1134"/>
        <w:gridCol w:w="992"/>
        <w:gridCol w:w="1134"/>
        <w:gridCol w:w="1134"/>
        <w:gridCol w:w="992"/>
        <w:gridCol w:w="993"/>
        <w:gridCol w:w="1133"/>
        <w:gridCol w:w="1134"/>
      </w:tblGrid>
      <w:tr w:rsidR="00E30ADE" w:rsidRPr="00CE5C5A" w14:paraId="45EFCF83" w14:textId="77777777" w:rsidTr="0040652E">
        <w:tc>
          <w:tcPr>
            <w:tcW w:w="568" w:type="dxa"/>
            <w:vAlign w:val="center"/>
          </w:tcPr>
          <w:p w14:paraId="65D8149A" w14:textId="718E43BE" w:rsidR="004031B9" w:rsidRPr="00CE5C5A" w:rsidRDefault="004031B9" w:rsidP="008B7707">
            <w:pPr>
              <w:spacing w:before="0" w:after="0"/>
              <w:jc w:val="center"/>
              <w:rPr>
                <w:i/>
                <w:iCs/>
                <w:sz w:val="14"/>
                <w:szCs w:val="14"/>
                <w:lang w:val="es-CO"/>
              </w:rPr>
            </w:pPr>
            <w:r w:rsidRPr="008B7707">
              <w:rPr>
                <w:b/>
                <w:bCs/>
                <w:i/>
                <w:iCs/>
                <w:sz w:val="14"/>
                <w:szCs w:val="14"/>
              </w:rPr>
              <w:t>UC</w:t>
            </w:r>
          </w:p>
        </w:tc>
        <w:tc>
          <w:tcPr>
            <w:tcW w:w="567" w:type="dxa"/>
            <w:vAlign w:val="center"/>
          </w:tcPr>
          <w:p w14:paraId="2D9B4C3C" w14:textId="79C9B8D8" w:rsidR="004031B9" w:rsidRPr="00CE5C5A" w:rsidRDefault="004031B9" w:rsidP="008B7707">
            <w:pPr>
              <w:spacing w:before="0" w:after="0"/>
              <w:ind w:left="-152" w:right="-206"/>
              <w:jc w:val="center"/>
              <w:rPr>
                <w:i/>
                <w:iCs/>
                <w:sz w:val="14"/>
                <w:szCs w:val="14"/>
                <w:lang w:val="es-CO"/>
              </w:rPr>
            </w:pPr>
            <w:r w:rsidRPr="008B7707">
              <w:rPr>
                <w:b/>
                <w:bCs/>
                <w:i/>
                <w:iCs/>
                <w:sz w:val="14"/>
                <w:szCs w:val="14"/>
              </w:rPr>
              <w:t>Descripción</w:t>
            </w:r>
          </w:p>
        </w:tc>
        <w:tc>
          <w:tcPr>
            <w:tcW w:w="1134" w:type="dxa"/>
            <w:vAlign w:val="center"/>
          </w:tcPr>
          <w:p w14:paraId="39C8700A" w14:textId="4AC53B2B" w:rsidR="004031B9" w:rsidRPr="00CE5C5A" w:rsidRDefault="004031B9" w:rsidP="008B7707">
            <w:pPr>
              <w:spacing w:before="0" w:after="0"/>
              <w:jc w:val="center"/>
              <w:rPr>
                <w:i/>
                <w:iCs/>
                <w:sz w:val="14"/>
                <w:szCs w:val="14"/>
                <w:lang w:val="es-CO"/>
              </w:rPr>
            </w:pPr>
            <w:r w:rsidRPr="008B7707">
              <w:rPr>
                <w:b/>
                <w:bCs/>
                <w:i/>
                <w:iCs/>
                <w:sz w:val="14"/>
                <w:szCs w:val="14"/>
              </w:rPr>
              <w:t>DDP</w:t>
            </w:r>
          </w:p>
        </w:tc>
        <w:tc>
          <w:tcPr>
            <w:tcW w:w="992" w:type="dxa"/>
            <w:vAlign w:val="center"/>
          </w:tcPr>
          <w:p w14:paraId="597F0C18" w14:textId="0B7BAE7A" w:rsidR="004031B9" w:rsidRPr="00CE5C5A" w:rsidRDefault="004031B9" w:rsidP="008B7707">
            <w:pPr>
              <w:spacing w:before="0" w:after="0"/>
              <w:jc w:val="center"/>
              <w:rPr>
                <w:i/>
                <w:iCs/>
                <w:sz w:val="14"/>
                <w:szCs w:val="14"/>
                <w:lang w:val="es-CO"/>
              </w:rPr>
            </w:pPr>
            <w:r w:rsidRPr="008B7707">
              <w:rPr>
                <w:b/>
                <w:bCs/>
                <w:i/>
                <w:iCs/>
                <w:sz w:val="14"/>
                <w:szCs w:val="14"/>
              </w:rPr>
              <w:t>MONTAJE</w:t>
            </w:r>
          </w:p>
        </w:tc>
        <w:tc>
          <w:tcPr>
            <w:tcW w:w="1134" w:type="dxa"/>
            <w:vAlign w:val="center"/>
          </w:tcPr>
          <w:p w14:paraId="79FFD419" w14:textId="22E1273C" w:rsidR="004031B9" w:rsidRPr="00CE5C5A" w:rsidRDefault="004031B9" w:rsidP="008B7707">
            <w:pPr>
              <w:spacing w:before="0" w:after="0"/>
              <w:jc w:val="center"/>
              <w:rPr>
                <w:i/>
                <w:iCs/>
                <w:sz w:val="14"/>
                <w:szCs w:val="14"/>
                <w:lang w:val="es-CO"/>
              </w:rPr>
            </w:pPr>
            <w:r w:rsidRPr="008B7707">
              <w:rPr>
                <w:b/>
                <w:bCs/>
                <w:i/>
                <w:iCs/>
                <w:sz w:val="14"/>
                <w:szCs w:val="14"/>
              </w:rPr>
              <w:t>INGENIERIA</w:t>
            </w:r>
          </w:p>
        </w:tc>
        <w:tc>
          <w:tcPr>
            <w:tcW w:w="1134" w:type="dxa"/>
            <w:vAlign w:val="center"/>
          </w:tcPr>
          <w:p w14:paraId="6678CC0D" w14:textId="32AAE304" w:rsidR="004031B9" w:rsidRPr="00CE5C5A" w:rsidRDefault="004031B9" w:rsidP="008B7707">
            <w:pPr>
              <w:spacing w:before="0" w:after="0"/>
              <w:jc w:val="center"/>
              <w:rPr>
                <w:i/>
                <w:iCs/>
                <w:sz w:val="14"/>
                <w:szCs w:val="14"/>
                <w:lang w:val="es-CO"/>
              </w:rPr>
            </w:pPr>
            <w:r w:rsidRPr="008B7707">
              <w:rPr>
                <w:b/>
                <w:bCs/>
                <w:i/>
                <w:iCs/>
                <w:sz w:val="14"/>
                <w:szCs w:val="14"/>
              </w:rPr>
              <w:t>SUBTOTAL</w:t>
            </w:r>
          </w:p>
        </w:tc>
        <w:tc>
          <w:tcPr>
            <w:tcW w:w="992" w:type="dxa"/>
            <w:vAlign w:val="center"/>
          </w:tcPr>
          <w:p w14:paraId="4338EA0F" w14:textId="60D3EF76" w:rsidR="004031B9" w:rsidRPr="00CE5C5A" w:rsidRDefault="004031B9" w:rsidP="008B7707">
            <w:pPr>
              <w:spacing w:before="0" w:after="0"/>
              <w:ind w:left="-31" w:right="-117"/>
              <w:jc w:val="center"/>
              <w:rPr>
                <w:i/>
                <w:iCs/>
                <w:sz w:val="14"/>
                <w:szCs w:val="14"/>
                <w:lang w:val="es-CO"/>
              </w:rPr>
            </w:pPr>
            <w:r w:rsidRPr="008B7707">
              <w:rPr>
                <w:b/>
                <w:bCs/>
                <w:i/>
                <w:iCs/>
                <w:sz w:val="14"/>
                <w:szCs w:val="14"/>
              </w:rPr>
              <w:t>INTERVENTORIA</w:t>
            </w:r>
          </w:p>
        </w:tc>
        <w:tc>
          <w:tcPr>
            <w:tcW w:w="993" w:type="dxa"/>
            <w:vAlign w:val="center"/>
          </w:tcPr>
          <w:p w14:paraId="79782B65" w14:textId="3D9667FF" w:rsidR="004031B9" w:rsidRPr="00CE5C5A" w:rsidRDefault="004031B9" w:rsidP="008B7707">
            <w:pPr>
              <w:spacing w:before="0" w:after="0"/>
              <w:jc w:val="center"/>
              <w:rPr>
                <w:i/>
                <w:iCs/>
                <w:sz w:val="14"/>
                <w:szCs w:val="14"/>
                <w:lang w:val="es-CO"/>
              </w:rPr>
            </w:pPr>
            <w:r w:rsidRPr="008B7707">
              <w:rPr>
                <w:b/>
                <w:bCs/>
                <w:i/>
                <w:iCs/>
                <w:sz w:val="14"/>
                <w:szCs w:val="14"/>
              </w:rPr>
              <w:t>COSTOS FINANCIEROS</w:t>
            </w:r>
          </w:p>
        </w:tc>
        <w:tc>
          <w:tcPr>
            <w:tcW w:w="1133" w:type="dxa"/>
            <w:vAlign w:val="center"/>
          </w:tcPr>
          <w:p w14:paraId="1225BBC1" w14:textId="4E206B37" w:rsidR="004031B9" w:rsidRPr="00CE5C5A" w:rsidRDefault="004031B9" w:rsidP="008B7707">
            <w:pPr>
              <w:spacing w:before="0" w:after="0"/>
              <w:jc w:val="center"/>
              <w:rPr>
                <w:i/>
                <w:iCs/>
                <w:sz w:val="14"/>
                <w:szCs w:val="14"/>
                <w:lang w:val="es-CO"/>
              </w:rPr>
            </w:pPr>
            <w:r w:rsidRPr="008B7707">
              <w:rPr>
                <w:b/>
                <w:bCs/>
                <w:i/>
                <w:iCs/>
                <w:sz w:val="14"/>
                <w:szCs w:val="14"/>
              </w:rPr>
              <w:t>TOTAL [$ Ene-2021]</w:t>
            </w:r>
          </w:p>
        </w:tc>
        <w:tc>
          <w:tcPr>
            <w:tcW w:w="1134" w:type="dxa"/>
            <w:vAlign w:val="center"/>
          </w:tcPr>
          <w:p w14:paraId="4CA08A8B" w14:textId="4CBE050E" w:rsidR="004031B9" w:rsidRPr="00CE5C5A" w:rsidRDefault="004031B9" w:rsidP="008B7707">
            <w:pPr>
              <w:spacing w:before="0" w:after="0"/>
              <w:jc w:val="center"/>
              <w:rPr>
                <w:i/>
                <w:iCs/>
                <w:sz w:val="14"/>
                <w:szCs w:val="14"/>
                <w:lang w:val="es-CO"/>
              </w:rPr>
            </w:pPr>
            <w:r w:rsidRPr="008B7707">
              <w:rPr>
                <w:b/>
                <w:bCs/>
                <w:i/>
                <w:iCs/>
                <w:sz w:val="14"/>
                <w:szCs w:val="14"/>
              </w:rPr>
              <w:t>TOTAL [$ Dic-2017</w:t>
            </w:r>
          </w:p>
        </w:tc>
      </w:tr>
      <w:tr w:rsidR="00B72217" w:rsidRPr="00B72217" w14:paraId="0CDBB34B" w14:textId="77777777" w:rsidTr="0040652E">
        <w:tc>
          <w:tcPr>
            <w:tcW w:w="568" w:type="dxa"/>
          </w:tcPr>
          <w:p w14:paraId="1BF8A657" w14:textId="75D69D36" w:rsidR="004031B9" w:rsidRPr="0040652E" w:rsidRDefault="004031B9" w:rsidP="008B7707">
            <w:pPr>
              <w:spacing w:before="0" w:after="0"/>
              <w:rPr>
                <w:i/>
                <w:iCs/>
                <w:sz w:val="12"/>
                <w:szCs w:val="12"/>
                <w:lang w:val="es-CO"/>
              </w:rPr>
            </w:pPr>
            <w:r w:rsidRPr="0040652E">
              <w:rPr>
                <w:i/>
                <w:iCs/>
                <w:sz w:val="12"/>
                <w:szCs w:val="12"/>
              </w:rPr>
              <w:t xml:space="preserve">N2EQE39 </w:t>
            </w:r>
          </w:p>
        </w:tc>
        <w:tc>
          <w:tcPr>
            <w:tcW w:w="567" w:type="dxa"/>
          </w:tcPr>
          <w:p w14:paraId="2D12119A" w14:textId="455A1E0C" w:rsidR="004031B9" w:rsidRPr="0040652E" w:rsidRDefault="004031B9" w:rsidP="008B7707">
            <w:pPr>
              <w:spacing w:before="0" w:after="0"/>
              <w:rPr>
                <w:i/>
                <w:iCs/>
                <w:sz w:val="12"/>
                <w:szCs w:val="12"/>
                <w:lang w:val="es-CO"/>
              </w:rPr>
            </w:pPr>
            <w:r w:rsidRPr="0040652E">
              <w:rPr>
                <w:i/>
                <w:iCs/>
                <w:sz w:val="12"/>
                <w:szCs w:val="12"/>
              </w:rPr>
              <w:t xml:space="preserve">Banco de compensación 3 MVAR </w:t>
            </w:r>
          </w:p>
        </w:tc>
        <w:tc>
          <w:tcPr>
            <w:tcW w:w="1134" w:type="dxa"/>
          </w:tcPr>
          <w:p w14:paraId="293A0B0D" w14:textId="2D3F8EE6" w:rsidR="004031B9" w:rsidRPr="0040652E" w:rsidRDefault="004031B9" w:rsidP="008B7707">
            <w:pPr>
              <w:spacing w:before="0" w:after="0"/>
              <w:ind w:left="-4" w:right="-14"/>
              <w:rPr>
                <w:i/>
                <w:iCs/>
                <w:sz w:val="12"/>
                <w:szCs w:val="12"/>
                <w:lang w:val="es-CO"/>
              </w:rPr>
            </w:pPr>
            <w:r w:rsidRPr="0040652E">
              <w:rPr>
                <w:i/>
                <w:iCs/>
                <w:sz w:val="12"/>
                <w:szCs w:val="12"/>
              </w:rPr>
              <w:t xml:space="preserve">$ 118.177.505 </w:t>
            </w:r>
          </w:p>
        </w:tc>
        <w:tc>
          <w:tcPr>
            <w:tcW w:w="992" w:type="dxa"/>
          </w:tcPr>
          <w:p w14:paraId="32C6BDDA" w14:textId="5847889E" w:rsidR="004031B9" w:rsidRPr="0040652E" w:rsidRDefault="004031B9" w:rsidP="008B7707">
            <w:pPr>
              <w:spacing w:before="0" w:after="0"/>
              <w:rPr>
                <w:i/>
                <w:iCs/>
                <w:sz w:val="12"/>
                <w:szCs w:val="12"/>
                <w:lang w:val="es-CO"/>
              </w:rPr>
            </w:pPr>
            <w:r w:rsidRPr="0040652E">
              <w:rPr>
                <w:i/>
                <w:iCs/>
                <w:sz w:val="12"/>
                <w:szCs w:val="12"/>
              </w:rPr>
              <w:t>$ 56.270.791</w:t>
            </w:r>
          </w:p>
        </w:tc>
        <w:tc>
          <w:tcPr>
            <w:tcW w:w="1134" w:type="dxa"/>
          </w:tcPr>
          <w:p w14:paraId="0D6E1CA8" w14:textId="39045793" w:rsidR="004031B9" w:rsidRPr="0040652E" w:rsidRDefault="004031B9" w:rsidP="008B7707">
            <w:pPr>
              <w:spacing w:before="0" w:after="0"/>
              <w:rPr>
                <w:i/>
                <w:iCs/>
                <w:sz w:val="12"/>
                <w:szCs w:val="12"/>
                <w:lang w:val="es-CO"/>
              </w:rPr>
            </w:pPr>
            <w:r w:rsidRPr="0040652E">
              <w:rPr>
                <w:i/>
                <w:iCs/>
                <w:sz w:val="12"/>
                <w:szCs w:val="12"/>
              </w:rPr>
              <w:t>$ 42.942.259</w:t>
            </w:r>
          </w:p>
        </w:tc>
        <w:tc>
          <w:tcPr>
            <w:tcW w:w="1134" w:type="dxa"/>
          </w:tcPr>
          <w:p w14:paraId="544DFEF2" w14:textId="2909C3A8" w:rsidR="004031B9" w:rsidRPr="0040652E" w:rsidRDefault="004031B9" w:rsidP="008B7707">
            <w:pPr>
              <w:spacing w:before="0" w:after="0"/>
              <w:rPr>
                <w:i/>
                <w:iCs/>
                <w:sz w:val="12"/>
                <w:szCs w:val="12"/>
                <w:lang w:val="es-CO"/>
              </w:rPr>
            </w:pPr>
            <w:r w:rsidRPr="0040652E">
              <w:rPr>
                <w:i/>
                <w:iCs/>
                <w:sz w:val="12"/>
                <w:szCs w:val="12"/>
              </w:rPr>
              <w:t>$ 217.390.556</w:t>
            </w:r>
          </w:p>
        </w:tc>
        <w:tc>
          <w:tcPr>
            <w:tcW w:w="992" w:type="dxa"/>
          </w:tcPr>
          <w:p w14:paraId="4F3A604E" w14:textId="0F05AC3F" w:rsidR="004031B9" w:rsidRPr="0040652E" w:rsidRDefault="004031B9" w:rsidP="008B7707">
            <w:pPr>
              <w:spacing w:before="0" w:after="0"/>
              <w:ind w:left="-31" w:right="-117"/>
              <w:rPr>
                <w:i/>
                <w:iCs/>
                <w:sz w:val="12"/>
                <w:szCs w:val="12"/>
                <w:lang w:val="es-CO"/>
              </w:rPr>
            </w:pPr>
            <w:r w:rsidRPr="0040652E">
              <w:rPr>
                <w:i/>
                <w:iCs/>
                <w:sz w:val="12"/>
                <w:szCs w:val="12"/>
              </w:rPr>
              <w:t>$ 21.471.130</w:t>
            </w:r>
          </w:p>
        </w:tc>
        <w:tc>
          <w:tcPr>
            <w:tcW w:w="993" w:type="dxa"/>
          </w:tcPr>
          <w:p w14:paraId="0D8D7ABD" w14:textId="0B9EE1B1" w:rsidR="004031B9" w:rsidRPr="0040652E" w:rsidRDefault="004031B9" w:rsidP="008B7707">
            <w:pPr>
              <w:spacing w:before="0" w:after="0"/>
              <w:rPr>
                <w:i/>
                <w:iCs/>
                <w:sz w:val="12"/>
                <w:szCs w:val="12"/>
                <w:lang w:val="es-CO"/>
              </w:rPr>
            </w:pPr>
            <w:r w:rsidRPr="0040652E">
              <w:rPr>
                <w:i/>
                <w:iCs/>
                <w:sz w:val="12"/>
                <w:szCs w:val="12"/>
              </w:rPr>
              <w:t>$ 32.129.174</w:t>
            </w:r>
          </w:p>
        </w:tc>
        <w:tc>
          <w:tcPr>
            <w:tcW w:w="1133" w:type="dxa"/>
          </w:tcPr>
          <w:p w14:paraId="07AA5571" w14:textId="05A77F11" w:rsidR="004031B9" w:rsidRPr="0040652E" w:rsidRDefault="004031B9" w:rsidP="008B7707">
            <w:pPr>
              <w:spacing w:before="0" w:after="0"/>
              <w:rPr>
                <w:i/>
                <w:iCs/>
                <w:sz w:val="12"/>
                <w:szCs w:val="12"/>
                <w:lang w:val="es-CO"/>
              </w:rPr>
            </w:pPr>
            <w:r w:rsidRPr="0040652E">
              <w:rPr>
                <w:i/>
                <w:iCs/>
                <w:sz w:val="12"/>
                <w:szCs w:val="12"/>
              </w:rPr>
              <w:t xml:space="preserve">$ 270.990.860 </w:t>
            </w:r>
          </w:p>
        </w:tc>
        <w:tc>
          <w:tcPr>
            <w:tcW w:w="1134" w:type="dxa"/>
          </w:tcPr>
          <w:p w14:paraId="2C9C8D0B" w14:textId="05C27311" w:rsidR="004031B9" w:rsidRPr="0040652E" w:rsidRDefault="004031B9" w:rsidP="008B7707">
            <w:pPr>
              <w:spacing w:before="0" w:after="0"/>
              <w:rPr>
                <w:i/>
                <w:iCs/>
                <w:sz w:val="12"/>
                <w:szCs w:val="12"/>
                <w:lang w:val="es-CO"/>
              </w:rPr>
            </w:pPr>
            <w:r w:rsidRPr="0040652E">
              <w:rPr>
                <w:i/>
                <w:iCs/>
                <w:sz w:val="12"/>
                <w:szCs w:val="12"/>
              </w:rPr>
              <w:t xml:space="preserve">$ 243.218.371 </w:t>
            </w:r>
          </w:p>
        </w:tc>
      </w:tr>
    </w:tbl>
    <w:p w14:paraId="52AE5577" w14:textId="08BCE2E2" w:rsidR="00CE5C5A" w:rsidRPr="008B7707" w:rsidRDefault="00CE5C5A" w:rsidP="008B7707">
      <w:pPr>
        <w:spacing w:after="0"/>
        <w:rPr>
          <w:i/>
          <w:iCs/>
          <w:lang w:val="es-CO"/>
        </w:rPr>
      </w:pPr>
      <w:r w:rsidRPr="008B7707">
        <w:rPr>
          <w:i/>
          <w:iCs/>
          <w:lang w:val="es-CO"/>
        </w:rPr>
        <w:t>(…)</w:t>
      </w:r>
      <w:r w:rsidRPr="0040652E">
        <w:rPr>
          <w:i/>
          <w:iCs/>
          <w:lang w:val="es-CO"/>
        </w:rPr>
        <w:t>”</w:t>
      </w:r>
    </w:p>
    <w:p w14:paraId="799CF79C" w14:textId="0F267DA1" w:rsidR="003216FF" w:rsidRPr="00B42314" w:rsidRDefault="00F4625D" w:rsidP="00F4625D">
      <w:pPr>
        <w:spacing w:before="240" w:after="0"/>
        <w:rPr>
          <w:b/>
          <w:bCs/>
          <w:lang w:val="es-CO"/>
        </w:rPr>
      </w:pPr>
      <w:r>
        <w:rPr>
          <w:b/>
          <w:bCs/>
          <w:lang w:val="es-CO"/>
        </w:rPr>
        <w:t>Análisis de la Comisión</w:t>
      </w:r>
    </w:p>
    <w:p w14:paraId="7DB69544" w14:textId="3145F9A0" w:rsidR="00D34038" w:rsidRDefault="00D34038" w:rsidP="008D19C9">
      <w:pPr>
        <w:spacing w:before="240" w:after="0"/>
        <w:rPr>
          <w:lang w:val="es-CO"/>
        </w:rPr>
      </w:pPr>
      <w:r>
        <w:rPr>
          <w:lang w:val="es-CO"/>
        </w:rPr>
        <w:t>Revisada la información suministrada por el OR, se identifica que la solicitud hace referencia a la creación de una unidad constructiva especial que corresponde a un banco de compensación reactiva de 3 MVAr, tipo pedestal, que se conecta al barraje de nivel de tensión 2 en una subestación.</w:t>
      </w:r>
    </w:p>
    <w:p w14:paraId="5F0A6A95" w14:textId="50F3CE2F" w:rsidR="00B302E5" w:rsidRPr="00B302E5" w:rsidRDefault="00B23D5E" w:rsidP="008D19C9">
      <w:pPr>
        <w:spacing w:before="240" w:after="0"/>
        <w:rPr>
          <w:lang w:val="es-CO"/>
        </w:rPr>
      </w:pPr>
      <w:r>
        <w:rPr>
          <w:lang w:val="es-CO"/>
        </w:rPr>
        <w:t>De manera particular para las UC</w:t>
      </w:r>
      <w:r w:rsidR="008A5B21">
        <w:rPr>
          <w:lang w:val="es-CO"/>
        </w:rPr>
        <w:t xml:space="preserve"> de</w:t>
      </w:r>
      <w:r w:rsidR="00F40496">
        <w:rPr>
          <w:lang w:val="es-CO"/>
        </w:rPr>
        <w:t xml:space="preserve"> compensación</w:t>
      </w:r>
      <w:r w:rsidR="008A5B21">
        <w:rPr>
          <w:lang w:val="es-CO"/>
        </w:rPr>
        <w:t xml:space="preserve"> </w:t>
      </w:r>
      <w:r>
        <w:rPr>
          <w:lang w:val="es-CO"/>
        </w:rPr>
        <w:t>reactiva</w:t>
      </w:r>
      <w:r w:rsidR="00CF4EA6">
        <w:rPr>
          <w:lang w:val="es-CO"/>
        </w:rPr>
        <w:t xml:space="preserve"> el capítulo 14 de la Resolución CREG 015 de 2018 establece que:</w:t>
      </w:r>
    </w:p>
    <w:p w14:paraId="2B8BEAA9" w14:textId="77777777" w:rsidR="008D19C9" w:rsidRPr="00CF4EA6" w:rsidRDefault="008D19C9" w:rsidP="008D19C9">
      <w:pPr>
        <w:spacing w:before="240" w:after="0"/>
        <w:rPr>
          <w:i/>
          <w:iCs/>
          <w:sz w:val="22"/>
          <w:szCs w:val="22"/>
          <w:lang w:val="es-CO"/>
        </w:rPr>
      </w:pPr>
      <w:r w:rsidRPr="00CF4EA6">
        <w:rPr>
          <w:i/>
          <w:iCs/>
          <w:sz w:val="22"/>
          <w:szCs w:val="22"/>
          <w:lang w:val="es-CO"/>
        </w:rPr>
        <w:t>14.1 UC ASOCIADAS A SUBESTACIONES.</w:t>
      </w:r>
    </w:p>
    <w:p w14:paraId="31B621D3" w14:textId="77777777" w:rsidR="008D19C9" w:rsidRPr="00CF4EA6" w:rsidRDefault="008D19C9" w:rsidP="008D19C9">
      <w:pPr>
        <w:spacing w:before="240" w:after="0"/>
        <w:rPr>
          <w:i/>
          <w:iCs/>
          <w:sz w:val="22"/>
          <w:szCs w:val="22"/>
          <w:lang w:val="es-CO"/>
        </w:rPr>
      </w:pPr>
      <w:r w:rsidRPr="00CF4EA6">
        <w:rPr>
          <w:i/>
          <w:iCs/>
          <w:sz w:val="22"/>
          <w:szCs w:val="22"/>
          <w:lang w:val="es-CO"/>
        </w:rPr>
        <w:t>(…)</w:t>
      </w:r>
    </w:p>
    <w:p w14:paraId="333C599F" w14:textId="77777777" w:rsidR="008D19C9" w:rsidRPr="00CF4EA6" w:rsidRDefault="008D19C9" w:rsidP="008D19C9">
      <w:pPr>
        <w:spacing w:before="240" w:after="0"/>
        <w:rPr>
          <w:i/>
          <w:iCs/>
          <w:sz w:val="22"/>
          <w:szCs w:val="22"/>
          <w:lang w:val="es-CO"/>
        </w:rPr>
      </w:pPr>
      <w:r w:rsidRPr="00CF4EA6">
        <w:rPr>
          <w:i/>
          <w:iCs/>
          <w:sz w:val="22"/>
          <w:szCs w:val="22"/>
          <w:lang w:val="es-CO"/>
        </w:rPr>
        <w:t>u. No se definen UC de compensación reactiva para los niveles de tensión 3 y 4, los equipos de compensación que se instalen en el sistema deberán presentarse como unidades constructivas especiales siguiendo los lineamientos que para tal fin se establecen en este capítulo</w:t>
      </w:r>
    </w:p>
    <w:p w14:paraId="455C9861" w14:textId="7C4440D3" w:rsidR="008163D8" w:rsidRPr="00CF4EA6" w:rsidRDefault="00C30CA6" w:rsidP="00F4625D">
      <w:pPr>
        <w:spacing w:before="240" w:after="0"/>
        <w:rPr>
          <w:i/>
          <w:iCs/>
          <w:sz w:val="22"/>
          <w:szCs w:val="22"/>
          <w:lang w:val="es-CO"/>
        </w:rPr>
      </w:pPr>
      <w:r w:rsidRPr="00CF4EA6">
        <w:rPr>
          <w:i/>
          <w:iCs/>
          <w:sz w:val="22"/>
          <w:szCs w:val="22"/>
          <w:lang w:val="es-CO"/>
        </w:rPr>
        <w:t>(…)</w:t>
      </w:r>
    </w:p>
    <w:p w14:paraId="19EA863D" w14:textId="77777777" w:rsidR="00585718" w:rsidRPr="00CF4EA6" w:rsidRDefault="00585718" w:rsidP="00F4625D">
      <w:pPr>
        <w:spacing w:before="240" w:after="0"/>
        <w:rPr>
          <w:i/>
          <w:iCs/>
          <w:sz w:val="22"/>
          <w:szCs w:val="22"/>
          <w:lang w:val="es-CO"/>
        </w:rPr>
      </w:pPr>
      <w:r w:rsidRPr="00CF4EA6">
        <w:rPr>
          <w:i/>
          <w:iCs/>
          <w:sz w:val="22"/>
          <w:szCs w:val="22"/>
          <w:lang w:val="es-CO"/>
        </w:rPr>
        <w:lastRenderedPageBreak/>
        <w:t>14.4 CATEGORÍAS DE UNIDADES CONSTRUCTIVAS.</w:t>
      </w:r>
    </w:p>
    <w:p w14:paraId="462CC587" w14:textId="77777777" w:rsidR="00A713F1" w:rsidRPr="00CF4EA6" w:rsidRDefault="00A713F1" w:rsidP="00CF4EA6">
      <w:pPr>
        <w:spacing w:before="240" w:after="0"/>
        <w:jc w:val="center"/>
        <w:rPr>
          <w:i/>
          <w:iCs/>
          <w:sz w:val="22"/>
          <w:szCs w:val="22"/>
          <w:lang w:val="es-CO"/>
        </w:rPr>
      </w:pPr>
      <w:r w:rsidRPr="00CF4EA6">
        <w:rPr>
          <w:i/>
          <w:iCs/>
          <w:sz w:val="22"/>
          <w:szCs w:val="22"/>
          <w:lang w:val="es-CO"/>
        </w:rPr>
        <w:t>Tabla 34. Unidades constructivas de la categoría de compensación reactiva</w:t>
      </w:r>
    </w:p>
    <w:tbl>
      <w:tblPr>
        <w:tblStyle w:val="Tablaconcuadrcula"/>
        <w:tblW w:w="0" w:type="auto"/>
        <w:jc w:val="center"/>
        <w:tblLook w:val="04A0" w:firstRow="1" w:lastRow="0" w:firstColumn="1" w:lastColumn="0" w:noHBand="0" w:noVBand="1"/>
      </w:tblPr>
      <w:tblGrid>
        <w:gridCol w:w="1286"/>
        <w:gridCol w:w="2215"/>
        <w:gridCol w:w="1916"/>
        <w:gridCol w:w="1109"/>
        <w:gridCol w:w="2700"/>
      </w:tblGrid>
      <w:tr w:rsidR="00A713F1" w:rsidRPr="00FA6777" w14:paraId="00A30176" w14:textId="77777777" w:rsidTr="00FA6777">
        <w:trPr>
          <w:trHeight w:val="439"/>
          <w:jc w:val="center"/>
        </w:trPr>
        <w:tc>
          <w:tcPr>
            <w:tcW w:w="0" w:type="auto"/>
            <w:vAlign w:val="center"/>
          </w:tcPr>
          <w:p w14:paraId="0B4A84A5" w14:textId="1CEDA265" w:rsidR="00A713F1" w:rsidRPr="00FA6777" w:rsidRDefault="00A713F1" w:rsidP="00FA6777">
            <w:pPr>
              <w:spacing w:before="0" w:after="0"/>
              <w:jc w:val="center"/>
              <w:rPr>
                <w:i/>
                <w:iCs/>
                <w:sz w:val="18"/>
                <w:szCs w:val="18"/>
                <w:lang w:val="es-CO"/>
              </w:rPr>
            </w:pPr>
            <w:r w:rsidRPr="00FA6777">
              <w:rPr>
                <w:i/>
                <w:iCs/>
                <w:sz w:val="18"/>
                <w:szCs w:val="18"/>
                <w:lang w:val="es-CO"/>
              </w:rPr>
              <w:t>CATEGORÍA</w:t>
            </w:r>
          </w:p>
        </w:tc>
        <w:tc>
          <w:tcPr>
            <w:tcW w:w="0" w:type="auto"/>
            <w:vAlign w:val="center"/>
          </w:tcPr>
          <w:p w14:paraId="44CF73C6" w14:textId="637BC632" w:rsidR="00A713F1" w:rsidRPr="00FA6777" w:rsidRDefault="00A713F1" w:rsidP="00FA6777">
            <w:pPr>
              <w:spacing w:before="0" w:after="0"/>
              <w:jc w:val="center"/>
              <w:rPr>
                <w:i/>
                <w:iCs/>
                <w:sz w:val="18"/>
                <w:szCs w:val="18"/>
                <w:lang w:val="es-CO"/>
              </w:rPr>
            </w:pPr>
            <w:r w:rsidRPr="00FA6777">
              <w:rPr>
                <w:i/>
                <w:iCs/>
                <w:sz w:val="18"/>
                <w:szCs w:val="18"/>
                <w:lang w:val="es-CO"/>
              </w:rPr>
              <w:t>DESCRIPCIÓN</w:t>
            </w:r>
          </w:p>
        </w:tc>
        <w:tc>
          <w:tcPr>
            <w:tcW w:w="0" w:type="auto"/>
            <w:vAlign w:val="center"/>
          </w:tcPr>
          <w:p w14:paraId="659957DB" w14:textId="1E6F4D46" w:rsidR="00A713F1" w:rsidRPr="00FA6777" w:rsidRDefault="00A713F1" w:rsidP="00FA6777">
            <w:pPr>
              <w:spacing w:before="0" w:after="0"/>
              <w:jc w:val="center"/>
              <w:rPr>
                <w:i/>
                <w:iCs/>
                <w:sz w:val="18"/>
                <w:szCs w:val="18"/>
                <w:lang w:val="es-CO"/>
              </w:rPr>
            </w:pPr>
            <w:r w:rsidRPr="00FA6777">
              <w:rPr>
                <w:i/>
                <w:iCs/>
                <w:sz w:val="18"/>
                <w:szCs w:val="18"/>
                <w:lang w:val="es-CO"/>
              </w:rPr>
              <w:t>NIVEL DE TENSIÓN</w:t>
            </w:r>
          </w:p>
        </w:tc>
        <w:tc>
          <w:tcPr>
            <w:tcW w:w="0" w:type="auto"/>
            <w:vAlign w:val="center"/>
          </w:tcPr>
          <w:p w14:paraId="46CC6019" w14:textId="2EF4397E" w:rsidR="00A713F1" w:rsidRPr="00FA6777" w:rsidRDefault="00A713F1" w:rsidP="00FA6777">
            <w:pPr>
              <w:spacing w:before="0" w:after="0"/>
              <w:jc w:val="center"/>
              <w:rPr>
                <w:i/>
                <w:iCs/>
                <w:sz w:val="18"/>
                <w:szCs w:val="18"/>
                <w:lang w:val="es-CO"/>
              </w:rPr>
            </w:pPr>
            <w:r w:rsidRPr="00FA6777">
              <w:rPr>
                <w:i/>
                <w:iCs/>
                <w:sz w:val="18"/>
                <w:szCs w:val="18"/>
                <w:lang w:val="es-CO"/>
              </w:rPr>
              <w:t>VIDA ÚTIL</w:t>
            </w:r>
          </w:p>
        </w:tc>
        <w:tc>
          <w:tcPr>
            <w:tcW w:w="0" w:type="auto"/>
            <w:vAlign w:val="center"/>
          </w:tcPr>
          <w:p w14:paraId="298F7C5F" w14:textId="6A4E600D" w:rsidR="00A713F1" w:rsidRPr="00FA6777" w:rsidRDefault="00A713F1" w:rsidP="00FA6777">
            <w:pPr>
              <w:spacing w:before="0" w:after="0"/>
              <w:jc w:val="center"/>
              <w:rPr>
                <w:i/>
                <w:iCs/>
                <w:sz w:val="18"/>
                <w:szCs w:val="18"/>
                <w:lang w:val="es-CO"/>
              </w:rPr>
            </w:pPr>
            <w:r w:rsidRPr="00FA6777">
              <w:rPr>
                <w:i/>
                <w:iCs/>
                <w:sz w:val="18"/>
                <w:szCs w:val="18"/>
                <w:lang w:val="es-CO"/>
              </w:rPr>
              <w:t>UC ASOCIADAS</w:t>
            </w:r>
          </w:p>
        </w:tc>
      </w:tr>
      <w:tr w:rsidR="00DD5B6B" w:rsidRPr="00FA6777" w14:paraId="02191665" w14:textId="77777777" w:rsidTr="00FA6777">
        <w:trPr>
          <w:trHeight w:val="439"/>
          <w:jc w:val="center"/>
        </w:trPr>
        <w:tc>
          <w:tcPr>
            <w:tcW w:w="0" w:type="auto"/>
            <w:vAlign w:val="center"/>
          </w:tcPr>
          <w:p w14:paraId="087BC125" w14:textId="040737F1" w:rsidR="00DD5B6B" w:rsidRPr="00FA6777" w:rsidRDefault="00DD5B6B" w:rsidP="00FA6777">
            <w:pPr>
              <w:spacing w:before="0" w:after="0"/>
              <w:jc w:val="center"/>
              <w:rPr>
                <w:i/>
                <w:iCs/>
                <w:sz w:val="18"/>
                <w:szCs w:val="18"/>
                <w:lang w:val="es-CO"/>
              </w:rPr>
            </w:pPr>
            <w:r w:rsidRPr="00FA6777">
              <w:rPr>
                <w:i/>
                <w:iCs/>
                <w:sz w:val="18"/>
                <w:szCs w:val="18"/>
                <w:lang w:val="es-CO"/>
              </w:rPr>
              <w:t>2</w:t>
            </w:r>
          </w:p>
        </w:tc>
        <w:tc>
          <w:tcPr>
            <w:tcW w:w="0" w:type="auto"/>
            <w:vAlign w:val="center"/>
          </w:tcPr>
          <w:p w14:paraId="0EAD618B" w14:textId="23F9BCAB" w:rsidR="00DD5B6B" w:rsidRPr="00FA6777" w:rsidRDefault="00DD5B6B" w:rsidP="00FA6777">
            <w:pPr>
              <w:spacing w:before="0" w:after="0"/>
              <w:rPr>
                <w:i/>
                <w:iCs/>
                <w:sz w:val="18"/>
                <w:szCs w:val="18"/>
                <w:lang w:val="es-CO"/>
              </w:rPr>
            </w:pPr>
            <w:r w:rsidRPr="00FA6777">
              <w:rPr>
                <w:i/>
                <w:iCs/>
                <w:sz w:val="18"/>
                <w:szCs w:val="18"/>
                <w:lang w:val="es-CO"/>
              </w:rPr>
              <w:t>Compensación reactiva</w:t>
            </w:r>
          </w:p>
        </w:tc>
        <w:tc>
          <w:tcPr>
            <w:tcW w:w="0" w:type="auto"/>
            <w:vAlign w:val="center"/>
          </w:tcPr>
          <w:p w14:paraId="2C83B9D9" w14:textId="3EC7B4BA" w:rsidR="00DD5B6B" w:rsidRPr="00FA6777" w:rsidRDefault="00DD5B6B" w:rsidP="00FA6777">
            <w:pPr>
              <w:spacing w:before="0" w:after="0"/>
              <w:jc w:val="center"/>
              <w:rPr>
                <w:i/>
                <w:iCs/>
                <w:sz w:val="18"/>
                <w:szCs w:val="18"/>
                <w:lang w:val="es-CO"/>
              </w:rPr>
            </w:pPr>
            <w:r w:rsidRPr="00FA6777">
              <w:rPr>
                <w:i/>
                <w:iCs/>
                <w:sz w:val="18"/>
                <w:szCs w:val="18"/>
                <w:lang w:val="es-CO"/>
              </w:rPr>
              <w:t>4</w:t>
            </w:r>
          </w:p>
        </w:tc>
        <w:tc>
          <w:tcPr>
            <w:tcW w:w="0" w:type="auto"/>
            <w:vAlign w:val="center"/>
          </w:tcPr>
          <w:p w14:paraId="547D7955" w14:textId="0E6D1DCA" w:rsidR="00DD5B6B" w:rsidRPr="00FA6777" w:rsidRDefault="00DD5B6B" w:rsidP="00FA6777">
            <w:pPr>
              <w:spacing w:before="0" w:after="0"/>
              <w:jc w:val="center"/>
              <w:rPr>
                <w:i/>
                <w:iCs/>
                <w:sz w:val="18"/>
                <w:szCs w:val="18"/>
                <w:lang w:val="es-CO"/>
              </w:rPr>
            </w:pPr>
            <w:r w:rsidRPr="00FA6777">
              <w:rPr>
                <w:i/>
                <w:iCs/>
                <w:sz w:val="18"/>
                <w:szCs w:val="18"/>
                <w:lang w:val="es-CO"/>
              </w:rPr>
              <w:t>35</w:t>
            </w:r>
          </w:p>
        </w:tc>
        <w:tc>
          <w:tcPr>
            <w:tcW w:w="0" w:type="auto"/>
            <w:vAlign w:val="center"/>
          </w:tcPr>
          <w:p w14:paraId="6CA49C9D" w14:textId="0B1C762C" w:rsidR="00DD5B6B" w:rsidRPr="00FA6777" w:rsidRDefault="00DD5B6B" w:rsidP="00FA6777">
            <w:pPr>
              <w:spacing w:before="0" w:after="0"/>
              <w:rPr>
                <w:i/>
                <w:iCs/>
                <w:sz w:val="18"/>
                <w:szCs w:val="18"/>
                <w:lang w:val="es-CO"/>
              </w:rPr>
            </w:pPr>
            <w:r w:rsidRPr="00FA6777">
              <w:rPr>
                <w:i/>
                <w:iCs/>
                <w:sz w:val="18"/>
                <w:szCs w:val="18"/>
                <w:lang w:val="es-CO"/>
              </w:rPr>
              <w:t>Unidad constructiva especial</w:t>
            </w:r>
          </w:p>
        </w:tc>
      </w:tr>
      <w:tr w:rsidR="00DD5B6B" w:rsidRPr="00FA6777" w14:paraId="7FB751CC" w14:textId="77777777" w:rsidTr="00FA6777">
        <w:trPr>
          <w:trHeight w:val="439"/>
          <w:jc w:val="center"/>
        </w:trPr>
        <w:tc>
          <w:tcPr>
            <w:tcW w:w="0" w:type="auto"/>
            <w:vAlign w:val="center"/>
          </w:tcPr>
          <w:p w14:paraId="177CCEC6" w14:textId="5DEE3AC4" w:rsidR="00DD5B6B" w:rsidRPr="00FA6777" w:rsidRDefault="00DD5B6B" w:rsidP="00FA6777">
            <w:pPr>
              <w:spacing w:before="0" w:after="0"/>
              <w:jc w:val="center"/>
              <w:rPr>
                <w:i/>
                <w:iCs/>
                <w:sz w:val="18"/>
                <w:szCs w:val="18"/>
                <w:lang w:val="es-CO"/>
              </w:rPr>
            </w:pPr>
            <w:r w:rsidRPr="00FA6777">
              <w:rPr>
                <w:i/>
                <w:iCs/>
                <w:sz w:val="18"/>
                <w:szCs w:val="18"/>
                <w:lang w:val="es-CO"/>
              </w:rPr>
              <w:t>2</w:t>
            </w:r>
          </w:p>
        </w:tc>
        <w:tc>
          <w:tcPr>
            <w:tcW w:w="0" w:type="auto"/>
            <w:vAlign w:val="center"/>
          </w:tcPr>
          <w:p w14:paraId="2A15509C" w14:textId="175167AB" w:rsidR="00DD5B6B" w:rsidRPr="00FA6777" w:rsidRDefault="00DD5B6B" w:rsidP="00FA6777">
            <w:pPr>
              <w:spacing w:before="0" w:after="0"/>
              <w:rPr>
                <w:i/>
                <w:iCs/>
                <w:sz w:val="18"/>
                <w:szCs w:val="18"/>
                <w:lang w:val="es-CO"/>
              </w:rPr>
            </w:pPr>
            <w:r w:rsidRPr="00FA6777">
              <w:rPr>
                <w:i/>
                <w:iCs/>
                <w:sz w:val="18"/>
                <w:szCs w:val="18"/>
                <w:lang w:val="es-CO"/>
              </w:rPr>
              <w:t>Compensación reactiva</w:t>
            </w:r>
          </w:p>
        </w:tc>
        <w:tc>
          <w:tcPr>
            <w:tcW w:w="0" w:type="auto"/>
            <w:vAlign w:val="center"/>
          </w:tcPr>
          <w:p w14:paraId="0EC23084" w14:textId="2902C544" w:rsidR="00DD5B6B" w:rsidRPr="00FA6777" w:rsidRDefault="00DD5B6B" w:rsidP="00FA6777">
            <w:pPr>
              <w:spacing w:before="0" w:after="0"/>
              <w:jc w:val="center"/>
              <w:rPr>
                <w:i/>
                <w:iCs/>
                <w:sz w:val="18"/>
                <w:szCs w:val="18"/>
                <w:lang w:val="es-CO"/>
              </w:rPr>
            </w:pPr>
            <w:r w:rsidRPr="00FA6777">
              <w:rPr>
                <w:i/>
                <w:iCs/>
                <w:sz w:val="18"/>
                <w:szCs w:val="18"/>
                <w:lang w:val="es-CO"/>
              </w:rPr>
              <w:t>3</w:t>
            </w:r>
          </w:p>
        </w:tc>
        <w:tc>
          <w:tcPr>
            <w:tcW w:w="0" w:type="auto"/>
            <w:vAlign w:val="center"/>
          </w:tcPr>
          <w:p w14:paraId="4ACBE223" w14:textId="6A5699BE" w:rsidR="00DD5B6B" w:rsidRPr="00FA6777" w:rsidRDefault="00DD5B6B" w:rsidP="00FA6777">
            <w:pPr>
              <w:spacing w:before="0" w:after="0"/>
              <w:jc w:val="center"/>
              <w:rPr>
                <w:i/>
                <w:iCs/>
                <w:sz w:val="18"/>
                <w:szCs w:val="18"/>
                <w:lang w:val="es-CO"/>
              </w:rPr>
            </w:pPr>
            <w:r w:rsidRPr="00FA6777">
              <w:rPr>
                <w:i/>
                <w:iCs/>
                <w:sz w:val="18"/>
                <w:szCs w:val="18"/>
                <w:lang w:val="es-CO"/>
              </w:rPr>
              <w:t>35</w:t>
            </w:r>
          </w:p>
        </w:tc>
        <w:tc>
          <w:tcPr>
            <w:tcW w:w="0" w:type="auto"/>
            <w:vAlign w:val="center"/>
          </w:tcPr>
          <w:p w14:paraId="0AAF3CAC" w14:textId="1754F846" w:rsidR="00DD5B6B" w:rsidRPr="00FA6777" w:rsidRDefault="00DD5B6B" w:rsidP="00FA6777">
            <w:pPr>
              <w:spacing w:before="0" w:after="0"/>
              <w:rPr>
                <w:i/>
                <w:iCs/>
                <w:sz w:val="18"/>
                <w:szCs w:val="18"/>
                <w:lang w:val="es-CO"/>
              </w:rPr>
            </w:pPr>
            <w:r w:rsidRPr="00FA6777">
              <w:rPr>
                <w:i/>
                <w:iCs/>
                <w:sz w:val="18"/>
                <w:szCs w:val="18"/>
                <w:lang w:val="es-CO"/>
              </w:rPr>
              <w:t>Unidad constructiva especial</w:t>
            </w:r>
          </w:p>
        </w:tc>
      </w:tr>
      <w:tr w:rsidR="00DD5B6B" w:rsidRPr="00FA6777" w14:paraId="41BA2975" w14:textId="77777777" w:rsidTr="00FA6777">
        <w:trPr>
          <w:trHeight w:val="440"/>
          <w:jc w:val="center"/>
        </w:trPr>
        <w:tc>
          <w:tcPr>
            <w:tcW w:w="0" w:type="auto"/>
            <w:vAlign w:val="center"/>
          </w:tcPr>
          <w:p w14:paraId="36C9EB9B" w14:textId="31C55EA3" w:rsidR="00DD5B6B" w:rsidRPr="00FA6777" w:rsidRDefault="00DD5B6B" w:rsidP="00FA6777">
            <w:pPr>
              <w:spacing w:before="0" w:after="0"/>
              <w:jc w:val="center"/>
              <w:rPr>
                <w:i/>
                <w:iCs/>
                <w:sz w:val="18"/>
                <w:szCs w:val="18"/>
                <w:lang w:val="es-CO"/>
              </w:rPr>
            </w:pPr>
            <w:r w:rsidRPr="00FA6777">
              <w:rPr>
                <w:i/>
                <w:iCs/>
                <w:sz w:val="18"/>
                <w:szCs w:val="18"/>
                <w:lang w:val="es-CO"/>
              </w:rPr>
              <w:t>2</w:t>
            </w:r>
          </w:p>
        </w:tc>
        <w:tc>
          <w:tcPr>
            <w:tcW w:w="0" w:type="auto"/>
            <w:vAlign w:val="center"/>
          </w:tcPr>
          <w:p w14:paraId="7B6073BE" w14:textId="7BCC5872" w:rsidR="00DD5B6B" w:rsidRPr="00FA6777" w:rsidRDefault="00DD5B6B" w:rsidP="00FA6777">
            <w:pPr>
              <w:spacing w:before="0" w:after="0"/>
              <w:rPr>
                <w:i/>
                <w:iCs/>
                <w:sz w:val="18"/>
                <w:szCs w:val="18"/>
                <w:lang w:val="es-CO"/>
              </w:rPr>
            </w:pPr>
            <w:r w:rsidRPr="00FA6777">
              <w:rPr>
                <w:i/>
                <w:iCs/>
                <w:sz w:val="18"/>
                <w:szCs w:val="18"/>
                <w:lang w:val="es-CO"/>
              </w:rPr>
              <w:t>Compensación reactiva</w:t>
            </w:r>
          </w:p>
        </w:tc>
        <w:tc>
          <w:tcPr>
            <w:tcW w:w="0" w:type="auto"/>
            <w:vAlign w:val="center"/>
          </w:tcPr>
          <w:p w14:paraId="3E454971" w14:textId="696A0752" w:rsidR="00DD5B6B" w:rsidRPr="00FA6777" w:rsidRDefault="00DD5B6B" w:rsidP="00FA6777">
            <w:pPr>
              <w:spacing w:before="0" w:after="0"/>
              <w:jc w:val="center"/>
              <w:rPr>
                <w:i/>
                <w:iCs/>
                <w:sz w:val="18"/>
                <w:szCs w:val="18"/>
                <w:lang w:val="es-CO"/>
              </w:rPr>
            </w:pPr>
            <w:r w:rsidRPr="00FA6777">
              <w:rPr>
                <w:i/>
                <w:iCs/>
                <w:sz w:val="18"/>
                <w:szCs w:val="18"/>
                <w:lang w:val="es-CO"/>
              </w:rPr>
              <w:t>2</w:t>
            </w:r>
          </w:p>
        </w:tc>
        <w:tc>
          <w:tcPr>
            <w:tcW w:w="0" w:type="auto"/>
            <w:vAlign w:val="center"/>
          </w:tcPr>
          <w:p w14:paraId="031F52FD" w14:textId="23A7C303" w:rsidR="00DD5B6B" w:rsidRPr="00FA6777" w:rsidRDefault="00DD5B6B" w:rsidP="00FA6777">
            <w:pPr>
              <w:spacing w:before="0" w:after="0"/>
              <w:jc w:val="center"/>
              <w:rPr>
                <w:i/>
                <w:iCs/>
                <w:sz w:val="18"/>
                <w:szCs w:val="18"/>
                <w:lang w:val="es-CO"/>
              </w:rPr>
            </w:pPr>
            <w:r w:rsidRPr="00FA6777">
              <w:rPr>
                <w:i/>
                <w:iCs/>
                <w:sz w:val="18"/>
                <w:szCs w:val="18"/>
                <w:lang w:val="es-CO"/>
              </w:rPr>
              <w:t>35</w:t>
            </w:r>
          </w:p>
        </w:tc>
        <w:tc>
          <w:tcPr>
            <w:tcW w:w="0" w:type="auto"/>
            <w:vAlign w:val="center"/>
          </w:tcPr>
          <w:p w14:paraId="63BF6CB4" w14:textId="75F104FB" w:rsidR="00DD5B6B" w:rsidRPr="00FA6777" w:rsidRDefault="00DD5B6B" w:rsidP="00FA6777">
            <w:pPr>
              <w:spacing w:before="0" w:after="0"/>
              <w:rPr>
                <w:i/>
                <w:iCs/>
                <w:sz w:val="18"/>
                <w:szCs w:val="18"/>
                <w:lang w:val="es-CO"/>
              </w:rPr>
            </w:pPr>
            <w:r w:rsidRPr="00FA6777">
              <w:rPr>
                <w:i/>
                <w:iCs/>
                <w:sz w:val="18"/>
                <w:szCs w:val="18"/>
                <w:lang w:val="es-CO"/>
              </w:rPr>
              <w:t>Unidad constructiva especial</w:t>
            </w:r>
          </w:p>
        </w:tc>
      </w:tr>
    </w:tbl>
    <w:p w14:paraId="2ECE8723" w14:textId="360CD479" w:rsidR="00227F00" w:rsidRPr="00CF4EA6" w:rsidRDefault="00227F00" w:rsidP="00227F00">
      <w:pPr>
        <w:spacing w:before="240" w:after="0"/>
        <w:rPr>
          <w:i/>
          <w:iCs/>
          <w:sz w:val="22"/>
          <w:szCs w:val="22"/>
          <w:lang w:val="es-CO"/>
        </w:rPr>
      </w:pPr>
      <w:r w:rsidRPr="00CF4EA6">
        <w:rPr>
          <w:i/>
          <w:iCs/>
          <w:sz w:val="22"/>
          <w:szCs w:val="22"/>
          <w:lang w:val="es-CO"/>
        </w:rPr>
        <w:t>(…)</w:t>
      </w:r>
      <w:r w:rsidR="00851DD1">
        <w:rPr>
          <w:i/>
          <w:iCs/>
          <w:sz w:val="22"/>
          <w:szCs w:val="22"/>
          <w:lang w:val="es-CO"/>
        </w:rPr>
        <w:t>”</w:t>
      </w:r>
    </w:p>
    <w:p w14:paraId="166206FB" w14:textId="17CEA074" w:rsidR="00BB1B58" w:rsidRDefault="00C70D03" w:rsidP="00CF4EA6">
      <w:pPr>
        <w:spacing w:before="240" w:after="0"/>
        <w:rPr>
          <w:lang w:val="es-CO"/>
        </w:rPr>
      </w:pPr>
      <w:r>
        <w:rPr>
          <w:lang w:val="es-CO"/>
        </w:rPr>
        <w:t>S</w:t>
      </w:r>
      <w:r w:rsidR="00341499">
        <w:rPr>
          <w:lang w:val="es-CO"/>
        </w:rPr>
        <w:t xml:space="preserve">e resalta que, para </w:t>
      </w:r>
      <w:r w:rsidR="004F23BE">
        <w:rPr>
          <w:lang w:val="es-CO"/>
        </w:rPr>
        <w:t xml:space="preserve">el </w:t>
      </w:r>
      <w:r w:rsidR="00341499">
        <w:rPr>
          <w:lang w:val="es-CO"/>
        </w:rPr>
        <w:t>nivel de tensión 2, la Resolución CREG 015 de 2018 contempla UC de condensadores en poste</w:t>
      </w:r>
      <w:r w:rsidR="00C60AE3">
        <w:rPr>
          <w:lang w:val="es-CO"/>
        </w:rPr>
        <w:t>,</w:t>
      </w:r>
      <w:r>
        <w:rPr>
          <w:lang w:val="es-CO"/>
        </w:rPr>
        <w:t xml:space="preserve"> así:</w:t>
      </w:r>
      <w:r w:rsidR="00C60AE3">
        <w:rPr>
          <w:lang w:val="es-CO"/>
        </w:rPr>
        <w:t xml:space="preserve">  </w:t>
      </w:r>
    </w:p>
    <w:p w14:paraId="5D63A72A" w14:textId="77777777" w:rsidR="00CF4EA6" w:rsidRPr="00C70D03" w:rsidRDefault="00CF4EA6" w:rsidP="00CF4EA6">
      <w:pPr>
        <w:spacing w:before="240" w:after="0"/>
        <w:rPr>
          <w:i/>
          <w:iCs/>
          <w:sz w:val="22"/>
          <w:szCs w:val="22"/>
          <w:lang w:val="es-CO"/>
        </w:rPr>
      </w:pPr>
      <w:r w:rsidRPr="00C70D03">
        <w:rPr>
          <w:i/>
          <w:iCs/>
          <w:sz w:val="22"/>
          <w:szCs w:val="22"/>
          <w:lang w:val="es-CO"/>
        </w:rPr>
        <w:t>14.2 UC ASOCIADAS A LÍNEAS.</w:t>
      </w:r>
    </w:p>
    <w:p w14:paraId="2793CC52" w14:textId="77777777" w:rsidR="00C70D03" w:rsidRPr="00CF4EA6" w:rsidRDefault="00C70D03" w:rsidP="00C70D03">
      <w:pPr>
        <w:spacing w:before="240" w:after="0"/>
        <w:rPr>
          <w:i/>
          <w:iCs/>
          <w:sz w:val="22"/>
          <w:szCs w:val="22"/>
          <w:lang w:val="es-CO"/>
        </w:rPr>
      </w:pPr>
      <w:r w:rsidRPr="00CF4EA6">
        <w:rPr>
          <w:i/>
          <w:iCs/>
          <w:sz w:val="22"/>
          <w:szCs w:val="22"/>
          <w:lang w:val="es-CO"/>
        </w:rPr>
        <w:t>(…)</w:t>
      </w:r>
    </w:p>
    <w:p w14:paraId="48D52C31" w14:textId="77777777" w:rsidR="00CF4EA6" w:rsidRPr="00C70D03" w:rsidRDefault="00CF4EA6" w:rsidP="00CF4EA6">
      <w:pPr>
        <w:spacing w:before="240" w:after="0"/>
        <w:jc w:val="center"/>
        <w:rPr>
          <w:i/>
          <w:iCs/>
          <w:sz w:val="22"/>
          <w:szCs w:val="22"/>
          <w:lang w:val="es-CO"/>
        </w:rPr>
      </w:pPr>
      <w:r w:rsidRPr="00C70D03">
        <w:rPr>
          <w:i/>
          <w:iCs/>
          <w:sz w:val="22"/>
          <w:szCs w:val="22"/>
          <w:lang w:val="es-CO"/>
        </w:rPr>
        <w:t>Tabla 19. UC de equipos de nivel de tensión 2</w:t>
      </w:r>
    </w:p>
    <w:tbl>
      <w:tblPr>
        <w:tblStyle w:val="Tablaconcuadrcula"/>
        <w:tblW w:w="0" w:type="auto"/>
        <w:jc w:val="center"/>
        <w:tblLook w:val="04A0" w:firstRow="1" w:lastRow="0" w:firstColumn="1" w:lastColumn="0" w:noHBand="0" w:noVBand="1"/>
      </w:tblPr>
      <w:tblGrid>
        <w:gridCol w:w="832"/>
        <w:gridCol w:w="5105"/>
      </w:tblGrid>
      <w:tr w:rsidR="00D721B9" w14:paraId="5E408646" w14:textId="77777777" w:rsidTr="00046533">
        <w:trPr>
          <w:jc w:val="center"/>
        </w:trPr>
        <w:tc>
          <w:tcPr>
            <w:tcW w:w="0" w:type="auto"/>
          </w:tcPr>
          <w:p w14:paraId="350D2A1F" w14:textId="77777777" w:rsidR="00D721B9" w:rsidRPr="005064DA" w:rsidRDefault="00D721B9" w:rsidP="00046533">
            <w:pPr>
              <w:spacing w:before="0" w:after="0"/>
              <w:jc w:val="center"/>
              <w:rPr>
                <w:i/>
                <w:iCs/>
                <w:sz w:val="18"/>
                <w:szCs w:val="18"/>
                <w:lang w:val="es-CO"/>
              </w:rPr>
            </w:pPr>
            <w:r w:rsidRPr="005064DA">
              <w:rPr>
                <w:i/>
                <w:iCs/>
                <w:sz w:val="18"/>
                <w:szCs w:val="18"/>
                <w:lang w:val="es-CO"/>
              </w:rPr>
              <w:t>UC</w:t>
            </w:r>
          </w:p>
        </w:tc>
        <w:tc>
          <w:tcPr>
            <w:tcW w:w="0" w:type="auto"/>
          </w:tcPr>
          <w:p w14:paraId="5515A454" w14:textId="77777777" w:rsidR="00D721B9" w:rsidRPr="005064DA" w:rsidRDefault="00D721B9" w:rsidP="00046533">
            <w:pPr>
              <w:spacing w:before="0" w:after="0"/>
              <w:jc w:val="center"/>
              <w:rPr>
                <w:i/>
                <w:iCs/>
                <w:sz w:val="18"/>
                <w:szCs w:val="18"/>
                <w:lang w:val="es-CO"/>
              </w:rPr>
            </w:pPr>
            <w:r w:rsidRPr="005064DA">
              <w:rPr>
                <w:i/>
                <w:iCs/>
                <w:sz w:val="18"/>
                <w:szCs w:val="18"/>
                <w:lang w:val="es-CO"/>
              </w:rPr>
              <w:t>DESCRIPCIÓN</w:t>
            </w:r>
          </w:p>
        </w:tc>
      </w:tr>
      <w:tr w:rsidR="00D721B9" w14:paraId="133CA859" w14:textId="77777777" w:rsidTr="00046533">
        <w:trPr>
          <w:jc w:val="center"/>
        </w:trPr>
        <w:tc>
          <w:tcPr>
            <w:tcW w:w="0" w:type="auto"/>
          </w:tcPr>
          <w:p w14:paraId="6C6C033E" w14:textId="77777777" w:rsidR="00D721B9" w:rsidRPr="005064DA" w:rsidRDefault="00D721B9" w:rsidP="00046533">
            <w:pPr>
              <w:spacing w:before="0" w:after="0"/>
              <w:jc w:val="center"/>
              <w:rPr>
                <w:i/>
                <w:iCs/>
                <w:sz w:val="18"/>
                <w:szCs w:val="18"/>
                <w:lang w:val="es-CO"/>
              </w:rPr>
            </w:pPr>
            <w:r w:rsidRPr="005064DA">
              <w:rPr>
                <w:i/>
                <w:iCs/>
                <w:sz w:val="18"/>
                <w:szCs w:val="18"/>
                <w:lang w:val="es-CO"/>
              </w:rPr>
              <w:t>(…)</w:t>
            </w:r>
          </w:p>
        </w:tc>
        <w:tc>
          <w:tcPr>
            <w:tcW w:w="0" w:type="auto"/>
          </w:tcPr>
          <w:p w14:paraId="06C55D3C" w14:textId="77777777" w:rsidR="00D721B9" w:rsidRPr="005064DA" w:rsidRDefault="00D721B9" w:rsidP="00046533">
            <w:pPr>
              <w:spacing w:before="0" w:after="0"/>
              <w:jc w:val="center"/>
              <w:rPr>
                <w:i/>
                <w:iCs/>
                <w:sz w:val="18"/>
                <w:szCs w:val="18"/>
                <w:lang w:val="es-CO"/>
              </w:rPr>
            </w:pPr>
            <w:r w:rsidRPr="005064DA">
              <w:rPr>
                <w:i/>
                <w:iCs/>
                <w:sz w:val="18"/>
                <w:szCs w:val="18"/>
                <w:lang w:val="es-CO"/>
              </w:rPr>
              <w:t>(…)</w:t>
            </w:r>
          </w:p>
        </w:tc>
      </w:tr>
      <w:tr w:rsidR="00D721B9" w14:paraId="21ABED0D" w14:textId="77777777" w:rsidTr="00046533">
        <w:trPr>
          <w:jc w:val="center"/>
        </w:trPr>
        <w:tc>
          <w:tcPr>
            <w:tcW w:w="0" w:type="auto"/>
          </w:tcPr>
          <w:p w14:paraId="191311F6" w14:textId="77777777" w:rsidR="00D721B9" w:rsidRPr="005064DA" w:rsidRDefault="00D721B9" w:rsidP="00046533">
            <w:pPr>
              <w:spacing w:before="0" w:after="0"/>
              <w:jc w:val="left"/>
              <w:rPr>
                <w:i/>
                <w:iCs/>
                <w:sz w:val="18"/>
                <w:szCs w:val="18"/>
                <w:lang w:val="es-CO"/>
              </w:rPr>
            </w:pPr>
            <w:r w:rsidRPr="005064DA">
              <w:rPr>
                <w:i/>
                <w:iCs/>
                <w:sz w:val="18"/>
                <w:szCs w:val="18"/>
                <w:lang w:val="es-CO"/>
              </w:rPr>
              <w:t>N2EQ4</w:t>
            </w:r>
          </w:p>
        </w:tc>
        <w:tc>
          <w:tcPr>
            <w:tcW w:w="0" w:type="auto"/>
          </w:tcPr>
          <w:p w14:paraId="0BA4C39E" w14:textId="4344797E" w:rsidR="00D721B9" w:rsidRPr="005064DA" w:rsidRDefault="00D721B9" w:rsidP="00046533">
            <w:pPr>
              <w:spacing w:before="0" w:after="0"/>
              <w:jc w:val="left"/>
              <w:rPr>
                <w:i/>
                <w:iCs/>
                <w:sz w:val="18"/>
                <w:szCs w:val="18"/>
                <w:lang w:val="es-CO"/>
              </w:rPr>
            </w:pPr>
            <w:r w:rsidRPr="005064DA">
              <w:rPr>
                <w:i/>
                <w:iCs/>
                <w:sz w:val="18"/>
                <w:szCs w:val="18"/>
                <w:lang w:val="es-CO"/>
              </w:rPr>
              <w:t>Banco de condensadores montaje en poste 150 kVAr</w:t>
            </w:r>
            <w:r>
              <w:rPr>
                <w:i/>
                <w:iCs/>
                <w:sz w:val="18"/>
                <w:szCs w:val="18"/>
                <w:lang w:val="es-CO"/>
              </w:rPr>
              <w:t xml:space="preserve"> </w:t>
            </w:r>
            <w:r w:rsidRPr="005064DA">
              <w:rPr>
                <w:i/>
                <w:iCs/>
                <w:sz w:val="18"/>
                <w:szCs w:val="18"/>
                <w:lang w:val="es-CO"/>
              </w:rPr>
              <w:t>(…)</w:t>
            </w:r>
          </w:p>
        </w:tc>
      </w:tr>
      <w:tr w:rsidR="00D721B9" w14:paraId="6F9EDE3B" w14:textId="77777777" w:rsidTr="00046533">
        <w:trPr>
          <w:jc w:val="center"/>
        </w:trPr>
        <w:tc>
          <w:tcPr>
            <w:tcW w:w="0" w:type="auto"/>
          </w:tcPr>
          <w:p w14:paraId="5BB1D06E" w14:textId="77777777" w:rsidR="00D721B9" w:rsidRPr="005064DA" w:rsidRDefault="00D721B9" w:rsidP="00046533">
            <w:pPr>
              <w:spacing w:before="0" w:after="0"/>
              <w:jc w:val="left"/>
              <w:rPr>
                <w:i/>
                <w:iCs/>
                <w:sz w:val="18"/>
                <w:szCs w:val="18"/>
                <w:lang w:val="es-CO"/>
              </w:rPr>
            </w:pPr>
            <w:r w:rsidRPr="005064DA">
              <w:rPr>
                <w:i/>
                <w:iCs/>
                <w:sz w:val="18"/>
                <w:szCs w:val="18"/>
                <w:lang w:val="es-CO"/>
              </w:rPr>
              <w:t>N2EQ5</w:t>
            </w:r>
          </w:p>
        </w:tc>
        <w:tc>
          <w:tcPr>
            <w:tcW w:w="0" w:type="auto"/>
          </w:tcPr>
          <w:p w14:paraId="4F95FB74" w14:textId="4F5D3607" w:rsidR="00D721B9" w:rsidRPr="005064DA" w:rsidRDefault="00D721B9" w:rsidP="00046533">
            <w:pPr>
              <w:spacing w:before="0" w:after="0"/>
              <w:jc w:val="left"/>
              <w:rPr>
                <w:i/>
                <w:iCs/>
                <w:sz w:val="18"/>
                <w:szCs w:val="18"/>
                <w:lang w:val="es-CO"/>
              </w:rPr>
            </w:pPr>
            <w:r w:rsidRPr="005064DA">
              <w:rPr>
                <w:i/>
                <w:iCs/>
                <w:sz w:val="18"/>
                <w:szCs w:val="18"/>
                <w:lang w:val="es-CO"/>
              </w:rPr>
              <w:t>Banco de condensadores montaje en poste 300 kVAr</w:t>
            </w:r>
            <w:r>
              <w:rPr>
                <w:i/>
                <w:iCs/>
                <w:sz w:val="18"/>
                <w:szCs w:val="18"/>
                <w:lang w:val="es-CO"/>
              </w:rPr>
              <w:t xml:space="preserve"> </w:t>
            </w:r>
            <w:r w:rsidRPr="005064DA">
              <w:rPr>
                <w:i/>
                <w:iCs/>
                <w:sz w:val="18"/>
                <w:szCs w:val="18"/>
                <w:lang w:val="es-CO"/>
              </w:rPr>
              <w:t>(…)</w:t>
            </w:r>
          </w:p>
        </w:tc>
      </w:tr>
      <w:tr w:rsidR="00D721B9" w14:paraId="5C615FCB" w14:textId="77777777" w:rsidTr="00046533">
        <w:trPr>
          <w:jc w:val="center"/>
        </w:trPr>
        <w:tc>
          <w:tcPr>
            <w:tcW w:w="0" w:type="auto"/>
          </w:tcPr>
          <w:p w14:paraId="3CC06B34" w14:textId="77777777" w:rsidR="00D721B9" w:rsidRPr="005064DA" w:rsidRDefault="00D721B9" w:rsidP="00046533">
            <w:pPr>
              <w:spacing w:before="0" w:after="0"/>
              <w:jc w:val="left"/>
              <w:rPr>
                <w:i/>
                <w:iCs/>
                <w:sz w:val="18"/>
                <w:szCs w:val="18"/>
                <w:lang w:val="es-CO"/>
              </w:rPr>
            </w:pPr>
            <w:r w:rsidRPr="005064DA">
              <w:rPr>
                <w:i/>
                <w:iCs/>
                <w:sz w:val="18"/>
                <w:szCs w:val="18"/>
                <w:lang w:val="es-CO"/>
              </w:rPr>
              <w:t>N2EQ6</w:t>
            </w:r>
          </w:p>
        </w:tc>
        <w:tc>
          <w:tcPr>
            <w:tcW w:w="0" w:type="auto"/>
          </w:tcPr>
          <w:p w14:paraId="3CDD87C7" w14:textId="6AA711C8" w:rsidR="00D721B9" w:rsidRPr="005064DA" w:rsidRDefault="00D721B9" w:rsidP="00046533">
            <w:pPr>
              <w:spacing w:before="0" w:after="0"/>
              <w:jc w:val="left"/>
              <w:rPr>
                <w:i/>
                <w:iCs/>
                <w:sz w:val="18"/>
                <w:szCs w:val="18"/>
                <w:lang w:val="es-CO"/>
              </w:rPr>
            </w:pPr>
            <w:r w:rsidRPr="005064DA">
              <w:rPr>
                <w:i/>
                <w:iCs/>
                <w:sz w:val="18"/>
                <w:szCs w:val="18"/>
                <w:lang w:val="es-CO"/>
              </w:rPr>
              <w:t>Banco de condensadores montaje en poste 450 kVAr</w:t>
            </w:r>
            <w:r>
              <w:rPr>
                <w:i/>
                <w:iCs/>
                <w:sz w:val="18"/>
                <w:szCs w:val="18"/>
                <w:lang w:val="es-CO"/>
              </w:rPr>
              <w:t xml:space="preserve"> </w:t>
            </w:r>
            <w:r w:rsidRPr="005064DA">
              <w:rPr>
                <w:i/>
                <w:iCs/>
                <w:sz w:val="18"/>
                <w:szCs w:val="18"/>
                <w:lang w:val="es-CO"/>
              </w:rPr>
              <w:t>(…)</w:t>
            </w:r>
          </w:p>
        </w:tc>
      </w:tr>
      <w:tr w:rsidR="00D721B9" w14:paraId="03045DDA" w14:textId="77777777" w:rsidTr="00046533">
        <w:trPr>
          <w:jc w:val="center"/>
        </w:trPr>
        <w:tc>
          <w:tcPr>
            <w:tcW w:w="0" w:type="auto"/>
          </w:tcPr>
          <w:p w14:paraId="1EA4D134" w14:textId="77777777" w:rsidR="00D721B9" w:rsidRPr="005064DA" w:rsidRDefault="00D721B9" w:rsidP="00046533">
            <w:pPr>
              <w:spacing w:before="0" w:after="0"/>
              <w:jc w:val="left"/>
              <w:rPr>
                <w:i/>
                <w:iCs/>
                <w:sz w:val="18"/>
                <w:szCs w:val="18"/>
                <w:lang w:val="es-CO"/>
              </w:rPr>
            </w:pPr>
            <w:r w:rsidRPr="005064DA">
              <w:rPr>
                <w:i/>
                <w:iCs/>
                <w:sz w:val="18"/>
                <w:szCs w:val="18"/>
                <w:lang w:val="es-CO"/>
              </w:rPr>
              <w:t>N2EQ7</w:t>
            </w:r>
          </w:p>
        </w:tc>
        <w:tc>
          <w:tcPr>
            <w:tcW w:w="0" w:type="auto"/>
          </w:tcPr>
          <w:p w14:paraId="33FA854B" w14:textId="1914D6FE" w:rsidR="00D721B9" w:rsidRPr="005064DA" w:rsidRDefault="00D721B9" w:rsidP="00046533">
            <w:pPr>
              <w:spacing w:before="0" w:after="0"/>
              <w:jc w:val="left"/>
              <w:rPr>
                <w:i/>
                <w:iCs/>
                <w:sz w:val="18"/>
                <w:szCs w:val="18"/>
                <w:lang w:val="es-CO"/>
              </w:rPr>
            </w:pPr>
            <w:r w:rsidRPr="005064DA">
              <w:rPr>
                <w:i/>
                <w:iCs/>
                <w:sz w:val="18"/>
                <w:szCs w:val="18"/>
                <w:lang w:val="es-CO"/>
              </w:rPr>
              <w:t>Banco de condensadores montaje en poste 600 kVAr</w:t>
            </w:r>
            <w:r>
              <w:rPr>
                <w:i/>
                <w:iCs/>
                <w:sz w:val="18"/>
                <w:szCs w:val="18"/>
                <w:lang w:val="es-CO"/>
              </w:rPr>
              <w:t xml:space="preserve"> </w:t>
            </w:r>
            <w:r w:rsidRPr="005064DA">
              <w:rPr>
                <w:i/>
                <w:iCs/>
                <w:sz w:val="18"/>
                <w:szCs w:val="18"/>
                <w:lang w:val="es-CO"/>
              </w:rPr>
              <w:t>(…)</w:t>
            </w:r>
          </w:p>
        </w:tc>
      </w:tr>
      <w:tr w:rsidR="00D721B9" w14:paraId="43D8122A" w14:textId="77777777" w:rsidTr="00046533">
        <w:trPr>
          <w:jc w:val="center"/>
        </w:trPr>
        <w:tc>
          <w:tcPr>
            <w:tcW w:w="0" w:type="auto"/>
          </w:tcPr>
          <w:p w14:paraId="59912A98" w14:textId="77777777" w:rsidR="00D721B9" w:rsidRPr="005064DA" w:rsidRDefault="00D721B9" w:rsidP="00046533">
            <w:pPr>
              <w:spacing w:before="0" w:after="0"/>
              <w:jc w:val="left"/>
              <w:rPr>
                <w:i/>
                <w:iCs/>
                <w:sz w:val="18"/>
                <w:szCs w:val="18"/>
                <w:lang w:val="es-CO"/>
              </w:rPr>
            </w:pPr>
            <w:r w:rsidRPr="005064DA">
              <w:rPr>
                <w:i/>
                <w:iCs/>
                <w:sz w:val="18"/>
                <w:szCs w:val="18"/>
                <w:lang w:val="es-CO"/>
              </w:rPr>
              <w:t>N2EQ8</w:t>
            </w:r>
          </w:p>
        </w:tc>
        <w:tc>
          <w:tcPr>
            <w:tcW w:w="0" w:type="auto"/>
          </w:tcPr>
          <w:p w14:paraId="311BDE1E" w14:textId="43C98A35" w:rsidR="00D721B9" w:rsidRPr="005064DA" w:rsidRDefault="00D721B9" w:rsidP="00046533">
            <w:pPr>
              <w:spacing w:before="0" w:after="0"/>
              <w:jc w:val="left"/>
              <w:rPr>
                <w:i/>
                <w:iCs/>
                <w:sz w:val="18"/>
                <w:szCs w:val="18"/>
                <w:lang w:val="es-CO"/>
              </w:rPr>
            </w:pPr>
            <w:r w:rsidRPr="005064DA">
              <w:rPr>
                <w:i/>
                <w:iCs/>
                <w:sz w:val="18"/>
                <w:szCs w:val="18"/>
                <w:lang w:val="es-CO"/>
              </w:rPr>
              <w:t>Banco de condensadores montaje en poste 900 kVAr</w:t>
            </w:r>
            <w:r>
              <w:rPr>
                <w:i/>
                <w:iCs/>
                <w:sz w:val="18"/>
                <w:szCs w:val="18"/>
                <w:lang w:val="es-CO"/>
              </w:rPr>
              <w:t xml:space="preserve"> </w:t>
            </w:r>
            <w:r w:rsidRPr="005064DA">
              <w:rPr>
                <w:i/>
                <w:iCs/>
                <w:sz w:val="18"/>
                <w:szCs w:val="18"/>
                <w:lang w:val="es-CO"/>
              </w:rPr>
              <w:t>(…)</w:t>
            </w:r>
          </w:p>
        </w:tc>
      </w:tr>
      <w:tr w:rsidR="00D721B9" w14:paraId="221C16CC" w14:textId="77777777" w:rsidTr="00046533">
        <w:trPr>
          <w:jc w:val="center"/>
        </w:trPr>
        <w:tc>
          <w:tcPr>
            <w:tcW w:w="0" w:type="auto"/>
          </w:tcPr>
          <w:p w14:paraId="533DB1F1" w14:textId="77777777" w:rsidR="00D721B9" w:rsidRPr="005064DA" w:rsidRDefault="00D721B9" w:rsidP="00046533">
            <w:pPr>
              <w:spacing w:before="0" w:after="0"/>
              <w:jc w:val="center"/>
              <w:rPr>
                <w:i/>
                <w:iCs/>
                <w:sz w:val="18"/>
                <w:szCs w:val="18"/>
                <w:lang w:val="es-CO"/>
              </w:rPr>
            </w:pPr>
            <w:r w:rsidRPr="005064DA">
              <w:rPr>
                <w:i/>
                <w:iCs/>
                <w:sz w:val="18"/>
                <w:szCs w:val="18"/>
                <w:lang w:val="es-CO"/>
              </w:rPr>
              <w:t>(…)</w:t>
            </w:r>
          </w:p>
        </w:tc>
        <w:tc>
          <w:tcPr>
            <w:tcW w:w="0" w:type="auto"/>
          </w:tcPr>
          <w:p w14:paraId="00E05ED8" w14:textId="77777777" w:rsidR="00D721B9" w:rsidRPr="005064DA" w:rsidRDefault="00D721B9" w:rsidP="00046533">
            <w:pPr>
              <w:spacing w:before="0" w:after="0"/>
              <w:jc w:val="center"/>
              <w:rPr>
                <w:i/>
                <w:iCs/>
                <w:sz w:val="18"/>
                <w:szCs w:val="18"/>
                <w:lang w:val="es-CO"/>
              </w:rPr>
            </w:pPr>
            <w:r w:rsidRPr="005064DA">
              <w:rPr>
                <w:i/>
                <w:iCs/>
                <w:sz w:val="18"/>
                <w:szCs w:val="18"/>
                <w:lang w:val="es-CO"/>
              </w:rPr>
              <w:t>(…)</w:t>
            </w:r>
          </w:p>
        </w:tc>
      </w:tr>
    </w:tbl>
    <w:p w14:paraId="0E266E74" w14:textId="77777777" w:rsidR="00C70D03" w:rsidRPr="00CF4EA6" w:rsidRDefault="00C70D03" w:rsidP="00C70D03">
      <w:pPr>
        <w:spacing w:before="240" w:after="0"/>
        <w:rPr>
          <w:i/>
          <w:iCs/>
          <w:sz w:val="22"/>
          <w:szCs w:val="22"/>
          <w:lang w:val="es-CO"/>
        </w:rPr>
      </w:pPr>
      <w:r w:rsidRPr="00CF4EA6">
        <w:rPr>
          <w:i/>
          <w:iCs/>
          <w:sz w:val="22"/>
          <w:szCs w:val="22"/>
          <w:lang w:val="es-CO"/>
        </w:rPr>
        <w:t>(…)</w:t>
      </w:r>
    </w:p>
    <w:p w14:paraId="5EA542D1" w14:textId="3098685C" w:rsidR="006871F5" w:rsidRDefault="0010596F" w:rsidP="00676B82">
      <w:pPr>
        <w:spacing w:before="240" w:after="0"/>
        <w:rPr>
          <w:lang w:val="es-CO"/>
        </w:rPr>
      </w:pPr>
      <w:r>
        <w:rPr>
          <w:lang w:val="es-CO"/>
        </w:rPr>
        <w:t>Con lo anterior, se evidencia que l</w:t>
      </w:r>
      <w:r w:rsidR="006B79BC">
        <w:rPr>
          <w:lang w:val="es-CO"/>
        </w:rPr>
        <w:t xml:space="preserve">as </w:t>
      </w:r>
      <w:r w:rsidR="002634C8">
        <w:rPr>
          <w:lang w:val="es-CO"/>
        </w:rPr>
        <w:t xml:space="preserve">características de las UC </w:t>
      </w:r>
      <w:r w:rsidR="002634C8" w:rsidRPr="002634C8">
        <w:rPr>
          <w:lang w:val="es-CO"/>
        </w:rPr>
        <w:t>N2EQ4</w:t>
      </w:r>
      <w:r w:rsidR="002634C8">
        <w:rPr>
          <w:lang w:val="es-CO"/>
        </w:rPr>
        <w:t xml:space="preserve">, </w:t>
      </w:r>
      <w:r w:rsidR="002634C8" w:rsidRPr="002634C8">
        <w:rPr>
          <w:lang w:val="es-CO"/>
        </w:rPr>
        <w:t>N2EQ</w:t>
      </w:r>
      <w:r w:rsidR="002634C8">
        <w:rPr>
          <w:lang w:val="es-CO"/>
        </w:rPr>
        <w:t xml:space="preserve">5, </w:t>
      </w:r>
      <w:r w:rsidR="002634C8" w:rsidRPr="002634C8">
        <w:rPr>
          <w:lang w:val="es-CO"/>
        </w:rPr>
        <w:t>N2EQ</w:t>
      </w:r>
      <w:r w:rsidR="002634C8">
        <w:rPr>
          <w:lang w:val="es-CO"/>
        </w:rPr>
        <w:t xml:space="preserve">6, </w:t>
      </w:r>
      <w:r w:rsidR="002634C8" w:rsidRPr="002634C8">
        <w:rPr>
          <w:lang w:val="es-CO"/>
        </w:rPr>
        <w:t>N2EQ</w:t>
      </w:r>
      <w:r w:rsidR="002634C8">
        <w:rPr>
          <w:lang w:val="es-CO"/>
        </w:rPr>
        <w:t xml:space="preserve">7 y </w:t>
      </w:r>
      <w:r w:rsidR="002634C8" w:rsidRPr="002634C8">
        <w:rPr>
          <w:lang w:val="es-CO"/>
        </w:rPr>
        <w:t>N2EQ</w:t>
      </w:r>
      <w:r w:rsidR="002634C8">
        <w:rPr>
          <w:lang w:val="es-CO"/>
        </w:rPr>
        <w:t>8</w:t>
      </w:r>
      <w:r w:rsidR="00DC3C36">
        <w:rPr>
          <w:lang w:val="es-CO"/>
        </w:rPr>
        <w:t>, d</w:t>
      </w:r>
      <w:r w:rsidR="00F12D6F">
        <w:rPr>
          <w:lang w:val="es-CO"/>
        </w:rPr>
        <w:t>efinidas en términos de potencia reactiva y ubicación</w:t>
      </w:r>
      <w:r w:rsidR="00DC3C36">
        <w:rPr>
          <w:lang w:val="es-CO"/>
        </w:rPr>
        <w:t>,</w:t>
      </w:r>
      <w:r w:rsidR="002634C8">
        <w:rPr>
          <w:lang w:val="es-CO"/>
        </w:rPr>
        <w:t xml:space="preserve"> </w:t>
      </w:r>
      <w:r w:rsidR="00EF1592">
        <w:rPr>
          <w:lang w:val="es-CO"/>
        </w:rPr>
        <w:t xml:space="preserve">son distintas </w:t>
      </w:r>
      <w:r w:rsidR="00411D12">
        <w:rPr>
          <w:lang w:val="es-CO"/>
        </w:rPr>
        <w:t>a la UC solicitada por el OR</w:t>
      </w:r>
      <w:r w:rsidR="00676B82">
        <w:rPr>
          <w:lang w:val="es-CO"/>
        </w:rPr>
        <w:t>, razón por la cual e</w:t>
      </w:r>
      <w:r w:rsidR="00EF1592">
        <w:rPr>
          <w:lang w:val="es-CO"/>
        </w:rPr>
        <w:t>l</w:t>
      </w:r>
      <w:r w:rsidR="00070B87">
        <w:rPr>
          <w:lang w:val="es-CO"/>
        </w:rPr>
        <w:t xml:space="preserve"> </w:t>
      </w:r>
      <w:r w:rsidR="00DD4605">
        <w:rPr>
          <w:lang w:val="es-CO"/>
        </w:rPr>
        <w:t>banco de compensación reactiva de 3 MVAr, tipo pedestal,</w:t>
      </w:r>
      <w:r w:rsidR="006310DC">
        <w:rPr>
          <w:lang w:val="es-CO"/>
        </w:rPr>
        <w:t xml:space="preserve"> </w:t>
      </w:r>
      <w:r w:rsidR="00676B82">
        <w:rPr>
          <w:lang w:val="es-CO"/>
        </w:rPr>
        <w:t>no es asimilable a las UC definidas en la Resolución CREG 015 de 2018.</w:t>
      </w:r>
      <w:r w:rsidR="00DD4605">
        <w:rPr>
          <w:lang w:val="es-CO"/>
        </w:rPr>
        <w:t xml:space="preserve"> </w:t>
      </w:r>
      <w:r w:rsidR="00D8550B">
        <w:rPr>
          <w:lang w:val="es-CO"/>
        </w:rPr>
        <w:t>También se considera que</w:t>
      </w:r>
      <w:r w:rsidR="00DD4605">
        <w:rPr>
          <w:lang w:val="es-CO"/>
        </w:rPr>
        <w:t xml:space="preserve"> la Resolución CREG 015 de 2018</w:t>
      </w:r>
      <w:r w:rsidR="00876B8B">
        <w:rPr>
          <w:lang w:val="es-CO"/>
        </w:rPr>
        <w:t>,</w:t>
      </w:r>
      <w:r w:rsidR="00DD4605">
        <w:rPr>
          <w:lang w:val="es-CO"/>
        </w:rPr>
        <w:t xml:space="preserve"> </w:t>
      </w:r>
      <w:r w:rsidR="0095745C">
        <w:rPr>
          <w:lang w:val="es-CO"/>
        </w:rPr>
        <w:t>previó que las UC de compensación reactiva</w:t>
      </w:r>
      <w:r w:rsidR="00330F9B">
        <w:rPr>
          <w:lang w:val="es-CO"/>
        </w:rPr>
        <w:t xml:space="preserve"> podrían solicitarse como UC especial. </w:t>
      </w:r>
    </w:p>
    <w:p w14:paraId="7D04BDC5" w14:textId="6F2A1AAB" w:rsidR="005F5B71" w:rsidRDefault="00B63528" w:rsidP="005F5B71">
      <w:pPr>
        <w:spacing w:before="240" w:after="0"/>
        <w:rPr>
          <w:lang w:val="es-CO"/>
        </w:rPr>
      </w:pPr>
      <w:r>
        <w:rPr>
          <w:lang w:val="es-CO"/>
        </w:rPr>
        <w:t>E</w:t>
      </w:r>
      <w:r w:rsidR="005F5B71">
        <w:rPr>
          <w:lang w:val="es-CO"/>
        </w:rPr>
        <w:t xml:space="preserve">l OR suministra </w:t>
      </w:r>
      <w:r w:rsidR="00876B8B">
        <w:rPr>
          <w:lang w:val="es-CO"/>
        </w:rPr>
        <w:t>documento de</w:t>
      </w:r>
      <w:r w:rsidR="005F5B71">
        <w:t xml:space="preserve"> justificación técnica</w:t>
      </w:r>
      <w:r w:rsidR="009D67FF">
        <w:t xml:space="preserve"> para la creación de la UC especial</w:t>
      </w:r>
      <w:r w:rsidR="00EF1262">
        <w:t>,</w:t>
      </w:r>
      <w:r w:rsidR="00F42EF2">
        <w:t xml:space="preserve"> con</w:t>
      </w:r>
      <w:r w:rsidR="005F5B71">
        <w:t xml:space="preserve"> los análisis donde </w:t>
      </w:r>
      <w:r w:rsidR="00266904">
        <w:t>muestra</w:t>
      </w:r>
      <w:r w:rsidR="005F5B71">
        <w:t xml:space="preserve"> que el uso de compensación de 3 MVAr, conectada al barraje de</w:t>
      </w:r>
      <w:r w:rsidR="005F5B71">
        <w:rPr>
          <w:lang w:val="es-CO"/>
        </w:rPr>
        <w:t xml:space="preserve"> nivel de tensión 2, permite </w:t>
      </w:r>
      <w:r w:rsidR="005F5B71" w:rsidRPr="00ED6602">
        <w:rPr>
          <w:lang w:val="es-CO"/>
        </w:rPr>
        <w:t xml:space="preserve">mejorar </w:t>
      </w:r>
      <w:r w:rsidR="005F5B71" w:rsidRPr="00BA0AA6">
        <w:t>los perfiles de tensión</w:t>
      </w:r>
      <w:r w:rsidR="005F5B71">
        <w:t xml:space="preserve"> en aquellas subestaciones del SDL </w:t>
      </w:r>
      <w:r w:rsidR="005F5B71">
        <w:rPr>
          <w:lang w:val="es-CO"/>
        </w:rPr>
        <w:t xml:space="preserve">donde se </w:t>
      </w:r>
      <w:r w:rsidR="005F5B71" w:rsidRPr="00AF5FBC">
        <w:rPr>
          <w:lang w:val="es-CO"/>
        </w:rPr>
        <w:t>presenta</w:t>
      </w:r>
      <w:r w:rsidR="005F5B71">
        <w:rPr>
          <w:lang w:val="es-CO"/>
        </w:rPr>
        <w:t>n</w:t>
      </w:r>
      <w:r w:rsidR="005F5B71" w:rsidRPr="00AF5FBC">
        <w:rPr>
          <w:lang w:val="es-CO"/>
        </w:rPr>
        <w:t xml:space="preserve"> valores inferiores a los establecidos en las normas</w:t>
      </w:r>
      <w:r w:rsidR="005F5B71">
        <w:rPr>
          <w:lang w:val="es-CO"/>
        </w:rPr>
        <w:t>.</w:t>
      </w:r>
    </w:p>
    <w:p w14:paraId="1D64FD2A" w14:textId="53A2A6F9" w:rsidR="00AE06F7" w:rsidRDefault="007F236B" w:rsidP="005F5B71">
      <w:pPr>
        <w:spacing w:before="240" w:after="0"/>
        <w:rPr>
          <w:lang w:val="es-CO"/>
        </w:rPr>
      </w:pPr>
      <w:r>
        <w:rPr>
          <w:lang w:val="es-CO"/>
        </w:rPr>
        <w:t>Adicionalmente, entrega</w:t>
      </w:r>
      <w:r w:rsidR="00AE06F7" w:rsidRPr="00AE06F7">
        <w:rPr>
          <w:lang w:val="es-CO"/>
        </w:rPr>
        <w:t xml:space="preserve"> el costo detallado de </w:t>
      </w:r>
      <w:r w:rsidR="00B0553F">
        <w:rPr>
          <w:lang w:val="es-CO"/>
        </w:rPr>
        <w:t xml:space="preserve">los equipos de la UC solicitada </w:t>
      </w:r>
      <w:r w:rsidR="00AE06F7" w:rsidRPr="00AE06F7">
        <w:rPr>
          <w:lang w:val="es-CO"/>
        </w:rPr>
        <w:t>y los costos de instalación asociados</w:t>
      </w:r>
      <w:r w:rsidR="00F96006">
        <w:rPr>
          <w:lang w:val="es-CO"/>
        </w:rPr>
        <w:t xml:space="preserve">, junto con los soportes </w:t>
      </w:r>
      <w:r w:rsidR="002F463C">
        <w:rPr>
          <w:lang w:val="es-CO"/>
        </w:rPr>
        <w:t>correspondientes.</w:t>
      </w:r>
      <w:r w:rsidR="00A5380B">
        <w:rPr>
          <w:lang w:val="es-CO"/>
        </w:rPr>
        <w:t xml:space="preserve"> Cabe resaltar que</w:t>
      </w:r>
      <w:r w:rsidR="005C2B0E">
        <w:rPr>
          <w:lang w:val="es-CO"/>
        </w:rPr>
        <w:t xml:space="preserve">, revisados los valores solicitados y los </w:t>
      </w:r>
      <w:r w:rsidR="00006EAD">
        <w:rPr>
          <w:lang w:val="es-CO"/>
        </w:rPr>
        <w:t xml:space="preserve">valores reportados, la Comisión encuentra </w:t>
      </w:r>
      <w:r w:rsidR="00E83699">
        <w:rPr>
          <w:lang w:val="es-CO"/>
        </w:rPr>
        <w:t xml:space="preserve">que los valores </w:t>
      </w:r>
      <w:r w:rsidR="00F353B0">
        <w:rPr>
          <w:lang w:val="es-CO"/>
        </w:rPr>
        <w:t xml:space="preserve">reportados en los soportes corresponden a cifras de </w:t>
      </w:r>
      <w:r w:rsidR="00CA1CD0">
        <w:rPr>
          <w:lang w:val="es-CO"/>
        </w:rPr>
        <w:t xml:space="preserve">un contrato firmado en </w:t>
      </w:r>
      <w:r w:rsidR="00F353B0">
        <w:rPr>
          <w:lang w:val="es-CO"/>
        </w:rPr>
        <w:t>febrero de 2020</w:t>
      </w:r>
      <w:r w:rsidR="002D0C65">
        <w:rPr>
          <w:lang w:val="es-CO"/>
        </w:rPr>
        <w:t xml:space="preserve">, razón por la </w:t>
      </w:r>
      <w:r w:rsidR="001B49E7">
        <w:rPr>
          <w:lang w:val="es-CO"/>
        </w:rPr>
        <w:t>cual,</w:t>
      </w:r>
      <w:r w:rsidR="002D0C65">
        <w:rPr>
          <w:lang w:val="es-CO"/>
        </w:rPr>
        <w:t xml:space="preserve"> para </w:t>
      </w:r>
      <w:r w:rsidR="00A63E66">
        <w:rPr>
          <w:lang w:val="es-CO"/>
        </w:rPr>
        <w:t>determinar el costo de</w:t>
      </w:r>
      <w:r w:rsidR="002D0C65">
        <w:rPr>
          <w:lang w:val="es-CO"/>
        </w:rPr>
        <w:t xml:space="preserve"> la UC</w:t>
      </w:r>
      <w:r w:rsidR="00A63E66">
        <w:rPr>
          <w:lang w:val="es-CO"/>
        </w:rPr>
        <w:t xml:space="preserve"> especial</w:t>
      </w:r>
      <w:r w:rsidR="0061681B">
        <w:rPr>
          <w:lang w:val="es-CO"/>
        </w:rPr>
        <w:t>, en pesos de diciembre de 2017,</w:t>
      </w:r>
      <w:r w:rsidR="002D0C65">
        <w:rPr>
          <w:lang w:val="es-CO"/>
        </w:rPr>
        <w:t xml:space="preserve"> se utilizan los valores de TRM e IPP </w:t>
      </w:r>
      <w:r w:rsidR="0061681B">
        <w:rPr>
          <w:lang w:val="es-CO"/>
        </w:rPr>
        <w:t xml:space="preserve">de febrero de 2020 </w:t>
      </w:r>
      <w:r w:rsidR="00A63E66">
        <w:rPr>
          <w:lang w:val="es-CO"/>
        </w:rPr>
        <w:t>y el IPP de diciembre de 2017.</w:t>
      </w:r>
      <w:r w:rsidR="00004872">
        <w:rPr>
          <w:lang w:val="es-CO"/>
        </w:rPr>
        <w:t xml:space="preserve"> </w:t>
      </w:r>
      <w:r w:rsidR="00F021E4">
        <w:rPr>
          <w:lang w:val="es-CO"/>
        </w:rPr>
        <w:t>Por esta actualización de precios, l</w:t>
      </w:r>
      <w:r w:rsidR="00004872">
        <w:rPr>
          <w:lang w:val="es-CO"/>
        </w:rPr>
        <w:t xml:space="preserve">os cálculos realizados por la CREG conducen a </w:t>
      </w:r>
      <w:r w:rsidR="00004872" w:rsidRPr="00C91378">
        <w:rPr>
          <w:lang w:val="es-CO"/>
        </w:rPr>
        <w:lastRenderedPageBreak/>
        <w:t xml:space="preserve">un valor que difiere de lo solicitado </w:t>
      </w:r>
      <w:r w:rsidR="00CD718F" w:rsidRPr="00C91378">
        <w:rPr>
          <w:lang w:val="es-CO"/>
        </w:rPr>
        <w:t>en el recurso de reposición</w:t>
      </w:r>
      <w:r w:rsidR="00E8535E" w:rsidRPr="00C91378">
        <w:rPr>
          <w:lang w:val="es-CO"/>
        </w:rPr>
        <w:t xml:space="preserve"> pues el OR </w:t>
      </w:r>
      <w:r w:rsidR="00CB1764" w:rsidRPr="00C91378">
        <w:rPr>
          <w:lang w:val="es-CO"/>
        </w:rPr>
        <w:t>utiliza</w:t>
      </w:r>
      <w:r w:rsidR="00CB1764">
        <w:rPr>
          <w:lang w:val="es-CO"/>
        </w:rPr>
        <w:t xml:space="preserve"> valores de TRM e </w:t>
      </w:r>
      <w:r w:rsidR="00EC3C43">
        <w:rPr>
          <w:lang w:val="es-CO"/>
        </w:rPr>
        <w:t>IPP</w:t>
      </w:r>
      <w:r w:rsidR="00CB1764">
        <w:rPr>
          <w:lang w:val="es-CO"/>
        </w:rPr>
        <w:t xml:space="preserve"> de enero de 2021</w:t>
      </w:r>
      <w:r w:rsidR="00004872">
        <w:rPr>
          <w:lang w:val="es-CO"/>
        </w:rPr>
        <w:t>.</w:t>
      </w:r>
      <w:r w:rsidR="00F353B0">
        <w:rPr>
          <w:lang w:val="es-CO"/>
        </w:rPr>
        <w:t xml:space="preserve"> </w:t>
      </w:r>
    </w:p>
    <w:p w14:paraId="238AE005" w14:textId="51944B73" w:rsidR="009F0AA1" w:rsidRDefault="00CD718F" w:rsidP="0040652E">
      <w:pPr>
        <w:spacing w:before="0" w:after="0"/>
        <w:rPr>
          <w:lang w:val="es-CO"/>
        </w:rPr>
      </w:pPr>
      <w:r>
        <w:rPr>
          <w:lang w:val="es-CO"/>
        </w:rPr>
        <w:t>Teniendo en cuenta los anteriores análisis</w:t>
      </w:r>
      <w:r w:rsidR="002C5E17">
        <w:rPr>
          <w:lang w:val="es-CO"/>
        </w:rPr>
        <w:t xml:space="preserve">, la </w:t>
      </w:r>
      <w:r w:rsidR="00A5380B">
        <w:rPr>
          <w:lang w:val="es-CO"/>
        </w:rPr>
        <w:t>C</w:t>
      </w:r>
      <w:r w:rsidR="002C5E17">
        <w:rPr>
          <w:lang w:val="es-CO"/>
        </w:rPr>
        <w:t xml:space="preserve">omisión </w:t>
      </w:r>
      <w:r w:rsidR="00A5380B">
        <w:rPr>
          <w:lang w:val="es-CO"/>
        </w:rPr>
        <w:t xml:space="preserve">encuentra procedente la creación de la UC especial </w:t>
      </w:r>
      <w:r w:rsidR="00DE36FF">
        <w:rPr>
          <w:lang w:val="es-CO"/>
        </w:rPr>
        <w:t xml:space="preserve">de nivel de tensión 2 </w:t>
      </w:r>
      <w:r w:rsidR="00C42101">
        <w:rPr>
          <w:lang w:val="es-CO"/>
        </w:rPr>
        <w:t>banco de con</w:t>
      </w:r>
      <w:r w:rsidR="00DE36FF">
        <w:rPr>
          <w:lang w:val="es-CO"/>
        </w:rPr>
        <w:t xml:space="preserve">densadores tipo pedestal </w:t>
      </w:r>
      <w:r w:rsidR="004A134E">
        <w:rPr>
          <w:lang w:val="es-CO"/>
        </w:rPr>
        <w:t>de 3 MVAr</w:t>
      </w:r>
      <w:r w:rsidR="0070692C">
        <w:rPr>
          <w:lang w:val="es-CO"/>
        </w:rPr>
        <w:t xml:space="preserve">, </w:t>
      </w:r>
      <w:r w:rsidR="00537EDA">
        <w:rPr>
          <w:lang w:val="es-CO"/>
        </w:rPr>
        <w:t xml:space="preserve">con </w:t>
      </w:r>
      <w:r w:rsidR="00F75FDE">
        <w:rPr>
          <w:lang w:val="es-CO"/>
        </w:rPr>
        <w:t>la siguiente información</w:t>
      </w:r>
      <w:r w:rsidR="00AE45AF">
        <w:rPr>
          <w:lang w:val="es-CO"/>
        </w:rPr>
        <w:t>:</w:t>
      </w:r>
    </w:p>
    <w:p w14:paraId="29927B55" w14:textId="77777777" w:rsidR="00C91378" w:rsidRDefault="00C91378" w:rsidP="0040652E">
      <w:pPr>
        <w:spacing w:before="0" w:after="0"/>
        <w:rPr>
          <w:lang w:val="es-CO"/>
        </w:rPr>
      </w:pPr>
    </w:p>
    <w:tbl>
      <w:tblPr>
        <w:tblStyle w:val="Tablaconcuadrcula"/>
        <w:tblW w:w="0" w:type="auto"/>
        <w:tblInd w:w="-5" w:type="dxa"/>
        <w:tblLayout w:type="fixed"/>
        <w:tblLook w:val="04A0" w:firstRow="1" w:lastRow="0" w:firstColumn="1" w:lastColumn="0" w:noHBand="0" w:noVBand="1"/>
      </w:tblPr>
      <w:tblGrid>
        <w:gridCol w:w="1134"/>
        <w:gridCol w:w="1418"/>
        <w:gridCol w:w="992"/>
        <w:gridCol w:w="957"/>
        <w:gridCol w:w="1028"/>
        <w:gridCol w:w="1417"/>
        <w:gridCol w:w="1134"/>
        <w:gridCol w:w="1271"/>
      </w:tblGrid>
      <w:tr w:rsidR="005F2D77" w:rsidRPr="001D2CF4" w14:paraId="6FF2E9AE" w14:textId="77777777" w:rsidTr="0040652E">
        <w:trPr>
          <w:trHeight w:val="288"/>
        </w:trPr>
        <w:tc>
          <w:tcPr>
            <w:tcW w:w="1134" w:type="dxa"/>
            <w:noWrap/>
            <w:vAlign w:val="center"/>
            <w:hideMark/>
          </w:tcPr>
          <w:p w14:paraId="1DF7A212" w14:textId="2F9D04D7" w:rsidR="00360AC7" w:rsidRPr="0040652E" w:rsidRDefault="00360AC7" w:rsidP="0040652E">
            <w:pPr>
              <w:spacing w:before="0" w:after="0"/>
              <w:jc w:val="center"/>
              <w:rPr>
                <w:rFonts w:cs="Calibri"/>
                <w:b/>
                <w:bCs/>
                <w:color w:val="000000"/>
                <w:sz w:val="12"/>
                <w:szCs w:val="12"/>
                <w:lang w:val="es-CO" w:eastAsia="es-CO"/>
              </w:rPr>
            </w:pPr>
            <w:r w:rsidRPr="0040652E">
              <w:rPr>
                <w:rFonts w:cs="Calibri"/>
                <w:b/>
                <w:bCs/>
                <w:color w:val="000000"/>
                <w:sz w:val="12"/>
                <w:szCs w:val="12"/>
                <w:lang w:val="es-CO" w:eastAsia="es-CO"/>
              </w:rPr>
              <w:t>Unidad Constructiva</w:t>
            </w:r>
          </w:p>
        </w:tc>
        <w:tc>
          <w:tcPr>
            <w:tcW w:w="1418" w:type="dxa"/>
            <w:noWrap/>
            <w:vAlign w:val="center"/>
            <w:hideMark/>
          </w:tcPr>
          <w:p w14:paraId="401150B9" w14:textId="468E157D" w:rsidR="00360AC7" w:rsidRPr="0040652E" w:rsidRDefault="008E1090" w:rsidP="0040652E">
            <w:pPr>
              <w:spacing w:before="0" w:after="0"/>
              <w:jc w:val="center"/>
              <w:rPr>
                <w:rFonts w:cs="Calibri"/>
                <w:b/>
                <w:bCs/>
                <w:color w:val="000000"/>
                <w:sz w:val="12"/>
                <w:szCs w:val="12"/>
                <w:lang w:val="es-CO" w:eastAsia="es-CO"/>
              </w:rPr>
            </w:pPr>
            <w:r w:rsidRPr="0040652E">
              <w:rPr>
                <w:rFonts w:cs="Calibri"/>
                <w:b/>
                <w:bCs/>
                <w:color w:val="000000"/>
                <w:sz w:val="12"/>
                <w:szCs w:val="12"/>
                <w:lang w:val="es-CO" w:eastAsia="es-CO"/>
              </w:rPr>
              <w:t>Descripción</w:t>
            </w:r>
          </w:p>
        </w:tc>
        <w:tc>
          <w:tcPr>
            <w:tcW w:w="992" w:type="dxa"/>
            <w:noWrap/>
            <w:vAlign w:val="center"/>
            <w:hideMark/>
          </w:tcPr>
          <w:p w14:paraId="7352AE48" w14:textId="77777777" w:rsidR="00360AC7" w:rsidRPr="0040652E" w:rsidRDefault="00360AC7" w:rsidP="0040652E">
            <w:pPr>
              <w:spacing w:before="0" w:after="0"/>
              <w:jc w:val="center"/>
              <w:rPr>
                <w:rFonts w:cs="Calibri"/>
                <w:b/>
                <w:bCs/>
                <w:color w:val="000000"/>
                <w:sz w:val="12"/>
                <w:szCs w:val="12"/>
                <w:lang w:val="es-CO" w:eastAsia="es-CO"/>
              </w:rPr>
            </w:pPr>
            <w:r w:rsidRPr="0040652E">
              <w:rPr>
                <w:rFonts w:cs="Calibri"/>
                <w:b/>
                <w:bCs/>
                <w:color w:val="000000"/>
                <w:sz w:val="12"/>
                <w:szCs w:val="12"/>
                <w:lang w:val="es-CO" w:eastAsia="es-CO"/>
              </w:rPr>
              <w:t>DDP</w:t>
            </w:r>
          </w:p>
        </w:tc>
        <w:tc>
          <w:tcPr>
            <w:tcW w:w="957" w:type="dxa"/>
            <w:noWrap/>
            <w:vAlign w:val="center"/>
            <w:hideMark/>
          </w:tcPr>
          <w:p w14:paraId="45F501A2" w14:textId="5D285900" w:rsidR="00360AC7" w:rsidRPr="0040652E" w:rsidRDefault="00D32A11" w:rsidP="0040652E">
            <w:pPr>
              <w:spacing w:before="0" w:after="0"/>
              <w:jc w:val="center"/>
              <w:rPr>
                <w:rFonts w:cs="Calibri"/>
                <w:b/>
                <w:bCs/>
                <w:color w:val="000000"/>
                <w:sz w:val="12"/>
                <w:szCs w:val="12"/>
                <w:lang w:val="es-CO" w:eastAsia="es-CO"/>
              </w:rPr>
            </w:pPr>
            <w:r w:rsidRPr="00D32A11">
              <w:rPr>
                <w:rFonts w:cs="Calibri"/>
                <w:b/>
                <w:bCs/>
                <w:color w:val="000000"/>
                <w:sz w:val="12"/>
                <w:szCs w:val="12"/>
                <w:lang w:val="es-CO" w:eastAsia="es-CO"/>
              </w:rPr>
              <w:t>Montaje</w:t>
            </w:r>
          </w:p>
        </w:tc>
        <w:tc>
          <w:tcPr>
            <w:tcW w:w="1028" w:type="dxa"/>
            <w:noWrap/>
            <w:vAlign w:val="center"/>
            <w:hideMark/>
          </w:tcPr>
          <w:p w14:paraId="634C78E5" w14:textId="2F00224B" w:rsidR="00360AC7" w:rsidRPr="0040652E" w:rsidRDefault="00D32A11" w:rsidP="0040652E">
            <w:pPr>
              <w:spacing w:before="0" w:after="0"/>
              <w:jc w:val="center"/>
              <w:rPr>
                <w:rFonts w:cs="Calibri"/>
                <w:b/>
                <w:bCs/>
                <w:color w:val="000000"/>
                <w:sz w:val="12"/>
                <w:szCs w:val="12"/>
                <w:lang w:val="es-CO" w:eastAsia="es-CO"/>
              </w:rPr>
            </w:pPr>
            <w:r w:rsidRPr="00D32A11">
              <w:rPr>
                <w:rFonts w:cs="Calibri"/>
                <w:b/>
                <w:bCs/>
                <w:color w:val="000000"/>
                <w:sz w:val="12"/>
                <w:szCs w:val="12"/>
                <w:lang w:val="es-CO" w:eastAsia="es-CO"/>
              </w:rPr>
              <w:t>Ingeniería</w:t>
            </w:r>
          </w:p>
        </w:tc>
        <w:tc>
          <w:tcPr>
            <w:tcW w:w="1417" w:type="dxa"/>
            <w:noWrap/>
            <w:vAlign w:val="center"/>
            <w:hideMark/>
          </w:tcPr>
          <w:p w14:paraId="07C6C941" w14:textId="618F4BC5" w:rsidR="00360AC7" w:rsidRPr="0040652E" w:rsidRDefault="00D32A11" w:rsidP="0040652E">
            <w:pPr>
              <w:spacing w:before="0" w:after="0"/>
              <w:jc w:val="center"/>
              <w:rPr>
                <w:rFonts w:cs="Calibri"/>
                <w:b/>
                <w:bCs/>
                <w:color w:val="000000"/>
                <w:sz w:val="12"/>
                <w:szCs w:val="12"/>
                <w:lang w:val="es-CO" w:eastAsia="es-CO"/>
              </w:rPr>
            </w:pPr>
            <w:r w:rsidRPr="00D32A11">
              <w:rPr>
                <w:rFonts w:cs="Calibri"/>
                <w:b/>
                <w:bCs/>
                <w:color w:val="000000"/>
                <w:sz w:val="12"/>
                <w:szCs w:val="12"/>
                <w:lang w:val="es-CO" w:eastAsia="es-CO"/>
              </w:rPr>
              <w:t>Interventoría</w:t>
            </w:r>
          </w:p>
        </w:tc>
        <w:tc>
          <w:tcPr>
            <w:tcW w:w="1134" w:type="dxa"/>
            <w:noWrap/>
            <w:vAlign w:val="center"/>
            <w:hideMark/>
          </w:tcPr>
          <w:p w14:paraId="702370D7" w14:textId="1F4A6D20" w:rsidR="00360AC7" w:rsidRPr="0040652E" w:rsidRDefault="00D32A11" w:rsidP="0040652E">
            <w:pPr>
              <w:spacing w:before="0" w:after="0"/>
              <w:jc w:val="center"/>
              <w:rPr>
                <w:rFonts w:cs="Calibri"/>
                <w:b/>
                <w:bCs/>
                <w:color w:val="000000"/>
                <w:sz w:val="12"/>
                <w:szCs w:val="12"/>
                <w:lang w:val="es-CO" w:eastAsia="es-CO"/>
              </w:rPr>
            </w:pPr>
            <w:r w:rsidRPr="00D32A11">
              <w:rPr>
                <w:rFonts w:cs="Calibri"/>
                <w:b/>
                <w:bCs/>
                <w:color w:val="000000"/>
                <w:sz w:val="12"/>
                <w:szCs w:val="12"/>
                <w:lang w:val="es-CO" w:eastAsia="es-CO"/>
              </w:rPr>
              <w:t>Costos financieros</w:t>
            </w:r>
          </w:p>
        </w:tc>
        <w:tc>
          <w:tcPr>
            <w:tcW w:w="1271" w:type="dxa"/>
            <w:noWrap/>
            <w:vAlign w:val="center"/>
            <w:hideMark/>
          </w:tcPr>
          <w:p w14:paraId="1AACEB15" w14:textId="77777777" w:rsidR="00360AC7" w:rsidRPr="0040652E" w:rsidRDefault="00360AC7" w:rsidP="0040652E">
            <w:pPr>
              <w:spacing w:before="0" w:after="0"/>
              <w:jc w:val="center"/>
              <w:rPr>
                <w:rFonts w:cs="Calibri"/>
                <w:b/>
                <w:bCs/>
                <w:color w:val="000000"/>
                <w:sz w:val="12"/>
                <w:szCs w:val="12"/>
                <w:lang w:val="es-CO" w:eastAsia="es-CO"/>
              </w:rPr>
            </w:pPr>
            <w:r w:rsidRPr="0040652E">
              <w:rPr>
                <w:rFonts w:cs="Calibri"/>
                <w:b/>
                <w:bCs/>
                <w:color w:val="000000"/>
                <w:sz w:val="12"/>
                <w:szCs w:val="12"/>
                <w:lang w:val="es-CO" w:eastAsia="es-CO"/>
              </w:rPr>
              <w:t>Valor Instalado (COP-dic 2017)</w:t>
            </w:r>
          </w:p>
        </w:tc>
      </w:tr>
      <w:tr w:rsidR="005F2D77" w:rsidRPr="005F2D77" w14:paraId="33BE5645" w14:textId="77777777" w:rsidTr="0040652E">
        <w:trPr>
          <w:trHeight w:val="288"/>
        </w:trPr>
        <w:tc>
          <w:tcPr>
            <w:tcW w:w="1134" w:type="dxa"/>
            <w:noWrap/>
            <w:vAlign w:val="center"/>
            <w:hideMark/>
          </w:tcPr>
          <w:p w14:paraId="3D3793DB" w14:textId="77777777" w:rsidR="00360AC7" w:rsidRPr="0040652E" w:rsidRDefault="00360AC7" w:rsidP="0040652E">
            <w:pPr>
              <w:spacing w:before="0" w:after="0"/>
              <w:jc w:val="center"/>
              <w:rPr>
                <w:rFonts w:cs="Segoe UI"/>
                <w:color w:val="000000"/>
                <w:sz w:val="12"/>
                <w:szCs w:val="12"/>
                <w:lang w:val="es-CO" w:eastAsia="es-CO"/>
              </w:rPr>
            </w:pPr>
            <w:r w:rsidRPr="0040652E">
              <w:rPr>
                <w:rFonts w:cs="Segoe UI"/>
                <w:color w:val="000000"/>
                <w:sz w:val="12"/>
                <w:szCs w:val="12"/>
                <w:lang w:val="es-CO" w:eastAsia="es-CO"/>
              </w:rPr>
              <w:t>N2CR6</w:t>
            </w:r>
          </w:p>
        </w:tc>
        <w:tc>
          <w:tcPr>
            <w:tcW w:w="1418" w:type="dxa"/>
            <w:noWrap/>
            <w:vAlign w:val="center"/>
            <w:hideMark/>
          </w:tcPr>
          <w:p w14:paraId="559DD916" w14:textId="77777777" w:rsidR="007C13CF" w:rsidRDefault="007C13CF" w:rsidP="005F2D77">
            <w:pPr>
              <w:spacing w:before="0" w:after="0"/>
              <w:jc w:val="center"/>
              <w:rPr>
                <w:rFonts w:cs="Segoe UI"/>
                <w:color w:val="000000"/>
                <w:sz w:val="12"/>
                <w:szCs w:val="12"/>
                <w:lang w:val="es-CO" w:eastAsia="es-CO"/>
              </w:rPr>
            </w:pPr>
          </w:p>
          <w:p w14:paraId="2DFF97BF" w14:textId="77777777" w:rsidR="00360AC7" w:rsidRDefault="00360AC7" w:rsidP="005F2D77">
            <w:pPr>
              <w:spacing w:before="0" w:after="0"/>
              <w:jc w:val="center"/>
              <w:rPr>
                <w:rFonts w:cs="Segoe UI"/>
                <w:color w:val="000000"/>
                <w:sz w:val="12"/>
                <w:szCs w:val="12"/>
                <w:lang w:val="es-CO" w:eastAsia="es-CO"/>
              </w:rPr>
            </w:pPr>
            <w:r w:rsidRPr="0040652E">
              <w:rPr>
                <w:rFonts w:cs="Segoe UI"/>
                <w:color w:val="000000"/>
                <w:sz w:val="12"/>
                <w:szCs w:val="12"/>
                <w:lang w:val="es-CO" w:eastAsia="es-CO"/>
              </w:rPr>
              <w:t>Banco de condensadores tipo pedestal - Capacidad 3 MVAr</w:t>
            </w:r>
          </w:p>
          <w:p w14:paraId="54A28F53" w14:textId="77777777" w:rsidR="002664D1" w:rsidRDefault="002664D1" w:rsidP="005F2D77">
            <w:pPr>
              <w:spacing w:before="0" w:after="0"/>
              <w:jc w:val="center"/>
              <w:rPr>
                <w:rFonts w:cs="Segoe UI"/>
                <w:color w:val="000000"/>
                <w:sz w:val="12"/>
                <w:szCs w:val="12"/>
                <w:lang w:val="es-CO" w:eastAsia="es-CO"/>
              </w:rPr>
            </w:pPr>
          </w:p>
          <w:p w14:paraId="183014CC" w14:textId="69F420DE" w:rsidR="007C13CF" w:rsidRPr="0040652E" w:rsidRDefault="007C13CF" w:rsidP="0040652E">
            <w:pPr>
              <w:spacing w:before="0" w:after="0"/>
              <w:jc w:val="center"/>
              <w:rPr>
                <w:rFonts w:cs="Segoe UI"/>
                <w:color w:val="000000"/>
                <w:sz w:val="12"/>
                <w:szCs w:val="12"/>
                <w:lang w:val="es-CO" w:eastAsia="es-CO"/>
              </w:rPr>
            </w:pPr>
          </w:p>
        </w:tc>
        <w:tc>
          <w:tcPr>
            <w:tcW w:w="992" w:type="dxa"/>
            <w:noWrap/>
            <w:vAlign w:val="center"/>
            <w:hideMark/>
          </w:tcPr>
          <w:p w14:paraId="079AA098" w14:textId="09E38FEB" w:rsidR="00360AC7" w:rsidRPr="0040652E" w:rsidRDefault="00360AC7" w:rsidP="0040652E">
            <w:pPr>
              <w:spacing w:before="0" w:after="0"/>
              <w:jc w:val="center"/>
              <w:rPr>
                <w:rFonts w:cs="Segoe UI"/>
                <w:color w:val="000000"/>
                <w:sz w:val="12"/>
                <w:szCs w:val="12"/>
                <w:lang w:val="es-CO" w:eastAsia="es-CO"/>
              </w:rPr>
            </w:pPr>
            <w:r w:rsidRPr="0040652E">
              <w:rPr>
                <w:rFonts w:cs="Segoe UI"/>
                <w:color w:val="000000"/>
                <w:sz w:val="12"/>
                <w:szCs w:val="12"/>
                <w:lang w:val="es-CO" w:eastAsia="es-CO"/>
              </w:rPr>
              <w:t>97.487.828</w:t>
            </w:r>
          </w:p>
        </w:tc>
        <w:tc>
          <w:tcPr>
            <w:tcW w:w="957" w:type="dxa"/>
            <w:noWrap/>
            <w:vAlign w:val="center"/>
            <w:hideMark/>
          </w:tcPr>
          <w:p w14:paraId="520F8976" w14:textId="7A14E15E" w:rsidR="00360AC7" w:rsidRPr="0040652E" w:rsidRDefault="00360AC7" w:rsidP="0040652E">
            <w:pPr>
              <w:spacing w:before="0" w:after="0"/>
              <w:jc w:val="center"/>
              <w:rPr>
                <w:rFonts w:cs="Segoe UI"/>
                <w:color w:val="000000"/>
                <w:sz w:val="12"/>
                <w:szCs w:val="12"/>
                <w:lang w:val="es-CO" w:eastAsia="es-CO"/>
              </w:rPr>
            </w:pPr>
            <w:r w:rsidRPr="0040652E">
              <w:rPr>
                <w:rFonts w:cs="Segoe UI"/>
                <w:color w:val="000000"/>
                <w:sz w:val="12"/>
                <w:szCs w:val="12"/>
                <w:lang w:val="es-CO" w:eastAsia="es-CO"/>
              </w:rPr>
              <w:t>50.503.881</w:t>
            </w:r>
          </w:p>
        </w:tc>
        <w:tc>
          <w:tcPr>
            <w:tcW w:w="1028" w:type="dxa"/>
            <w:noWrap/>
            <w:vAlign w:val="center"/>
            <w:hideMark/>
          </w:tcPr>
          <w:p w14:paraId="39194E15" w14:textId="0E16B96E" w:rsidR="00360AC7" w:rsidRPr="0040652E" w:rsidRDefault="00360AC7" w:rsidP="0040652E">
            <w:pPr>
              <w:spacing w:before="0" w:after="0"/>
              <w:jc w:val="center"/>
              <w:rPr>
                <w:rFonts w:cs="Segoe UI"/>
                <w:color w:val="000000"/>
                <w:sz w:val="12"/>
                <w:szCs w:val="12"/>
                <w:lang w:val="es-CO" w:eastAsia="es-CO"/>
              </w:rPr>
            </w:pPr>
            <w:r w:rsidRPr="0040652E">
              <w:rPr>
                <w:rFonts w:cs="Segoe UI"/>
                <w:color w:val="000000"/>
                <w:sz w:val="12"/>
                <w:szCs w:val="12"/>
                <w:lang w:val="es-CO" w:eastAsia="es-CO"/>
              </w:rPr>
              <w:t>38.541.323</w:t>
            </w:r>
          </w:p>
        </w:tc>
        <w:tc>
          <w:tcPr>
            <w:tcW w:w="1417" w:type="dxa"/>
            <w:noWrap/>
            <w:vAlign w:val="center"/>
            <w:hideMark/>
          </w:tcPr>
          <w:p w14:paraId="1AD549C8" w14:textId="18D46231" w:rsidR="00360AC7" w:rsidRPr="0040652E" w:rsidRDefault="00360AC7" w:rsidP="0040652E">
            <w:pPr>
              <w:spacing w:before="0" w:after="0"/>
              <w:jc w:val="center"/>
              <w:rPr>
                <w:rFonts w:cs="Segoe UI"/>
                <w:color w:val="000000"/>
                <w:sz w:val="12"/>
                <w:szCs w:val="12"/>
                <w:lang w:val="es-CO" w:eastAsia="es-CO"/>
              </w:rPr>
            </w:pPr>
            <w:r w:rsidRPr="0040652E">
              <w:rPr>
                <w:rFonts w:cs="Segoe UI"/>
                <w:color w:val="000000"/>
                <w:sz w:val="12"/>
                <w:szCs w:val="12"/>
                <w:lang w:val="es-CO" w:eastAsia="es-CO"/>
              </w:rPr>
              <w:t>19.270.662</w:t>
            </w:r>
          </w:p>
        </w:tc>
        <w:tc>
          <w:tcPr>
            <w:tcW w:w="1134" w:type="dxa"/>
            <w:noWrap/>
            <w:vAlign w:val="center"/>
            <w:hideMark/>
          </w:tcPr>
          <w:p w14:paraId="037C4272" w14:textId="26C7B23E" w:rsidR="00360AC7" w:rsidRPr="0040652E" w:rsidRDefault="00360AC7" w:rsidP="0040652E">
            <w:pPr>
              <w:spacing w:before="0" w:after="0"/>
              <w:jc w:val="center"/>
              <w:rPr>
                <w:rFonts w:cs="Segoe UI"/>
                <w:color w:val="000000"/>
                <w:sz w:val="12"/>
                <w:szCs w:val="12"/>
                <w:lang w:val="es-CO" w:eastAsia="es-CO"/>
              </w:rPr>
            </w:pPr>
            <w:r w:rsidRPr="0040652E">
              <w:rPr>
                <w:rFonts w:cs="Segoe UI"/>
                <w:color w:val="000000"/>
                <w:sz w:val="12"/>
                <w:szCs w:val="12"/>
                <w:lang w:val="es-CO" w:eastAsia="es-CO"/>
              </w:rPr>
              <w:t>27.676.572</w:t>
            </w:r>
          </w:p>
        </w:tc>
        <w:tc>
          <w:tcPr>
            <w:tcW w:w="1271" w:type="dxa"/>
            <w:noWrap/>
            <w:vAlign w:val="center"/>
            <w:hideMark/>
          </w:tcPr>
          <w:p w14:paraId="510DB926" w14:textId="560DB017" w:rsidR="00360AC7" w:rsidRPr="0040652E" w:rsidRDefault="00360AC7" w:rsidP="0040652E">
            <w:pPr>
              <w:spacing w:before="0" w:after="0"/>
              <w:jc w:val="center"/>
              <w:rPr>
                <w:rFonts w:cs="Segoe UI"/>
                <w:color w:val="000000"/>
                <w:sz w:val="12"/>
                <w:szCs w:val="12"/>
                <w:lang w:val="es-CO" w:eastAsia="es-CO"/>
              </w:rPr>
            </w:pPr>
            <w:r w:rsidRPr="0040652E">
              <w:rPr>
                <w:rFonts w:cs="Segoe UI"/>
                <w:color w:val="000000"/>
                <w:sz w:val="12"/>
                <w:szCs w:val="12"/>
                <w:lang w:val="es-CO" w:eastAsia="es-CO"/>
              </w:rPr>
              <w:t>233.480.266</w:t>
            </w:r>
          </w:p>
        </w:tc>
      </w:tr>
    </w:tbl>
    <w:p w14:paraId="10A30282" w14:textId="180541D3" w:rsidR="00FF381D" w:rsidRPr="00743D24" w:rsidRDefault="00FF381D" w:rsidP="00FF381D">
      <w:pPr>
        <w:spacing w:before="240" w:after="0"/>
        <w:rPr>
          <w:b/>
          <w:bCs/>
          <w:lang w:val="es-CO"/>
        </w:rPr>
      </w:pPr>
      <w:r>
        <w:rPr>
          <w:b/>
          <w:bCs/>
          <w:lang w:val="es-CO"/>
        </w:rPr>
        <w:t>S</w:t>
      </w:r>
      <w:r w:rsidR="00DB7A2C">
        <w:rPr>
          <w:b/>
          <w:bCs/>
          <w:lang w:val="es-CO"/>
        </w:rPr>
        <w:t>egunda</w:t>
      </w:r>
      <w:r w:rsidRPr="00743D24">
        <w:rPr>
          <w:b/>
          <w:bCs/>
          <w:lang w:val="es-CO"/>
        </w:rPr>
        <w:t xml:space="preserve"> solicitud</w:t>
      </w:r>
    </w:p>
    <w:p w14:paraId="1386C45A" w14:textId="3F9E86AF" w:rsidR="00C60557" w:rsidRPr="00C60557" w:rsidRDefault="00D56895" w:rsidP="00C60557">
      <w:pPr>
        <w:spacing w:before="240" w:after="0"/>
        <w:rPr>
          <w:i/>
          <w:iCs/>
          <w:lang w:val="es-CO"/>
        </w:rPr>
      </w:pPr>
      <w:r>
        <w:rPr>
          <w:i/>
          <w:iCs/>
          <w:lang w:val="es-CO"/>
        </w:rPr>
        <w:t>“</w:t>
      </w:r>
      <w:r w:rsidR="00C60557" w:rsidRPr="00C60557">
        <w:rPr>
          <w:i/>
          <w:iCs/>
          <w:lang w:val="es-CO"/>
        </w:rPr>
        <w:t>2.1.2. Postes N1:</w:t>
      </w:r>
    </w:p>
    <w:p w14:paraId="3427696B" w14:textId="77777777" w:rsidR="00C60557" w:rsidRPr="00C60557" w:rsidRDefault="00C60557" w:rsidP="00C60557">
      <w:pPr>
        <w:spacing w:before="240" w:after="0"/>
        <w:rPr>
          <w:i/>
          <w:iCs/>
          <w:lang w:val="es-CO"/>
        </w:rPr>
      </w:pPr>
      <w:r w:rsidRPr="00C60557">
        <w:rPr>
          <w:i/>
          <w:iCs/>
          <w:lang w:val="es-CO"/>
        </w:rPr>
        <w:t>Air-e, en cumplimiento de las indicaciones establecidas en la regulación vigente, entre ellas la expansión del SDL en el nivel de tensión 1; así como en cumplimiento con el Plan de Inversiones propuesto durante el año 2021 y 2022, ha realizado la instalación de Postes N1. Por lo que, solicitó a la Comisión la aprobación de esta UC especial. Sin embargo, a través del literal iii del numeral 2.2.4 del Documento D-501 013 de 2022 –Modificación Plan de Inversiones Air-e S.A.S. E.S.P.- la Comisión manifiesta que no es aceptada la UC Postes N1, debido a que no se adjuntan las cotizaciones de suministro e instalación, así como las consideraciones técnicas. Por lo cual nos permitimos ampliar la información solicitada a continuación.</w:t>
      </w:r>
    </w:p>
    <w:p w14:paraId="6703F49A" w14:textId="77777777" w:rsidR="00C60557" w:rsidRPr="00C60557" w:rsidRDefault="00C60557" w:rsidP="00C60557">
      <w:pPr>
        <w:spacing w:before="240" w:after="0"/>
        <w:rPr>
          <w:i/>
          <w:iCs/>
          <w:lang w:val="es-CO"/>
        </w:rPr>
      </w:pPr>
      <w:r w:rsidRPr="00C60557">
        <w:rPr>
          <w:i/>
          <w:iCs/>
          <w:lang w:val="es-CO"/>
        </w:rPr>
        <w:t>Los Postes N1, son estructuras de concreto que presentan cargas de rotura desde 500 daN a 1324 daN; y teniendo en cuenta que en la Resolución CREG 015 de 2018, la clasificación de postes de concreto se presenta por tipo de armado sin tener en cuenta su capacidad de rotura para este nivel de tensión, surge la necesidad solicitar respetuosamente a la Comisión la aprobación de estas estructuras para el nivel de tensión 1, debido a las condiciones ambientales de la zona, como la presencia de viento a altas velocidades que ocasiona que los esfuerzos realizados por los conductores sobre los postes se incrementen considerablemente.</w:t>
      </w:r>
    </w:p>
    <w:p w14:paraId="22A778A0" w14:textId="56DFC2C3" w:rsidR="00FF381D" w:rsidRDefault="00C60557" w:rsidP="00C60557">
      <w:pPr>
        <w:spacing w:before="240" w:after="0"/>
        <w:rPr>
          <w:i/>
          <w:iCs/>
          <w:lang w:val="es-CO"/>
        </w:rPr>
      </w:pPr>
      <w:r w:rsidRPr="00C60557">
        <w:rPr>
          <w:i/>
          <w:iCs/>
          <w:lang w:val="es-CO"/>
        </w:rPr>
        <w:t>Para el diseño de estas redes de distribución, se toma a consideración el resultado de los cálculos mecánicos realizados a las estructuras con la utilización de los conductores estandarizados en la norma técnica de Air-e, así como la influencia de los fuertes vientos presentes en los departamentos de Atlántico, Magdalena y La Guajira; en ese sentido, acorde con la norma sismo resistente NSR-10 se visualizan las velocidades de viento típicas de la región (ver figura 1)</w:t>
      </w:r>
      <w:r w:rsidR="00FF381D" w:rsidRPr="004B64C3">
        <w:rPr>
          <w:i/>
          <w:iCs/>
          <w:lang w:val="es-CO"/>
        </w:rPr>
        <w:t>.</w:t>
      </w:r>
    </w:p>
    <w:p w14:paraId="0239983E" w14:textId="0BBF8316" w:rsidR="0063341F" w:rsidRDefault="0063341F" w:rsidP="00C60557">
      <w:pPr>
        <w:spacing w:before="240" w:after="0"/>
        <w:rPr>
          <w:i/>
          <w:iCs/>
          <w:lang w:val="es-CO"/>
        </w:rPr>
      </w:pPr>
      <w:r>
        <w:rPr>
          <w:i/>
          <w:iCs/>
          <w:lang w:val="es-CO"/>
        </w:rPr>
        <w:t>(…)</w:t>
      </w:r>
    </w:p>
    <w:p w14:paraId="173C62D8" w14:textId="3802329D" w:rsidR="00E52C3D" w:rsidRDefault="00E52C3D" w:rsidP="00C60557">
      <w:pPr>
        <w:spacing w:before="240" w:after="0"/>
        <w:rPr>
          <w:i/>
          <w:iCs/>
          <w:lang w:val="es-CO"/>
        </w:rPr>
      </w:pPr>
      <w:r w:rsidRPr="00E52C3D">
        <w:rPr>
          <w:i/>
          <w:iCs/>
          <w:lang w:val="es-CO"/>
        </w:rPr>
        <w:t>Debido a la carga de viento y el peso de los conductores, es necesario la selección de postes más robustos, con lo cual se define la carga de rotura y el dimensionamiento de las cimentaciones.</w:t>
      </w:r>
    </w:p>
    <w:p w14:paraId="6D2861B7" w14:textId="2939C79F" w:rsidR="00E52C3D" w:rsidRDefault="00E52C3D" w:rsidP="00C60557">
      <w:pPr>
        <w:spacing w:before="240" w:after="0"/>
        <w:rPr>
          <w:i/>
          <w:iCs/>
          <w:lang w:val="es-CO"/>
        </w:rPr>
      </w:pPr>
      <w:r>
        <w:rPr>
          <w:i/>
          <w:iCs/>
          <w:lang w:val="es-CO"/>
        </w:rPr>
        <w:t>(…)</w:t>
      </w:r>
    </w:p>
    <w:p w14:paraId="63118029" w14:textId="77777777" w:rsidR="0063341F" w:rsidRPr="0063341F" w:rsidRDefault="0063341F" w:rsidP="0063341F">
      <w:pPr>
        <w:spacing w:before="240" w:after="0"/>
        <w:rPr>
          <w:i/>
          <w:iCs/>
          <w:lang w:val="es-CO"/>
        </w:rPr>
      </w:pPr>
      <w:r w:rsidRPr="0063341F">
        <w:rPr>
          <w:i/>
          <w:iCs/>
          <w:lang w:val="es-CO"/>
        </w:rPr>
        <w:lastRenderedPageBreak/>
        <w:t>En la Tabla 8, se muestran las cargas de trabajo para las estructuras de concreto, luego de considerar el coeficiente de seguridad establecido en el Artículo 25.4 del RETIE, en el cual se evidencia que un Apoyo PH – 9/1324 daN presenta una carga de trabajo de 529,6 daN, obtenida luego de dividir la carga de rotura entre el coeficiente de seguridad; soportando solo esfuerzos combinados en las zonas urbanas II y zona III (señalados en verde en la tabla anterior).</w:t>
      </w:r>
    </w:p>
    <w:p w14:paraId="2A058975" w14:textId="04EF78D7" w:rsidR="0063341F" w:rsidRDefault="0063341F" w:rsidP="0063341F">
      <w:pPr>
        <w:spacing w:before="240" w:after="0"/>
        <w:rPr>
          <w:i/>
          <w:iCs/>
          <w:lang w:val="es-CO"/>
        </w:rPr>
      </w:pPr>
      <w:r w:rsidRPr="0063341F">
        <w:rPr>
          <w:i/>
          <w:iCs/>
          <w:lang w:val="es-CO"/>
        </w:rPr>
        <w:t>Otro de los factores que influyen en la valoración de las unidades constructivas es el dimensionamiento de las cimentaciones debido a las características mecánicas del suelo. Lo anterior se debe a que los esfuerzos actuantes por tense y viento sobre los postes es transmitido a las</w:t>
      </w:r>
      <w:r w:rsidR="00933800">
        <w:rPr>
          <w:i/>
          <w:iCs/>
          <w:lang w:val="es-CO"/>
        </w:rPr>
        <w:t xml:space="preserve"> </w:t>
      </w:r>
      <w:r w:rsidR="00933800" w:rsidRPr="00933800">
        <w:rPr>
          <w:i/>
          <w:iCs/>
          <w:lang w:val="es-CO"/>
        </w:rPr>
        <w:t>cimentaciones en momentos de vuelco. Es de resaltar que un 67% de los suelos se catalogan como flojos como se muestra en la figura 2, lo cual incide en las dimensiones de las cimentaciones.</w:t>
      </w:r>
    </w:p>
    <w:p w14:paraId="478704DA" w14:textId="0A6BCBA4" w:rsidR="009170AF" w:rsidRDefault="009170AF" w:rsidP="0063341F">
      <w:pPr>
        <w:spacing w:before="240" w:after="0"/>
        <w:rPr>
          <w:i/>
          <w:iCs/>
          <w:lang w:val="es-CO"/>
        </w:rPr>
      </w:pPr>
      <w:r>
        <w:rPr>
          <w:i/>
          <w:iCs/>
          <w:lang w:val="es-CO"/>
        </w:rPr>
        <w:t>(…)</w:t>
      </w:r>
    </w:p>
    <w:p w14:paraId="790040C7" w14:textId="77777777" w:rsidR="00FD69B7" w:rsidRPr="00FD69B7" w:rsidRDefault="00FD69B7" w:rsidP="00FD69B7">
      <w:pPr>
        <w:spacing w:before="240" w:after="0"/>
        <w:rPr>
          <w:i/>
          <w:iCs/>
          <w:lang w:val="es-CO"/>
        </w:rPr>
      </w:pPr>
      <w:r w:rsidRPr="00FD69B7">
        <w:rPr>
          <w:i/>
          <w:iCs/>
          <w:lang w:val="es-CO"/>
        </w:rPr>
        <w:t>Por lo anterior, citando lo establecido en el Capítulo 14 de la Resolución CREG 015 del 2018, cuando se presentan este tipo de estructuras con características técnicas distintas a las UC establecidas por el Regulador, se pone a consideración de la Comisión la aprobación de las unidades constructivas especiales Postes N1, para asegurar una red estable mecánicamente, garantizando condiciones de seguridad para las personas acorde con los requisitos establecidos en el RETIE.</w:t>
      </w:r>
    </w:p>
    <w:p w14:paraId="19C209A8" w14:textId="77777777" w:rsidR="00FD69B7" w:rsidRPr="00FD69B7" w:rsidRDefault="00FD69B7" w:rsidP="00FD69B7">
      <w:pPr>
        <w:spacing w:before="240" w:after="0"/>
        <w:rPr>
          <w:i/>
          <w:iCs/>
          <w:lang w:val="es-CO"/>
        </w:rPr>
      </w:pPr>
      <w:r w:rsidRPr="00FD69B7">
        <w:rPr>
          <w:i/>
          <w:iCs/>
          <w:lang w:val="es-CO"/>
        </w:rPr>
        <w:t>En respuesta a: “Las solicitudes de UC especiales Postes de concreto N1 no son aceptadas dado que […] no se adjuntan las tres cotizaciones de suministro e instalación de los equipos que la conforman, para adquisiciones directas, y tampoco se envían los documentos que acreditan la realización de concursos abiertos o licitaciones, incluyendo los pliegos de solicitudes, términos de referencia, etc”.</w:t>
      </w:r>
    </w:p>
    <w:p w14:paraId="43F93325" w14:textId="77777777" w:rsidR="00FD69B7" w:rsidRPr="00FD69B7" w:rsidRDefault="00FD69B7" w:rsidP="00FD69B7">
      <w:pPr>
        <w:spacing w:before="240" w:after="0"/>
        <w:rPr>
          <w:i/>
          <w:iCs/>
          <w:lang w:val="es-CO"/>
        </w:rPr>
      </w:pPr>
      <w:r w:rsidRPr="00FD69B7">
        <w:rPr>
          <w:i/>
          <w:iCs/>
          <w:lang w:val="es-CO"/>
        </w:rPr>
        <w:t>La empresa Air-e, realiza concursos para adquisiciones de materiales y mano de obra para la instalación de postes N1. A continuación, se describe la información que se anexa en las carpetas “Invitación” y “Ofertas”.</w:t>
      </w:r>
    </w:p>
    <w:p w14:paraId="334D7635" w14:textId="4A2BE65C" w:rsidR="00FD69B7" w:rsidRDefault="00FD69B7" w:rsidP="00FD69B7">
      <w:pPr>
        <w:spacing w:before="240" w:after="0"/>
        <w:rPr>
          <w:i/>
          <w:iCs/>
          <w:lang w:val="es-CO"/>
        </w:rPr>
      </w:pPr>
      <w:r w:rsidRPr="00FD69B7">
        <w:rPr>
          <w:i/>
          <w:iCs/>
          <w:lang w:val="es-CO"/>
        </w:rPr>
        <w:t>En el Archivo “Ofertas”, las carpetas identificadas del numeral 1 al 6, son las ofertas asociadas a la mano de obra para la instalación de los postes especiales. Las firmas que ofertaron son las siguientes:</w:t>
      </w:r>
    </w:p>
    <w:p w14:paraId="19FF725C" w14:textId="77777777" w:rsidR="0014286B" w:rsidRPr="0014286B" w:rsidRDefault="0014286B" w:rsidP="0014286B">
      <w:pPr>
        <w:spacing w:before="240" w:after="0"/>
        <w:rPr>
          <w:i/>
          <w:iCs/>
          <w:lang w:val="es-CO"/>
        </w:rPr>
      </w:pPr>
      <w:r w:rsidRPr="0014286B">
        <w:rPr>
          <w:i/>
          <w:iCs/>
          <w:lang w:val="es-CO"/>
        </w:rPr>
        <w:t>▪ Cam_Colombia</w:t>
      </w:r>
    </w:p>
    <w:p w14:paraId="77D300F8" w14:textId="77777777" w:rsidR="0014286B" w:rsidRPr="0014286B" w:rsidRDefault="0014286B" w:rsidP="0014286B">
      <w:pPr>
        <w:spacing w:before="240" w:after="0"/>
        <w:rPr>
          <w:i/>
          <w:iCs/>
          <w:lang w:val="es-CO"/>
        </w:rPr>
      </w:pPr>
      <w:r w:rsidRPr="0014286B">
        <w:rPr>
          <w:i/>
          <w:iCs/>
          <w:lang w:val="es-CO"/>
        </w:rPr>
        <w:t>▪ Deltec S.A.S</w:t>
      </w:r>
    </w:p>
    <w:p w14:paraId="74D92A38" w14:textId="77777777" w:rsidR="0014286B" w:rsidRPr="0014286B" w:rsidRDefault="0014286B" w:rsidP="0014286B">
      <w:pPr>
        <w:spacing w:before="240" w:after="0"/>
        <w:rPr>
          <w:i/>
          <w:iCs/>
          <w:lang w:val="es-CO"/>
        </w:rPr>
      </w:pPr>
      <w:r w:rsidRPr="0014286B">
        <w:rPr>
          <w:i/>
          <w:iCs/>
          <w:lang w:val="es-CO"/>
        </w:rPr>
        <w:t>▪ Fscr</w:t>
      </w:r>
    </w:p>
    <w:p w14:paraId="4A35978F" w14:textId="77777777" w:rsidR="0014286B" w:rsidRPr="0014286B" w:rsidRDefault="0014286B" w:rsidP="0014286B">
      <w:pPr>
        <w:spacing w:before="240" w:after="0"/>
        <w:rPr>
          <w:i/>
          <w:iCs/>
          <w:lang w:val="es-CO"/>
        </w:rPr>
      </w:pPr>
      <w:r w:rsidRPr="0014286B">
        <w:rPr>
          <w:i/>
          <w:iCs/>
          <w:lang w:val="es-CO"/>
        </w:rPr>
        <w:t>▪ Ingenieria S.A.S</w:t>
      </w:r>
    </w:p>
    <w:p w14:paraId="3C087339" w14:textId="0504347A" w:rsidR="0014286B" w:rsidRDefault="0014286B" w:rsidP="0014286B">
      <w:pPr>
        <w:spacing w:before="240" w:after="0"/>
        <w:rPr>
          <w:i/>
          <w:iCs/>
          <w:lang w:val="es-CO"/>
        </w:rPr>
      </w:pPr>
      <w:r w:rsidRPr="0014286B">
        <w:rPr>
          <w:i/>
          <w:iCs/>
          <w:lang w:val="es-CO"/>
        </w:rPr>
        <w:t>▪ Linci</w:t>
      </w:r>
    </w:p>
    <w:p w14:paraId="4C84ADE1" w14:textId="4A9E4FFE" w:rsidR="00876B8B" w:rsidRDefault="00C13E6F" w:rsidP="005F5B71">
      <w:pPr>
        <w:spacing w:before="240" w:after="0"/>
        <w:rPr>
          <w:lang w:val="es-CO"/>
        </w:rPr>
      </w:pPr>
      <w:r w:rsidRPr="00C13E6F">
        <w:rPr>
          <w:i/>
          <w:iCs/>
          <w:lang w:val="es-CO"/>
        </w:rPr>
        <w:t>▪ Services Colombia</w:t>
      </w:r>
    </w:p>
    <w:p w14:paraId="4BFB13C0" w14:textId="487E37CD" w:rsidR="006F1458" w:rsidRPr="00D33A9F" w:rsidRDefault="006032DB" w:rsidP="005F5B71">
      <w:pPr>
        <w:spacing w:before="240" w:after="0"/>
        <w:rPr>
          <w:i/>
          <w:iCs/>
          <w:lang w:val="es-CO"/>
        </w:rPr>
      </w:pPr>
      <w:r w:rsidRPr="00D33A9F">
        <w:rPr>
          <w:i/>
          <w:iCs/>
          <w:lang w:val="es-CO"/>
        </w:rPr>
        <w:t xml:space="preserve">Para este proceso, cada oferente entrega un archivo donde se presenta el valor correspondiente a mano de obra para cada poste a instalar, en la Tabla 9, se </w:t>
      </w:r>
      <w:r w:rsidRPr="00D33A9F">
        <w:rPr>
          <w:i/>
          <w:iCs/>
          <w:lang w:val="es-CO"/>
        </w:rPr>
        <w:lastRenderedPageBreak/>
        <w:t>presentan los valores ofertados por CAM_COLOMBIA para la instalación de postes.</w:t>
      </w:r>
    </w:p>
    <w:p w14:paraId="12BFE76C" w14:textId="77777777" w:rsidR="00D33A9F" w:rsidRDefault="00D33A9F" w:rsidP="00D33A9F">
      <w:pPr>
        <w:spacing w:before="240" w:after="0"/>
        <w:rPr>
          <w:i/>
          <w:iCs/>
          <w:lang w:val="es-CO"/>
        </w:rPr>
      </w:pPr>
      <w:r>
        <w:rPr>
          <w:i/>
          <w:iCs/>
          <w:lang w:val="es-CO"/>
        </w:rPr>
        <w:t>(…)</w:t>
      </w:r>
    </w:p>
    <w:p w14:paraId="78281D65" w14:textId="44C72208" w:rsidR="0082762C" w:rsidRDefault="0082762C" w:rsidP="00D33A9F">
      <w:pPr>
        <w:spacing w:before="240" w:after="0"/>
        <w:rPr>
          <w:i/>
          <w:iCs/>
          <w:lang w:val="es-CO"/>
        </w:rPr>
      </w:pPr>
      <w:r w:rsidRPr="0082762C">
        <w:rPr>
          <w:i/>
          <w:iCs/>
          <w:lang w:val="es-CO"/>
        </w:rPr>
        <w:t>Dentro de esta oferta también se incluye valoración de la mano de obra asociada a los armados de Baja Tensión y el aplomo de postes (Tabla 10).</w:t>
      </w:r>
    </w:p>
    <w:p w14:paraId="36EF50EE" w14:textId="77777777" w:rsidR="00A74AB8" w:rsidRDefault="00A74AB8" w:rsidP="00A74AB8">
      <w:pPr>
        <w:spacing w:before="240" w:after="0"/>
        <w:rPr>
          <w:i/>
          <w:iCs/>
          <w:lang w:val="es-CO"/>
        </w:rPr>
      </w:pPr>
      <w:r>
        <w:rPr>
          <w:i/>
          <w:iCs/>
          <w:lang w:val="es-CO"/>
        </w:rPr>
        <w:t>(…)</w:t>
      </w:r>
    </w:p>
    <w:p w14:paraId="6F8160F5" w14:textId="77777777" w:rsidR="00A74AB8" w:rsidRPr="00A74AB8" w:rsidRDefault="00A74AB8" w:rsidP="00A74AB8">
      <w:pPr>
        <w:spacing w:before="240" w:after="0"/>
        <w:rPr>
          <w:i/>
          <w:iCs/>
          <w:lang w:val="es-CO"/>
        </w:rPr>
      </w:pPr>
      <w:r w:rsidRPr="00A74AB8">
        <w:rPr>
          <w:i/>
          <w:iCs/>
          <w:lang w:val="es-CO"/>
        </w:rPr>
        <w:t>En el Archivo “Ofertas”, las carpetas identificadas entre los numerales 7 al 12 contienen las ofertas presentadas para adquisición de los postes de N1.</w:t>
      </w:r>
    </w:p>
    <w:p w14:paraId="51717DCE" w14:textId="77777777" w:rsidR="00A74AB8" w:rsidRPr="00A74AB8" w:rsidRDefault="00A74AB8" w:rsidP="00A74AB8">
      <w:pPr>
        <w:spacing w:before="240" w:after="0"/>
        <w:rPr>
          <w:i/>
          <w:iCs/>
          <w:lang w:val="es-CO"/>
        </w:rPr>
      </w:pPr>
      <w:r w:rsidRPr="00A74AB8">
        <w:rPr>
          <w:i/>
          <w:iCs/>
          <w:lang w:val="es-CO"/>
        </w:rPr>
        <w:t>Adicionalmente, en la carpeta “Invitación”, se anexan los documentos soporte del concurso asociado al montaje “Postes de concreto N1” (invitación 11200122T1), en los cuales se en listan los oferentes desde el numeral 1 hasta el 7. Las firmas invitadas fueron:</w:t>
      </w:r>
    </w:p>
    <w:p w14:paraId="09F429C5" w14:textId="77777777" w:rsidR="00A74AB8" w:rsidRPr="00A74AB8" w:rsidRDefault="00A74AB8" w:rsidP="00A74AB8">
      <w:pPr>
        <w:spacing w:before="240" w:after="0"/>
        <w:rPr>
          <w:i/>
          <w:iCs/>
          <w:lang w:val="es-CO"/>
        </w:rPr>
      </w:pPr>
      <w:r w:rsidRPr="00A74AB8">
        <w:rPr>
          <w:i/>
          <w:iCs/>
          <w:lang w:val="es-CO"/>
        </w:rPr>
        <w:t>▪ Cam_Colombia</w:t>
      </w:r>
    </w:p>
    <w:p w14:paraId="76F32D8D" w14:textId="77777777" w:rsidR="00A74AB8" w:rsidRPr="00A74AB8" w:rsidRDefault="00A74AB8" w:rsidP="00A74AB8">
      <w:pPr>
        <w:spacing w:before="240" w:after="0"/>
        <w:rPr>
          <w:i/>
          <w:iCs/>
          <w:lang w:val="es-CO"/>
        </w:rPr>
      </w:pPr>
      <w:r w:rsidRPr="00A74AB8">
        <w:rPr>
          <w:i/>
          <w:iCs/>
          <w:lang w:val="es-CO"/>
        </w:rPr>
        <w:t>▪ Confipetrol</w:t>
      </w:r>
    </w:p>
    <w:p w14:paraId="6A2762E5" w14:textId="77777777" w:rsidR="00A74AB8" w:rsidRPr="00A74AB8" w:rsidRDefault="00A74AB8" w:rsidP="00A74AB8">
      <w:pPr>
        <w:spacing w:before="240" w:after="0"/>
        <w:rPr>
          <w:i/>
          <w:iCs/>
          <w:lang w:val="es-CO"/>
        </w:rPr>
      </w:pPr>
      <w:r w:rsidRPr="00A74AB8">
        <w:rPr>
          <w:i/>
          <w:iCs/>
          <w:lang w:val="es-CO"/>
        </w:rPr>
        <w:t>▪ Deltec</w:t>
      </w:r>
    </w:p>
    <w:p w14:paraId="0409E1F5" w14:textId="77777777" w:rsidR="00A74AB8" w:rsidRPr="00A74AB8" w:rsidRDefault="00A74AB8" w:rsidP="00CE4E3D">
      <w:pPr>
        <w:spacing w:before="0" w:after="0"/>
        <w:jc w:val="left"/>
        <w:rPr>
          <w:i/>
          <w:iCs/>
          <w:lang w:val="es-CO"/>
        </w:rPr>
      </w:pPr>
      <w:r w:rsidRPr="00A74AB8">
        <w:rPr>
          <w:i/>
          <w:iCs/>
          <w:lang w:val="es-CO"/>
        </w:rPr>
        <w:t>▪ Fscr</w:t>
      </w:r>
    </w:p>
    <w:p w14:paraId="0A2E23A9" w14:textId="77777777" w:rsidR="00A74AB8" w:rsidRPr="00A74AB8" w:rsidRDefault="00A74AB8" w:rsidP="00A74AB8">
      <w:pPr>
        <w:spacing w:before="240" w:after="0"/>
        <w:rPr>
          <w:i/>
          <w:iCs/>
          <w:lang w:val="es-CO"/>
        </w:rPr>
      </w:pPr>
      <w:r w:rsidRPr="00A74AB8">
        <w:rPr>
          <w:i/>
          <w:iCs/>
          <w:lang w:val="es-CO"/>
        </w:rPr>
        <w:t>▪ Ingenieria S.A.S</w:t>
      </w:r>
    </w:p>
    <w:p w14:paraId="271AD1F4" w14:textId="77777777" w:rsidR="00A74AB8" w:rsidRPr="00A74AB8" w:rsidRDefault="00A74AB8" w:rsidP="00A74AB8">
      <w:pPr>
        <w:spacing w:before="240" w:after="0"/>
        <w:rPr>
          <w:i/>
          <w:iCs/>
          <w:lang w:val="es-CO"/>
        </w:rPr>
      </w:pPr>
      <w:r w:rsidRPr="00A74AB8">
        <w:rPr>
          <w:i/>
          <w:iCs/>
          <w:lang w:val="es-CO"/>
        </w:rPr>
        <w:t>▪ Linci</w:t>
      </w:r>
    </w:p>
    <w:p w14:paraId="4AF54306" w14:textId="77777777" w:rsidR="00A74AB8" w:rsidRPr="00A74AB8" w:rsidRDefault="00A74AB8" w:rsidP="00A74AB8">
      <w:pPr>
        <w:spacing w:before="240" w:after="0"/>
        <w:rPr>
          <w:i/>
          <w:iCs/>
          <w:lang w:val="es-CO"/>
        </w:rPr>
      </w:pPr>
      <w:r w:rsidRPr="00A74AB8">
        <w:rPr>
          <w:i/>
          <w:iCs/>
          <w:lang w:val="es-CO"/>
        </w:rPr>
        <w:t>▪ Services Colombia</w:t>
      </w:r>
    </w:p>
    <w:p w14:paraId="3E191EA9" w14:textId="77777777" w:rsidR="00A74AB8" w:rsidRPr="00A74AB8" w:rsidRDefault="00A74AB8" w:rsidP="00A74AB8">
      <w:pPr>
        <w:spacing w:before="240" w:after="0"/>
        <w:rPr>
          <w:i/>
          <w:iCs/>
          <w:lang w:val="es-CO"/>
        </w:rPr>
      </w:pPr>
      <w:r w:rsidRPr="00A74AB8">
        <w:rPr>
          <w:i/>
          <w:iCs/>
          <w:lang w:val="es-CO"/>
        </w:rPr>
        <w:t>Los oferentes que participaron de la invitación (41103921T1) suministro de “Postes de concreto N1”, se presentan en los archivos listados desde el numeral 8 hasta el 13. Por último, en el numeral 14 se encuentra el “Pliego de invitación privada a negociar” por parte de Air-e S.A.S E.S.P.</w:t>
      </w:r>
    </w:p>
    <w:p w14:paraId="64BA1F4C" w14:textId="77777777" w:rsidR="00A74AB8" w:rsidRPr="00A74AB8" w:rsidRDefault="00A74AB8" w:rsidP="00A74AB8">
      <w:pPr>
        <w:spacing w:before="240" w:after="0"/>
        <w:rPr>
          <w:i/>
          <w:iCs/>
          <w:lang w:val="es-CO"/>
        </w:rPr>
      </w:pPr>
      <w:r w:rsidRPr="00A74AB8">
        <w:rPr>
          <w:i/>
          <w:iCs/>
          <w:lang w:val="es-CO"/>
        </w:rPr>
        <w:t>▪ Camel</w:t>
      </w:r>
    </w:p>
    <w:p w14:paraId="534F81A5" w14:textId="77777777" w:rsidR="00A74AB8" w:rsidRPr="00A74AB8" w:rsidRDefault="00A74AB8" w:rsidP="00A74AB8">
      <w:pPr>
        <w:spacing w:before="240" w:after="0"/>
        <w:rPr>
          <w:i/>
          <w:iCs/>
          <w:lang w:val="es-CO"/>
        </w:rPr>
      </w:pPr>
      <w:r w:rsidRPr="00A74AB8">
        <w:rPr>
          <w:i/>
          <w:iCs/>
          <w:lang w:val="es-CO"/>
        </w:rPr>
        <w:t>▪ Dimel</w:t>
      </w:r>
    </w:p>
    <w:p w14:paraId="2C2D8B62" w14:textId="77777777" w:rsidR="00A74AB8" w:rsidRPr="00A74AB8" w:rsidRDefault="00A74AB8" w:rsidP="00A74AB8">
      <w:pPr>
        <w:spacing w:before="240" w:after="0"/>
        <w:rPr>
          <w:i/>
          <w:iCs/>
          <w:lang w:val="es-CO"/>
        </w:rPr>
      </w:pPr>
      <w:r w:rsidRPr="00A74AB8">
        <w:rPr>
          <w:i/>
          <w:iCs/>
          <w:lang w:val="es-CO"/>
        </w:rPr>
        <w:t>▪ Fibratore</w:t>
      </w:r>
    </w:p>
    <w:p w14:paraId="6A48EC6A" w14:textId="77777777" w:rsidR="00A74AB8" w:rsidRPr="00A74AB8" w:rsidRDefault="00A74AB8" w:rsidP="00A74AB8">
      <w:pPr>
        <w:spacing w:before="240" w:after="0"/>
        <w:rPr>
          <w:i/>
          <w:iCs/>
          <w:lang w:val="es-CO"/>
        </w:rPr>
      </w:pPr>
      <w:r w:rsidRPr="00A74AB8">
        <w:rPr>
          <w:i/>
          <w:iCs/>
          <w:lang w:val="es-CO"/>
        </w:rPr>
        <w:t>▪ Manofacturas Cementos</w:t>
      </w:r>
    </w:p>
    <w:p w14:paraId="0AA29918" w14:textId="77777777" w:rsidR="00A74AB8" w:rsidRPr="00A74AB8" w:rsidRDefault="00A74AB8" w:rsidP="00A74AB8">
      <w:pPr>
        <w:spacing w:before="240" w:after="0"/>
        <w:rPr>
          <w:i/>
          <w:iCs/>
          <w:lang w:val="es-CO"/>
        </w:rPr>
      </w:pPr>
      <w:r w:rsidRPr="00A74AB8">
        <w:rPr>
          <w:i/>
          <w:iCs/>
          <w:lang w:val="es-CO"/>
        </w:rPr>
        <w:t>▪ Pretecor</w:t>
      </w:r>
    </w:p>
    <w:p w14:paraId="1AD7E77E" w14:textId="77777777" w:rsidR="00A74AB8" w:rsidRPr="00A74AB8" w:rsidRDefault="00A74AB8" w:rsidP="00A74AB8">
      <w:pPr>
        <w:spacing w:before="240" w:after="0"/>
        <w:rPr>
          <w:i/>
          <w:iCs/>
          <w:lang w:val="es-CO"/>
        </w:rPr>
      </w:pPr>
      <w:r w:rsidRPr="00A74AB8">
        <w:rPr>
          <w:i/>
          <w:iCs/>
          <w:lang w:val="es-CO"/>
        </w:rPr>
        <w:t>▪ Pretolsa</w:t>
      </w:r>
    </w:p>
    <w:p w14:paraId="67D881F8" w14:textId="77777777" w:rsidR="00A74AB8" w:rsidRPr="00A74AB8" w:rsidRDefault="00A74AB8" w:rsidP="00A74AB8">
      <w:pPr>
        <w:spacing w:before="240" w:after="0"/>
        <w:rPr>
          <w:i/>
          <w:iCs/>
          <w:lang w:val="es-CO"/>
        </w:rPr>
      </w:pPr>
      <w:r w:rsidRPr="00A74AB8">
        <w:rPr>
          <w:i/>
          <w:iCs/>
          <w:lang w:val="es-CO"/>
        </w:rPr>
        <w:t>En consecuencia, los criterios para la creación de estas UC, se muestran en mayor detalle en el Documento Justificación Técnica Postes Especiales N1, dentro del Anexo 2 “Soportes UC Especiales”, donde también se adjuntan las ofertas para su adquisición e instalación antes mencionadas. De esta manera, se complementa lo establecido en el Capítulo 14 de la Resolución CREG 015 de 2018 respecto a los requerimientos de la solicitud de Unidades Constructivas Especiales.</w:t>
      </w:r>
    </w:p>
    <w:tbl>
      <w:tblPr>
        <w:tblStyle w:val="Tablaconcuadrcula"/>
        <w:tblpPr w:leftFromText="141" w:rightFromText="141" w:vertAnchor="page" w:horzAnchor="margin" w:tblpX="-147" w:tblpY="4681"/>
        <w:tblW w:w="5230" w:type="pct"/>
        <w:tblLayout w:type="fixed"/>
        <w:tblLook w:val="04A0" w:firstRow="1" w:lastRow="0" w:firstColumn="1" w:lastColumn="0" w:noHBand="0" w:noVBand="1"/>
      </w:tblPr>
      <w:tblGrid>
        <w:gridCol w:w="851"/>
        <w:gridCol w:w="862"/>
        <w:gridCol w:w="1416"/>
        <w:gridCol w:w="978"/>
        <w:gridCol w:w="993"/>
        <w:gridCol w:w="991"/>
        <w:gridCol w:w="993"/>
        <w:gridCol w:w="991"/>
        <w:gridCol w:w="993"/>
        <w:gridCol w:w="708"/>
      </w:tblGrid>
      <w:tr w:rsidR="003B5941" w:rsidRPr="005012E4" w14:paraId="13541351" w14:textId="77777777" w:rsidTr="00295069">
        <w:trPr>
          <w:trHeight w:val="227"/>
        </w:trPr>
        <w:tc>
          <w:tcPr>
            <w:tcW w:w="876" w:type="pct"/>
            <w:gridSpan w:val="2"/>
            <w:noWrap/>
            <w:vAlign w:val="center"/>
            <w:hideMark/>
          </w:tcPr>
          <w:p w14:paraId="54E86B71"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lastRenderedPageBreak/>
              <w:t>UC</w:t>
            </w:r>
          </w:p>
        </w:tc>
        <w:tc>
          <w:tcPr>
            <w:tcW w:w="724" w:type="pct"/>
            <w:noWrap/>
            <w:vAlign w:val="center"/>
            <w:hideMark/>
          </w:tcPr>
          <w:p w14:paraId="736E9FDF"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DESCRIPCIÓN UNIDAD CONSTRUCTIVA ESPECIAL N1</w:t>
            </w:r>
          </w:p>
        </w:tc>
        <w:tc>
          <w:tcPr>
            <w:tcW w:w="1008" w:type="pct"/>
            <w:gridSpan w:val="2"/>
            <w:noWrap/>
            <w:vAlign w:val="center"/>
            <w:hideMark/>
          </w:tcPr>
          <w:p w14:paraId="75F81556"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DDP</w:t>
            </w:r>
          </w:p>
        </w:tc>
        <w:tc>
          <w:tcPr>
            <w:tcW w:w="1015" w:type="pct"/>
            <w:gridSpan w:val="2"/>
            <w:noWrap/>
            <w:vAlign w:val="center"/>
            <w:hideMark/>
          </w:tcPr>
          <w:p w14:paraId="495770AA"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MONTAJE</w:t>
            </w:r>
          </w:p>
        </w:tc>
        <w:tc>
          <w:tcPr>
            <w:tcW w:w="1015" w:type="pct"/>
            <w:gridSpan w:val="2"/>
            <w:noWrap/>
            <w:vAlign w:val="center"/>
            <w:hideMark/>
          </w:tcPr>
          <w:p w14:paraId="3A89FD4E"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OBRA CIVIL</w:t>
            </w:r>
          </w:p>
        </w:tc>
        <w:tc>
          <w:tcPr>
            <w:tcW w:w="363" w:type="pct"/>
            <w:noWrap/>
            <w:vAlign w:val="center"/>
            <w:hideMark/>
          </w:tcPr>
          <w:p w14:paraId="5AC7611E" w14:textId="77777777" w:rsidR="002F12A4" w:rsidRPr="005012E4" w:rsidRDefault="002F12A4" w:rsidP="0034744C">
            <w:pPr>
              <w:spacing w:before="0" w:after="0"/>
              <w:jc w:val="left"/>
              <w:rPr>
                <w:b/>
                <w:bCs/>
                <w:i/>
                <w:iCs/>
                <w:sz w:val="12"/>
                <w:szCs w:val="12"/>
                <w:lang w:val="es-CO"/>
              </w:rPr>
            </w:pPr>
            <w:r w:rsidRPr="005012E4">
              <w:rPr>
                <w:b/>
                <w:bCs/>
                <w:i/>
                <w:iCs/>
                <w:sz w:val="12"/>
                <w:szCs w:val="12"/>
                <w:lang w:val="es-CO"/>
              </w:rPr>
              <w:t>INGENIERIA</w:t>
            </w:r>
          </w:p>
        </w:tc>
      </w:tr>
      <w:tr w:rsidR="003B5941" w:rsidRPr="005012E4" w14:paraId="5B9CC292" w14:textId="77777777" w:rsidTr="00295069">
        <w:trPr>
          <w:trHeight w:val="227"/>
        </w:trPr>
        <w:tc>
          <w:tcPr>
            <w:tcW w:w="435" w:type="pct"/>
            <w:noWrap/>
            <w:vAlign w:val="center"/>
            <w:hideMark/>
          </w:tcPr>
          <w:p w14:paraId="5BBF848E"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Suspensión</w:t>
            </w:r>
          </w:p>
        </w:tc>
        <w:tc>
          <w:tcPr>
            <w:tcW w:w="441" w:type="pct"/>
            <w:noWrap/>
            <w:vAlign w:val="center"/>
            <w:hideMark/>
          </w:tcPr>
          <w:p w14:paraId="5D4D229C"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Retención</w:t>
            </w:r>
          </w:p>
        </w:tc>
        <w:tc>
          <w:tcPr>
            <w:tcW w:w="724" w:type="pct"/>
            <w:noWrap/>
            <w:vAlign w:val="center"/>
            <w:hideMark/>
          </w:tcPr>
          <w:p w14:paraId="7335B181" w14:textId="77777777" w:rsidR="002F12A4" w:rsidRPr="005012E4" w:rsidRDefault="002F12A4" w:rsidP="0034744C">
            <w:pPr>
              <w:spacing w:before="0" w:after="0"/>
              <w:jc w:val="left"/>
              <w:rPr>
                <w:b/>
                <w:bCs/>
                <w:i/>
                <w:iCs/>
                <w:sz w:val="12"/>
                <w:szCs w:val="12"/>
                <w:lang w:val="es-CO"/>
              </w:rPr>
            </w:pPr>
          </w:p>
        </w:tc>
        <w:tc>
          <w:tcPr>
            <w:tcW w:w="500" w:type="pct"/>
            <w:noWrap/>
            <w:vAlign w:val="center"/>
            <w:hideMark/>
          </w:tcPr>
          <w:p w14:paraId="6DE7A536"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Suspensión</w:t>
            </w:r>
          </w:p>
        </w:tc>
        <w:tc>
          <w:tcPr>
            <w:tcW w:w="508" w:type="pct"/>
            <w:noWrap/>
            <w:vAlign w:val="center"/>
            <w:hideMark/>
          </w:tcPr>
          <w:p w14:paraId="6AB9F27D"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Retención</w:t>
            </w:r>
          </w:p>
        </w:tc>
        <w:tc>
          <w:tcPr>
            <w:tcW w:w="507" w:type="pct"/>
            <w:noWrap/>
            <w:vAlign w:val="center"/>
            <w:hideMark/>
          </w:tcPr>
          <w:p w14:paraId="7A989892"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Suspensión</w:t>
            </w:r>
          </w:p>
        </w:tc>
        <w:tc>
          <w:tcPr>
            <w:tcW w:w="508" w:type="pct"/>
            <w:noWrap/>
            <w:vAlign w:val="center"/>
            <w:hideMark/>
          </w:tcPr>
          <w:p w14:paraId="4B222036"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Retención</w:t>
            </w:r>
          </w:p>
        </w:tc>
        <w:tc>
          <w:tcPr>
            <w:tcW w:w="507" w:type="pct"/>
            <w:noWrap/>
            <w:vAlign w:val="center"/>
            <w:hideMark/>
          </w:tcPr>
          <w:p w14:paraId="773A852A"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Suspensión</w:t>
            </w:r>
          </w:p>
        </w:tc>
        <w:tc>
          <w:tcPr>
            <w:tcW w:w="508" w:type="pct"/>
            <w:noWrap/>
            <w:vAlign w:val="center"/>
            <w:hideMark/>
          </w:tcPr>
          <w:p w14:paraId="1B139C63" w14:textId="77777777" w:rsidR="002F12A4" w:rsidRPr="005012E4" w:rsidRDefault="002F12A4" w:rsidP="0034744C">
            <w:pPr>
              <w:spacing w:before="0" w:after="0"/>
              <w:jc w:val="center"/>
              <w:rPr>
                <w:b/>
                <w:bCs/>
                <w:i/>
                <w:iCs/>
                <w:sz w:val="12"/>
                <w:szCs w:val="12"/>
                <w:lang w:val="es-CO"/>
              </w:rPr>
            </w:pPr>
            <w:r w:rsidRPr="005012E4">
              <w:rPr>
                <w:b/>
                <w:bCs/>
                <w:i/>
                <w:iCs/>
                <w:sz w:val="12"/>
                <w:szCs w:val="12"/>
                <w:lang w:val="es-CO"/>
              </w:rPr>
              <w:t>Retención</w:t>
            </w:r>
          </w:p>
        </w:tc>
        <w:tc>
          <w:tcPr>
            <w:tcW w:w="363" w:type="pct"/>
            <w:noWrap/>
            <w:vAlign w:val="center"/>
            <w:hideMark/>
          </w:tcPr>
          <w:p w14:paraId="5A634CD1" w14:textId="77777777" w:rsidR="002F12A4" w:rsidRPr="005012E4" w:rsidRDefault="002F12A4" w:rsidP="0034744C">
            <w:pPr>
              <w:spacing w:before="0" w:after="0"/>
              <w:jc w:val="left"/>
              <w:rPr>
                <w:i/>
                <w:iCs/>
                <w:sz w:val="12"/>
                <w:szCs w:val="12"/>
                <w:lang w:val="es-CO"/>
              </w:rPr>
            </w:pPr>
          </w:p>
        </w:tc>
      </w:tr>
      <w:tr w:rsidR="003B5941" w:rsidRPr="005012E4" w14:paraId="71C3802A" w14:textId="77777777" w:rsidTr="00295069">
        <w:trPr>
          <w:trHeight w:val="227"/>
        </w:trPr>
        <w:tc>
          <w:tcPr>
            <w:tcW w:w="435" w:type="pct"/>
            <w:noWrap/>
            <w:vAlign w:val="center"/>
            <w:hideMark/>
          </w:tcPr>
          <w:p w14:paraId="064DFD7D" w14:textId="77777777" w:rsidR="002F12A4" w:rsidRPr="005012E4" w:rsidRDefault="002F12A4" w:rsidP="0034744C">
            <w:pPr>
              <w:spacing w:before="0" w:after="0"/>
              <w:jc w:val="left"/>
              <w:rPr>
                <w:i/>
                <w:iCs/>
                <w:sz w:val="12"/>
                <w:szCs w:val="12"/>
                <w:lang w:val="es-CO"/>
              </w:rPr>
            </w:pPr>
            <w:r w:rsidRPr="005012E4">
              <w:rPr>
                <w:i/>
                <w:iCs/>
                <w:sz w:val="12"/>
                <w:szCs w:val="12"/>
                <w:lang w:val="es-CO"/>
              </w:rPr>
              <w:t>N1P01E</w:t>
            </w:r>
          </w:p>
        </w:tc>
        <w:tc>
          <w:tcPr>
            <w:tcW w:w="441" w:type="pct"/>
            <w:noWrap/>
            <w:vAlign w:val="center"/>
            <w:hideMark/>
          </w:tcPr>
          <w:p w14:paraId="79024E11" w14:textId="77777777" w:rsidR="002F12A4" w:rsidRPr="005012E4" w:rsidRDefault="002F12A4" w:rsidP="0034744C">
            <w:pPr>
              <w:spacing w:before="0" w:after="0"/>
              <w:jc w:val="left"/>
              <w:rPr>
                <w:i/>
                <w:iCs/>
                <w:sz w:val="12"/>
                <w:szCs w:val="12"/>
                <w:lang w:val="es-CO"/>
              </w:rPr>
            </w:pPr>
            <w:r w:rsidRPr="005012E4">
              <w:rPr>
                <w:i/>
                <w:iCs/>
                <w:sz w:val="12"/>
                <w:szCs w:val="12"/>
                <w:lang w:val="es-CO"/>
              </w:rPr>
              <w:t>N1P06E</w:t>
            </w:r>
          </w:p>
        </w:tc>
        <w:tc>
          <w:tcPr>
            <w:tcW w:w="724" w:type="pct"/>
            <w:noWrap/>
            <w:vAlign w:val="center"/>
            <w:hideMark/>
          </w:tcPr>
          <w:p w14:paraId="6879E214" w14:textId="77777777" w:rsidR="002F12A4" w:rsidRPr="005012E4" w:rsidRDefault="002F12A4" w:rsidP="0034744C">
            <w:pPr>
              <w:spacing w:before="0" w:after="0"/>
              <w:jc w:val="left"/>
              <w:rPr>
                <w:i/>
                <w:iCs/>
                <w:sz w:val="12"/>
                <w:szCs w:val="12"/>
                <w:lang w:val="es-CO"/>
              </w:rPr>
            </w:pPr>
            <w:r w:rsidRPr="005012E4">
              <w:rPr>
                <w:i/>
                <w:iCs/>
                <w:sz w:val="12"/>
                <w:szCs w:val="12"/>
                <w:lang w:val="es-CO"/>
              </w:rPr>
              <w:t>POSTE CONCRETO 9M 500daN</w:t>
            </w:r>
          </w:p>
        </w:tc>
        <w:tc>
          <w:tcPr>
            <w:tcW w:w="500" w:type="pct"/>
            <w:noWrap/>
            <w:vAlign w:val="center"/>
            <w:hideMark/>
          </w:tcPr>
          <w:p w14:paraId="26E2F581" w14:textId="77777777" w:rsidR="002F12A4" w:rsidRPr="005012E4" w:rsidRDefault="002F12A4" w:rsidP="0034744C">
            <w:pPr>
              <w:spacing w:before="0" w:after="0"/>
              <w:jc w:val="right"/>
              <w:rPr>
                <w:i/>
                <w:iCs/>
                <w:sz w:val="12"/>
                <w:szCs w:val="12"/>
                <w:lang w:val="es-CO"/>
              </w:rPr>
            </w:pPr>
            <w:r w:rsidRPr="005012E4">
              <w:rPr>
                <w:i/>
                <w:iCs/>
                <w:sz w:val="12"/>
                <w:szCs w:val="12"/>
                <w:lang w:val="es-CO"/>
              </w:rPr>
              <w:t>$450.158</w:t>
            </w:r>
          </w:p>
        </w:tc>
        <w:tc>
          <w:tcPr>
            <w:tcW w:w="508" w:type="pct"/>
            <w:noWrap/>
            <w:vAlign w:val="center"/>
            <w:hideMark/>
          </w:tcPr>
          <w:p w14:paraId="6BF12057" w14:textId="26ABA2BC" w:rsidR="002F12A4" w:rsidRPr="005012E4" w:rsidRDefault="002F12A4" w:rsidP="0034744C">
            <w:pPr>
              <w:spacing w:before="0" w:after="0"/>
              <w:jc w:val="right"/>
              <w:rPr>
                <w:i/>
                <w:iCs/>
                <w:sz w:val="12"/>
                <w:szCs w:val="12"/>
                <w:lang w:val="es-CO"/>
              </w:rPr>
            </w:pPr>
            <w:r w:rsidRPr="005012E4">
              <w:rPr>
                <w:i/>
                <w:iCs/>
                <w:sz w:val="12"/>
                <w:szCs w:val="12"/>
                <w:lang w:val="es-CO"/>
              </w:rPr>
              <w:t>$760.176</w:t>
            </w:r>
          </w:p>
        </w:tc>
        <w:tc>
          <w:tcPr>
            <w:tcW w:w="507" w:type="pct"/>
            <w:noWrap/>
            <w:vAlign w:val="center"/>
            <w:hideMark/>
          </w:tcPr>
          <w:p w14:paraId="1C729894" w14:textId="77777777" w:rsidR="002F12A4" w:rsidRPr="005012E4" w:rsidRDefault="002F12A4" w:rsidP="0034744C">
            <w:pPr>
              <w:spacing w:before="0" w:after="0"/>
              <w:jc w:val="right"/>
              <w:rPr>
                <w:i/>
                <w:iCs/>
                <w:sz w:val="12"/>
                <w:szCs w:val="12"/>
                <w:lang w:val="es-CO"/>
              </w:rPr>
            </w:pPr>
            <w:r w:rsidRPr="005012E4">
              <w:rPr>
                <w:i/>
                <w:iCs/>
                <w:sz w:val="12"/>
                <w:szCs w:val="12"/>
                <w:lang w:val="es-CO"/>
              </w:rPr>
              <w:t>$405.661</w:t>
            </w:r>
          </w:p>
        </w:tc>
        <w:tc>
          <w:tcPr>
            <w:tcW w:w="508" w:type="pct"/>
            <w:noWrap/>
            <w:vAlign w:val="center"/>
            <w:hideMark/>
          </w:tcPr>
          <w:p w14:paraId="735419B0" w14:textId="77777777" w:rsidR="002F12A4" w:rsidRPr="005012E4" w:rsidRDefault="002F12A4" w:rsidP="0034744C">
            <w:pPr>
              <w:spacing w:before="0" w:after="0"/>
              <w:jc w:val="right"/>
              <w:rPr>
                <w:i/>
                <w:iCs/>
                <w:sz w:val="12"/>
                <w:szCs w:val="12"/>
                <w:lang w:val="es-CO"/>
              </w:rPr>
            </w:pPr>
            <w:r w:rsidRPr="005012E4">
              <w:rPr>
                <w:i/>
                <w:iCs/>
                <w:sz w:val="12"/>
                <w:szCs w:val="12"/>
                <w:lang w:val="es-CO"/>
              </w:rPr>
              <w:t>$549.273</w:t>
            </w:r>
          </w:p>
        </w:tc>
        <w:tc>
          <w:tcPr>
            <w:tcW w:w="507" w:type="pct"/>
            <w:noWrap/>
            <w:vAlign w:val="center"/>
            <w:hideMark/>
          </w:tcPr>
          <w:p w14:paraId="7C6A706A" w14:textId="77777777" w:rsidR="002F12A4" w:rsidRPr="005012E4" w:rsidRDefault="002F12A4" w:rsidP="0034744C">
            <w:pPr>
              <w:spacing w:before="0" w:after="0"/>
              <w:jc w:val="right"/>
              <w:rPr>
                <w:i/>
                <w:iCs/>
                <w:sz w:val="12"/>
                <w:szCs w:val="12"/>
                <w:lang w:val="es-CO"/>
              </w:rPr>
            </w:pPr>
            <w:r w:rsidRPr="005012E4">
              <w:rPr>
                <w:i/>
                <w:iCs/>
                <w:sz w:val="12"/>
                <w:szCs w:val="12"/>
                <w:lang w:val="es-CO"/>
              </w:rPr>
              <w:t>$703.072</w:t>
            </w:r>
          </w:p>
        </w:tc>
        <w:tc>
          <w:tcPr>
            <w:tcW w:w="508" w:type="pct"/>
            <w:noWrap/>
            <w:vAlign w:val="center"/>
            <w:hideMark/>
          </w:tcPr>
          <w:p w14:paraId="1A679FE6" w14:textId="77777777" w:rsidR="002F12A4" w:rsidRPr="005012E4" w:rsidRDefault="002F12A4" w:rsidP="0034744C">
            <w:pPr>
              <w:spacing w:before="0" w:after="0"/>
              <w:jc w:val="right"/>
              <w:rPr>
                <w:i/>
                <w:iCs/>
                <w:sz w:val="12"/>
                <w:szCs w:val="12"/>
                <w:lang w:val="es-CO"/>
              </w:rPr>
            </w:pPr>
            <w:r w:rsidRPr="005012E4">
              <w:rPr>
                <w:i/>
                <w:iCs/>
                <w:sz w:val="12"/>
                <w:szCs w:val="12"/>
                <w:lang w:val="es-CO"/>
              </w:rPr>
              <w:t>$ 703.072</w:t>
            </w:r>
          </w:p>
        </w:tc>
        <w:tc>
          <w:tcPr>
            <w:tcW w:w="363" w:type="pct"/>
            <w:noWrap/>
            <w:vAlign w:val="center"/>
            <w:hideMark/>
          </w:tcPr>
          <w:p w14:paraId="146E0B1B" w14:textId="77777777" w:rsidR="002F12A4" w:rsidRPr="005012E4" w:rsidRDefault="002F12A4" w:rsidP="0034744C">
            <w:pPr>
              <w:spacing w:before="0" w:after="0"/>
              <w:jc w:val="right"/>
              <w:rPr>
                <w:i/>
                <w:iCs/>
                <w:sz w:val="12"/>
                <w:szCs w:val="12"/>
                <w:lang w:val="es-CO"/>
              </w:rPr>
            </w:pPr>
            <w:r w:rsidRPr="005012E4">
              <w:rPr>
                <w:i/>
                <w:iCs/>
                <w:sz w:val="12"/>
                <w:szCs w:val="12"/>
                <w:lang w:val="es-CO"/>
              </w:rPr>
              <w:t>$46.772</w:t>
            </w:r>
          </w:p>
        </w:tc>
      </w:tr>
      <w:tr w:rsidR="003B5941" w:rsidRPr="005012E4" w14:paraId="4C71A78D" w14:textId="77777777" w:rsidTr="00295069">
        <w:trPr>
          <w:trHeight w:val="227"/>
        </w:trPr>
        <w:tc>
          <w:tcPr>
            <w:tcW w:w="435" w:type="pct"/>
            <w:noWrap/>
            <w:vAlign w:val="center"/>
            <w:hideMark/>
          </w:tcPr>
          <w:p w14:paraId="6B90D6BB" w14:textId="77777777" w:rsidR="002F12A4" w:rsidRPr="005012E4" w:rsidRDefault="002F12A4" w:rsidP="0034744C">
            <w:pPr>
              <w:spacing w:before="0" w:after="0"/>
              <w:jc w:val="left"/>
              <w:rPr>
                <w:i/>
                <w:iCs/>
                <w:sz w:val="12"/>
                <w:szCs w:val="12"/>
                <w:lang w:val="es-CO"/>
              </w:rPr>
            </w:pPr>
            <w:r w:rsidRPr="005012E4">
              <w:rPr>
                <w:i/>
                <w:iCs/>
                <w:sz w:val="12"/>
                <w:szCs w:val="12"/>
                <w:lang w:val="es-CO"/>
              </w:rPr>
              <w:t>N1P02E</w:t>
            </w:r>
          </w:p>
        </w:tc>
        <w:tc>
          <w:tcPr>
            <w:tcW w:w="441" w:type="pct"/>
            <w:noWrap/>
            <w:vAlign w:val="center"/>
            <w:hideMark/>
          </w:tcPr>
          <w:p w14:paraId="2E8AB06E" w14:textId="77777777" w:rsidR="002F12A4" w:rsidRPr="005012E4" w:rsidRDefault="002F12A4" w:rsidP="0034744C">
            <w:pPr>
              <w:spacing w:before="0" w:after="0"/>
              <w:jc w:val="left"/>
              <w:rPr>
                <w:i/>
                <w:iCs/>
                <w:sz w:val="12"/>
                <w:szCs w:val="12"/>
                <w:lang w:val="es-CO"/>
              </w:rPr>
            </w:pPr>
            <w:r w:rsidRPr="005012E4">
              <w:rPr>
                <w:i/>
                <w:iCs/>
                <w:sz w:val="12"/>
                <w:szCs w:val="12"/>
                <w:lang w:val="es-CO"/>
              </w:rPr>
              <w:t>N1P07E</w:t>
            </w:r>
          </w:p>
        </w:tc>
        <w:tc>
          <w:tcPr>
            <w:tcW w:w="724" w:type="pct"/>
            <w:noWrap/>
            <w:vAlign w:val="center"/>
            <w:hideMark/>
          </w:tcPr>
          <w:p w14:paraId="199F4667" w14:textId="77777777" w:rsidR="002F12A4" w:rsidRPr="005012E4" w:rsidRDefault="002F12A4" w:rsidP="0034744C">
            <w:pPr>
              <w:spacing w:before="0" w:after="0"/>
              <w:jc w:val="left"/>
              <w:rPr>
                <w:i/>
                <w:iCs/>
                <w:sz w:val="12"/>
                <w:szCs w:val="12"/>
                <w:lang w:val="es-CO"/>
              </w:rPr>
            </w:pPr>
            <w:r w:rsidRPr="005012E4">
              <w:rPr>
                <w:i/>
                <w:iCs/>
                <w:sz w:val="12"/>
                <w:szCs w:val="12"/>
                <w:lang w:val="es-CO"/>
              </w:rPr>
              <w:t>POSTE CONCRETO 9M 735daN</w:t>
            </w:r>
          </w:p>
        </w:tc>
        <w:tc>
          <w:tcPr>
            <w:tcW w:w="500" w:type="pct"/>
            <w:noWrap/>
            <w:vAlign w:val="center"/>
            <w:hideMark/>
          </w:tcPr>
          <w:p w14:paraId="0E5C9A1D" w14:textId="77777777" w:rsidR="002F12A4" w:rsidRPr="005012E4" w:rsidRDefault="002F12A4" w:rsidP="0034744C">
            <w:pPr>
              <w:spacing w:before="0" w:after="0"/>
              <w:jc w:val="right"/>
              <w:rPr>
                <w:i/>
                <w:iCs/>
                <w:sz w:val="12"/>
                <w:szCs w:val="12"/>
                <w:lang w:val="es-CO"/>
              </w:rPr>
            </w:pPr>
            <w:r w:rsidRPr="005012E4">
              <w:rPr>
                <w:i/>
                <w:iCs/>
                <w:sz w:val="12"/>
                <w:szCs w:val="12"/>
                <w:lang w:val="es-CO"/>
              </w:rPr>
              <w:t>$491.808</w:t>
            </w:r>
          </w:p>
        </w:tc>
        <w:tc>
          <w:tcPr>
            <w:tcW w:w="508" w:type="pct"/>
            <w:noWrap/>
            <w:vAlign w:val="center"/>
            <w:hideMark/>
          </w:tcPr>
          <w:p w14:paraId="119102F6" w14:textId="2E66F882" w:rsidR="002F12A4" w:rsidRPr="005012E4" w:rsidRDefault="002F12A4" w:rsidP="0034744C">
            <w:pPr>
              <w:spacing w:before="0" w:after="0"/>
              <w:jc w:val="right"/>
              <w:rPr>
                <w:i/>
                <w:iCs/>
                <w:sz w:val="12"/>
                <w:szCs w:val="12"/>
                <w:lang w:val="es-CO"/>
              </w:rPr>
            </w:pPr>
            <w:r w:rsidRPr="005012E4">
              <w:rPr>
                <w:i/>
                <w:iCs/>
                <w:sz w:val="12"/>
                <w:szCs w:val="12"/>
                <w:lang w:val="es-CO"/>
              </w:rPr>
              <w:t>$801.826</w:t>
            </w:r>
          </w:p>
        </w:tc>
        <w:tc>
          <w:tcPr>
            <w:tcW w:w="507" w:type="pct"/>
            <w:noWrap/>
            <w:vAlign w:val="center"/>
            <w:hideMark/>
          </w:tcPr>
          <w:p w14:paraId="032B423B" w14:textId="77777777" w:rsidR="002F12A4" w:rsidRPr="005012E4" w:rsidRDefault="002F12A4" w:rsidP="0034744C">
            <w:pPr>
              <w:spacing w:before="0" w:after="0"/>
              <w:jc w:val="right"/>
              <w:rPr>
                <w:i/>
                <w:iCs/>
                <w:sz w:val="12"/>
                <w:szCs w:val="12"/>
                <w:lang w:val="es-CO"/>
              </w:rPr>
            </w:pPr>
            <w:r w:rsidRPr="005012E4">
              <w:rPr>
                <w:i/>
                <w:iCs/>
                <w:sz w:val="12"/>
                <w:szCs w:val="12"/>
                <w:lang w:val="es-CO"/>
              </w:rPr>
              <w:t>$394.301</w:t>
            </w:r>
          </w:p>
        </w:tc>
        <w:tc>
          <w:tcPr>
            <w:tcW w:w="508" w:type="pct"/>
            <w:noWrap/>
            <w:vAlign w:val="center"/>
            <w:hideMark/>
          </w:tcPr>
          <w:p w14:paraId="2D988104" w14:textId="77777777" w:rsidR="002F12A4" w:rsidRPr="005012E4" w:rsidRDefault="002F12A4" w:rsidP="0034744C">
            <w:pPr>
              <w:spacing w:before="0" w:after="0"/>
              <w:jc w:val="right"/>
              <w:rPr>
                <w:i/>
                <w:iCs/>
                <w:sz w:val="12"/>
                <w:szCs w:val="12"/>
                <w:lang w:val="es-CO"/>
              </w:rPr>
            </w:pPr>
            <w:r w:rsidRPr="005012E4">
              <w:rPr>
                <w:i/>
                <w:iCs/>
                <w:sz w:val="12"/>
                <w:szCs w:val="12"/>
                <w:lang w:val="es-CO"/>
              </w:rPr>
              <w:t>$537.914</w:t>
            </w:r>
          </w:p>
        </w:tc>
        <w:tc>
          <w:tcPr>
            <w:tcW w:w="507" w:type="pct"/>
            <w:noWrap/>
            <w:vAlign w:val="center"/>
            <w:hideMark/>
          </w:tcPr>
          <w:p w14:paraId="4E9A370B" w14:textId="77777777" w:rsidR="002F12A4" w:rsidRPr="005012E4" w:rsidRDefault="002F12A4" w:rsidP="0034744C">
            <w:pPr>
              <w:spacing w:before="0" w:after="0"/>
              <w:jc w:val="right"/>
              <w:rPr>
                <w:i/>
                <w:iCs/>
                <w:sz w:val="12"/>
                <w:szCs w:val="12"/>
                <w:lang w:val="es-CO"/>
              </w:rPr>
            </w:pPr>
            <w:r w:rsidRPr="005012E4">
              <w:rPr>
                <w:i/>
                <w:iCs/>
                <w:sz w:val="12"/>
                <w:szCs w:val="12"/>
                <w:lang w:val="es-CO"/>
              </w:rPr>
              <w:t>$891.998</w:t>
            </w:r>
          </w:p>
        </w:tc>
        <w:tc>
          <w:tcPr>
            <w:tcW w:w="508" w:type="pct"/>
            <w:noWrap/>
            <w:vAlign w:val="center"/>
            <w:hideMark/>
          </w:tcPr>
          <w:p w14:paraId="0D3E8182" w14:textId="77777777" w:rsidR="002F12A4" w:rsidRPr="005012E4" w:rsidRDefault="002F12A4" w:rsidP="0034744C">
            <w:pPr>
              <w:spacing w:before="0" w:after="0"/>
              <w:jc w:val="right"/>
              <w:rPr>
                <w:i/>
                <w:iCs/>
                <w:sz w:val="12"/>
                <w:szCs w:val="12"/>
                <w:lang w:val="es-CO"/>
              </w:rPr>
            </w:pPr>
            <w:r w:rsidRPr="005012E4">
              <w:rPr>
                <w:i/>
                <w:iCs/>
                <w:sz w:val="12"/>
                <w:szCs w:val="12"/>
                <w:lang w:val="es-CO"/>
              </w:rPr>
              <w:t>$ 891.998</w:t>
            </w:r>
          </w:p>
        </w:tc>
        <w:tc>
          <w:tcPr>
            <w:tcW w:w="363" w:type="pct"/>
            <w:noWrap/>
            <w:vAlign w:val="center"/>
            <w:hideMark/>
          </w:tcPr>
          <w:p w14:paraId="31FB09E8" w14:textId="77777777" w:rsidR="002F12A4" w:rsidRPr="005012E4" w:rsidRDefault="002F12A4" w:rsidP="0034744C">
            <w:pPr>
              <w:spacing w:before="0" w:after="0"/>
              <w:jc w:val="right"/>
              <w:rPr>
                <w:i/>
                <w:iCs/>
                <w:sz w:val="12"/>
                <w:szCs w:val="12"/>
                <w:lang w:val="es-CO"/>
              </w:rPr>
            </w:pPr>
            <w:r w:rsidRPr="005012E4">
              <w:rPr>
                <w:i/>
                <w:iCs/>
                <w:sz w:val="12"/>
                <w:szCs w:val="12"/>
                <w:lang w:val="es-CO"/>
              </w:rPr>
              <w:t>$46.772</w:t>
            </w:r>
          </w:p>
        </w:tc>
      </w:tr>
      <w:tr w:rsidR="003B5941" w:rsidRPr="005012E4" w14:paraId="45AA0673" w14:textId="77777777" w:rsidTr="00295069">
        <w:trPr>
          <w:trHeight w:val="227"/>
        </w:trPr>
        <w:tc>
          <w:tcPr>
            <w:tcW w:w="435" w:type="pct"/>
            <w:tcBorders>
              <w:bottom w:val="single" w:sz="4" w:space="0" w:color="auto"/>
            </w:tcBorders>
            <w:noWrap/>
            <w:vAlign w:val="center"/>
            <w:hideMark/>
          </w:tcPr>
          <w:p w14:paraId="5446B3D3" w14:textId="77777777" w:rsidR="002F12A4" w:rsidRPr="005012E4" w:rsidRDefault="002F12A4" w:rsidP="0034744C">
            <w:pPr>
              <w:spacing w:before="0" w:after="0"/>
              <w:jc w:val="left"/>
              <w:rPr>
                <w:i/>
                <w:iCs/>
                <w:sz w:val="12"/>
                <w:szCs w:val="12"/>
                <w:lang w:val="es-CO"/>
              </w:rPr>
            </w:pPr>
            <w:r w:rsidRPr="005012E4">
              <w:rPr>
                <w:i/>
                <w:iCs/>
                <w:sz w:val="12"/>
                <w:szCs w:val="12"/>
                <w:lang w:val="es-CO"/>
              </w:rPr>
              <w:t>N1P03E</w:t>
            </w:r>
          </w:p>
        </w:tc>
        <w:tc>
          <w:tcPr>
            <w:tcW w:w="441" w:type="pct"/>
            <w:tcBorders>
              <w:bottom w:val="single" w:sz="4" w:space="0" w:color="auto"/>
            </w:tcBorders>
            <w:noWrap/>
            <w:vAlign w:val="center"/>
            <w:hideMark/>
          </w:tcPr>
          <w:p w14:paraId="376D9140" w14:textId="77777777" w:rsidR="002F12A4" w:rsidRPr="005012E4" w:rsidRDefault="002F12A4" w:rsidP="0034744C">
            <w:pPr>
              <w:spacing w:before="0" w:after="0"/>
              <w:jc w:val="left"/>
              <w:rPr>
                <w:i/>
                <w:iCs/>
                <w:sz w:val="12"/>
                <w:szCs w:val="12"/>
                <w:lang w:val="es-CO"/>
              </w:rPr>
            </w:pPr>
            <w:r w:rsidRPr="005012E4">
              <w:rPr>
                <w:i/>
                <w:iCs/>
                <w:sz w:val="12"/>
                <w:szCs w:val="12"/>
                <w:lang w:val="es-CO"/>
              </w:rPr>
              <w:t>N1P08E</w:t>
            </w:r>
          </w:p>
        </w:tc>
        <w:tc>
          <w:tcPr>
            <w:tcW w:w="724" w:type="pct"/>
            <w:tcBorders>
              <w:bottom w:val="single" w:sz="4" w:space="0" w:color="auto"/>
            </w:tcBorders>
            <w:noWrap/>
            <w:vAlign w:val="center"/>
            <w:hideMark/>
          </w:tcPr>
          <w:p w14:paraId="016A17CD" w14:textId="77777777" w:rsidR="002F12A4" w:rsidRPr="005012E4" w:rsidRDefault="002F12A4" w:rsidP="0034744C">
            <w:pPr>
              <w:spacing w:before="0" w:after="0"/>
              <w:jc w:val="left"/>
              <w:rPr>
                <w:i/>
                <w:iCs/>
                <w:sz w:val="12"/>
                <w:szCs w:val="12"/>
                <w:lang w:val="es-CO"/>
              </w:rPr>
            </w:pPr>
            <w:r w:rsidRPr="005012E4">
              <w:rPr>
                <w:i/>
                <w:iCs/>
                <w:sz w:val="12"/>
                <w:szCs w:val="12"/>
                <w:lang w:val="es-CO"/>
              </w:rPr>
              <w:t>POSTE CONCRETO 9M 1030daN</w:t>
            </w:r>
          </w:p>
        </w:tc>
        <w:tc>
          <w:tcPr>
            <w:tcW w:w="500" w:type="pct"/>
            <w:tcBorders>
              <w:bottom w:val="single" w:sz="4" w:space="0" w:color="auto"/>
            </w:tcBorders>
            <w:noWrap/>
            <w:vAlign w:val="center"/>
            <w:hideMark/>
          </w:tcPr>
          <w:p w14:paraId="5E1FB4E4" w14:textId="77777777" w:rsidR="002F12A4" w:rsidRPr="005012E4" w:rsidRDefault="002F12A4" w:rsidP="0034744C">
            <w:pPr>
              <w:spacing w:before="0" w:after="0"/>
              <w:jc w:val="right"/>
              <w:rPr>
                <w:i/>
                <w:iCs/>
                <w:sz w:val="12"/>
                <w:szCs w:val="12"/>
                <w:lang w:val="es-CO"/>
              </w:rPr>
            </w:pPr>
            <w:r w:rsidRPr="005012E4">
              <w:rPr>
                <w:i/>
                <w:iCs/>
                <w:sz w:val="12"/>
                <w:szCs w:val="12"/>
                <w:lang w:val="es-CO"/>
              </w:rPr>
              <w:t>$627.468</w:t>
            </w:r>
          </w:p>
        </w:tc>
        <w:tc>
          <w:tcPr>
            <w:tcW w:w="508" w:type="pct"/>
            <w:tcBorders>
              <w:bottom w:val="single" w:sz="4" w:space="0" w:color="auto"/>
            </w:tcBorders>
            <w:noWrap/>
            <w:vAlign w:val="center"/>
            <w:hideMark/>
          </w:tcPr>
          <w:p w14:paraId="016B691F" w14:textId="2860B73D" w:rsidR="002F12A4" w:rsidRPr="005012E4" w:rsidRDefault="002F12A4" w:rsidP="0034744C">
            <w:pPr>
              <w:spacing w:before="0" w:after="0"/>
              <w:jc w:val="right"/>
              <w:rPr>
                <w:i/>
                <w:iCs/>
                <w:sz w:val="12"/>
                <w:szCs w:val="12"/>
                <w:lang w:val="es-CO"/>
              </w:rPr>
            </w:pPr>
            <w:r w:rsidRPr="005012E4">
              <w:rPr>
                <w:i/>
                <w:iCs/>
                <w:sz w:val="12"/>
                <w:szCs w:val="12"/>
                <w:lang w:val="es-CO"/>
              </w:rPr>
              <w:t>$937.486</w:t>
            </w:r>
          </w:p>
        </w:tc>
        <w:tc>
          <w:tcPr>
            <w:tcW w:w="507" w:type="pct"/>
            <w:tcBorders>
              <w:bottom w:val="single" w:sz="4" w:space="0" w:color="auto"/>
            </w:tcBorders>
            <w:noWrap/>
            <w:vAlign w:val="center"/>
            <w:hideMark/>
          </w:tcPr>
          <w:p w14:paraId="10AC847C" w14:textId="77777777" w:rsidR="002F12A4" w:rsidRPr="005012E4" w:rsidRDefault="002F12A4" w:rsidP="0034744C">
            <w:pPr>
              <w:spacing w:before="0" w:after="0"/>
              <w:jc w:val="right"/>
              <w:rPr>
                <w:i/>
                <w:iCs/>
                <w:sz w:val="12"/>
                <w:szCs w:val="12"/>
                <w:lang w:val="es-CO"/>
              </w:rPr>
            </w:pPr>
            <w:r w:rsidRPr="005012E4">
              <w:rPr>
                <w:i/>
                <w:iCs/>
                <w:sz w:val="12"/>
                <w:szCs w:val="12"/>
                <w:lang w:val="es-CO"/>
              </w:rPr>
              <w:t>$399.325</w:t>
            </w:r>
          </w:p>
        </w:tc>
        <w:tc>
          <w:tcPr>
            <w:tcW w:w="508" w:type="pct"/>
            <w:tcBorders>
              <w:bottom w:val="single" w:sz="4" w:space="0" w:color="auto"/>
            </w:tcBorders>
            <w:noWrap/>
            <w:vAlign w:val="center"/>
            <w:hideMark/>
          </w:tcPr>
          <w:p w14:paraId="456341B2" w14:textId="77777777" w:rsidR="002F12A4" w:rsidRPr="005012E4" w:rsidRDefault="002F12A4" w:rsidP="0034744C">
            <w:pPr>
              <w:spacing w:before="0" w:after="0"/>
              <w:jc w:val="right"/>
              <w:rPr>
                <w:i/>
                <w:iCs/>
                <w:sz w:val="12"/>
                <w:szCs w:val="12"/>
                <w:lang w:val="es-CO"/>
              </w:rPr>
            </w:pPr>
            <w:r w:rsidRPr="005012E4">
              <w:rPr>
                <w:i/>
                <w:iCs/>
                <w:sz w:val="12"/>
                <w:szCs w:val="12"/>
                <w:lang w:val="es-CO"/>
              </w:rPr>
              <w:t>$542.938</w:t>
            </w:r>
          </w:p>
        </w:tc>
        <w:tc>
          <w:tcPr>
            <w:tcW w:w="507" w:type="pct"/>
            <w:tcBorders>
              <w:bottom w:val="single" w:sz="4" w:space="0" w:color="auto"/>
            </w:tcBorders>
            <w:noWrap/>
            <w:vAlign w:val="center"/>
            <w:hideMark/>
          </w:tcPr>
          <w:p w14:paraId="0BDC14EF" w14:textId="77777777" w:rsidR="002F12A4" w:rsidRPr="005012E4" w:rsidRDefault="002F12A4" w:rsidP="0034744C">
            <w:pPr>
              <w:spacing w:before="0" w:after="0"/>
              <w:jc w:val="right"/>
              <w:rPr>
                <w:i/>
                <w:iCs/>
                <w:sz w:val="12"/>
                <w:szCs w:val="12"/>
                <w:lang w:val="es-CO"/>
              </w:rPr>
            </w:pPr>
            <w:r w:rsidRPr="005012E4">
              <w:rPr>
                <w:i/>
                <w:iCs/>
                <w:sz w:val="12"/>
                <w:szCs w:val="12"/>
                <w:lang w:val="es-CO"/>
              </w:rPr>
              <w:t>$978.589</w:t>
            </w:r>
          </w:p>
        </w:tc>
        <w:tc>
          <w:tcPr>
            <w:tcW w:w="508" w:type="pct"/>
            <w:tcBorders>
              <w:bottom w:val="single" w:sz="4" w:space="0" w:color="auto"/>
            </w:tcBorders>
            <w:noWrap/>
            <w:vAlign w:val="center"/>
            <w:hideMark/>
          </w:tcPr>
          <w:p w14:paraId="151BC6BB" w14:textId="77777777" w:rsidR="002F12A4" w:rsidRPr="005012E4" w:rsidRDefault="002F12A4" w:rsidP="0034744C">
            <w:pPr>
              <w:spacing w:before="0" w:after="0"/>
              <w:jc w:val="right"/>
              <w:rPr>
                <w:i/>
                <w:iCs/>
                <w:sz w:val="12"/>
                <w:szCs w:val="12"/>
                <w:lang w:val="es-CO"/>
              </w:rPr>
            </w:pPr>
            <w:r w:rsidRPr="005012E4">
              <w:rPr>
                <w:i/>
                <w:iCs/>
                <w:sz w:val="12"/>
                <w:szCs w:val="12"/>
                <w:lang w:val="es-CO"/>
              </w:rPr>
              <w:t>$ 978.589</w:t>
            </w:r>
          </w:p>
        </w:tc>
        <w:tc>
          <w:tcPr>
            <w:tcW w:w="363" w:type="pct"/>
            <w:tcBorders>
              <w:bottom w:val="single" w:sz="4" w:space="0" w:color="auto"/>
            </w:tcBorders>
            <w:noWrap/>
            <w:vAlign w:val="center"/>
            <w:hideMark/>
          </w:tcPr>
          <w:p w14:paraId="65A3A65C" w14:textId="77777777" w:rsidR="002F12A4" w:rsidRPr="005012E4" w:rsidRDefault="002F12A4" w:rsidP="0034744C">
            <w:pPr>
              <w:spacing w:before="0" w:after="0"/>
              <w:jc w:val="right"/>
              <w:rPr>
                <w:i/>
                <w:iCs/>
                <w:sz w:val="12"/>
                <w:szCs w:val="12"/>
                <w:lang w:val="es-CO"/>
              </w:rPr>
            </w:pPr>
            <w:r w:rsidRPr="005012E4">
              <w:rPr>
                <w:i/>
                <w:iCs/>
                <w:sz w:val="12"/>
                <w:szCs w:val="12"/>
                <w:lang w:val="es-CO"/>
              </w:rPr>
              <w:t>$46.772</w:t>
            </w:r>
          </w:p>
        </w:tc>
      </w:tr>
      <w:tr w:rsidR="003B5941" w:rsidRPr="005012E4" w14:paraId="772FA494" w14:textId="77777777" w:rsidTr="00295069">
        <w:trPr>
          <w:trHeight w:val="227"/>
        </w:trPr>
        <w:tc>
          <w:tcPr>
            <w:tcW w:w="435" w:type="pct"/>
            <w:tcBorders>
              <w:top w:val="single" w:sz="4" w:space="0" w:color="auto"/>
              <w:left w:val="single" w:sz="4" w:space="0" w:color="auto"/>
              <w:bottom w:val="single" w:sz="4" w:space="0" w:color="auto"/>
              <w:right w:val="single" w:sz="4" w:space="0" w:color="auto"/>
            </w:tcBorders>
            <w:noWrap/>
            <w:vAlign w:val="center"/>
            <w:hideMark/>
          </w:tcPr>
          <w:p w14:paraId="6268B8D8" w14:textId="77777777" w:rsidR="002F12A4" w:rsidRPr="005012E4" w:rsidRDefault="002F12A4" w:rsidP="0034744C">
            <w:pPr>
              <w:spacing w:before="0" w:after="0"/>
              <w:jc w:val="left"/>
              <w:rPr>
                <w:i/>
                <w:iCs/>
                <w:sz w:val="12"/>
                <w:szCs w:val="12"/>
                <w:lang w:val="es-CO"/>
              </w:rPr>
            </w:pPr>
            <w:r w:rsidRPr="005012E4">
              <w:rPr>
                <w:i/>
                <w:iCs/>
                <w:sz w:val="12"/>
                <w:szCs w:val="12"/>
                <w:lang w:val="es-CO"/>
              </w:rPr>
              <w:t>N1P04E</w:t>
            </w:r>
          </w:p>
        </w:tc>
        <w:tc>
          <w:tcPr>
            <w:tcW w:w="441" w:type="pct"/>
            <w:tcBorders>
              <w:top w:val="single" w:sz="4" w:space="0" w:color="auto"/>
              <w:left w:val="single" w:sz="4" w:space="0" w:color="auto"/>
              <w:bottom w:val="single" w:sz="4" w:space="0" w:color="auto"/>
              <w:right w:val="single" w:sz="4" w:space="0" w:color="auto"/>
            </w:tcBorders>
            <w:noWrap/>
            <w:vAlign w:val="center"/>
            <w:hideMark/>
          </w:tcPr>
          <w:p w14:paraId="668825CF" w14:textId="77777777" w:rsidR="002F12A4" w:rsidRPr="005012E4" w:rsidRDefault="002F12A4" w:rsidP="0034744C">
            <w:pPr>
              <w:spacing w:before="0" w:after="0"/>
              <w:jc w:val="left"/>
              <w:rPr>
                <w:i/>
                <w:iCs/>
                <w:sz w:val="12"/>
                <w:szCs w:val="12"/>
                <w:lang w:val="es-CO"/>
              </w:rPr>
            </w:pPr>
            <w:r w:rsidRPr="005012E4">
              <w:rPr>
                <w:i/>
                <w:iCs/>
                <w:sz w:val="12"/>
                <w:szCs w:val="12"/>
                <w:lang w:val="es-CO"/>
              </w:rPr>
              <w:t>N1P09E</w:t>
            </w:r>
          </w:p>
        </w:tc>
        <w:tc>
          <w:tcPr>
            <w:tcW w:w="724" w:type="pct"/>
            <w:tcBorders>
              <w:top w:val="single" w:sz="4" w:space="0" w:color="auto"/>
              <w:left w:val="single" w:sz="4" w:space="0" w:color="auto"/>
              <w:bottom w:val="single" w:sz="4" w:space="0" w:color="auto"/>
              <w:right w:val="single" w:sz="4" w:space="0" w:color="auto"/>
            </w:tcBorders>
            <w:noWrap/>
            <w:vAlign w:val="center"/>
            <w:hideMark/>
          </w:tcPr>
          <w:p w14:paraId="101F7342" w14:textId="77777777" w:rsidR="002F12A4" w:rsidRPr="005012E4" w:rsidRDefault="002F12A4" w:rsidP="0034744C">
            <w:pPr>
              <w:spacing w:before="0" w:after="0"/>
              <w:jc w:val="left"/>
              <w:rPr>
                <w:i/>
                <w:iCs/>
                <w:sz w:val="12"/>
                <w:szCs w:val="12"/>
                <w:lang w:val="es-CO"/>
              </w:rPr>
            </w:pPr>
            <w:r w:rsidRPr="005012E4">
              <w:rPr>
                <w:i/>
                <w:iCs/>
                <w:sz w:val="12"/>
                <w:szCs w:val="12"/>
                <w:lang w:val="es-CO"/>
              </w:rPr>
              <w:t>POSTEHPC/HPV 9M 1324 DAN (CR)</w:t>
            </w:r>
          </w:p>
        </w:tc>
        <w:tc>
          <w:tcPr>
            <w:tcW w:w="500" w:type="pct"/>
            <w:tcBorders>
              <w:top w:val="single" w:sz="4" w:space="0" w:color="auto"/>
              <w:left w:val="single" w:sz="4" w:space="0" w:color="auto"/>
              <w:bottom w:val="single" w:sz="4" w:space="0" w:color="auto"/>
              <w:right w:val="single" w:sz="4" w:space="0" w:color="auto"/>
            </w:tcBorders>
            <w:noWrap/>
            <w:vAlign w:val="center"/>
            <w:hideMark/>
          </w:tcPr>
          <w:p w14:paraId="21956486" w14:textId="77777777" w:rsidR="002F12A4" w:rsidRPr="005012E4" w:rsidRDefault="002F12A4" w:rsidP="0034744C">
            <w:pPr>
              <w:spacing w:before="0" w:after="0"/>
              <w:jc w:val="right"/>
              <w:rPr>
                <w:i/>
                <w:iCs/>
                <w:sz w:val="12"/>
                <w:szCs w:val="12"/>
                <w:lang w:val="es-CO"/>
              </w:rPr>
            </w:pPr>
            <w:r w:rsidRPr="005012E4">
              <w:rPr>
                <w:i/>
                <w:iCs/>
                <w:sz w:val="12"/>
                <w:szCs w:val="12"/>
                <w:lang w:val="es-CO"/>
              </w:rPr>
              <w:t>$822.628</w:t>
            </w:r>
          </w:p>
        </w:tc>
        <w:tc>
          <w:tcPr>
            <w:tcW w:w="508" w:type="pct"/>
            <w:tcBorders>
              <w:top w:val="single" w:sz="4" w:space="0" w:color="auto"/>
              <w:left w:val="single" w:sz="4" w:space="0" w:color="auto"/>
              <w:bottom w:val="single" w:sz="4" w:space="0" w:color="auto"/>
              <w:right w:val="single" w:sz="4" w:space="0" w:color="auto"/>
            </w:tcBorders>
            <w:noWrap/>
            <w:vAlign w:val="center"/>
            <w:hideMark/>
          </w:tcPr>
          <w:p w14:paraId="7B3E2F55" w14:textId="77777777" w:rsidR="002F12A4" w:rsidRPr="005012E4" w:rsidRDefault="002F12A4" w:rsidP="0034744C">
            <w:pPr>
              <w:spacing w:before="0" w:after="0"/>
              <w:jc w:val="right"/>
              <w:rPr>
                <w:i/>
                <w:iCs/>
                <w:sz w:val="12"/>
                <w:szCs w:val="12"/>
                <w:lang w:val="es-CO"/>
              </w:rPr>
            </w:pPr>
            <w:r w:rsidRPr="005012E4">
              <w:rPr>
                <w:i/>
                <w:iCs/>
                <w:sz w:val="12"/>
                <w:szCs w:val="12"/>
                <w:lang w:val="es-CO"/>
              </w:rPr>
              <w:t>$1.132.646</w:t>
            </w:r>
          </w:p>
        </w:tc>
        <w:tc>
          <w:tcPr>
            <w:tcW w:w="507" w:type="pct"/>
            <w:tcBorders>
              <w:top w:val="single" w:sz="4" w:space="0" w:color="auto"/>
              <w:left w:val="single" w:sz="4" w:space="0" w:color="auto"/>
              <w:bottom w:val="single" w:sz="4" w:space="0" w:color="auto"/>
              <w:right w:val="single" w:sz="4" w:space="0" w:color="auto"/>
            </w:tcBorders>
            <w:noWrap/>
            <w:vAlign w:val="center"/>
            <w:hideMark/>
          </w:tcPr>
          <w:p w14:paraId="1BAADB19" w14:textId="77777777" w:rsidR="002F12A4" w:rsidRPr="005012E4" w:rsidRDefault="002F12A4" w:rsidP="0034744C">
            <w:pPr>
              <w:spacing w:before="0" w:after="0"/>
              <w:jc w:val="right"/>
              <w:rPr>
                <w:i/>
                <w:iCs/>
                <w:sz w:val="12"/>
                <w:szCs w:val="12"/>
                <w:lang w:val="es-CO"/>
              </w:rPr>
            </w:pPr>
            <w:r w:rsidRPr="005012E4">
              <w:rPr>
                <w:i/>
                <w:iCs/>
                <w:sz w:val="12"/>
                <w:szCs w:val="12"/>
                <w:lang w:val="es-CO"/>
              </w:rPr>
              <w:t>$403.840</w:t>
            </w:r>
          </w:p>
        </w:tc>
        <w:tc>
          <w:tcPr>
            <w:tcW w:w="508" w:type="pct"/>
            <w:tcBorders>
              <w:top w:val="single" w:sz="4" w:space="0" w:color="auto"/>
              <w:left w:val="single" w:sz="4" w:space="0" w:color="auto"/>
              <w:bottom w:val="single" w:sz="4" w:space="0" w:color="auto"/>
              <w:right w:val="single" w:sz="4" w:space="0" w:color="auto"/>
            </w:tcBorders>
            <w:noWrap/>
            <w:vAlign w:val="center"/>
            <w:hideMark/>
          </w:tcPr>
          <w:p w14:paraId="04A41472" w14:textId="77777777" w:rsidR="002F12A4" w:rsidRPr="005012E4" w:rsidRDefault="002F12A4" w:rsidP="0034744C">
            <w:pPr>
              <w:spacing w:before="0" w:after="0"/>
              <w:jc w:val="right"/>
              <w:rPr>
                <w:i/>
                <w:iCs/>
                <w:sz w:val="12"/>
                <w:szCs w:val="12"/>
                <w:lang w:val="es-CO"/>
              </w:rPr>
            </w:pPr>
            <w:r w:rsidRPr="005012E4">
              <w:rPr>
                <w:i/>
                <w:iCs/>
                <w:sz w:val="12"/>
                <w:szCs w:val="12"/>
                <w:lang w:val="es-CO"/>
              </w:rPr>
              <w:t>$547.453</w:t>
            </w:r>
          </w:p>
        </w:tc>
        <w:tc>
          <w:tcPr>
            <w:tcW w:w="507" w:type="pct"/>
            <w:tcBorders>
              <w:top w:val="single" w:sz="4" w:space="0" w:color="auto"/>
              <w:left w:val="single" w:sz="4" w:space="0" w:color="auto"/>
              <w:bottom w:val="single" w:sz="4" w:space="0" w:color="auto"/>
              <w:right w:val="single" w:sz="4" w:space="0" w:color="auto"/>
            </w:tcBorders>
            <w:noWrap/>
            <w:vAlign w:val="center"/>
            <w:hideMark/>
          </w:tcPr>
          <w:p w14:paraId="25B0FC08" w14:textId="77777777" w:rsidR="002F12A4" w:rsidRPr="005012E4" w:rsidRDefault="002F12A4" w:rsidP="0034744C">
            <w:pPr>
              <w:spacing w:before="0" w:after="0"/>
              <w:jc w:val="right"/>
              <w:rPr>
                <w:i/>
                <w:iCs/>
                <w:sz w:val="12"/>
                <w:szCs w:val="12"/>
                <w:lang w:val="es-CO"/>
              </w:rPr>
            </w:pPr>
            <w:r w:rsidRPr="005012E4">
              <w:rPr>
                <w:i/>
                <w:iCs/>
                <w:sz w:val="12"/>
                <w:szCs w:val="12"/>
                <w:lang w:val="es-CO"/>
              </w:rPr>
              <w:t>$977.126</w:t>
            </w:r>
          </w:p>
        </w:tc>
        <w:tc>
          <w:tcPr>
            <w:tcW w:w="508" w:type="pct"/>
            <w:tcBorders>
              <w:top w:val="single" w:sz="4" w:space="0" w:color="auto"/>
              <w:left w:val="single" w:sz="4" w:space="0" w:color="auto"/>
              <w:bottom w:val="single" w:sz="4" w:space="0" w:color="auto"/>
              <w:right w:val="single" w:sz="4" w:space="0" w:color="auto"/>
            </w:tcBorders>
            <w:noWrap/>
            <w:vAlign w:val="center"/>
            <w:hideMark/>
          </w:tcPr>
          <w:p w14:paraId="11C1959A" w14:textId="77777777" w:rsidR="002F12A4" w:rsidRPr="005012E4" w:rsidRDefault="002F12A4" w:rsidP="0034744C">
            <w:pPr>
              <w:spacing w:before="0" w:after="0"/>
              <w:jc w:val="right"/>
              <w:rPr>
                <w:i/>
                <w:iCs/>
                <w:sz w:val="12"/>
                <w:szCs w:val="12"/>
                <w:lang w:val="es-CO"/>
              </w:rPr>
            </w:pPr>
            <w:r w:rsidRPr="005012E4">
              <w:rPr>
                <w:i/>
                <w:iCs/>
                <w:sz w:val="12"/>
                <w:szCs w:val="12"/>
                <w:lang w:val="es-CO"/>
              </w:rPr>
              <w:t>$1.222.619</w:t>
            </w:r>
          </w:p>
        </w:tc>
        <w:tc>
          <w:tcPr>
            <w:tcW w:w="363" w:type="pct"/>
            <w:tcBorders>
              <w:top w:val="single" w:sz="4" w:space="0" w:color="auto"/>
              <w:left w:val="single" w:sz="4" w:space="0" w:color="auto"/>
              <w:bottom w:val="single" w:sz="4" w:space="0" w:color="auto"/>
              <w:right w:val="single" w:sz="4" w:space="0" w:color="auto"/>
            </w:tcBorders>
            <w:noWrap/>
            <w:vAlign w:val="center"/>
            <w:hideMark/>
          </w:tcPr>
          <w:p w14:paraId="4A94EE7D" w14:textId="77777777" w:rsidR="002F12A4" w:rsidRPr="005012E4" w:rsidRDefault="002F12A4" w:rsidP="0034744C">
            <w:pPr>
              <w:spacing w:before="0" w:after="0"/>
              <w:jc w:val="right"/>
              <w:rPr>
                <w:i/>
                <w:iCs/>
                <w:sz w:val="12"/>
                <w:szCs w:val="12"/>
                <w:lang w:val="es-CO"/>
              </w:rPr>
            </w:pPr>
            <w:r w:rsidRPr="005012E4">
              <w:rPr>
                <w:i/>
                <w:iCs/>
                <w:sz w:val="12"/>
                <w:szCs w:val="12"/>
                <w:lang w:val="es-CO"/>
              </w:rPr>
              <w:t>$46.772</w:t>
            </w:r>
          </w:p>
        </w:tc>
      </w:tr>
      <w:tr w:rsidR="003B5941" w:rsidRPr="005012E4" w14:paraId="7BF3D773" w14:textId="77777777" w:rsidTr="00295069">
        <w:trPr>
          <w:trHeight w:val="227"/>
        </w:trPr>
        <w:tc>
          <w:tcPr>
            <w:tcW w:w="435" w:type="pct"/>
            <w:tcBorders>
              <w:top w:val="single" w:sz="4" w:space="0" w:color="auto"/>
              <w:left w:val="single" w:sz="4" w:space="0" w:color="auto"/>
              <w:bottom w:val="single" w:sz="4" w:space="0" w:color="auto"/>
              <w:right w:val="nil"/>
            </w:tcBorders>
            <w:noWrap/>
            <w:vAlign w:val="center"/>
          </w:tcPr>
          <w:p w14:paraId="3F2A6A26" w14:textId="77777777" w:rsidR="0001193C" w:rsidRPr="005012E4" w:rsidRDefault="0001193C" w:rsidP="0034744C">
            <w:pPr>
              <w:spacing w:before="0" w:after="0"/>
              <w:jc w:val="left"/>
              <w:rPr>
                <w:i/>
                <w:iCs/>
                <w:sz w:val="12"/>
                <w:szCs w:val="12"/>
                <w:lang w:val="es-CO"/>
              </w:rPr>
            </w:pPr>
          </w:p>
        </w:tc>
        <w:tc>
          <w:tcPr>
            <w:tcW w:w="441" w:type="pct"/>
            <w:tcBorders>
              <w:top w:val="single" w:sz="4" w:space="0" w:color="auto"/>
              <w:left w:val="nil"/>
              <w:bottom w:val="single" w:sz="4" w:space="0" w:color="auto"/>
              <w:right w:val="nil"/>
            </w:tcBorders>
            <w:noWrap/>
            <w:vAlign w:val="center"/>
          </w:tcPr>
          <w:p w14:paraId="59370A7F" w14:textId="77777777" w:rsidR="0001193C" w:rsidRPr="005012E4" w:rsidRDefault="0001193C" w:rsidP="0034744C">
            <w:pPr>
              <w:spacing w:before="0" w:after="0"/>
              <w:jc w:val="left"/>
              <w:rPr>
                <w:i/>
                <w:iCs/>
                <w:sz w:val="12"/>
                <w:szCs w:val="12"/>
                <w:lang w:val="es-CO"/>
              </w:rPr>
            </w:pPr>
          </w:p>
        </w:tc>
        <w:tc>
          <w:tcPr>
            <w:tcW w:w="724" w:type="pct"/>
            <w:tcBorders>
              <w:top w:val="single" w:sz="4" w:space="0" w:color="auto"/>
              <w:left w:val="nil"/>
              <w:bottom w:val="single" w:sz="4" w:space="0" w:color="auto"/>
              <w:right w:val="nil"/>
            </w:tcBorders>
            <w:noWrap/>
            <w:vAlign w:val="center"/>
          </w:tcPr>
          <w:p w14:paraId="2F9A8A0C" w14:textId="77777777" w:rsidR="0001193C" w:rsidRPr="005012E4" w:rsidRDefault="0001193C" w:rsidP="0034744C">
            <w:pPr>
              <w:spacing w:before="0" w:after="0"/>
              <w:jc w:val="left"/>
              <w:rPr>
                <w:i/>
                <w:iCs/>
                <w:sz w:val="12"/>
                <w:szCs w:val="12"/>
                <w:lang w:val="es-CO"/>
              </w:rPr>
            </w:pPr>
          </w:p>
        </w:tc>
        <w:tc>
          <w:tcPr>
            <w:tcW w:w="500" w:type="pct"/>
            <w:tcBorders>
              <w:top w:val="single" w:sz="4" w:space="0" w:color="auto"/>
              <w:left w:val="nil"/>
              <w:bottom w:val="single" w:sz="4" w:space="0" w:color="auto"/>
              <w:right w:val="nil"/>
            </w:tcBorders>
            <w:noWrap/>
            <w:vAlign w:val="center"/>
          </w:tcPr>
          <w:p w14:paraId="56AEB504" w14:textId="77777777" w:rsidR="0001193C" w:rsidRPr="005012E4" w:rsidRDefault="0001193C" w:rsidP="0034744C">
            <w:pPr>
              <w:spacing w:before="0" w:after="0"/>
              <w:jc w:val="right"/>
              <w:rPr>
                <w:i/>
                <w:iCs/>
                <w:sz w:val="12"/>
                <w:szCs w:val="12"/>
                <w:lang w:val="es-CO"/>
              </w:rPr>
            </w:pPr>
          </w:p>
        </w:tc>
        <w:tc>
          <w:tcPr>
            <w:tcW w:w="508" w:type="pct"/>
            <w:tcBorders>
              <w:top w:val="single" w:sz="4" w:space="0" w:color="auto"/>
              <w:left w:val="nil"/>
              <w:bottom w:val="single" w:sz="4" w:space="0" w:color="auto"/>
              <w:right w:val="nil"/>
            </w:tcBorders>
            <w:noWrap/>
            <w:vAlign w:val="center"/>
          </w:tcPr>
          <w:p w14:paraId="07633F4F" w14:textId="77777777" w:rsidR="0001193C" w:rsidRPr="005012E4" w:rsidRDefault="0001193C" w:rsidP="0034744C">
            <w:pPr>
              <w:spacing w:before="0" w:after="0"/>
              <w:jc w:val="right"/>
              <w:rPr>
                <w:i/>
                <w:iCs/>
                <w:sz w:val="12"/>
                <w:szCs w:val="12"/>
                <w:lang w:val="es-CO"/>
              </w:rPr>
            </w:pPr>
          </w:p>
        </w:tc>
        <w:tc>
          <w:tcPr>
            <w:tcW w:w="507" w:type="pct"/>
            <w:tcBorders>
              <w:top w:val="single" w:sz="4" w:space="0" w:color="auto"/>
              <w:left w:val="nil"/>
              <w:bottom w:val="single" w:sz="4" w:space="0" w:color="auto"/>
              <w:right w:val="nil"/>
            </w:tcBorders>
            <w:noWrap/>
            <w:vAlign w:val="center"/>
          </w:tcPr>
          <w:p w14:paraId="05807FE9" w14:textId="77777777" w:rsidR="0001193C" w:rsidRPr="005012E4" w:rsidRDefault="0001193C" w:rsidP="0034744C">
            <w:pPr>
              <w:spacing w:before="0" w:after="0"/>
              <w:jc w:val="right"/>
              <w:rPr>
                <w:i/>
                <w:iCs/>
                <w:sz w:val="12"/>
                <w:szCs w:val="12"/>
                <w:lang w:val="es-CO"/>
              </w:rPr>
            </w:pPr>
          </w:p>
        </w:tc>
        <w:tc>
          <w:tcPr>
            <w:tcW w:w="508" w:type="pct"/>
            <w:tcBorders>
              <w:top w:val="single" w:sz="4" w:space="0" w:color="auto"/>
              <w:left w:val="nil"/>
              <w:bottom w:val="single" w:sz="4" w:space="0" w:color="auto"/>
              <w:right w:val="nil"/>
            </w:tcBorders>
            <w:noWrap/>
            <w:vAlign w:val="center"/>
          </w:tcPr>
          <w:p w14:paraId="2DB7C8B1" w14:textId="77777777" w:rsidR="0001193C" w:rsidRPr="005012E4" w:rsidRDefault="0001193C" w:rsidP="0034744C">
            <w:pPr>
              <w:spacing w:before="0" w:after="0"/>
              <w:jc w:val="right"/>
              <w:rPr>
                <w:i/>
                <w:iCs/>
                <w:sz w:val="12"/>
                <w:szCs w:val="12"/>
                <w:lang w:val="es-CO"/>
              </w:rPr>
            </w:pPr>
          </w:p>
        </w:tc>
        <w:tc>
          <w:tcPr>
            <w:tcW w:w="507" w:type="pct"/>
            <w:tcBorders>
              <w:top w:val="single" w:sz="4" w:space="0" w:color="auto"/>
              <w:left w:val="nil"/>
              <w:bottom w:val="single" w:sz="4" w:space="0" w:color="auto"/>
              <w:right w:val="nil"/>
            </w:tcBorders>
            <w:noWrap/>
            <w:vAlign w:val="center"/>
          </w:tcPr>
          <w:p w14:paraId="7E9AE6DE" w14:textId="77777777" w:rsidR="0001193C" w:rsidRPr="005012E4" w:rsidRDefault="0001193C" w:rsidP="0034744C">
            <w:pPr>
              <w:spacing w:before="0" w:after="0"/>
              <w:jc w:val="right"/>
              <w:rPr>
                <w:i/>
                <w:iCs/>
                <w:sz w:val="12"/>
                <w:szCs w:val="12"/>
                <w:lang w:val="es-CO"/>
              </w:rPr>
            </w:pPr>
          </w:p>
        </w:tc>
        <w:tc>
          <w:tcPr>
            <w:tcW w:w="508" w:type="pct"/>
            <w:tcBorders>
              <w:top w:val="single" w:sz="4" w:space="0" w:color="auto"/>
              <w:left w:val="nil"/>
              <w:bottom w:val="nil"/>
              <w:right w:val="nil"/>
            </w:tcBorders>
            <w:noWrap/>
            <w:vAlign w:val="center"/>
          </w:tcPr>
          <w:p w14:paraId="1797D82C" w14:textId="77777777" w:rsidR="0001193C" w:rsidRPr="005012E4" w:rsidRDefault="0001193C" w:rsidP="0034744C">
            <w:pPr>
              <w:spacing w:before="0" w:after="0"/>
              <w:jc w:val="right"/>
              <w:rPr>
                <w:i/>
                <w:iCs/>
                <w:sz w:val="12"/>
                <w:szCs w:val="12"/>
                <w:lang w:val="es-CO"/>
              </w:rPr>
            </w:pPr>
          </w:p>
        </w:tc>
        <w:tc>
          <w:tcPr>
            <w:tcW w:w="363" w:type="pct"/>
            <w:tcBorders>
              <w:top w:val="single" w:sz="4" w:space="0" w:color="auto"/>
              <w:left w:val="nil"/>
              <w:bottom w:val="nil"/>
              <w:right w:val="nil"/>
            </w:tcBorders>
            <w:noWrap/>
            <w:vAlign w:val="center"/>
          </w:tcPr>
          <w:p w14:paraId="374CDDD6" w14:textId="77777777" w:rsidR="0001193C" w:rsidRPr="005012E4" w:rsidRDefault="0001193C" w:rsidP="0034744C">
            <w:pPr>
              <w:spacing w:before="0" w:after="0"/>
              <w:jc w:val="right"/>
              <w:rPr>
                <w:i/>
                <w:iCs/>
                <w:sz w:val="12"/>
                <w:szCs w:val="12"/>
                <w:lang w:val="es-CO"/>
              </w:rPr>
            </w:pPr>
          </w:p>
        </w:tc>
      </w:tr>
      <w:tr w:rsidR="003B5941" w:rsidRPr="00D219D7" w14:paraId="50E10BFE" w14:textId="77777777" w:rsidTr="00295069">
        <w:trPr>
          <w:trHeight w:val="227"/>
        </w:trPr>
        <w:tc>
          <w:tcPr>
            <w:tcW w:w="435" w:type="pct"/>
            <w:tcBorders>
              <w:top w:val="single" w:sz="4" w:space="0" w:color="auto"/>
              <w:left w:val="single" w:sz="4" w:space="0" w:color="auto"/>
              <w:bottom w:val="single" w:sz="4" w:space="0" w:color="auto"/>
              <w:right w:val="single" w:sz="4" w:space="0" w:color="auto"/>
            </w:tcBorders>
            <w:noWrap/>
            <w:vAlign w:val="center"/>
          </w:tcPr>
          <w:p w14:paraId="41C96EEB" w14:textId="77777777" w:rsidR="00FD31B0" w:rsidRPr="0040652E" w:rsidRDefault="00FD31B0" w:rsidP="0034744C">
            <w:pPr>
              <w:spacing w:before="0" w:after="0"/>
              <w:jc w:val="left"/>
              <w:rPr>
                <w:b/>
                <w:bCs/>
                <w:i/>
                <w:iCs/>
                <w:sz w:val="12"/>
                <w:szCs w:val="12"/>
                <w:lang w:val="es-CO"/>
              </w:rPr>
            </w:pPr>
          </w:p>
        </w:tc>
        <w:tc>
          <w:tcPr>
            <w:tcW w:w="441" w:type="pct"/>
            <w:tcBorders>
              <w:top w:val="single" w:sz="4" w:space="0" w:color="auto"/>
              <w:left w:val="single" w:sz="4" w:space="0" w:color="auto"/>
              <w:bottom w:val="single" w:sz="4" w:space="0" w:color="auto"/>
              <w:right w:val="single" w:sz="4" w:space="0" w:color="auto"/>
            </w:tcBorders>
            <w:noWrap/>
            <w:vAlign w:val="center"/>
          </w:tcPr>
          <w:p w14:paraId="67B10D34" w14:textId="77777777" w:rsidR="00FD31B0" w:rsidRPr="0040652E" w:rsidRDefault="00FD31B0" w:rsidP="0034744C">
            <w:pPr>
              <w:spacing w:before="0" w:after="0"/>
              <w:jc w:val="left"/>
              <w:rPr>
                <w:b/>
                <w:bCs/>
                <w:i/>
                <w:iCs/>
                <w:sz w:val="12"/>
                <w:szCs w:val="12"/>
                <w:lang w:val="es-CO"/>
              </w:rPr>
            </w:pPr>
          </w:p>
        </w:tc>
        <w:tc>
          <w:tcPr>
            <w:tcW w:w="724" w:type="pct"/>
            <w:tcBorders>
              <w:top w:val="single" w:sz="4" w:space="0" w:color="auto"/>
              <w:left w:val="single" w:sz="4" w:space="0" w:color="auto"/>
              <w:bottom w:val="single" w:sz="4" w:space="0" w:color="auto"/>
              <w:right w:val="single" w:sz="4" w:space="0" w:color="auto"/>
            </w:tcBorders>
            <w:noWrap/>
            <w:vAlign w:val="center"/>
          </w:tcPr>
          <w:p w14:paraId="0E5469F2" w14:textId="77777777" w:rsidR="00FD31B0" w:rsidRPr="0040652E" w:rsidRDefault="00FD31B0" w:rsidP="0034744C">
            <w:pPr>
              <w:spacing w:before="0" w:after="0"/>
              <w:jc w:val="left"/>
              <w:rPr>
                <w:b/>
                <w:bCs/>
                <w:i/>
                <w:iCs/>
                <w:sz w:val="12"/>
                <w:szCs w:val="12"/>
                <w:lang w:val="es-CO"/>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57712B86" w14:textId="77777777" w:rsidR="00FD31B0" w:rsidRPr="0040652E" w:rsidRDefault="00FD31B0" w:rsidP="0034744C">
            <w:pPr>
              <w:spacing w:before="0" w:after="0"/>
              <w:jc w:val="right"/>
              <w:rPr>
                <w:b/>
                <w:bCs/>
                <w:i/>
                <w:iCs/>
                <w:sz w:val="12"/>
                <w:szCs w:val="12"/>
                <w:lang w:val="es-CO"/>
              </w:rPr>
            </w:pPr>
          </w:p>
        </w:tc>
        <w:tc>
          <w:tcPr>
            <w:tcW w:w="508" w:type="pct"/>
            <w:tcBorders>
              <w:top w:val="single" w:sz="4" w:space="0" w:color="auto"/>
              <w:left w:val="single" w:sz="4" w:space="0" w:color="auto"/>
              <w:bottom w:val="single" w:sz="4" w:space="0" w:color="auto"/>
              <w:right w:val="single" w:sz="4" w:space="0" w:color="auto"/>
            </w:tcBorders>
            <w:noWrap/>
            <w:vAlign w:val="center"/>
          </w:tcPr>
          <w:p w14:paraId="2B9F9FE1" w14:textId="77777777" w:rsidR="00FD31B0" w:rsidRPr="0040652E" w:rsidRDefault="00FD31B0" w:rsidP="0034744C">
            <w:pPr>
              <w:spacing w:before="0" w:after="0"/>
              <w:jc w:val="right"/>
              <w:rPr>
                <w:b/>
                <w:bCs/>
                <w:i/>
                <w:iCs/>
                <w:sz w:val="12"/>
                <w:szCs w:val="12"/>
                <w:lang w:val="es-CO"/>
              </w:rPr>
            </w:pPr>
          </w:p>
        </w:tc>
        <w:tc>
          <w:tcPr>
            <w:tcW w:w="507" w:type="pct"/>
            <w:tcBorders>
              <w:top w:val="single" w:sz="4" w:space="0" w:color="auto"/>
              <w:left w:val="single" w:sz="4" w:space="0" w:color="auto"/>
              <w:bottom w:val="single" w:sz="4" w:space="0" w:color="auto"/>
              <w:right w:val="single" w:sz="4" w:space="0" w:color="auto"/>
            </w:tcBorders>
            <w:noWrap/>
            <w:vAlign w:val="center"/>
          </w:tcPr>
          <w:p w14:paraId="25C5394E" w14:textId="77777777" w:rsidR="00FD31B0" w:rsidRPr="0040652E" w:rsidRDefault="00FD31B0" w:rsidP="0034744C">
            <w:pPr>
              <w:spacing w:before="0" w:after="0"/>
              <w:jc w:val="right"/>
              <w:rPr>
                <w:b/>
                <w:bCs/>
                <w:i/>
                <w:iCs/>
                <w:sz w:val="12"/>
                <w:szCs w:val="12"/>
                <w:lang w:val="es-CO"/>
              </w:rPr>
            </w:pPr>
          </w:p>
        </w:tc>
        <w:tc>
          <w:tcPr>
            <w:tcW w:w="1015" w:type="pct"/>
            <w:gridSpan w:val="2"/>
            <w:tcBorders>
              <w:top w:val="single" w:sz="4" w:space="0" w:color="auto"/>
              <w:left w:val="single" w:sz="4" w:space="0" w:color="auto"/>
              <w:bottom w:val="single" w:sz="4" w:space="0" w:color="auto"/>
              <w:right w:val="single" w:sz="4" w:space="0" w:color="auto"/>
            </w:tcBorders>
            <w:noWrap/>
            <w:vAlign w:val="center"/>
          </w:tcPr>
          <w:p w14:paraId="5F82A8E0" w14:textId="4B85B6F9" w:rsidR="00FD31B0" w:rsidRPr="0040652E" w:rsidRDefault="00FD31B0" w:rsidP="0040652E">
            <w:pPr>
              <w:spacing w:before="0" w:after="0"/>
              <w:jc w:val="center"/>
              <w:rPr>
                <w:b/>
                <w:bCs/>
                <w:i/>
                <w:iCs/>
                <w:sz w:val="12"/>
                <w:szCs w:val="12"/>
                <w:lang w:val="es-CO"/>
              </w:rPr>
            </w:pPr>
            <w:r w:rsidRPr="0040652E">
              <w:rPr>
                <w:b/>
                <w:bCs/>
                <w:i/>
                <w:iCs/>
                <w:sz w:val="12"/>
                <w:szCs w:val="12"/>
                <w:lang w:val="es-CO"/>
              </w:rPr>
              <w:t>$ Dic_2017</w:t>
            </w:r>
          </w:p>
        </w:tc>
        <w:tc>
          <w:tcPr>
            <w:tcW w:w="508" w:type="pct"/>
            <w:tcBorders>
              <w:top w:val="nil"/>
              <w:left w:val="single" w:sz="4" w:space="0" w:color="auto"/>
              <w:bottom w:val="nil"/>
              <w:right w:val="nil"/>
            </w:tcBorders>
            <w:noWrap/>
            <w:vAlign w:val="center"/>
          </w:tcPr>
          <w:p w14:paraId="329578AF" w14:textId="77777777" w:rsidR="00FD31B0" w:rsidRPr="0040652E" w:rsidRDefault="00FD31B0" w:rsidP="0034744C">
            <w:pPr>
              <w:spacing w:before="0" w:after="0"/>
              <w:jc w:val="right"/>
              <w:rPr>
                <w:b/>
                <w:bCs/>
                <w:i/>
                <w:iCs/>
                <w:sz w:val="12"/>
                <w:szCs w:val="12"/>
                <w:lang w:val="es-CO"/>
              </w:rPr>
            </w:pPr>
          </w:p>
        </w:tc>
        <w:tc>
          <w:tcPr>
            <w:tcW w:w="363" w:type="pct"/>
            <w:tcBorders>
              <w:top w:val="nil"/>
              <w:left w:val="nil"/>
              <w:bottom w:val="nil"/>
              <w:right w:val="nil"/>
            </w:tcBorders>
            <w:noWrap/>
            <w:vAlign w:val="center"/>
          </w:tcPr>
          <w:p w14:paraId="2B43AD37" w14:textId="77777777" w:rsidR="00FD31B0" w:rsidRPr="0040652E" w:rsidRDefault="00FD31B0" w:rsidP="0034744C">
            <w:pPr>
              <w:spacing w:before="0" w:after="0"/>
              <w:jc w:val="right"/>
              <w:rPr>
                <w:b/>
                <w:bCs/>
                <w:i/>
                <w:iCs/>
                <w:sz w:val="12"/>
                <w:szCs w:val="12"/>
                <w:lang w:val="es-CO"/>
              </w:rPr>
            </w:pPr>
          </w:p>
        </w:tc>
      </w:tr>
      <w:tr w:rsidR="003B5941" w:rsidRPr="00FD31B0" w14:paraId="2C998565" w14:textId="77777777" w:rsidTr="00295069">
        <w:trPr>
          <w:trHeight w:val="227"/>
        </w:trPr>
        <w:tc>
          <w:tcPr>
            <w:tcW w:w="435" w:type="pct"/>
            <w:tcBorders>
              <w:top w:val="single" w:sz="4" w:space="0" w:color="auto"/>
              <w:left w:val="single" w:sz="4" w:space="0" w:color="auto"/>
              <w:bottom w:val="single" w:sz="4" w:space="0" w:color="auto"/>
              <w:right w:val="single" w:sz="4" w:space="0" w:color="auto"/>
            </w:tcBorders>
            <w:noWrap/>
            <w:vAlign w:val="center"/>
          </w:tcPr>
          <w:p w14:paraId="38C7DEB4" w14:textId="403AB554" w:rsidR="00560010" w:rsidRPr="0040652E" w:rsidRDefault="00560010" w:rsidP="0040652E">
            <w:pPr>
              <w:spacing w:before="0" w:after="0"/>
              <w:jc w:val="center"/>
              <w:rPr>
                <w:b/>
                <w:bCs/>
                <w:i/>
                <w:iCs/>
                <w:sz w:val="12"/>
                <w:szCs w:val="12"/>
                <w:lang w:val="es-CO"/>
              </w:rPr>
            </w:pPr>
            <w:r w:rsidRPr="0040652E">
              <w:rPr>
                <w:b/>
                <w:bCs/>
                <w:i/>
                <w:iCs/>
                <w:sz w:val="12"/>
                <w:szCs w:val="12"/>
                <w:lang w:val="es-CO"/>
              </w:rPr>
              <w:t>INGENIERIA</w:t>
            </w:r>
          </w:p>
        </w:tc>
        <w:tc>
          <w:tcPr>
            <w:tcW w:w="441" w:type="pct"/>
            <w:tcBorders>
              <w:top w:val="single" w:sz="4" w:space="0" w:color="auto"/>
              <w:left w:val="single" w:sz="4" w:space="0" w:color="auto"/>
              <w:bottom w:val="single" w:sz="4" w:space="0" w:color="auto"/>
              <w:right w:val="single" w:sz="4" w:space="0" w:color="auto"/>
            </w:tcBorders>
            <w:noWrap/>
            <w:vAlign w:val="center"/>
          </w:tcPr>
          <w:p w14:paraId="66B76F1D" w14:textId="274B2E5C" w:rsidR="00560010" w:rsidRPr="0040652E" w:rsidRDefault="00560010" w:rsidP="0040652E">
            <w:pPr>
              <w:spacing w:before="0" w:after="0"/>
              <w:jc w:val="center"/>
              <w:rPr>
                <w:b/>
                <w:bCs/>
                <w:i/>
                <w:iCs/>
                <w:sz w:val="12"/>
                <w:szCs w:val="12"/>
                <w:lang w:val="es-CO"/>
              </w:rPr>
            </w:pPr>
            <w:r w:rsidRPr="0040652E">
              <w:rPr>
                <w:b/>
                <w:bCs/>
                <w:i/>
                <w:iCs/>
                <w:sz w:val="12"/>
                <w:szCs w:val="12"/>
                <w:lang w:val="es-CO"/>
              </w:rPr>
              <w:t>INTERVENTORIA</w:t>
            </w:r>
          </w:p>
        </w:tc>
        <w:tc>
          <w:tcPr>
            <w:tcW w:w="724" w:type="pct"/>
            <w:tcBorders>
              <w:top w:val="single" w:sz="4" w:space="0" w:color="auto"/>
              <w:left w:val="single" w:sz="4" w:space="0" w:color="auto"/>
              <w:bottom w:val="single" w:sz="4" w:space="0" w:color="auto"/>
              <w:right w:val="single" w:sz="4" w:space="0" w:color="auto"/>
            </w:tcBorders>
            <w:noWrap/>
            <w:vAlign w:val="center"/>
          </w:tcPr>
          <w:p w14:paraId="262E8F91" w14:textId="0A3E46E8" w:rsidR="00560010" w:rsidRPr="0040652E" w:rsidRDefault="00560010" w:rsidP="0040652E">
            <w:pPr>
              <w:spacing w:before="0" w:after="0"/>
              <w:jc w:val="center"/>
              <w:rPr>
                <w:b/>
                <w:bCs/>
                <w:i/>
                <w:iCs/>
                <w:sz w:val="12"/>
                <w:szCs w:val="12"/>
                <w:lang w:val="es-CO"/>
              </w:rPr>
            </w:pPr>
            <w:r w:rsidRPr="0040652E">
              <w:rPr>
                <w:b/>
                <w:bCs/>
                <w:i/>
                <w:iCs/>
                <w:sz w:val="12"/>
                <w:szCs w:val="12"/>
                <w:lang w:val="es-CO"/>
              </w:rPr>
              <w:t>ADMINISTRACIÓN</w:t>
            </w:r>
          </w:p>
        </w:tc>
        <w:tc>
          <w:tcPr>
            <w:tcW w:w="500" w:type="pct"/>
            <w:tcBorders>
              <w:top w:val="single" w:sz="4" w:space="0" w:color="auto"/>
              <w:left w:val="single" w:sz="4" w:space="0" w:color="auto"/>
              <w:bottom w:val="single" w:sz="4" w:space="0" w:color="auto"/>
              <w:right w:val="single" w:sz="4" w:space="0" w:color="auto"/>
            </w:tcBorders>
            <w:noWrap/>
            <w:vAlign w:val="center"/>
          </w:tcPr>
          <w:p w14:paraId="634673F5" w14:textId="1232F0B3" w:rsidR="00560010" w:rsidRPr="0040652E" w:rsidRDefault="00560010" w:rsidP="0040652E">
            <w:pPr>
              <w:spacing w:before="0" w:after="0"/>
              <w:jc w:val="center"/>
              <w:rPr>
                <w:b/>
                <w:bCs/>
                <w:i/>
                <w:iCs/>
                <w:sz w:val="12"/>
                <w:szCs w:val="12"/>
                <w:lang w:val="es-CO"/>
              </w:rPr>
            </w:pPr>
            <w:r w:rsidRPr="0040652E">
              <w:rPr>
                <w:b/>
                <w:bCs/>
                <w:i/>
                <w:iCs/>
                <w:sz w:val="12"/>
                <w:szCs w:val="12"/>
                <w:lang w:val="es-CO"/>
              </w:rPr>
              <w:t>INSPECCION</w:t>
            </w:r>
          </w:p>
        </w:tc>
        <w:tc>
          <w:tcPr>
            <w:tcW w:w="508" w:type="pct"/>
            <w:tcBorders>
              <w:top w:val="single" w:sz="4" w:space="0" w:color="auto"/>
              <w:left w:val="single" w:sz="4" w:space="0" w:color="auto"/>
              <w:bottom w:val="single" w:sz="4" w:space="0" w:color="auto"/>
              <w:right w:val="single" w:sz="4" w:space="0" w:color="auto"/>
            </w:tcBorders>
            <w:noWrap/>
            <w:vAlign w:val="center"/>
          </w:tcPr>
          <w:p w14:paraId="20DB6662" w14:textId="4748C244" w:rsidR="00560010" w:rsidRPr="0040652E" w:rsidRDefault="00560010" w:rsidP="0040652E">
            <w:pPr>
              <w:spacing w:before="0" w:after="0"/>
              <w:jc w:val="center"/>
              <w:rPr>
                <w:b/>
                <w:bCs/>
                <w:i/>
                <w:iCs/>
                <w:sz w:val="12"/>
                <w:szCs w:val="12"/>
                <w:lang w:val="es-CO"/>
              </w:rPr>
            </w:pPr>
            <w:r w:rsidRPr="0040652E">
              <w:rPr>
                <w:b/>
                <w:bCs/>
                <w:i/>
                <w:iCs/>
                <w:sz w:val="12"/>
                <w:szCs w:val="12"/>
                <w:lang w:val="es-CO"/>
              </w:rPr>
              <w:t>Suspensión</w:t>
            </w:r>
          </w:p>
        </w:tc>
        <w:tc>
          <w:tcPr>
            <w:tcW w:w="507" w:type="pct"/>
            <w:tcBorders>
              <w:top w:val="single" w:sz="4" w:space="0" w:color="auto"/>
              <w:left w:val="single" w:sz="4" w:space="0" w:color="auto"/>
              <w:bottom w:val="single" w:sz="4" w:space="0" w:color="auto"/>
              <w:right w:val="single" w:sz="4" w:space="0" w:color="auto"/>
            </w:tcBorders>
            <w:noWrap/>
            <w:vAlign w:val="center"/>
          </w:tcPr>
          <w:p w14:paraId="1BF3720E" w14:textId="4D51903B" w:rsidR="00560010" w:rsidRPr="0040652E" w:rsidRDefault="00560010" w:rsidP="0040652E">
            <w:pPr>
              <w:spacing w:before="0" w:after="0"/>
              <w:jc w:val="center"/>
              <w:rPr>
                <w:b/>
                <w:bCs/>
                <w:i/>
                <w:iCs/>
                <w:sz w:val="12"/>
                <w:szCs w:val="12"/>
                <w:lang w:val="es-CO"/>
              </w:rPr>
            </w:pPr>
            <w:r w:rsidRPr="0040652E">
              <w:rPr>
                <w:b/>
                <w:bCs/>
                <w:i/>
                <w:iCs/>
                <w:sz w:val="12"/>
                <w:szCs w:val="12"/>
                <w:lang w:val="es-CO"/>
              </w:rPr>
              <w:t>Retención</w:t>
            </w:r>
          </w:p>
        </w:tc>
        <w:tc>
          <w:tcPr>
            <w:tcW w:w="508" w:type="pct"/>
            <w:tcBorders>
              <w:top w:val="single" w:sz="4" w:space="0" w:color="auto"/>
              <w:left w:val="single" w:sz="4" w:space="0" w:color="auto"/>
              <w:bottom w:val="single" w:sz="4" w:space="0" w:color="auto"/>
              <w:right w:val="single" w:sz="4" w:space="0" w:color="auto"/>
            </w:tcBorders>
            <w:noWrap/>
            <w:vAlign w:val="center"/>
          </w:tcPr>
          <w:p w14:paraId="656B3C41" w14:textId="4D1705FE" w:rsidR="00560010" w:rsidRPr="0040652E" w:rsidRDefault="00560010" w:rsidP="0040652E">
            <w:pPr>
              <w:spacing w:before="0" w:after="0"/>
              <w:jc w:val="center"/>
              <w:rPr>
                <w:b/>
                <w:bCs/>
                <w:i/>
                <w:iCs/>
                <w:sz w:val="12"/>
                <w:szCs w:val="12"/>
                <w:lang w:val="es-CO"/>
              </w:rPr>
            </w:pPr>
            <w:r w:rsidRPr="0040652E">
              <w:rPr>
                <w:b/>
                <w:bCs/>
                <w:i/>
                <w:iCs/>
                <w:sz w:val="12"/>
                <w:szCs w:val="12"/>
                <w:lang w:val="es-CO"/>
              </w:rPr>
              <w:t>Suspensión</w:t>
            </w:r>
          </w:p>
        </w:tc>
        <w:tc>
          <w:tcPr>
            <w:tcW w:w="507" w:type="pct"/>
            <w:tcBorders>
              <w:top w:val="single" w:sz="4" w:space="0" w:color="auto"/>
              <w:left w:val="single" w:sz="4" w:space="0" w:color="auto"/>
              <w:bottom w:val="single" w:sz="4" w:space="0" w:color="auto"/>
              <w:right w:val="single" w:sz="4" w:space="0" w:color="auto"/>
            </w:tcBorders>
            <w:noWrap/>
            <w:vAlign w:val="center"/>
          </w:tcPr>
          <w:p w14:paraId="5DF37A27" w14:textId="074DC3F5" w:rsidR="00560010" w:rsidRPr="0040652E" w:rsidRDefault="00560010" w:rsidP="0040652E">
            <w:pPr>
              <w:spacing w:before="0" w:after="0"/>
              <w:jc w:val="center"/>
              <w:rPr>
                <w:b/>
                <w:bCs/>
                <w:i/>
                <w:iCs/>
                <w:sz w:val="12"/>
                <w:szCs w:val="12"/>
                <w:lang w:val="es-CO"/>
              </w:rPr>
            </w:pPr>
            <w:r w:rsidRPr="0040652E">
              <w:rPr>
                <w:b/>
                <w:bCs/>
                <w:i/>
                <w:iCs/>
                <w:sz w:val="12"/>
                <w:szCs w:val="12"/>
                <w:lang w:val="es-CO"/>
              </w:rPr>
              <w:t>Retención</w:t>
            </w:r>
          </w:p>
        </w:tc>
        <w:tc>
          <w:tcPr>
            <w:tcW w:w="508" w:type="pct"/>
            <w:tcBorders>
              <w:top w:val="nil"/>
              <w:left w:val="single" w:sz="4" w:space="0" w:color="auto"/>
              <w:bottom w:val="nil"/>
              <w:right w:val="nil"/>
            </w:tcBorders>
            <w:noWrap/>
            <w:vAlign w:val="center"/>
          </w:tcPr>
          <w:p w14:paraId="60A223A0" w14:textId="77777777" w:rsidR="00560010" w:rsidRPr="0040652E" w:rsidRDefault="00560010" w:rsidP="0034744C">
            <w:pPr>
              <w:spacing w:before="0" w:after="0"/>
              <w:jc w:val="right"/>
              <w:rPr>
                <w:b/>
                <w:bCs/>
                <w:i/>
                <w:iCs/>
                <w:sz w:val="12"/>
                <w:szCs w:val="12"/>
                <w:lang w:val="es-CO"/>
              </w:rPr>
            </w:pPr>
          </w:p>
        </w:tc>
        <w:tc>
          <w:tcPr>
            <w:tcW w:w="363" w:type="pct"/>
            <w:tcBorders>
              <w:top w:val="nil"/>
              <w:left w:val="nil"/>
              <w:bottom w:val="nil"/>
              <w:right w:val="nil"/>
            </w:tcBorders>
            <w:noWrap/>
            <w:vAlign w:val="center"/>
          </w:tcPr>
          <w:p w14:paraId="473D9BD3" w14:textId="77777777" w:rsidR="00560010" w:rsidRPr="0040652E" w:rsidRDefault="00560010" w:rsidP="0034744C">
            <w:pPr>
              <w:spacing w:before="0" w:after="0"/>
              <w:jc w:val="right"/>
              <w:rPr>
                <w:b/>
                <w:bCs/>
                <w:i/>
                <w:iCs/>
                <w:sz w:val="12"/>
                <w:szCs w:val="12"/>
                <w:lang w:val="es-CO"/>
              </w:rPr>
            </w:pPr>
          </w:p>
        </w:tc>
      </w:tr>
      <w:tr w:rsidR="003B5941" w:rsidRPr="00FD31B0" w14:paraId="59727CE6" w14:textId="77777777" w:rsidTr="00295069">
        <w:trPr>
          <w:trHeight w:val="227"/>
        </w:trPr>
        <w:tc>
          <w:tcPr>
            <w:tcW w:w="435" w:type="pct"/>
            <w:tcBorders>
              <w:top w:val="single" w:sz="4" w:space="0" w:color="auto"/>
              <w:left w:val="single" w:sz="4" w:space="0" w:color="auto"/>
              <w:bottom w:val="single" w:sz="4" w:space="0" w:color="auto"/>
              <w:right w:val="single" w:sz="4" w:space="0" w:color="auto"/>
            </w:tcBorders>
            <w:noWrap/>
            <w:vAlign w:val="center"/>
          </w:tcPr>
          <w:p w14:paraId="1B127091" w14:textId="77777777" w:rsidR="00FD31B0" w:rsidRPr="0040652E" w:rsidRDefault="00FD31B0" w:rsidP="0034744C">
            <w:pPr>
              <w:spacing w:before="0" w:after="0"/>
              <w:jc w:val="left"/>
              <w:rPr>
                <w:i/>
                <w:iCs/>
                <w:sz w:val="12"/>
                <w:szCs w:val="12"/>
                <w:lang w:val="es-CO"/>
              </w:rPr>
            </w:pPr>
          </w:p>
        </w:tc>
        <w:tc>
          <w:tcPr>
            <w:tcW w:w="441" w:type="pct"/>
            <w:tcBorders>
              <w:top w:val="single" w:sz="4" w:space="0" w:color="auto"/>
              <w:left w:val="single" w:sz="4" w:space="0" w:color="auto"/>
              <w:bottom w:val="single" w:sz="4" w:space="0" w:color="auto"/>
              <w:right w:val="single" w:sz="4" w:space="0" w:color="auto"/>
            </w:tcBorders>
            <w:noWrap/>
            <w:vAlign w:val="center"/>
          </w:tcPr>
          <w:p w14:paraId="2D753767" w14:textId="77777777" w:rsidR="00FD31B0" w:rsidRPr="00FD31B0" w:rsidRDefault="00FD31B0" w:rsidP="0034744C">
            <w:pPr>
              <w:spacing w:before="0" w:after="0"/>
              <w:jc w:val="left"/>
              <w:rPr>
                <w:b/>
                <w:bCs/>
                <w:i/>
                <w:iCs/>
                <w:sz w:val="12"/>
                <w:szCs w:val="12"/>
                <w:lang w:val="es-CO"/>
              </w:rPr>
            </w:pPr>
          </w:p>
        </w:tc>
        <w:tc>
          <w:tcPr>
            <w:tcW w:w="724" w:type="pct"/>
            <w:tcBorders>
              <w:top w:val="single" w:sz="4" w:space="0" w:color="auto"/>
              <w:left w:val="single" w:sz="4" w:space="0" w:color="auto"/>
              <w:bottom w:val="single" w:sz="4" w:space="0" w:color="auto"/>
              <w:right w:val="single" w:sz="4" w:space="0" w:color="auto"/>
            </w:tcBorders>
            <w:noWrap/>
            <w:vAlign w:val="center"/>
          </w:tcPr>
          <w:p w14:paraId="04DB4443" w14:textId="77777777" w:rsidR="00FD31B0" w:rsidRPr="00FD31B0" w:rsidRDefault="00FD31B0" w:rsidP="0034744C">
            <w:pPr>
              <w:spacing w:before="0" w:after="0"/>
              <w:jc w:val="left"/>
              <w:rPr>
                <w:b/>
                <w:bCs/>
                <w:i/>
                <w:iCs/>
                <w:sz w:val="12"/>
                <w:szCs w:val="12"/>
                <w:lang w:val="es-CO"/>
              </w:rPr>
            </w:pPr>
          </w:p>
        </w:tc>
        <w:tc>
          <w:tcPr>
            <w:tcW w:w="500" w:type="pct"/>
            <w:tcBorders>
              <w:top w:val="single" w:sz="4" w:space="0" w:color="auto"/>
              <w:left w:val="single" w:sz="4" w:space="0" w:color="auto"/>
              <w:bottom w:val="single" w:sz="4" w:space="0" w:color="auto"/>
              <w:right w:val="single" w:sz="4" w:space="0" w:color="auto"/>
            </w:tcBorders>
            <w:noWrap/>
            <w:vAlign w:val="center"/>
          </w:tcPr>
          <w:p w14:paraId="6AD669A5" w14:textId="77777777" w:rsidR="00FD31B0" w:rsidRPr="00FD31B0" w:rsidRDefault="00FD31B0" w:rsidP="0034744C">
            <w:pPr>
              <w:spacing w:before="0" w:after="0"/>
              <w:jc w:val="right"/>
              <w:rPr>
                <w:b/>
                <w:bCs/>
                <w:i/>
                <w:iCs/>
                <w:sz w:val="12"/>
                <w:szCs w:val="12"/>
                <w:lang w:val="es-CO"/>
              </w:rPr>
            </w:pPr>
          </w:p>
        </w:tc>
        <w:tc>
          <w:tcPr>
            <w:tcW w:w="508" w:type="pct"/>
            <w:tcBorders>
              <w:top w:val="single" w:sz="4" w:space="0" w:color="auto"/>
              <w:left w:val="single" w:sz="4" w:space="0" w:color="auto"/>
              <w:bottom w:val="single" w:sz="4" w:space="0" w:color="auto"/>
              <w:right w:val="single" w:sz="4" w:space="0" w:color="auto"/>
            </w:tcBorders>
            <w:noWrap/>
            <w:vAlign w:val="center"/>
          </w:tcPr>
          <w:p w14:paraId="3E9FDEB2" w14:textId="77777777" w:rsidR="00FD31B0" w:rsidRPr="00FD31B0" w:rsidRDefault="00FD31B0" w:rsidP="0034744C">
            <w:pPr>
              <w:spacing w:before="0" w:after="0"/>
              <w:jc w:val="right"/>
              <w:rPr>
                <w:b/>
                <w:bCs/>
                <w:i/>
                <w:iCs/>
                <w:sz w:val="12"/>
                <w:szCs w:val="12"/>
                <w:lang w:val="es-CO"/>
              </w:rPr>
            </w:pPr>
          </w:p>
        </w:tc>
        <w:tc>
          <w:tcPr>
            <w:tcW w:w="507" w:type="pct"/>
            <w:tcBorders>
              <w:top w:val="single" w:sz="4" w:space="0" w:color="auto"/>
              <w:left w:val="single" w:sz="4" w:space="0" w:color="auto"/>
              <w:bottom w:val="single" w:sz="4" w:space="0" w:color="auto"/>
              <w:right w:val="single" w:sz="4" w:space="0" w:color="auto"/>
            </w:tcBorders>
            <w:noWrap/>
            <w:vAlign w:val="center"/>
          </w:tcPr>
          <w:p w14:paraId="162F20F8" w14:textId="77777777" w:rsidR="00FD31B0" w:rsidRPr="00FD31B0" w:rsidRDefault="00FD31B0" w:rsidP="0034744C">
            <w:pPr>
              <w:spacing w:before="0" w:after="0"/>
              <w:jc w:val="right"/>
              <w:rPr>
                <w:b/>
                <w:bCs/>
                <w:i/>
                <w:iCs/>
                <w:sz w:val="12"/>
                <w:szCs w:val="12"/>
                <w:lang w:val="es-CO"/>
              </w:rPr>
            </w:pPr>
          </w:p>
        </w:tc>
        <w:tc>
          <w:tcPr>
            <w:tcW w:w="508" w:type="pct"/>
            <w:tcBorders>
              <w:top w:val="single" w:sz="4" w:space="0" w:color="auto"/>
              <w:left w:val="single" w:sz="4" w:space="0" w:color="auto"/>
              <w:bottom w:val="single" w:sz="4" w:space="0" w:color="auto"/>
              <w:right w:val="single" w:sz="4" w:space="0" w:color="auto"/>
            </w:tcBorders>
            <w:noWrap/>
            <w:vAlign w:val="center"/>
          </w:tcPr>
          <w:p w14:paraId="29107674" w14:textId="77777777" w:rsidR="00FD31B0" w:rsidRPr="00FD31B0" w:rsidRDefault="00FD31B0" w:rsidP="0034744C">
            <w:pPr>
              <w:spacing w:before="0" w:after="0"/>
              <w:jc w:val="right"/>
              <w:rPr>
                <w:b/>
                <w:bCs/>
                <w:i/>
                <w:iCs/>
                <w:sz w:val="12"/>
                <w:szCs w:val="12"/>
                <w:lang w:val="es-CO"/>
              </w:rPr>
            </w:pPr>
          </w:p>
        </w:tc>
        <w:tc>
          <w:tcPr>
            <w:tcW w:w="507" w:type="pct"/>
            <w:tcBorders>
              <w:top w:val="single" w:sz="4" w:space="0" w:color="auto"/>
              <w:left w:val="single" w:sz="4" w:space="0" w:color="auto"/>
              <w:bottom w:val="single" w:sz="4" w:space="0" w:color="auto"/>
              <w:right w:val="single" w:sz="4" w:space="0" w:color="auto"/>
            </w:tcBorders>
            <w:noWrap/>
            <w:vAlign w:val="center"/>
          </w:tcPr>
          <w:p w14:paraId="779D07FE" w14:textId="77777777" w:rsidR="00FD31B0" w:rsidRPr="00FD31B0" w:rsidRDefault="00FD31B0" w:rsidP="0034744C">
            <w:pPr>
              <w:spacing w:before="0" w:after="0"/>
              <w:jc w:val="right"/>
              <w:rPr>
                <w:b/>
                <w:bCs/>
                <w:i/>
                <w:iCs/>
                <w:sz w:val="12"/>
                <w:szCs w:val="12"/>
                <w:lang w:val="es-CO"/>
              </w:rPr>
            </w:pPr>
          </w:p>
        </w:tc>
        <w:tc>
          <w:tcPr>
            <w:tcW w:w="508" w:type="pct"/>
            <w:tcBorders>
              <w:top w:val="nil"/>
              <w:left w:val="single" w:sz="4" w:space="0" w:color="auto"/>
              <w:bottom w:val="nil"/>
              <w:right w:val="nil"/>
            </w:tcBorders>
            <w:noWrap/>
            <w:vAlign w:val="center"/>
          </w:tcPr>
          <w:p w14:paraId="5E48A2E4" w14:textId="77777777" w:rsidR="00FD31B0" w:rsidRPr="00FD31B0" w:rsidRDefault="00FD31B0" w:rsidP="0034744C">
            <w:pPr>
              <w:spacing w:before="0" w:after="0"/>
              <w:jc w:val="right"/>
              <w:rPr>
                <w:b/>
                <w:bCs/>
                <w:i/>
                <w:iCs/>
                <w:sz w:val="12"/>
                <w:szCs w:val="12"/>
                <w:lang w:val="es-CO"/>
              </w:rPr>
            </w:pPr>
          </w:p>
        </w:tc>
        <w:tc>
          <w:tcPr>
            <w:tcW w:w="363" w:type="pct"/>
            <w:tcBorders>
              <w:top w:val="nil"/>
              <w:left w:val="nil"/>
              <w:bottom w:val="nil"/>
              <w:right w:val="nil"/>
            </w:tcBorders>
            <w:noWrap/>
            <w:vAlign w:val="center"/>
          </w:tcPr>
          <w:p w14:paraId="239DFC57" w14:textId="77777777" w:rsidR="00FD31B0" w:rsidRPr="00FD31B0" w:rsidRDefault="00FD31B0" w:rsidP="0034744C">
            <w:pPr>
              <w:spacing w:before="0" w:after="0"/>
              <w:jc w:val="right"/>
              <w:rPr>
                <w:b/>
                <w:bCs/>
                <w:i/>
                <w:iCs/>
                <w:sz w:val="12"/>
                <w:szCs w:val="12"/>
                <w:lang w:val="es-CO"/>
              </w:rPr>
            </w:pPr>
          </w:p>
        </w:tc>
      </w:tr>
      <w:tr w:rsidR="003B5941" w:rsidRPr="00FD31B0" w14:paraId="355ED647" w14:textId="77777777" w:rsidTr="00295069">
        <w:trPr>
          <w:trHeight w:val="227"/>
        </w:trPr>
        <w:tc>
          <w:tcPr>
            <w:tcW w:w="435" w:type="pct"/>
            <w:tcBorders>
              <w:top w:val="single" w:sz="4" w:space="0" w:color="auto"/>
              <w:left w:val="single" w:sz="4" w:space="0" w:color="auto"/>
              <w:bottom w:val="single" w:sz="4" w:space="0" w:color="auto"/>
              <w:right w:val="single" w:sz="4" w:space="0" w:color="auto"/>
            </w:tcBorders>
            <w:noWrap/>
            <w:vAlign w:val="center"/>
          </w:tcPr>
          <w:p w14:paraId="31DFEF83" w14:textId="59D2ED06" w:rsidR="00AE60A7" w:rsidRPr="00AE60A7" w:rsidRDefault="00AE60A7" w:rsidP="0040652E">
            <w:pPr>
              <w:spacing w:before="0" w:after="0"/>
              <w:jc w:val="right"/>
              <w:rPr>
                <w:i/>
                <w:iCs/>
                <w:sz w:val="12"/>
                <w:szCs w:val="12"/>
                <w:lang w:val="es-CO"/>
              </w:rPr>
            </w:pPr>
            <w:r w:rsidRPr="00ED118E">
              <w:rPr>
                <w:i/>
                <w:iCs/>
                <w:sz w:val="12"/>
                <w:szCs w:val="12"/>
                <w:lang w:val="es-CO"/>
              </w:rPr>
              <w:t>$ 46.772</w:t>
            </w:r>
          </w:p>
        </w:tc>
        <w:tc>
          <w:tcPr>
            <w:tcW w:w="441" w:type="pct"/>
            <w:tcBorders>
              <w:top w:val="single" w:sz="4" w:space="0" w:color="auto"/>
              <w:left w:val="single" w:sz="4" w:space="0" w:color="auto"/>
              <w:bottom w:val="single" w:sz="4" w:space="0" w:color="auto"/>
              <w:right w:val="single" w:sz="4" w:space="0" w:color="auto"/>
            </w:tcBorders>
            <w:noWrap/>
            <w:vAlign w:val="center"/>
          </w:tcPr>
          <w:p w14:paraId="76F44117" w14:textId="0BDBF785" w:rsidR="00AE60A7" w:rsidRPr="00FD31B0" w:rsidRDefault="00AE60A7" w:rsidP="0040652E">
            <w:pPr>
              <w:spacing w:before="0" w:after="0"/>
              <w:jc w:val="right"/>
              <w:rPr>
                <w:b/>
                <w:bCs/>
                <w:i/>
                <w:iCs/>
                <w:sz w:val="12"/>
                <w:szCs w:val="12"/>
                <w:lang w:val="es-CO"/>
              </w:rPr>
            </w:pPr>
            <w:r w:rsidRPr="00ED118E">
              <w:rPr>
                <w:i/>
                <w:iCs/>
                <w:sz w:val="12"/>
                <w:szCs w:val="12"/>
                <w:lang w:val="es-CO"/>
              </w:rPr>
              <w:t xml:space="preserve">$ 27.370 </w:t>
            </w:r>
          </w:p>
        </w:tc>
        <w:tc>
          <w:tcPr>
            <w:tcW w:w="724" w:type="pct"/>
            <w:tcBorders>
              <w:top w:val="single" w:sz="4" w:space="0" w:color="auto"/>
              <w:left w:val="single" w:sz="4" w:space="0" w:color="auto"/>
              <w:bottom w:val="single" w:sz="4" w:space="0" w:color="auto"/>
              <w:right w:val="single" w:sz="4" w:space="0" w:color="auto"/>
            </w:tcBorders>
            <w:noWrap/>
            <w:vAlign w:val="center"/>
          </w:tcPr>
          <w:p w14:paraId="1371FAA8" w14:textId="10B351DB" w:rsidR="00AE60A7" w:rsidRPr="00FD31B0" w:rsidRDefault="00AE60A7" w:rsidP="0040652E">
            <w:pPr>
              <w:spacing w:before="0" w:after="0"/>
              <w:jc w:val="right"/>
              <w:rPr>
                <w:b/>
                <w:bCs/>
                <w:i/>
                <w:iCs/>
                <w:sz w:val="12"/>
                <w:szCs w:val="12"/>
                <w:lang w:val="es-CO"/>
              </w:rPr>
            </w:pPr>
            <w:r w:rsidRPr="00ED118E">
              <w:rPr>
                <w:i/>
                <w:iCs/>
                <w:sz w:val="12"/>
                <w:szCs w:val="12"/>
                <w:lang w:val="es-CO"/>
              </w:rPr>
              <w:t xml:space="preserve">$ 65.415 </w:t>
            </w:r>
          </w:p>
        </w:tc>
        <w:tc>
          <w:tcPr>
            <w:tcW w:w="500" w:type="pct"/>
            <w:tcBorders>
              <w:top w:val="single" w:sz="4" w:space="0" w:color="auto"/>
              <w:left w:val="single" w:sz="4" w:space="0" w:color="auto"/>
              <w:bottom w:val="single" w:sz="4" w:space="0" w:color="auto"/>
              <w:right w:val="single" w:sz="4" w:space="0" w:color="auto"/>
            </w:tcBorders>
            <w:noWrap/>
            <w:vAlign w:val="center"/>
          </w:tcPr>
          <w:p w14:paraId="16A9B6B5" w14:textId="4A57FC4D" w:rsidR="00AE60A7" w:rsidRPr="00FD31B0" w:rsidRDefault="00AE60A7" w:rsidP="0034744C">
            <w:pPr>
              <w:spacing w:before="0" w:after="0"/>
              <w:jc w:val="right"/>
              <w:rPr>
                <w:b/>
                <w:bCs/>
                <w:i/>
                <w:iCs/>
                <w:sz w:val="12"/>
                <w:szCs w:val="12"/>
                <w:lang w:val="es-CO"/>
              </w:rPr>
            </w:pPr>
            <w:r w:rsidRPr="00ED118E">
              <w:rPr>
                <w:i/>
                <w:iCs/>
                <w:sz w:val="12"/>
                <w:szCs w:val="12"/>
                <w:lang w:val="es-CO"/>
              </w:rPr>
              <w:t xml:space="preserve">$5.453 </w:t>
            </w:r>
          </w:p>
        </w:tc>
        <w:tc>
          <w:tcPr>
            <w:tcW w:w="508" w:type="pct"/>
            <w:tcBorders>
              <w:top w:val="single" w:sz="4" w:space="0" w:color="auto"/>
              <w:left w:val="single" w:sz="4" w:space="0" w:color="auto"/>
              <w:bottom w:val="single" w:sz="4" w:space="0" w:color="auto"/>
              <w:right w:val="single" w:sz="4" w:space="0" w:color="auto"/>
            </w:tcBorders>
            <w:noWrap/>
            <w:vAlign w:val="center"/>
          </w:tcPr>
          <w:p w14:paraId="07D2EFA9" w14:textId="2C76E33A" w:rsidR="00AE60A7" w:rsidRPr="00FD31B0" w:rsidRDefault="00AE60A7" w:rsidP="0034744C">
            <w:pPr>
              <w:spacing w:before="0" w:after="0"/>
              <w:jc w:val="right"/>
              <w:rPr>
                <w:b/>
                <w:bCs/>
                <w:i/>
                <w:iCs/>
                <w:sz w:val="12"/>
                <w:szCs w:val="12"/>
                <w:lang w:val="es-CO"/>
              </w:rPr>
            </w:pPr>
            <w:r w:rsidRPr="00ED118E">
              <w:rPr>
                <w:i/>
                <w:iCs/>
                <w:sz w:val="12"/>
                <w:szCs w:val="12"/>
                <w:lang w:val="es-CO"/>
              </w:rPr>
              <w:t xml:space="preserve">$ 1.703.901 </w:t>
            </w:r>
          </w:p>
        </w:tc>
        <w:tc>
          <w:tcPr>
            <w:tcW w:w="507" w:type="pct"/>
            <w:tcBorders>
              <w:top w:val="single" w:sz="4" w:space="0" w:color="auto"/>
              <w:left w:val="single" w:sz="4" w:space="0" w:color="auto"/>
              <w:bottom w:val="single" w:sz="4" w:space="0" w:color="auto"/>
              <w:right w:val="single" w:sz="4" w:space="0" w:color="auto"/>
            </w:tcBorders>
            <w:noWrap/>
            <w:vAlign w:val="center"/>
          </w:tcPr>
          <w:p w14:paraId="4240D8D2" w14:textId="67F7E5F5" w:rsidR="00AE60A7" w:rsidRPr="00FD31B0" w:rsidRDefault="00AE60A7" w:rsidP="0034744C">
            <w:pPr>
              <w:spacing w:before="0" w:after="0"/>
              <w:jc w:val="right"/>
              <w:rPr>
                <w:b/>
                <w:bCs/>
                <w:i/>
                <w:iCs/>
                <w:sz w:val="12"/>
                <w:szCs w:val="12"/>
                <w:lang w:val="es-CO"/>
              </w:rPr>
            </w:pPr>
            <w:r w:rsidRPr="00ED118E">
              <w:rPr>
                <w:i/>
                <w:iCs/>
                <w:sz w:val="12"/>
                <w:szCs w:val="12"/>
                <w:lang w:val="es-CO"/>
              </w:rPr>
              <w:t xml:space="preserve">$ 2.157.531 </w:t>
            </w:r>
          </w:p>
        </w:tc>
        <w:tc>
          <w:tcPr>
            <w:tcW w:w="508" w:type="pct"/>
            <w:tcBorders>
              <w:top w:val="single" w:sz="4" w:space="0" w:color="auto"/>
              <w:left w:val="single" w:sz="4" w:space="0" w:color="auto"/>
              <w:bottom w:val="single" w:sz="4" w:space="0" w:color="auto"/>
              <w:right w:val="single" w:sz="4" w:space="0" w:color="auto"/>
            </w:tcBorders>
            <w:noWrap/>
            <w:vAlign w:val="center"/>
          </w:tcPr>
          <w:p w14:paraId="4CCAD37E" w14:textId="2C3DE98E" w:rsidR="00AE60A7" w:rsidRPr="00FD31B0" w:rsidRDefault="00AE60A7" w:rsidP="0034744C">
            <w:pPr>
              <w:spacing w:before="0" w:after="0"/>
              <w:jc w:val="right"/>
              <w:rPr>
                <w:b/>
                <w:bCs/>
                <w:i/>
                <w:iCs/>
                <w:sz w:val="12"/>
                <w:szCs w:val="12"/>
                <w:lang w:val="es-CO"/>
              </w:rPr>
            </w:pPr>
            <w:r w:rsidRPr="00ED118E">
              <w:rPr>
                <w:i/>
                <w:iCs/>
                <w:sz w:val="12"/>
                <w:szCs w:val="12"/>
                <w:lang w:val="es-CO"/>
              </w:rPr>
              <w:t xml:space="preserve">$ 1.553.617 </w:t>
            </w:r>
          </w:p>
        </w:tc>
        <w:tc>
          <w:tcPr>
            <w:tcW w:w="507" w:type="pct"/>
            <w:tcBorders>
              <w:top w:val="single" w:sz="4" w:space="0" w:color="auto"/>
              <w:left w:val="single" w:sz="4" w:space="0" w:color="auto"/>
              <w:bottom w:val="single" w:sz="4" w:space="0" w:color="auto"/>
              <w:right w:val="single" w:sz="4" w:space="0" w:color="auto"/>
            </w:tcBorders>
            <w:noWrap/>
            <w:vAlign w:val="center"/>
          </w:tcPr>
          <w:p w14:paraId="1C20757F" w14:textId="5E35C899" w:rsidR="00AE60A7" w:rsidRPr="00FD31B0" w:rsidRDefault="00AE60A7" w:rsidP="0034744C">
            <w:pPr>
              <w:spacing w:before="0" w:after="0"/>
              <w:jc w:val="right"/>
              <w:rPr>
                <w:b/>
                <w:bCs/>
                <w:i/>
                <w:iCs/>
                <w:sz w:val="12"/>
                <w:szCs w:val="12"/>
                <w:lang w:val="es-CO"/>
              </w:rPr>
            </w:pPr>
            <w:r w:rsidRPr="00ED118E">
              <w:rPr>
                <w:i/>
                <w:iCs/>
                <w:sz w:val="12"/>
                <w:szCs w:val="12"/>
                <w:lang w:val="es-CO"/>
              </w:rPr>
              <w:t xml:space="preserve">$ 1.967.237 </w:t>
            </w:r>
          </w:p>
        </w:tc>
        <w:tc>
          <w:tcPr>
            <w:tcW w:w="508" w:type="pct"/>
            <w:tcBorders>
              <w:top w:val="nil"/>
              <w:left w:val="single" w:sz="4" w:space="0" w:color="auto"/>
              <w:bottom w:val="nil"/>
              <w:right w:val="nil"/>
            </w:tcBorders>
            <w:noWrap/>
            <w:vAlign w:val="center"/>
          </w:tcPr>
          <w:p w14:paraId="2448521E" w14:textId="77777777" w:rsidR="00AE60A7" w:rsidRPr="00FD31B0" w:rsidRDefault="00AE60A7" w:rsidP="0034744C">
            <w:pPr>
              <w:spacing w:before="0" w:after="0"/>
              <w:jc w:val="right"/>
              <w:rPr>
                <w:b/>
                <w:bCs/>
                <w:i/>
                <w:iCs/>
                <w:sz w:val="12"/>
                <w:szCs w:val="12"/>
                <w:lang w:val="es-CO"/>
              </w:rPr>
            </w:pPr>
          </w:p>
        </w:tc>
        <w:tc>
          <w:tcPr>
            <w:tcW w:w="363" w:type="pct"/>
            <w:tcBorders>
              <w:top w:val="nil"/>
              <w:left w:val="nil"/>
              <w:bottom w:val="nil"/>
              <w:right w:val="nil"/>
            </w:tcBorders>
            <w:noWrap/>
            <w:vAlign w:val="center"/>
          </w:tcPr>
          <w:p w14:paraId="05831F98" w14:textId="77777777" w:rsidR="00AE60A7" w:rsidRPr="00FD31B0" w:rsidRDefault="00AE60A7" w:rsidP="0034744C">
            <w:pPr>
              <w:spacing w:before="0" w:after="0"/>
              <w:jc w:val="right"/>
              <w:rPr>
                <w:b/>
                <w:bCs/>
                <w:i/>
                <w:iCs/>
                <w:sz w:val="12"/>
                <w:szCs w:val="12"/>
                <w:lang w:val="es-CO"/>
              </w:rPr>
            </w:pPr>
          </w:p>
        </w:tc>
      </w:tr>
      <w:tr w:rsidR="003B5941" w:rsidRPr="00FD31B0" w14:paraId="7E2AEA83" w14:textId="77777777" w:rsidTr="00295069">
        <w:trPr>
          <w:trHeight w:val="227"/>
        </w:trPr>
        <w:tc>
          <w:tcPr>
            <w:tcW w:w="435" w:type="pct"/>
            <w:tcBorders>
              <w:top w:val="single" w:sz="4" w:space="0" w:color="auto"/>
              <w:left w:val="single" w:sz="4" w:space="0" w:color="auto"/>
              <w:bottom w:val="single" w:sz="4" w:space="0" w:color="auto"/>
              <w:right w:val="single" w:sz="4" w:space="0" w:color="auto"/>
            </w:tcBorders>
            <w:noWrap/>
            <w:vAlign w:val="center"/>
          </w:tcPr>
          <w:p w14:paraId="2CC38E82" w14:textId="44177211" w:rsidR="00AE60A7" w:rsidRPr="00ED118E" w:rsidRDefault="00AE60A7" w:rsidP="0040652E">
            <w:pPr>
              <w:spacing w:before="0" w:after="0"/>
              <w:jc w:val="right"/>
              <w:rPr>
                <w:i/>
                <w:iCs/>
                <w:sz w:val="12"/>
                <w:szCs w:val="12"/>
                <w:lang w:val="es-CO"/>
              </w:rPr>
            </w:pPr>
            <w:r w:rsidRPr="00ED118E">
              <w:rPr>
                <w:i/>
                <w:iCs/>
                <w:sz w:val="12"/>
                <w:szCs w:val="12"/>
                <w:lang w:val="es-CO"/>
              </w:rPr>
              <w:t>$ 46.772</w:t>
            </w:r>
          </w:p>
        </w:tc>
        <w:tc>
          <w:tcPr>
            <w:tcW w:w="441" w:type="pct"/>
            <w:tcBorders>
              <w:top w:val="single" w:sz="4" w:space="0" w:color="auto"/>
              <w:left w:val="single" w:sz="4" w:space="0" w:color="auto"/>
              <w:bottom w:val="single" w:sz="4" w:space="0" w:color="auto"/>
              <w:right w:val="single" w:sz="4" w:space="0" w:color="auto"/>
            </w:tcBorders>
            <w:noWrap/>
            <w:vAlign w:val="center"/>
          </w:tcPr>
          <w:p w14:paraId="653EEE36" w14:textId="527FD722" w:rsidR="00AE60A7" w:rsidRPr="00ED118E" w:rsidRDefault="00AE60A7" w:rsidP="0040652E">
            <w:pPr>
              <w:spacing w:before="0" w:after="0"/>
              <w:jc w:val="right"/>
              <w:rPr>
                <w:i/>
                <w:iCs/>
                <w:sz w:val="12"/>
                <w:szCs w:val="12"/>
                <w:lang w:val="es-CO"/>
              </w:rPr>
            </w:pPr>
            <w:r w:rsidRPr="00ED118E">
              <w:rPr>
                <w:i/>
                <w:iCs/>
                <w:sz w:val="12"/>
                <w:szCs w:val="12"/>
                <w:lang w:val="es-CO"/>
              </w:rPr>
              <w:t xml:space="preserve">$ 27.370 </w:t>
            </w:r>
          </w:p>
        </w:tc>
        <w:tc>
          <w:tcPr>
            <w:tcW w:w="724" w:type="pct"/>
            <w:tcBorders>
              <w:top w:val="single" w:sz="4" w:space="0" w:color="auto"/>
              <w:left w:val="single" w:sz="4" w:space="0" w:color="auto"/>
              <w:bottom w:val="single" w:sz="4" w:space="0" w:color="auto"/>
              <w:right w:val="single" w:sz="4" w:space="0" w:color="auto"/>
            </w:tcBorders>
            <w:noWrap/>
            <w:vAlign w:val="center"/>
          </w:tcPr>
          <w:p w14:paraId="3A45776B" w14:textId="0D6D0ED8" w:rsidR="00AE60A7" w:rsidRPr="00ED118E" w:rsidRDefault="00AE60A7" w:rsidP="0040652E">
            <w:pPr>
              <w:spacing w:before="0" w:after="0"/>
              <w:jc w:val="right"/>
              <w:rPr>
                <w:i/>
                <w:iCs/>
                <w:sz w:val="12"/>
                <w:szCs w:val="12"/>
                <w:lang w:val="es-CO"/>
              </w:rPr>
            </w:pPr>
            <w:r w:rsidRPr="00ED118E">
              <w:rPr>
                <w:i/>
                <w:iCs/>
                <w:sz w:val="12"/>
                <w:szCs w:val="12"/>
                <w:lang w:val="es-CO"/>
              </w:rPr>
              <w:t xml:space="preserve">$ 65.415 </w:t>
            </w:r>
          </w:p>
        </w:tc>
        <w:tc>
          <w:tcPr>
            <w:tcW w:w="500" w:type="pct"/>
            <w:tcBorders>
              <w:top w:val="single" w:sz="4" w:space="0" w:color="auto"/>
              <w:left w:val="single" w:sz="4" w:space="0" w:color="auto"/>
              <w:bottom w:val="single" w:sz="4" w:space="0" w:color="auto"/>
              <w:right w:val="single" w:sz="4" w:space="0" w:color="auto"/>
            </w:tcBorders>
            <w:noWrap/>
            <w:vAlign w:val="center"/>
          </w:tcPr>
          <w:p w14:paraId="160309A2" w14:textId="2BDF1FA1" w:rsidR="00AE60A7" w:rsidRPr="00ED118E" w:rsidRDefault="00AE60A7" w:rsidP="0034744C">
            <w:pPr>
              <w:spacing w:before="0" w:after="0"/>
              <w:jc w:val="right"/>
              <w:rPr>
                <w:i/>
                <w:iCs/>
                <w:sz w:val="12"/>
                <w:szCs w:val="12"/>
                <w:lang w:val="es-CO"/>
              </w:rPr>
            </w:pPr>
            <w:r w:rsidRPr="00ED118E">
              <w:rPr>
                <w:i/>
                <w:iCs/>
                <w:sz w:val="12"/>
                <w:szCs w:val="12"/>
                <w:lang w:val="es-CO"/>
              </w:rPr>
              <w:t xml:space="preserve">$5.453 </w:t>
            </w:r>
          </w:p>
        </w:tc>
        <w:tc>
          <w:tcPr>
            <w:tcW w:w="508" w:type="pct"/>
            <w:tcBorders>
              <w:top w:val="single" w:sz="4" w:space="0" w:color="auto"/>
              <w:left w:val="single" w:sz="4" w:space="0" w:color="auto"/>
              <w:bottom w:val="single" w:sz="4" w:space="0" w:color="auto"/>
              <w:right w:val="single" w:sz="4" w:space="0" w:color="auto"/>
            </w:tcBorders>
            <w:noWrap/>
            <w:vAlign w:val="center"/>
          </w:tcPr>
          <w:p w14:paraId="0D954374" w14:textId="29CD2EF1" w:rsidR="00AE60A7" w:rsidRPr="00ED118E" w:rsidRDefault="00AE60A7" w:rsidP="0034744C">
            <w:pPr>
              <w:spacing w:before="0" w:after="0"/>
              <w:jc w:val="right"/>
              <w:rPr>
                <w:i/>
                <w:iCs/>
                <w:sz w:val="12"/>
                <w:szCs w:val="12"/>
                <w:lang w:val="es-CO"/>
              </w:rPr>
            </w:pPr>
            <w:r w:rsidRPr="00ED118E">
              <w:rPr>
                <w:i/>
                <w:iCs/>
                <w:sz w:val="12"/>
                <w:szCs w:val="12"/>
                <w:lang w:val="es-CO"/>
              </w:rPr>
              <w:t xml:space="preserve">$ 1.923.117 </w:t>
            </w:r>
          </w:p>
        </w:tc>
        <w:tc>
          <w:tcPr>
            <w:tcW w:w="507" w:type="pct"/>
            <w:tcBorders>
              <w:top w:val="single" w:sz="4" w:space="0" w:color="auto"/>
              <w:left w:val="single" w:sz="4" w:space="0" w:color="auto"/>
              <w:bottom w:val="single" w:sz="4" w:space="0" w:color="auto"/>
              <w:right w:val="single" w:sz="4" w:space="0" w:color="auto"/>
            </w:tcBorders>
            <w:noWrap/>
            <w:vAlign w:val="center"/>
          </w:tcPr>
          <w:p w14:paraId="32496413" w14:textId="3F8EAA05" w:rsidR="00AE60A7" w:rsidRPr="00ED118E" w:rsidRDefault="00AE60A7" w:rsidP="0034744C">
            <w:pPr>
              <w:spacing w:before="0" w:after="0"/>
              <w:jc w:val="right"/>
              <w:rPr>
                <w:i/>
                <w:iCs/>
                <w:sz w:val="12"/>
                <w:szCs w:val="12"/>
                <w:lang w:val="es-CO"/>
              </w:rPr>
            </w:pPr>
            <w:r w:rsidRPr="00ED118E">
              <w:rPr>
                <w:i/>
                <w:iCs/>
                <w:sz w:val="12"/>
                <w:szCs w:val="12"/>
                <w:lang w:val="es-CO"/>
              </w:rPr>
              <w:t xml:space="preserve">$ 2.376.747 </w:t>
            </w:r>
          </w:p>
        </w:tc>
        <w:tc>
          <w:tcPr>
            <w:tcW w:w="508" w:type="pct"/>
            <w:tcBorders>
              <w:top w:val="single" w:sz="4" w:space="0" w:color="auto"/>
              <w:left w:val="single" w:sz="4" w:space="0" w:color="auto"/>
              <w:bottom w:val="single" w:sz="4" w:space="0" w:color="auto"/>
              <w:right w:val="single" w:sz="4" w:space="0" w:color="auto"/>
            </w:tcBorders>
            <w:noWrap/>
            <w:vAlign w:val="center"/>
          </w:tcPr>
          <w:p w14:paraId="449109D0" w14:textId="5F1D4CD1" w:rsidR="00AE60A7" w:rsidRPr="00ED118E" w:rsidRDefault="00AE60A7" w:rsidP="0034744C">
            <w:pPr>
              <w:spacing w:before="0" w:after="0"/>
              <w:jc w:val="right"/>
              <w:rPr>
                <w:i/>
                <w:iCs/>
                <w:sz w:val="12"/>
                <w:szCs w:val="12"/>
                <w:lang w:val="es-CO"/>
              </w:rPr>
            </w:pPr>
            <w:r w:rsidRPr="00ED118E">
              <w:rPr>
                <w:i/>
                <w:iCs/>
                <w:sz w:val="12"/>
                <w:szCs w:val="12"/>
                <w:lang w:val="es-CO"/>
              </w:rPr>
              <w:t xml:space="preserve">$ 1.753.498 </w:t>
            </w:r>
          </w:p>
        </w:tc>
        <w:tc>
          <w:tcPr>
            <w:tcW w:w="507" w:type="pct"/>
            <w:tcBorders>
              <w:top w:val="single" w:sz="4" w:space="0" w:color="auto"/>
              <w:left w:val="single" w:sz="4" w:space="0" w:color="auto"/>
              <w:bottom w:val="single" w:sz="4" w:space="0" w:color="auto"/>
              <w:right w:val="single" w:sz="4" w:space="0" w:color="auto"/>
            </w:tcBorders>
            <w:noWrap/>
            <w:vAlign w:val="center"/>
          </w:tcPr>
          <w:p w14:paraId="0B325365" w14:textId="0218E750" w:rsidR="00AE60A7" w:rsidRPr="00ED118E" w:rsidRDefault="00AE60A7" w:rsidP="0034744C">
            <w:pPr>
              <w:spacing w:before="0" w:after="0"/>
              <w:jc w:val="right"/>
              <w:rPr>
                <w:i/>
                <w:iCs/>
                <w:sz w:val="12"/>
                <w:szCs w:val="12"/>
                <w:lang w:val="es-CO"/>
              </w:rPr>
            </w:pPr>
            <w:r w:rsidRPr="00ED118E">
              <w:rPr>
                <w:i/>
                <w:iCs/>
                <w:sz w:val="12"/>
                <w:szCs w:val="12"/>
                <w:lang w:val="es-CO"/>
              </w:rPr>
              <w:t xml:space="preserve">$ 2.167.118 </w:t>
            </w:r>
          </w:p>
        </w:tc>
        <w:tc>
          <w:tcPr>
            <w:tcW w:w="508" w:type="pct"/>
            <w:tcBorders>
              <w:top w:val="nil"/>
              <w:left w:val="single" w:sz="4" w:space="0" w:color="auto"/>
              <w:bottom w:val="nil"/>
              <w:right w:val="nil"/>
            </w:tcBorders>
            <w:noWrap/>
            <w:vAlign w:val="center"/>
          </w:tcPr>
          <w:p w14:paraId="24B61393" w14:textId="77777777" w:rsidR="00AE60A7" w:rsidRPr="00FD31B0" w:rsidRDefault="00AE60A7" w:rsidP="0034744C">
            <w:pPr>
              <w:spacing w:before="0" w:after="0"/>
              <w:jc w:val="right"/>
              <w:rPr>
                <w:b/>
                <w:bCs/>
                <w:i/>
                <w:iCs/>
                <w:sz w:val="12"/>
                <w:szCs w:val="12"/>
                <w:lang w:val="es-CO"/>
              </w:rPr>
            </w:pPr>
          </w:p>
        </w:tc>
        <w:tc>
          <w:tcPr>
            <w:tcW w:w="363" w:type="pct"/>
            <w:tcBorders>
              <w:top w:val="nil"/>
              <w:left w:val="nil"/>
              <w:bottom w:val="nil"/>
              <w:right w:val="nil"/>
            </w:tcBorders>
            <w:noWrap/>
            <w:vAlign w:val="center"/>
          </w:tcPr>
          <w:p w14:paraId="7819A59F" w14:textId="77777777" w:rsidR="00AE60A7" w:rsidRPr="00FD31B0" w:rsidRDefault="00AE60A7" w:rsidP="0034744C">
            <w:pPr>
              <w:spacing w:before="0" w:after="0"/>
              <w:jc w:val="right"/>
              <w:rPr>
                <w:b/>
                <w:bCs/>
                <w:i/>
                <w:iCs/>
                <w:sz w:val="12"/>
                <w:szCs w:val="12"/>
                <w:lang w:val="es-CO"/>
              </w:rPr>
            </w:pPr>
          </w:p>
        </w:tc>
      </w:tr>
      <w:tr w:rsidR="003B5941" w:rsidRPr="00FD31B0" w14:paraId="59741563" w14:textId="77777777" w:rsidTr="00295069">
        <w:trPr>
          <w:trHeight w:val="227"/>
        </w:trPr>
        <w:tc>
          <w:tcPr>
            <w:tcW w:w="435" w:type="pct"/>
            <w:tcBorders>
              <w:top w:val="single" w:sz="4" w:space="0" w:color="auto"/>
              <w:left w:val="single" w:sz="4" w:space="0" w:color="auto"/>
              <w:bottom w:val="single" w:sz="4" w:space="0" w:color="auto"/>
              <w:right w:val="single" w:sz="4" w:space="0" w:color="auto"/>
            </w:tcBorders>
            <w:noWrap/>
            <w:vAlign w:val="center"/>
          </w:tcPr>
          <w:p w14:paraId="48F1903E" w14:textId="20B952B6" w:rsidR="00AE60A7" w:rsidRPr="00ED118E" w:rsidRDefault="00AE60A7" w:rsidP="0040652E">
            <w:pPr>
              <w:spacing w:before="0" w:after="0"/>
              <w:jc w:val="right"/>
              <w:rPr>
                <w:i/>
                <w:iCs/>
                <w:sz w:val="12"/>
                <w:szCs w:val="12"/>
                <w:lang w:val="es-CO"/>
              </w:rPr>
            </w:pPr>
            <w:r w:rsidRPr="00ED118E">
              <w:rPr>
                <w:i/>
                <w:iCs/>
                <w:sz w:val="12"/>
                <w:szCs w:val="12"/>
                <w:lang w:val="es-CO"/>
              </w:rPr>
              <w:t>$ 46.772</w:t>
            </w:r>
          </w:p>
        </w:tc>
        <w:tc>
          <w:tcPr>
            <w:tcW w:w="441" w:type="pct"/>
            <w:tcBorders>
              <w:top w:val="single" w:sz="4" w:space="0" w:color="auto"/>
              <w:left w:val="single" w:sz="4" w:space="0" w:color="auto"/>
              <w:bottom w:val="single" w:sz="4" w:space="0" w:color="auto"/>
              <w:right w:val="single" w:sz="4" w:space="0" w:color="auto"/>
            </w:tcBorders>
            <w:noWrap/>
            <w:vAlign w:val="center"/>
          </w:tcPr>
          <w:p w14:paraId="76377D33" w14:textId="00A6CE3D" w:rsidR="00AE60A7" w:rsidRPr="00ED118E" w:rsidRDefault="00AE60A7" w:rsidP="0040652E">
            <w:pPr>
              <w:spacing w:before="0" w:after="0"/>
              <w:jc w:val="right"/>
              <w:rPr>
                <w:i/>
                <w:iCs/>
                <w:sz w:val="12"/>
                <w:szCs w:val="12"/>
                <w:lang w:val="es-CO"/>
              </w:rPr>
            </w:pPr>
            <w:r w:rsidRPr="00ED118E">
              <w:rPr>
                <w:i/>
                <w:iCs/>
                <w:sz w:val="12"/>
                <w:szCs w:val="12"/>
                <w:lang w:val="es-CO"/>
              </w:rPr>
              <w:t xml:space="preserve">$ 27.370 </w:t>
            </w:r>
          </w:p>
        </w:tc>
        <w:tc>
          <w:tcPr>
            <w:tcW w:w="724" w:type="pct"/>
            <w:tcBorders>
              <w:top w:val="single" w:sz="4" w:space="0" w:color="auto"/>
              <w:left w:val="single" w:sz="4" w:space="0" w:color="auto"/>
              <w:bottom w:val="single" w:sz="4" w:space="0" w:color="auto"/>
              <w:right w:val="single" w:sz="4" w:space="0" w:color="auto"/>
            </w:tcBorders>
            <w:noWrap/>
            <w:vAlign w:val="center"/>
          </w:tcPr>
          <w:p w14:paraId="49CB1632" w14:textId="1A429D87" w:rsidR="00AE60A7" w:rsidRPr="00ED118E" w:rsidRDefault="00AE60A7" w:rsidP="0040652E">
            <w:pPr>
              <w:spacing w:before="0" w:after="0"/>
              <w:jc w:val="right"/>
              <w:rPr>
                <w:i/>
                <w:iCs/>
                <w:sz w:val="12"/>
                <w:szCs w:val="12"/>
                <w:lang w:val="es-CO"/>
              </w:rPr>
            </w:pPr>
            <w:r w:rsidRPr="00ED118E">
              <w:rPr>
                <w:i/>
                <w:iCs/>
                <w:sz w:val="12"/>
                <w:szCs w:val="12"/>
                <w:lang w:val="es-CO"/>
              </w:rPr>
              <w:t xml:space="preserve">$ 65.415 </w:t>
            </w:r>
          </w:p>
        </w:tc>
        <w:tc>
          <w:tcPr>
            <w:tcW w:w="500" w:type="pct"/>
            <w:tcBorders>
              <w:top w:val="single" w:sz="4" w:space="0" w:color="auto"/>
              <w:left w:val="single" w:sz="4" w:space="0" w:color="auto"/>
              <w:bottom w:val="single" w:sz="4" w:space="0" w:color="auto"/>
              <w:right w:val="single" w:sz="4" w:space="0" w:color="auto"/>
            </w:tcBorders>
            <w:noWrap/>
            <w:vAlign w:val="center"/>
          </w:tcPr>
          <w:p w14:paraId="0F1F61FF" w14:textId="08A213B2" w:rsidR="00AE60A7" w:rsidRPr="00ED118E" w:rsidRDefault="00AE60A7" w:rsidP="0034744C">
            <w:pPr>
              <w:spacing w:before="0" w:after="0"/>
              <w:jc w:val="right"/>
              <w:rPr>
                <w:i/>
                <w:iCs/>
                <w:sz w:val="12"/>
                <w:szCs w:val="12"/>
                <w:lang w:val="es-CO"/>
              </w:rPr>
            </w:pPr>
            <w:r w:rsidRPr="00ED118E">
              <w:rPr>
                <w:i/>
                <w:iCs/>
                <w:sz w:val="12"/>
                <w:szCs w:val="12"/>
                <w:lang w:val="es-CO"/>
              </w:rPr>
              <w:t xml:space="preserve">$5.453 </w:t>
            </w:r>
          </w:p>
        </w:tc>
        <w:tc>
          <w:tcPr>
            <w:tcW w:w="508" w:type="pct"/>
            <w:tcBorders>
              <w:top w:val="single" w:sz="4" w:space="0" w:color="auto"/>
              <w:left w:val="single" w:sz="4" w:space="0" w:color="auto"/>
              <w:bottom w:val="single" w:sz="4" w:space="0" w:color="auto"/>
              <w:right w:val="single" w:sz="4" w:space="0" w:color="auto"/>
            </w:tcBorders>
            <w:noWrap/>
            <w:vAlign w:val="center"/>
          </w:tcPr>
          <w:p w14:paraId="41FF2158" w14:textId="4CDA55DD" w:rsidR="00AE60A7" w:rsidRPr="00ED118E" w:rsidRDefault="00AE60A7" w:rsidP="0034744C">
            <w:pPr>
              <w:spacing w:before="0" w:after="0"/>
              <w:jc w:val="right"/>
              <w:rPr>
                <w:i/>
                <w:iCs/>
                <w:sz w:val="12"/>
                <w:szCs w:val="12"/>
                <w:lang w:val="es-CO"/>
              </w:rPr>
            </w:pPr>
            <w:r w:rsidRPr="00ED118E">
              <w:rPr>
                <w:i/>
                <w:iCs/>
                <w:sz w:val="12"/>
                <w:szCs w:val="12"/>
                <w:lang w:val="es-CO"/>
              </w:rPr>
              <w:t xml:space="preserve">$ 2.150.392 </w:t>
            </w:r>
          </w:p>
        </w:tc>
        <w:tc>
          <w:tcPr>
            <w:tcW w:w="507" w:type="pct"/>
            <w:tcBorders>
              <w:top w:val="single" w:sz="4" w:space="0" w:color="auto"/>
              <w:left w:val="single" w:sz="4" w:space="0" w:color="auto"/>
              <w:bottom w:val="single" w:sz="4" w:space="0" w:color="auto"/>
              <w:right w:val="single" w:sz="4" w:space="0" w:color="auto"/>
            </w:tcBorders>
            <w:noWrap/>
            <w:vAlign w:val="center"/>
          </w:tcPr>
          <w:p w14:paraId="73AEFF2A" w14:textId="6F1CD856" w:rsidR="00AE60A7" w:rsidRPr="00ED118E" w:rsidRDefault="00AE60A7" w:rsidP="0034744C">
            <w:pPr>
              <w:spacing w:before="0" w:after="0"/>
              <w:jc w:val="right"/>
              <w:rPr>
                <w:i/>
                <w:iCs/>
                <w:sz w:val="12"/>
                <w:szCs w:val="12"/>
                <w:lang w:val="es-CO"/>
              </w:rPr>
            </w:pPr>
            <w:r w:rsidRPr="00ED118E">
              <w:rPr>
                <w:i/>
                <w:iCs/>
                <w:sz w:val="12"/>
                <w:szCs w:val="12"/>
                <w:lang w:val="es-CO"/>
              </w:rPr>
              <w:t xml:space="preserve">$ 2.604.022 </w:t>
            </w:r>
          </w:p>
        </w:tc>
        <w:tc>
          <w:tcPr>
            <w:tcW w:w="508" w:type="pct"/>
            <w:tcBorders>
              <w:top w:val="single" w:sz="4" w:space="0" w:color="auto"/>
              <w:left w:val="single" w:sz="4" w:space="0" w:color="auto"/>
              <w:bottom w:val="single" w:sz="4" w:space="0" w:color="auto"/>
              <w:right w:val="single" w:sz="4" w:space="0" w:color="auto"/>
            </w:tcBorders>
            <w:noWrap/>
            <w:vAlign w:val="center"/>
          </w:tcPr>
          <w:p w14:paraId="1B7FD211" w14:textId="40A443B1" w:rsidR="00AE60A7" w:rsidRPr="00ED118E" w:rsidRDefault="00AE60A7" w:rsidP="0034744C">
            <w:pPr>
              <w:spacing w:before="0" w:after="0"/>
              <w:jc w:val="right"/>
              <w:rPr>
                <w:i/>
                <w:iCs/>
                <w:sz w:val="12"/>
                <w:szCs w:val="12"/>
                <w:lang w:val="es-CO"/>
              </w:rPr>
            </w:pPr>
            <w:r w:rsidRPr="00ED118E">
              <w:rPr>
                <w:i/>
                <w:iCs/>
                <w:sz w:val="12"/>
                <w:szCs w:val="12"/>
                <w:lang w:val="es-CO"/>
              </w:rPr>
              <w:t xml:space="preserve">$ 1.960.727 </w:t>
            </w:r>
          </w:p>
        </w:tc>
        <w:tc>
          <w:tcPr>
            <w:tcW w:w="507" w:type="pct"/>
            <w:tcBorders>
              <w:top w:val="single" w:sz="4" w:space="0" w:color="auto"/>
              <w:left w:val="single" w:sz="4" w:space="0" w:color="auto"/>
              <w:bottom w:val="single" w:sz="4" w:space="0" w:color="auto"/>
              <w:right w:val="single" w:sz="4" w:space="0" w:color="auto"/>
            </w:tcBorders>
            <w:noWrap/>
            <w:vAlign w:val="center"/>
          </w:tcPr>
          <w:p w14:paraId="11AA878F" w14:textId="78C5BF3B" w:rsidR="00AE60A7" w:rsidRPr="00ED118E" w:rsidRDefault="00AE60A7" w:rsidP="0034744C">
            <w:pPr>
              <w:spacing w:before="0" w:after="0"/>
              <w:jc w:val="right"/>
              <w:rPr>
                <w:i/>
                <w:iCs/>
                <w:sz w:val="12"/>
                <w:szCs w:val="12"/>
                <w:lang w:val="es-CO"/>
              </w:rPr>
            </w:pPr>
            <w:r w:rsidRPr="00ED118E">
              <w:rPr>
                <w:i/>
                <w:iCs/>
                <w:sz w:val="12"/>
                <w:szCs w:val="12"/>
                <w:lang w:val="es-CO"/>
              </w:rPr>
              <w:t xml:space="preserve">$ 2.374.348 </w:t>
            </w:r>
          </w:p>
        </w:tc>
        <w:tc>
          <w:tcPr>
            <w:tcW w:w="508" w:type="pct"/>
            <w:tcBorders>
              <w:top w:val="nil"/>
              <w:left w:val="single" w:sz="4" w:space="0" w:color="auto"/>
              <w:bottom w:val="nil"/>
              <w:right w:val="nil"/>
            </w:tcBorders>
            <w:noWrap/>
            <w:vAlign w:val="center"/>
          </w:tcPr>
          <w:p w14:paraId="561F20F6" w14:textId="77777777" w:rsidR="00AE60A7" w:rsidRPr="00FD31B0" w:rsidRDefault="00AE60A7" w:rsidP="0034744C">
            <w:pPr>
              <w:spacing w:before="0" w:after="0"/>
              <w:jc w:val="right"/>
              <w:rPr>
                <w:b/>
                <w:bCs/>
                <w:i/>
                <w:iCs/>
                <w:sz w:val="12"/>
                <w:szCs w:val="12"/>
                <w:lang w:val="es-CO"/>
              </w:rPr>
            </w:pPr>
          </w:p>
        </w:tc>
        <w:tc>
          <w:tcPr>
            <w:tcW w:w="363" w:type="pct"/>
            <w:tcBorders>
              <w:top w:val="nil"/>
              <w:left w:val="nil"/>
              <w:bottom w:val="nil"/>
              <w:right w:val="nil"/>
            </w:tcBorders>
            <w:noWrap/>
            <w:vAlign w:val="center"/>
          </w:tcPr>
          <w:p w14:paraId="0340570F" w14:textId="77777777" w:rsidR="00AE60A7" w:rsidRPr="00FD31B0" w:rsidRDefault="00AE60A7" w:rsidP="0034744C">
            <w:pPr>
              <w:spacing w:before="0" w:after="0"/>
              <w:jc w:val="right"/>
              <w:rPr>
                <w:b/>
                <w:bCs/>
                <w:i/>
                <w:iCs/>
                <w:sz w:val="12"/>
                <w:szCs w:val="12"/>
                <w:lang w:val="es-CO"/>
              </w:rPr>
            </w:pPr>
          </w:p>
        </w:tc>
      </w:tr>
      <w:tr w:rsidR="003B5941" w:rsidRPr="00FD31B0" w14:paraId="3C40F397" w14:textId="77777777" w:rsidTr="00295069">
        <w:trPr>
          <w:trHeight w:val="227"/>
        </w:trPr>
        <w:tc>
          <w:tcPr>
            <w:tcW w:w="435" w:type="pct"/>
            <w:tcBorders>
              <w:top w:val="single" w:sz="4" w:space="0" w:color="auto"/>
              <w:left w:val="single" w:sz="4" w:space="0" w:color="auto"/>
              <w:bottom w:val="single" w:sz="4" w:space="0" w:color="auto"/>
              <w:right w:val="single" w:sz="4" w:space="0" w:color="auto"/>
            </w:tcBorders>
            <w:noWrap/>
            <w:vAlign w:val="center"/>
          </w:tcPr>
          <w:p w14:paraId="7F8BF89D" w14:textId="18B2A7B5" w:rsidR="00AE60A7" w:rsidRPr="00ED118E" w:rsidRDefault="00AE60A7" w:rsidP="0040652E">
            <w:pPr>
              <w:spacing w:before="0" w:after="0"/>
              <w:jc w:val="right"/>
              <w:rPr>
                <w:i/>
                <w:iCs/>
                <w:sz w:val="12"/>
                <w:szCs w:val="12"/>
                <w:lang w:val="es-CO"/>
              </w:rPr>
            </w:pPr>
            <w:r w:rsidRPr="00ED118E">
              <w:rPr>
                <w:i/>
                <w:iCs/>
                <w:sz w:val="12"/>
                <w:szCs w:val="12"/>
                <w:lang w:val="es-CO"/>
              </w:rPr>
              <w:t>$ 46.772</w:t>
            </w:r>
          </w:p>
        </w:tc>
        <w:tc>
          <w:tcPr>
            <w:tcW w:w="441" w:type="pct"/>
            <w:tcBorders>
              <w:top w:val="single" w:sz="4" w:space="0" w:color="auto"/>
              <w:left w:val="single" w:sz="4" w:space="0" w:color="auto"/>
              <w:bottom w:val="single" w:sz="4" w:space="0" w:color="auto"/>
              <w:right w:val="single" w:sz="4" w:space="0" w:color="auto"/>
            </w:tcBorders>
            <w:noWrap/>
            <w:vAlign w:val="center"/>
          </w:tcPr>
          <w:p w14:paraId="37CD91C0" w14:textId="18D88D25" w:rsidR="00AE60A7" w:rsidRPr="00ED118E" w:rsidRDefault="00AE60A7" w:rsidP="0040652E">
            <w:pPr>
              <w:spacing w:before="0" w:after="0"/>
              <w:jc w:val="right"/>
              <w:rPr>
                <w:i/>
                <w:iCs/>
                <w:sz w:val="12"/>
                <w:szCs w:val="12"/>
                <w:lang w:val="es-CO"/>
              </w:rPr>
            </w:pPr>
            <w:r w:rsidRPr="00ED118E">
              <w:rPr>
                <w:i/>
                <w:iCs/>
                <w:sz w:val="12"/>
                <w:szCs w:val="12"/>
                <w:lang w:val="es-CO"/>
              </w:rPr>
              <w:t xml:space="preserve">$ 27.370 </w:t>
            </w:r>
          </w:p>
        </w:tc>
        <w:tc>
          <w:tcPr>
            <w:tcW w:w="724" w:type="pct"/>
            <w:tcBorders>
              <w:top w:val="single" w:sz="4" w:space="0" w:color="auto"/>
              <w:left w:val="single" w:sz="4" w:space="0" w:color="auto"/>
              <w:bottom w:val="single" w:sz="4" w:space="0" w:color="auto"/>
              <w:right w:val="single" w:sz="4" w:space="0" w:color="auto"/>
            </w:tcBorders>
            <w:noWrap/>
            <w:vAlign w:val="center"/>
          </w:tcPr>
          <w:p w14:paraId="645D502F" w14:textId="46AB755F" w:rsidR="00AE60A7" w:rsidRPr="00ED118E" w:rsidRDefault="00AE60A7" w:rsidP="0040652E">
            <w:pPr>
              <w:spacing w:before="0" w:after="0"/>
              <w:jc w:val="right"/>
              <w:rPr>
                <w:i/>
                <w:iCs/>
                <w:sz w:val="12"/>
                <w:szCs w:val="12"/>
                <w:lang w:val="es-CO"/>
              </w:rPr>
            </w:pPr>
            <w:r w:rsidRPr="00ED118E">
              <w:rPr>
                <w:i/>
                <w:iCs/>
                <w:sz w:val="12"/>
                <w:szCs w:val="12"/>
                <w:lang w:val="es-CO"/>
              </w:rPr>
              <w:t xml:space="preserve">$ 65.415 </w:t>
            </w:r>
          </w:p>
        </w:tc>
        <w:tc>
          <w:tcPr>
            <w:tcW w:w="500" w:type="pct"/>
            <w:tcBorders>
              <w:top w:val="single" w:sz="4" w:space="0" w:color="auto"/>
              <w:left w:val="single" w:sz="4" w:space="0" w:color="auto"/>
              <w:bottom w:val="single" w:sz="4" w:space="0" w:color="auto"/>
              <w:right w:val="single" w:sz="4" w:space="0" w:color="auto"/>
            </w:tcBorders>
            <w:noWrap/>
            <w:vAlign w:val="center"/>
          </w:tcPr>
          <w:p w14:paraId="6ADA0851" w14:textId="3AC28871" w:rsidR="00AE60A7" w:rsidRPr="00ED118E" w:rsidRDefault="00AE60A7" w:rsidP="0034744C">
            <w:pPr>
              <w:spacing w:before="0" w:after="0"/>
              <w:jc w:val="right"/>
              <w:rPr>
                <w:i/>
                <w:iCs/>
                <w:sz w:val="12"/>
                <w:szCs w:val="12"/>
                <w:lang w:val="es-CO"/>
              </w:rPr>
            </w:pPr>
            <w:r w:rsidRPr="00ED118E">
              <w:rPr>
                <w:i/>
                <w:iCs/>
                <w:sz w:val="12"/>
                <w:szCs w:val="12"/>
                <w:lang w:val="es-CO"/>
              </w:rPr>
              <w:t xml:space="preserve">$5.453 </w:t>
            </w:r>
          </w:p>
        </w:tc>
        <w:tc>
          <w:tcPr>
            <w:tcW w:w="508" w:type="pct"/>
            <w:tcBorders>
              <w:top w:val="single" w:sz="4" w:space="0" w:color="auto"/>
              <w:left w:val="single" w:sz="4" w:space="0" w:color="auto"/>
              <w:bottom w:val="single" w:sz="4" w:space="0" w:color="auto"/>
              <w:right w:val="single" w:sz="4" w:space="0" w:color="auto"/>
            </w:tcBorders>
            <w:noWrap/>
            <w:vAlign w:val="center"/>
          </w:tcPr>
          <w:p w14:paraId="497E052F" w14:textId="53F9231A" w:rsidR="00AE60A7" w:rsidRPr="00ED118E" w:rsidRDefault="00AE60A7" w:rsidP="0034744C">
            <w:pPr>
              <w:spacing w:before="0" w:after="0"/>
              <w:jc w:val="right"/>
              <w:rPr>
                <w:i/>
                <w:iCs/>
                <w:sz w:val="12"/>
                <w:szCs w:val="12"/>
                <w:lang w:val="es-CO"/>
              </w:rPr>
            </w:pPr>
            <w:r w:rsidRPr="00ED118E">
              <w:rPr>
                <w:i/>
                <w:iCs/>
                <w:sz w:val="12"/>
                <w:szCs w:val="12"/>
                <w:lang w:val="es-CO"/>
              </w:rPr>
              <w:t xml:space="preserve">$ 2.348.604 </w:t>
            </w:r>
          </w:p>
        </w:tc>
        <w:tc>
          <w:tcPr>
            <w:tcW w:w="507" w:type="pct"/>
            <w:tcBorders>
              <w:top w:val="single" w:sz="4" w:space="0" w:color="auto"/>
              <w:left w:val="single" w:sz="4" w:space="0" w:color="auto"/>
              <w:bottom w:val="single" w:sz="4" w:space="0" w:color="auto"/>
              <w:right w:val="single" w:sz="4" w:space="0" w:color="auto"/>
            </w:tcBorders>
            <w:noWrap/>
            <w:vAlign w:val="center"/>
          </w:tcPr>
          <w:p w14:paraId="0299BC5C" w14:textId="17C4844C" w:rsidR="00AE60A7" w:rsidRPr="00ED118E" w:rsidRDefault="00AE60A7" w:rsidP="0034744C">
            <w:pPr>
              <w:spacing w:before="0" w:after="0"/>
              <w:jc w:val="right"/>
              <w:rPr>
                <w:i/>
                <w:iCs/>
                <w:sz w:val="12"/>
                <w:szCs w:val="12"/>
                <w:lang w:val="es-CO"/>
              </w:rPr>
            </w:pPr>
            <w:r w:rsidRPr="00ED118E">
              <w:rPr>
                <w:i/>
                <w:iCs/>
                <w:sz w:val="12"/>
                <w:szCs w:val="12"/>
                <w:lang w:val="es-CO"/>
              </w:rPr>
              <w:t xml:space="preserve">$ 3.047.727 </w:t>
            </w:r>
          </w:p>
        </w:tc>
        <w:tc>
          <w:tcPr>
            <w:tcW w:w="508" w:type="pct"/>
            <w:tcBorders>
              <w:top w:val="single" w:sz="4" w:space="0" w:color="auto"/>
              <w:left w:val="single" w:sz="4" w:space="0" w:color="auto"/>
              <w:bottom w:val="single" w:sz="4" w:space="0" w:color="auto"/>
              <w:right w:val="single" w:sz="4" w:space="0" w:color="auto"/>
            </w:tcBorders>
            <w:noWrap/>
            <w:vAlign w:val="center"/>
          </w:tcPr>
          <w:p w14:paraId="5EDBD88E" w14:textId="69142801" w:rsidR="00AE60A7" w:rsidRPr="00ED118E" w:rsidRDefault="00AE60A7" w:rsidP="0034744C">
            <w:pPr>
              <w:spacing w:before="0" w:after="0"/>
              <w:jc w:val="right"/>
              <w:rPr>
                <w:i/>
                <w:iCs/>
                <w:sz w:val="12"/>
                <w:szCs w:val="12"/>
                <w:lang w:val="es-CO"/>
              </w:rPr>
            </w:pPr>
            <w:r w:rsidRPr="00ED118E">
              <w:rPr>
                <w:i/>
                <w:iCs/>
                <w:sz w:val="12"/>
                <w:szCs w:val="12"/>
                <w:lang w:val="es-CO"/>
              </w:rPr>
              <w:t xml:space="preserve">$ 2.141.457 </w:t>
            </w:r>
          </w:p>
        </w:tc>
        <w:tc>
          <w:tcPr>
            <w:tcW w:w="507" w:type="pct"/>
            <w:tcBorders>
              <w:top w:val="single" w:sz="4" w:space="0" w:color="auto"/>
              <w:left w:val="single" w:sz="4" w:space="0" w:color="auto"/>
              <w:bottom w:val="single" w:sz="4" w:space="0" w:color="auto"/>
              <w:right w:val="single" w:sz="4" w:space="0" w:color="auto"/>
            </w:tcBorders>
            <w:noWrap/>
            <w:vAlign w:val="center"/>
          </w:tcPr>
          <w:p w14:paraId="330FB633" w14:textId="454FAABF" w:rsidR="00AE60A7" w:rsidRPr="00ED118E" w:rsidRDefault="00AE60A7" w:rsidP="0034744C">
            <w:pPr>
              <w:spacing w:before="0" w:after="0"/>
              <w:jc w:val="right"/>
              <w:rPr>
                <w:i/>
                <w:iCs/>
                <w:sz w:val="12"/>
                <w:szCs w:val="12"/>
                <w:lang w:val="es-CO"/>
              </w:rPr>
            </w:pPr>
            <w:r w:rsidRPr="00ED118E">
              <w:rPr>
                <w:i/>
                <w:iCs/>
                <w:sz w:val="12"/>
                <w:szCs w:val="12"/>
                <w:lang w:val="es-CO"/>
              </w:rPr>
              <w:t xml:space="preserve">$ 2.778.917 </w:t>
            </w:r>
          </w:p>
        </w:tc>
        <w:tc>
          <w:tcPr>
            <w:tcW w:w="508" w:type="pct"/>
            <w:tcBorders>
              <w:top w:val="nil"/>
              <w:left w:val="single" w:sz="4" w:space="0" w:color="auto"/>
              <w:bottom w:val="nil"/>
              <w:right w:val="nil"/>
            </w:tcBorders>
            <w:noWrap/>
            <w:vAlign w:val="center"/>
          </w:tcPr>
          <w:p w14:paraId="7CCDA19C" w14:textId="77777777" w:rsidR="00AE60A7" w:rsidRPr="00FD31B0" w:rsidRDefault="00AE60A7" w:rsidP="0034744C">
            <w:pPr>
              <w:spacing w:before="0" w:after="0"/>
              <w:jc w:val="right"/>
              <w:rPr>
                <w:b/>
                <w:bCs/>
                <w:i/>
                <w:iCs/>
                <w:sz w:val="12"/>
                <w:szCs w:val="12"/>
                <w:lang w:val="es-CO"/>
              </w:rPr>
            </w:pPr>
          </w:p>
        </w:tc>
        <w:tc>
          <w:tcPr>
            <w:tcW w:w="363" w:type="pct"/>
            <w:tcBorders>
              <w:top w:val="nil"/>
              <w:left w:val="nil"/>
              <w:bottom w:val="nil"/>
              <w:right w:val="nil"/>
            </w:tcBorders>
            <w:noWrap/>
            <w:vAlign w:val="center"/>
          </w:tcPr>
          <w:p w14:paraId="77BDCAC4" w14:textId="77777777" w:rsidR="00AE60A7" w:rsidRPr="00FD31B0" w:rsidRDefault="00AE60A7" w:rsidP="0034744C">
            <w:pPr>
              <w:spacing w:before="0" w:after="0"/>
              <w:jc w:val="right"/>
              <w:rPr>
                <w:b/>
                <w:bCs/>
                <w:i/>
                <w:iCs/>
                <w:sz w:val="12"/>
                <w:szCs w:val="12"/>
                <w:lang w:val="es-CO"/>
              </w:rPr>
            </w:pPr>
          </w:p>
        </w:tc>
      </w:tr>
    </w:tbl>
    <w:p w14:paraId="77FF05F2" w14:textId="77777777" w:rsidR="00A74AB8" w:rsidRPr="00A74AB8" w:rsidRDefault="00A74AB8" w:rsidP="00A74AB8">
      <w:pPr>
        <w:spacing w:before="240" w:after="0"/>
        <w:rPr>
          <w:i/>
          <w:iCs/>
          <w:lang w:val="es-CO"/>
        </w:rPr>
      </w:pPr>
      <w:r w:rsidRPr="00A74AB8">
        <w:rPr>
          <w:i/>
          <w:iCs/>
          <w:lang w:val="es-CO"/>
        </w:rPr>
        <w:t>Surtidos los procesos anteriores, se seleccionó la oferta presentada por la empresa PRETECOR, dando lugar a la celebración del contrato número C00922020, el cual se adjunta en la carpeta “Contratos” identificados como “Anexo 3.17 Contrato C00922020_PRETECOR”.</w:t>
      </w:r>
    </w:p>
    <w:p w14:paraId="108EA6BF" w14:textId="32083740" w:rsidR="00D64C51" w:rsidRDefault="00A74AB8" w:rsidP="00A74AB8">
      <w:pPr>
        <w:spacing w:before="240" w:after="0"/>
        <w:rPr>
          <w:i/>
          <w:iCs/>
          <w:lang w:val="es-CO"/>
        </w:rPr>
      </w:pPr>
      <w:r w:rsidRPr="00A74AB8">
        <w:rPr>
          <w:i/>
          <w:iCs/>
          <w:lang w:val="es-CO"/>
        </w:rPr>
        <w:t>Con base en lo anterior, se solicita a la Comisión la aprobación de la UC Especial Postes N1, de acuerdo con los montos desagregados en la Tabla 11:</w:t>
      </w:r>
    </w:p>
    <w:p w14:paraId="0C891692" w14:textId="77777777" w:rsidR="0001193C" w:rsidRDefault="0001193C" w:rsidP="007315F0">
      <w:pPr>
        <w:spacing w:before="0" w:after="0"/>
        <w:jc w:val="left"/>
        <w:rPr>
          <w:i/>
          <w:iCs/>
          <w:lang w:val="es-CO"/>
        </w:rPr>
      </w:pPr>
    </w:p>
    <w:p w14:paraId="729FCCA8" w14:textId="206E9475" w:rsidR="00110AE4" w:rsidRPr="0040652E" w:rsidRDefault="008072DF" w:rsidP="0040652E">
      <w:pPr>
        <w:spacing w:before="0" w:after="0"/>
        <w:jc w:val="center"/>
        <w:rPr>
          <w:i/>
          <w:iCs/>
          <w:sz w:val="22"/>
          <w:szCs w:val="22"/>
          <w:lang w:val="es-CO"/>
        </w:rPr>
      </w:pPr>
      <w:r w:rsidRPr="0040652E">
        <w:rPr>
          <w:i/>
          <w:iCs/>
          <w:sz w:val="22"/>
          <w:szCs w:val="22"/>
          <w:lang w:val="es-CO"/>
        </w:rPr>
        <w:t>Tabla 11. Monto UC Especial Postes N1.</w:t>
      </w:r>
      <w:r w:rsidR="00ED118E" w:rsidRPr="0040652E">
        <w:rPr>
          <w:i/>
          <w:iCs/>
          <w:sz w:val="22"/>
          <w:szCs w:val="22"/>
          <w:lang w:val="es-CO"/>
        </w:rPr>
        <w:t>”</w:t>
      </w:r>
    </w:p>
    <w:p w14:paraId="26F82461" w14:textId="77777777" w:rsidR="00356C2E" w:rsidRPr="00B42314" w:rsidRDefault="00356C2E" w:rsidP="00356C2E">
      <w:pPr>
        <w:spacing w:before="240" w:after="0"/>
        <w:rPr>
          <w:b/>
          <w:bCs/>
          <w:lang w:val="es-CO"/>
        </w:rPr>
      </w:pPr>
      <w:r>
        <w:rPr>
          <w:b/>
          <w:bCs/>
          <w:lang w:val="es-CO"/>
        </w:rPr>
        <w:t>Análisis de la Comisión</w:t>
      </w:r>
    </w:p>
    <w:p w14:paraId="1898658C" w14:textId="3D9BBCBF" w:rsidR="00356C2E" w:rsidRDefault="00B12594" w:rsidP="00356C2E">
      <w:pPr>
        <w:spacing w:before="240" w:after="0"/>
        <w:rPr>
          <w:lang w:val="es-CO"/>
        </w:rPr>
      </w:pPr>
      <w:r>
        <w:rPr>
          <w:lang w:val="es-CO"/>
        </w:rPr>
        <w:t>E</w:t>
      </w:r>
      <w:r w:rsidR="00BC6F5E">
        <w:rPr>
          <w:lang w:val="es-CO"/>
        </w:rPr>
        <w:t>l OR</w:t>
      </w:r>
      <w:r w:rsidR="0013146B">
        <w:rPr>
          <w:lang w:val="es-CO"/>
        </w:rPr>
        <w:t xml:space="preserve"> </w:t>
      </w:r>
      <w:r>
        <w:rPr>
          <w:lang w:val="es-CO"/>
        </w:rPr>
        <w:t xml:space="preserve">solicita </w:t>
      </w:r>
      <w:r w:rsidR="0013146B">
        <w:rPr>
          <w:lang w:val="es-CO"/>
        </w:rPr>
        <w:t>la creación de 8 UC especiales</w:t>
      </w:r>
      <w:r w:rsidR="00025F97">
        <w:rPr>
          <w:lang w:val="es-CO"/>
        </w:rPr>
        <w:t xml:space="preserve">, 4 de ellas </w:t>
      </w:r>
      <w:r w:rsidR="00733E32">
        <w:rPr>
          <w:lang w:val="es-CO"/>
        </w:rPr>
        <w:t xml:space="preserve">son postes de suspensión y </w:t>
      </w:r>
      <w:r w:rsidR="00862463">
        <w:rPr>
          <w:lang w:val="es-CO"/>
        </w:rPr>
        <w:t>los 4 restantes</w:t>
      </w:r>
      <w:r w:rsidR="00733E32">
        <w:rPr>
          <w:lang w:val="es-CO"/>
        </w:rPr>
        <w:t xml:space="preserve"> son postes de retención,</w:t>
      </w:r>
      <w:r w:rsidR="00B37A9F">
        <w:rPr>
          <w:lang w:val="es-CO"/>
        </w:rPr>
        <w:t xml:space="preserve"> con una altura de 9 m y</w:t>
      </w:r>
      <w:r w:rsidR="00BB2B38">
        <w:rPr>
          <w:lang w:val="es-CO"/>
        </w:rPr>
        <w:t xml:space="preserve"> con cargas de ruptura de 500 daN, 735 daN, </w:t>
      </w:r>
      <w:r w:rsidR="007D79DD">
        <w:rPr>
          <w:lang w:val="es-CO"/>
        </w:rPr>
        <w:t>1030 daN y 1324 daN.</w:t>
      </w:r>
      <w:r w:rsidR="000E11C2" w:rsidRPr="000E11C2">
        <w:rPr>
          <w:lang w:val="es-CO"/>
        </w:rPr>
        <w:t xml:space="preserve"> </w:t>
      </w:r>
      <w:r w:rsidR="000E11C2">
        <w:rPr>
          <w:lang w:val="es-CO"/>
        </w:rPr>
        <w:t>El OR presenta documento donde describe las consideraciones y cálculos mecánicos realizados para definir la carga de ruptura de las UC solicitadas.</w:t>
      </w:r>
      <w:r w:rsidR="00845F2C">
        <w:rPr>
          <w:lang w:val="es-CO"/>
        </w:rPr>
        <w:t xml:space="preserve"> Dentro del inventario del plan de inversiones 2022-2026</w:t>
      </w:r>
      <w:r w:rsidR="0058651E">
        <w:rPr>
          <w:lang w:val="es-CO"/>
        </w:rPr>
        <w:t xml:space="preserve"> presentado en con el recurso de reposición</w:t>
      </w:r>
      <w:r w:rsidR="00845F2C">
        <w:rPr>
          <w:lang w:val="es-CO"/>
        </w:rPr>
        <w:t xml:space="preserve">, </w:t>
      </w:r>
      <w:r w:rsidR="00A66B6A">
        <w:rPr>
          <w:lang w:val="es-CO"/>
        </w:rPr>
        <w:t xml:space="preserve">el OR </w:t>
      </w:r>
      <w:r w:rsidR="00845F2C">
        <w:rPr>
          <w:lang w:val="es-CO"/>
        </w:rPr>
        <w:t xml:space="preserve">registra </w:t>
      </w:r>
      <w:r w:rsidR="003459B0">
        <w:rPr>
          <w:lang w:val="es-CO"/>
        </w:rPr>
        <w:t xml:space="preserve">4 de las 8 </w:t>
      </w:r>
      <w:r w:rsidR="00A66B6A">
        <w:rPr>
          <w:lang w:val="es-CO"/>
        </w:rPr>
        <w:t>UC solicitadas.</w:t>
      </w:r>
    </w:p>
    <w:p w14:paraId="42D9F4BB" w14:textId="4B67298A" w:rsidR="008B3A34" w:rsidRDefault="006549B8" w:rsidP="005F5B71">
      <w:pPr>
        <w:spacing w:before="240" w:after="0"/>
        <w:rPr>
          <w:lang w:val="es-CO"/>
        </w:rPr>
      </w:pPr>
      <w:r>
        <w:rPr>
          <w:lang w:val="es-CO"/>
        </w:rPr>
        <w:t>Por su parte, l</w:t>
      </w:r>
      <w:r w:rsidR="00360DAA" w:rsidRPr="00360DAA">
        <w:rPr>
          <w:lang w:val="es-CO"/>
        </w:rPr>
        <w:t xml:space="preserve">a Resolución CREG 015 de 2018 establece en su capítulo 14, tabla 25, un total de 96 unidades constructivas para los postes de nivel de tensión 1. Estas unidades se definen según el material del poste, su altura, la zona en que se encuentra (urbana o rural), estructura </w:t>
      </w:r>
      <w:r w:rsidR="002E742B">
        <w:rPr>
          <w:lang w:val="es-CO"/>
        </w:rPr>
        <w:t>tipo</w:t>
      </w:r>
      <w:r w:rsidR="00360DAA" w:rsidRPr="00360DAA">
        <w:rPr>
          <w:lang w:val="es-CO"/>
        </w:rPr>
        <w:t xml:space="preserve"> suspensión o retención, y si forma parte de una red común o trenzada. </w:t>
      </w:r>
      <w:r w:rsidR="00081567">
        <w:rPr>
          <w:lang w:val="es-CO"/>
        </w:rPr>
        <w:t>Es decir, la Resolución CREG 015 de 2018 no clasifica</w:t>
      </w:r>
      <w:r w:rsidR="00081567" w:rsidRPr="00360DAA">
        <w:rPr>
          <w:lang w:val="es-CO"/>
        </w:rPr>
        <w:t xml:space="preserve"> estas unidades constructivas según su carga de ruptura, </w:t>
      </w:r>
      <w:r w:rsidR="00081567">
        <w:rPr>
          <w:lang w:val="es-CO"/>
        </w:rPr>
        <w:t xml:space="preserve">razón por la cual este parámetro no </w:t>
      </w:r>
      <w:r w:rsidR="00C447FB">
        <w:rPr>
          <w:lang w:val="es-CO"/>
        </w:rPr>
        <w:t>impone condiciones para</w:t>
      </w:r>
      <w:r w:rsidR="00081567">
        <w:rPr>
          <w:lang w:val="es-CO"/>
        </w:rPr>
        <w:t xml:space="preserve"> el uso de las UC definidas.</w:t>
      </w:r>
    </w:p>
    <w:p w14:paraId="1887F308" w14:textId="1AA4B8B7" w:rsidR="002A2D68" w:rsidRPr="002A2D68" w:rsidRDefault="00BD19D7" w:rsidP="005F5B71">
      <w:pPr>
        <w:spacing w:before="240" w:after="0"/>
        <w:rPr>
          <w:sz w:val="22"/>
          <w:szCs w:val="22"/>
          <w:lang w:val="es-CO"/>
        </w:rPr>
      </w:pPr>
      <w:r>
        <w:rPr>
          <w:lang w:val="es-CO"/>
        </w:rPr>
        <w:t xml:space="preserve">Cabe resaltar que </w:t>
      </w:r>
      <w:r w:rsidR="00305470">
        <w:rPr>
          <w:lang w:val="es-CO"/>
        </w:rPr>
        <w:t xml:space="preserve">apartes </w:t>
      </w:r>
      <w:r w:rsidR="006E73C9" w:rsidRPr="00FD05AF">
        <w:rPr>
          <w:lang w:val="es-CO"/>
        </w:rPr>
        <w:t xml:space="preserve">presentados por el OR en el recurso de reposición </w:t>
      </w:r>
      <w:r w:rsidR="00305470" w:rsidRPr="00FD05AF">
        <w:rPr>
          <w:lang w:val="es-CO"/>
        </w:rPr>
        <w:t xml:space="preserve">cómo </w:t>
      </w:r>
      <w:r w:rsidR="00AB19F4" w:rsidRPr="00FD05AF">
        <w:rPr>
          <w:lang w:val="es-CO"/>
        </w:rPr>
        <w:t>“</w:t>
      </w:r>
      <w:r w:rsidR="00AD2559" w:rsidRPr="0040652E">
        <w:rPr>
          <w:i/>
          <w:iCs/>
          <w:lang w:val="es-CO"/>
        </w:rPr>
        <w:t xml:space="preserve">Otro de los factores que influyen en </w:t>
      </w:r>
      <w:r w:rsidR="00AD2559" w:rsidRPr="0040652E">
        <w:rPr>
          <w:i/>
          <w:iCs/>
          <w:u w:val="single"/>
          <w:lang w:val="es-CO"/>
        </w:rPr>
        <w:t>la valoración</w:t>
      </w:r>
      <w:r w:rsidR="00AD2559" w:rsidRPr="0040652E">
        <w:rPr>
          <w:i/>
          <w:iCs/>
          <w:lang w:val="es-CO"/>
        </w:rPr>
        <w:t xml:space="preserve"> de las unidades constructivas es el dimensionamiento de las cimentaciones debido a las características mecánicas del suelo. Lo anterior se debe a que los esfuerzos actuantes por tense y viento sobre los postes es transmitido a las cimentaciones en momentos de vuelco. Es de resaltar que un 67% de los suelos se catalogan como flojos como se muestra en la figura 2, lo cual incide en las dimensiones de las cimentaciones</w:t>
      </w:r>
      <w:r w:rsidR="00AB19F4" w:rsidRPr="0040652E">
        <w:rPr>
          <w:i/>
          <w:iCs/>
          <w:lang w:val="es-CO"/>
        </w:rPr>
        <w:t>”</w:t>
      </w:r>
      <w:r w:rsidR="00672B9A" w:rsidRPr="0040652E">
        <w:rPr>
          <w:lang w:val="es-CO"/>
        </w:rPr>
        <w:t xml:space="preserve"> </w:t>
      </w:r>
      <w:r w:rsidR="00EF69AA" w:rsidRPr="0040652E">
        <w:rPr>
          <w:lang w:val="es-CO"/>
        </w:rPr>
        <w:t>(</w:t>
      </w:r>
      <w:r w:rsidR="00672B9A" w:rsidRPr="00FD05AF">
        <w:rPr>
          <w:lang w:val="es-CO"/>
        </w:rPr>
        <w:t>subrayado fuera de texto</w:t>
      </w:r>
      <w:r w:rsidR="00EF69AA" w:rsidRPr="00FD05AF">
        <w:rPr>
          <w:lang w:val="es-CO"/>
        </w:rPr>
        <w:t>)</w:t>
      </w:r>
      <w:r w:rsidR="00672B9A" w:rsidRPr="00FD05AF">
        <w:rPr>
          <w:lang w:val="es-CO"/>
        </w:rPr>
        <w:t>,</w:t>
      </w:r>
      <w:r w:rsidR="00AB7FAC" w:rsidRPr="00FD05AF">
        <w:rPr>
          <w:lang w:val="es-CO"/>
        </w:rPr>
        <w:t xml:space="preserve"> no hace</w:t>
      </w:r>
      <w:r w:rsidR="00EF69AA" w:rsidRPr="00FD05AF">
        <w:rPr>
          <w:lang w:val="es-CO"/>
        </w:rPr>
        <w:t>n</w:t>
      </w:r>
      <w:r w:rsidR="00AB7FAC" w:rsidRPr="00FD05AF">
        <w:rPr>
          <w:lang w:val="es-CO"/>
        </w:rPr>
        <w:t xml:space="preserve"> parte de las consideraciones para la creación de una UC especia</w:t>
      </w:r>
      <w:r w:rsidR="00BE5B4F" w:rsidRPr="00FD05AF">
        <w:rPr>
          <w:lang w:val="es-CO"/>
        </w:rPr>
        <w:t>le</w:t>
      </w:r>
      <w:r w:rsidR="00AB7FAC" w:rsidRPr="00FD05AF">
        <w:rPr>
          <w:lang w:val="es-CO"/>
        </w:rPr>
        <w:t>s</w:t>
      </w:r>
      <w:r w:rsidR="002D0FC0" w:rsidRPr="00FD05AF">
        <w:rPr>
          <w:lang w:val="es-CO"/>
        </w:rPr>
        <w:t>,</w:t>
      </w:r>
      <w:r w:rsidR="004D5B73" w:rsidRPr="00FD05AF">
        <w:rPr>
          <w:lang w:val="es-CO"/>
        </w:rPr>
        <w:t xml:space="preserve"> que según la Resolución </w:t>
      </w:r>
      <w:r w:rsidR="004D5B73" w:rsidRPr="00FD05AF">
        <w:rPr>
          <w:lang w:val="es-CO"/>
        </w:rPr>
        <w:lastRenderedPageBreak/>
        <w:t>CREG 015 de 2018 se basa</w:t>
      </w:r>
      <w:r w:rsidR="009A3B73" w:rsidRPr="00FD05AF">
        <w:rPr>
          <w:lang w:val="es-CO"/>
        </w:rPr>
        <w:t>n</w:t>
      </w:r>
      <w:r w:rsidR="004D5B73" w:rsidRPr="00FD05AF">
        <w:rPr>
          <w:lang w:val="es-CO"/>
        </w:rPr>
        <w:t xml:space="preserve"> en </w:t>
      </w:r>
      <w:r w:rsidR="003569DD" w:rsidRPr="00FD05AF">
        <w:rPr>
          <w:lang w:val="es-CO"/>
        </w:rPr>
        <w:t>la necesidad</w:t>
      </w:r>
      <w:r w:rsidR="003569DD">
        <w:rPr>
          <w:lang w:val="es-CO"/>
        </w:rPr>
        <w:t xml:space="preserve"> técnica de la UC y que</w:t>
      </w:r>
      <w:r w:rsidR="009A2611">
        <w:rPr>
          <w:lang w:val="es-CO"/>
        </w:rPr>
        <w:t xml:space="preserve"> la misma</w:t>
      </w:r>
      <w:r w:rsidR="003569DD">
        <w:rPr>
          <w:lang w:val="es-CO"/>
        </w:rPr>
        <w:t xml:space="preserve"> no sea asimilable a </w:t>
      </w:r>
      <w:r w:rsidR="009A3B73">
        <w:rPr>
          <w:lang w:val="es-CO"/>
        </w:rPr>
        <w:t>las UC definidas en la resolución.</w:t>
      </w:r>
    </w:p>
    <w:p w14:paraId="2D10003B" w14:textId="0E42D506" w:rsidR="00A026F7" w:rsidRDefault="00A40B9A" w:rsidP="005F5B71">
      <w:pPr>
        <w:spacing w:before="240" w:after="0"/>
        <w:rPr>
          <w:lang w:val="es-CO"/>
        </w:rPr>
      </w:pPr>
      <w:r>
        <w:rPr>
          <w:lang w:val="es-CO"/>
        </w:rPr>
        <w:t>Una vez r</w:t>
      </w:r>
      <w:r w:rsidR="009C1E4E">
        <w:rPr>
          <w:lang w:val="es-CO"/>
        </w:rPr>
        <w:t>evisada toda la información suministrada</w:t>
      </w:r>
      <w:r w:rsidR="0029205E">
        <w:rPr>
          <w:lang w:val="es-CO"/>
        </w:rPr>
        <w:t xml:space="preserve"> por el OR</w:t>
      </w:r>
      <w:r w:rsidR="003452B7">
        <w:rPr>
          <w:lang w:val="es-CO"/>
        </w:rPr>
        <w:t xml:space="preserve"> en el recurso de reposición</w:t>
      </w:r>
      <w:r w:rsidR="009C1E4E">
        <w:rPr>
          <w:lang w:val="es-CO"/>
        </w:rPr>
        <w:t>,</w:t>
      </w:r>
      <w:r w:rsidR="007C1C3C">
        <w:rPr>
          <w:lang w:val="es-CO"/>
        </w:rPr>
        <w:t xml:space="preserve"> </w:t>
      </w:r>
      <w:r w:rsidR="00BC0A67" w:rsidRPr="00795AB3">
        <w:rPr>
          <w:lang w:val="es-CO"/>
        </w:rPr>
        <w:t xml:space="preserve">la Comisión </w:t>
      </w:r>
      <w:r w:rsidR="0011455E">
        <w:rPr>
          <w:lang w:val="es-CO"/>
        </w:rPr>
        <w:t xml:space="preserve">concluye que </w:t>
      </w:r>
      <w:r w:rsidR="00BC0A67" w:rsidRPr="00795AB3">
        <w:rPr>
          <w:lang w:val="es-CO"/>
        </w:rPr>
        <w:t xml:space="preserve">no hay justificación para la creación de </w:t>
      </w:r>
      <w:r w:rsidR="00B33A4E">
        <w:rPr>
          <w:lang w:val="es-CO"/>
        </w:rPr>
        <w:t>las</w:t>
      </w:r>
      <w:r w:rsidR="00BC0A67" w:rsidRPr="00795AB3">
        <w:rPr>
          <w:lang w:val="es-CO"/>
        </w:rPr>
        <w:t xml:space="preserve"> UC especiales</w:t>
      </w:r>
      <w:r w:rsidR="00B33A4E">
        <w:rPr>
          <w:lang w:val="es-CO"/>
        </w:rPr>
        <w:t xml:space="preserve"> </w:t>
      </w:r>
      <w:r w:rsidR="00EB1FC3" w:rsidRPr="00795AB3">
        <w:rPr>
          <w:lang w:val="es-CO"/>
        </w:rPr>
        <w:t>de postes en nivel de tensión 1</w:t>
      </w:r>
      <w:r w:rsidR="00F572F3">
        <w:rPr>
          <w:lang w:val="es-CO"/>
        </w:rPr>
        <w:t>,</w:t>
      </w:r>
      <w:r w:rsidR="006D6E3A">
        <w:rPr>
          <w:lang w:val="es-CO"/>
        </w:rPr>
        <w:t xml:space="preserve"> toda vez que</w:t>
      </w:r>
      <w:r w:rsidR="00795AB3" w:rsidRPr="00795AB3">
        <w:rPr>
          <w:lang w:val="es-CO"/>
        </w:rPr>
        <w:t xml:space="preserve"> no </w:t>
      </w:r>
      <w:r w:rsidR="00A4635F">
        <w:rPr>
          <w:lang w:val="es-CO"/>
        </w:rPr>
        <w:t>se</w:t>
      </w:r>
      <w:r w:rsidR="00795AB3" w:rsidRPr="00795AB3">
        <w:rPr>
          <w:lang w:val="es-CO"/>
        </w:rPr>
        <w:t xml:space="preserve"> </w:t>
      </w:r>
      <w:r w:rsidR="00A4635F" w:rsidRPr="00795AB3">
        <w:rPr>
          <w:lang w:val="es-CO"/>
        </w:rPr>
        <w:t>demuestra</w:t>
      </w:r>
      <w:r w:rsidR="00795AB3" w:rsidRPr="00795AB3">
        <w:rPr>
          <w:lang w:val="es-CO"/>
        </w:rPr>
        <w:t xml:space="preserve"> la necesidad técnica </w:t>
      </w:r>
      <w:r w:rsidR="00F11B52">
        <w:rPr>
          <w:lang w:val="es-CO"/>
        </w:rPr>
        <w:t>para su definición</w:t>
      </w:r>
      <w:r w:rsidR="00795AB3" w:rsidRPr="00795AB3">
        <w:rPr>
          <w:lang w:val="es-CO"/>
        </w:rPr>
        <w:t>. Por lo tanto,</w:t>
      </w:r>
      <w:r w:rsidR="006D6E3A">
        <w:rPr>
          <w:lang w:val="es-CO"/>
        </w:rPr>
        <w:t xml:space="preserve"> para la </w:t>
      </w:r>
      <w:r w:rsidR="00BD45D8">
        <w:rPr>
          <w:lang w:val="es-CO"/>
        </w:rPr>
        <w:t>CREG</w:t>
      </w:r>
      <w:r w:rsidR="009C1E4E" w:rsidRPr="00795AB3">
        <w:rPr>
          <w:lang w:val="es-CO"/>
        </w:rPr>
        <w:t xml:space="preserve"> no es procedente aceptar </w:t>
      </w:r>
      <w:r w:rsidR="009866EC">
        <w:rPr>
          <w:lang w:val="es-CO"/>
        </w:rPr>
        <w:t xml:space="preserve">esta </w:t>
      </w:r>
      <w:r w:rsidR="009C1E4E" w:rsidRPr="00795AB3">
        <w:rPr>
          <w:lang w:val="es-CO"/>
        </w:rPr>
        <w:t>solicitud</w:t>
      </w:r>
      <w:r w:rsidR="009866EC">
        <w:rPr>
          <w:lang w:val="es-CO"/>
        </w:rPr>
        <w:t>.</w:t>
      </w:r>
      <w:r w:rsidR="00892DD7">
        <w:rPr>
          <w:lang w:val="es-CO"/>
        </w:rPr>
        <w:t xml:space="preserve"> </w:t>
      </w:r>
      <w:r w:rsidR="002E544D">
        <w:rPr>
          <w:lang w:val="es-CO"/>
        </w:rPr>
        <w:t>T</w:t>
      </w:r>
      <w:r w:rsidR="00891A07">
        <w:rPr>
          <w:lang w:val="es-CO"/>
        </w:rPr>
        <w:t>ales activos</w:t>
      </w:r>
      <w:r w:rsidR="002E544D">
        <w:rPr>
          <w:lang w:val="es-CO"/>
        </w:rPr>
        <w:t xml:space="preserve"> podrán ser </w:t>
      </w:r>
      <w:r w:rsidR="00F4085D">
        <w:rPr>
          <w:lang w:val="es-CO"/>
        </w:rPr>
        <w:t>ejecutados</w:t>
      </w:r>
      <w:r w:rsidR="002E544D">
        <w:rPr>
          <w:lang w:val="es-CO"/>
        </w:rPr>
        <w:t xml:space="preserve"> y</w:t>
      </w:r>
      <w:r w:rsidR="00891A07">
        <w:rPr>
          <w:lang w:val="es-CO"/>
        </w:rPr>
        <w:t xml:space="preserve"> </w:t>
      </w:r>
      <w:r w:rsidR="00F4085D">
        <w:rPr>
          <w:lang w:val="es-CO"/>
        </w:rPr>
        <w:t>a</w:t>
      </w:r>
      <w:r w:rsidR="00891A07">
        <w:rPr>
          <w:lang w:val="es-CO"/>
        </w:rPr>
        <w:t xml:space="preserve">similadas por el OR </w:t>
      </w:r>
      <w:r w:rsidR="00891A07" w:rsidRPr="00795AB3">
        <w:rPr>
          <w:lang w:val="es-CO"/>
        </w:rPr>
        <w:t xml:space="preserve">a las UC </w:t>
      </w:r>
      <w:r w:rsidR="00F4085D">
        <w:rPr>
          <w:lang w:val="es-CO"/>
        </w:rPr>
        <w:t xml:space="preserve">ya </w:t>
      </w:r>
      <w:r w:rsidR="00891A07" w:rsidRPr="00795AB3">
        <w:rPr>
          <w:lang w:val="es-CO"/>
        </w:rPr>
        <w:t>definidas en la Resolución CREG 015 de 2018</w:t>
      </w:r>
      <w:r w:rsidR="006D6E3A">
        <w:rPr>
          <w:lang w:val="es-CO"/>
        </w:rPr>
        <w:t>.</w:t>
      </w:r>
    </w:p>
    <w:p w14:paraId="016BE9A5" w14:textId="2383471A" w:rsidR="009861C0" w:rsidRPr="00743D24" w:rsidRDefault="009861C0" w:rsidP="009861C0">
      <w:pPr>
        <w:spacing w:before="240" w:after="0"/>
        <w:rPr>
          <w:b/>
          <w:bCs/>
          <w:lang w:val="es-CO"/>
        </w:rPr>
      </w:pPr>
      <w:r>
        <w:rPr>
          <w:b/>
          <w:bCs/>
          <w:lang w:val="es-CO"/>
        </w:rPr>
        <w:t>Tercera</w:t>
      </w:r>
      <w:r w:rsidRPr="00743D24">
        <w:rPr>
          <w:b/>
          <w:bCs/>
          <w:lang w:val="es-CO"/>
        </w:rPr>
        <w:t xml:space="preserve"> solicitud</w:t>
      </w:r>
    </w:p>
    <w:p w14:paraId="375C575C" w14:textId="484056DC" w:rsidR="00CA6609" w:rsidRPr="00CA6609" w:rsidRDefault="00ED3F24" w:rsidP="00CA6609">
      <w:pPr>
        <w:spacing w:before="240" w:after="0"/>
        <w:rPr>
          <w:i/>
          <w:iCs/>
          <w:lang w:val="es-CO"/>
        </w:rPr>
      </w:pPr>
      <w:r>
        <w:rPr>
          <w:i/>
          <w:iCs/>
          <w:lang w:val="es-CO"/>
        </w:rPr>
        <w:t>“</w:t>
      </w:r>
      <w:r w:rsidR="00CA6609" w:rsidRPr="00CA6609">
        <w:rPr>
          <w:i/>
          <w:iCs/>
          <w:lang w:val="es-CO"/>
        </w:rPr>
        <w:t>2.1.3. Protección Diferencial de Barra N2:</w:t>
      </w:r>
    </w:p>
    <w:p w14:paraId="6C9045AD" w14:textId="77777777" w:rsidR="00CA6609" w:rsidRPr="00CA6609" w:rsidRDefault="00CA6609" w:rsidP="00CA6609">
      <w:pPr>
        <w:spacing w:before="240" w:after="0"/>
        <w:rPr>
          <w:i/>
          <w:iCs/>
          <w:lang w:val="es-CO"/>
        </w:rPr>
      </w:pPr>
      <w:r w:rsidRPr="00CA6609">
        <w:rPr>
          <w:i/>
          <w:iCs/>
          <w:lang w:val="es-CO"/>
        </w:rPr>
        <w:t>En el Documento CREG-501 013 la Comisión niega la solicitud de la UC especial Protección Diferencial de Barra N2, argumentando que: i) no se encuentra acompañada de las consideraciones técnicas que la justifican y ii) que no cuenta con las tres cotizaciones de suministro e instalación de los equipos que la conforman, para adquisiciones directas, y tampoco se envían los documentos que acreditan la realización de concursos abiertos o licitaciones, incluyendo los pliegos de solicitudes, términos de referencia, etc.</w:t>
      </w:r>
    </w:p>
    <w:p w14:paraId="75CDF535" w14:textId="77777777" w:rsidR="00CA6609" w:rsidRPr="00CA6609" w:rsidRDefault="00CA6609" w:rsidP="00CA6609">
      <w:pPr>
        <w:spacing w:before="240" w:after="0"/>
        <w:rPr>
          <w:i/>
          <w:iCs/>
          <w:lang w:val="es-CO"/>
        </w:rPr>
      </w:pPr>
      <w:r w:rsidRPr="00CA6609">
        <w:rPr>
          <w:i/>
          <w:iCs/>
          <w:lang w:val="es-CO"/>
        </w:rPr>
        <w:t>Con el fin de resolver el numeral i) planteado, nos permitimos remitirnos a lo expuesto en el Capítulo 5 de la Resolución CREG 015 de 2018, especificando que Air-e se encuentra trabajando para brindar un servicio de calidad, por lo cual, la indisponibilidad no puede superar el límite establecido por el agente regulador referente a los indicadores SAIDI y SAIFI. Por su parte, en el Capítulo 23, Apartado 1b del RETIE, se establece que: “En los sistemas eléctricos de los distribuidores, grandes consumidores y transportadores, el tiempo máximo de despeje de falla de la protección principal, desde el inicio de la falla hasta la extinción del arco en el interruptor de potencia, no debe ser mayor que 150 milisegundos”.</w:t>
      </w:r>
    </w:p>
    <w:p w14:paraId="7944D9BA" w14:textId="77777777" w:rsidR="00CA6609" w:rsidRPr="00CA6609" w:rsidRDefault="00CA6609" w:rsidP="00CA6609">
      <w:pPr>
        <w:spacing w:before="240" w:after="0"/>
        <w:rPr>
          <w:i/>
          <w:iCs/>
          <w:lang w:val="es-CO"/>
        </w:rPr>
      </w:pPr>
      <w:r w:rsidRPr="00CA6609">
        <w:rPr>
          <w:i/>
          <w:iCs/>
          <w:lang w:val="es-CO"/>
        </w:rPr>
        <w:t>Con referencia a esto, la protección de barra es muy utilizada por su selectividad al momento de detectar una falla. La instalación de esta UC, es eficaz para la Subestación Veinte de Julio donde se cuenta con dos transformadores con operación en paralelo, y la coordinación de las protecciones de sobrecorriente entre alimentadores y transformadores dejaría tiempos de despeje superiores a los requeridos ante falla en barra a 13,8 [kV]; sin embargo, con la independencia y selectividad que proporciona la protección diferencial, se establecerían tiempos de despeje de falla que cumplan el requisito establecido anteriormente; evitando o limitando, por su selectividad, la indisponibilidad de un activo, o que este, ante una falla no afecte la disponibilidad de otros activos. Con esto, se garantizan tiempos de despeje de fallas inferiores a 150 [ms], minimizando los daños presentados en las barras.</w:t>
      </w:r>
    </w:p>
    <w:p w14:paraId="1262F14B" w14:textId="5D57B9AD" w:rsidR="00504C3C" w:rsidRPr="00504C3C" w:rsidRDefault="00CA6609" w:rsidP="00504C3C">
      <w:pPr>
        <w:spacing w:before="240" w:after="0"/>
        <w:rPr>
          <w:i/>
          <w:iCs/>
          <w:lang w:val="es-CO"/>
        </w:rPr>
      </w:pPr>
      <w:r w:rsidRPr="00CA6609">
        <w:rPr>
          <w:i/>
          <w:iCs/>
          <w:lang w:val="es-CO"/>
        </w:rPr>
        <w:t>La justificación técnica se adjunta en el documento “Justificación Técnica Protección Diferencial de Barra N2” que se encuentra alojado en la carpeta Justificación Técnica, donde se explica la razón de uso de la protección diferencial en nivel de tensión 2 en la subestación Veinte de Julio en la ciudad</w:t>
      </w:r>
      <w:r w:rsidR="00797811">
        <w:rPr>
          <w:i/>
          <w:iCs/>
          <w:lang w:val="es-CO"/>
        </w:rPr>
        <w:t xml:space="preserve"> </w:t>
      </w:r>
      <w:r w:rsidR="00504C3C" w:rsidRPr="00504C3C">
        <w:rPr>
          <w:i/>
          <w:iCs/>
          <w:lang w:val="es-CO"/>
        </w:rPr>
        <w:t xml:space="preserve">de Barranquilla, con el fin de mejorar los indicadores de calidad del servicio. Adicionalmente, para soportar lo mencionado, se incluye el documento de estudio de protecciones del esquema diferencial de barra “Estudio de coordinación de </w:t>
      </w:r>
      <w:r w:rsidR="00504C3C" w:rsidRPr="00504C3C">
        <w:rPr>
          <w:i/>
          <w:iCs/>
          <w:lang w:val="es-CO"/>
        </w:rPr>
        <w:lastRenderedPageBreak/>
        <w:t>Protecciones 13.8kV” (Anexo 36), donde se concluye que con los ajustes de protección diferencial de barras recomendados en el ítem 5.1.2 de dicho estudio, se garantiza una adecuada operación de la función ante la operación de las barras 1 y 2 en la SE Veinte de Julio acopladas y/o desacopladas.</w:t>
      </w:r>
    </w:p>
    <w:p w14:paraId="78CF84C3" w14:textId="77777777" w:rsidR="00504C3C" w:rsidRPr="00504C3C" w:rsidRDefault="00504C3C" w:rsidP="00504C3C">
      <w:pPr>
        <w:spacing w:before="240" w:after="0"/>
        <w:rPr>
          <w:i/>
          <w:iCs/>
          <w:lang w:val="es-CO"/>
        </w:rPr>
      </w:pPr>
      <w:r w:rsidRPr="00504C3C">
        <w:rPr>
          <w:i/>
          <w:iCs/>
          <w:lang w:val="es-CO"/>
        </w:rPr>
        <w:t>La importancia de esto radica en que Air-e como operador de red de los sistemas de distribución de energía eléctrica en los departamentos: Atlántico, Magdalena y La Guajira, recibió una empresa que venía con más de 100 horas de indisponibilidad (SAIDI Empresa para Electricaribe en el año 2016 de 96 horas, dato que doblaba el promedio del país (40 horas), y aumentando para el año 2017 a (112,8 horas), evidenciando desmejora de la calidad del servicio).</w:t>
      </w:r>
    </w:p>
    <w:p w14:paraId="4C2527B9" w14:textId="77777777" w:rsidR="00504C3C" w:rsidRPr="00504C3C" w:rsidRDefault="00504C3C" w:rsidP="00504C3C">
      <w:pPr>
        <w:spacing w:before="240" w:after="0"/>
        <w:rPr>
          <w:i/>
          <w:iCs/>
          <w:lang w:val="es-CO"/>
        </w:rPr>
      </w:pPr>
      <w:r w:rsidRPr="00504C3C">
        <w:rPr>
          <w:i/>
          <w:iCs/>
          <w:lang w:val="es-CO"/>
        </w:rPr>
        <w:t>Dados los esfuerzos realizados para ofrecer un servicio confiable, continuo y seguro, se logró para el año 2020 un SAIDI Empresa de 95,8 horas y de 65,9 horas para 2021, evidenciando una mejora en este indicador. En el caso específico de la subestación 20 de Julio, que ofrece servicio a 113.610 usuarios, se obtuvo un SAIDI en el 2020 de 67,29 y en el 2021 de 68,84. Si bien los indicadores de la empresa han venido mejorando desde la entrada en operación, es preciso continuar trabajando para lograr la meta propuesta por el regulador; por lo que se hace necesario contar con soluciones como Diferenciales de Barra en Nivel de Tensión 2, que preserven los equipos de las subestaciones ante cualquier falla, y que permitan identificar y seleccionar las fallas, disminuyendo la cantidad de usuarios afectados y mejorando los indicadores de calidad SAIDI y SAIFI.</w:t>
      </w:r>
    </w:p>
    <w:p w14:paraId="4871B9DA" w14:textId="77777777" w:rsidR="00504C3C" w:rsidRPr="00504C3C" w:rsidRDefault="00504C3C" w:rsidP="00504C3C">
      <w:pPr>
        <w:spacing w:before="240" w:after="0"/>
        <w:rPr>
          <w:i/>
          <w:iCs/>
          <w:lang w:val="es-CO"/>
        </w:rPr>
      </w:pPr>
      <w:r w:rsidRPr="00504C3C">
        <w:rPr>
          <w:i/>
          <w:iCs/>
          <w:lang w:val="es-CO"/>
        </w:rPr>
        <w:t>En cuanto al numeral ii) donde la Comisión afirma que no se cuenta con las tres cotizaciones de suministro e instalación de los equipos que la conforman, para adquisiciones directas, y tampoco se envían los documentos que acreditan la realización de concursos abiertos o licitaciones, incluyendo los pliegos de solicitudes, términos de referencia, etc., a continuación Air-e se permite describir los documentos que se encuentran anexos en las carpetas “Invitaciones” y “Ofertas” como soporte a la solicitud.</w:t>
      </w:r>
    </w:p>
    <w:p w14:paraId="4DF3AB46" w14:textId="77777777" w:rsidR="00504C3C" w:rsidRPr="00504C3C" w:rsidRDefault="00504C3C" w:rsidP="00504C3C">
      <w:pPr>
        <w:spacing w:before="240" w:after="0"/>
        <w:rPr>
          <w:i/>
          <w:iCs/>
          <w:lang w:val="es-CO"/>
        </w:rPr>
      </w:pPr>
      <w:r w:rsidRPr="00504C3C">
        <w:rPr>
          <w:i/>
          <w:iCs/>
          <w:lang w:val="es-CO"/>
        </w:rPr>
        <w:t>Debido a que la empresa Air-e no realiza adjudicaciones directas para la adquisición de equipos para la Protección diferencial Barra N2, en la carpeta “Ofertas”, se enlistan las ofertas de los concursos de la siguiente manera:</w:t>
      </w:r>
    </w:p>
    <w:p w14:paraId="17FE766C" w14:textId="77777777" w:rsidR="00504C3C" w:rsidRPr="00504C3C" w:rsidRDefault="00504C3C" w:rsidP="00504C3C">
      <w:pPr>
        <w:spacing w:before="240" w:after="0"/>
        <w:rPr>
          <w:i/>
          <w:iCs/>
          <w:lang w:val="es-CO"/>
        </w:rPr>
      </w:pPr>
      <w:r w:rsidRPr="00504C3C">
        <w:rPr>
          <w:i/>
          <w:iCs/>
          <w:lang w:val="es-CO"/>
        </w:rPr>
        <w:t>1_Anexo 1_Oferta_Automatización Avanzada SA (ganó concurso).</w:t>
      </w:r>
    </w:p>
    <w:p w14:paraId="1811C67B" w14:textId="77777777" w:rsidR="00504C3C" w:rsidRPr="00504C3C" w:rsidRDefault="00504C3C" w:rsidP="00504C3C">
      <w:pPr>
        <w:spacing w:before="240" w:after="0"/>
        <w:rPr>
          <w:i/>
          <w:iCs/>
          <w:lang w:val="es-CO"/>
        </w:rPr>
      </w:pPr>
      <w:r w:rsidRPr="00504C3C">
        <w:rPr>
          <w:i/>
          <w:iCs/>
          <w:lang w:val="es-CO"/>
        </w:rPr>
        <w:t>2_Anexo 2_Oferta_ABB.</w:t>
      </w:r>
    </w:p>
    <w:p w14:paraId="7CF82DD4" w14:textId="77777777" w:rsidR="00504C3C" w:rsidRPr="00504C3C" w:rsidRDefault="00504C3C" w:rsidP="00504C3C">
      <w:pPr>
        <w:spacing w:before="240" w:after="0"/>
        <w:rPr>
          <w:i/>
          <w:iCs/>
          <w:lang w:val="es-CO"/>
        </w:rPr>
      </w:pPr>
      <w:r w:rsidRPr="00504C3C">
        <w:rPr>
          <w:i/>
          <w:iCs/>
          <w:lang w:val="es-CO"/>
        </w:rPr>
        <w:t>Si bien 6 oferentes se mostraron interesados en la invitación al concurso, estos finalmente no presentaron oferta, cuya disposición a participar se encuentra dentro de la carpeta “Invitación”. Las ofertas anexas, pertenecen a varios proyectos en la zona Caribe donde hace presencia Air-e. La oferta ganadora se presentó en la invitación “41103119T1_2019_Electricaribe” que en el proceso de escisión pasó a la empresa Air-e.</w:t>
      </w:r>
    </w:p>
    <w:p w14:paraId="5803135A" w14:textId="77777777" w:rsidR="00504C3C" w:rsidRPr="00504C3C" w:rsidRDefault="00504C3C" w:rsidP="00504C3C">
      <w:pPr>
        <w:spacing w:before="240" w:after="0"/>
        <w:rPr>
          <w:i/>
          <w:iCs/>
          <w:lang w:val="es-CO"/>
        </w:rPr>
      </w:pPr>
      <w:r w:rsidRPr="00504C3C">
        <w:rPr>
          <w:i/>
          <w:iCs/>
          <w:lang w:val="es-CO"/>
        </w:rPr>
        <w:t>Del anexo 27 hasta el anexo 33 en la carpeta “Invitación”, se incluyen los documentos soporte del concurso asociados a Protección diferencial Barra N2, los correos de invitación por parte de Electricaribe se le enviaron a seis (6) oferentes así:</w:t>
      </w:r>
    </w:p>
    <w:p w14:paraId="090A4EEC" w14:textId="77777777" w:rsidR="00504C3C" w:rsidRPr="00504C3C" w:rsidRDefault="00504C3C" w:rsidP="00504C3C">
      <w:pPr>
        <w:spacing w:before="240" w:after="0"/>
        <w:rPr>
          <w:i/>
          <w:iCs/>
          <w:lang w:val="es-CO"/>
        </w:rPr>
      </w:pPr>
      <w:r w:rsidRPr="00504C3C">
        <w:rPr>
          <w:i/>
          <w:iCs/>
          <w:lang w:val="es-CO"/>
        </w:rPr>
        <w:lastRenderedPageBreak/>
        <w:t>• Anexo_27 Automatización avanzada S.A</w:t>
      </w:r>
    </w:p>
    <w:p w14:paraId="6B82646F" w14:textId="77777777" w:rsidR="00504C3C" w:rsidRPr="00504C3C" w:rsidRDefault="00504C3C" w:rsidP="00504C3C">
      <w:pPr>
        <w:spacing w:before="240" w:after="0"/>
        <w:rPr>
          <w:i/>
          <w:iCs/>
          <w:lang w:val="es-CO"/>
        </w:rPr>
      </w:pPr>
      <w:r w:rsidRPr="00504C3C">
        <w:rPr>
          <w:i/>
          <w:iCs/>
          <w:lang w:val="es-CO"/>
        </w:rPr>
        <w:t>• Anexo_28 ABB</w:t>
      </w:r>
    </w:p>
    <w:p w14:paraId="0453F914" w14:textId="77777777" w:rsidR="00504C3C" w:rsidRPr="00504C3C" w:rsidRDefault="00504C3C" w:rsidP="00504C3C">
      <w:pPr>
        <w:spacing w:before="240" w:after="0"/>
        <w:rPr>
          <w:i/>
          <w:iCs/>
          <w:lang w:val="es-CO"/>
        </w:rPr>
      </w:pPr>
      <w:r w:rsidRPr="00504C3C">
        <w:rPr>
          <w:i/>
          <w:iCs/>
          <w:lang w:val="es-CO"/>
        </w:rPr>
        <w:t>• Anexo_29 GE Energy Colombia S.A</w:t>
      </w:r>
    </w:p>
    <w:p w14:paraId="24872665" w14:textId="77777777" w:rsidR="00504C3C" w:rsidRPr="00504C3C" w:rsidRDefault="00504C3C" w:rsidP="00504C3C">
      <w:pPr>
        <w:spacing w:before="240" w:after="0"/>
        <w:rPr>
          <w:i/>
          <w:iCs/>
          <w:lang w:val="en-US"/>
        </w:rPr>
      </w:pPr>
      <w:r w:rsidRPr="00504C3C">
        <w:rPr>
          <w:i/>
          <w:iCs/>
          <w:lang w:val="en-US"/>
        </w:rPr>
        <w:t>• Anexo_30 Siemens S.A</w:t>
      </w:r>
    </w:p>
    <w:p w14:paraId="6FD8B805" w14:textId="77777777" w:rsidR="00504C3C" w:rsidRPr="00504C3C" w:rsidRDefault="00504C3C" w:rsidP="00504C3C">
      <w:pPr>
        <w:spacing w:before="240" w:after="0"/>
        <w:rPr>
          <w:i/>
          <w:iCs/>
          <w:lang w:val="en-US"/>
        </w:rPr>
      </w:pPr>
      <w:r w:rsidRPr="00504C3C">
        <w:rPr>
          <w:i/>
          <w:iCs/>
          <w:lang w:val="en-US"/>
        </w:rPr>
        <w:t>• Anexo_31 Schneider</w:t>
      </w:r>
    </w:p>
    <w:p w14:paraId="68189505" w14:textId="77777777" w:rsidR="00504C3C" w:rsidRPr="00504C3C" w:rsidRDefault="00504C3C" w:rsidP="00504C3C">
      <w:pPr>
        <w:spacing w:before="240" w:after="0"/>
        <w:rPr>
          <w:i/>
          <w:iCs/>
          <w:lang w:val="en-US"/>
        </w:rPr>
      </w:pPr>
      <w:r w:rsidRPr="00504C3C">
        <w:rPr>
          <w:i/>
          <w:iCs/>
          <w:lang w:val="en-US"/>
        </w:rPr>
        <w:t>• Anexo_32 Schweitzer Engineering Laboratories</w:t>
      </w:r>
    </w:p>
    <w:p w14:paraId="1219CEBD" w14:textId="77777777" w:rsidR="00504C3C" w:rsidRPr="00504C3C" w:rsidRDefault="00504C3C" w:rsidP="00504C3C">
      <w:pPr>
        <w:spacing w:before="240" w:after="0"/>
        <w:rPr>
          <w:i/>
          <w:iCs/>
          <w:lang w:val="es-CO"/>
        </w:rPr>
      </w:pPr>
      <w:r w:rsidRPr="00504C3C">
        <w:rPr>
          <w:i/>
          <w:iCs/>
          <w:lang w:val="es-CO"/>
        </w:rPr>
        <w:t>Adicionalmente, en la carpeta “Contratos”, se anexan los documentos del pliego de contratación (Anexo_1), Evaluación técnica (Anexo 2) y Adenda 1 (Anexo 3). En el proceso del concurso solo continuaron dos oferentes, que fueron Automatización avanzada S.A y ABB. Surtidos los procesos anteriores, se seleccionó la oferta presentada por la empresa Oferta_Automatización Avanzada SA, dando lugar a la celebración del contrato número 4119000239, el cual se adjunta en la carpeta “Contratos” identificados como “Anexo 5_4119000239_CONTRATO”.</w:t>
      </w:r>
    </w:p>
    <w:p w14:paraId="208354CC" w14:textId="69E4CC8D" w:rsidR="0026661A" w:rsidRPr="00AA3811" w:rsidRDefault="00504C3C" w:rsidP="0026661A">
      <w:pPr>
        <w:spacing w:before="240"/>
        <w:rPr>
          <w:i/>
          <w:iCs/>
          <w:lang w:val="es-CO"/>
        </w:rPr>
      </w:pPr>
      <w:r w:rsidRPr="00504C3C">
        <w:rPr>
          <w:i/>
          <w:iCs/>
          <w:lang w:val="es-CO"/>
        </w:rPr>
        <w:t>Con base en lo anterior, se solicita a la Comisión la aprobación de la UC Especial Protección Diferencial de Barra N2, de acuerdo con los montos desagregados en la Tabla 12:</w:t>
      </w:r>
    </w:p>
    <w:tbl>
      <w:tblPr>
        <w:tblStyle w:val="Tablaconcuadrcula"/>
        <w:tblW w:w="0" w:type="auto"/>
        <w:tblLook w:val="04A0" w:firstRow="1" w:lastRow="0" w:firstColumn="1" w:lastColumn="0" w:noHBand="0" w:noVBand="1"/>
      </w:tblPr>
      <w:tblGrid>
        <w:gridCol w:w="725"/>
        <w:gridCol w:w="884"/>
        <w:gridCol w:w="884"/>
        <w:gridCol w:w="817"/>
        <w:gridCol w:w="895"/>
        <w:gridCol w:w="884"/>
        <w:gridCol w:w="1156"/>
        <w:gridCol w:w="1219"/>
        <w:gridCol w:w="998"/>
        <w:gridCol w:w="884"/>
      </w:tblGrid>
      <w:tr w:rsidR="005F077B" w:rsidRPr="00AA3811" w14:paraId="3C07DA50" w14:textId="77777777" w:rsidTr="0076165B">
        <w:tc>
          <w:tcPr>
            <w:tcW w:w="725" w:type="dxa"/>
            <w:vAlign w:val="center"/>
          </w:tcPr>
          <w:p w14:paraId="37A68B37" w14:textId="57BEDC91" w:rsidR="005F077B" w:rsidRPr="00AA3811" w:rsidRDefault="005F077B" w:rsidP="005F077B">
            <w:pPr>
              <w:spacing w:before="0" w:after="0"/>
              <w:jc w:val="center"/>
              <w:rPr>
                <w:b/>
                <w:bCs/>
                <w:i/>
                <w:iCs/>
                <w:sz w:val="12"/>
                <w:szCs w:val="12"/>
                <w:lang w:val="es-CO"/>
              </w:rPr>
            </w:pPr>
            <w:r w:rsidRPr="00AA3811">
              <w:rPr>
                <w:b/>
                <w:bCs/>
                <w:i/>
                <w:iCs/>
                <w:sz w:val="12"/>
                <w:szCs w:val="12"/>
              </w:rPr>
              <w:t>UC</w:t>
            </w:r>
          </w:p>
        </w:tc>
        <w:tc>
          <w:tcPr>
            <w:tcW w:w="971" w:type="dxa"/>
            <w:vAlign w:val="center"/>
          </w:tcPr>
          <w:p w14:paraId="0B377FAC" w14:textId="50209A5D" w:rsidR="005F077B" w:rsidRPr="00AA3811" w:rsidRDefault="005F077B" w:rsidP="005F077B">
            <w:pPr>
              <w:spacing w:before="0" w:after="0"/>
              <w:jc w:val="center"/>
              <w:rPr>
                <w:b/>
                <w:bCs/>
                <w:i/>
                <w:iCs/>
                <w:sz w:val="12"/>
                <w:szCs w:val="12"/>
                <w:lang w:val="es-CO"/>
              </w:rPr>
            </w:pPr>
            <w:r w:rsidRPr="00AA3811">
              <w:rPr>
                <w:b/>
                <w:bCs/>
                <w:i/>
                <w:iCs/>
                <w:sz w:val="12"/>
                <w:szCs w:val="12"/>
              </w:rPr>
              <w:t>Descripción</w:t>
            </w:r>
          </w:p>
        </w:tc>
        <w:tc>
          <w:tcPr>
            <w:tcW w:w="797" w:type="dxa"/>
            <w:vAlign w:val="center"/>
          </w:tcPr>
          <w:p w14:paraId="6B298FEC" w14:textId="0DCECD03" w:rsidR="005F077B" w:rsidRPr="00AA3811" w:rsidRDefault="005F077B" w:rsidP="005F077B">
            <w:pPr>
              <w:spacing w:before="0" w:after="0"/>
              <w:jc w:val="center"/>
              <w:rPr>
                <w:b/>
                <w:bCs/>
                <w:i/>
                <w:iCs/>
                <w:sz w:val="12"/>
                <w:szCs w:val="12"/>
                <w:lang w:val="es-CO"/>
              </w:rPr>
            </w:pPr>
            <w:r w:rsidRPr="00AA3811">
              <w:rPr>
                <w:b/>
                <w:bCs/>
                <w:i/>
                <w:iCs/>
                <w:sz w:val="12"/>
                <w:szCs w:val="12"/>
              </w:rPr>
              <w:t>DDP</w:t>
            </w:r>
          </w:p>
        </w:tc>
        <w:tc>
          <w:tcPr>
            <w:tcW w:w="0" w:type="auto"/>
            <w:vAlign w:val="center"/>
          </w:tcPr>
          <w:p w14:paraId="3483318B" w14:textId="519B9CCB" w:rsidR="005F077B" w:rsidRPr="00AA3811" w:rsidRDefault="005F077B" w:rsidP="005F077B">
            <w:pPr>
              <w:spacing w:before="0" w:after="0"/>
              <w:jc w:val="center"/>
              <w:rPr>
                <w:b/>
                <w:bCs/>
                <w:i/>
                <w:iCs/>
                <w:sz w:val="12"/>
                <w:szCs w:val="12"/>
                <w:lang w:val="es-CO"/>
              </w:rPr>
            </w:pPr>
            <w:r w:rsidRPr="00AA3811">
              <w:rPr>
                <w:b/>
                <w:bCs/>
                <w:i/>
                <w:iCs/>
                <w:sz w:val="12"/>
                <w:szCs w:val="12"/>
              </w:rPr>
              <w:t>MONTAJE</w:t>
            </w:r>
          </w:p>
        </w:tc>
        <w:tc>
          <w:tcPr>
            <w:tcW w:w="0" w:type="auto"/>
            <w:vAlign w:val="center"/>
          </w:tcPr>
          <w:p w14:paraId="28106F0C" w14:textId="59DAF422" w:rsidR="005F077B" w:rsidRPr="00AA3811" w:rsidRDefault="005F077B" w:rsidP="005F077B">
            <w:pPr>
              <w:spacing w:before="0" w:after="0"/>
              <w:jc w:val="center"/>
              <w:rPr>
                <w:b/>
                <w:bCs/>
                <w:i/>
                <w:iCs/>
                <w:sz w:val="12"/>
                <w:szCs w:val="12"/>
                <w:lang w:val="es-CO"/>
              </w:rPr>
            </w:pPr>
            <w:r w:rsidRPr="00AA3811">
              <w:rPr>
                <w:b/>
                <w:bCs/>
                <w:i/>
                <w:iCs/>
                <w:sz w:val="12"/>
                <w:szCs w:val="12"/>
              </w:rPr>
              <w:t>INGENIERÍA</w:t>
            </w:r>
          </w:p>
        </w:tc>
        <w:tc>
          <w:tcPr>
            <w:tcW w:w="0" w:type="auto"/>
            <w:vAlign w:val="center"/>
          </w:tcPr>
          <w:p w14:paraId="1980F920" w14:textId="3FD494C4" w:rsidR="005F077B" w:rsidRPr="00AA3811" w:rsidRDefault="005F077B" w:rsidP="005F077B">
            <w:pPr>
              <w:spacing w:before="0" w:after="0"/>
              <w:jc w:val="center"/>
              <w:rPr>
                <w:b/>
                <w:bCs/>
                <w:i/>
                <w:iCs/>
                <w:sz w:val="12"/>
                <w:szCs w:val="12"/>
                <w:lang w:val="es-CO"/>
              </w:rPr>
            </w:pPr>
            <w:r w:rsidRPr="00AA3811">
              <w:rPr>
                <w:b/>
                <w:bCs/>
                <w:i/>
                <w:iCs/>
                <w:sz w:val="12"/>
                <w:szCs w:val="12"/>
              </w:rPr>
              <w:t>SUBTOTAL</w:t>
            </w:r>
          </w:p>
        </w:tc>
        <w:tc>
          <w:tcPr>
            <w:tcW w:w="0" w:type="auto"/>
            <w:vAlign w:val="center"/>
          </w:tcPr>
          <w:p w14:paraId="03E20B55" w14:textId="595C09EE" w:rsidR="005F077B" w:rsidRPr="00AA3811" w:rsidRDefault="005F077B" w:rsidP="005F077B">
            <w:pPr>
              <w:spacing w:before="0" w:after="0"/>
              <w:jc w:val="center"/>
              <w:rPr>
                <w:b/>
                <w:bCs/>
                <w:i/>
                <w:iCs/>
                <w:sz w:val="12"/>
                <w:szCs w:val="12"/>
                <w:lang w:val="es-CO"/>
              </w:rPr>
            </w:pPr>
            <w:r w:rsidRPr="00AA3811">
              <w:rPr>
                <w:b/>
                <w:bCs/>
                <w:i/>
                <w:iCs/>
                <w:sz w:val="12"/>
                <w:szCs w:val="12"/>
              </w:rPr>
              <w:t>INTERVENTORÍA</w:t>
            </w:r>
          </w:p>
        </w:tc>
        <w:tc>
          <w:tcPr>
            <w:tcW w:w="0" w:type="auto"/>
            <w:vAlign w:val="center"/>
          </w:tcPr>
          <w:p w14:paraId="11D97307" w14:textId="3AF5CA6D" w:rsidR="005F077B" w:rsidRPr="00AA3811" w:rsidRDefault="005F077B" w:rsidP="005F077B">
            <w:pPr>
              <w:spacing w:before="0" w:after="0"/>
              <w:jc w:val="center"/>
              <w:rPr>
                <w:b/>
                <w:bCs/>
                <w:i/>
                <w:iCs/>
                <w:sz w:val="12"/>
                <w:szCs w:val="12"/>
                <w:lang w:val="es-CO"/>
              </w:rPr>
            </w:pPr>
            <w:r w:rsidRPr="00AA3811">
              <w:rPr>
                <w:b/>
                <w:bCs/>
                <w:i/>
                <w:iCs/>
                <w:sz w:val="12"/>
                <w:szCs w:val="12"/>
              </w:rPr>
              <w:t>ADMINISTRACIÓN EJECUCIÓN</w:t>
            </w:r>
          </w:p>
        </w:tc>
        <w:tc>
          <w:tcPr>
            <w:tcW w:w="0" w:type="auto"/>
            <w:vAlign w:val="center"/>
          </w:tcPr>
          <w:p w14:paraId="5E1EA164" w14:textId="02637EB5" w:rsidR="005F077B" w:rsidRPr="00AA3811" w:rsidRDefault="005F077B" w:rsidP="005F077B">
            <w:pPr>
              <w:spacing w:before="0" w:after="0"/>
              <w:jc w:val="center"/>
              <w:rPr>
                <w:b/>
                <w:bCs/>
                <w:i/>
                <w:iCs/>
                <w:sz w:val="12"/>
                <w:szCs w:val="12"/>
                <w:lang w:val="es-CO"/>
              </w:rPr>
            </w:pPr>
            <w:r w:rsidRPr="00AA3811">
              <w:rPr>
                <w:b/>
                <w:bCs/>
                <w:i/>
                <w:iCs/>
                <w:sz w:val="12"/>
                <w:szCs w:val="12"/>
              </w:rPr>
              <w:t>COSTOS FINANCIEROS</w:t>
            </w:r>
          </w:p>
        </w:tc>
        <w:tc>
          <w:tcPr>
            <w:tcW w:w="0" w:type="auto"/>
            <w:vAlign w:val="center"/>
          </w:tcPr>
          <w:p w14:paraId="58226EF7" w14:textId="3E00A7B1" w:rsidR="005F077B" w:rsidRPr="00AA3811" w:rsidRDefault="005F077B" w:rsidP="005F077B">
            <w:pPr>
              <w:spacing w:before="0" w:after="0"/>
              <w:jc w:val="center"/>
              <w:rPr>
                <w:b/>
                <w:bCs/>
                <w:i/>
                <w:iCs/>
                <w:sz w:val="12"/>
                <w:szCs w:val="12"/>
                <w:lang w:val="es-CO"/>
              </w:rPr>
            </w:pPr>
            <w:r w:rsidRPr="00AA3811">
              <w:rPr>
                <w:b/>
                <w:bCs/>
                <w:i/>
                <w:iCs/>
                <w:sz w:val="12"/>
                <w:szCs w:val="12"/>
              </w:rPr>
              <w:t>TOTAL precio [$ Dic2017]</w:t>
            </w:r>
          </w:p>
        </w:tc>
      </w:tr>
      <w:tr w:rsidR="005F077B" w:rsidRPr="00AA3811" w14:paraId="234FB066" w14:textId="77777777" w:rsidTr="0076165B">
        <w:tc>
          <w:tcPr>
            <w:tcW w:w="725" w:type="dxa"/>
            <w:vAlign w:val="center"/>
          </w:tcPr>
          <w:p w14:paraId="144F0E13" w14:textId="3D8EC604" w:rsidR="005F077B" w:rsidRPr="00AA3811" w:rsidRDefault="005F077B" w:rsidP="005F077B">
            <w:pPr>
              <w:spacing w:before="0" w:after="0"/>
              <w:jc w:val="center"/>
              <w:rPr>
                <w:i/>
                <w:iCs/>
                <w:sz w:val="12"/>
                <w:szCs w:val="12"/>
              </w:rPr>
            </w:pPr>
            <w:r w:rsidRPr="00AA3811">
              <w:rPr>
                <w:i/>
                <w:iCs/>
                <w:sz w:val="12"/>
                <w:szCs w:val="12"/>
              </w:rPr>
              <w:t xml:space="preserve">N2EQE40 </w:t>
            </w:r>
          </w:p>
        </w:tc>
        <w:tc>
          <w:tcPr>
            <w:tcW w:w="971" w:type="dxa"/>
            <w:vAlign w:val="center"/>
          </w:tcPr>
          <w:p w14:paraId="37DBAEAB" w14:textId="294F57DA" w:rsidR="005F077B" w:rsidRPr="00AA3811" w:rsidRDefault="005F077B" w:rsidP="005F077B">
            <w:pPr>
              <w:spacing w:before="0" w:after="0"/>
              <w:jc w:val="center"/>
              <w:rPr>
                <w:i/>
                <w:iCs/>
                <w:sz w:val="12"/>
                <w:szCs w:val="12"/>
              </w:rPr>
            </w:pPr>
            <w:r w:rsidRPr="00AA3811">
              <w:rPr>
                <w:i/>
                <w:iCs/>
                <w:sz w:val="12"/>
                <w:szCs w:val="12"/>
              </w:rPr>
              <w:t xml:space="preserve">Protección Diferencial de Barras N2 </w:t>
            </w:r>
          </w:p>
        </w:tc>
        <w:tc>
          <w:tcPr>
            <w:tcW w:w="797" w:type="dxa"/>
            <w:vAlign w:val="center"/>
          </w:tcPr>
          <w:p w14:paraId="01C89FB4" w14:textId="63EA1C36" w:rsidR="005F077B" w:rsidRPr="00AA3811" w:rsidRDefault="005F077B" w:rsidP="005F077B">
            <w:pPr>
              <w:spacing w:before="0" w:after="0"/>
              <w:jc w:val="center"/>
              <w:rPr>
                <w:i/>
                <w:iCs/>
                <w:sz w:val="12"/>
                <w:szCs w:val="12"/>
              </w:rPr>
            </w:pPr>
            <w:r w:rsidRPr="00AA3811">
              <w:rPr>
                <w:i/>
                <w:iCs/>
                <w:sz w:val="12"/>
                <w:szCs w:val="12"/>
              </w:rPr>
              <w:t xml:space="preserve">$ 340.440.158 </w:t>
            </w:r>
          </w:p>
        </w:tc>
        <w:tc>
          <w:tcPr>
            <w:tcW w:w="0" w:type="auto"/>
            <w:vAlign w:val="center"/>
          </w:tcPr>
          <w:p w14:paraId="08A37E1B" w14:textId="2749318A" w:rsidR="005F077B" w:rsidRPr="00AA3811" w:rsidRDefault="005F077B" w:rsidP="005F077B">
            <w:pPr>
              <w:spacing w:before="0" w:after="0"/>
              <w:jc w:val="center"/>
              <w:rPr>
                <w:i/>
                <w:iCs/>
                <w:sz w:val="12"/>
                <w:szCs w:val="12"/>
              </w:rPr>
            </w:pPr>
            <w:r w:rsidRPr="00AA3811">
              <w:rPr>
                <w:i/>
                <w:iCs/>
                <w:sz w:val="12"/>
                <w:szCs w:val="12"/>
              </w:rPr>
              <w:t xml:space="preserve">$ 78.169.449 </w:t>
            </w:r>
          </w:p>
        </w:tc>
        <w:tc>
          <w:tcPr>
            <w:tcW w:w="0" w:type="auto"/>
            <w:vAlign w:val="center"/>
          </w:tcPr>
          <w:p w14:paraId="032990C1" w14:textId="3DFE4084" w:rsidR="005F077B" w:rsidRPr="00AA3811" w:rsidRDefault="005F077B" w:rsidP="005F077B">
            <w:pPr>
              <w:spacing w:before="0" w:after="0"/>
              <w:jc w:val="center"/>
              <w:rPr>
                <w:i/>
                <w:iCs/>
                <w:sz w:val="12"/>
                <w:szCs w:val="12"/>
              </w:rPr>
            </w:pPr>
            <w:r w:rsidRPr="00AA3811">
              <w:rPr>
                <w:i/>
                <w:iCs/>
                <w:sz w:val="12"/>
                <w:szCs w:val="12"/>
              </w:rPr>
              <w:t xml:space="preserve">$ 36.422.218 </w:t>
            </w:r>
          </w:p>
        </w:tc>
        <w:tc>
          <w:tcPr>
            <w:tcW w:w="0" w:type="auto"/>
            <w:vAlign w:val="center"/>
          </w:tcPr>
          <w:p w14:paraId="6CA2F665" w14:textId="5DFDE96F" w:rsidR="005F077B" w:rsidRPr="00AA3811" w:rsidRDefault="005F077B" w:rsidP="005F077B">
            <w:pPr>
              <w:spacing w:before="0" w:after="0"/>
              <w:jc w:val="center"/>
              <w:rPr>
                <w:i/>
                <w:iCs/>
                <w:sz w:val="12"/>
                <w:szCs w:val="12"/>
              </w:rPr>
            </w:pPr>
            <w:r w:rsidRPr="00AA3811">
              <w:rPr>
                <w:i/>
                <w:iCs/>
                <w:sz w:val="12"/>
                <w:szCs w:val="12"/>
              </w:rPr>
              <w:t xml:space="preserve">$ 455.031.825 </w:t>
            </w:r>
          </w:p>
        </w:tc>
        <w:tc>
          <w:tcPr>
            <w:tcW w:w="0" w:type="auto"/>
            <w:vAlign w:val="center"/>
          </w:tcPr>
          <w:p w14:paraId="42D37DC7" w14:textId="70F12D39" w:rsidR="005F077B" w:rsidRPr="00AA3811" w:rsidRDefault="005F077B" w:rsidP="005F077B">
            <w:pPr>
              <w:spacing w:before="0" w:after="0"/>
              <w:jc w:val="center"/>
              <w:rPr>
                <w:i/>
                <w:iCs/>
                <w:sz w:val="12"/>
                <w:szCs w:val="12"/>
              </w:rPr>
            </w:pPr>
            <w:r w:rsidRPr="00AA3811">
              <w:rPr>
                <w:i/>
                <w:iCs/>
                <w:sz w:val="12"/>
                <w:szCs w:val="12"/>
              </w:rPr>
              <w:t xml:space="preserve">$ 18.211.109 </w:t>
            </w:r>
          </w:p>
        </w:tc>
        <w:tc>
          <w:tcPr>
            <w:tcW w:w="0" w:type="auto"/>
            <w:vAlign w:val="center"/>
          </w:tcPr>
          <w:p w14:paraId="468D1355" w14:textId="6F60E51B" w:rsidR="005F077B" w:rsidRPr="00AA3811" w:rsidRDefault="005F077B" w:rsidP="005F077B">
            <w:pPr>
              <w:spacing w:before="0" w:after="0"/>
              <w:jc w:val="center"/>
              <w:rPr>
                <w:i/>
                <w:iCs/>
                <w:sz w:val="12"/>
                <w:szCs w:val="12"/>
              </w:rPr>
            </w:pPr>
            <w:r w:rsidRPr="00AA3811">
              <w:rPr>
                <w:i/>
                <w:iCs/>
                <w:sz w:val="12"/>
                <w:szCs w:val="12"/>
              </w:rPr>
              <w:t xml:space="preserve">$ 4.552.777 </w:t>
            </w:r>
          </w:p>
        </w:tc>
        <w:tc>
          <w:tcPr>
            <w:tcW w:w="0" w:type="auto"/>
            <w:vAlign w:val="center"/>
          </w:tcPr>
          <w:p w14:paraId="2D2B8E21" w14:textId="73423152" w:rsidR="005F077B" w:rsidRPr="00AA3811" w:rsidRDefault="005F077B" w:rsidP="005F077B">
            <w:pPr>
              <w:spacing w:before="0" w:after="0"/>
              <w:jc w:val="center"/>
              <w:rPr>
                <w:i/>
                <w:iCs/>
                <w:sz w:val="12"/>
                <w:szCs w:val="12"/>
              </w:rPr>
            </w:pPr>
            <w:r w:rsidRPr="00AA3811">
              <w:rPr>
                <w:i/>
                <w:iCs/>
                <w:sz w:val="12"/>
                <w:szCs w:val="12"/>
              </w:rPr>
              <w:t xml:space="preserve">$ 6.556.877 </w:t>
            </w:r>
          </w:p>
        </w:tc>
        <w:tc>
          <w:tcPr>
            <w:tcW w:w="0" w:type="auto"/>
            <w:vAlign w:val="center"/>
          </w:tcPr>
          <w:p w14:paraId="7AF85131" w14:textId="4D6B0203" w:rsidR="005F077B" w:rsidRPr="00AA3811" w:rsidRDefault="005F077B" w:rsidP="005F077B">
            <w:pPr>
              <w:spacing w:before="0" w:after="0"/>
              <w:jc w:val="center"/>
              <w:rPr>
                <w:i/>
                <w:iCs/>
                <w:sz w:val="12"/>
                <w:szCs w:val="12"/>
              </w:rPr>
            </w:pPr>
            <w:r w:rsidRPr="00AA3811">
              <w:rPr>
                <w:i/>
                <w:iCs/>
                <w:sz w:val="12"/>
                <w:szCs w:val="12"/>
              </w:rPr>
              <w:t xml:space="preserve">$ 484.352.589 </w:t>
            </w:r>
          </w:p>
        </w:tc>
      </w:tr>
    </w:tbl>
    <w:p w14:paraId="3AC73E34" w14:textId="05F76BD2" w:rsidR="005F077B" w:rsidRPr="0040652E" w:rsidRDefault="00363796" w:rsidP="0040652E">
      <w:pPr>
        <w:spacing w:before="60" w:after="0"/>
        <w:jc w:val="center"/>
        <w:rPr>
          <w:i/>
          <w:iCs/>
          <w:sz w:val="22"/>
          <w:szCs w:val="22"/>
          <w:lang w:val="es-CO"/>
        </w:rPr>
      </w:pPr>
      <w:r w:rsidRPr="0040652E">
        <w:rPr>
          <w:i/>
          <w:iCs/>
          <w:sz w:val="22"/>
          <w:szCs w:val="22"/>
          <w:lang w:val="es-CO"/>
        </w:rPr>
        <w:t>Tabla 12. Monto UC Especial Protección Diferencial de Barra N2.</w:t>
      </w:r>
      <w:r w:rsidR="003F4F1A">
        <w:rPr>
          <w:i/>
          <w:iCs/>
          <w:sz w:val="22"/>
          <w:szCs w:val="22"/>
          <w:lang w:val="es-CO"/>
        </w:rPr>
        <w:t>”</w:t>
      </w:r>
    </w:p>
    <w:p w14:paraId="7550DF17" w14:textId="77777777" w:rsidR="00AA3811" w:rsidRPr="00B42314" w:rsidRDefault="00AA3811" w:rsidP="00AA3811">
      <w:pPr>
        <w:spacing w:before="240" w:after="0"/>
        <w:rPr>
          <w:b/>
          <w:bCs/>
          <w:lang w:val="es-CO"/>
        </w:rPr>
      </w:pPr>
      <w:r>
        <w:rPr>
          <w:b/>
          <w:bCs/>
          <w:lang w:val="es-CO"/>
        </w:rPr>
        <w:t>Análisis de la Comisión</w:t>
      </w:r>
    </w:p>
    <w:p w14:paraId="58E403E3" w14:textId="4B63E4F0" w:rsidR="00BC3527" w:rsidRDefault="00870648" w:rsidP="005F5B71">
      <w:pPr>
        <w:spacing w:before="240" w:after="0"/>
        <w:rPr>
          <w:lang w:val="es-CO"/>
        </w:rPr>
      </w:pPr>
      <w:r>
        <w:rPr>
          <w:lang w:val="es-CO"/>
        </w:rPr>
        <w:t>El OR solicita la creación de una UC especial</w:t>
      </w:r>
      <w:r w:rsidR="00690C28">
        <w:rPr>
          <w:lang w:val="es-CO"/>
        </w:rPr>
        <w:t xml:space="preserve"> de protección diferencia</w:t>
      </w:r>
      <w:r w:rsidR="00EF69AA">
        <w:rPr>
          <w:lang w:val="es-CO"/>
        </w:rPr>
        <w:t>l</w:t>
      </w:r>
      <w:r w:rsidR="00690C28">
        <w:rPr>
          <w:lang w:val="es-CO"/>
        </w:rPr>
        <w:t xml:space="preserve"> de barras en nivel de tensión 2.</w:t>
      </w:r>
    </w:p>
    <w:p w14:paraId="0B139E7B" w14:textId="42880073" w:rsidR="00580C4A" w:rsidRDefault="00A17835" w:rsidP="005F5B71">
      <w:pPr>
        <w:spacing w:before="240" w:after="0"/>
        <w:rPr>
          <w:lang w:val="es-CO"/>
        </w:rPr>
      </w:pPr>
      <w:r>
        <w:rPr>
          <w:lang w:val="es-CO"/>
        </w:rPr>
        <w:t>En</w:t>
      </w:r>
      <w:r w:rsidR="006056BC">
        <w:rPr>
          <w:lang w:val="es-CO"/>
        </w:rPr>
        <w:t xml:space="preserve"> el capítulo 14 de</w:t>
      </w:r>
      <w:r>
        <w:rPr>
          <w:lang w:val="es-CO"/>
        </w:rPr>
        <w:t xml:space="preserve"> la Resolución CREG 015 de</w:t>
      </w:r>
      <w:r w:rsidR="00503613">
        <w:rPr>
          <w:lang w:val="es-CO"/>
        </w:rPr>
        <w:t xml:space="preserve"> 2018, </w:t>
      </w:r>
      <w:r w:rsidR="00CD69FF">
        <w:rPr>
          <w:lang w:val="es-CO"/>
        </w:rPr>
        <w:t xml:space="preserve">se definen las siguientes unidades constructivas </w:t>
      </w:r>
      <w:r w:rsidR="00981832">
        <w:rPr>
          <w:lang w:val="es-CO"/>
        </w:rPr>
        <w:t>de protección diferencial:</w:t>
      </w:r>
    </w:p>
    <w:p w14:paraId="11067F6D" w14:textId="77777777" w:rsidR="00D412A1" w:rsidRDefault="00D412A1" w:rsidP="005F5B71">
      <w:pPr>
        <w:spacing w:before="240" w:after="0"/>
        <w:rPr>
          <w:lang w:val="es-CO"/>
        </w:rPr>
      </w:pPr>
    </w:p>
    <w:tbl>
      <w:tblPr>
        <w:tblStyle w:val="Tablaconcuadrcula"/>
        <w:tblW w:w="0" w:type="auto"/>
        <w:jc w:val="center"/>
        <w:tblLook w:val="04A0" w:firstRow="1" w:lastRow="0" w:firstColumn="1" w:lastColumn="0" w:noHBand="0" w:noVBand="1"/>
      </w:tblPr>
      <w:tblGrid>
        <w:gridCol w:w="677"/>
        <w:gridCol w:w="4464"/>
      </w:tblGrid>
      <w:tr w:rsidR="00580C4A" w14:paraId="3605FA36" w14:textId="77777777" w:rsidTr="00046533">
        <w:trPr>
          <w:jc w:val="center"/>
        </w:trPr>
        <w:tc>
          <w:tcPr>
            <w:tcW w:w="0" w:type="auto"/>
          </w:tcPr>
          <w:p w14:paraId="5E722B7E" w14:textId="77777777" w:rsidR="00580C4A" w:rsidRPr="005064DA" w:rsidRDefault="00580C4A" w:rsidP="00046533">
            <w:pPr>
              <w:spacing w:before="0" w:after="0"/>
              <w:jc w:val="center"/>
              <w:rPr>
                <w:i/>
                <w:iCs/>
                <w:sz w:val="18"/>
                <w:szCs w:val="18"/>
                <w:lang w:val="es-CO"/>
              </w:rPr>
            </w:pPr>
            <w:r w:rsidRPr="005064DA">
              <w:rPr>
                <w:i/>
                <w:iCs/>
                <w:sz w:val="18"/>
                <w:szCs w:val="18"/>
                <w:lang w:val="es-CO"/>
              </w:rPr>
              <w:t>UC</w:t>
            </w:r>
          </w:p>
        </w:tc>
        <w:tc>
          <w:tcPr>
            <w:tcW w:w="0" w:type="auto"/>
          </w:tcPr>
          <w:p w14:paraId="5CFB76B6" w14:textId="77777777" w:rsidR="00580C4A" w:rsidRPr="005064DA" w:rsidRDefault="00580C4A" w:rsidP="00046533">
            <w:pPr>
              <w:spacing w:before="0" w:after="0"/>
              <w:jc w:val="center"/>
              <w:rPr>
                <w:i/>
                <w:iCs/>
                <w:sz w:val="18"/>
                <w:szCs w:val="18"/>
                <w:lang w:val="es-CO"/>
              </w:rPr>
            </w:pPr>
            <w:r w:rsidRPr="005064DA">
              <w:rPr>
                <w:i/>
                <w:iCs/>
                <w:sz w:val="18"/>
                <w:szCs w:val="18"/>
                <w:lang w:val="es-CO"/>
              </w:rPr>
              <w:t>DESCRIPCIÓN</w:t>
            </w:r>
          </w:p>
        </w:tc>
      </w:tr>
      <w:tr w:rsidR="00580C4A" w14:paraId="3AB9EF3F" w14:textId="77777777" w:rsidTr="00046533">
        <w:trPr>
          <w:jc w:val="center"/>
        </w:trPr>
        <w:tc>
          <w:tcPr>
            <w:tcW w:w="0" w:type="auto"/>
          </w:tcPr>
          <w:p w14:paraId="1E5CB825" w14:textId="77777777" w:rsidR="00580C4A" w:rsidRPr="005064DA" w:rsidRDefault="00580C4A" w:rsidP="00046533">
            <w:pPr>
              <w:spacing w:before="0" w:after="0"/>
              <w:jc w:val="center"/>
              <w:rPr>
                <w:i/>
                <w:iCs/>
                <w:sz w:val="18"/>
                <w:szCs w:val="18"/>
                <w:lang w:val="es-CO"/>
              </w:rPr>
            </w:pPr>
            <w:r w:rsidRPr="005064DA">
              <w:rPr>
                <w:i/>
                <w:iCs/>
                <w:sz w:val="18"/>
                <w:szCs w:val="18"/>
                <w:lang w:val="es-CO"/>
              </w:rPr>
              <w:t>(…)</w:t>
            </w:r>
          </w:p>
        </w:tc>
        <w:tc>
          <w:tcPr>
            <w:tcW w:w="0" w:type="auto"/>
          </w:tcPr>
          <w:p w14:paraId="661124B4" w14:textId="77777777" w:rsidR="00580C4A" w:rsidRPr="005064DA" w:rsidRDefault="00580C4A" w:rsidP="00046533">
            <w:pPr>
              <w:spacing w:before="0" w:after="0"/>
              <w:jc w:val="center"/>
              <w:rPr>
                <w:i/>
                <w:iCs/>
                <w:sz w:val="18"/>
                <w:szCs w:val="18"/>
                <w:lang w:val="es-CO"/>
              </w:rPr>
            </w:pPr>
            <w:r w:rsidRPr="005064DA">
              <w:rPr>
                <w:i/>
                <w:iCs/>
                <w:sz w:val="18"/>
                <w:szCs w:val="18"/>
                <w:lang w:val="es-CO"/>
              </w:rPr>
              <w:t>(…)</w:t>
            </w:r>
          </w:p>
        </w:tc>
      </w:tr>
      <w:tr w:rsidR="00580C4A" w14:paraId="72FB5D72" w14:textId="77777777" w:rsidTr="00046533">
        <w:trPr>
          <w:jc w:val="center"/>
        </w:trPr>
        <w:tc>
          <w:tcPr>
            <w:tcW w:w="0" w:type="auto"/>
          </w:tcPr>
          <w:p w14:paraId="0A1C2645" w14:textId="2968ED6A" w:rsidR="00580C4A" w:rsidRPr="005064DA" w:rsidRDefault="00580C4A" w:rsidP="00046533">
            <w:pPr>
              <w:spacing w:before="0" w:after="0"/>
              <w:jc w:val="left"/>
              <w:rPr>
                <w:i/>
                <w:iCs/>
                <w:sz w:val="18"/>
                <w:szCs w:val="18"/>
                <w:lang w:val="es-CO"/>
              </w:rPr>
            </w:pPr>
            <w:r w:rsidRPr="00580C4A">
              <w:rPr>
                <w:i/>
                <w:iCs/>
                <w:sz w:val="18"/>
                <w:szCs w:val="18"/>
                <w:lang w:val="es-CO"/>
              </w:rPr>
              <w:t>N4P5</w:t>
            </w:r>
          </w:p>
        </w:tc>
        <w:tc>
          <w:tcPr>
            <w:tcW w:w="0" w:type="auto"/>
          </w:tcPr>
          <w:p w14:paraId="74F4EB7F" w14:textId="2BBCF7E4" w:rsidR="00580C4A" w:rsidRPr="005064DA" w:rsidRDefault="00580C4A" w:rsidP="00046533">
            <w:pPr>
              <w:spacing w:before="0" w:after="0"/>
              <w:jc w:val="left"/>
              <w:rPr>
                <w:i/>
                <w:iCs/>
                <w:sz w:val="18"/>
                <w:szCs w:val="18"/>
                <w:lang w:val="es-CO"/>
              </w:rPr>
            </w:pPr>
            <w:r w:rsidRPr="00580C4A">
              <w:rPr>
                <w:i/>
                <w:iCs/>
                <w:sz w:val="18"/>
                <w:szCs w:val="18"/>
                <w:lang w:val="es-CO"/>
              </w:rPr>
              <w:t>Protección Diferencial de Barras Tipo 1,2 - N4</w:t>
            </w:r>
            <w:r>
              <w:rPr>
                <w:i/>
                <w:iCs/>
                <w:sz w:val="18"/>
                <w:szCs w:val="18"/>
                <w:lang w:val="es-CO"/>
              </w:rPr>
              <w:t xml:space="preserve"> </w:t>
            </w:r>
            <w:r w:rsidRPr="005064DA">
              <w:rPr>
                <w:i/>
                <w:iCs/>
                <w:sz w:val="18"/>
                <w:szCs w:val="18"/>
                <w:lang w:val="es-CO"/>
              </w:rPr>
              <w:t>(…)</w:t>
            </w:r>
          </w:p>
        </w:tc>
      </w:tr>
      <w:tr w:rsidR="00580C4A" w14:paraId="7977274B" w14:textId="77777777" w:rsidTr="00046533">
        <w:trPr>
          <w:jc w:val="center"/>
        </w:trPr>
        <w:tc>
          <w:tcPr>
            <w:tcW w:w="0" w:type="auto"/>
          </w:tcPr>
          <w:p w14:paraId="303CD76D" w14:textId="77777777" w:rsidR="00580C4A" w:rsidRPr="005064DA" w:rsidRDefault="00580C4A" w:rsidP="00046533">
            <w:pPr>
              <w:spacing w:before="0" w:after="0"/>
              <w:jc w:val="left"/>
              <w:rPr>
                <w:i/>
                <w:iCs/>
                <w:sz w:val="18"/>
                <w:szCs w:val="18"/>
                <w:lang w:val="es-CO"/>
              </w:rPr>
            </w:pPr>
            <w:r w:rsidRPr="00306225">
              <w:rPr>
                <w:i/>
                <w:iCs/>
                <w:sz w:val="18"/>
                <w:szCs w:val="18"/>
                <w:lang w:val="es-CO"/>
              </w:rPr>
              <w:t>N4P6</w:t>
            </w:r>
          </w:p>
        </w:tc>
        <w:tc>
          <w:tcPr>
            <w:tcW w:w="0" w:type="auto"/>
          </w:tcPr>
          <w:p w14:paraId="29213190" w14:textId="75D2872E" w:rsidR="00580C4A" w:rsidRPr="005064DA" w:rsidRDefault="00580C4A" w:rsidP="00046533">
            <w:pPr>
              <w:spacing w:before="0" w:after="0"/>
              <w:jc w:val="left"/>
              <w:rPr>
                <w:i/>
                <w:iCs/>
                <w:sz w:val="18"/>
                <w:szCs w:val="18"/>
                <w:lang w:val="es-CO"/>
              </w:rPr>
            </w:pPr>
            <w:r w:rsidRPr="00306225">
              <w:rPr>
                <w:i/>
                <w:iCs/>
                <w:sz w:val="18"/>
                <w:szCs w:val="18"/>
                <w:lang w:val="es-CO"/>
              </w:rPr>
              <w:t>Protección Diferencial de Barras Tipo 3,4 -</w:t>
            </w:r>
            <w:r w:rsidR="00236479">
              <w:rPr>
                <w:i/>
                <w:iCs/>
                <w:sz w:val="18"/>
                <w:szCs w:val="18"/>
                <w:lang w:val="es-CO"/>
              </w:rPr>
              <w:t xml:space="preserve"> </w:t>
            </w:r>
            <w:r w:rsidRPr="00306225">
              <w:rPr>
                <w:i/>
                <w:iCs/>
                <w:sz w:val="18"/>
                <w:szCs w:val="18"/>
                <w:lang w:val="es-CO"/>
              </w:rPr>
              <w:t>N4</w:t>
            </w:r>
            <w:r>
              <w:rPr>
                <w:i/>
                <w:iCs/>
                <w:sz w:val="18"/>
                <w:szCs w:val="18"/>
                <w:lang w:val="es-CO"/>
              </w:rPr>
              <w:t xml:space="preserve"> </w:t>
            </w:r>
            <w:r w:rsidRPr="005064DA">
              <w:rPr>
                <w:i/>
                <w:iCs/>
                <w:sz w:val="18"/>
                <w:szCs w:val="18"/>
                <w:lang w:val="es-CO"/>
              </w:rPr>
              <w:t>(…)</w:t>
            </w:r>
          </w:p>
        </w:tc>
      </w:tr>
      <w:tr w:rsidR="00580C4A" w14:paraId="06E0B594" w14:textId="77777777" w:rsidTr="00046533">
        <w:trPr>
          <w:jc w:val="center"/>
        </w:trPr>
        <w:tc>
          <w:tcPr>
            <w:tcW w:w="0" w:type="auto"/>
          </w:tcPr>
          <w:p w14:paraId="6B2B5B1C" w14:textId="77777777" w:rsidR="00580C4A" w:rsidRPr="005064DA" w:rsidRDefault="00580C4A" w:rsidP="00046533">
            <w:pPr>
              <w:spacing w:before="0" w:after="0"/>
              <w:jc w:val="left"/>
              <w:rPr>
                <w:i/>
                <w:iCs/>
                <w:sz w:val="18"/>
                <w:szCs w:val="18"/>
                <w:lang w:val="es-CO"/>
              </w:rPr>
            </w:pPr>
            <w:r w:rsidRPr="00067F97">
              <w:rPr>
                <w:i/>
                <w:iCs/>
                <w:sz w:val="18"/>
                <w:szCs w:val="18"/>
                <w:lang w:val="es-CO"/>
              </w:rPr>
              <w:t>N3P5</w:t>
            </w:r>
          </w:p>
        </w:tc>
        <w:tc>
          <w:tcPr>
            <w:tcW w:w="0" w:type="auto"/>
          </w:tcPr>
          <w:p w14:paraId="79532C8A" w14:textId="0C3ECC85" w:rsidR="00580C4A" w:rsidRPr="005064DA" w:rsidRDefault="00580C4A" w:rsidP="00046533">
            <w:pPr>
              <w:spacing w:before="0" w:after="0"/>
              <w:jc w:val="left"/>
              <w:rPr>
                <w:i/>
                <w:iCs/>
                <w:sz w:val="18"/>
                <w:szCs w:val="18"/>
                <w:lang w:val="es-CO"/>
              </w:rPr>
            </w:pPr>
            <w:r w:rsidRPr="00067F97">
              <w:rPr>
                <w:i/>
                <w:iCs/>
                <w:sz w:val="18"/>
                <w:szCs w:val="18"/>
                <w:lang w:val="es-CO"/>
              </w:rPr>
              <w:t>Protección Diferencial de Barras Tipo 1,2 -</w:t>
            </w:r>
            <w:r w:rsidR="00236479">
              <w:rPr>
                <w:i/>
                <w:iCs/>
                <w:sz w:val="18"/>
                <w:szCs w:val="18"/>
                <w:lang w:val="es-CO"/>
              </w:rPr>
              <w:t xml:space="preserve"> </w:t>
            </w:r>
            <w:r w:rsidRPr="00067F97">
              <w:rPr>
                <w:i/>
                <w:iCs/>
                <w:sz w:val="18"/>
                <w:szCs w:val="18"/>
                <w:lang w:val="es-CO"/>
              </w:rPr>
              <w:t>N3</w:t>
            </w:r>
            <w:r>
              <w:rPr>
                <w:i/>
                <w:iCs/>
                <w:sz w:val="18"/>
                <w:szCs w:val="18"/>
                <w:lang w:val="es-CO"/>
              </w:rPr>
              <w:t xml:space="preserve"> </w:t>
            </w:r>
            <w:r w:rsidRPr="005064DA">
              <w:rPr>
                <w:i/>
                <w:iCs/>
                <w:sz w:val="18"/>
                <w:szCs w:val="18"/>
                <w:lang w:val="es-CO"/>
              </w:rPr>
              <w:t>(…)</w:t>
            </w:r>
          </w:p>
        </w:tc>
      </w:tr>
      <w:tr w:rsidR="00580C4A" w14:paraId="47832796" w14:textId="77777777" w:rsidTr="00046533">
        <w:trPr>
          <w:jc w:val="center"/>
        </w:trPr>
        <w:tc>
          <w:tcPr>
            <w:tcW w:w="0" w:type="auto"/>
          </w:tcPr>
          <w:p w14:paraId="75A2A396" w14:textId="77777777" w:rsidR="00580C4A" w:rsidRPr="005064DA" w:rsidRDefault="00580C4A" w:rsidP="00046533">
            <w:pPr>
              <w:spacing w:before="0" w:after="0"/>
              <w:jc w:val="left"/>
              <w:rPr>
                <w:i/>
                <w:iCs/>
                <w:sz w:val="18"/>
                <w:szCs w:val="18"/>
                <w:lang w:val="es-CO"/>
              </w:rPr>
            </w:pPr>
            <w:r w:rsidRPr="00067F97">
              <w:rPr>
                <w:i/>
                <w:iCs/>
                <w:sz w:val="18"/>
                <w:szCs w:val="18"/>
                <w:lang w:val="es-CO"/>
              </w:rPr>
              <w:t>N3P6</w:t>
            </w:r>
          </w:p>
        </w:tc>
        <w:tc>
          <w:tcPr>
            <w:tcW w:w="0" w:type="auto"/>
          </w:tcPr>
          <w:p w14:paraId="7B6AB3DD" w14:textId="77777777" w:rsidR="00580C4A" w:rsidRPr="005064DA" w:rsidRDefault="00580C4A" w:rsidP="00046533">
            <w:pPr>
              <w:spacing w:before="0" w:after="0"/>
              <w:jc w:val="left"/>
              <w:rPr>
                <w:i/>
                <w:iCs/>
                <w:sz w:val="18"/>
                <w:szCs w:val="18"/>
                <w:lang w:val="es-CO"/>
              </w:rPr>
            </w:pPr>
            <w:r w:rsidRPr="00067F97">
              <w:rPr>
                <w:i/>
                <w:iCs/>
                <w:sz w:val="18"/>
                <w:szCs w:val="18"/>
                <w:lang w:val="es-CO"/>
              </w:rPr>
              <w:t>Protección Diferencial de Barras Tipo 3 - N3</w:t>
            </w:r>
            <w:r>
              <w:rPr>
                <w:i/>
                <w:iCs/>
                <w:sz w:val="18"/>
                <w:szCs w:val="18"/>
                <w:lang w:val="es-CO"/>
              </w:rPr>
              <w:t xml:space="preserve"> </w:t>
            </w:r>
            <w:r w:rsidRPr="005064DA">
              <w:rPr>
                <w:i/>
                <w:iCs/>
                <w:sz w:val="18"/>
                <w:szCs w:val="18"/>
                <w:lang w:val="es-CO"/>
              </w:rPr>
              <w:t>(…)</w:t>
            </w:r>
          </w:p>
        </w:tc>
      </w:tr>
      <w:tr w:rsidR="00580C4A" w14:paraId="3DACCE9C" w14:textId="77777777" w:rsidTr="00046533">
        <w:trPr>
          <w:jc w:val="center"/>
        </w:trPr>
        <w:tc>
          <w:tcPr>
            <w:tcW w:w="0" w:type="auto"/>
          </w:tcPr>
          <w:p w14:paraId="0D927A8A" w14:textId="77777777" w:rsidR="00580C4A" w:rsidRPr="005064DA" w:rsidRDefault="00580C4A" w:rsidP="00046533">
            <w:pPr>
              <w:spacing w:before="0" w:after="0"/>
              <w:jc w:val="center"/>
              <w:rPr>
                <w:i/>
                <w:iCs/>
                <w:sz w:val="18"/>
                <w:szCs w:val="18"/>
                <w:lang w:val="es-CO"/>
              </w:rPr>
            </w:pPr>
            <w:r w:rsidRPr="005064DA">
              <w:rPr>
                <w:i/>
                <w:iCs/>
                <w:sz w:val="18"/>
                <w:szCs w:val="18"/>
                <w:lang w:val="es-CO"/>
              </w:rPr>
              <w:t>(…)</w:t>
            </w:r>
          </w:p>
        </w:tc>
        <w:tc>
          <w:tcPr>
            <w:tcW w:w="0" w:type="auto"/>
          </w:tcPr>
          <w:p w14:paraId="4773B9D4" w14:textId="77777777" w:rsidR="00580C4A" w:rsidRPr="005064DA" w:rsidRDefault="00580C4A" w:rsidP="00046533">
            <w:pPr>
              <w:spacing w:before="0" w:after="0"/>
              <w:jc w:val="center"/>
              <w:rPr>
                <w:i/>
                <w:iCs/>
                <w:sz w:val="18"/>
                <w:szCs w:val="18"/>
                <w:lang w:val="es-CO"/>
              </w:rPr>
            </w:pPr>
            <w:r w:rsidRPr="005064DA">
              <w:rPr>
                <w:i/>
                <w:iCs/>
                <w:sz w:val="18"/>
                <w:szCs w:val="18"/>
                <w:lang w:val="es-CO"/>
              </w:rPr>
              <w:t>(…)</w:t>
            </w:r>
          </w:p>
        </w:tc>
      </w:tr>
    </w:tbl>
    <w:p w14:paraId="3274FB7C" w14:textId="34F2FA48" w:rsidR="00580C4A" w:rsidRDefault="00F61473" w:rsidP="005F5B71">
      <w:pPr>
        <w:spacing w:before="240" w:after="0"/>
        <w:rPr>
          <w:lang w:val="es-CO"/>
        </w:rPr>
      </w:pPr>
      <w:r>
        <w:rPr>
          <w:lang w:val="es-CO"/>
        </w:rPr>
        <w:t xml:space="preserve">De lo anterior </w:t>
      </w:r>
      <w:r w:rsidR="00545A5D">
        <w:rPr>
          <w:lang w:val="es-CO"/>
        </w:rPr>
        <w:t>se tiene</w:t>
      </w:r>
      <w:r>
        <w:rPr>
          <w:lang w:val="es-CO"/>
        </w:rPr>
        <w:t xml:space="preserve"> que l</w:t>
      </w:r>
      <w:r w:rsidR="001A2F6B">
        <w:rPr>
          <w:lang w:val="es-CO"/>
        </w:rPr>
        <w:t>a Resolución CREG 015 de 2018</w:t>
      </w:r>
      <w:r w:rsidR="005532E0">
        <w:rPr>
          <w:lang w:val="es-CO"/>
        </w:rPr>
        <w:t xml:space="preserve"> no define </w:t>
      </w:r>
      <w:r w:rsidR="00B80621">
        <w:rPr>
          <w:lang w:val="es-CO"/>
        </w:rPr>
        <w:t>UC de protección diferencial de barras en nivel de tensión 2.</w:t>
      </w:r>
    </w:p>
    <w:p w14:paraId="5B86D3A4" w14:textId="4399C210" w:rsidR="00580C4A" w:rsidRDefault="007774A1" w:rsidP="00B506FD">
      <w:pPr>
        <w:spacing w:before="240" w:after="0"/>
        <w:rPr>
          <w:lang w:val="es-CO"/>
        </w:rPr>
      </w:pPr>
      <w:r>
        <w:rPr>
          <w:lang w:val="es-CO"/>
        </w:rPr>
        <w:t>El OR</w:t>
      </w:r>
      <w:r w:rsidR="001C407A">
        <w:rPr>
          <w:lang w:val="es-CO"/>
        </w:rPr>
        <w:t xml:space="preserve"> entrega</w:t>
      </w:r>
      <w:r w:rsidR="00174138">
        <w:rPr>
          <w:lang w:val="es-CO"/>
        </w:rPr>
        <w:t xml:space="preserve"> documento de justificación técnica con el</w:t>
      </w:r>
      <w:r w:rsidR="001C407A">
        <w:rPr>
          <w:lang w:val="es-CO"/>
        </w:rPr>
        <w:t xml:space="preserve"> estudio de coordinación de protecciones </w:t>
      </w:r>
      <w:r w:rsidR="00F34E06">
        <w:rPr>
          <w:lang w:val="es-CO"/>
        </w:rPr>
        <w:t xml:space="preserve">en la subestación </w:t>
      </w:r>
      <w:r w:rsidR="00085CB5">
        <w:rPr>
          <w:lang w:val="es-CO"/>
        </w:rPr>
        <w:t>Veinte de Julio</w:t>
      </w:r>
      <w:r w:rsidR="001A5EF5">
        <w:rPr>
          <w:lang w:val="es-CO"/>
        </w:rPr>
        <w:t>.</w:t>
      </w:r>
      <w:r w:rsidR="00A50952">
        <w:rPr>
          <w:lang w:val="es-CO"/>
        </w:rPr>
        <w:t xml:space="preserve"> En este estudio </w:t>
      </w:r>
      <w:r w:rsidR="00057CEE">
        <w:rPr>
          <w:lang w:val="es-CO"/>
        </w:rPr>
        <w:t>se valida</w:t>
      </w:r>
      <w:r w:rsidR="00256704">
        <w:rPr>
          <w:lang w:val="es-CO"/>
        </w:rPr>
        <w:t>n</w:t>
      </w:r>
      <w:r w:rsidR="00057CEE">
        <w:rPr>
          <w:lang w:val="es-CO"/>
        </w:rPr>
        <w:t xml:space="preserve"> y recomienda</w:t>
      </w:r>
      <w:r w:rsidR="00256704">
        <w:rPr>
          <w:lang w:val="es-CO"/>
        </w:rPr>
        <w:t>n</w:t>
      </w:r>
      <w:r w:rsidR="00057CEE">
        <w:rPr>
          <w:lang w:val="es-CO"/>
        </w:rPr>
        <w:t xml:space="preserve"> ajustes</w:t>
      </w:r>
      <w:r w:rsidR="00F86BEA">
        <w:rPr>
          <w:lang w:val="es-CO"/>
        </w:rPr>
        <w:t xml:space="preserve"> para las p</w:t>
      </w:r>
      <w:r w:rsidR="00057CEE">
        <w:rPr>
          <w:lang w:val="es-CO"/>
        </w:rPr>
        <w:t>rotecci</w:t>
      </w:r>
      <w:r w:rsidR="00F86BEA">
        <w:rPr>
          <w:lang w:val="es-CO"/>
        </w:rPr>
        <w:t>ones</w:t>
      </w:r>
      <w:r w:rsidR="00057CEE">
        <w:rPr>
          <w:lang w:val="es-CO"/>
        </w:rPr>
        <w:t xml:space="preserve"> de </w:t>
      </w:r>
      <w:r w:rsidR="007D685B">
        <w:rPr>
          <w:lang w:val="es-CO"/>
        </w:rPr>
        <w:t>sobrecorriente</w:t>
      </w:r>
      <w:r w:rsidR="00CE16BC">
        <w:rPr>
          <w:lang w:val="es-CO"/>
        </w:rPr>
        <w:t>, incluida la protección diferencial de barras N2</w:t>
      </w:r>
      <w:r w:rsidR="00872517">
        <w:rPr>
          <w:lang w:val="es-CO"/>
        </w:rPr>
        <w:t xml:space="preserve">. </w:t>
      </w:r>
    </w:p>
    <w:p w14:paraId="4E4D7C97" w14:textId="507C1A52" w:rsidR="0060513B" w:rsidRDefault="006843F3" w:rsidP="006843F3">
      <w:pPr>
        <w:spacing w:before="240" w:after="0"/>
        <w:rPr>
          <w:lang w:val="es-CO"/>
        </w:rPr>
      </w:pPr>
      <w:r>
        <w:rPr>
          <w:lang w:val="es-CO"/>
        </w:rPr>
        <w:lastRenderedPageBreak/>
        <w:t>De igual forma</w:t>
      </w:r>
      <w:r w:rsidR="00CA614F">
        <w:rPr>
          <w:lang w:val="es-CO"/>
        </w:rPr>
        <w:t xml:space="preserve">, </w:t>
      </w:r>
      <w:r w:rsidR="00E6631B">
        <w:rPr>
          <w:lang w:val="es-CO"/>
        </w:rPr>
        <w:t>el OR</w:t>
      </w:r>
      <w:r w:rsidR="00965EE3">
        <w:rPr>
          <w:lang w:val="es-CO"/>
        </w:rPr>
        <w:t xml:space="preserve"> </w:t>
      </w:r>
      <w:r w:rsidR="00D16EB4">
        <w:rPr>
          <w:lang w:val="es-CO"/>
        </w:rPr>
        <w:t xml:space="preserve">envía </w:t>
      </w:r>
      <w:r w:rsidR="005C0019">
        <w:rPr>
          <w:lang w:val="es-CO"/>
        </w:rPr>
        <w:t>información de</w:t>
      </w:r>
      <w:r w:rsidRPr="00AE06F7">
        <w:rPr>
          <w:lang w:val="es-CO"/>
        </w:rPr>
        <w:t xml:space="preserve">l costo detallado de </w:t>
      </w:r>
      <w:r>
        <w:rPr>
          <w:lang w:val="es-CO"/>
        </w:rPr>
        <w:t xml:space="preserve">los equipos de la UC solicitada </w:t>
      </w:r>
      <w:r w:rsidRPr="00AE06F7">
        <w:rPr>
          <w:lang w:val="es-CO"/>
        </w:rPr>
        <w:t>y los costos de instalación asociados</w:t>
      </w:r>
      <w:r>
        <w:rPr>
          <w:lang w:val="es-CO"/>
        </w:rPr>
        <w:t xml:space="preserve">, junto con los soportes correspondientes. </w:t>
      </w:r>
    </w:p>
    <w:p w14:paraId="53D1555C" w14:textId="59A1E18D" w:rsidR="00C951D5" w:rsidRDefault="00D0315E" w:rsidP="006843F3">
      <w:pPr>
        <w:spacing w:before="240" w:after="0"/>
        <w:rPr>
          <w:lang w:val="es-CO"/>
        </w:rPr>
      </w:pPr>
      <w:r>
        <w:rPr>
          <w:lang w:val="es-CO"/>
        </w:rPr>
        <w:t xml:space="preserve">No obstante, </w:t>
      </w:r>
      <w:r w:rsidR="004C7D0C">
        <w:rPr>
          <w:lang w:val="es-CO"/>
        </w:rPr>
        <w:t>con relación a</w:t>
      </w:r>
      <w:r>
        <w:rPr>
          <w:lang w:val="es-CO"/>
        </w:rPr>
        <w:t xml:space="preserve"> la valoración de la UC especial</w:t>
      </w:r>
      <w:r w:rsidR="008B1E84">
        <w:rPr>
          <w:lang w:val="es-CO"/>
        </w:rPr>
        <w:t>, u</w:t>
      </w:r>
      <w:r w:rsidR="00C951D5">
        <w:rPr>
          <w:lang w:val="es-CO"/>
        </w:rPr>
        <w:t>na vez revisados los valores solicitados y los valores reportados</w:t>
      </w:r>
      <w:r w:rsidR="00EC6B7F">
        <w:rPr>
          <w:lang w:val="es-CO"/>
        </w:rPr>
        <w:t xml:space="preserve"> en </w:t>
      </w:r>
      <w:r w:rsidR="00DC6DB4">
        <w:rPr>
          <w:lang w:val="es-CO"/>
        </w:rPr>
        <w:t>la documentación remitida del recurso</w:t>
      </w:r>
      <w:r w:rsidR="00C951D5">
        <w:rPr>
          <w:lang w:val="es-CO"/>
        </w:rPr>
        <w:t xml:space="preserve">, la Comisión encuentra que los valores reportados en los soportes corresponden a cifras de un contrato firmado en octubre de 2019. </w:t>
      </w:r>
      <w:r w:rsidR="00763B07">
        <w:rPr>
          <w:lang w:val="es-CO"/>
        </w:rPr>
        <w:t xml:space="preserve"> Esto incluye reporte de valor DDP, </w:t>
      </w:r>
      <w:r w:rsidR="00FC3D74">
        <w:rPr>
          <w:lang w:val="es-CO"/>
        </w:rPr>
        <w:t>diseño, montaje electromecánico y pruebas.</w:t>
      </w:r>
      <w:r w:rsidR="00086632">
        <w:rPr>
          <w:lang w:val="es-CO"/>
        </w:rPr>
        <w:t xml:space="preserve"> A partir de ellos el OR </w:t>
      </w:r>
      <w:r w:rsidR="00EF7EDC">
        <w:rPr>
          <w:lang w:val="es-CO"/>
        </w:rPr>
        <w:t>presenta</w:t>
      </w:r>
      <w:r w:rsidR="008D7C8F">
        <w:rPr>
          <w:lang w:val="es-CO"/>
        </w:rPr>
        <w:t xml:space="preserve"> el costo de la UC, desagregado por</w:t>
      </w:r>
      <w:r w:rsidR="00EF7EDC">
        <w:rPr>
          <w:lang w:val="es-CO"/>
        </w:rPr>
        <w:t xml:space="preserve"> DDP</w:t>
      </w:r>
      <w:r w:rsidR="00B36312">
        <w:rPr>
          <w:lang w:val="es-CO"/>
        </w:rPr>
        <w:t xml:space="preserve">, montaje, </w:t>
      </w:r>
      <w:r w:rsidR="008D7C8F">
        <w:rPr>
          <w:lang w:val="es-CO"/>
        </w:rPr>
        <w:t>ingeniería, interventoría, administración ejecución y costos financieros.</w:t>
      </w:r>
      <w:r w:rsidR="00B36312">
        <w:rPr>
          <w:lang w:val="es-CO"/>
        </w:rPr>
        <w:t xml:space="preserve"> </w:t>
      </w:r>
      <w:r w:rsidR="00233964">
        <w:rPr>
          <w:lang w:val="es-CO"/>
        </w:rPr>
        <w:t xml:space="preserve">  </w:t>
      </w:r>
      <w:r w:rsidR="00086632">
        <w:rPr>
          <w:lang w:val="es-CO"/>
        </w:rPr>
        <w:t xml:space="preserve"> </w:t>
      </w:r>
    </w:p>
    <w:p w14:paraId="6A20B115" w14:textId="47936255" w:rsidR="004C0E22" w:rsidRDefault="00B9574E" w:rsidP="006843F3">
      <w:pPr>
        <w:spacing w:before="240" w:after="0"/>
        <w:rPr>
          <w:lang w:val="es-CO"/>
        </w:rPr>
      </w:pPr>
      <w:r>
        <w:rPr>
          <w:lang w:val="es-CO"/>
        </w:rPr>
        <w:t xml:space="preserve">Por su parte, el </w:t>
      </w:r>
      <w:r w:rsidR="000B7FED">
        <w:rPr>
          <w:lang w:val="es-CO"/>
        </w:rPr>
        <w:t xml:space="preserve">archivo </w:t>
      </w:r>
      <w:r w:rsidR="00D13C58">
        <w:rPr>
          <w:lang w:val="es-CO"/>
        </w:rPr>
        <w:t>“</w:t>
      </w:r>
      <w:r w:rsidR="00D13C58" w:rsidRPr="000B7FED">
        <w:rPr>
          <w:i/>
          <w:iCs/>
          <w:lang w:val="es-CO"/>
        </w:rPr>
        <w:t>RES.015-18 UC R015_2018.xlsm</w:t>
      </w:r>
      <w:r w:rsidR="00D13C58">
        <w:rPr>
          <w:lang w:val="es-CO"/>
        </w:rPr>
        <w:t>”</w:t>
      </w:r>
      <w:r w:rsidR="000B7FED">
        <w:rPr>
          <w:lang w:val="es-CO"/>
        </w:rPr>
        <w:t xml:space="preserve"> publicado con la Resolución CREG 015 de 2018, contiene</w:t>
      </w:r>
      <w:r w:rsidR="00ED7133">
        <w:rPr>
          <w:lang w:val="es-CO"/>
        </w:rPr>
        <w:t xml:space="preserve"> los costos </w:t>
      </w:r>
      <w:r w:rsidR="007A50BA">
        <w:rPr>
          <w:lang w:val="es-CO"/>
        </w:rPr>
        <w:t xml:space="preserve">eficientes de referencia </w:t>
      </w:r>
      <w:r w:rsidR="00ED7133">
        <w:rPr>
          <w:lang w:val="es-CO"/>
        </w:rPr>
        <w:t xml:space="preserve">considerados para la valoración de las UC de la mencionada resolución. </w:t>
      </w:r>
      <w:r w:rsidR="007F313C">
        <w:rPr>
          <w:lang w:val="es-CO"/>
        </w:rPr>
        <w:t>Para el caso de las protecciones diferenciales de barras,</w:t>
      </w:r>
      <w:r w:rsidR="004F6E0E">
        <w:rPr>
          <w:lang w:val="es-CO"/>
        </w:rPr>
        <w:t xml:space="preserve"> el archivo muestra que </w:t>
      </w:r>
      <w:r w:rsidR="004F3BE4">
        <w:rPr>
          <w:lang w:val="es-CO"/>
        </w:rPr>
        <w:t>su</w:t>
      </w:r>
      <w:r w:rsidR="004F6E0E">
        <w:rPr>
          <w:lang w:val="es-CO"/>
        </w:rPr>
        <w:t xml:space="preserve"> valor está compuesto por </w:t>
      </w:r>
      <w:r w:rsidR="004C1DEA">
        <w:rPr>
          <w:lang w:val="es-CO"/>
        </w:rPr>
        <w:t xml:space="preserve">el </w:t>
      </w:r>
      <w:r w:rsidR="004F6E0E">
        <w:rPr>
          <w:lang w:val="es-CO"/>
        </w:rPr>
        <w:t>DDP,</w:t>
      </w:r>
      <w:r w:rsidR="004F3BE4">
        <w:rPr>
          <w:lang w:val="es-CO"/>
        </w:rPr>
        <w:t xml:space="preserve"> </w:t>
      </w:r>
      <w:r w:rsidR="004C1DEA">
        <w:rPr>
          <w:lang w:val="es-CO"/>
        </w:rPr>
        <w:t xml:space="preserve">montaje, </w:t>
      </w:r>
      <w:r w:rsidR="0040174E">
        <w:rPr>
          <w:lang w:val="es-CO"/>
        </w:rPr>
        <w:t>ingeniería, interventoría, administración ejecución y costos financieros.</w:t>
      </w:r>
      <w:r w:rsidR="004F6E0E">
        <w:rPr>
          <w:lang w:val="es-CO"/>
        </w:rPr>
        <w:t xml:space="preserve"> </w:t>
      </w:r>
    </w:p>
    <w:p w14:paraId="32F8B6A4" w14:textId="26674178" w:rsidR="00CC1A2C" w:rsidRDefault="00050158" w:rsidP="00CC1A2C">
      <w:pPr>
        <w:spacing w:before="240" w:after="0"/>
        <w:rPr>
          <w:lang w:val="es-CO"/>
        </w:rPr>
      </w:pPr>
      <w:r w:rsidRPr="00050158">
        <w:rPr>
          <w:lang w:val="es-CO"/>
        </w:rPr>
        <w:t>Teniendo en cuenta la información disponible sobre costos</w:t>
      </w:r>
      <w:r w:rsidR="007110CE">
        <w:rPr>
          <w:lang w:val="es-CO"/>
        </w:rPr>
        <w:t xml:space="preserve"> asociados a una UC de protección diferencial de barras</w:t>
      </w:r>
      <w:r w:rsidRPr="00050158">
        <w:rPr>
          <w:lang w:val="es-CO"/>
        </w:rPr>
        <w:t xml:space="preserve">, la </w:t>
      </w:r>
      <w:r w:rsidR="0066051A">
        <w:rPr>
          <w:lang w:val="es-CO"/>
        </w:rPr>
        <w:t>C</w:t>
      </w:r>
      <w:r w:rsidRPr="00050158">
        <w:rPr>
          <w:lang w:val="es-CO"/>
        </w:rPr>
        <w:t xml:space="preserve">omisión </w:t>
      </w:r>
      <w:r w:rsidR="006F02E6">
        <w:rPr>
          <w:lang w:val="es-CO"/>
        </w:rPr>
        <w:t>calcula</w:t>
      </w:r>
      <w:r w:rsidRPr="00050158">
        <w:rPr>
          <w:lang w:val="es-CO"/>
        </w:rPr>
        <w:t xml:space="preserve"> el valor reconocido de la UC especial </w:t>
      </w:r>
      <w:r w:rsidR="00EF335B">
        <w:rPr>
          <w:lang w:val="es-CO"/>
        </w:rPr>
        <w:t xml:space="preserve">a partir </w:t>
      </w:r>
      <w:r w:rsidRPr="00050158">
        <w:rPr>
          <w:lang w:val="es-CO"/>
        </w:rPr>
        <w:t>de lo establecido en el archivo "</w:t>
      </w:r>
      <w:r w:rsidRPr="0040652E">
        <w:rPr>
          <w:i/>
          <w:iCs/>
          <w:lang w:val="es-CO"/>
        </w:rPr>
        <w:t>RES.015-18 UC R015_2018.xlsm</w:t>
      </w:r>
      <w:r w:rsidRPr="00050158">
        <w:rPr>
          <w:lang w:val="es-CO"/>
        </w:rPr>
        <w:t>" para la UC N3P6</w:t>
      </w:r>
      <w:r w:rsidR="0066051A">
        <w:rPr>
          <w:lang w:val="es-CO"/>
        </w:rPr>
        <w:t xml:space="preserve">, </w:t>
      </w:r>
      <w:r w:rsidR="00CC1A2C">
        <w:rPr>
          <w:lang w:val="es-CO"/>
        </w:rPr>
        <w:t>más</w:t>
      </w:r>
      <w:r w:rsidR="0066051A">
        <w:rPr>
          <w:lang w:val="es-CO"/>
        </w:rPr>
        <w:t xml:space="preserve"> </w:t>
      </w:r>
      <w:r w:rsidR="00CC1A2C">
        <w:rPr>
          <w:lang w:val="es-CO"/>
        </w:rPr>
        <w:t xml:space="preserve">el valor DDP reportado por el OR llevado a pesos de diciembre de 2017, utilizando para tal fin </w:t>
      </w:r>
      <w:r w:rsidR="005E3BC7">
        <w:rPr>
          <w:lang w:val="es-CO"/>
        </w:rPr>
        <w:t>el</w:t>
      </w:r>
      <w:r w:rsidR="00CC1A2C">
        <w:rPr>
          <w:lang w:val="es-CO"/>
        </w:rPr>
        <w:t xml:space="preserve"> IPP de octubre de 2019 y </w:t>
      </w:r>
      <w:r w:rsidR="00235088">
        <w:rPr>
          <w:lang w:val="es-CO"/>
        </w:rPr>
        <w:t xml:space="preserve">el </w:t>
      </w:r>
      <w:r w:rsidR="00CC1A2C">
        <w:rPr>
          <w:lang w:val="es-CO"/>
        </w:rPr>
        <w:t>de diciembre de 2017.</w:t>
      </w:r>
    </w:p>
    <w:p w14:paraId="53FBFF15" w14:textId="62475BBA" w:rsidR="00670895" w:rsidRDefault="0025192F" w:rsidP="0040652E">
      <w:pPr>
        <w:spacing w:before="240" w:after="240"/>
        <w:rPr>
          <w:lang w:val="es-CO"/>
        </w:rPr>
      </w:pPr>
      <w:r>
        <w:rPr>
          <w:lang w:val="es-CO"/>
        </w:rPr>
        <w:t>Por lo anterior, la CREG encuentra procedente la creación de la UC especial de protección diferencial de barras en nivel de tensión 2</w:t>
      </w:r>
      <w:r w:rsidR="005F4573">
        <w:rPr>
          <w:lang w:val="es-CO"/>
        </w:rPr>
        <w:t xml:space="preserve">, </w:t>
      </w:r>
      <w:r w:rsidR="008D180C">
        <w:rPr>
          <w:lang w:val="es-CO"/>
        </w:rPr>
        <w:t>con la siguiente información</w:t>
      </w:r>
      <w:r w:rsidR="005F4573">
        <w:rPr>
          <w:lang w:val="es-CO"/>
        </w:rPr>
        <w:t>:</w:t>
      </w:r>
    </w:p>
    <w:tbl>
      <w:tblPr>
        <w:tblStyle w:val="Tablaconcuadrcula"/>
        <w:tblW w:w="5154" w:type="pct"/>
        <w:jc w:val="center"/>
        <w:tblLayout w:type="fixed"/>
        <w:tblLook w:val="04A0" w:firstRow="1" w:lastRow="0" w:firstColumn="1" w:lastColumn="0" w:noHBand="0" w:noVBand="1"/>
      </w:tblPr>
      <w:tblGrid>
        <w:gridCol w:w="1130"/>
        <w:gridCol w:w="993"/>
        <w:gridCol w:w="992"/>
        <w:gridCol w:w="850"/>
        <w:gridCol w:w="992"/>
        <w:gridCol w:w="1133"/>
        <w:gridCol w:w="1276"/>
        <w:gridCol w:w="992"/>
        <w:gridCol w:w="1276"/>
      </w:tblGrid>
      <w:tr w:rsidR="00130C46" w:rsidRPr="001D2CF4" w14:paraId="43F10583" w14:textId="77777777" w:rsidTr="0040652E">
        <w:trPr>
          <w:trHeight w:val="288"/>
          <w:jc w:val="center"/>
        </w:trPr>
        <w:tc>
          <w:tcPr>
            <w:tcW w:w="586" w:type="pct"/>
            <w:noWrap/>
            <w:vAlign w:val="center"/>
            <w:hideMark/>
          </w:tcPr>
          <w:p w14:paraId="2869804E" w14:textId="77777777" w:rsidR="00F3091D" w:rsidRPr="00F31FC1" w:rsidRDefault="00F3091D" w:rsidP="00130C46">
            <w:pPr>
              <w:spacing w:before="0" w:after="0"/>
              <w:jc w:val="center"/>
              <w:rPr>
                <w:rFonts w:cs="Calibri"/>
                <w:b/>
                <w:bCs/>
                <w:color w:val="000000"/>
                <w:sz w:val="12"/>
                <w:szCs w:val="12"/>
                <w:lang w:val="es-CO" w:eastAsia="es-CO"/>
              </w:rPr>
            </w:pPr>
            <w:r w:rsidRPr="00F31FC1">
              <w:rPr>
                <w:rFonts w:cs="Calibri"/>
                <w:b/>
                <w:bCs/>
                <w:color w:val="000000"/>
                <w:sz w:val="12"/>
                <w:szCs w:val="12"/>
                <w:lang w:val="es-CO" w:eastAsia="es-CO"/>
              </w:rPr>
              <w:t>Unidad Constructiva</w:t>
            </w:r>
          </w:p>
        </w:tc>
        <w:tc>
          <w:tcPr>
            <w:tcW w:w="515" w:type="pct"/>
            <w:noWrap/>
            <w:vAlign w:val="center"/>
            <w:hideMark/>
          </w:tcPr>
          <w:p w14:paraId="726BF4E4" w14:textId="77777777" w:rsidR="00F3091D" w:rsidRPr="00F31FC1" w:rsidRDefault="00F3091D" w:rsidP="00130C46">
            <w:pPr>
              <w:spacing w:before="0" w:after="0"/>
              <w:jc w:val="center"/>
              <w:rPr>
                <w:rFonts w:cs="Calibri"/>
                <w:b/>
                <w:bCs/>
                <w:color w:val="000000"/>
                <w:sz w:val="12"/>
                <w:szCs w:val="12"/>
                <w:lang w:val="es-CO" w:eastAsia="es-CO"/>
              </w:rPr>
            </w:pPr>
            <w:r w:rsidRPr="00F31FC1">
              <w:rPr>
                <w:rFonts w:cs="Calibri"/>
                <w:b/>
                <w:bCs/>
                <w:color w:val="000000"/>
                <w:sz w:val="12"/>
                <w:szCs w:val="12"/>
                <w:lang w:val="es-CO" w:eastAsia="es-CO"/>
              </w:rPr>
              <w:t>Descripción</w:t>
            </w:r>
          </w:p>
        </w:tc>
        <w:tc>
          <w:tcPr>
            <w:tcW w:w="515" w:type="pct"/>
            <w:noWrap/>
            <w:vAlign w:val="center"/>
            <w:hideMark/>
          </w:tcPr>
          <w:p w14:paraId="329ED6C0" w14:textId="77777777" w:rsidR="00F3091D" w:rsidRPr="00F31FC1" w:rsidRDefault="00F3091D" w:rsidP="00130C46">
            <w:pPr>
              <w:spacing w:before="0" w:after="0"/>
              <w:jc w:val="center"/>
              <w:rPr>
                <w:rFonts w:cs="Calibri"/>
                <w:b/>
                <w:bCs/>
                <w:color w:val="000000"/>
                <w:sz w:val="12"/>
                <w:szCs w:val="12"/>
                <w:lang w:val="es-CO" w:eastAsia="es-CO"/>
              </w:rPr>
            </w:pPr>
            <w:r w:rsidRPr="00F31FC1">
              <w:rPr>
                <w:rFonts w:cs="Calibri"/>
                <w:b/>
                <w:bCs/>
                <w:color w:val="000000"/>
                <w:sz w:val="12"/>
                <w:szCs w:val="12"/>
                <w:lang w:val="es-CO" w:eastAsia="es-CO"/>
              </w:rPr>
              <w:t>DDP</w:t>
            </w:r>
          </w:p>
        </w:tc>
        <w:tc>
          <w:tcPr>
            <w:tcW w:w="441" w:type="pct"/>
            <w:noWrap/>
            <w:vAlign w:val="center"/>
            <w:hideMark/>
          </w:tcPr>
          <w:p w14:paraId="12A14A69" w14:textId="77777777" w:rsidR="00F3091D" w:rsidRPr="00F31FC1" w:rsidRDefault="00F3091D" w:rsidP="00130C46">
            <w:pPr>
              <w:spacing w:before="0" w:after="0"/>
              <w:jc w:val="center"/>
              <w:rPr>
                <w:rFonts w:cs="Calibri"/>
                <w:b/>
                <w:bCs/>
                <w:color w:val="000000"/>
                <w:sz w:val="12"/>
                <w:szCs w:val="12"/>
                <w:lang w:val="es-CO" w:eastAsia="es-CO"/>
              </w:rPr>
            </w:pPr>
            <w:r w:rsidRPr="00D32A11">
              <w:rPr>
                <w:rFonts w:cs="Calibri"/>
                <w:b/>
                <w:bCs/>
                <w:color w:val="000000"/>
                <w:sz w:val="12"/>
                <w:szCs w:val="12"/>
                <w:lang w:val="es-CO" w:eastAsia="es-CO"/>
              </w:rPr>
              <w:t>Montaje</w:t>
            </w:r>
          </w:p>
        </w:tc>
        <w:tc>
          <w:tcPr>
            <w:tcW w:w="515" w:type="pct"/>
            <w:noWrap/>
            <w:vAlign w:val="center"/>
            <w:hideMark/>
          </w:tcPr>
          <w:p w14:paraId="50B05CA2" w14:textId="77777777" w:rsidR="00F3091D" w:rsidRPr="00F31FC1" w:rsidRDefault="00F3091D" w:rsidP="00130C46">
            <w:pPr>
              <w:spacing w:before="0" w:after="0"/>
              <w:jc w:val="center"/>
              <w:rPr>
                <w:rFonts w:cs="Calibri"/>
                <w:b/>
                <w:bCs/>
                <w:color w:val="000000"/>
                <w:sz w:val="12"/>
                <w:szCs w:val="12"/>
                <w:lang w:val="es-CO" w:eastAsia="es-CO"/>
              </w:rPr>
            </w:pPr>
            <w:r w:rsidRPr="00D32A11">
              <w:rPr>
                <w:rFonts w:cs="Calibri"/>
                <w:b/>
                <w:bCs/>
                <w:color w:val="000000"/>
                <w:sz w:val="12"/>
                <w:szCs w:val="12"/>
                <w:lang w:val="es-CO" w:eastAsia="es-CO"/>
              </w:rPr>
              <w:t>Ingeniería</w:t>
            </w:r>
          </w:p>
        </w:tc>
        <w:tc>
          <w:tcPr>
            <w:tcW w:w="588" w:type="pct"/>
            <w:noWrap/>
            <w:vAlign w:val="center"/>
            <w:hideMark/>
          </w:tcPr>
          <w:p w14:paraId="18DE9F6D" w14:textId="77777777" w:rsidR="00F3091D" w:rsidRPr="00F31FC1" w:rsidRDefault="00F3091D" w:rsidP="00130C46">
            <w:pPr>
              <w:spacing w:before="0" w:after="0"/>
              <w:jc w:val="center"/>
              <w:rPr>
                <w:rFonts w:cs="Calibri"/>
                <w:b/>
                <w:bCs/>
                <w:color w:val="000000"/>
                <w:sz w:val="12"/>
                <w:szCs w:val="12"/>
                <w:lang w:val="es-CO" w:eastAsia="es-CO"/>
              </w:rPr>
            </w:pPr>
            <w:r w:rsidRPr="00D32A11">
              <w:rPr>
                <w:rFonts w:cs="Calibri"/>
                <w:b/>
                <w:bCs/>
                <w:color w:val="000000"/>
                <w:sz w:val="12"/>
                <w:szCs w:val="12"/>
                <w:lang w:val="es-CO" w:eastAsia="es-CO"/>
              </w:rPr>
              <w:t>Interventoría</w:t>
            </w:r>
          </w:p>
        </w:tc>
        <w:tc>
          <w:tcPr>
            <w:tcW w:w="662" w:type="pct"/>
            <w:vAlign w:val="center"/>
          </w:tcPr>
          <w:p w14:paraId="3F9BC2C6" w14:textId="61985F1E" w:rsidR="00F3091D" w:rsidRPr="00D32A11" w:rsidRDefault="00F3091D" w:rsidP="00130C46">
            <w:pPr>
              <w:spacing w:before="0" w:after="0"/>
              <w:jc w:val="center"/>
              <w:rPr>
                <w:rFonts w:cs="Calibri"/>
                <w:b/>
                <w:bCs/>
                <w:color w:val="000000"/>
                <w:sz w:val="12"/>
                <w:szCs w:val="12"/>
                <w:lang w:val="es-CO" w:eastAsia="es-CO"/>
              </w:rPr>
            </w:pPr>
            <w:r>
              <w:rPr>
                <w:rFonts w:cs="Calibri"/>
                <w:b/>
                <w:bCs/>
                <w:color w:val="000000"/>
                <w:sz w:val="12"/>
                <w:szCs w:val="12"/>
                <w:lang w:val="es-CO" w:eastAsia="es-CO"/>
              </w:rPr>
              <w:t>Administración ejecución</w:t>
            </w:r>
          </w:p>
        </w:tc>
        <w:tc>
          <w:tcPr>
            <w:tcW w:w="515" w:type="pct"/>
            <w:noWrap/>
            <w:vAlign w:val="center"/>
            <w:hideMark/>
          </w:tcPr>
          <w:p w14:paraId="2F96D3A4" w14:textId="238BA73E" w:rsidR="00F3091D" w:rsidRPr="00F31FC1" w:rsidRDefault="00F3091D" w:rsidP="00130C46">
            <w:pPr>
              <w:spacing w:before="0" w:after="0"/>
              <w:jc w:val="center"/>
              <w:rPr>
                <w:rFonts w:cs="Calibri"/>
                <w:b/>
                <w:bCs/>
                <w:color w:val="000000"/>
                <w:sz w:val="12"/>
                <w:szCs w:val="12"/>
                <w:lang w:val="es-CO" w:eastAsia="es-CO"/>
              </w:rPr>
            </w:pPr>
            <w:r w:rsidRPr="00D32A11">
              <w:rPr>
                <w:rFonts w:cs="Calibri"/>
                <w:b/>
                <w:bCs/>
                <w:color w:val="000000"/>
                <w:sz w:val="12"/>
                <w:szCs w:val="12"/>
                <w:lang w:val="es-CO" w:eastAsia="es-CO"/>
              </w:rPr>
              <w:t>Costos financieros</w:t>
            </w:r>
          </w:p>
        </w:tc>
        <w:tc>
          <w:tcPr>
            <w:tcW w:w="662" w:type="pct"/>
            <w:noWrap/>
            <w:vAlign w:val="center"/>
            <w:hideMark/>
          </w:tcPr>
          <w:p w14:paraId="48421983" w14:textId="77777777" w:rsidR="00F3091D" w:rsidRPr="00F31FC1" w:rsidRDefault="00F3091D" w:rsidP="00130C46">
            <w:pPr>
              <w:spacing w:before="0" w:after="0"/>
              <w:jc w:val="center"/>
              <w:rPr>
                <w:rFonts w:cs="Calibri"/>
                <w:b/>
                <w:bCs/>
                <w:color w:val="000000"/>
                <w:sz w:val="12"/>
                <w:szCs w:val="12"/>
                <w:lang w:val="es-CO" w:eastAsia="es-CO"/>
              </w:rPr>
            </w:pPr>
            <w:r w:rsidRPr="00F31FC1">
              <w:rPr>
                <w:rFonts w:cs="Calibri"/>
                <w:b/>
                <w:bCs/>
                <w:color w:val="000000"/>
                <w:sz w:val="12"/>
                <w:szCs w:val="12"/>
                <w:lang w:val="es-CO" w:eastAsia="es-CO"/>
              </w:rPr>
              <w:t>Valor Instalado (COP-dic 2017)</w:t>
            </w:r>
          </w:p>
        </w:tc>
      </w:tr>
      <w:tr w:rsidR="00130C46" w:rsidRPr="005F2D77" w14:paraId="3EB2271C" w14:textId="77777777" w:rsidTr="0040652E">
        <w:trPr>
          <w:trHeight w:val="288"/>
          <w:jc w:val="center"/>
        </w:trPr>
        <w:tc>
          <w:tcPr>
            <w:tcW w:w="586" w:type="pct"/>
            <w:noWrap/>
            <w:vAlign w:val="center"/>
            <w:hideMark/>
          </w:tcPr>
          <w:p w14:paraId="7852B473" w14:textId="7737C7DF" w:rsidR="00F3091D" w:rsidRPr="00F31FC1" w:rsidRDefault="00F3091D" w:rsidP="00130C46">
            <w:pPr>
              <w:spacing w:before="0" w:after="0"/>
              <w:jc w:val="center"/>
              <w:rPr>
                <w:rFonts w:cs="Segoe UI"/>
                <w:color w:val="000000"/>
                <w:sz w:val="12"/>
                <w:szCs w:val="12"/>
                <w:lang w:val="es-CO" w:eastAsia="es-CO"/>
              </w:rPr>
            </w:pPr>
            <w:r w:rsidRPr="001758AC">
              <w:rPr>
                <w:rFonts w:cs="Segoe UI"/>
                <w:color w:val="000000"/>
                <w:sz w:val="12"/>
                <w:szCs w:val="12"/>
                <w:lang w:val="es-CO" w:eastAsia="es-CO"/>
              </w:rPr>
              <w:t>N2P3</w:t>
            </w:r>
          </w:p>
        </w:tc>
        <w:tc>
          <w:tcPr>
            <w:tcW w:w="515" w:type="pct"/>
            <w:noWrap/>
            <w:vAlign w:val="center"/>
            <w:hideMark/>
          </w:tcPr>
          <w:p w14:paraId="17E1877B" w14:textId="77777777" w:rsidR="00F3091D" w:rsidRDefault="00F3091D" w:rsidP="00130C46">
            <w:pPr>
              <w:spacing w:before="0" w:after="0"/>
              <w:jc w:val="center"/>
              <w:rPr>
                <w:rFonts w:cs="Segoe UI"/>
                <w:color w:val="000000"/>
                <w:sz w:val="12"/>
                <w:szCs w:val="12"/>
                <w:lang w:val="es-CO" w:eastAsia="es-CO"/>
              </w:rPr>
            </w:pPr>
          </w:p>
          <w:p w14:paraId="42173C25" w14:textId="6B5AD955" w:rsidR="00F3091D" w:rsidRDefault="00F3091D" w:rsidP="00130C46">
            <w:pPr>
              <w:spacing w:before="0" w:after="0"/>
              <w:jc w:val="center"/>
              <w:rPr>
                <w:rFonts w:cs="Segoe UI"/>
                <w:color w:val="000000"/>
                <w:sz w:val="12"/>
                <w:szCs w:val="12"/>
                <w:lang w:val="es-CO" w:eastAsia="es-CO"/>
              </w:rPr>
            </w:pPr>
            <w:r w:rsidRPr="001758AC">
              <w:rPr>
                <w:rFonts w:cs="Segoe UI"/>
                <w:color w:val="000000"/>
                <w:sz w:val="12"/>
                <w:szCs w:val="12"/>
                <w:lang w:val="es-CO" w:eastAsia="es-CO"/>
              </w:rPr>
              <w:t>Protección Diferencial de Barras</w:t>
            </w:r>
          </w:p>
          <w:p w14:paraId="106B35B4" w14:textId="77777777" w:rsidR="00F3091D" w:rsidRDefault="00F3091D" w:rsidP="00130C46">
            <w:pPr>
              <w:spacing w:before="0" w:after="0"/>
              <w:jc w:val="center"/>
              <w:rPr>
                <w:rFonts w:cs="Segoe UI"/>
                <w:color w:val="000000"/>
                <w:sz w:val="12"/>
                <w:szCs w:val="12"/>
                <w:lang w:val="es-CO" w:eastAsia="es-CO"/>
              </w:rPr>
            </w:pPr>
          </w:p>
          <w:p w14:paraId="7BF80132" w14:textId="77777777" w:rsidR="00F3091D" w:rsidRPr="00F31FC1" w:rsidRDefault="00F3091D" w:rsidP="00130C46">
            <w:pPr>
              <w:spacing w:before="0" w:after="0"/>
              <w:jc w:val="center"/>
              <w:rPr>
                <w:rFonts w:cs="Segoe UI"/>
                <w:color w:val="000000"/>
                <w:sz w:val="12"/>
                <w:szCs w:val="12"/>
                <w:lang w:val="es-CO" w:eastAsia="es-CO"/>
              </w:rPr>
            </w:pPr>
          </w:p>
        </w:tc>
        <w:tc>
          <w:tcPr>
            <w:tcW w:w="515" w:type="pct"/>
            <w:noWrap/>
            <w:vAlign w:val="center"/>
            <w:hideMark/>
          </w:tcPr>
          <w:p w14:paraId="7452CDF4" w14:textId="6AFDE287" w:rsidR="00F3091D" w:rsidRPr="00F31FC1" w:rsidRDefault="00F3091D" w:rsidP="00130C46">
            <w:pPr>
              <w:spacing w:before="0" w:after="0"/>
              <w:jc w:val="center"/>
              <w:rPr>
                <w:rFonts w:cs="Segoe UI"/>
                <w:color w:val="000000"/>
                <w:sz w:val="12"/>
                <w:szCs w:val="12"/>
                <w:lang w:val="es-CO" w:eastAsia="es-CO"/>
              </w:rPr>
            </w:pPr>
            <w:r w:rsidRPr="00B86C8E">
              <w:rPr>
                <w:rFonts w:cs="Segoe UI"/>
                <w:color w:val="000000"/>
                <w:sz w:val="12"/>
                <w:szCs w:val="12"/>
                <w:lang w:val="es-CO" w:eastAsia="es-CO"/>
              </w:rPr>
              <w:t>331.180.704</w:t>
            </w:r>
          </w:p>
        </w:tc>
        <w:tc>
          <w:tcPr>
            <w:tcW w:w="441" w:type="pct"/>
            <w:noWrap/>
            <w:vAlign w:val="center"/>
            <w:hideMark/>
          </w:tcPr>
          <w:p w14:paraId="27B3EDF9" w14:textId="3834F71E" w:rsidR="00F3091D" w:rsidRPr="00F31FC1" w:rsidRDefault="00F3091D" w:rsidP="00130C46">
            <w:pPr>
              <w:spacing w:before="0" w:after="0"/>
              <w:jc w:val="center"/>
              <w:rPr>
                <w:rFonts w:cs="Segoe UI"/>
                <w:color w:val="000000"/>
                <w:sz w:val="12"/>
                <w:szCs w:val="12"/>
                <w:lang w:val="es-CO" w:eastAsia="es-CO"/>
              </w:rPr>
            </w:pPr>
            <w:r w:rsidRPr="00B86C8E">
              <w:rPr>
                <w:rFonts w:cs="Segoe UI"/>
                <w:color w:val="000000"/>
                <w:sz w:val="12"/>
                <w:szCs w:val="12"/>
                <w:lang w:val="es-CO" w:eastAsia="es-CO"/>
              </w:rPr>
              <w:t>1.150.797</w:t>
            </w:r>
          </w:p>
        </w:tc>
        <w:tc>
          <w:tcPr>
            <w:tcW w:w="515" w:type="pct"/>
            <w:noWrap/>
            <w:vAlign w:val="center"/>
            <w:hideMark/>
          </w:tcPr>
          <w:p w14:paraId="3CBD2553" w14:textId="52F69DB4" w:rsidR="00F3091D" w:rsidRPr="00F31FC1" w:rsidRDefault="00F3091D" w:rsidP="00130C46">
            <w:pPr>
              <w:spacing w:before="0" w:after="0"/>
              <w:jc w:val="center"/>
              <w:rPr>
                <w:rFonts w:cs="Segoe UI"/>
                <w:color w:val="000000"/>
                <w:sz w:val="12"/>
                <w:szCs w:val="12"/>
                <w:lang w:val="es-CO" w:eastAsia="es-CO"/>
              </w:rPr>
            </w:pPr>
            <w:r w:rsidRPr="00CE598C">
              <w:rPr>
                <w:rFonts w:cs="Segoe UI"/>
                <w:color w:val="000000"/>
                <w:sz w:val="12"/>
                <w:szCs w:val="12"/>
                <w:lang w:val="es-CO" w:eastAsia="es-CO"/>
              </w:rPr>
              <w:t>10.919.165</w:t>
            </w:r>
          </w:p>
        </w:tc>
        <w:tc>
          <w:tcPr>
            <w:tcW w:w="588" w:type="pct"/>
            <w:noWrap/>
            <w:vAlign w:val="center"/>
            <w:hideMark/>
          </w:tcPr>
          <w:p w14:paraId="3F4DC003" w14:textId="673ECBDF" w:rsidR="00F3091D" w:rsidRPr="00F31FC1" w:rsidRDefault="00F3091D" w:rsidP="00130C46">
            <w:pPr>
              <w:spacing w:before="0" w:after="0"/>
              <w:jc w:val="center"/>
              <w:rPr>
                <w:rFonts w:cs="Segoe UI"/>
                <w:color w:val="000000"/>
                <w:sz w:val="12"/>
                <w:szCs w:val="12"/>
                <w:lang w:val="es-CO" w:eastAsia="es-CO"/>
              </w:rPr>
            </w:pPr>
            <w:r w:rsidRPr="00F3091D">
              <w:rPr>
                <w:rFonts w:cs="Segoe UI"/>
                <w:color w:val="000000"/>
                <w:sz w:val="12"/>
                <w:szCs w:val="12"/>
                <w:lang w:val="es-CO" w:eastAsia="es-CO"/>
              </w:rPr>
              <w:t>5.459.582</w:t>
            </w:r>
          </w:p>
        </w:tc>
        <w:tc>
          <w:tcPr>
            <w:tcW w:w="662" w:type="pct"/>
            <w:vAlign w:val="center"/>
          </w:tcPr>
          <w:p w14:paraId="3789AEA2" w14:textId="61B9BBF7" w:rsidR="00F3091D" w:rsidRPr="00F31FC1" w:rsidRDefault="008756EE" w:rsidP="00130C46">
            <w:pPr>
              <w:spacing w:before="0" w:after="0"/>
              <w:jc w:val="center"/>
              <w:rPr>
                <w:rFonts w:cs="Segoe UI"/>
                <w:color w:val="000000"/>
                <w:sz w:val="12"/>
                <w:szCs w:val="12"/>
                <w:lang w:val="es-CO" w:eastAsia="es-CO"/>
              </w:rPr>
            </w:pPr>
            <w:r w:rsidRPr="008756EE">
              <w:rPr>
                <w:rFonts w:cs="Segoe UI"/>
                <w:color w:val="000000"/>
                <w:sz w:val="12"/>
                <w:szCs w:val="12"/>
                <w:lang w:val="es-CO" w:eastAsia="es-CO"/>
              </w:rPr>
              <w:t>$ 1.364.896</w:t>
            </w:r>
          </w:p>
        </w:tc>
        <w:tc>
          <w:tcPr>
            <w:tcW w:w="515" w:type="pct"/>
            <w:noWrap/>
            <w:vAlign w:val="center"/>
            <w:hideMark/>
          </w:tcPr>
          <w:p w14:paraId="24CC0B48" w14:textId="3B597374" w:rsidR="00F3091D" w:rsidRPr="00F31FC1" w:rsidRDefault="008756EE" w:rsidP="00130C46">
            <w:pPr>
              <w:spacing w:before="0" w:after="0"/>
              <w:jc w:val="center"/>
              <w:rPr>
                <w:rFonts w:cs="Segoe UI"/>
                <w:color w:val="000000"/>
                <w:sz w:val="12"/>
                <w:szCs w:val="12"/>
                <w:lang w:val="es-CO" w:eastAsia="es-CO"/>
              </w:rPr>
            </w:pPr>
            <w:r w:rsidRPr="008756EE">
              <w:rPr>
                <w:rFonts w:cs="Segoe UI"/>
                <w:color w:val="000000"/>
                <w:sz w:val="12"/>
                <w:szCs w:val="12"/>
                <w:lang w:val="es-CO" w:eastAsia="es-CO"/>
              </w:rPr>
              <w:t>4.657.244</w:t>
            </w:r>
          </w:p>
        </w:tc>
        <w:tc>
          <w:tcPr>
            <w:tcW w:w="662" w:type="pct"/>
            <w:noWrap/>
            <w:vAlign w:val="center"/>
            <w:hideMark/>
          </w:tcPr>
          <w:p w14:paraId="42D99AFA" w14:textId="36631A59" w:rsidR="00F3091D" w:rsidRPr="00F31FC1" w:rsidRDefault="00130C46" w:rsidP="00130C46">
            <w:pPr>
              <w:spacing w:before="0" w:after="0"/>
              <w:jc w:val="center"/>
              <w:rPr>
                <w:rFonts w:cs="Segoe UI"/>
                <w:color w:val="000000"/>
                <w:sz w:val="12"/>
                <w:szCs w:val="12"/>
                <w:lang w:val="es-CO" w:eastAsia="es-CO"/>
              </w:rPr>
            </w:pPr>
            <w:r w:rsidRPr="00130C46">
              <w:rPr>
                <w:rFonts w:cs="Segoe UI"/>
                <w:color w:val="000000"/>
                <w:sz w:val="12"/>
                <w:szCs w:val="12"/>
                <w:lang w:val="es-CO" w:eastAsia="es-CO"/>
              </w:rPr>
              <w:t>354.732.387</w:t>
            </w:r>
          </w:p>
        </w:tc>
      </w:tr>
    </w:tbl>
    <w:p w14:paraId="03A12CAE" w14:textId="51113C49" w:rsidR="002448D6" w:rsidRDefault="00FA37AC" w:rsidP="00DC5723">
      <w:pPr>
        <w:spacing w:before="240" w:after="0"/>
        <w:rPr>
          <w:lang w:val="es-CO"/>
        </w:rPr>
      </w:pPr>
      <w:r w:rsidRPr="00FA37AC">
        <w:rPr>
          <w:lang w:val="es-CO"/>
        </w:rPr>
        <w:t>Una vez finalizados los análisis de las solicitudes presentadas por el OR en el recurso de reposición, se llevaron a cabo los ajustes necesarios en los valores de las variables</w:t>
      </w:r>
      <w:r w:rsidR="002443AA">
        <w:rPr>
          <w:lang w:val="es-CO"/>
        </w:rPr>
        <w:t xml:space="preserve"> </w:t>
      </w:r>
      <w:r w:rsidRPr="00FA37AC">
        <w:rPr>
          <w:lang w:val="es-CO"/>
        </w:rPr>
        <w:t>aprobad</w:t>
      </w:r>
      <w:r w:rsidR="002443AA">
        <w:rPr>
          <w:lang w:val="es-CO"/>
        </w:rPr>
        <w:t>a</w:t>
      </w:r>
      <w:r w:rsidRPr="00FA37AC">
        <w:rPr>
          <w:lang w:val="es-CO"/>
        </w:rPr>
        <w:t>s a AIR-E S.A.S. E.S.P. a través de la Resolución CREG 501</w:t>
      </w:r>
      <w:r w:rsidR="00FE1006">
        <w:rPr>
          <w:lang w:val="es-CO"/>
        </w:rPr>
        <w:t xml:space="preserve"> </w:t>
      </w:r>
      <w:r w:rsidRPr="00FA37AC">
        <w:rPr>
          <w:lang w:val="es-CO"/>
        </w:rPr>
        <w:t>056 de 2022</w:t>
      </w:r>
      <w:r w:rsidR="00EA464D">
        <w:rPr>
          <w:lang w:val="es-CO"/>
        </w:rPr>
        <w:t xml:space="preserve"> y que guardan relación</w:t>
      </w:r>
      <w:r w:rsidR="00EA464D" w:rsidRPr="00FA37AC">
        <w:rPr>
          <w:lang w:val="es-CO"/>
        </w:rPr>
        <w:t xml:space="preserve"> con el</w:t>
      </w:r>
      <w:r w:rsidR="00EA464D">
        <w:rPr>
          <w:lang w:val="es-CO"/>
        </w:rPr>
        <w:t xml:space="preserve"> ajuste al</w:t>
      </w:r>
      <w:r w:rsidR="00EA464D" w:rsidRPr="00FA37AC">
        <w:rPr>
          <w:lang w:val="es-CO"/>
        </w:rPr>
        <w:t xml:space="preserve"> plan de inversiones</w:t>
      </w:r>
      <w:r w:rsidRPr="00FA37AC">
        <w:rPr>
          <w:lang w:val="es-CO"/>
        </w:rPr>
        <w:t>.</w:t>
      </w:r>
      <w:r w:rsidR="002448D6">
        <w:rPr>
          <w:lang w:val="es-CO"/>
        </w:rPr>
        <w:t xml:space="preserve"> </w:t>
      </w:r>
    </w:p>
    <w:p w14:paraId="09C8490E" w14:textId="6D0E84BA" w:rsidR="001334EA" w:rsidRPr="00FF0A56" w:rsidRDefault="002448D6" w:rsidP="00DC5723">
      <w:pPr>
        <w:spacing w:before="240" w:after="0"/>
        <w:rPr>
          <w:lang w:val="es-CO"/>
        </w:rPr>
      </w:pPr>
      <w:r w:rsidRPr="002448D6">
        <w:rPr>
          <w:lang w:val="es-CO"/>
        </w:rPr>
        <w:t xml:space="preserve">Como </w:t>
      </w:r>
      <w:r>
        <w:rPr>
          <w:lang w:val="es-CO"/>
        </w:rPr>
        <w:t>soporte</w:t>
      </w:r>
      <w:r w:rsidRPr="002448D6">
        <w:rPr>
          <w:lang w:val="es-CO"/>
        </w:rPr>
        <w:t xml:space="preserve"> de esta resolución, se proporciona un inventario detallado de activos que incluye las modificaciones realizadas. Este inventario se encuentra disponible en el archivo denominado "</w:t>
      </w:r>
      <w:r w:rsidRPr="00FF0A56">
        <w:rPr>
          <w:i/>
          <w:iCs/>
          <w:lang w:val="es-CO"/>
        </w:rPr>
        <w:t>Inventario reconocido INVA OR - Aire_22-26_Recurso.xlsx</w:t>
      </w:r>
      <w:r w:rsidRPr="002448D6">
        <w:rPr>
          <w:lang w:val="es-CO"/>
        </w:rPr>
        <w:t>".</w:t>
      </w:r>
    </w:p>
    <w:p w14:paraId="3ABC9B45" w14:textId="49C84308" w:rsidR="00E71D32" w:rsidRDefault="00405776" w:rsidP="00BA210E">
      <w:pPr>
        <w:spacing w:before="240" w:after="0"/>
      </w:pPr>
      <w:r>
        <w:t>L</w:t>
      </w:r>
      <w:r w:rsidR="00510CBD">
        <w:t xml:space="preserve">a Comisión de Regulación de Energía y Gas, en su </w:t>
      </w:r>
      <w:r w:rsidR="00510CBD" w:rsidRPr="00621A8D">
        <w:t xml:space="preserve">sesión </w:t>
      </w:r>
      <w:r w:rsidR="00B80BE8">
        <w:t>No.</w:t>
      </w:r>
      <w:r w:rsidR="00804FEF">
        <w:t xml:space="preserve"> </w:t>
      </w:r>
      <w:r w:rsidR="00BE6B8B">
        <w:t>1260</w:t>
      </w:r>
      <w:r w:rsidR="0038402B" w:rsidRPr="00621A8D">
        <w:t xml:space="preserve"> </w:t>
      </w:r>
      <w:r w:rsidR="00510CBD" w:rsidRPr="00621A8D">
        <w:t xml:space="preserve">del </w:t>
      </w:r>
      <w:r w:rsidR="003D1646">
        <w:t>28</w:t>
      </w:r>
      <w:r w:rsidR="00510CBD" w:rsidRPr="00621A8D">
        <w:t xml:space="preserve"> de </w:t>
      </w:r>
      <w:r w:rsidR="003D1646">
        <w:t>abril</w:t>
      </w:r>
      <w:r w:rsidR="00C93442">
        <w:t xml:space="preserve"> </w:t>
      </w:r>
      <w:r w:rsidR="00510CBD">
        <w:t>de 20</w:t>
      </w:r>
      <w:r w:rsidR="0041451E">
        <w:t>2</w:t>
      </w:r>
      <w:r w:rsidR="00563258">
        <w:t>3</w:t>
      </w:r>
      <w:r>
        <w:t>,</w:t>
      </w:r>
      <w:r w:rsidR="00510CBD">
        <w:t xml:space="preserve"> acordó expedir esta resolución</w:t>
      </w:r>
      <w:r>
        <w:t>.</w:t>
      </w:r>
    </w:p>
    <w:p w14:paraId="6E5B4B14" w14:textId="1F22B7F3" w:rsidR="00595129" w:rsidRPr="00495703" w:rsidRDefault="00595129" w:rsidP="00083EF8">
      <w:pPr>
        <w:tabs>
          <w:tab w:val="left" w:pos="1418"/>
        </w:tabs>
        <w:spacing w:before="360" w:after="240"/>
        <w:jc w:val="center"/>
        <w:rPr>
          <w:b/>
          <w:bCs/>
          <w:lang w:val="es-CO"/>
        </w:rPr>
      </w:pPr>
      <w:r w:rsidRPr="00495703">
        <w:rPr>
          <w:b/>
          <w:bCs/>
          <w:lang w:val="es-CO"/>
        </w:rPr>
        <w:t>RESUELVE:</w:t>
      </w:r>
    </w:p>
    <w:p w14:paraId="77EEB1C4" w14:textId="29D6EBA3" w:rsidR="00905316" w:rsidRPr="001B62B3" w:rsidRDefault="00FD43EF" w:rsidP="005A4A7D">
      <w:pPr>
        <w:numPr>
          <w:ilvl w:val="0"/>
          <w:numId w:val="8"/>
        </w:numPr>
        <w:tabs>
          <w:tab w:val="left" w:pos="1701"/>
          <w:tab w:val="num" w:pos="2150"/>
        </w:tabs>
        <w:spacing w:before="240" w:after="240"/>
        <w:rPr>
          <w:rFonts w:cs="Arial"/>
        </w:rPr>
      </w:pPr>
      <w:r w:rsidRPr="001B62B3">
        <w:rPr>
          <w:rFonts w:cs="Arial"/>
          <w:b/>
          <w:bCs/>
        </w:rPr>
        <w:t>Modificar el artículo 3 de la Resolución CREG 02</w:t>
      </w:r>
      <w:r w:rsidR="005D2786">
        <w:rPr>
          <w:rFonts w:cs="Arial"/>
          <w:b/>
          <w:bCs/>
        </w:rPr>
        <w:t>4</w:t>
      </w:r>
      <w:r w:rsidRPr="001B62B3">
        <w:rPr>
          <w:rFonts w:cs="Arial"/>
          <w:b/>
          <w:bCs/>
        </w:rPr>
        <w:t xml:space="preserve"> de 2021.</w:t>
      </w:r>
      <w:r w:rsidRPr="001B62B3">
        <w:rPr>
          <w:rFonts w:cs="Arial"/>
        </w:rPr>
        <w:t xml:space="preserve"> El artículo 3 de la Resolución CREG 02</w:t>
      </w:r>
      <w:r w:rsidR="007F61C0">
        <w:rPr>
          <w:rFonts w:cs="Arial"/>
        </w:rPr>
        <w:t>4</w:t>
      </w:r>
      <w:r w:rsidRPr="001B62B3">
        <w:rPr>
          <w:rFonts w:cs="Arial"/>
        </w:rPr>
        <w:t xml:space="preserve"> de 2021, modificado por el artículo 2 de </w:t>
      </w:r>
      <w:r w:rsidRPr="001B62B3">
        <w:rPr>
          <w:rFonts w:cs="Arial"/>
        </w:rPr>
        <w:lastRenderedPageBreak/>
        <w:t>la Resolución CREG 07</w:t>
      </w:r>
      <w:r w:rsidR="007F61C0">
        <w:rPr>
          <w:rFonts w:cs="Arial"/>
        </w:rPr>
        <w:t>8</w:t>
      </w:r>
      <w:r w:rsidRPr="001B62B3">
        <w:rPr>
          <w:rFonts w:cs="Arial"/>
        </w:rPr>
        <w:t xml:space="preserve"> de 2021</w:t>
      </w:r>
      <w:r w:rsidR="003C7D57">
        <w:rPr>
          <w:rFonts w:cs="Arial"/>
        </w:rPr>
        <w:t xml:space="preserve"> y el artículo </w:t>
      </w:r>
      <w:r w:rsidR="00655726">
        <w:rPr>
          <w:rFonts w:cs="Arial"/>
        </w:rPr>
        <w:t>1</w:t>
      </w:r>
      <w:r w:rsidR="003C7D57">
        <w:rPr>
          <w:rFonts w:cs="Arial"/>
        </w:rPr>
        <w:t xml:space="preserve"> de la </w:t>
      </w:r>
      <w:r w:rsidR="003C7D57" w:rsidRPr="009F2A1A">
        <w:rPr>
          <w:rFonts w:cs="Arial"/>
        </w:rPr>
        <w:t xml:space="preserve">Resolución CREG </w:t>
      </w:r>
      <w:r w:rsidR="003C7D57">
        <w:rPr>
          <w:rFonts w:cs="Arial"/>
        </w:rPr>
        <w:t>501 05</w:t>
      </w:r>
      <w:r w:rsidR="00655726">
        <w:rPr>
          <w:rFonts w:cs="Arial"/>
        </w:rPr>
        <w:t>6</w:t>
      </w:r>
      <w:r w:rsidR="003C7D57" w:rsidRPr="009F2A1A">
        <w:rPr>
          <w:rFonts w:cs="Arial"/>
        </w:rPr>
        <w:t xml:space="preserve"> de 202</w:t>
      </w:r>
      <w:r w:rsidR="003C7D57">
        <w:rPr>
          <w:rFonts w:cs="Arial"/>
        </w:rPr>
        <w:t>2</w:t>
      </w:r>
      <w:r w:rsidRPr="001B62B3">
        <w:rPr>
          <w:rFonts w:cs="Arial"/>
        </w:rPr>
        <w:t>, quedará así:</w:t>
      </w:r>
    </w:p>
    <w:p w14:paraId="42193B9C" w14:textId="77777777" w:rsidR="00000018" w:rsidRPr="00000018" w:rsidRDefault="00000018" w:rsidP="007E44F5">
      <w:pPr>
        <w:pStyle w:val="Prrafodelista"/>
        <w:numPr>
          <w:ilvl w:val="0"/>
          <w:numId w:val="0"/>
        </w:numPr>
        <w:ind w:left="708"/>
        <w:rPr>
          <w:i/>
          <w:iCs/>
          <w:sz w:val="22"/>
          <w:szCs w:val="22"/>
        </w:rPr>
      </w:pPr>
      <w:r w:rsidRPr="00000018">
        <w:rPr>
          <w:b/>
          <w:bCs/>
          <w:i/>
          <w:iCs/>
          <w:sz w:val="22"/>
          <w:szCs w:val="22"/>
        </w:rPr>
        <w:t>Artículo 3. Inversión aprobada en el plan de inversiones.</w:t>
      </w:r>
      <w:r w:rsidRPr="00000018">
        <w:rPr>
          <w:i/>
          <w:iCs/>
          <w:sz w:val="22"/>
          <w:szCs w:val="22"/>
        </w:rPr>
        <w:t xml:space="preserve"> El valor de las inversiones aprobadas en el plan de inversiones, INVA</w:t>
      </w:r>
      <w:r w:rsidRPr="00000018">
        <w:rPr>
          <w:i/>
          <w:iCs/>
          <w:sz w:val="22"/>
          <w:szCs w:val="22"/>
          <w:vertAlign w:val="subscript"/>
        </w:rPr>
        <w:t>j,n,l,t</w:t>
      </w:r>
      <w:r w:rsidRPr="00000018">
        <w:rPr>
          <w:i/>
          <w:iCs/>
          <w:sz w:val="22"/>
          <w:szCs w:val="22"/>
        </w:rPr>
        <w:t>, para cada nivel de tensión, es el siguiente:</w:t>
      </w:r>
    </w:p>
    <w:p w14:paraId="5D10AB75" w14:textId="7271AA3A" w:rsidR="00000018" w:rsidRPr="00226F3A" w:rsidRDefault="00000018" w:rsidP="00897DEA">
      <w:pPr>
        <w:pStyle w:val="Descripcin"/>
        <w:spacing w:before="120" w:after="120"/>
        <w:ind w:firstLine="708"/>
        <w:rPr>
          <w:i/>
          <w:iCs/>
          <w:sz w:val="20"/>
          <w:szCs w:val="18"/>
        </w:rPr>
      </w:pPr>
      <w:r w:rsidRPr="00226F3A">
        <w:rPr>
          <w:i/>
          <w:iCs/>
          <w:sz w:val="20"/>
          <w:szCs w:val="18"/>
        </w:rPr>
        <w:t>Tabla 2 Plan de inversiones del nivel de tensión 4, pesos de diciembre de 2017</w:t>
      </w:r>
    </w:p>
    <w:tbl>
      <w:tblPr>
        <w:tblW w:w="0" w:type="auto"/>
        <w:jc w:val="center"/>
        <w:tblCellMar>
          <w:left w:w="70" w:type="dxa"/>
          <w:right w:w="70" w:type="dxa"/>
        </w:tblCellMar>
        <w:tblLook w:val="04A0" w:firstRow="1" w:lastRow="0" w:firstColumn="1" w:lastColumn="0" w:noHBand="0" w:noVBand="1"/>
      </w:tblPr>
      <w:tblGrid>
        <w:gridCol w:w="966"/>
        <w:gridCol w:w="1221"/>
        <w:gridCol w:w="1135"/>
        <w:gridCol w:w="1135"/>
        <w:gridCol w:w="1221"/>
        <w:gridCol w:w="1135"/>
        <w:gridCol w:w="1288"/>
      </w:tblGrid>
      <w:tr w:rsidR="00000018" w:rsidRPr="008B112D" w14:paraId="56C7ED4B" w14:textId="77777777" w:rsidTr="007C271C">
        <w:trPr>
          <w:trHeight w:val="480"/>
          <w:jc w:val="center"/>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E94E6"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Categoría de activos 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FF31CE2"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j,4,l,1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A8086E"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j,4,l,2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5584764"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j,4,l,3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B7A298"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j,4,l,4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E55DD7"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j,4,l,5</w:t>
            </w:r>
          </w:p>
        </w:tc>
        <w:tc>
          <w:tcPr>
            <w:tcW w:w="1288" w:type="dxa"/>
            <w:tcBorders>
              <w:top w:val="single" w:sz="4" w:space="0" w:color="auto"/>
              <w:left w:val="nil"/>
              <w:bottom w:val="single" w:sz="4" w:space="0" w:color="auto"/>
              <w:right w:val="single" w:sz="4" w:space="0" w:color="auto"/>
            </w:tcBorders>
            <w:shd w:val="clear" w:color="auto" w:fill="auto"/>
            <w:noWrap/>
            <w:vAlign w:val="center"/>
            <w:hideMark/>
          </w:tcPr>
          <w:p w14:paraId="034DB290"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j,4,l,6</w:t>
            </w:r>
          </w:p>
        </w:tc>
      </w:tr>
      <w:tr w:rsidR="007C271C" w:rsidRPr="008B112D" w14:paraId="1F22D804"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4EE72BD1"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588CC0B" w14:textId="5607FFE9"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3C0870AD" w14:textId="39503321"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2AD77CE8" w14:textId="54C63DEC"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27DFA4E1" w14:textId="544264C5" w:rsidR="007C271C" w:rsidRPr="008B112D" w:rsidRDefault="007C271C" w:rsidP="007C271C">
            <w:pPr>
              <w:spacing w:before="0" w:after="0"/>
              <w:jc w:val="right"/>
              <w:rPr>
                <w:rFonts w:cs="Arial"/>
                <w:i/>
                <w:iCs/>
                <w:sz w:val="14"/>
                <w:szCs w:val="14"/>
              </w:rPr>
            </w:pPr>
            <w:r w:rsidRPr="008B112D">
              <w:rPr>
                <w:rFonts w:cs="Arial"/>
                <w:i/>
                <w:iCs/>
                <w:sz w:val="14"/>
                <w:szCs w:val="14"/>
              </w:rPr>
              <w:t>11.694.182.000</w:t>
            </w:r>
          </w:p>
        </w:tc>
        <w:tc>
          <w:tcPr>
            <w:tcW w:w="0" w:type="auto"/>
            <w:tcBorders>
              <w:top w:val="nil"/>
              <w:left w:val="nil"/>
              <w:bottom w:val="single" w:sz="4" w:space="0" w:color="auto"/>
              <w:right w:val="single" w:sz="4" w:space="0" w:color="auto"/>
            </w:tcBorders>
            <w:shd w:val="clear" w:color="auto" w:fill="auto"/>
            <w:noWrap/>
            <w:vAlign w:val="center"/>
          </w:tcPr>
          <w:p w14:paraId="49C501FC" w14:textId="1220B1D6"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1288" w:type="dxa"/>
            <w:tcBorders>
              <w:top w:val="nil"/>
              <w:left w:val="nil"/>
              <w:bottom w:val="single" w:sz="4" w:space="0" w:color="auto"/>
              <w:right w:val="single" w:sz="4" w:space="0" w:color="auto"/>
            </w:tcBorders>
            <w:shd w:val="clear" w:color="auto" w:fill="auto"/>
            <w:noWrap/>
            <w:vAlign w:val="center"/>
          </w:tcPr>
          <w:p w14:paraId="25EA0DDF" w14:textId="0B53112C" w:rsidR="007C271C" w:rsidRPr="008B112D" w:rsidRDefault="007C271C" w:rsidP="007C271C">
            <w:pPr>
              <w:spacing w:before="0" w:after="0"/>
              <w:jc w:val="right"/>
              <w:rPr>
                <w:rFonts w:cs="Arial"/>
                <w:i/>
                <w:iCs/>
                <w:sz w:val="14"/>
                <w:szCs w:val="14"/>
              </w:rPr>
            </w:pPr>
            <w:r w:rsidRPr="008B112D">
              <w:rPr>
                <w:rFonts w:cs="Arial"/>
                <w:i/>
                <w:iCs/>
                <w:sz w:val="14"/>
                <w:szCs w:val="14"/>
              </w:rPr>
              <w:t>0</w:t>
            </w:r>
          </w:p>
        </w:tc>
      </w:tr>
      <w:tr w:rsidR="007C271C" w:rsidRPr="008B112D" w14:paraId="20C50AB3"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16C5C72E"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C76EC41" w14:textId="77777777"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39524A76" w14:textId="0CC681D4"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24FF6A55" w14:textId="366F6860"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59F1412" w14:textId="6B03F3DA"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2D1E488" w14:textId="11AEEF41"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1288" w:type="dxa"/>
            <w:tcBorders>
              <w:top w:val="nil"/>
              <w:left w:val="nil"/>
              <w:bottom w:val="single" w:sz="4" w:space="0" w:color="auto"/>
              <w:right w:val="single" w:sz="4" w:space="0" w:color="auto"/>
            </w:tcBorders>
            <w:shd w:val="clear" w:color="auto" w:fill="auto"/>
            <w:noWrap/>
            <w:vAlign w:val="center"/>
          </w:tcPr>
          <w:p w14:paraId="7939281E" w14:textId="7F1D4A3B" w:rsidR="007C271C" w:rsidRPr="008B112D" w:rsidRDefault="007C271C" w:rsidP="007C271C">
            <w:pPr>
              <w:spacing w:before="0" w:after="0"/>
              <w:jc w:val="right"/>
              <w:rPr>
                <w:rFonts w:cs="Arial"/>
                <w:i/>
                <w:iCs/>
                <w:sz w:val="14"/>
                <w:szCs w:val="14"/>
              </w:rPr>
            </w:pPr>
            <w:r w:rsidRPr="008B112D">
              <w:rPr>
                <w:rFonts w:cs="Arial"/>
                <w:i/>
                <w:iCs/>
                <w:sz w:val="14"/>
                <w:szCs w:val="14"/>
              </w:rPr>
              <w:t>0</w:t>
            </w:r>
          </w:p>
        </w:tc>
      </w:tr>
      <w:tr w:rsidR="007C271C" w:rsidRPr="008B112D" w14:paraId="3D3A0B61"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42383BFC"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2620CEA" w14:textId="6F6C1B60" w:rsidR="007C271C" w:rsidRPr="008B112D" w:rsidRDefault="007C271C" w:rsidP="007C271C">
            <w:pPr>
              <w:spacing w:before="0" w:after="0"/>
              <w:jc w:val="right"/>
              <w:rPr>
                <w:rFonts w:cs="Arial"/>
                <w:i/>
                <w:iCs/>
                <w:sz w:val="14"/>
                <w:szCs w:val="14"/>
              </w:rPr>
            </w:pPr>
            <w:r w:rsidRPr="008B112D">
              <w:rPr>
                <w:rFonts w:cs="Arial"/>
                <w:i/>
                <w:iCs/>
                <w:sz w:val="14"/>
                <w:szCs w:val="14"/>
              </w:rPr>
              <w:t>1.269.808.656</w:t>
            </w:r>
          </w:p>
        </w:tc>
        <w:tc>
          <w:tcPr>
            <w:tcW w:w="0" w:type="auto"/>
            <w:tcBorders>
              <w:top w:val="nil"/>
              <w:left w:val="nil"/>
              <w:bottom w:val="single" w:sz="4" w:space="0" w:color="auto"/>
              <w:right w:val="single" w:sz="4" w:space="0" w:color="auto"/>
            </w:tcBorders>
            <w:shd w:val="clear" w:color="auto" w:fill="auto"/>
            <w:noWrap/>
            <w:vAlign w:val="center"/>
          </w:tcPr>
          <w:p w14:paraId="069622BC" w14:textId="21B5AD6D" w:rsidR="007C271C" w:rsidRPr="008B112D" w:rsidRDefault="007C271C" w:rsidP="007C271C">
            <w:pPr>
              <w:spacing w:before="0" w:after="0"/>
              <w:jc w:val="right"/>
              <w:rPr>
                <w:rFonts w:cs="Arial"/>
                <w:i/>
                <w:iCs/>
                <w:sz w:val="14"/>
                <w:szCs w:val="14"/>
              </w:rPr>
            </w:pPr>
            <w:r w:rsidRPr="008B112D">
              <w:rPr>
                <w:rFonts w:cs="Arial"/>
                <w:i/>
                <w:iCs/>
                <w:sz w:val="14"/>
                <w:szCs w:val="14"/>
              </w:rPr>
              <w:t>545.976.432</w:t>
            </w:r>
          </w:p>
        </w:tc>
        <w:tc>
          <w:tcPr>
            <w:tcW w:w="0" w:type="auto"/>
            <w:tcBorders>
              <w:top w:val="nil"/>
              <w:left w:val="nil"/>
              <w:bottom w:val="single" w:sz="4" w:space="0" w:color="auto"/>
              <w:right w:val="single" w:sz="4" w:space="0" w:color="auto"/>
            </w:tcBorders>
            <w:shd w:val="clear" w:color="auto" w:fill="auto"/>
            <w:noWrap/>
            <w:vAlign w:val="center"/>
          </w:tcPr>
          <w:p w14:paraId="48BF42D7" w14:textId="51CAE8F7"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6C7419F2" w14:textId="705838AC" w:rsidR="007C271C" w:rsidRPr="008B112D" w:rsidRDefault="007C271C" w:rsidP="007C271C">
            <w:pPr>
              <w:spacing w:before="0" w:after="0"/>
              <w:jc w:val="right"/>
              <w:rPr>
                <w:rFonts w:cs="Arial"/>
                <w:i/>
                <w:iCs/>
                <w:sz w:val="14"/>
                <w:szCs w:val="14"/>
              </w:rPr>
            </w:pPr>
            <w:r w:rsidRPr="008B112D">
              <w:rPr>
                <w:rFonts w:cs="Arial"/>
                <w:i/>
                <w:iCs/>
                <w:sz w:val="14"/>
                <w:szCs w:val="14"/>
              </w:rPr>
              <w:t>6.075.416.973</w:t>
            </w:r>
          </w:p>
        </w:tc>
        <w:tc>
          <w:tcPr>
            <w:tcW w:w="0" w:type="auto"/>
            <w:tcBorders>
              <w:top w:val="nil"/>
              <w:left w:val="nil"/>
              <w:bottom w:val="single" w:sz="4" w:space="0" w:color="auto"/>
              <w:right w:val="single" w:sz="4" w:space="0" w:color="auto"/>
            </w:tcBorders>
            <w:shd w:val="clear" w:color="auto" w:fill="auto"/>
            <w:noWrap/>
            <w:vAlign w:val="center"/>
          </w:tcPr>
          <w:p w14:paraId="3D144064" w14:textId="038322BD" w:rsidR="007C271C" w:rsidRPr="008B112D" w:rsidRDefault="007C271C" w:rsidP="007C271C">
            <w:pPr>
              <w:spacing w:before="0" w:after="0"/>
              <w:jc w:val="right"/>
              <w:rPr>
                <w:rFonts w:cs="Arial"/>
                <w:i/>
                <w:iCs/>
                <w:sz w:val="14"/>
                <w:szCs w:val="14"/>
              </w:rPr>
            </w:pPr>
            <w:r w:rsidRPr="008B112D">
              <w:rPr>
                <w:rFonts w:cs="Arial"/>
                <w:i/>
                <w:iCs/>
                <w:sz w:val="14"/>
                <w:szCs w:val="14"/>
              </w:rPr>
              <w:t>202.697.514</w:t>
            </w:r>
          </w:p>
        </w:tc>
        <w:tc>
          <w:tcPr>
            <w:tcW w:w="1288" w:type="dxa"/>
            <w:tcBorders>
              <w:top w:val="nil"/>
              <w:left w:val="nil"/>
              <w:bottom w:val="single" w:sz="4" w:space="0" w:color="auto"/>
              <w:right w:val="single" w:sz="4" w:space="0" w:color="auto"/>
            </w:tcBorders>
            <w:shd w:val="clear" w:color="auto" w:fill="auto"/>
            <w:noWrap/>
            <w:vAlign w:val="center"/>
          </w:tcPr>
          <w:p w14:paraId="4CF71053" w14:textId="58D850B3" w:rsidR="007C271C" w:rsidRPr="008B112D" w:rsidRDefault="007C271C" w:rsidP="007C271C">
            <w:pPr>
              <w:spacing w:before="0" w:after="0"/>
              <w:jc w:val="right"/>
              <w:rPr>
                <w:rFonts w:cs="Arial"/>
                <w:i/>
                <w:iCs/>
                <w:sz w:val="14"/>
                <w:szCs w:val="14"/>
              </w:rPr>
            </w:pPr>
            <w:r w:rsidRPr="008B112D">
              <w:rPr>
                <w:rFonts w:cs="Arial"/>
                <w:i/>
                <w:iCs/>
                <w:sz w:val="14"/>
                <w:szCs w:val="14"/>
              </w:rPr>
              <w:t>0</w:t>
            </w:r>
          </w:p>
        </w:tc>
      </w:tr>
      <w:tr w:rsidR="007C271C" w:rsidRPr="008B112D" w14:paraId="3121524B"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76D37029"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882D2A0" w14:textId="4964E536" w:rsidR="007C271C" w:rsidRPr="008B112D" w:rsidRDefault="007C271C" w:rsidP="007C271C">
            <w:pPr>
              <w:spacing w:before="0" w:after="0"/>
              <w:jc w:val="right"/>
              <w:rPr>
                <w:rFonts w:cs="Arial"/>
                <w:i/>
                <w:iCs/>
                <w:sz w:val="14"/>
                <w:szCs w:val="14"/>
              </w:rPr>
            </w:pPr>
            <w:r w:rsidRPr="008B112D">
              <w:rPr>
                <w:rFonts w:cs="Arial"/>
                <w:i/>
                <w:iCs/>
                <w:sz w:val="14"/>
                <w:szCs w:val="14"/>
              </w:rPr>
              <w:t>3.131.965.000</w:t>
            </w:r>
          </w:p>
        </w:tc>
        <w:tc>
          <w:tcPr>
            <w:tcW w:w="0" w:type="auto"/>
            <w:tcBorders>
              <w:top w:val="nil"/>
              <w:left w:val="nil"/>
              <w:bottom w:val="single" w:sz="4" w:space="0" w:color="auto"/>
              <w:right w:val="single" w:sz="4" w:space="0" w:color="auto"/>
            </w:tcBorders>
            <w:shd w:val="clear" w:color="auto" w:fill="auto"/>
            <w:noWrap/>
            <w:vAlign w:val="center"/>
          </w:tcPr>
          <w:p w14:paraId="3DD7162C" w14:textId="7D9CCB06" w:rsidR="007C271C" w:rsidRPr="008B112D" w:rsidRDefault="007C271C" w:rsidP="007C271C">
            <w:pPr>
              <w:spacing w:before="0" w:after="0"/>
              <w:jc w:val="right"/>
              <w:rPr>
                <w:rFonts w:cs="Arial"/>
                <w:i/>
                <w:iCs/>
                <w:sz w:val="14"/>
                <w:szCs w:val="14"/>
              </w:rPr>
            </w:pPr>
            <w:r w:rsidRPr="008B112D">
              <w:rPr>
                <w:rFonts w:cs="Arial"/>
                <w:i/>
                <w:iCs/>
                <w:sz w:val="14"/>
                <w:szCs w:val="14"/>
              </w:rPr>
              <w:t>407.031.000</w:t>
            </w:r>
          </w:p>
        </w:tc>
        <w:tc>
          <w:tcPr>
            <w:tcW w:w="0" w:type="auto"/>
            <w:tcBorders>
              <w:top w:val="nil"/>
              <w:left w:val="nil"/>
              <w:bottom w:val="single" w:sz="4" w:space="0" w:color="auto"/>
              <w:right w:val="single" w:sz="4" w:space="0" w:color="auto"/>
            </w:tcBorders>
            <w:shd w:val="clear" w:color="auto" w:fill="auto"/>
            <w:noWrap/>
            <w:vAlign w:val="center"/>
          </w:tcPr>
          <w:p w14:paraId="7F7A6BD9" w14:textId="0325A9E2" w:rsidR="007C271C" w:rsidRPr="008B112D" w:rsidRDefault="007C271C" w:rsidP="007C271C">
            <w:pPr>
              <w:spacing w:before="0" w:after="0"/>
              <w:jc w:val="right"/>
              <w:rPr>
                <w:rFonts w:cs="Arial"/>
                <w:i/>
                <w:iCs/>
                <w:sz w:val="14"/>
                <w:szCs w:val="14"/>
              </w:rPr>
            </w:pPr>
            <w:r w:rsidRPr="008B112D">
              <w:rPr>
                <w:rFonts w:cs="Arial"/>
                <w:i/>
                <w:iCs/>
                <w:sz w:val="14"/>
                <w:szCs w:val="14"/>
              </w:rPr>
              <w:t>3.586.595.000</w:t>
            </w:r>
          </w:p>
        </w:tc>
        <w:tc>
          <w:tcPr>
            <w:tcW w:w="0" w:type="auto"/>
            <w:tcBorders>
              <w:top w:val="nil"/>
              <w:left w:val="nil"/>
              <w:bottom w:val="single" w:sz="4" w:space="0" w:color="auto"/>
              <w:right w:val="single" w:sz="4" w:space="0" w:color="auto"/>
            </w:tcBorders>
            <w:shd w:val="clear" w:color="auto" w:fill="auto"/>
            <w:noWrap/>
            <w:vAlign w:val="center"/>
          </w:tcPr>
          <w:p w14:paraId="16886A2E" w14:textId="56F2EA96" w:rsidR="007C271C" w:rsidRPr="008B112D" w:rsidRDefault="007C271C" w:rsidP="007C271C">
            <w:pPr>
              <w:spacing w:before="0" w:after="0"/>
              <w:jc w:val="right"/>
              <w:rPr>
                <w:rFonts w:cs="Arial"/>
                <w:i/>
                <w:iCs/>
                <w:sz w:val="14"/>
                <w:szCs w:val="14"/>
              </w:rPr>
            </w:pPr>
            <w:r w:rsidRPr="008B112D">
              <w:rPr>
                <w:rFonts w:cs="Arial"/>
                <w:i/>
                <w:iCs/>
                <w:sz w:val="14"/>
                <w:szCs w:val="14"/>
              </w:rPr>
              <w:t>3.417.194.000</w:t>
            </w:r>
          </w:p>
        </w:tc>
        <w:tc>
          <w:tcPr>
            <w:tcW w:w="0" w:type="auto"/>
            <w:tcBorders>
              <w:top w:val="nil"/>
              <w:left w:val="nil"/>
              <w:bottom w:val="single" w:sz="4" w:space="0" w:color="auto"/>
              <w:right w:val="single" w:sz="4" w:space="0" w:color="auto"/>
            </w:tcBorders>
            <w:shd w:val="clear" w:color="auto" w:fill="auto"/>
            <w:noWrap/>
            <w:vAlign w:val="center"/>
          </w:tcPr>
          <w:p w14:paraId="0A5E346A" w14:textId="401E7222" w:rsidR="007C271C" w:rsidRPr="008B112D" w:rsidRDefault="007C271C" w:rsidP="007C271C">
            <w:pPr>
              <w:spacing w:before="0" w:after="0"/>
              <w:jc w:val="right"/>
              <w:rPr>
                <w:rFonts w:cs="Arial"/>
                <w:i/>
                <w:iCs/>
                <w:sz w:val="14"/>
                <w:szCs w:val="14"/>
              </w:rPr>
            </w:pPr>
            <w:r w:rsidRPr="008B112D">
              <w:rPr>
                <w:rFonts w:cs="Arial"/>
                <w:i/>
                <w:iCs/>
                <w:sz w:val="14"/>
                <w:szCs w:val="14"/>
              </w:rPr>
              <w:t>300.339.000</w:t>
            </w:r>
          </w:p>
        </w:tc>
        <w:tc>
          <w:tcPr>
            <w:tcW w:w="1288" w:type="dxa"/>
            <w:tcBorders>
              <w:top w:val="nil"/>
              <w:left w:val="nil"/>
              <w:bottom w:val="single" w:sz="4" w:space="0" w:color="auto"/>
              <w:right w:val="single" w:sz="4" w:space="0" w:color="auto"/>
            </w:tcBorders>
            <w:shd w:val="clear" w:color="auto" w:fill="auto"/>
            <w:noWrap/>
            <w:vAlign w:val="center"/>
          </w:tcPr>
          <w:p w14:paraId="5B0D87D8" w14:textId="6B0D5392" w:rsidR="007C271C" w:rsidRPr="008B112D" w:rsidRDefault="007C271C" w:rsidP="007C271C">
            <w:pPr>
              <w:spacing w:before="0" w:after="0"/>
              <w:jc w:val="right"/>
              <w:rPr>
                <w:rFonts w:cs="Arial"/>
                <w:i/>
                <w:iCs/>
                <w:sz w:val="14"/>
                <w:szCs w:val="14"/>
              </w:rPr>
            </w:pPr>
            <w:r w:rsidRPr="008B112D">
              <w:rPr>
                <w:rFonts w:cs="Arial"/>
                <w:i/>
                <w:iCs/>
                <w:sz w:val="14"/>
                <w:szCs w:val="14"/>
              </w:rPr>
              <w:t>525.707.000</w:t>
            </w:r>
          </w:p>
        </w:tc>
      </w:tr>
      <w:tr w:rsidR="007C271C" w:rsidRPr="008B112D" w14:paraId="64CB48AC"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665EE581"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1977308" w14:textId="09D39C23" w:rsidR="007C271C" w:rsidRPr="008B112D" w:rsidRDefault="007C271C" w:rsidP="007C271C">
            <w:pPr>
              <w:spacing w:before="0" w:after="0"/>
              <w:jc w:val="right"/>
              <w:rPr>
                <w:rFonts w:cs="Arial"/>
                <w:i/>
                <w:iCs/>
                <w:sz w:val="14"/>
                <w:szCs w:val="14"/>
              </w:rPr>
            </w:pPr>
            <w:r w:rsidRPr="008B112D">
              <w:rPr>
                <w:rFonts w:cs="Arial"/>
                <w:i/>
                <w:iCs/>
                <w:sz w:val="14"/>
                <w:szCs w:val="14"/>
              </w:rPr>
              <w:t>1.399.042.798</w:t>
            </w:r>
          </w:p>
        </w:tc>
        <w:tc>
          <w:tcPr>
            <w:tcW w:w="0" w:type="auto"/>
            <w:tcBorders>
              <w:top w:val="nil"/>
              <w:left w:val="nil"/>
              <w:bottom w:val="single" w:sz="4" w:space="0" w:color="auto"/>
              <w:right w:val="single" w:sz="4" w:space="0" w:color="auto"/>
            </w:tcBorders>
            <w:shd w:val="clear" w:color="auto" w:fill="auto"/>
            <w:noWrap/>
            <w:vAlign w:val="center"/>
          </w:tcPr>
          <w:p w14:paraId="0A24ECB3" w14:textId="794C0458" w:rsidR="007C271C" w:rsidRPr="008B112D" w:rsidRDefault="007C271C" w:rsidP="007C271C">
            <w:pPr>
              <w:spacing w:before="0" w:after="0"/>
              <w:jc w:val="right"/>
              <w:rPr>
                <w:rFonts w:cs="Arial"/>
                <w:i/>
                <w:iCs/>
                <w:sz w:val="14"/>
                <w:szCs w:val="14"/>
              </w:rPr>
            </w:pPr>
            <w:r w:rsidRPr="008B112D">
              <w:rPr>
                <w:rFonts w:cs="Arial"/>
                <w:i/>
                <w:iCs/>
                <w:sz w:val="14"/>
                <w:szCs w:val="14"/>
              </w:rPr>
              <w:t>1.524.690.000</w:t>
            </w:r>
          </w:p>
        </w:tc>
        <w:tc>
          <w:tcPr>
            <w:tcW w:w="0" w:type="auto"/>
            <w:tcBorders>
              <w:top w:val="nil"/>
              <w:left w:val="nil"/>
              <w:bottom w:val="single" w:sz="4" w:space="0" w:color="auto"/>
              <w:right w:val="single" w:sz="4" w:space="0" w:color="auto"/>
            </w:tcBorders>
            <w:shd w:val="clear" w:color="auto" w:fill="auto"/>
            <w:noWrap/>
            <w:vAlign w:val="center"/>
          </w:tcPr>
          <w:p w14:paraId="45994CFE" w14:textId="744F8AFE" w:rsidR="007C271C" w:rsidRPr="008B112D" w:rsidRDefault="007C271C" w:rsidP="007C271C">
            <w:pPr>
              <w:spacing w:before="0" w:after="0"/>
              <w:jc w:val="right"/>
              <w:rPr>
                <w:rFonts w:cs="Arial"/>
                <w:i/>
                <w:iCs/>
                <w:sz w:val="14"/>
                <w:szCs w:val="14"/>
              </w:rPr>
            </w:pPr>
            <w:r w:rsidRPr="008B112D">
              <w:rPr>
                <w:rFonts w:cs="Arial"/>
                <w:i/>
                <w:iCs/>
                <w:sz w:val="14"/>
                <w:szCs w:val="14"/>
              </w:rPr>
              <w:t>1.423.044.000</w:t>
            </w:r>
          </w:p>
        </w:tc>
        <w:tc>
          <w:tcPr>
            <w:tcW w:w="0" w:type="auto"/>
            <w:tcBorders>
              <w:top w:val="nil"/>
              <w:left w:val="nil"/>
              <w:bottom w:val="single" w:sz="4" w:space="0" w:color="auto"/>
              <w:right w:val="single" w:sz="4" w:space="0" w:color="auto"/>
            </w:tcBorders>
            <w:shd w:val="clear" w:color="auto" w:fill="auto"/>
            <w:noWrap/>
            <w:vAlign w:val="center"/>
          </w:tcPr>
          <w:p w14:paraId="252B8E6E" w14:textId="2A942930" w:rsidR="007C271C" w:rsidRPr="008B112D" w:rsidRDefault="007C271C" w:rsidP="007C271C">
            <w:pPr>
              <w:spacing w:before="0" w:after="0"/>
              <w:jc w:val="right"/>
              <w:rPr>
                <w:rFonts w:cs="Arial"/>
                <w:i/>
                <w:iCs/>
                <w:sz w:val="14"/>
                <w:szCs w:val="14"/>
              </w:rPr>
            </w:pPr>
            <w:r w:rsidRPr="008B112D">
              <w:rPr>
                <w:rFonts w:cs="Arial"/>
                <w:i/>
                <w:iCs/>
                <w:sz w:val="14"/>
                <w:szCs w:val="14"/>
              </w:rPr>
              <w:t>2.134.566.000</w:t>
            </w:r>
          </w:p>
        </w:tc>
        <w:tc>
          <w:tcPr>
            <w:tcW w:w="0" w:type="auto"/>
            <w:tcBorders>
              <w:top w:val="nil"/>
              <w:left w:val="nil"/>
              <w:bottom w:val="single" w:sz="4" w:space="0" w:color="auto"/>
              <w:right w:val="single" w:sz="4" w:space="0" w:color="auto"/>
            </w:tcBorders>
            <w:shd w:val="clear" w:color="auto" w:fill="auto"/>
            <w:noWrap/>
            <w:vAlign w:val="center"/>
          </w:tcPr>
          <w:p w14:paraId="1303E9DB" w14:textId="10FCD41B" w:rsidR="007C271C" w:rsidRPr="008B112D" w:rsidRDefault="007C271C" w:rsidP="007C271C">
            <w:pPr>
              <w:spacing w:before="0" w:after="0"/>
              <w:jc w:val="right"/>
              <w:rPr>
                <w:rFonts w:cs="Arial"/>
                <w:i/>
                <w:iCs/>
                <w:sz w:val="14"/>
                <w:szCs w:val="14"/>
              </w:rPr>
            </w:pPr>
            <w:r w:rsidRPr="008B112D">
              <w:rPr>
                <w:rFonts w:cs="Arial"/>
                <w:i/>
                <w:iCs/>
                <w:sz w:val="14"/>
                <w:szCs w:val="14"/>
              </w:rPr>
              <w:t>101.646.000</w:t>
            </w:r>
          </w:p>
        </w:tc>
        <w:tc>
          <w:tcPr>
            <w:tcW w:w="1288" w:type="dxa"/>
            <w:tcBorders>
              <w:top w:val="nil"/>
              <w:left w:val="nil"/>
              <w:bottom w:val="single" w:sz="4" w:space="0" w:color="auto"/>
              <w:right w:val="single" w:sz="4" w:space="0" w:color="auto"/>
            </w:tcBorders>
            <w:shd w:val="clear" w:color="auto" w:fill="auto"/>
            <w:noWrap/>
            <w:vAlign w:val="center"/>
          </w:tcPr>
          <w:p w14:paraId="182F2C82" w14:textId="4E61D617" w:rsidR="007C271C" w:rsidRPr="008B112D" w:rsidRDefault="007C271C" w:rsidP="007C271C">
            <w:pPr>
              <w:spacing w:before="0" w:after="0"/>
              <w:jc w:val="right"/>
              <w:rPr>
                <w:rFonts w:cs="Arial"/>
                <w:i/>
                <w:iCs/>
                <w:sz w:val="14"/>
                <w:szCs w:val="14"/>
              </w:rPr>
            </w:pPr>
            <w:r w:rsidRPr="008B112D">
              <w:rPr>
                <w:rFonts w:cs="Arial"/>
                <w:i/>
                <w:iCs/>
                <w:sz w:val="14"/>
                <w:szCs w:val="14"/>
              </w:rPr>
              <w:t>0</w:t>
            </w:r>
          </w:p>
        </w:tc>
      </w:tr>
      <w:tr w:rsidR="007C271C" w:rsidRPr="008B112D" w14:paraId="73938EC2"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65AFD955"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6</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6316C78" w14:textId="5AE16650" w:rsidR="007C271C" w:rsidRPr="008B112D" w:rsidRDefault="007C271C" w:rsidP="007C271C">
            <w:pPr>
              <w:spacing w:before="0" w:after="0"/>
              <w:jc w:val="right"/>
              <w:rPr>
                <w:rFonts w:cs="Arial"/>
                <w:i/>
                <w:iCs/>
                <w:sz w:val="14"/>
                <w:szCs w:val="14"/>
              </w:rPr>
            </w:pPr>
            <w:r w:rsidRPr="008B112D">
              <w:rPr>
                <w:rFonts w:cs="Arial"/>
                <w:i/>
                <w:iCs/>
                <w:sz w:val="14"/>
                <w:szCs w:val="14"/>
              </w:rPr>
              <w:t>9.501.678.949</w:t>
            </w:r>
          </w:p>
        </w:tc>
        <w:tc>
          <w:tcPr>
            <w:tcW w:w="0" w:type="auto"/>
            <w:tcBorders>
              <w:top w:val="nil"/>
              <w:left w:val="nil"/>
              <w:bottom w:val="single" w:sz="4" w:space="0" w:color="auto"/>
              <w:right w:val="single" w:sz="4" w:space="0" w:color="auto"/>
            </w:tcBorders>
            <w:shd w:val="clear" w:color="auto" w:fill="auto"/>
            <w:noWrap/>
            <w:vAlign w:val="center"/>
          </w:tcPr>
          <w:p w14:paraId="511B0239" w14:textId="1A5F18BC" w:rsidR="007C271C" w:rsidRPr="008B112D" w:rsidRDefault="007C271C" w:rsidP="007C271C">
            <w:pPr>
              <w:spacing w:before="0" w:after="0"/>
              <w:jc w:val="right"/>
              <w:rPr>
                <w:rFonts w:cs="Arial"/>
                <w:i/>
                <w:iCs/>
                <w:sz w:val="14"/>
                <w:szCs w:val="14"/>
              </w:rPr>
            </w:pPr>
            <w:r w:rsidRPr="008B112D">
              <w:rPr>
                <w:rFonts w:cs="Arial"/>
                <w:i/>
                <w:iCs/>
                <w:sz w:val="14"/>
                <w:szCs w:val="14"/>
              </w:rPr>
              <w:t>2.423.477.949</w:t>
            </w:r>
          </w:p>
        </w:tc>
        <w:tc>
          <w:tcPr>
            <w:tcW w:w="0" w:type="auto"/>
            <w:tcBorders>
              <w:top w:val="nil"/>
              <w:left w:val="nil"/>
              <w:bottom w:val="single" w:sz="4" w:space="0" w:color="auto"/>
              <w:right w:val="single" w:sz="4" w:space="0" w:color="auto"/>
            </w:tcBorders>
            <w:shd w:val="clear" w:color="auto" w:fill="auto"/>
            <w:noWrap/>
            <w:vAlign w:val="center"/>
          </w:tcPr>
          <w:p w14:paraId="14311B41" w14:textId="4D4498BF" w:rsidR="007C271C" w:rsidRPr="008B112D" w:rsidRDefault="007C271C" w:rsidP="007C271C">
            <w:pPr>
              <w:spacing w:before="0" w:after="0"/>
              <w:jc w:val="right"/>
              <w:rPr>
                <w:rFonts w:cs="Arial"/>
                <w:i/>
                <w:iCs/>
                <w:sz w:val="14"/>
                <w:szCs w:val="14"/>
              </w:rPr>
            </w:pPr>
            <w:r w:rsidRPr="008B112D">
              <w:rPr>
                <w:rFonts w:cs="Arial"/>
                <w:i/>
                <w:iCs/>
                <w:sz w:val="14"/>
                <w:szCs w:val="14"/>
              </w:rPr>
              <w:t>8.013.419.949</w:t>
            </w:r>
          </w:p>
        </w:tc>
        <w:tc>
          <w:tcPr>
            <w:tcW w:w="0" w:type="auto"/>
            <w:tcBorders>
              <w:top w:val="nil"/>
              <w:left w:val="nil"/>
              <w:bottom w:val="single" w:sz="4" w:space="0" w:color="auto"/>
              <w:right w:val="single" w:sz="4" w:space="0" w:color="auto"/>
            </w:tcBorders>
            <w:shd w:val="clear" w:color="auto" w:fill="auto"/>
            <w:noWrap/>
            <w:vAlign w:val="center"/>
          </w:tcPr>
          <w:p w14:paraId="3AEF3839" w14:textId="5BA4B6EB" w:rsidR="007C271C" w:rsidRPr="008B112D" w:rsidRDefault="007C271C" w:rsidP="007C271C">
            <w:pPr>
              <w:spacing w:before="0" w:after="0"/>
              <w:jc w:val="right"/>
              <w:rPr>
                <w:rFonts w:cs="Arial"/>
                <w:i/>
                <w:iCs/>
                <w:sz w:val="14"/>
                <w:szCs w:val="14"/>
              </w:rPr>
            </w:pPr>
            <w:r w:rsidRPr="008B112D">
              <w:rPr>
                <w:rFonts w:cs="Arial"/>
                <w:i/>
                <w:iCs/>
                <w:sz w:val="14"/>
                <w:szCs w:val="14"/>
              </w:rPr>
              <w:t>10.147.784.924</w:t>
            </w:r>
          </w:p>
        </w:tc>
        <w:tc>
          <w:tcPr>
            <w:tcW w:w="0" w:type="auto"/>
            <w:tcBorders>
              <w:top w:val="nil"/>
              <w:left w:val="nil"/>
              <w:bottom w:val="single" w:sz="4" w:space="0" w:color="auto"/>
              <w:right w:val="single" w:sz="4" w:space="0" w:color="auto"/>
            </w:tcBorders>
            <w:shd w:val="clear" w:color="auto" w:fill="auto"/>
            <w:noWrap/>
            <w:vAlign w:val="center"/>
          </w:tcPr>
          <w:p w14:paraId="064CB19C" w14:textId="590A45EA" w:rsidR="007C271C" w:rsidRPr="008B112D" w:rsidRDefault="007C271C" w:rsidP="007C271C">
            <w:pPr>
              <w:spacing w:before="0" w:after="0"/>
              <w:jc w:val="right"/>
              <w:rPr>
                <w:rFonts w:cs="Arial"/>
                <w:i/>
                <w:iCs/>
                <w:sz w:val="14"/>
                <w:szCs w:val="14"/>
              </w:rPr>
            </w:pPr>
            <w:r w:rsidRPr="008B112D">
              <w:rPr>
                <w:rFonts w:cs="Arial"/>
                <w:i/>
                <w:iCs/>
                <w:sz w:val="14"/>
                <w:szCs w:val="14"/>
              </w:rPr>
              <w:t>2.473.251.975</w:t>
            </w:r>
          </w:p>
        </w:tc>
        <w:tc>
          <w:tcPr>
            <w:tcW w:w="1288" w:type="dxa"/>
            <w:tcBorders>
              <w:top w:val="nil"/>
              <w:left w:val="nil"/>
              <w:bottom w:val="single" w:sz="4" w:space="0" w:color="auto"/>
              <w:right w:val="single" w:sz="4" w:space="0" w:color="auto"/>
            </w:tcBorders>
            <w:shd w:val="clear" w:color="auto" w:fill="auto"/>
            <w:noWrap/>
            <w:vAlign w:val="center"/>
          </w:tcPr>
          <w:p w14:paraId="47466B6A" w14:textId="7A28F51A" w:rsidR="007C271C" w:rsidRPr="008B112D" w:rsidRDefault="007C271C" w:rsidP="007C271C">
            <w:pPr>
              <w:spacing w:before="0" w:after="0"/>
              <w:jc w:val="right"/>
              <w:rPr>
                <w:rFonts w:cs="Arial"/>
                <w:i/>
                <w:iCs/>
                <w:sz w:val="14"/>
                <w:szCs w:val="14"/>
              </w:rPr>
            </w:pPr>
            <w:r w:rsidRPr="008B112D">
              <w:rPr>
                <w:rFonts w:cs="Arial"/>
                <w:i/>
                <w:iCs/>
                <w:sz w:val="14"/>
                <w:szCs w:val="14"/>
              </w:rPr>
              <w:t>2.443.547.949</w:t>
            </w:r>
          </w:p>
        </w:tc>
      </w:tr>
      <w:tr w:rsidR="007C271C" w:rsidRPr="008B112D" w14:paraId="3A1524FC"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7ED88CBA"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49BBD45" w14:textId="6AE1AB12" w:rsidR="007C271C" w:rsidRPr="008B112D" w:rsidRDefault="007C271C" w:rsidP="007C271C">
            <w:pPr>
              <w:spacing w:before="0" w:after="0"/>
              <w:jc w:val="right"/>
              <w:rPr>
                <w:rFonts w:cs="Arial"/>
                <w:i/>
                <w:iCs/>
                <w:sz w:val="14"/>
                <w:szCs w:val="14"/>
              </w:rPr>
            </w:pPr>
            <w:r w:rsidRPr="008B112D">
              <w:rPr>
                <w:rFonts w:cs="Arial"/>
                <w:i/>
                <w:iCs/>
                <w:sz w:val="14"/>
                <w:szCs w:val="14"/>
              </w:rPr>
              <w:t>4.788.122.466</w:t>
            </w:r>
          </w:p>
        </w:tc>
        <w:tc>
          <w:tcPr>
            <w:tcW w:w="0" w:type="auto"/>
            <w:tcBorders>
              <w:top w:val="nil"/>
              <w:left w:val="nil"/>
              <w:bottom w:val="single" w:sz="4" w:space="0" w:color="auto"/>
              <w:right w:val="single" w:sz="4" w:space="0" w:color="auto"/>
            </w:tcBorders>
            <w:shd w:val="clear" w:color="auto" w:fill="auto"/>
            <w:noWrap/>
            <w:vAlign w:val="center"/>
          </w:tcPr>
          <w:p w14:paraId="75B8EA16" w14:textId="104FD125" w:rsidR="007C271C" w:rsidRPr="008B112D" w:rsidRDefault="007C271C" w:rsidP="007C271C">
            <w:pPr>
              <w:spacing w:before="0" w:after="0"/>
              <w:jc w:val="right"/>
              <w:rPr>
                <w:rFonts w:cs="Arial"/>
                <w:i/>
                <w:iCs/>
                <w:sz w:val="14"/>
                <w:szCs w:val="14"/>
              </w:rPr>
            </w:pPr>
            <w:r w:rsidRPr="008B112D">
              <w:rPr>
                <w:rFonts w:cs="Arial"/>
                <w:i/>
                <w:iCs/>
                <w:sz w:val="14"/>
                <w:szCs w:val="14"/>
              </w:rPr>
              <w:t>1.276.916.500</w:t>
            </w:r>
          </w:p>
        </w:tc>
        <w:tc>
          <w:tcPr>
            <w:tcW w:w="0" w:type="auto"/>
            <w:tcBorders>
              <w:top w:val="nil"/>
              <w:left w:val="nil"/>
              <w:bottom w:val="single" w:sz="4" w:space="0" w:color="auto"/>
              <w:right w:val="single" w:sz="4" w:space="0" w:color="auto"/>
            </w:tcBorders>
            <w:shd w:val="clear" w:color="auto" w:fill="auto"/>
            <w:noWrap/>
            <w:vAlign w:val="center"/>
          </w:tcPr>
          <w:p w14:paraId="51F94F05" w14:textId="61174517" w:rsidR="007C271C" w:rsidRPr="008B112D" w:rsidRDefault="007C271C" w:rsidP="007C271C">
            <w:pPr>
              <w:spacing w:before="0" w:after="0"/>
              <w:jc w:val="right"/>
              <w:rPr>
                <w:rFonts w:cs="Arial"/>
                <w:i/>
                <w:iCs/>
                <w:sz w:val="14"/>
                <w:szCs w:val="14"/>
              </w:rPr>
            </w:pPr>
            <w:r w:rsidRPr="008B112D">
              <w:rPr>
                <w:rFonts w:cs="Arial"/>
                <w:i/>
                <w:iCs/>
                <w:sz w:val="14"/>
                <w:szCs w:val="14"/>
              </w:rPr>
              <w:t>1.656.150.000</w:t>
            </w:r>
          </w:p>
        </w:tc>
        <w:tc>
          <w:tcPr>
            <w:tcW w:w="0" w:type="auto"/>
            <w:tcBorders>
              <w:top w:val="nil"/>
              <w:left w:val="nil"/>
              <w:bottom w:val="single" w:sz="4" w:space="0" w:color="auto"/>
              <w:right w:val="single" w:sz="4" w:space="0" w:color="auto"/>
            </w:tcBorders>
            <w:shd w:val="clear" w:color="auto" w:fill="auto"/>
            <w:noWrap/>
            <w:vAlign w:val="center"/>
          </w:tcPr>
          <w:p w14:paraId="64594490" w14:textId="54C27C97" w:rsidR="007C271C" w:rsidRPr="008B112D" w:rsidRDefault="007C271C" w:rsidP="007C271C">
            <w:pPr>
              <w:spacing w:before="0" w:after="0"/>
              <w:jc w:val="right"/>
              <w:rPr>
                <w:rFonts w:cs="Arial"/>
                <w:i/>
                <w:iCs/>
                <w:sz w:val="14"/>
                <w:szCs w:val="14"/>
              </w:rPr>
            </w:pPr>
            <w:r w:rsidRPr="008B112D">
              <w:rPr>
                <w:rFonts w:cs="Arial"/>
                <w:i/>
                <w:iCs/>
                <w:sz w:val="14"/>
                <w:szCs w:val="14"/>
              </w:rPr>
              <w:t>23.710.551.752</w:t>
            </w:r>
          </w:p>
        </w:tc>
        <w:tc>
          <w:tcPr>
            <w:tcW w:w="0" w:type="auto"/>
            <w:tcBorders>
              <w:top w:val="nil"/>
              <w:left w:val="nil"/>
              <w:bottom w:val="single" w:sz="4" w:space="0" w:color="auto"/>
              <w:right w:val="single" w:sz="4" w:space="0" w:color="auto"/>
            </w:tcBorders>
            <w:shd w:val="clear" w:color="auto" w:fill="auto"/>
            <w:noWrap/>
            <w:vAlign w:val="center"/>
          </w:tcPr>
          <w:p w14:paraId="4FA828AB" w14:textId="443282A6"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1288" w:type="dxa"/>
            <w:tcBorders>
              <w:top w:val="nil"/>
              <w:left w:val="nil"/>
              <w:bottom w:val="single" w:sz="4" w:space="0" w:color="auto"/>
              <w:right w:val="single" w:sz="4" w:space="0" w:color="auto"/>
            </w:tcBorders>
            <w:shd w:val="clear" w:color="auto" w:fill="auto"/>
            <w:noWrap/>
            <w:vAlign w:val="center"/>
          </w:tcPr>
          <w:p w14:paraId="012D1898" w14:textId="60CAF351" w:rsidR="007C271C" w:rsidRPr="008B112D" w:rsidRDefault="007C271C" w:rsidP="007C271C">
            <w:pPr>
              <w:spacing w:before="0" w:after="0"/>
              <w:jc w:val="right"/>
              <w:rPr>
                <w:rFonts w:cs="Arial"/>
                <w:i/>
                <w:iCs/>
                <w:sz w:val="14"/>
                <w:szCs w:val="14"/>
              </w:rPr>
            </w:pPr>
            <w:r w:rsidRPr="008B112D">
              <w:rPr>
                <w:rFonts w:cs="Arial"/>
                <w:i/>
                <w:iCs/>
                <w:sz w:val="14"/>
                <w:szCs w:val="14"/>
              </w:rPr>
              <w:t>13.169.929.839</w:t>
            </w:r>
          </w:p>
        </w:tc>
      </w:tr>
      <w:tr w:rsidR="007C271C" w:rsidRPr="008B112D" w14:paraId="2B066900"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5838A001"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8</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F5F1E1C" w14:textId="5E166A99"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4F12C02F" w14:textId="64E56289"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1D63A4C4" w14:textId="4F020220" w:rsidR="007C271C" w:rsidRPr="008B112D" w:rsidRDefault="007C271C" w:rsidP="007C271C">
            <w:pPr>
              <w:spacing w:before="0" w:after="0"/>
              <w:jc w:val="right"/>
              <w:rPr>
                <w:rFonts w:cs="Arial"/>
                <w:i/>
                <w:iCs/>
                <w:sz w:val="14"/>
                <w:szCs w:val="14"/>
              </w:rPr>
            </w:pPr>
            <w:r w:rsidRPr="008B112D">
              <w:rPr>
                <w:rFonts w:cs="Arial"/>
                <w:i/>
                <w:iCs/>
                <w:sz w:val="14"/>
                <w:szCs w:val="14"/>
              </w:rPr>
              <w:t>214.454.100</w:t>
            </w:r>
          </w:p>
        </w:tc>
        <w:tc>
          <w:tcPr>
            <w:tcW w:w="0" w:type="auto"/>
            <w:tcBorders>
              <w:top w:val="nil"/>
              <w:left w:val="nil"/>
              <w:bottom w:val="single" w:sz="4" w:space="0" w:color="auto"/>
              <w:right w:val="single" w:sz="4" w:space="0" w:color="auto"/>
            </w:tcBorders>
            <w:shd w:val="clear" w:color="auto" w:fill="auto"/>
            <w:noWrap/>
            <w:vAlign w:val="center"/>
          </w:tcPr>
          <w:p w14:paraId="12B4B6F1" w14:textId="1B187618" w:rsidR="007C271C" w:rsidRPr="008B112D" w:rsidRDefault="007C271C" w:rsidP="007C271C">
            <w:pPr>
              <w:spacing w:before="0" w:after="0"/>
              <w:jc w:val="right"/>
              <w:rPr>
                <w:rFonts w:cs="Arial"/>
                <w:i/>
                <w:iCs/>
                <w:sz w:val="14"/>
                <w:szCs w:val="14"/>
              </w:rPr>
            </w:pPr>
            <w:r w:rsidRPr="008B112D">
              <w:rPr>
                <w:rFonts w:cs="Arial"/>
                <w:i/>
                <w:iCs/>
                <w:sz w:val="14"/>
                <w:szCs w:val="14"/>
              </w:rPr>
              <w:t>9.636.956.750</w:t>
            </w:r>
          </w:p>
        </w:tc>
        <w:tc>
          <w:tcPr>
            <w:tcW w:w="0" w:type="auto"/>
            <w:tcBorders>
              <w:top w:val="nil"/>
              <w:left w:val="nil"/>
              <w:bottom w:val="single" w:sz="4" w:space="0" w:color="auto"/>
              <w:right w:val="single" w:sz="4" w:space="0" w:color="auto"/>
            </w:tcBorders>
            <w:shd w:val="clear" w:color="auto" w:fill="auto"/>
            <w:noWrap/>
            <w:vAlign w:val="center"/>
          </w:tcPr>
          <w:p w14:paraId="39DAF6D2" w14:textId="147742D9"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1288" w:type="dxa"/>
            <w:tcBorders>
              <w:top w:val="nil"/>
              <w:left w:val="nil"/>
              <w:bottom w:val="single" w:sz="4" w:space="0" w:color="auto"/>
              <w:right w:val="single" w:sz="4" w:space="0" w:color="auto"/>
            </w:tcBorders>
            <w:shd w:val="clear" w:color="auto" w:fill="auto"/>
            <w:noWrap/>
            <w:vAlign w:val="center"/>
          </w:tcPr>
          <w:p w14:paraId="203BA3C4" w14:textId="3E4C474A" w:rsidR="007C271C" w:rsidRPr="008B112D" w:rsidRDefault="007C271C" w:rsidP="007C271C">
            <w:pPr>
              <w:spacing w:before="0" w:after="0"/>
              <w:jc w:val="right"/>
              <w:rPr>
                <w:rFonts w:cs="Arial"/>
                <w:i/>
                <w:iCs/>
                <w:sz w:val="14"/>
                <w:szCs w:val="14"/>
              </w:rPr>
            </w:pPr>
            <w:r w:rsidRPr="008B112D">
              <w:rPr>
                <w:rFonts w:cs="Arial"/>
                <w:i/>
                <w:iCs/>
                <w:sz w:val="14"/>
                <w:szCs w:val="14"/>
              </w:rPr>
              <w:t>0</w:t>
            </w:r>
          </w:p>
        </w:tc>
      </w:tr>
      <w:tr w:rsidR="007C271C" w:rsidRPr="008B112D" w14:paraId="42572259"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2FF6F3D3"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FF4C2CA" w14:textId="77777777"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5BE190C1" w14:textId="0F57AE2A"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77B1FFD" w14:textId="31C1314A"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498731FC" w14:textId="5B8CA7EB"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62955ACD" w14:textId="3E12B983" w:rsidR="007C271C" w:rsidRPr="008B112D" w:rsidRDefault="007C271C" w:rsidP="007C271C">
            <w:pPr>
              <w:spacing w:before="0" w:after="0"/>
              <w:jc w:val="right"/>
              <w:rPr>
                <w:rFonts w:cs="Arial"/>
                <w:i/>
                <w:iCs/>
                <w:sz w:val="14"/>
                <w:szCs w:val="14"/>
              </w:rPr>
            </w:pPr>
            <w:r w:rsidRPr="008B112D">
              <w:rPr>
                <w:rFonts w:cs="Arial"/>
                <w:i/>
                <w:iCs/>
                <w:sz w:val="14"/>
                <w:szCs w:val="14"/>
              </w:rPr>
              <w:t>0</w:t>
            </w:r>
          </w:p>
        </w:tc>
        <w:tc>
          <w:tcPr>
            <w:tcW w:w="1288" w:type="dxa"/>
            <w:tcBorders>
              <w:top w:val="nil"/>
              <w:left w:val="nil"/>
              <w:bottom w:val="single" w:sz="4" w:space="0" w:color="auto"/>
              <w:right w:val="single" w:sz="4" w:space="0" w:color="auto"/>
            </w:tcBorders>
            <w:shd w:val="clear" w:color="auto" w:fill="auto"/>
            <w:noWrap/>
            <w:vAlign w:val="center"/>
          </w:tcPr>
          <w:p w14:paraId="16C9448A" w14:textId="6F63B9F1" w:rsidR="007C271C" w:rsidRPr="008B112D" w:rsidRDefault="007C271C" w:rsidP="007C271C">
            <w:pPr>
              <w:spacing w:before="0" w:after="0"/>
              <w:jc w:val="right"/>
              <w:rPr>
                <w:rFonts w:cs="Arial"/>
                <w:i/>
                <w:iCs/>
                <w:sz w:val="14"/>
                <w:szCs w:val="14"/>
              </w:rPr>
            </w:pPr>
            <w:r w:rsidRPr="008B112D">
              <w:rPr>
                <w:rFonts w:cs="Arial"/>
                <w:i/>
                <w:iCs/>
                <w:sz w:val="14"/>
                <w:szCs w:val="14"/>
              </w:rPr>
              <w:t>0</w:t>
            </w:r>
          </w:p>
        </w:tc>
      </w:tr>
      <w:tr w:rsidR="007C271C" w:rsidRPr="00226F3A" w14:paraId="3943E55E" w14:textId="77777777" w:rsidTr="007C271C">
        <w:trPr>
          <w:trHeight w:val="276"/>
          <w:jc w:val="center"/>
        </w:trPr>
        <w:tc>
          <w:tcPr>
            <w:tcW w:w="966" w:type="dxa"/>
            <w:tcBorders>
              <w:top w:val="nil"/>
              <w:left w:val="single" w:sz="4" w:space="0" w:color="auto"/>
              <w:bottom w:val="single" w:sz="4" w:space="0" w:color="auto"/>
              <w:right w:val="nil"/>
            </w:tcBorders>
            <w:shd w:val="clear" w:color="auto" w:fill="auto"/>
            <w:noWrap/>
            <w:vAlign w:val="center"/>
            <w:hideMark/>
          </w:tcPr>
          <w:p w14:paraId="23CD7D5C" w14:textId="77777777" w:rsidR="007C271C" w:rsidRPr="008B112D" w:rsidRDefault="007C271C" w:rsidP="007C271C">
            <w:pPr>
              <w:spacing w:before="0" w:after="0"/>
              <w:jc w:val="center"/>
              <w:rPr>
                <w:rFonts w:cs="Arial"/>
                <w:i/>
                <w:iCs/>
                <w:sz w:val="16"/>
                <w:szCs w:val="16"/>
                <w:lang w:val="es-CO" w:eastAsia="es-CO"/>
              </w:rPr>
            </w:pPr>
            <w:r w:rsidRPr="008B112D">
              <w:rPr>
                <w:rFonts w:cs="Arial"/>
                <w:i/>
                <w:iCs/>
                <w:sz w:val="16"/>
                <w:szCs w:val="16"/>
                <w:lang w:val="es-CO" w:eastAsia="es-CO"/>
              </w:rPr>
              <w:t>l = 10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D4F01C6" w14:textId="44E6EF93" w:rsidR="007C271C" w:rsidRPr="008B112D" w:rsidRDefault="007C271C" w:rsidP="007C271C">
            <w:pPr>
              <w:spacing w:before="0" w:after="0"/>
              <w:jc w:val="right"/>
              <w:rPr>
                <w:rFonts w:cs="Arial"/>
                <w:i/>
                <w:iCs/>
                <w:sz w:val="14"/>
                <w:szCs w:val="14"/>
              </w:rPr>
            </w:pPr>
            <w:r w:rsidRPr="008B112D">
              <w:rPr>
                <w:rFonts w:cs="Arial"/>
                <w:i/>
                <w:iCs/>
                <w:sz w:val="14"/>
                <w:szCs w:val="14"/>
              </w:rPr>
              <w:t>13.064.174.452</w:t>
            </w:r>
          </w:p>
        </w:tc>
        <w:tc>
          <w:tcPr>
            <w:tcW w:w="0" w:type="auto"/>
            <w:tcBorders>
              <w:top w:val="nil"/>
              <w:left w:val="nil"/>
              <w:bottom w:val="single" w:sz="4" w:space="0" w:color="auto"/>
              <w:right w:val="single" w:sz="4" w:space="0" w:color="auto"/>
            </w:tcBorders>
            <w:shd w:val="clear" w:color="auto" w:fill="auto"/>
            <w:noWrap/>
            <w:vAlign w:val="center"/>
          </w:tcPr>
          <w:p w14:paraId="7B03CA1D" w14:textId="5FE14D35" w:rsidR="007C271C" w:rsidRPr="008B112D" w:rsidRDefault="007C271C" w:rsidP="007C271C">
            <w:pPr>
              <w:spacing w:before="0" w:after="0"/>
              <w:jc w:val="right"/>
              <w:rPr>
                <w:rFonts w:cs="Arial"/>
                <w:i/>
                <w:iCs/>
                <w:sz w:val="14"/>
                <w:szCs w:val="14"/>
              </w:rPr>
            </w:pPr>
            <w:r w:rsidRPr="008B112D">
              <w:rPr>
                <w:rFonts w:cs="Arial"/>
                <w:i/>
                <w:iCs/>
                <w:sz w:val="14"/>
                <w:szCs w:val="14"/>
              </w:rPr>
              <w:t>8.946.171.625</w:t>
            </w:r>
          </w:p>
        </w:tc>
        <w:tc>
          <w:tcPr>
            <w:tcW w:w="0" w:type="auto"/>
            <w:tcBorders>
              <w:top w:val="nil"/>
              <w:left w:val="nil"/>
              <w:bottom w:val="single" w:sz="4" w:space="0" w:color="auto"/>
              <w:right w:val="single" w:sz="4" w:space="0" w:color="auto"/>
            </w:tcBorders>
            <w:shd w:val="clear" w:color="auto" w:fill="auto"/>
            <w:noWrap/>
            <w:vAlign w:val="center"/>
          </w:tcPr>
          <w:p w14:paraId="5B6DBBC9" w14:textId="615BD16E" w:rsidR="007C271C" w:rsidRPr="008B112D" w:rsidRDefault="007C271C" w:rsidP="007C271C">
            <w:pPr>
              <w:spacing w:before="0" w:after="0"/>
              <w:jc w:val="right"/>
              <w:rPr>
                <w:rFonts w:cs="Arial"/>
                <w:i/>
                <w:iCs/>
                <w:sz w:val="14"/>
                <w:szCs w:val="14"/>
              </w:rPr>
            </w:pPr>
            <w:r w:rsidRPr="008B112D">
              <w:rPr>
                <w:rFonts w:cs="Arial"/>
                <w:i/>
                <w:iCs/>
                <w:sz w:val="14"/>
                <w:szCs w:val="14"/>
              </w:rPr>
              <w:t>3.356.134.667</w:t>
            </w:r>
          </w:p>
        </w:tc>
        <w:tc>
          <w:tcPr>
            <w:tcW w:w="0" w:type="auto"/>
            <w:tcBorders>
              <w:top w:val="nil"/>
              <w:left w:val="nil"/>
              <w:bottom w:val="single" w:sz="4" w:space="0" w:color="auto"/>
              <w:right w:val="single" w:sz="4" w:space="0" w:color="auto"/>
            </w:tcBorders>
            <w:shd w:val="clear" w:color="auto" w:fill="auto"/>
            <w:noWrap/>
            <w:vAlign w:val="center"/>
          </w:tcPr>
          <w:p w14:paraId="1BC9F499" w14:textId="1A7E4760" w:rsidR="007C271C" w:rsidRPr="008B112D" w:rsidRDefault="007C271C" w:rsidP="007C271C">
            <w:pPr>
              <w:spacing w:before="0" w:after="0"/>
              <w:jc w:val="right"/>
              <w:rPr>
                <w:rFonts w:cs="Arial"/>
                <w:i/>
                <w:iCs/>
                <w:sz w:val="14"/>
                <w:szCs w:val="14"/>
              </w:rPr>
            </w:pPr>
            <w:r w:rsidRPr="008B112D">
              <w:rPr>
                <w:rFonts w:cs="Arial"/>
                <w:i/>
                <w:iCs/>
                <w:sz w:val="14"/>
                <w:szCs w:val="14"/>
              </w:rPr>
              <w:t>4.830.960.307</w:t>
            </w:r>
          </w:p>
        </w:tc>
        <w:tc>
          <w:tcPr>
            <w:tcW w:w="0" w:type="auto"/>
            <w:tcBorders>
              <w:top w:val="nil"/>
              <w:left w:val="nil"/>
              <w:bottom w:val="single" w:sz="4" w:space="0" w:color="auto"/>
              <w:right w:val="single" w:sz="4" w:space="0" w:color="auto"/>
            </w:tcBorders>
            <w:shd w:val="clear" w:color="auto" w:fill="auto"/>
            <w:noWrap/>
            <w:vAlign w:val="center"/>
          </w:tcPr>
          <w:p w14:paraId="2DB95E9C" w14:textId="7984DC41" w:rsidR="007C271C" w:rsidRPr="008B112D" w:rsidRDefault="007C271C" w:rsidP="007C271C">
            <w:pPr>
              <w:spacing w:before="0" w:after="0"/>
              <w:jc w:val="right"/>
              <w:rPr>
                <w:rFonts w:cs="Arial"/>
                <w:i/>
                <w:iCs/>
                <w:sz w:val="14"/>
                <w:szCs w:val="14"/>
              </w:rPr>
            </w:pPr>
            <w:r w:rsidRPr="008B112D">
              <w:rPr>
                <w:rFonts w:cs="Arial"/>
                <w:i/>
                <w:iCs/>
                <w:sz w:val="14"/>
                <w:szCs w:val="14"/>
              </w:rPr>
              <w:t>2.401.656.933</w:t>
            </w:r>
          </w:p>
        </w:tc>
        <w:tc>
          <w:tcPr>
            <w:tcW w:w="1288" w:type="dxa"/>
            <w:tcBorders>
              <w:top w:val="nil"/>
              <w:left w:val="nil"/>
              <w:bottom w:val="single" w:sz="4" w:space="0" w:color="auto"/>
              <w:right w:val="single" w:sz="4" w:space="0" w:color="auto"/>
            </w:tcBorders>
            <w:shd w:val="clear" w:color="auto" w:fill="auto"/>
            <w:noWrap/>
            <w:vAlign w:val="center"/>
          </w:tcPr>
          <w:p w14:paraId="3B6F5606" w14:textId="79029428" w:rsidR="007C271C" w:rsidRPr="00226F3A" w:rsidRDefault="007C271C" w:rsidP="007C271C">
            <w:pPr>
              <w:spacing w:before="0" w:after="0"/>
              <w:jc w:val="right"/>
              <w:rPr>
                <w:rFonts w:cs="Arial"/>
                <w:i/>
                <w:iCs/>
                <w:sz w:val="14"/>
                <w:szCs w:val="14"/>
              </w:rPr>
            </w:pPr>
            <w:r w:rsidRPr="008B112D">
              <w:rPr>
                <w:rFonts w:cs="Arial"/>
                <w:i/>
                <w:iCs/>
                <w:sz w:val="14"/>
                <w:szCs w:val="14"/>
              </w:rPr>
              <w:t>2.338.214.227</w:t>
            </w:r>
          </w:p>
        </w:tc>
      </w:tr>
    </w:tbl>
    <w:p w14:paraId="7CC32208" w14:textId="0D9C6A49" w:rsidR="00000018" w:rsidRPr="000621A6" w:rsidRDefault="00000018" w:rsidP="00897DEA">
      <w:pPr>
        <w:pStyle w:val="Descripcin"/>
        <w:spacing w:before="120" w:after="120"/>
        <w:ind w:firstLine="708"/>
        <w:rPr>
          <w:i/>
          <w:iCs/>
          <w:sz w:val="20"/>
          <w:szCs w:val="18"/>
        </w:rPr>
      </w:pPr>
      <w:r w:rsidRPr="000621A6">
        <w:rPr>
          <w:i/>
          <w:iCs/>
          <w:sz w:val="20"/>
          <w:szCs w:val="18"/>
        </w:rPr>
        <w:t>Tabla 3 Plan de inversiones del nivel de tensión 3, pesos de diciembre de 2017</w:t>
      </w:r>
    </w:p>
    <w:tbl>
      <w:tblPr>
        <w:tblW w:w="0" w:type="auto"/>
        <w:jc w:val="center"/>
        <w:tblCellMar>
          <w:left w:w="70" w:type="dxa"/>
          <w:right w:w="70" w:type="dxa"/>
        </w:tblCellMar>
        <w:tblLook w:val="04A0" w:firstRow="1" w:lastRow="0" w:firstColumn="1" w:lastColumn="0" w:noHBand="0" w:noVBand="1"/>
      </w:tblPr>
      <w:tblGrid>
        <w:gridCol w:w="969"/>
        <w:gridCol w:w="1221"/>
        <w:gridCol w:w="1135"/>
        <w:gridCol w:w="1221"/>
        <w:gridCol w:w="1221"/>
        <w:gridCol w:w="1135"/>
        <w:gridCol w:w="1263"/>
      </w:tblGrid>
      <w:tr w:rsidR="00000018" w:rsidRPr="008B112D" w14:paraId="092F8BA7" w14:textId="77777777" w:rsidTr="001B2986">
        <w:trPr>
          <w:trHeight w:val="480"/>
          <w:jc w:val="center"/>
        </w:trPr>
        <w:tc>
          <w:tcPr>
            <w:tcW w:w="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FD99C5"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Categoría de activos 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00106FC"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j,3,l,1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275EB61"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j,3,l,2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0D3CF91"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j,3,l,3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8CEB3BC"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j,3,l,4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D206C4"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j,3,l,5</w:t>
            </w:r>
          </w:p>
        </w:tc>
        <w:tc>
          <w:tcPr>
            <w:tcW w:w="1263" w:type="dxa"/>
            <w:tcBorders>
              <w:top w:val="single" w:sz="4" w:space="0" w:color="auto"/>
              <w:left w:val="nil"/>
              <w:bottom w:val="single" w:sz="4" w:space="0" w:color="auto"/>
              <w:right w:val="single" w:sz="4" w:space="0" w:color="auto"/>
            </w:tcBorders>
            <w:shd w:val="clear" w:color="000000" w:fill="FFFFFF"/>
            <w:noWrap/>
            <w:vAlign w:val="center"/>
            <w:hideMark/>
          </w:tcPr>
          <w:p w14:paraId="605A7461" w14:textId="77777777" w:rsidR="00000018" w:rsidRPr="008B112D" w:rsidRDefault="00000018" w:rsidP="003A2309">
            <w:pPr>
              <w:spacing w:before="0" w:after="0"/>
              <w:jc w:val="center"/>
              <w:rPr>
                <w:rFonts w:cs="Arial"/>
                <w:b/>
                <w:bCs/>
                <w:i/>
                <w:iCs/>
                <w:sz w:val="16"/>
                <w:szCs w:val="16"/>
                <w:lang w:val="es-CO" w:eastAsia="es-CO"/>
              </w:rPr>
            </w:pPr>
            <w:r w:rsidRPr="008B112D">
              <w:rPr>
                <w:rFonts w:cs="Arial"/>
                <w:b/>
                <w:bCs/>
                <w:i/>
                <w:iCs/>
                <w:sz w:val="16"/>
                <w:szCs w:val="16"/>
                <w:lang w:val="es-CO" w:eastAsia="es-CO"/>
              </w:rPr>
              <w:t>INVA</w:t>
            </w:r>
            <w:r w:rsidRPr="008B112D">
              <w:rPr>
                <w:rFonts w:cs="Arial"/>
                <w:b/>
                <w:bCs/>
                <w:i/>
                <w:iCs/>
                <w:sz w:val="16"/>
                <w:szCs w:val="16"/>
                <w:vertAlign w:val="subscript"/>
                <w:lang w:val="es-CO" w:eastAsia="es-CO"/>
              </w:rPr>
              <w:t>j,3,l,6</w:t>
            </w:r>
          </w:p>
        </w:tc>
      </w:tr>
      <w:tr w:rsidR="001B2986" w:rsidRPr="008B112D" w14:paraId="562F787D" w14:textId="77777777" w:rsidTr="001B2986">
        <w:trPr>
          <w:trHeight w:val="276"/>
          <w:jc w:val="center"/>
        </w:trPr>
        <w:tc>
          <w:tcPr>
            <w:tcW w:w="969" w:type="dxa"/>
            <w:tcBorders>
              <w:top w:val="nil"/>
              <w:left w:val="single" w:sz="4" w:space="0" w:color="auto"/>
              <w:bottom w:val="single" w:sz="4" w:space="0" w:color="auto"/>
              <w:right w:val="nil"/>
            </w:tcBorders>
            <w:shd w:val="clear" w:color="000000" w:fill="FFFFFF"/>
            <w:noWrap/>
            <w:vAlign w:val="center"/>
            <w:hideMark/>
          </w:tcPr>
          <w:p w14:paraId="000D340E"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5929AE9" w14:textId="026F4E1E" w:rsidR="001B2986" w:rsidRPr="008B112D" w:rsidRDefault="001B2986" w:rsidP="001B2986">
            <w:pPr>
              <w:spacing w:before="0" w:after="0"/>
              <w:jc w:val="right"/>
              <w:rPr>
                <w:rFonts w:cs="Arial"/>
                <w:i/>
                <w:iCs/>
                <w:sz w:val="14"/>
                <w:szCs w:val="14"/>
              </w:rPr>
            </w:pPr>
            <w:r w:rsidRPr="008B112D">
              <w:rPr>
                <w:rFonts w:cs="Arial"/>
                <w:i/>
                <w:iCs/>
                <w:sz w:val="14"/>
                <w:szCs w:val="14"/>
              </w:rPr>
              <w:t>1.047.273.000</w:t>
            </w:r>
          </w:p>
        </w:tc>
        <w:tc>
          <w:tcPr>
            <w:tcW w:w="0" w:type="auto"/>
            <w:tcBorders>
              <w:top w:val="nil"/>
              <w:left w:val="nil"/>
              <w:bottom w:val="single" w:sz="4" w:space="0" w:color="auto"/>
              <w:right w:val="single" w:sz="4" w:space="0" w:color="auto"/>
            </w:tcBorders>
            <w:shd w:val="clear" w:color="auto" w:fill="auto"/>
            <w:noWrap/>
            <w:vAlign w:val="center"/>
          </w:tcPr>
          <w:p w14:paraId="344D9B5D" w14:textId="122ED05C" w:rsidR="001B2986" w:rsidRPr="008B112D" w:rsidRDefault="001B2986" w:rsidP="001B2986">
            <w:pPr>
              <w:spacing w:before="0" w:after="0"/>
              <w:jc w:val="right"/>
              <w:rPr>
                <w:rFonts w:cs="Arial"/>
                <w:i/>
                <w:iCs/>
                <w:sz w:val="14"/>
                <w:szCs w:val="14"/>
              </w:rPr>
            </w:pPr>
            <w:r w:rsidRPr="008B112D">
              <w:rPr>
                <w:rFonts w:cs="Arial"/>
                <w:i/>
                <w:iCs/>
                <w:sz w:val="14"/>
                <w:szCs w:val="14"/>
              </w:rPr>
              <w:t>3.048.354.000</w:t>
            </w:r>
          </w:p>
        </w:tc>
        <w:tc>
          <w:tcPr>
            <w:tcW w:w="0" w:type="auto"/>
            <w:tcBorders>
              <w:top w:val="nil"/>
              <w:left w:val="nil"/>
              <w:bottom w:val="single" w:sz="4" w:space="0" w:color="auto"/>
              <w:right w:val="single" w:sz="4" w:space="0" w:color="auto"/>
            </w:tcBorders>
            <w:shd w:val="clear" w:color="auto" w:fill="auto"/>
            <w:noWrap/>
            <w:vAlign w:val="center"/>
          </w:tcPr>
          <w:p w14:paraId="204E0131" w14:textId="28FC25A0" w:rsidR="001B2986" w:rsidRPr="008B112D" w:rsidRDefault="001B2986" w:rsidP="001B2986">
            <w:pPr>
              <w:spacing w:before="0" w:after="0"/>
              <w:jc w:val="right"/>
              <w:rPr>
                <w:rFonts w:cs="Arial"/>
                <w:i/>
                <w:iCs/>
                <w:sz w:val="14"/>
                <w:szCs w:val="14"/>
              </w:rPr>
            </w:pPr>
            <w:r w:rsidRPr="008B112D">
              <w:rPr>
                <w:rFonts w:cs="Arial"/>
                <w:i/>
                <w:iCs/>
                <w:sz w:val="14"/>
                <w:szCs w:val="14"/>
              </w:rPr>
              <w:t>5.245.915.500</w:t>
            </w:r>
          </w:p>
        </w:tc>
        <w:tc>
          <w:tcPr>
            <w:tcW w:w="0" w:type="auto"/>
            <w:tcBorders>
              <w:top w:val="nil"/>
              <w:left w:val="nil"/>
              <w:bottom w:val="single" w:sz="4" w:space="0" w:color="auto"/>
              <w:right w:val="single" w:sz="4" w:space="0" w:color="auto"/>
            </w:tcBorders>
            <w:shd w:val="clear" w:color="auto" w:fill="auto"/>
            <w:noWrap/>
            <w:vAlign w:val="center"/>
          </w:tcPr>
          <w:p w14:paraId="6B908439" w14:textId="6C3C3A8C" w:rsidR="001B2986" w:rsidRPr="008B112D" w:rsidRDefault="001B2986" w:rsidP="001B2986">
            <w:pPr>
              <w:spacing w:before="0" w:after="0"/>
              <w:jc w:val="right"/>
              <w:rPr>
                <w:rFonts w:cs="Arial"/>
                <w:i/>
                <w:iCs/>
                <w:sz w:val="14"/>
                <w:szCs w:val="14"/>
              </w:rPr>
            </w:pPr>
            <w:r w:rsidRPr="008B112D">
              <w:rPr>
                <w:rFonts w:cs="Arial"/>
                <w:i/>
                <w:iCs/>
                <w:sz w:val="14"/>
                <w:szCs w:val="14"/>
              </w:rPr>
              <w:t>9.531.274.000</w:t>
            </w:r>
          </w:p>
        </w:tc>
        <w:tc>
          <w:tcPr>
            <w:tcW w:w="0" w:type="auto"/>
            <w:tcBorders>
              <w:top w:val="nil"/>
              <w:left w:val="nil"/>
              <w:bottom w:val="single" w:sz="4" w:space="0" w:color="auto"/>
              <w:right w:val="single" w:sz="4" w:space="0" w:color="auto"/>
            </w:tcBorders>
            <w:shd w:val="clear" w:color="auto" w:fill="auto"/>
            <w:noWrap/>
            <w:vAlign w:val="center"/>
          </w:tcPr>
          <w:p w14:paraId="222D6D3A" w14:textId="5D9EFB61" w:rsidR="001B2986" w:rsidRPr="008B112D" w:rsidRDefault="001B2986" w:rsidP="001B2986">
            <w:pPr>
              <w:spacing w:before="0" w:after="0"/>
              <w:jc w:val="right"/>
              <w:rPr>
                <w:rFonts w:cs="Arial"/>
                <w:i/>
                <w:iCs/>
                <w:sz w:val="14"/>
                <w:szCs w:val="14"/>
              </w:rPr>
            </w:pPr>
            <w:r w:rsidRPr="008B112D">
              <w:rPr>
                <w:rFonts w:cs="Arial"/>
                <w:i/>
                <w:iCs/>
                <w:sz w:val="14"/>
                <w:szCs w:val="14"/>
              </w:rPr>
              <w:t>7.674.024.000</w:t>
            </w:r>
          </w:p>
        </w:tc>
        <w:tc>
          <w:tcPr>
            <w:tcW w:w="1263" w:type="dxa"/>
            <w:tcBorders>
              <w:top w:val="nil"/>
              <w:left w:val="nil"/>
              <w:bottom w:val="single" w:sz="4" w:space="0" w:color="auto"/>
              <w:right w:val="single" w:sz="4" w:space="0" w:color="auto"/>
            </w:tcBorders>
            <w:shd w:val="clear" w:color="auto" w:fill="auto"/>
            <w:noWrap/>
            <w:vAlign w:val="center"/>
          </w:tcPr>
          <w:p w14:paraId="43C420EA" w14:textId="371E8F15" w:rsidR="001B2986" w:rsidRPr="008B112D" w:rsidRDefault="001B2986" w:rsidP="001B2986">
            <w:pPr>
              <w:spacing w:before="0" w:after="0"/>
              <w:jc w:val="right"/>
              <w:rPr>
                <w:rFonts w:cs="Arial"/>
                <w:i/>
                <w:iCs/>
                <w:sz w:val="14"/>
                <w:szCs w:val="14"/>
              </w:rPr>
            </w:pPr>
            <w:r w:rsidRPr="008B112D">
              <w:rPr>
                <w:rFonts w:cs="Arial"/>
                <w:i/>
                <w:iCs/>
                <w:sz w:val="14"/>
                <w:szCs w:val="14"/>
              </w:rPr>
              <w:t>1.918.506.000</w:t>
            </w:r>
          </w:p>
        </w:tc>
      </w:tr>
      <w:tr w:rsidR="001B2986" w:rsidRPr="008B112D" w14:paraId="7AA14280" w14:textId="77777777" w:rsidTr="001B2986">
        <w:trPr>
          <w:trHeight w:val="276"/>
          <w:jc w:val="center"/>
        </w:trPr>
        <w:tc>
          <w:tcPr>
            <w:tcW w:w="969" w:type="dxa"/>
            <w:tcBorders>
              <w:top w:val="nil"/>
              <w:left w:val="single" w:sz="4" w:space="0" w:color="auto"/>
              <w:bottom w:val="single" w:sz="4" w:space="0" w:color="auto"/>
              <w:right w:val="nil"/>
            </w:tcBorders>
            <w:shd w:val="clear" w:color="000000" w:fill="FFFFFF"/>
            <w:noWrap/>
            <w:vAlign w:val="center"/>
            <w:hideMark/>
          </w:tcPr>
          <w:p w14:paraId="762E3830"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62E6F0A" w14:textId="77777777" w:rsidR="001B2986" w:rsidRPr="008B112D" w:rsidRDefault="001B2986" w:rsidP="001B2986">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1E66B82A" w14:textId="2A63E01D" w:rsidR="001B2986" w:rsidRPr="008B112D" w:rsidRDefault="001B2986" w:rsidP="001B2986">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65B3DB74" w14:textId="549976F3" w:rsidR="001B2986" w:rsidRPr="008B112D" w:rsidRDefault="001B2986" w:rsidP="001B2986">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3FF6D3D2" w14:textId="1E752DE2" w:rsidR="001B2986" w:rsidRPr="008B112D" w:rsidRDefault="001B2986" w:rsidP="001B2986">
            <w:pPr>
              <w:spacing w:before="0" w:after="0"/>
              <w:jc w:val="right"/>
              <w:rPr>
                <w:rFonts w:cs="Arial"/>
                <w:i/>
                <w:iCs/>
                <w:sz w:val="14"/>
                <w:szCs w:val="14"/>
              </w:rPr>
            </w:pPr>
            <w:r w:rsidRPr="008B112D">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B290197" w14:textId="106DF645" w:rsidR="001B2986" w:rsidRPr="008B112D" w:rsidRDefault="001B2986" w:rsidP="001B2986">
            <w:pPr>
              <w:spacing w:before="0" w:after="0"/>
              <w:jc w:val="right"/>
              <w:rPr>
                <w:rFonts w:cs="Arial"/>
                <w:i/>
                <w:iCs/>
                <w:sz w:val="14"/>
                <w:szCs w:val="14"/>
              </w:rPr>
            </w:pPr>
            <w:r w:rsidRPr="008B112D">
              <w:rPr>
                <w:rFonts w:cs="Arial"/>
                <w:i/>
                <w:iCs/>
                <w:sz w:val="14"/>
                <w:szCs w:val="14"/>
              </w:rPr>
              <w:t>0</w:t>
            </w:r>
          </w:p>
        </w:tc>
        <w:tc>
          <w:tcPr>
            <w:tcW w:w="1263" w:type="dxa"/>
            <w:tcBorders>
              <w:top w:val="nil"/>
              <w:left w:val="nil"/>
              <w:bottom w:val="single" w:sz="4" w:space="0" w:color="auto"/>
              <w:right w:val="single" w:sz="4" w:space="0" w:color="auto"/>
            </w:tcBorders>
            <w:shd w:val="clear" w:color="auto" w:fill="auto"/>
            <w:noWrap/>
            <w:vAlign w:val="center"/>
          </w:tcPr>
          <w:p w14:paraId="6F2F0A0B" w14:textId="658D6D43" w:rsidR="001B2986" w:rsidRPr="008B112D" w:rsidRDefault="001B2986" w:rsidP="001B2986">
            <w:pPr>
              <w:spacing w:before="0" w:after="0"/>
              <w:jc w:val="right"/>
              <w:rPr>
                <w:rFonts w:cs="Arial"/>
                <w:i/>
                <w:iCs/>
                <w:sz w:val="14"/>
                <w:szCs w:val="14"/>
              </w:rPr>
            </w:pPr>
            <w:r w:rsidRPr="008B112D">
              <w:rPr>
                <w:rFonts w:cs="Arial"/>
                <w:i/>
                <w:iCs/>
                <w:sz w:val="14"/>
                <w:szCs w:val="14"/>
              </w:rPr>
              <w:t>0</w:t>
            </w:r>
          </w:p>
        </w:tc>
      </w:tr>
      <w:tr w:rsidR="001B2986" w:rsidRPr="008B112D" w14:paraId="73AF68F0" w14:textId="77777777" w:rsidTr="001B2986">
        <w:trPr>
          <w:trHeight w:val="276"/>
          <w:jc w:val="center"/>
        </w:trPr>
        <w:tc>
          <w:tcPr>
            <w:tcW w:w="969" w:type="dxa"/>
            <w:tcBorders>
              <w:top w:val="nil"/>
              <w:left w:val="single" w:sz="4" w:space="0" w:color="auto"/>
              <w:bottom w:val="single" w:sz="4" w:space="0" w:color="auto"/>
              <w:right w:val="nil"/>
            </w:tcBorders>
            <w:shd w:val="clear" w:color="000000" w:fill="FFFFFF"/>
            <w:noWrap/>
            <w:vAlign w:val="center"/>
            <w:hideMark/>
          </w:tcPr>
          <w:p w14:paraId="1781281B"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0EC542C" w14:textId="58807EF5" w:rsidR="001B2986" w:rsidRPr="008B112D" w:rsidRDefault="001B2986" w:rsidP="001B2986">
            <w:pPr>
              <w:spacing w:before="0" w:after="0"/>
              <w:jc w:val="right"/>
              <w:rPr>
                <w:rFonts w:cs="Arial"/>
                <w:i/>
                <w:iCs/>
                <w:sz w:val="14"/>
                <w:szCs w:val="14"/>
              </w:rPr>
            </w:pPr>
            <w:r w:rsidRPr="008B112D">
              <w:rPr>
                <w:rFonts w:cs="Arial"/>
                <w:i/>
                <w:iCs/>
                <w:sz w:val="14"/>
                <w:szCs w:val="14"/>
              </w:rPr>
              <w:t>7.554.332.000</w:t>
            </w:r>
          </w:p>
        </w:tc>
        <w:tc>
          <w:tcPr>
            <w:tcW w:w="0" w:type="auto"/>
            <w:tcBorders>
              <w:top w:val="nil"/>
              <w:left w:val="nil"/>
              <w:bottom w:val="single" w:sz="4" w:space="0" w:color="auto"/>
              <w:right w:val="single" w:sz="4" w:space="0" w:color="auto"/>
            </w:tcBorders>
            <w:shd w:val="clear" w:color="auto" w:fill="auto"/>
            <w:noWrap/>
            <w:vAlign w:val="center"/>
          </w:tcPr>
          <w:p w14:paraId="1565F6F3" w14:textId="7DA58604" w:rsidR="001B2986" w:rsidRPr="008B112D" w:rsidRDefault="001B2986" w:rsidP="001B2986">
            <w:pPr>
              <w:spacing w:before="0" w:after="0"/>
              <w:jc w:val="right"/>
              <w:rPr>
                <w:rFonts w:cs="Arial"/>
                <w:i/>
                <w:iCs/>
                <w:sz w:val="14"/>
                <w:szCs w:val="14"/>
              </w:rPr>
            </w:pPr>
            <w:r w:rsidRPr="008B112D">
              <w:rPr>
                <w:rFonts w:cs="Arial"/>
                <w:i/>
                <w:iCs/>
                <w:sz w:val="14"/>
                <w:szCs w:val="14"/>
              </w:rPr>
              <w:t>3.883.239.803</w:t>
            </w:r>
          </w:p>
        </w:tc>
        <w:tc>
          <w:tcPr>
            <w:tcW w:w="0" w:type="auto"/>
            <w:tcBorders>
              <w:top w:val="nil"/>
              <w:left w:val="nil"/>
              <w:bottom w:val="single" w:sz="4" w:space="0" w:color="auto"/>
              <w:right w:val="single" w:sz="4" w:space="0" w:color="auto"/>
            </w:tcBorders>
            <w:shd w:val="clear" w:color="auto" w:fill="auto"/>
            <w:noWrap/>
            <w:vAlign w:val="center"/>
          </w:tcPr>
          <w:p w14:paraId="03BF8F63" w14:textId="5213501F" w:rsidR="001B2986" w:rsidRPr="008B112D" w:rsidRDefault="001B2986" w:rsidP="001B2986">
            <w:pPr>
              <w:spacing w:before="0" w:after="0"/>
              <w:jc w:val="right"/>
              <w:rPr>
                <w:rFonts w:cs="Arial"/>
                <w:i/>
                <w:iCs/>
                <w:sz w:val="14"/>
                <w:szCs w:val="14"/>
              </w:rPr>
            </w:pPr>
            <w:r w:rsidRPr="008B112D">
              <w:rPr>
                <w:rFonts w:cs="Arial"/>
                <w:i/>
                <w:iCs/>
                <w:sz w:val="14"/>
                <w:szCs w:val="14"/>
              </w:rPr>
              <w:t>17.335.265.930</w:t>
            </w:r>
          </w:p>
        </w:tc>
        <w:tc>
          <w:tcPr>
            <w:tcW w:w="0" w:type="auto"/>
            <w:tcBorders>
              <w:top w:val="nil"/>
              <w:left w:val="nil"/>
              <w:bottom w:val="single" w:sz="4" w:space="0" w:color="auto"/>
              <w:right w:val="single" w:sz="4" w:space="0" w:color="auto"/>
            </w:tcBorders>
            <w:shd w:val="clear" w:color="auto" w:fill="auto"/>
            <w:noWrap/>
            <w:vAlign w:val="center"/>
          </w:tcPr>
          <w:p w14:paraId="66EC8AE6" w14:textId="49F59B17" w:rsidR="001B2986" w:rsidRPr="008B112D" w:rsidRDefault="001B2986" w:rsidP="001B2986">
            <w:pPr>
              <w:spacing w:before="0" w:after="0"/>
              <w:jc w:val="right"/>
              <w:rPr>
                <w:rFonts w:cs="Arial"/>
                <w:i/>
                <w:iCs/>
                <w:sz w:val="14"/>
                <w:szCs w:val="14"/>
              </w:rPr>
            </w:pPr>
            <w:r w:rsidRPr="008B112D">
              <w:rPr>
                <w:rFonts w:cs="Arial"/>
                <w:i/>
                <w:iCs/>
                <w:sz w:val="14"/>
                <w:szCs w:val="14"/>
              </w:rPr>
              <w:t>14.281.264.139</w:t>
            </w:r>
          </w:p>
        </w:tc>
        <w:tc>
          <w:tcPr>
            <w:tcW w:w="0" w:type="auto"/>
            <w:tcBorders>
              <w:top w:val="nil"/>
              <w:left w:val="nil"/>
              <w:bottom w:val="single" w:sz="4" w:space="0" w:color="auto"/>
              <w:right w:val="single" w:sz="4" w:space="0" w:color="auto"/>
            </w:tcBorders>
            <w:shd w:val="clear" w:color="auto" w:fill="auto"/>
            <w:noWrap/>
            <w:vAlign w:val="center"/>
          </w:tcPr>
          <w:p w14:paraId="1B9993C4" w14:textId="6E4B956C" w:rsidR="001B2986" w:rsidRPr="008B112D" w:rsidRDefault="001B2986" w:rsidP="001B2986">
            <w:pPr>
              <w:spacing w:before="0" w:after="0"/>
              <w:jc w:val="right"/>
              <w:rPr>
                <w:rFonts w:cs="Arial"/>
                <w:i/>
                <w:iCs/>
                <w:sz w:val="14"/>
                <w:szCs w:val="14"/>
              </w:rPr>
            </w:pPr>
            <w:r w:rsidRPr="008B112D">
              <w:rPr>
                <w:rFonts w:cs="Arial"/>
                <w:i/>
                <w:iCs/>
                <w:sz w:val="14"/>
                <w:szCs w:val="14"/>
              </w:rPr>
              <w:t>9.299.178.867</w:t>
            </w:r>
          </w:p>
        </w:tc>
        <w:tc>
          <w:tcPr>
            <w:tcW w:w="1263" w:type="dxa"/>
            <w:tcBorders>
              <w:top w:val="nil"/>
              <w:left w:val="nil"/>
              <w:bottom w:val="single" w:sz="4" w:space="0" w:color="auto"/>
              <w:right w:val="single" w:sz="4" w:space="0" w:color="auto"/>
            </w:tcBorders>
            <w:shd w:val="clear" w:color="auto" w:fill="auto"/>
            <w:noWrap/>
            <w:vAlign w:val="center"/>
          </w:tcPr>
          <w:p w14:paraId="6DC6837E" w14:textId="64B048CB" w:rsidR="001B2986" w:rsidRPr="008B112D" w:rsidRDefault="001B2986" w:rsidP="001B2986">
            <w:pPr>
              <w:spacing w:before="0" w:after="0"/>
              <w:jc w:val="right"/>
              <w:rPr>
                <w:rFonts w:cs="Arial"/>
                <w:i/>
                <w:iCs/>
                <w:sz w:val="14"/>
                <w:szCs w:val="14"/>
              </w:rPr>
            </w:pPr>
            <w:r w:rsidRPr="008B112D">
              <w:rPr>
                <w:rFonts w:cs="Arial"/>
                <w:i/>
                <w:iCs/>
                <w:sz w:val="14"/>
                <w:szCs w:val="14"/>
              </w:rPr>
              <w:t>15.420.400.000</w:t>
            </w:r>
          </w:p>
        </w:tc>
      </w:tr>
      <w:tr w:rsidR="001B2986" w:rsidRPr="008B112D" w14:paraId="7ADF1DFD" w14:textId="77777777" w:rsidTr="001B2986">
        <w:trPr>
          <w:trHeight w:val="276"/>
          <w:jc w:val="center"/>
        </w:trPr>
        <w:tc>
          <w:tcPr>
            <w:tcW w:w="969" w:type="dxa"/>
            <w:tcBorders>
              <w:top w:val="nil"/>
              <w:left w:val="single" w:sz="4" w:space="0" w:color="auto"/>
              <w:bottom w:val="single" w:sz="4" w:space="0" w:color="auto"/>
              <w:right w:val="nil"/>
            </w:tcBorders>
            <w:shd w:val="clear" w:color="000000" w:fill="FFFFFF"/>
            <w:noWrap/>
            <w:vAlign w:val="center"/>
            <w:hideMark/>
          </w:tcPr>
          <w:p w14:paraId="2B59BC3F"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C977682" w14:textId="1D391533" w:rsidR="001B2986" w:rsidRPr="008B112D" w:rsidRDefault="001B2986" w:rsidP="001B2986">
            <w:pPr>
              <w:spacing w:before="0" w:after="0"/>
              <w:jc w:val="right"/>
              <w:rPr>
                <w:rFonts w:cs="Arial"/>
                <w:i/>
                <w:iCs/>
                <w:sz w:val="14"/>
                <w:szCs w:val="14"/>
              </w:rPr>
            </w:pPr>
            <w:r w:rsidRPr="008B112D">
              <w:rPr>
                <w:rFonts w:cs="Arial"/>
                <w:i/>
                <w:iCs/>
                <w:sz w:val="14"/>
                <w:szCs w:val="14"/>
              </w:rPr>
              <w:t>3.323.423.000</w:t>
            </w:r>
          </w:p>
        </w:tc>
        <w:tc>
          <w:tcPr>
            <w:tcW w:w="0" w:type="auto"/>
            <w:tcBorders>
              <w:top w:val="nil"/>
              <w:left w:val="nil"/>
              <w:bottom w:val="single" w:sz="4" w:space="0" w:color="auto"/>
              <w:right w:val="single" w:sz="4" w:space="0" w:color="auto"/>
            </w:tcBorders>
            <w:shd w:val="clear" w:color="auto" w:fill="auto"/>
            <w:noWrap/>
            <w:vAlign w:val="center"/>
          </w:tcPr>
          <w:p w14:paraId="49AA26DA" w14:textId="59E577A0" w:rsidR="001B2986" w:rsidRPr="008B112D" w:rsidRDefault="001B2986" w:rsidP="001B2986">
            <w:pPr>
              <w:spacing w:before="0" w:after="0"/>
              <w:jc w:val="right"/>
              <w:rPr>
                <w:rFonts w:cs="Arial"/>
                <w:i/>
                <w:iCs/>
                <w:sz w:val="14"/>
                <w:szCs w:val="14"/>
              </w:rPr>
            </w:pPr>
            <w:r w:rsidRPr="008B112D">
              <w:rPr>
                <w:rFonts w:cs="Arial"/>
                <w:i/>
                <w:iCs/>
                <w:sz w:val="14"/>
                <w:szCs w:val="14"/>
              </w:rPr>
              <w:t>1.109.670.000</w:t>
            </w:r>
          </w:p>
        </w:tc>
        <w:tc>
          <w:tcPr>
            <w:tcW w:w="0" w:type="auto"/>
            <w:tcBorders>
              <w:top w:val="nil"/>
              <w:left w:val="nil"/>
              <w:bottom w:val="single" w:sz="4" w:space="0" w:color="auto"/>
              <w:right w:val="single" w:sz="4" w:space="0" w:color="auto"/>
            </w:tcBorders>
            <w:shd w:val="clear" w:color="auto" w:fill="auto"/>
            <w:noWrap/>
            <w:vAlign w:val="center"/>
          </w:tcPr>
          <w:p w14:paraId="1FA159EE" w14:textId="532B13D5" w:rsidR="001B2986" w:rsidRPr="008B112D" w:rsidRDefault="001B2986" w:rsidP="001B2986">
            <w:pPr>
              <w:spacing w:before="0" w:after="0"/>
              <w:jc w:val="right"/>
              <w:rPr>
                <w:rFonts w:cs="Arial"/>
                <w:i/>
                <w:iCs/>
                <w:sz w:val="14"/>
                <w:szCs w:val="14"/>
              </w:rPr>
            </w:pPr>
            <w:r w:rsidRPr="008B112D">
              <w:rPr>
                <w:rFonts w:cs="Arial"/>
                <w:i/>
                <w:iCs/>
                <w:sz w:val="14"/>
                <w:szCs w:val="14"/>
              </w:rPr>
              <w:t>2.542.992.000</w:t>
            </w:r>
          </w:p>
        </w:tc>
        <w:tc>
          <w:tcPr>
            <w:tcW w:w="0" w:type="auto"/>
            <w:tcBorders>
              <w:top w:val="nil"/>
              <w:left w:val="nil"/>
              <w:bottom w:val="single" w:sz="4" w:space="0" w:color="auto"/>
              <w:right w:val="single" w:sz="4" w:space="0" w:color="auto"/>
            </w:tcBorders>
            <w:shd w:val="clear" w:color="auto" w:fill="auto"/>
            <w:noWrap/>
            <w:vAlign w:val="center"/>
          </w:tcPr>
          <w:p w14:paraId="0C03C60C" w14:textId="36A4C2FF" w:rsidR="001B2986" w:rsidRPr="008B112D" w:rsidRDefault="001B2986" w:rsidP="001B2986">
            <w:pPr>
              <w:spacing w:before="0" w:after="0"/>
              <w:jc w:val="right"/>
              <w:rPr>
                <w:rFonts w:cs="Arial"/>
                <w:i/>
                <w:iCs/>
                <w:sz w:val="14"/>
                <w:szCs w:val="14"/>
              </w:rPr>
            </w:pPr>
            <w:r w:rsidRPr="008B112D">
              <w:rPr>
                <w:rFonts w:cs="Arial"/>
                <w:i/>
                <w:iCs/>
                <w:sz w:val="14"/>
                <w:szCs w:val="14"/>
              </w:rPr>
              <w:t>1.981.311.000</w:t>
            </w:r>
          </w:p>
        </w:tc>
        <w:tc>
          <w:tcPr>
            <w:tcW w:w="0" w:type="auto"/>
            <w:tcBorders>
              <w:top w:val="nil"/>
              <w:left w:val="nil"/>
              <w:bottom w:val="single" w:sz="4" w:space="0" w:color="auto"/>
              <w:right w:val="single" w:sz="4" w:space="0" w:color="auto"/>
            </w:tcBorders>
            <w:shd w:val="clear" w:color="auto" w:fill="auto"/>
            <w:noWrap/>
            <w:vAlign w:val="center"/>
          </w:tcPr>
          <w:p w14:paraId="07D171E3" w14:textId="69D98AB3" w:rsidR="001B2986" w:rsidRPr="008B112D" w:rsidRDefault="001B2986" w:rsidP="001B2986">
            <w:pPr>
              <w:spacing w:before="0" w:after="0"/>
              <w:jc w:val="right"/>
              <w:rPr>
                <w:rFonts w:cs="Arial"/>
                <w:i/>
                <w:iCs/>
                <w:sz w:val="14"/>
                <w:szCs w:val="14"/>
              </w:rPr>
            </w:pPr>
            <w:r w:rsidRPr="008B112D">
              <w:rPr>
                <w:rFonts w:cs="Arial"/>
                <w:i/>
                <w:iCs/>
                <w:sz w:val="14"/>
                <w:szCs w:val="14"/>
              </w:rPr>
              <w:t>2.095.162.000</w:t>
            </w:r>
          </w:p>
        </w:tc>
        <w:tc>
          <w:tcPr>
            <w:tcW w:w="1263" w:type="dxa"/>
            <w:tcBorders>
              <w:top w:val="nil"/>
              <w:left w:val="nil"/>
              <w:bottom w:val="single" w:sz="4" w:space="0" w:color="auto"/>
              <w:right w:val="single" w:sz="4" w:space="0" w:color="auto"/>
            </w:tcBorders>
            <w:shd w:val="clear" w:color="auto" w:fill="auto"/>
            <w:noWrap/>
            <w:vAlign w:val="center"/>
          </w:tcPr>
          <w:p w14:paraId="090AB56F" w14:textId="59AADB9A" w:rsidR="001B2986" w:rsidRPr="008B112D" w:rsidRDefault="001B2986" w:rsidP="001B2986">
            <w:pPr>
              <w:spacing w:before="0" w:after="0"/>
              <w:jc w:val="right"/>
              <w:rPr>
                <w:rFonts w:cs="Arial"/>
                <w:i/>
                <w:iCs/>
                <w:sz w:val="14"/>
                <w:szCs w:val="14"/>
              </w:rPr>
            </w:pPr>
            <w:r w:rsidRPr="008B112D">
              <w:rPr>
                <w:rFonts w:cs="Arial"/>
                <w:i/>
                <w:iCs/>
                <w:sz w:val="14"/>
                <w:szCs w:val="14"/>
              </w:rPr>
              <w:t>2.247.107.000</w:t>
            </w:r>
          </w:p>
        </w:tc>
      </w:tr>
      <w:tr w:rsidR="001B2986" w:rsidRPr="008B112D" w14:paraId="48D9C040" w14:textId="77777777" w:rsidTr="001B2986">
        <w:trPr>
          <w:trHeight w:val="276"/>
          <w:jc w:val="center"/>
        </w:trPr>
        <w:tc>
          <w:tcPr>
            <w:tcW w:w="969" w:type="dxa"/>
            <w:tcBorders>
              <w:top w:val="nil"/>
              <w:left w:val="single" w:sz="4" w:space="0" w:color="auto"/>
              <w:bottom w:val="single" w:sz="4" w:space="0" w:color="auto"/>
              <w:right w:val="nil"/>
            </w:tcBorders>
            <w:shd w:val="clear" w:color="000000" w:fill="FFFFFF"/>
            <w:noWrap/>
            <w:vAlign w:val="center"/>
            <w:hideMark/>
          </w:tcPr>
          <w:p w14:paraId="5C8E7BBA"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12D827C" w14:textId="0A58F87E" w:rsidR="001B2986" w:rsidRPr="008B112D" w:rsidRDefault="001B2986" w:rsidP="001B2986">
            <w:pPr>
              <w:spacing w:before="0" w:after="0"/>
              <w:jc w:val="right"/>
              <w:rPr>
                <w:rFonts w:cs="Arial"/>
                <w:i/>
                <w:iCs/>
                <w:sz w:val="14"/>
                <w:szCs w:val="14"/>
              </w:rPr>
            </w:pPr>
            <w:r w:rsidRPr="008B112D">
              <w:rPr>
                <w:rFonts w:cs="Arial"/>
                <w:i/>
                <w:iCs/>
                <w:sz w:val="14"/>
                <w:szCs w:val="14"/>
              </w:rPr>
              <w:t>141.792.000</w:t>
            </w:r>
          </w:p>
        </w:tc>
        <w:tc>
          <w:tcPr>
            <w:tcW w:w="0" w:type="auto"/>
            <w:tcBorders>
              <w:top w:val="nil"/>
              <w:left w:val="nil"/>
              <w:bottom w:val="single" w:sz="4" w:space="0" w:color="auto"/>
              <w:right w:val="single" w:sz="4" w:space="0" w:color="auto"/>
            </w:tcBorders>
            <w:shd w:val="clear" w:color="auto" w:fill="auto"/>
            <w:noWrap/>
            <w:vAlign w:val="center"/>
          </w:tcPr>
          <w:p w14:paraId="29F3A8D0" w14:textId="0AB79657" w:rsidR="001B2986" w:rsidRPr="008B112D" w:rsidRDefault="001B2986" w:rsidP="001B2986">
            <w:pPr>
              <w:spacing w:before="0" w:after="0"/>
              <w:jc w:val="right"/>
              <w:rPr>
                <w:rFonts w:cs="Arial"/>
                <w:i/>
                <w:iCs/>
                <w:sz w:val="14"/>
                <w:szCs w:val="14"/>
              </w:rPr>
            </w:pPr>
            <w:r w:rsidRPr="008B112D">
              <w:rPr>
                <w:rFonts w:cs="Arial"/>
                <w:i/>
                <w:iCs/>
                <w:sz w:val="14"/>
                <w:szCs w:val="14"/>
              </w:rPr>
              <w:t>389.162.000</w:t>
            </w:r>
          </w:p>
        </w:tc>
        <w:tc>
          <w:tcPr>
            <w:tcW w:w="0" w:type="auto"/>
            <w:tcBorders>
              <w:top w:val="nil"/>
              <w:left w:val="nil"/>
              <w:bottom w:val="single" w:sz="4" w:space="0" w:color="auto"/>
              <w:right w:val="single" w:sz="4" w:space="0" w:color="auto"/>
            </w:tcBorders>
            <w:shd w:val="clear" w:color="auto" w:fill="auto"/>
            <w:noWrap/>
            <w:vAlign w:val="center"/>
          </w:tcPr>
          <w:p w14:paraId="039FFE45" w14:textId="400F3097" w:rsidR="001B2986" w:rsidRPr="008B112D" w:rsidRDefault="001B2986" w:rsidP="001B2986">
            <w:pPr>
              <w:spacing w:before="0" w:after="0"/>
              <w:jc w:val="right"/>
              <w:rPr>
                <w:rFonts w:cs="Arial"/>
                <w:i/>
                <w:iCs/>
                <w:sz w:val="14"/>
                <w:szCs w:val="14"/>
              </w:rPr>
            </w:pPr>
            <w:r w:rsidRPr="008B112D">
              <w:rPr>
                <w:rFonts w:cs="Arial"/>
                <w:i/>
                <w:iCs/>
                <w:sz w:val="14"/>
                <w:szCs w:val="14"/>
              </w:rPr>
              <w:t>659.168.000</w:t>
            </w:r>
          </w:p>
        </w:tc>
        <w:tc>
          <w:tcPr>
            <w:tcW w:w="0" w:type="auto"/>
            <w:tcBorders>
              <w:top w:val="nil"/>
              <w:left w:val="nil"/>
              <w:bottom w:val="single" w:sz="4" w:space="0" w:color="auto"/>
              <w:right w:val="single" w:sz="4" w:space="0" w:color="auto"/>
            </w:tcBorders>
            <w:shd w:val="clear" w:color="auto" w:fill="auto"/>
            <w:noWrap/>
            <w:vAlign w:val="center"/>
          </w:tcPr>
          <w:p w14:paraId="2BEA5437" w14:textId="21C7F869" w:rsidR="001B2986" w:rsidRPr="008B112D" w:rsidRDefault="001B2986" w:rsidP="001B2986">
            <w:pPr>
              <w:spacing w:before="0" w:after="0"/>
              <w:jc w:val="right"/>
              <w:rPr>
                <w:rFonts w:cs="Arial"/>
                <w:i/>
                <w:iCs/>
                <w:sz w:val="14"/>
                <w:szCs w:val="14"/>
              </w:rPr>
            </w:pPr>
            <w:r w:rsidRPr="008B112D">
              <w:rPr>
                <w:rFonts w:cs="Arial"/>
                <w:i/>
                <w:iCs/>
                <w:sz w:val="14"/>
                <w:szCs w:val="14"/>
              </w:rPr>
              <w:t>440.572.000</w:t>
            </w:r>
          </w:p>
        </w:tc>
        <w:tc>
          <w:tcPr>
            <w:tcW w:w="0" w:type="auto"/>
            <w:tcBorders>
              <w:top w:val="nil"/>
              <w:left w:val="nil"/>
              <w:bottom w:val="single" w:sz="4" w:space="0" w:color="auto"/>
              <w:right w:val="single" w:sz="4" w:space="0" w:color="auto"/>
            </w:tcBorders>
            <w:shd w:val="clear" w:color="auto" w:fill="auto"/>
            <w:noWrap/>
            <w:vAlign w:val="center"/>
          </w:tcPr>
          <w:p w14:paraId="57AD8FD4" w14:textId="0F9188AC" w:rsidR="001B2986" w:rsidRPr="008B112D" w:rsidRDefault="001B2986" w:rsidP="001B2986">
            <w:pPr>
              <w:spacing w:before="0" w:after="0"/>
              <w:jc w:val="right"/>
              <w:rPr>
                <w:rFonts w:cs="Arial"/>
                <w:i/>
                <w:iCs/>
                <w:sz w:val="14"/>
                <w:szCs w:val="14"/>
              </w:rPr>
            </w:pPr>
            <w:r w:rsidRPr="008B112D">
              <w:rPr>
                <w:rFonts w:cs="Arial"/>
                <w:i/>
                <w:iCs/>
                <w:sz w:val="14"/>
                <w:szCs w:val="14"/>
              </w:rPr>
              <w:t>300.044.000</w:t>
            </w:r>
          </w:p>
        </w:tc>
        <w:tc>
          <w:tcPr>
            <w:tcW w:w="1263" w:type="dxa"/>
            <w:tcBorders>
              <w:top w:val="nil"/>
              <w:left w:val="nil"/>
              <w:bottom w:val="single" w:sz="4" w:space="0" w:color="auto"/>
              <w:right w:val="single" w:sz="4" w:space="0" w:color="auto"/>
            </w:tcBorders>
            <w:shd w:val="clear" w:color="auto" w:fill="auto"/>
            <w:noWrap/>
            <w:vAlign w:val="center"/>
          </w:tcPr>
          <w:p w14:paraId="3873ADA7" w14:textId="5D34EE9F" w:rsidR="001B2986" w:rsidRPr="008B112D" w:rsidRDefault="001B2986" w:rsidP="001B2986">
            <w:pPr>
              <w:spacing w:before="0" w:after="0"/>
              <w:jc w:val="right"/>
              <w:rPr>
                <w:rFonts w:cs="Arial"/>
                <w:i/>
                <w:iCs/>
                <w:sz w:val="14"/>
                <w:szCs w:val="14"/>
              </w:rPr>
            </w:pPr>
            <w:r w:rsidRPr="008B112D">
              <w:rPr>
                <w:rFonts w:cs="Arial"/>
                <w:i/>
                <w:iCs/>
                <w:sz w:val="14"/>
                <w:szCs w:val="14"/>
              </w:rPr>
              <w:t>317.768.000</w:t>
            </w:r>
          </w:p>
        </w:tc>
      </w:tr>
      <w:tr w:rsidR="001B2986" w:rsidRPr="008B112D" w14:paraId="0C0B9429" w14:textId="77777777" w:rsidTr="001B2986">
        <w:trPr>
          <w:trHeight w:val="276"/>
          <w:jc w:val="center"/>
        </w:trPr>
        <w:tc>
          <w:tcPr>
            <w:tcW w:w="969" w:type="dxa"/>
            <w:tcBorders>
              <w:top w:val="nil"/>
              <w:left w:val="single" w:sz="4" w:space="0" w:color="auto"/>
              <w:bottom w:val="single" w:sz="4" w:space="0" w:color="auto"/>
              <w:right w:val="nil"/>
            </w:tcBorders>
            <w:shd w:val="clear" w:color="000000" w:fill="FFFFFF"/>
            <w:noWrap/>
            <w:vAlign w:val="center"/>
            <w:hideMark/>
          </w:tcPr>
          <w:p w14:paraId="64B13642"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6</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D7B681A" w14:textId="06B99B43" w:rsidR="001B2986" w:rsidRPr="008B112D" w:rsidRDefault="001B2986" w:rsidP="001B2986">
            <w:pPr>
              <w:spacing w:before="0" w:after="0"/>
              <w:jc w:val="right"/>
              <w:rPr>
                <w:rFonts w:cs="Arial"/>
                <w:i/>
                <w:iCs/>
                <w:sz w:val="14"/>
                <w:szCs w:val="14"/>
              </w:rPr>
            </w:pPr>
            <w:r w:rsidRPr="008B112D">
              <w:rPr>
                <w:rFonts w:cs="Arial"/>
                <w:i/>
                <w:iCs/>
                <w:sz w:val="14"/>
                <w:szCs w:val="14"/>
              </w:rPr>
              <w:t>1.069.090.000</w:t>
            </w:r>
          </w:p>
        </w:tc>
        <w:tc>
          <w:tcPr>
            <w:tcW w:w="0" w:type="auto"/>
            <w:tcBorders>
              <w:top w:val="nil"/>
              <w:left w:val="nil"/>
              <w:bottom w:val="single" w:sz="4" w:space="0" w:color="auto"/>
              <w:right w:val="single" w:sz="4" w:space="0" w:color="auto"/>
            </w:tcBorders>
            <w:shd w:val="clear" w:color="auto" w:fill="auto"/>
            <w:noWrap/>
            <w:vAlign w:val="center"/>
          </w:tcPr>
          <w:p w14:paraId="02559D64" w14:textId="52B3362F" w:rsidR="001B2986" w:rsidRPr="008B112D" w:rsidRDefault="001B2986" w:rsidP="001B2986">
            <w:pPr>
              <w:spacing w:before="0" w:after="0"/>
              <w:jc w:val="right"/>
              <w:rPr>
                <w:rFonts w:cs="Arial"/>
                <w:i/>
                <w:iCs/>
                <w:sz w:val="14"/>
                <w:szCs w:val="14"/>
              </w:rPr>
            </w:pPr>
            <w:r w:rsidRPr="008B112D">
              <w:rPr>
                <w:rFonts w:cs="Arial"/>
                <w:i/>
                <w:iCs/>
                <w:sz w:val="14"/>
                <w:szCs w:val="14"/>
              </w:rPr>
              <w:t>777.455.000</w:t>
            </w:r>
          </w:p>
        </w:tc>
        <w:tc>
          <w:tcPr>
            <w:tcW w:w="0" w:type="auto"/>
            <w:tcBorders>
              <w:top w:val="nil"/>
              <w:left w:val="nil"/>
              <w:bottom w:val="single" w:sz="4" w:space="0" w:color="auto"/>
              <w:right w:val="single" w:sz="4" w:space="0" w:color="auto"/>
            </w:tcBorders>
            <w:shd w:val="clear" w:color="auto" w:fill="auto"/>
            <w:noWrap/>
            <w:vAlign w:val="center"/>
          </w:tcPr>
          <w:p w14:paraId="2983C731" w14:textId="40327C8B" w:rsidR="001B2986" w:rsidRPr="008B112D" w:rsidRDefault="001B2986" w:rsidP="001B2986">
            <w:pPr>
              <w:spacing w:before="0" w:after="0"/>
              <w:jc w:val="right"/>
              <w:rPr>
                <w:rFonts w:cs="Arial"/>
                <w:i/>
                <w:iCs/>
                <w:sz w:val="14"/>
                <w:szCs w:val="14"/>
              </w:rPr>
            </w:pPr>
            <w:r w:rsidRPr="008B112D">
              <w:rPr>
                <w:rFonts w:cs="Arial"/>
                <w:i/>
                <w:iCs/>
                <w:sz w:val="14"/>
                <w:szCs w:val="14"/>
              </w:rPr>
              <w:t>1.520.905.000</w:t>
            </w:r>
          </w:p>
        </w:tc>
        <w:tc>
          <w:tcPr>
            <w:tcW w:w="0" w:type="auto"/>
            <w:tcBorders>
              <w:top w:val="nil"/>
              <w:left w:val="nil"/>
              <w:bottom w:val="single" w:sz="4" w:space="0" w:color="auto"/>
              <w:right w:val="single" w:sz="4" w:space="0" w:color="auto"/>
            </w:tcBorders>
            <w:shd w:val="clear" w:color="auto" w:fill="auto"/>
            <w:noWrap/>
            <w:vAlign w:val="center"/>
          </w:tcPr>
          <w:p w14:paraId="3F7D6FAE" w14:textId="6BE0C7AC" w:rsidR="001B2986" w:rsidRPr="008B112D" w:rsidRDefault="001B2986" w:rsidP="001B2986">
            <w:pPr>
              <w:spacing w:before="0" w:after="0"/>
              <w:jc w:val="right"/>
              <w:rPr>
                <w:rFonts w:cs="Arial"/>
                <w:i/>
                <w:iCs/>
                <w:sz w:val="14"/>
                <w:szCs w:val="14"/>
              </w:rPr>
            </w:pPr>
            <w:r w:rsidRPr="008B112D">
              <w:rPr>
                <w:rFonts w:cs="Arial"/>
                <w:i/>
                <w:iCs/>
                <w:sz w:val="14"/>
                <w:szCs w:val="14"/>
              </w:rPr>
              <w:t>1.496.409.000</w:t>
            </w:r>
          </w:p>
        </w:tc>
        <w:tc>
          <w:tcPr>
            <w:tcW w:w="0" w:type="auto"/>
            <w:tcBorders>
              <w:top w:val="nil"/>
              <w:left w:val="nil"/>
              <w:bottom w:val="single" w:sz="4" w:space="0" w:color="auto"/>
              <w:right w:val="single" w:sz="4" w:space="0" w:color="auto"/>
            </w:tcBorders>
            <w:shd w:val="clear" w:color="auto" w:fill="auto"/>
            <w:noWrap/>
            <w:vAlign w:val="center"/>
          </w:tcPr>
          <w:p w14:paraId="4A323EA0" w14:textId="2958EFE5" w:rsidR="001B2986" w:rsidRPr="008B112D" w:rsidRDefault="001B2986" w:rsidP="001B2986">
            <w:pPr>
              <w:spacing w:before="0" w:after="0"/>
              <w:jc w:val="right"/>
              <w:rPr>
                <w:rFonts w:cs="Arial"/>
                <w:i/>
                <w:iCs/>
                <w:sz w:val="14"/>
                <w:szCs w:val="14"/>
              </w:rPr>
            </w:pPr>
            <w:r w:rsidRPr="008B112D">
              <w:rPr>
                <w:rFonts w:cs="Arial"/>
                <w:i/>
                <w:iCs/>
                <w:sz w:val="14"/>
                <w:szCs w:val="14"/>
              </w:rPr>
              <w:t>833.524.000</w:t>
            </w:r>
          </w:p>
        </w:tc>
        <w:tc>
          <w:tcPr>
            <w:tcW w:w="1263" w:type="dxa"/>
            <w:tcBorders>
              <w:top w:val="nil"/>
              <w:left w:val="nil"/>
              <w:bottom w:val="single" w:sz="4" w:space="0" w:color="auto"/>
              <w:right w:val="single" w:sz="4" w:space="0" w:color="auto"/>
            </w:tcBorders>
            <w:shd w:val="clear" w:color="auto" w:fill="auto"/>
            <w:noWrap/>
            <w:vAlign w:val="center"/>
          </w:tcPr>
          <w:p w14:paraId="049966DB" w14:textId="53F7F8EF" w:rsidR="001B2986" w:rsidRPr="008B112D" w:rsidRDefault="001B2986" w:rsidP="001B2986">
            <w:pPr>
              <w:spacing w:before="0" w:after="0"/>
              <w:jc w:val="right"/>
              <w:rPr>
                <w:rFonts w:cs="Arial"/>
                <w:i/>
                <w:iCs/>
                <w:sz w:val="14"/>
                <w:szCs w:val="14"/>
              </w:rPr>
            </w:pPr>
            <w:r w:rsidRPr="008B112D">
              <w:rPr>
                <w:rFonts w:cs="Arial"/>
                <w:i/>
                <w:iCs/>
                <w:sz w:val="14"/>
                <w:szCs w:val="14"/>
              </w:rPr>
              <w:t>1.524.914.000</w:t>
            </w:r>
          </w:p>
        </w:tc>
      </w:tr>
      <w:tr w:rsidR="001B2986" w:rsidRPr="008B112D" w14:paraId="6E92AC32" w14:textId="77777777" w:rsidTr="001B2986">
        <w:trPr>
          <w:trHeight w:val="276"/>
          <w:jc w:val="center"/>
        </w:trPr>
        <w:tc>
          <w:tcPr>
            <w:tcW w:w="969" w:type="dxa"/>
            <w:tcBorders>
              <w:top w:val="nil"/>
              <w:left w:val="single" w:sz="4" w:space="0" w:color="auto"/>
              <w:bottom w:val="single" w:sz="4" w:space="0" w:color="auto"/>
              <w:right w:val="nil"/>
            </w:tcBorders>
            <w:shd w:val="clear" w:color="000000" w:fill="FFFFFF"/>
            <w:noWrap/>
            <w:vAlign w:val="center"/>
            <w:hideMark/>
          </w:tcPr>
          <w:p w14:paraId="333FB001"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D4FD84D" w14:textId="180E7ED6" w:rsidR="001B2986" w:rsidRPr="008B112D" w:rsidRDefault="001B2986" w:rsidP="001B2986">
            <w:pPr>
              <w:spacing w:before="0" w:after="0"/>
              <w:jc w:val="right"/>
              <w:rPr>
                <w:rFonts w:cs="Arial"/>
                <w:i/>
                <w:iCs/>
                <w:sz w:val="14"/>
                <w:szCs w:val="14"/>
              </w:rPr>
            </w:pPr>
            <w:r w:rsidRPr="008B112D">
              <w:rPr>
                <w:rFonts w:cs="Arial"/>
                <w:i/>
                <w:iCs/>
                <w:sz w:val="14"/>
                <w:szCs w:val="14"/>
              </w:rPr>
              <w:t>20.905.088.790</w:t>
            </w:r>
          </w:p>
        </w:tc>
        <w:tc>
          <w:tcPr>
            <w:tcW w:w="0" w:type="auto"/>
            <w:tcBorders>
              <w:top w:val="nil"/>
              <w:left w:val="nil"/>
              <w:bottom w:val="single" w:sz="4" w:space="0" w:color="auto"/>
              <w:right w:val="single" w:sz="4" w:space="0" w:color="auto"/>
            </w:tcBorders>
            <w:shd w:val="clear" w:color="auto" w:fill="auto"/>
            <w:noWrap/>
            <w:vAlign w:val="center"/>
          </w:tcPr>
          <w:p w14:paraId="6B29D5D1" w14:textId="6B15D35F" w:rsidR="001B2986" w:rsidRPr="008B112D" w:rsidRDefault="001B2986" w:rsidP="001B2986">
            <w:pPr>
              <w:spacing w:before="0" w:after="0"/>
              <w:jc w:val="right"/>
              <w:rPr>
                <w:rFonts w:cs="Arial"/>
                <w:i/>
                <w:iCs/>
                <w:sz w:val="14"/>
                <w:szCs w:val="14"/>
              </w:rPr>
            </w:pPr>
            <w:r w:rsidRPr="008B112D">
              <w:rPr>
                <w:rFonts w:cs="Arial"/>
                <w:i/>
                <w:iCs/>
                <w:sz w:val="14"/>
                <w:szCs w:val="14"/>
              </w:rPr>
              <w:t>1.536.877.522</w:t>
            </w:r>
          </w:p>
        </w:tc>
        <w:tc>
          <w:tcPr>
            <w:tcW w:w="0" w:type="auto"/>
            <w:tcBorders>
              <w:top w:val="nil"/>
              <w:left w:val="nil"/>
              <w:bottom w:val="single" w:sz="4" w:space="0" w:color="auto"/>
              <w:right w:val="single" w:sz="4" w:space="0" w:color="auto"/>
            </w:tcBorders>
            <w:shd w:val="clear" w:color="auto" w:fill="auto"/>
            <w:noWrap/>
            <w:vAlign w:val="center"/>
          </w:tcPr>
          <w:p w14:paraId="3EFC9695" w14:textId="3F5AC897" w:rsidR="001B2986" w:rsidRPr="008B112D" w:rsidRDefault="001B2986" w:rsidP="001B2986">
            <w:pPr>
              <w:spacing w:before="0" w:after="0"/>
              <w:jc w:val="right"/>
              <w:rPr>
                <w:rFonts w:cs="Arial"/>
                <w:i/>
                <w:iCs/>
                <w:sz w:val="14"/>
                <w:szCs w:val="14"/>
              </w:rPr>
            </w:pPr>
            <w:r w:rsidRPr="008B112D">
              <w:rPr>
                <w:rFonts w:cs="Arial"/>
                <w:i/>
                <w:iCs/>
                <w:sz w:val="14"/>
                <w:szCs w:val="14"/>
              </w:rPr>
              <w:t>10.263.647.546</w:t>
            </w:r>
          </w:p>
        </w:tc>
        <w:tc>
          <w:tcPr>
            <w:tcW w:w="0" w:type="auto"/>
            <w:tcBorders>
              <w:top w:val="nil"/>
              <w:left w:val="nil"/>
              <w:bottom w:val="single" w:sz="4" w:space="0" w:color="auto"/>
              <w:right w:val="single" w:sz="4" w:space="0" w:color="auto"/>
            </w:tcBorders>
            <w:shd w:val="clear" w:color="auto" w:fill="auto"/>
            <w:noWrap/>
            <w:vAlign w:val="center"/>
          </w:tcPr>
          <w:p w14:paraId="7B299C14" w14:textId="18CE240C" w:rsidR="001B2986" w:rsidRPr="008B112D" w:rsidRDefault="001B2986" w:rsidP="001B2986">
            <w:pPr>
              <w:spacing w:before="0" w:after="0"/>
              <w:jc w:val="right"/>
              <w:rPr>
                <w:rFonts w:cs="Arial"/>
                <w:i/>
                <w:iCs/>
                <w:sz w:val="14"/>
                <w:szCs w:val="14"/>
              </w:rPr>
            </w:pPr>
            <w:r w:rsidRPr="008B112D">
              <w:rPr>
                <w:rFonts w:cs="Arial"/>
                <w:i/>
                <w:iCs/>
                <w:sz w:val="14"/>
                <w:szCs w:val="14"/>
              </w:rPr>
              <w:t>5.968.837.655</w:t>
            </w:r>
          </w:p>
        </w:tc>
        <w:tc>
          <w:tcPr>
            <w:tcW w:w="0" w:type="auto"/>
            <w:tcBorders>
              <w:top w:val="nil"/>
              <w:left w:val="nil"/>
              <w:bottom w:val="single" w:sz="4" w:space="0" w:color="auto"/>
              <w:right w:val="single" w:sz="4" w:space="0" w:color="auto"/>
            </w:tcBorders>
            <w:shd w:val="clear" w:color="auto" w:fill="auto"/>
            <w:noWrap/>
            <w:vAlign w:val="center"/>
          </w:tcPr>
          <w:p w14:paraId="0655B630" w14:textId="37499602" w:rsidR="001B2986" w:rsidRPr="008B112D" w:rsidRDefault="001B2986" w:rsidP="001B2986">
            <w:pPr>
              <w:spacing w:before="0" w:after="0"/>
              <w:jc w:val="right"/>
              <w:rPr>
                <w:rFonts w:cs="Arial"/>
                <w:i/>
                <w:iCs/>
                <w:sz w:val="14"/>
                <w:szCs w:val="14"/>
              </w:rPr>
            </w:pPr>
            <w:r w:rsidRPr="008B112D">
              <w:rPr>
                <w:rFonts w:cs="Arial"/>
                <w:i/>
                <w:iCs/>
                <w:sz w:val="14"/>
                <w:szCs w:val="14"/>
              </w:rPr>
              <w:t>6.790.479.200</w:t>
            </w:r>
          </w:p>
        </w:tc>
        <w:tc>
          <w:tcPr>
            <w:tcW w:w="1263" w:type="dxa"/>
            <w:tcBorders>
              <w:top w:val="nil"/>
              <w:left w:val="nil"/>
              <w:bottom w:val="single" w:sz="4" w:space="0" w:color="auto"/>
              <w:right w:val="single" w:sz="4" w:space="0" w:color="auto"/>
            </w:tcBorders>
            <w:shd w:val="clear" w:color="auto" w:fill="auto"/>
            <w:noWrap/>
            <w:vAlign w:val="center"/>
          </w:tcPr>
          <w:p w14:paraId="213AF9ED" w14:textId="1D0CA6AB" w:rsidR="001B2986" w:rsidRPr="008B112D" w:rsidRDefault="001B2986" w:rsidP="001B2986">
            <w:pPr>
              <w:spacing w:before="0" w:after="0"/>
              <w:jc w:val="right"/>
              <w:rPr>
                <w:rFonts w:cs="Arial"/>
                <w:i/>
                <w:iCs/>
                <w:sz w:val="14"/>
                <w:szCs w:val="14"/>
              </w:rPr>
            </w:pPr>
            <w:r w:rsidRPr="008B112D">
              <w:rPr>
                <w:rFonts w:cs="Arial"/>
                <w:i/>
                <w:iCs/>
                <w:sz w:val="14"/>
                <w:szCs w:val="14"/>
              </w:rPr>
              <w:t>52.419.697.652</w:t>
            </w:r>
          </w:p>
        </w:tc>
      </w:tr>
      <w:tr w:rsidR="001B2986" w:rsidRPr="008B112D" w14:paraId="0744980B" w14:textId="77777777" w:rsidTr="001B2986">
        <w:trPr>
          <w:trHeight w:val="276"/>
          <w:jc w:val="center"/>
        </w:trPr>
        <w:tc>
          <w:tcPr>
            <w:tcW w:w="9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4F5B9"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B381E9" w14:textId="0C7656AB" w:rsidR="001B2986" w:rsidRPr="008B112D" w:rsidRDefault="001B2986" w:rsidP="001B2986">
            <w:pPr>
              <w:spacing w:before="0" w:after="0"/>
              <w:jc w:val="right"/>
              <w:rPr>
                <w:rFonts w:cs="Arial"/>
                <w:i/>
                <w:iCs/>
                <w:sz w:val="14"/>
                <w:szCs w:val="14"/>
              </w:rPr>
            </w:pPr>
            <w:r w:rsidRPr="008B112D">
              <w:rPr>
                <w:rFonts w:cs="Arial"/>
                <w:i/>
                <w:iCs/>
                <w:sz w:val="14"/>
                <w:szCs w:val="14"/>
              </w:rPr>
              <w:t>1.434.009.262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68BC154" w14:textId="09629CBB" w:rsidR="001B2986" w:rsidRPr="008B112D" w:rsidRDefault="001B2986" w:rsidP="001B2986">
            <w:pPr>
              <w:spacing w:before="0" w:after="0"/>
              <w:jc w:val="right"/>
              <w:rPr>
                <w:rFonts w:cs="Arial"/>
                <w:i/>
                <w:iCs/>
                <w:sz w:val="14"/>
                <w:szCs w:val="14"/>
              </w:rPr>
            </w:pPr>
            <w:r w:rsidRPr="008B112D">
              <w:rPr>
                <w:rFonts w:cs="Arial"/>
                <w:i/>
                <w:iCs/>
                <w:sz w:val="14"/>
                <w:szCs w:val="14"/>
              </w:rPr>
              <w:t>45.980.300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A848CC1" w14:textId="272364A9" w:rsidR="001B2986" w:rsidRPr="008B112D" w:rsidRDefault="001B2986" w:rsidP="001B2986">
            <w:pPr>
              <w:spacing w:before="0" w:after="0"/>
              <w:jc w:val="right"/>
              <w:rPr>
                <w:rFonts w:cs="Arial"/>
                <w:i/>
                <w:iCs/>
                <w:sz w:val="14"/>
                <w:szCs w:val="14"/>
              </w:rPr>
            </w:pPr>
            <w:r w:rsidRPr="008B112D">
              <w:rPr>
                <w:rFonts w:cs="Arial"/>
                <w:i/>
                <w:iCs/>
                <w:sz w:val="14"/>
                <w:szCs w:val="14"/>
              </w:rPr>
              <w:t>2.609.008.400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18AEC4" w14:textId="13D9801D" w:rsidR="001B2986" w:rsidRPr="008B112D" w:rsidRDefault="001B2986" w:rsidP="001B2986">
            <w:pPr>
              <w:spacing w:before="0" w:after="0"/>
              <w:jc w:val="right"/>
              <w:rPr>
                <w:rFonts w:cs="Arial"/>
                <w:i/>
                <w:iCs/>
                <w:sz w:val="14"/>
                <w:szCs w:val="14"/>
              </w:rPr>
            </w:pPr>
            <w:r w:rsidRPr="008B112D">
              <w:rPr>
                <w:rFonts w:cs="Arial"/>
                <w:i/>
                <w:iCs/>
                <w:sz w:val="14"/>
                <w:szCs w:val="14"/>
              </w:rPr>
              <w:t>51.246.500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FF56933" w14:textId="1A148E69" w:rsidR="001B2986" w:rsidRPr="008B112D" w:rsidRDefault="001B2986" w:rsidP="001B2986">
            <w:pPr>
              <w:spacing w:before="0" w:after="0"/>
              <w:jc w:val="right"/>
              <w:rPr>
                <w:rFonts w:cs="Arial"/>
                <w:i/>
                <w:iCs/>
                <w:sz w:val="14"/>
                <w:szCs w:val="14"/>
              </w:rPr>
            </w:pPr>
            <w:r w:rsidRPr="008B112D">
              <w:rPr>
                <w:rFonts w:cs="Arial"/>
                <w:i/>
                <w:iCs/>
                <w:sz w:val="14"/>
                <w:szCs w:val="14"/>
              </w:rPr>
              <w:t>8.308.601.230</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194C1" w14:textId="21A81CA0" w:rsidR="001B2986" w:rsidRPr="008B112D" w:rsidRDefault="001B2986" w:rsidP="001B2986">
            <w:pPr>
              <w:spacing w:before="0" w:after="0"/>
              <w:jc w:val="right"/>
              <w:rPr>
                <w:rFonts w:cs="Arial"/>
                <w:i/>
                <w:iCs/>
                <w:sz w:val="14"/>
                <w:szCs w:val="14"/>
              </w:rPr>
            </w:pPr>
            <w:r w:rsidRPr="008B112D">
              <w:rPr>
                <w:rFonts w:cs="Arial"/>
                <w:i/>
                <w:iCs/>
                <w:sz w:val="14"/>
                <w:szCs w:val="14"/>
              </w:rPr>
              <w:t>930.516.050</w:t>
            </w:r>
          </w:p>
        </w:tc>
      </w:tr>
      <w:tr w:rsidR="001B2986" w:rsidRPr="008B112D" w14:paraId="02FE6BC8" w14:textId="77777777" w:rsidTr="001B2986">
        <w:trPr>
          <w:trHeight w:val="276"/>
          <w:jc w:val="center"/>
        </w:trPr>
        <w:tc>
          <w:tcPr>
            <w:tcW w:w="969" w:type="dxa"/>
            <w:tcBorders>
              <w:top w:val="single" w:sz="4" w:space="0" w:color="auto"/>
              <w:left w:val="single" w:sz="4" w:space="0" w:color="auto"/>
              <w:bottom w:val="single" w:sz="4" w:space="0" w:color="auto"/>
              <w:right w:val="nil"/>
            </w:tcBorders>
            <w:shd w:val="clear" w:color="000000" w:fill="FFFFFF"/>
            <w:noWrap/>
            <w:vAlign w:val="center"/>
            <w:hideMark/>
          </w:tcPr>
          <w:p w14:paraId="6D898EFF"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13FC4E5" w14:textId="797CA03D" w:rsidR="001B2986" w:rsidRPr="008B112D" w:rsidRDefault="001B2986" w:rsidP="001B2986">
            <w:pPr>
              <w:spacing w:before="0" w:after="0"/>
              <w:jc w:val="right"/>
              <w:rPr>
                <w:rFonts w:cs="Arial"/>
                <w:i/>
                <w:iCs/>
                <w:sz w:val="14"/>
                <w:szCs w:val="14"/>
              </w:rPr>
            </w:pPr>
            <w:r w:rsidRPr="008B112D">
              <w:rPr>
                <w:rFonts w:cs="Arial"/>
                <w:i/>
                <w:iCs/>
                <w:sz w:val="14"/>
                <w:szCs w:val="14"/>
              </w:rPr>
              <w:t>721.580.586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717390" w14:textId="495EEEBB" w:rsidR="001B2986" w:rsidRPr="008B112D" w:rsidRDefault="001B2986" w:rsidP="001B2986">
            <w:pPr>
              <w:spacing w:before="0" w:after="0"/>
              <w:jc w:val="right"/>
              <w:rPr>
                <w:rFonts w:cs="Arial"/>
                <w:i/>
                <w:iCs/>
                <w:sz w:val="14"/>
                <w:szCs w:val="14"/>
              </w:rPr>
            </w:pPr>
            <w:r w:rsidRPr="008B112D">
              <w:rPr>
                <w:rFonts w:cs="Arial"/>
                <w:i/>
                <w:iCs/>
                <w:sz w:val="14"/>
                <w:szCs w:val="14"/>
              </w:rPr>
              <w:t>5.251.937.000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6B2425" w14:textId="59F95625" w:rsidR="001B2986" w:rsidRPr="008B112D" w:rsidRDefault="001B2986" w:rsidP="001B2986">
            <w:pPr>
              <w:spacing w:before="0" w:after="0"/>
              <w:jc w:val="right"/>
              <w:rPr>
                <w:rFonts w:cs="Arial"/>
                <w:i/>
                <w:iCs/>
                <w:sz w:val="14"/>
                <w:szCs w:val="14"/>
              </w:rPr>
            </w:pPr>
            <w:r w:rsidRPr="008B112D">
              <w:rPr>
                <w:rFonts w:cs="Arial"/>
                <w:i/>
                <w:iCs/>
                <w:sz w:val="14"/>
                <w:szCs w:val="14"/>
              </w:rPr>
              <w:t>49.300.000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566832" w14:textId="4D6ABDF4" w:rsidR="001B2986" w:rsidRPr="008B112D" w:rsidRDefault="001B2986" w:rsidP="001B2986">
            <w:pPr>
              <w:spacing w:before="0" w:after="0"/>
              <w:jc w:val="right"/>
              <w:rPr>
                <w:rFonts w:cs="Arial"/>
                <w:i/>
                <w:iCs/>
                <w:sz w:val="14"/>
                <w:szCs w:val="14"/>
              </w:rPr>
            </w:pPr>
            <w:r w:rsidRPr="008B112D">
              <w:rPr>
                <w:rFonts w:cs="Arial"/>
                <w:i/>
                <w:iCs/>
                <w:sz w:val="14"/>
                <w:szCs w:val="14"/>
              </w:rPr>
              <w:t>1.311.508.000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E82E51" w14:textId="130624CB" w:rsidR="001B2986" w:rsidRPr="008B112D" w:rsidRDefault="001B2986" w:rsidP="001B2986">
            <w:pPr>
              <w:spacing w:before="0" w:after="0"/>
              <w:jc w:val="right"/>
              <w:rPr>
                <w:rFonts w:cs="Arial"/>
                <w:i/>
                <w:iCs/>
                <w:sz w:val="14"/>
                <w:szCs w:val="14"/>
              </w:rPr>
            </w:pPr>
            <w:r w:rsidRPr="008B112D">
              <w:rPr>
                <w:rFonts w:cs="Arial"/>
                <w:i/>
                <w:iCs/>
                <w:sz w:val="14"/>
                <w:szCs w:val="14"/>
              </w:rPr>
              <w:t>669.724.000</w:t>
            </w:r>
          </w:p>
        </w:tc>
        <w:tc>
          <w:tcPr>
            <w:tcW w:w="1263" w:type="dxa"/>
            <w:tcBorders>
              <w:top w:val="single" w:sz="4" w:space="0" w:color="auto"/>
              <w:left w:val="nil"/>
              <w:bottom w:val="single" w:sz="4" w:space="0" w:color="auto"/>
              <w:right w:val="single" w:sz="4" w:space="0" w:color="auto"/>
            </w:tcBorders>
            <w:shd w:val="clear" w:color="auto" w:fill="auto"/>
            <w:noWrap/>
            <w:vAlign w:val="center"/>
          </w:tcPr>
          <w:p w14:paraId="4D459F55" w14:textId="6DBE297B" w:rsidR="001B2986" w:rsidRPr="008B112D" w:rsidRDefault="001B2986" w:rsidP="001B2986">
            <w:pPr>
              <w:spacing w:before="0" w:after="0"/>
              <w:jc w:val="right"/>
              <w:rPr>
                <w:rFonts w:cs="Arial"/>
                <w:i/>
                <w:iCs/>
                <w:sz w:val="14"/>
                <w:szCs w:val="14"/>
              </w:rPr>
            </w:pPr>
            <w:r w:rsidRPr="008B112D">
              <w:rPr>
                <w:rFonts w:cs="Arial"/>
                <w:i/>
                <w:iCs/>
                <w:sz w:val="14"/>
                <w:szCs w:val="14"/>
              </w:rPr>
              <w:t>48.260.000</w:t>
            </w:r>
          </w:p>
        </w:tc>
      </w:tr>
      <w:tr w:rsidR="001B2986" w:rsidRPr="002762FA" w14:paraId="5D728F5D" w14:textId="77777777" w:rsidTr="001B2986">
        <w:trPr>
          <w:trHeight w:val="276"/>
          <w:jc w:val="center"/>
        </w:trPr>
        <w:tc>
          <w:tcPr>
            <w:tcW w:w="969" w:type="dxa"/>
            <w:tcBorders>
              <w:top w:val="nil"/>
              <w:left w:val="single" w:sz="4" w:space="0" w:color="auto"/>
              <w:bottom w:val="single" w:sz="4" w:space="0" w:color="auto"/>
              <w:right w:val="nil"/>
            </w:tcBorders>
            <w:shd w:val="clear" w:color="000000" w:fill="FFFFFF"/>
            <w:noWrap/>
            <w:vAlign w:val="center"/>
            <w:hideMark/>
          </w:tcPr>
          <w:p w14:paraId="75797A58" w14:textId="77777777" w:rsidR="001B2986" w:rsidRPr="008B112D" w:rsidRDefault="001B2986" w:rsidP="001B2986">
            <w:pPr>
              <w:spacing w:before="0" w:after="0"/>
              <w:jc w:val="center"/>
              <w:rPr>
                <w:rFonts w:cs="Arial"/>
                <w:i/>
                <w:iCs/>
                <w:sz w:val="16"/>
                <w:szCs w:val="16"/>
                <w:lang w:val="es-CO" w:eastAsia="es-CO"/>
              </w:rPr>
            </w:pPr>
            <w:r w:rsidRPr="008B112D">
              <w:rPr>
                <w:rFonts w:cs="Arial"/>
                <w:i/>
                <w:iCs/>
                <w:sz w:val="16"/>
                <w:szCs w:val="16"/>
                <w:lang w:val="es-CO" w:eastAsia="es-CO"/>
              </w:rPr>
              <w:t>l = 10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05785FE" w14:textId="31880252" w:rsidR="001B2986" w:rsidRPr="008B112D" w:rsidRDefault="001B2986" w:rsidP="001B2986">
            <w:pPr>
              <w:spacing w:before="0" w:after="0"/>
              <w:jc w:val="right"/>
              <w:rPr>
                <w:rFonts w:cs="Arial"/>
                <w:i/>
                <w:iCs/>
                <w:sz w:val="14"/>
                <w:szCs w:val="14"/>
              </w:rPr>
            </w:pPr>
            <w:r w:rsidRPr="008B112D">
              <w:rPr>
                <w:rFonts w:cs="Arial"/>
                <w:i/>
                <w:iCs/>
                <w:sz w:val="14"/>
                <w:szCs w:val="14"/>
              </w:rPr>
              <w:t>13.064.174.452</w:t>
            </w:r>
          </w:p>
        </w:tc>
        <w:tc>
          <w:tcPr>
            <w:tcW w:w="0" w:type="auto"/>
            <w:tcBorders>
              <w:top w:val="nil"/>
              <w:left w:val="nil"/>
              <w:bottom w:val="single" w:sz="4" w:space="0" w:color="auto"/>
              <w:right w:val="single" w:sz="4" w:space="0" w:color="auto"/>
            </w:tcBorders>
            <w:shd w:val="clear" w:color="auto" w:fill="auto"/>
            <w:noWrap/>
            <w:vAlign w:val="center"/>
          </w:tcPr>
          <w:p w14:paraId="48BC5423" w14:textId="334A3431" w:rsidR="001B2986" w:rsidRPr="008B112D" w:rsidRDefault="001B2986" w:rsidP="001B2986">
            <w:pPr>
              <w:spacing w:before="0" w:after="0"/>
              <w:jc w:val="right"/>
              <w:rPr>
                <w:rFonts w:cs="Arial"/>
                <w:i/>
                <w:iCs/>
                <w:sz w:val="14"/>
                <w:szCs w:val="14"/>
              </w:rPr>
            </w:pPr>
            <w:r w:rsidRPr="008B112D">
              <w:rPr>
                <w:rFonts w:cs="Arial"/>
                <w:i/>
                <w:iCs/>
                <w:sz w:val="14"/>
                <w:szCs w:val="14"/>
              </w:rPr>
              <w:t>8.946.171.625</w:t>
            </w:r>
          </w:p>
        </w:tc>
        <w:tc>
          <w:tcPr>
            <w:tcW w:w="0" w:type="auto"/>
            <w:tcBorders>
              <w:top w:val="nil"/>
              <w:left w:val="nil"/>
              <w:bottom w:val="single" w:sz="4" w:space="0" w:color="auto"/>
              <w:right w:val="single" w:sz="4" w:space="0" w:color="auto"/>
            </w:tcBorders>
            <w:shd w:val="clear" w:color="auto" w:fill="auto"/>
            <w:noWrap/>
            <w:vAlign w:val="center"/>
          </w:tcPr>
          <w:p w14:paraId="7BF4AE02" w14:textId="40C113D8" w:rsidR="001B2986" w:rsidRPr="008B112D" w:rsidRDefault="001B2986" w:rsidP="001B2986">
            <w:pPr>
              <w:spacing w:before="0" w:after="0"/>
              <w:jc w:val="right"/>
              <w:rPr>
                <w:rFonts w:cs="Arial"/>
                <w:i/>
                <w:iCs/>
                <w:sz w:val="14"/>
                <w:szCs w:val="14"/>
              </w:rPr>
            </w:pPr>
            <w:r w:rsidRPr="008B112D">
              <w:rPr>
                <w:rFonts w:cs="Arial"/>
                <w:i/>
                <w:iCs/>
                <w:sz w:val="14"/>
                <w:szCs w:val="14"/>
              </w:rPr>
              <w:t>3.356.134.667</w:t>
            </w:r>
          </w:p>
        </w:tc>
        <w:tc>
          <w:tcPr>
            <w:tcW w:w="0" w:type="auto"/>
            <w:tcBorders>
              <w:top w:val="nil"/>
              <w:left w:val="nil"/>
              <w:bottom w:val="single" w:sz="4" w:space="0" w:color="auto"/>
              <w:right w:val="single" w:sz="4" w:space="0" w:color="auto"/>
            </w:tcBorders>
            <w:shd w:val="clear" w:color="auto" w:fill="auto"/>
            <w:noWrap/>
            <w:vAlign w:val="center"/>
          </w:tcPr>
          <w:p w14:paraId="74C4871F" w14:textId="4A23095A" w:rsidR="001B2986" w:rsidRPr="008B112D" w:rsidRDefault="001B2986" w:rsidP="001B2986">
            <w:pPr>
              <w:spacing w:before="0" w:after="0"/>
              <w:jc w:val="right"/>
              <w:rPr>
                <w:rFonts w:cs="Arial"/>
                <w:i/>
                <w:iCs/>
                <w:sz w:val="14"/>
                <w:szCs w:val="14"/>
              </w:rPr>
            </w:pPr>
            <w:r w:rsidRPr="008B112D">
              <w:rPr>
                <w:rFonts w:cs="Arial"/>
                <w:i/>
                <w:iCs/>
                <w:sz w:val="14"/>
                <w:szCs w:val="14"/>
              </w:rPr>
              <w:t>4.830.960.307</w:t>
            </w:r>
          </w:p>
        </w:tc>
        <w:tc>
          <w:tcPr>
            <w:tcW w:w="0" w:type="auto"/>
            <w:tcBorders>
              <w:top w:val="nil"/>
              <w:left w:val="nil"/>
              <w:bottom w:val="single" w:sz="4" w:space="0" w:color="auto"/>
              <w:right w:val="single" w:sz="4" w:space="0" w:color="auto"/>
            </w:tcBorders>
            <w:shd w:val="clear" w:color="auto" w:fill="auto"/>
            <w:noWrap/>
            <w:vAlign w:val="center"/>
          </w:tcPr>
          <w:p w14:paraId="3280AEF7" w14:textId="3D2AB144" w:rsidR="001B2986" w:rsidRPr="008B112D" w:rsidRDefault="001B2986" w:rsidP="001B2986">
            <w:pPr>
              <w:spacing w:before="0" w:after="0"/>
              <w:jc w:val="right"/>
              <w:rPr>
                <w:rFonts w:cs="Arial"/>
                <w:i/>
                <w:iCs/>
                <w:sz w:val="14"/>
                <w:szCs w:val="14"/>
              </w:rPr>
            </w:pPr>
            <w:r w:rsidRPr="008B112D">
              <w:rPr>
                <w:rFonts w:cs="Arial"/>
                <w:i/>
                <w:iCs/>
                <w:sz w:val="14"/>
                <w:szCs w:val="14"/>
              </w:rPr>
              <w:t>2.401.656.933</w:t>
            </w:r>
          </w:p>
        </w:tc>
        <w:tc>
          <w:tcPr>
            <w:tcW w:w="1263" w:type="dxa"/>
            <w:tcBorders>
              <w:top w:val="nil"/>
              <w:left w:val="nil"/>
              <w:bottom w:val="single" w:sz="4" w:space="0" w:color="auto"/>
              <w:right w:val="single" w:sz="4" w:space="0" w:color="auto"/>
            </w:tcBorders>
            <w:shd w:val="clear" w:color="auto" w:fill="auto"/>
            <w:noWrap/>
            <w:vAlign w:val="center"/>
          </w:tcPr>
          <w:p w14:paraId="0DC51991" w14:textId="29DF42F0" w:rsidR="001B2986" w:rsidRPr="000621A6" w:rsidRDefault="001B2986" w:rsidP="001B2986">
            <w:pPr>
              <w:spacing w:before="0" w:after="0"/>
              <w:jc w:val="right"/>
              <w:rPr>
                <w:rFonts w:cs="Arial"/>
                <w:i/>
                <w:iCs/>
                <w:sz w:val="14"/>
                <w:szCs w:val="14"/>
              </w:rPr>
            </w:pPr>
            <w:r w:rsidRPr="008B112D">
              <w:rPr>
                <w:rFonts w:cs="Arial"/>
                <w:i/>
                <w:iCs/>
                <w:sz w:val="14"/>
                <w:szCs w:val="14"/>
              </w:rPr>
              <w:t>2.338.214.227</w:t>
            </w:r>
          </w:p>
        </w:tc>
      </w:tr>
    </w:tbl>
    <w:p w14:paraId="0EF2CBC3" w14:textId="4EB33652" w:rsidR="00000018" w:rsidRPr="000A1177" w:rsidRDefault="00000018" w:rsidP="003E4FBA">
      <w:pPr>
        <w:pStyle w:val="Descripcin"/>
        <w:spacing w:before="120" w:after="120"/>
        <w:ind w:firstLine="708"/>
        <w:rPr>
          <w:i/>
          <w:iCs/>
          <w:sz w:val="20"/>
          <w:szCs w:val="18"/>
        </w:rPr>
      </w:pPr>
      <w:r w:rsidRPr="000A1177">
        <w:rPr>
          <w:i/>
          <w:iCs/>
          <w:sz w:val="20"/>
          <w:szCs w:val="18"/>
        </w:rPr>
        <w:t>Tabla 4 Plan de inversiones del nivel de tensión 2, pesos de diciembre de 2017</w:t>
      </w:r>
    </w:p>
    <w:tbl>
      <w:tblPr>
        <w:tblW w:w="0" w:type="auto"/>
        <w:jc w:val="center"/>
        <w:tblCellMar>
          <w:left w:w="70" w:type="dxa"/>
          <w:right w:w="70" w:type="dxa"/>
        </w:tblCellMar>
        <w:tblLook w:val="04A0" w:firstRow="1" w:lastRow="0" w:firstColumn="1" w:lastColumn="0" w:noHBand="0" w:noVBand="1"/>
      </w:tblPr>
      <w:tblGrid>
        <w:gridCol w:w="934"/>
        <w:gridCol w:w="1221"/>
        <w:gridCol w:w="1221"/>
        <w:gridCol w:w="1308"/>
        <w:gridCol w:w="1308"/>
        <w:gridCol w:w="1221"/>
        <w:gridCol w:w="1221"/>
      </w:tblGrid>
      <w:tr w:rsidR="00000018" w:rsidRPr="000A1177" w14:paraId="50CA9828" w14:textId="77777777" w:rsidTr="003C424B">
        <w:trPr>
          <w:trHeight w:val="441"/>
          <w:tblHeader/>
          <w:jc w:val="center"/>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FBDAD" w14:textId="77777777" w:rsidR="00000018" w:rsidRPr="000A1177" w:rsidRDefault="00000018" w:rsidP="003A2309">
            <w:pPr>
              <w:spacing w:before="0" w:after="0"/>
              <w:jc w:val="center"/>
              <w:rPr>
                <w:rFonts w:cs="Arial"/>
                <w:b/>
                <w:bCs/>
                <w:sz w:val="16"/>
                <w:szCs w:val="16"/>
                <w:lang w:eastAsia="es-CO"/>
              </w:rPr>
            </w:pPr>
            <w:r w:rsidRPr="000A1177">
              <w:rPr>
                <w:rFonts w:cs="Arial"/>
                <w:b/>
                <w:sz w:val="16"/>
                <w:szCs w:val="16"/>
                <w:lang w:eastAsia="es-CO"/>
              </w:rPr>
              <w:t xml:space="preserve">Categoría de activos </w:t>
            </w:r>
            <w:r w:rsidRPr="000A1177">
              <w:rPr>
                <w:rFonts w:cs="Arial"/>
                <w:b/>
                <w:i/>
                <w:iCs/>
                <w:sz w:val="16"/>
                <w:szCs w:val="16"/>
                <w:lang w:eastAsia="es-CO"/>
              </w:rPr>
              <w:t>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9C546A" w14:textId="77777777" w:rsidR="00000018" w:rsidRPr="000A1177" w:rsidRDefault="00000018" w:rsidP="003A2309">
            <w:pPr>
              <w:spacing w:before="0" w:after="0"/>
              <w:jc w:val="center"/>
              <w:rPr>
                <w:rFonts w:cs="Arial"/>
                <w:b/>
                <w:bCs/>
                <w:i/>
                <w:iCs/>
                <w:sz w:val="16"/>
                <w:szCs w:val="16"/>
                <w:lang w:eastAsia="es-CO"/>
              </w:rPr>
            </w:pPr>
            <w:r w:rsidRPr="000A1177">
              <w:rPr>
                <w:rFonts w:cs="Arial"/>
                <w:b/>
                <w:i/>
                <w:iCs/>
                <w:sz w:val="16"/>
                <w:szCs w:val="16"/>
                <w:lang w:eastAsia="es-CO"/>
              </w:rPr>
              <w:t>INVA</w:t>
            </w:r>
            <w:r w:rsidRPr="000A1177">
              <w:rPr>
                <w:rFonts w:cs="Arial"/>
                <w:b/>
                <w:i/>
                <w:iCs/>
                <w:sz w:val="16"/>
                <w:szCs w:val="16"/>
                <w:vertAlign w:val="subscript"/>
                <w:lang w:eastAsia="es-CO"/>
              </w:rPr>
              <w:t>j,2,l,1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5F33AF" w14:textId="77777777" w:rsidR="00000018" w:rsidRPr="000A1177" w:rsidRDefault="00000018" w:rsidP="003A2309">
            <w:pPr>
              <w:spacing w:before="0" w:after="0"/>
              <w:jc w:val="center"/>
              <w:rPr>
                <w:rFonts w:cs="Arial"/>
                <w:b/>
                <w:bCs/>
                <w:i/>
                <w:iCs/>
                <w:sz w:val="16"/>
                <w:szCs w:val="16"/>
                <w:lang w:eastAsia="es-CO"/>
              </w:rPr>
            </w:pPr>
            <w:r w:rsidRPr="000A1177">
              <w:rPr>
                <w:rFonts w:cs="Arial"/>
                <w:b/>
                <w:i/>
                <w:iCs/>
                <w:sz w:val="16"/>
                <w:szCs w:val="16"/>
                <w:lang w:eastAsia="es-CO"/>
              </w:rPr>
              <w:t>INVA</w:t>
            </w:r>
            <w:r w:rsidRPr="000A1177">
              <w:rPr>
                <w:rFonts w:cs="Arial"/>
                <w:b/>
                <w:i/>
                <w:iCs/>
                <w:sz w:val="16"/>
                <w:szCs w:val="16"/>
                <w:vertAlign w:val="subscript"/>
                <w:lang w:eastAsia="es-CO"/>
              </w:rPr>
              <w:t>j,2,l,2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4E9DDD" w14:textId="77777777" w:rsidR="00000018" w:rsidRPr="000A1177" w:rsidRDefault="00000018" w:rsidP="003A2309">
            <w:pPr>
              <w:spacing w:before="0" w:after="0"/>
              <w:jc w:val="center"/>
              <w:rPr>
                <w:rFonts w:cs="Arial"/>
                <w:b/>
                <w:bCs/>
                <w:i/>
                <w:iCs/>
                <w:sz w:val="16"/>
                <w:szCs w:val="16"/>
                <w:lang w:eastAsia="es-CO"/>
              </w:rPr>
            </w:pPr>
            <w:r w:rsidRPr="000A1177">
              <w:rPr>
                <w:rFonts w:cs="Arial"/>
                <w:b/>
                <w:i/>
                <w:iCs/>
                <w:sz w:val="16"/>
                <w:szCs w:val="16"/>
                <w:lang w:eastAsia="es-CO"/>
              </w:rPr>
              <w:t>INVA</w:t>
            </w:r>
            <w:r w:rsidRPr="000A1177">
              <w:rPr>
                <w:rFonts w:cs="Arial"/>
                <w:b/>
                <w:i/>
                <w:iCs/>
                <w:sz w:val="16"/>
                <w:szCs w:val="16"/>
                <w:vertAlign w:val="subscript"/>
                <w:lang w:eastAsia="es-CO"/>
              </w:rPr>
              <w:t>j,2,l,3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0AE03A" w14:textId="77777777" w:rsidR="00000018" w:rsidRPr="000A1177" w:rsidRDefault="00000018" w:rsidP="003A2309">
            <w:pPr>
              <w:spacing w:before="0" w:after="0"/>
              <w:jc w:val="center"/>
              <w:rPr>
                <w:rFonts w:cs="Arial"/>
                <w:b/>
                <w:bCs/>
                <w:i/>
                <w:iCs/>
                <w:sz w:val="16"/>
                <w:szCs w:val="16"/>
                <w:lang w:eastAsia="es-CO"/>
              </w:rPr>
            </w:pPr>
            <w:r w:rsidRPr="000A1177">
              <w:rPr>
                <w:rFonts w:cs="Arial"/>
                <w:b/>
                <w:i/>
                <w:iCs/>
                <w:sz w:val="16"/>
                <w:szCs w:val="16"/>
                <w:lang w:eastAsia="es-CO"/>
              </w:rPr>
              <w:t>INVA</w:t>
            </w:r>
            <w:r w:rsidRPr="000A1177">
              <w:rPr>
                <w:rFonts w:cs="Arial"/>
                <w:b/>
                <w:i/>
                <w:iCs/>
                <w:sz w:val="16"/>
                <w:szCs w:val="16"/>
                <w:vertAlign w:val="subscript"/>
                <w:lang w:eastAsia="es-CO"/>
              </w:rPr>
              <w:t>j,2,l,4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491311" w14:textId="77777777" w:rsidR="00000018" w:rsidRPr="000A1177" w:rsidRDefault="00000018" w:rsidP="003A2309">
            <w:pPr>
              <w:spacing w:before="0" w:after="0"/>
              <w:jc w:val="center"/>
              <w:rPr>
                <w:rFonts w:cs="Arial"/>
                <w:b/>
                <w:bCs/>
                <w:i/>
                <w:iCs/>
                <w:sz w:val="16"/>
                <w:szCs w:val="16"/>
                <w:lang w:eastAsia="es-CO"/>
              </w:rPr>
            </w:pPr>
            <w:r w:rsidRPr="000A1177">
              <w:rPr>
                <w:rFonts w:cs="Arial"/>
                <w:b/>
                <w:i/>
                <w:iCs/>
                <w:sz w:val="16"/>
                <w:szCs w:val="16"/>
                <w:lang w:eastAsia="es-CO"/>
              </w:rPr>
              <w:t>INVA</w:t>
            </w:r>
            <w:r w:rsidRPr="000A1177">
              <w:rPr>
                <w:rFonts w:cs="Arial"/>
                <w:b/>
                <w:i/>
                <w:iCs/>
                <w:sz w:val="16"/>
                <w:szCs w:val="16"/>
                <w:vertAlign w:val="subscript"/>
                <w:lang w:eastAsia="es-CO"/>
              </w:rPr>
              <w:t>j,2,l,5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6D7913" w14:textId="77777777" w:rsidR="00000018" w:rsidRPr="000A1177" w:rsidRDefault="00000018" w:rsidP="003A2309">
            <w:pPr>
              <w:spacing w:before="0" w:after="0"/>
              <w:jc w:val="center"/>
              <w:rPr>
                <w:rFonts w:cs="Arial"/>
                <w:b/>
                <w:bCs/>
                <w:i/>
                <w:iCs/>
                <w:sz w:val="16"/>
                <w:szCs w:val="16"/>
                <w:lang w:eastAsia="es-CO"/>
              </w:rPr>
            </w:pPr>
            <w:r w:rsidRPr="000A1177">
              <w:rPr>
                <w:rFonts w:cs="Arial"/>
                <w:b/>
                <w:i/>
                <w:iCs/>
                <w:sz w:val="16"/>
                <w:szCs w:val="16"/>
                <w:lang w:eastAsia="es-CO"/>
              </w:rPr>
              <w:t>INVA</w:t>
            </w:r>
            <w:r w:rsidRPr="000A1177">
              <w:rPr>
                <w:rFonts w:cs="Arial"/>
                <w:b/>
                <w:i/>
                <w:iCs/>
                <w:sz w:val="16"/>
                <w:szCs w:val="16"/>
                <w:vertAlign w:val="subscript"/>
                <w:lang w:eastAsia="es-CO"/>
              </w:rPr>
              <w:t>j,2,l,6</w:t>
            </w:r>
          </w:p>
        </w:tc>
      </w:tr>
      <w:tr w:rsidR="003C424B" w:rsidRPr="000A1177" w14:paraId="4299DCF8"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073C1099"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6557DCC" w14:textId="50AE2DF9" w:rsidR="003C424B" w:rsidRPr="00606E76" w:rsidRDefault="003C424B" w:rsidP="003C424B">
            <w:pPr>
              <w:spacing w:before="0" w:after="0"/>
              <w:jc w:val="right"/>
              <w:rPr>
                <w:rFonts w:cs="Arial"/>
                <w:i/>
                <w:iCs/>
                <w:sz w:val="14"/>
                <w:szCs w:val="14"/>
                <w:highlight w:val="yellow"/>
              </w:rPr>
            </w:pPr>
            <w:r w:rsidRPr="00B61CD7">
              <w:rPr>
                <w:rFonts w:cs="Arial"/>
                <w:i/>
                <w:iCs/>
                <w:sz w:val="14"/>
                <w:szCs w:val="14"/>
              </w:rPr>
              <w:t>28.856.986.100</w:t>
            </w:r>
          </w:p>
        </w:tc>
        <w:tc>
          <w:tcPr>
            <w:tcW w:w="0" w:type="auto"/>
            <w:tcBorders>
              <w:top w:val="nil"/>
              <w:left w:val="nil"/>
              <w:bottom w:val="single" w:sz="4" w:space="0" w:color="auto"/>
              <w:right w:val="single" w:sz="4" w:space="0" w:color="auto"/>
            </w:tcBorders>
            <w:shd w:val="clear" w:color="auto" w:fill="auto"/>
            <w:noWrap/>
            <w:vAlign w:val="center"/>
          </w:tcPr>
          <w:p w14:paraId="38C7C823" w14:textId="4A0E04F0" w:rsidR="003C424B" w:rsidRPr="000A1177" w:rsidRDefault="003C424B" w:rsidP="003C424B">
            <w:pPr>
              <w:spacing w:before="0" w:after="0"/>
              <w:jc w:val="right"/>
              <w:rPr>
                <w:rFonts w:cs="Arial"/>
                <w:i/>
                <w:iCs/>
                <w:sz w:val="14"/>
                <w:szCs w:val="14"/>
              </w:rPr>
            </w:pPr>
            <w:r w:rsidRPr="003C424B">
              <w:rPr>
                <w:rFonts w:cs="Arial"/>
                <w:i/>
                <w:iCs/>
                <w:sz w:val="14"/>
                <w:szCs w:val="14"/>
              </w:rPr>
              <w:t>4.703.535.500</w:t>
            </w:r>
          </w:p>
        </w:tc>
        <w:tc>
          <w:tcPr>
            <w:tcW w:w="0" w:type="auto"/>
            <w:tcBorders>
              <w:top w:val="nil"/>
              <w:left w:val="nil"/>
              <w:bottom w:val="single" w:sz="4" w:space="0" w:color="auto"/>
              <w:right w:val="single" w:sz="4" w:space="0" w:color="auto"/>
            </w:tcBorders>
            <w:shd w:val="clear" w:color="auto" w:fill="auto"/>
            <w:noWrap/>
            <w:vAlign w:val="center"/>
          </w:tcPr>
          <w:p w14:paraId="6355B610" w14:textId="331002E0" w:rsidR="003C424B" w:rsidRPr="000A1177" w:rsidRDefault="003C424B" w:rsidP="003C424B">
            <w:pPr>
              <w:spacing w:before="0" w:after="0"/>
              <w:jc w:val="right"/>
              <w:rPr>
                <w:rFonts w:cs="Arial"/>
                <w:i/>
                <w:iCs/>
                <w:sz w:val="14"/>
                <w:szCs w:val="14"/>
              </w:rPr>
            </w:pPr>
            <w:r w:rsidRPr="003C424B">
              <w:rPr>
                <w:rFonts w:cs="Arial"/>
                <w:i/>
                <w:iCs/>
                <w:sz w:val="14"/>
                <w:szCs w:val="14"/>
              </w:rPr>
              <w:t>28.077.123.500</w:t>
            </w:r>
          </w:p>
        </w:tc>
        <w:tc>
          <w:tcPr>
            <w:tcW w:w="0" w:type="auto"/>
            <w:tcBorders>
              <w:top w:val="nil"/>
              <w:left w:val="nil"/>
              <w:bottom w:val="single" w:sz="4" w:space="0" w:color="auto"/>
              <w:right w:val="single" w:sz="4" w:space="0" w:color="auto"/>
            </w:tcBorders>
            <w:shd w:val="clear" w:color="auto" w:fill="auto"/>
            <w:noWrap/>
            <w:vAlign w:val="center"/>
          </w:tcPr>
          <w:p w14:paraId="6A366B5C" w14:textId="41F16DEB" w:rsidR="003C424B" w:rsidRPr="000A1177" w:rsidRDefault="003C424B" w:rsidP="003C424B">
            <w:pPr>
              <w:spacing w:before="0" w:after="0"/>
              <w:jc w:val="right"/>
              <w:rPr>
                <w:rFonts w:cs="Arial"/>
                <w:i/>
                <w:iCs/>
                <w:sz w:val="14"/>
                <w:szCs w:val="14"/>
              </w:rPr>
            </w:pPr>
            <w:r w:rsidRPr="003C424B">
              <w:rPr>
                <w:rFonts w:cs="Arial"/>
                <w:i/>
                <w:iCs/>
                <w:sz w:val="14"/>
                <w:szCs w:val="14"/>
              </w:rPr>
              <w:t>25.864.995.100</w:t>
            </w:r>
          </w:p>
        </w:tc>
        <w:tc>
          <w:tcPr>
            <w:tcW w:w="0" w:type="auto"/>
            <w:tcBorders>
              <w:top w:val="nil"/>
              <w:left w:val="nil"/>
              <w:bottom w:val="single" w:sz="4" w:space="0" w:color="auto"/>
              <w:right w:val="single" w:sz="4" w:space="0" w:color="auto"/>
            </w:tcBorders>
            <w:shd w:val="clear" w:color="auto" w:fill="auto"/>
            <w:noWrap/>
            <w:vAlign w:val="center"/>
          </w:tcPr>
          <w:p w14:paraId="44C1A9AC" w14:textId="72B746B4" w:rsidR="003C424B" w:rsidRPr="000A1177" w:rsidRDefault="003C424B" w:rsidP="003C424B">
            <w:pPr>
              <w:spacing w:before="0" w:after="0"/>
              <w:jc w:val="right"/>
              <w:rPr>
                <w:rFonts w:cs="Arial"/>
                <w:i/>
                <w:iCs/>
                <w:sz w:val="14"/>
                <w:szCs w:val="14"/>
              </w:rPr>
            </w:pPr>
            <w:r w:rsidRPr="003C424B">
              <w:rPr>
                <w:rFonts w:cs="Arial"/>
                <w:i/>
                <w:iCs/>
                <w:sz w:val="14"/>
                <w:szCs w:val="14"/>
              </w:rPr>
              <w:t>6.114.555.500</w:t>
            </w:r>
          </w:p>
        </w:tc>
        <w:tc>
          <w:tcPr>
            <w:tcW w:w="0" w:type="auto"/>
            <w:tcBorders>
              <w:top w:val="nil"/>
              <w:left w:val="nil"/>
              <w:bottom w:val="single" w:sz="4" w:space="0" w:color="auto"/>
              <w:right w:val="single" w:sz="4" w:space="0" w:color="auto"/>
            </w:tcBorders>
            <w:shd w:val="clear" w:color="auto" w:fill="auto"/>
            <w:noWrap/>
            <w:vAlign w:val="center"/>
          </w:tcPr>
          <w:p w14:paraId="549711FC" w14:textId="00D453BF" w:rsidR="003C424B" w:rsidRPr="000A1177" w:rsidRDefault="003C424B" w:rsidP="003C424B">
            <w:pPr>
              <w:spacing w:before="0" w:after="0"/>
              <w:jc w:val="right"/>
              <w:rPr>
                <w:rFonts w:cs="Arial"/>
                <w:i/>
                <w:iCs/>
                <w:sz w:val="14"/>
                <w:szCs w:val="14"/>
              </w:rPr>
            </w:pPr>
            <w:r w:rsidRPr="003C424B">
              <w:rPr>
                <w:rFonts w:cs="Arial"/>
                <w:i/>
                <w:iCs/>
                <w:sz w:val="14"/>
                <w:szCs w:val="14"/>
              </w:rPr>
              <w:t>4.106.343.000</w:t>
            </w:r>
          </w:p>
        </w:tc>
      </w:tr>
      <w:tr w:rsidR="003C424B" w:rsidRPr="000A1177" w14:paraId="0A3C82C1"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23BEE991"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E13207C" w14:textId="6512EB49" w:rsidR="003C424B" w:rsidRPr="00606E76" w:rsidRDefault="003C424B" w:rsidP="003C424B">
            <w:pPr>
              <w:spacing w:before="0" w:after="0"/>
              <w:jc w:val="right"/>
              <w:rPr>
                <w:rFonts w:cs="Arial"/>
                <w:i/>
                <w:iCs/>
                <w:sz w:val="14"/>
                <w:szCs w:val="14"/>
                <w:highlight w:val="yellow"/>
              </w:rPr>
            </w:pPr>
            <w:r w:rsidRPr="00B61CD7">
              <w:rPr>
                <w:rFonts w:cs="Arial"/>
                <w:i/>
                <w:iCs/>
                <w:sz w:val="14"/>
                <w:szCs w:val="14"/>
              </w:rPr>
              <w:t>701.022.784</w:t>
            </w:r>
          </w:p>
        </w:tc>
        <w:tc>
          <w:tcPr>
            <w:tcW w:w="0" w:type="auto"/>
            <w:tcBorders>
              <w:top w:val="nil"/>
              <w:left w:val="nil"/>
              <w:bottom w:val="single" w:sz="4" w:space="0" w:color="auto"/>
              <w:right w:val="single" w:sz="4" w:space="0" w:color="auto"/>
            </w:tcBorders>
            <w:shd w:val="clear" w:color="auto" w:fill="auto"/>
            <w:noWrap/>
            <w:vAlign w:val="center"/>
          </w:tcPr>
          <w:p w14:paraId="6ED239D1" w14:textId="71F11297" w:rsidR="003C424B" w:rsidRPr="000A1177" w:rsidRDefault="003C424B" w:rsidP="003C424B">
            <w:pPr>
              <w:spacing w:before="0" w:after="0"/>
              <w:jc w:val="right"/>
              <w:rPr>
                <w:rFonts w:cs="Arial"/>
                <w:i/>
                <w:iCs/>
                <w:sz w:val="14"/>
                <w:szCs w:val="14"/>
              </w:rPr>
            </w:pPr>
            <w:r w:rsidRPr="003C424B">
              <w:rPr>
                <w:rFonts w:cs="Arial"/>
                <w:i/>
                <w:iCs/>
                <w:sz w:val="14"/>
                <w:szCs w:val="14"/>
              </w:rPr>
              <w:t>700.440.798</w:t>
            </w:r>
          </w:p>
        </w:tc>
        <w:tc>
          <w:tcPr>
            <w:tcW w:w="0" w:type="auto"/>
            <w:tcBorders>
              <w:top w:val="nil"/>
              <w:left w:val="nil"/>
              <w:bottom w:val="single" w:sz="4" w:space="0" w:color="auto"/>
              <w:right w:val="single" w:sz="4" w:space="0" w:color="auto"/>
            </w:tcBorders>
            <w:shd w:val="clear" w:color="auto" w:fill="auto"/>
            <w:noWrap/>
            <w:vAlign w:val="center"/>
          </w:tcPr>
          <w:p w14:paraId="12010209" w14:textId="1FAB6DDF" w:rsidR="003C424B" w:rsidRPr="000A1177" w:rsidRDefault="003C424B" w:rsidP="003C424B">
            <w:pPr>
              <w:spacing w:before="0" w:after="0"/>
              <w:jc w:val="right"/>
              <w:rPr>
                <w:rFonts w:cs="Arial"/>
                <w:i/>
                <w:iCs/>
                <w:sz w:val="14"/>
                <w:szCs w:val="14"/>
              </w:rPr>
            </w:pPr>
            <w:r w:rsidRPr="003C424B">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4BB7D787" w14:textId="14C1D870" w:rsidR="003C424B" w:rsidRPr="000A1177" w:rsidRDefault="003C424B" w:rsidP="003C424B">
            <w:pPr>
              <w:spacing w:before="0" w:after="0"/>
              <w:jc w:val="right"/>
              <w:rPr>
                <w:rFonts w:cs="Arial"/>
                <w:i/>
                <w:iCs/>
                <w:sz w:val="14"/>
                <w:szCs w:val="14"/>
              </w:rPr>
            </w:pPr>
            <w:r w:rsidRPr="003C424B">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66D44216" w14:textId="65CD6193" w:rsidR="003C424B" w:rsidRPr="000A1177" w:rsidRDefault="003C424B" w:rsidP="003C424B">
            <w:pPr>
              <w:spacing w:before="0" w:after="0"/>
              <w:jc w:val="right"/>
              <w:rPr>
                <w:rFonts w:cs="Arial"/>
                <w:i/>
                <w:iCs/>
                <w:sz w:val="14"/>
                <w:szCs w:val="14"/>
              </w:rPr>
            </w:pPr>
            <w:r w:rsidRPr="003C424B">
              <w:rPr>
                <w:rFonts w:cs="Arial"/>
                <w:i/>
                <w:iCs/>
                <w:sz w:val="14"/>
                <w:szCs w:val="14"/>
              </w:rPr>
              <w:t>0</w:t>
            </w:r>
          </w:p>
        </w:tc>
        <w:tc>
          <w:tcPr>
            <w:tcW w:w="0" w:type="auto"/>
            <w:tcBorders>
              <w:top w:val="nil"/>
              <w:left w:val="nil"/>
              <w:bottom w:val="single" w:sz="4" w:space="0" w:color="auto"/>
              <w:right w:val="single" w:sz="4" w:space="0" w:color="auto"/>
            </w:tcBorders>
            <w:shd w:val="clear" w:color="auto" w:fill="auto"/>
            <w:noWrap/>
            <w:vAlign w:val="center"/>
          </w:tcPr>
          <w:p w14:paraId="77F84358" w14:textId="150E1F48" w:rsidR="003C424B" w:rsidRPr="000A1177" w:rsidRDefault="003C424B" w:rsidP="003C424B">
            <w:pPr>
              <w:spacing w:before="0" w:after="0"/>
              <w:jc w:val="right"/>
              <w:rPr>
                <w:rFonts w:cs="Arial"/>
                <w:i/>
                <w:iCs/>
                <w:sz w:val="14"/>
                <w:szCs w:val="14"/>
              </w:rPr>
            </w:pPr>
            <w:r w:rsidRPr="003C424B">
              <w:rPr>
                <w:rFonts w:cs="Arial"/>
                <w:i/>
                <w:iCs/>
                <w:sz w:val="14"/>
                <w:szCs w:val="14"/>
              </w:rPr>
              <w:t>0</w:t>
            </w:r>
          </w:p>
        </w:tc>
      </w:tr>
      <w:tr w:rsidR="003C424B" w:rsidRPr="000A1177" w14:paraId="250BF107"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4E70DC49"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3</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ABFC2DF" w14:textId="5F7ABA98" w:rsidR="003C424B" w:rsidRPr="00606E76" w:rsidRDefault="003C424B" w:rsidP="003C424B">
            <w:pPr>
              <w:spacing w:before="0" w:after="0"/>
              <w:jc w:val="right"/>
              <w:rPr>
                <w:rFonts w:cs="Arial"/>
                <w:i/>
                <w:iCs/>
                <w:sz w:val="14"/>
                <w:szCs w:val="14"/>
                <w:highlight w:val="yellow"/>
              </w:rPr>
            </w:pPr>
            <w:r w:rsidRPr="00CE1519">
              <w:rPr>
                <w:rFonts w:cs="Arial"/>
                <w:i/>
                <w:iCs/>
                <w:sz w:val="14"/>
                <w:szCs w:val="14"/>
              </w:rPr>
              <w:t>39.566.435.000</w:t>
            </w:r>
          </w:p>
        </w:tc>
        <w:tc>
          <w:tcPr>
            <w:tcW w:w="0" w:type="auto"/>
            <w:tcBorders>
              <w:top w:val="nil"/>
              <w:left w:val="nil"/>
              <w:bottom w:val="single" w:sz="4" w:space="0" w:color="auto"/>
              <w:right w:val="single" w:sz="4" w:space="0" w:color="auto"/>
            </w:tcBorders>
            <w:shd w:val="clear" w:color="auto" w:fill="auto"/>
            <w:noWrap/>
            <w:vAlign w:val="center"/>
          </w:tcPr>
          <w:p w14:paraId="09A3C380" w14:textId="051DD990" w:rsidR="003C424B" w:rsidRPr="000A1177" w:rsidRDefault="003C424B" w:rsidP="003C424B">
            <w:pPr>
              <w:spacing w:before="0" w:after="0"/>
              <w:jc w:val="right"/>
              <w:rPr>
                <w:rFonts w:cs="Arial"/>
                <w:i/>
                <w:iCs/>
                <w:sz w:val="14"/>
                <w:szCs w:val="14"/>
              </w:rPr>
            </w:pPr>
            <w:r w:rsidRPr="003C424B">
              <w:rPr>
                <w:rFonts w:cs="Arial"/>
                <w:i/>
                <w:iCs/>
                <w:sz w:val="14"/>
                <w:szCs w:val="14"/>
              </w:rPr>
              <w:t>11.942.025.025</w:t>
            </w:r>
          </w:p>
        </w:tc>
        <w:tc>
          <w:tcPr>
            <w:tcW w:w="0" w:type="auto"/>
            <w:tcBorders>
              <w:top w:val="nil"/>
              <w:left w:val="nil"/>
              <w:bottom w:val="single" w:sz="4" w:space="0" w:color="auto"/>
              <w:right w:val="single" w:sz="4" w:space="0" w:color="auto"/>
            </w:tcBorders>
            <w:shd w:val="clear" w:color="auto" w:fill="auto"/>
            <w:noWrap/>
            <w:vAlign w:val="center"/>
          </w:tcPr>
          <w:p w14:paraId="6A8FBAD9" w14:textId="00ED0D25" w:rsidR="003C424B" w:rsidRPr="000A1177" w:rsidRDefault="003C424B" w:rsidP="003C424B">
            <w:pPr>
              <w:spacing w:before="0" w:after="0"/>
              <w:jc w:val="right"/>
              <w:rPr>
                <w:rFonts w:cs="Arial"/>
                <w:i/>
                <w:iCs/>
                <w:sz w:val="14"/>
                <w:szCs w:val="14"/>
              </w:rPr>
            </w:pPr>
            <w:r w:rsidRPr="003C424B">
              <w:rPr>
                <w:rFonts w:cs="Arial"/>
                <w:i/>
                <w:iCs/>
                <w:sz w:val="14"/>
                <w:szCs w:val="14"/>
              </w:rPr>
              <w:t>29.128.305.110</w:t>
            </w:r>
          </w:p>
        </w:tc>
        <w:tc>
          <w:tcPr>
            <w:tcW w:w="0" w:type="auto"/>
            <w:tcBorders>
              <w:top w:val="nil"/>
              <w:left w:val="nil"/>
              <w:bottom w:val="single" w:sz="4" w:space="0" w:color="auto"/>
              <w:right w:val="single" w:sz="4" w:space="0" w:color="auto"/>
            </w:tcBorders>
            <w:shd w:val="clear" w:color="auto" w:fill="auto"/>
            <w:noWrap/>
            <w:vAlign w:val="center"/>
          </w:tcPr>
          <w:p w14:paraId="26FFFD43" w14:textId="17D92BBC" w:rsidR="003C424B" w:rsidRPr="000A1177" w:rsidRDefault="003C424B" w:rsidP="003C424B">
            <w:pPr>
              <w:spacing w:before="0" w:after="0"/>
              <w:jc w:val="right"/>
              <w:rPr>
                <w:rFonts w:cs="Arial"/>
                <w:i/>
                <w:iCs/>
                <w:sz w:val="14"/>
                <w:szCs w:val="14"/>
              </w:rPr>
            </w:pPr>
            <w:r w:rsidRPr="003C424B">
              <w:rPr>
                <w:rFonts w:cs="Arial"/>
                <w:i/>
                <w:iCs/>
                <w:sz w:val="14"/>
                <w:szCs w:val="14"/>
              </w:rPr>
              <w:t>15.159.560.079</w:t>
            </w:r>
          </w:p>
        </w:tc>
        <w:tc>
          <w:tcPr>
            <w:tcW w:w="0" w:type="auto"/>
            <w:tcBorders>
              <w:top w:val="nil"/>
              <w:left w:val="nil"/>
              <w:bottom w:val="single" w:sz="4" w:space="0" w:color="auto"/>
              <w:right w:val="single" w:sz="4" w:space="0" w:color="auto"/>
            </w:tcBorders>
            <w:shd w:val="clear" w:color="auto" w:fill="auto"/>
            <w:noWrap/>
            <w:vAlign w:val="center"/>
          </w:tcPr>
          <w:p w14:paraId="45A3B26E" w14:textId="2DE7CD76" w:rsidR="003C424B" w:rsidRPr="000A1177" w:rsidRDefault="003C424B" w:rsidP="003C424B">
            <w:pPr>
              <w:spacing w:before="0" w:after="0"/>
              <w:jc w:val="right"/>
              <w:rPr>
                <w:rFonts w:cs="Arial"/>
                <w:i/>
                <w:iCs/>
                <w:sz w:val="14"/>
                <w:szCs w:val="14"/>
              </w:rPr>
            </w:pPr>
            <w:r w:rsidRPr="003C424B">
              <w:rPr>
                <w:rFonts w:cs="Arial"/>
                <w:i/>
                <w:iCs/>
                <w:sz w:val="14"/>
                <w:szCs w:val="14"/>
              </w:rPr>
              <w:t>12.342.660.133</w:t>
            </w:r>
          </w:p>
        </w:tc>
        <w:tc>
          <w:tcPr>
            <w:tcW w:w="0" w:type="auto"/>
            <w:tcBorders>
              <w:top w:val="nil"/>
              <w:left w:val="nil"/>
              <w:bottom w:val="single" w:sz="4" w:space="0" w:color="auto"/>
              <w:right w:val="single" w:sz="4" w:space="0" w:color="auto"/>
            </w:tcBorders>
            <w:shd w:val="clear" w:color="auto" w:fill="auto"/>
            <w:noWrap/>
            <w:vAlign w:val="center"/>
          </w:tcPr>
          <w:p w14:paraId="3400FD8E" w14:textId="1A40529A" w:rsidR="003C424B" w:rsidRPr="000A1177" w:rsidRDefault="003C424B" w:rsidP="003C424B">
            <w:pPr>
              <w:spacing w:before="0" w:after="0"/>
              <w:jc w:val="right"/>
              <w:rPr>
                <w:rFonts w:cs="Arial"/>
                <w:i/>
                <w:iCs/>
                <w:sz w:val="14"/>
                <w:szCs w:val="14"/>
              </w:rPr>
            </w:pPr>
            <w:r w:rsidRPr="003C424B">
              <w:rPr>
                <w:rFonts w:cs="Arial"/>
                <w:i/>
                <w:iCs/>
                <w:sz w:val="14"/>
                <w:szCs w:val="14"/>
              </w:rPr>
              <w:t>2.857.497.000</w:t>
            </w:r>
          </w:p>
        </w:tc>
      </w:tr>
      <w:tr w:rsidR="003C424B" w:rsidRPr="000A1177" w14:paraId="7349FD82"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562A551C"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4</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10FFC86" w14:textId="342A52C0" w:rsidR="003C424B" w:rsidRPr="00606E76" w:rsidRDefault="003C424B" w:rsidP="003C424B">
            <w:pPr>
              <w:spacing w:before="0" w:after="0"/>
              <w:jc w:val="right"/>
              <w:rPr>
                <w:rFonts w:cs="Arial"/>
                <w:i/>
                <w:iCs/>
                <w:sz w:val="14"/>
                <w:szCs w:val="14"/>
                <w:highlight w:val="yellow"/>
              </w:rPr>
            </w:pPr>
            <w:r w:rsidRPr="00CE1519">
              <w:rPr>
                <w:rFonts w:cs="Arial"/>
                <w:i/>
                <w:iCs/>
                <w:sz w:val="14"/>
                <w:szCs w:val="14"/>
              </w:rPr>
              <w:t>10.980.656.467</w:t>
            </w:r>
          </w:p>
        </w:tc>
        <w:tc>
          <w:tcPr>
            <w:tcW w:w="0" w:type="auto"/>
            <w:tcBorders>
              <w:top w:val="nil"/>
              <w:left w:val="nil"/>
              <w:bottom w:val="single" w:sz="4" w:space="0" w:color="auto"/>
              <w:right w:val="single" w:sz="4" w:space="0" w:color="auto"/>
            </w:tcBorders>
            <w:shd w:val="clear" w:color="auto" w:fill="auto"/>
            <w:noWrap/>
            <w:vAlign w:val="center"/>
          </w:tcPr>
          <w:p w14:paraId="4D5762FE" w14:textId="1173A296" w:rsidR="003C424B" w:rsidRPr="000A1177" w:rsidRDefault="003C424B" w:rsidP="003C424B">
            <w:pPr>
              <w:spacing w:before="0" w:after="0"/>
              <w:jc w:val="right"/>
              <w:rPr>
                <w:rFonts w:cs="Arial"/>
                <w:i/>
                <w:iCs/>
                <w:sz w:val="14"/>
                <w:szCs w:val="14"/>
              </w:rPr>
            </w:pPr>
            <w:r w:rsidRPr="003C424B">
              <w:rPr>
                <w:rFonts w:cs="Arial"/>
                <w:i/>
                <w:iCs/>
                <w:sz w:val="14"/>
                <w:szCs w:val="14"/>
              </w:rPr>
              <w:t>4.132.915.209</w:t>
            </w:r>
          </w:p>
        </w:tc>
        <w:tc>
          <w:tcPr>
            <w:tcW w:w="0" w:type="auto"/>
            <w:tcBorders>
              <w:top w:val="nil"/>
              <w:left w:val="nil"/>
              <w:bottom w:val="single" w:sz="4" w:space="0" w:color="auto"/>
              <w:right w:val="single" w:sz="4" w:space="0" w:color="auto"/>
            </w:tcBorders>
            <w:shd w:val="clear" w:color="auto" w:fill="auto"/>
            <w:noWrap/>
            <w:vAlign w:val="center"/>
          </w:tcPr>
          <w:p w14:paraId="2C7D7A99" w14:textId="200E66A3" w:rsidR="003C424B" w:rsidRPr="000A1177" w:rsidRDefault="003C424B" w:rsidP="003C424B">
            <w:pPr>
              <w:spacing w:before="0" w:after="0"/>
              <w:jc w:val="right"/>
              <w:rPr>
                <w:rFonts w:cs="Arial"/>
                <w:i/>
                <w:iCs/>
                <w:sz w:val="14"/>
                <w:szCs w:val="14"/>
              </w:rPr>
            </w:pPr>
            <w:r w:rsidRPr="003C424B">
              <w:rPr>
                <w:rFonts w:cs="Arial"/>
                <w:i/>
                <w:iCs/>
                <w:sz w:val="14"/>
                <w:szCs w:val="14"/>
              </w:rPr>
              <w:t>6.952.757.653</w:t>
            </w:r>
          </w:p>
        </w:tc>
        <w:tc>
          <w:tcPr>
            <w:tcW w:w="0" w:type="auto"/>
            <w:tcBorders>
              <w:top w:val="nil"/>
              <w:left w:val="nil"/>
              <w:bottom w:val="single" w:sz="4" w:space="0" w:color="auto"/>
              <w:right w:val="single" w:sz="4" w:space="0" w:color="auto"/>
            </w:tcBorders>
            <w:shd w:val="clear" w:color="auto" w:fill="auto"/>
            <w:noWrap/>
            <w:vAlign w:val="center"/>
          </w:tcPr>
          <w:p w14:paraId="64D50EA1" w14:textId="661073A5" w:rsidR="003C424B" w:rsidRPr="000A1177" w:rsidRDefault="003C424B" w:rsidP="003C424B">
            <w:pPr>
              <w:spacing w:before="0" w:after="0"/>
              <w:jc w:val="right"/>
              <w:rPr>
                <w:rFonts w:cs="Arial"/>
                <w:i/>
                <w:iCs/>
                <w:sz w:val="14"/>
                <w:szCs w:val="14"/>
              </w:rPr>
            </w:pPr>
            <w:r w:rsidRPr="003C424B">
              <w:rPr>
                <w:rFonts w:cs="Arial"/>
                <w:i/>
                <w:iCs/>
                <w:sz w:val="14"/>
                <w:szCs w:val="14"/>
              </w:rPr>
              <w:t>6.255.238.924</w:t>
            </w:r>
          </w:p>
        </w:tc>
        <w:tc>
          <w:tcPr>
            <w:tcW w:w="0" w:type="auto"/>
            <w:tcBorders>
              <w:top w:val="nil"/>
              <w:left w:val="nil"/>
              <w:bottom w:val="single" w:sz="4" w:space="0" w:color="auto"/>
              <w:right w:val="single" w:sz="4" w:space="0" w:color="auto"/>
            </w:tcBorders>
            <w:shd w:val="clear" w:color="auto" w:fill="auto"/>
            <w:noWrap/>
            <w:vAlign w:val="center"/>
          </w:tcPr>
          <w:p w14:paraId="5C9F2887" w14:textId="2390B882" w:rsidR="003C424B" w:rsidRPr="000A1177" w:rsidRDefault="003C424B" w:rsidP="003C424B">
            <w:pPr>
              <w:spacing w:before="0" w:after="0"/>
              <w:jc w:val="right"/>
              <w:rPr>
                <w:rFonts w:cs="Arial"/>
                <w:i/>
                <w:iCs/>
                <w:sz w:val="14"/>
                <w:szCs w:val="14"/>
              </w:rPr>
            </w:pPr>
            <w:r w:rsidRPr="003C424B">
              <w:rPr>
                <w:rFonts w:cs="Arial"/>
                <w:i/>
                <w:iCs/>
                <w:sz w:val="14"/>
                <w:szCs w:val="14"/>
              </w:rPr>
              <w:t>4.139.750.532</w:t>
            </w:r>
          </w:p>
        </w:tc>
        <w:tc>
          <w:tcPr>
            <w:tcW w:w="0" w:type="auto"/>
            <w:tcBorders>
              <w:top w:val="nil"/>
              <w:left w:val="nil"/>
              <w:bottom w:val="single" w:sz="4" w:space="0" w:color="auto"/>
              <w:right w:val="single" w:sz="4" w:space="0" w:color="auto"/>
            </w:tcBorders>
            <w:shd w:val="clear" w:color="auto" w:fill="auto"/>
            <w:noWrap/>
            <w:vAlign w:val="center"/>
          </w:tcPr>
          <w:p w14:paraId="60E2AE6A" w14:textId="4A7B09AC" w:rsidR="003C424B" w:rsidRPr="000A1177" w:rsidRDefault="003C424B" w:rsidP="003C424B">
            <w:pPr>
              <w:spacing w:before="0" w:after="0"/>
              <w:jc w:val="right"/>
              <w:rPr>
                <w:rFonts w:cs="Arial"/>
                <w:i/>
                <w:iCs/>
                <w:sz w:val="14"/>
                <w:szCs w:val="14"/>
              </w:rPr>
            </w:pPr>
            <w:r w:rsidRPr="003C424B">
              <w:rPr>
                <w:rFonts w:cs="Arial"/>
                <w:i/>
                <w:iCs/>
                <w:sz w:val="14"/>
                <w:szCs w:val="14"/>
              </w:rPr>
              <w:t>3.477.879.989</w:t>
            </w:r>
          </w:p>
        </w:tc>
      </w:tr>
      <w:tr w:rsidR="003C424B" w:rsidRPr="000A1177" w14:paraId="4D850955"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788F5EBB"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5</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F322B8A" w14:textId="7A8C71DF" w:rsidR="003C424B" w:rsidRPr="00606E76" w:rsidRDefault="003C424B" w:rsidP="003C424B">
            <w:pPr>
              <w:spacing w:before="0" w:after="0"/>
              <w:jc w:val="right"/>
              <w:rPr>
                <w:rFonts w:cs="Arial"/>
                <w:i/>
                <w:iCs/>
                <w:sz w:val="14"/>
                <w:szCs w:val="14"/>
                <w:highlight w:val="yellow"/>
              </w:rPr>
            </w:pPr>
            <w:r w:rsidRPr="005A02FD">
              <w:rPr>
                <w:rFonts w:cs="Arial"/>
                <w:i/>
                <w:iCs/>
                <w:sz w:val="14"/>
                <w:szCs w:val="14"/>
              </w:rPr>
              <w:t>2.517.558.000</w:t>
            </w:r>
          </w:p>
        </w:tc>
        <w:tc>
          <w:tcPr>
            <w:tcW w:w="0" w:type="auto"/>
            <w:tcBorders>
              <w:top w:val="nil"/>
              <w:left w:val="nil"/>
              <w:bottom w:val="single" w:sz="4" w:space="0" w:color="auto"/>
              <w:right w:val="single" w:sz="4" w:space="0" w:color="auto"/>
            </w:tcBorders>
            <w:shd w:val="clear" w:color="auto" w:fill="auto"/>
            <w:noWrap/>
            <w:vAlign w:val="center"/>
          </w:tcPr>
          <w:p w14:paraId="32BD0D7F" w14:textId="3C4E5C40" w:rsidR="003C424B" w:rsidRPr="000A1177" w:rsidRDefault="003C424B" w:rsidP="003C424B">
            <w:pPr>
              <w:spacing w:before="0" w:after="0"/>
              <w:jc w:val="right"/>
              <w:rPr>
                <w:rFonts w:cs="Arial"/>
                <w:i/>
                <w:iCs/>
                <w:sz w:val="14"/>
                <w:szCs w:val="14"/>
              </w:rPr>
            </w:pPr>
            <w:r w:rsidRPr="003C424B">
              <w:rPr>
                <w:rFonts w:cs="Arial"/>
                <w:i/>
                <w:iCs/>
                <w:sz w:val="14"/>
                <w:szCs w:val="14"/>
              </w:rPr>
              <w:t>4.001.014.000</w:t>
            </w:r>
          </w:p>
        </w:tc>
        <w:tc>
          <w:tcPr>
            <w:tcW w:w="0" w:type="auto"/>
            <w:tcBorders>
              <w:top w:val="nil"/>
              <w:left w:val="nil"/>
              <w:bottom w:val="single" w:sz="4" w:space="0" w:color="auto"/>
              <w:right w:val="single" w:sz="4" w:space="0" w:color="auto"/>
            </w:tcBorders>
            <w:shd w:val="clear" w:color="auto" w:fill="auto"/>
            <w:noWrap/>
            <w:vAlign w:val="center"/>
          </w:tcPr>
          <w:p w14:paraId="19BB9C1A" w14:textId="1B6D2FB0" w:rsidR="003C424B" w:rsidRPr="000A1177" w:rsidRDefault="003C424B" w:rsidP="003C424B">
            <w:pPr>
              <w:spacing w:before="0" w:after="0"/>
              <w:jc w:val="right"/>
              <w:rPr>
                <w:rFonts w:cs="Arial"/>
                <w:i/>
                <w:iCs/>
                <w:sz w:val="14"/>
                <w:szCs w:val="14"/>
              </w:rPr>
            </w:pPr>
            <w:r w:rsidRPr="003C424B">
              <w:rPr>
                <w:rFonts w:cs="Arial"/>
                <w:i/>
                <w:iCs/>
                <w:sz w:val="14"/>
                <w:szCs w:val="14"/>
              </w:rPr>
              <w:t>5.335.290.000</w:t>
            </w:r>
          </w:p>
        </w:tc>
        <w:tc>
          <w:tcPr>
            <w:tcW w:w="0" w:type="auto"/>
            <w:tcBorders>
              <w:top w:val="nil"/>
              <w:left w:val="nil"/>
              <w:bottom w:val="single" w:sz="4" w:space="0" w:color="auto"/>
              <w:right w:val="single" w:sz="4" w:space="0" w:color="auto"/>
            </w:tcBorders>
            <w:shd w:val="clear" w:color="auto" w:fill="auto"/>
            <w:noWrap/>
            <w:vAlign w:val="center"/>
          </w:tcPr>
          <w:p w14:paraId="4D60588D" w14:textId="7F058EB4" w:rsidR="003C424B" w:rsidRPr="000A1177" w:rsidRDefault="003C424B" w:rsidP="003C424B">
            <w:pPr>
              <w:spacing w:before="0" w:after="0"/>
              <w:jc w:val="right"/>
              <w:rPr>
                <w:rFonts w:cs="Arial"/>
                <w:i/>
                <w:iCs/>
                <w:sz w:val="14"/>
                <w:szCs w:val="14"/>
              </w:rPr>
            </w:pPr>
            <w:r w:rsidRPr="003C424B">
              <w:rPr>
                <w:rFonts w:cs="Arial"/>
                <w:i/>
                <w:iCs/>
                <w:sz w:val="14"/>
                <w:szCs w:val="14"/>
              </w:rPr>
              <w:t>236.991.000</w:t>
            </w:r>
          </w:p>
        </w:tc>
        <w:tc>
          <w:tcPr>
            <w:tcW w:w="0" w:type="auto"/>
            <w:tcBorders>
              <w:top w:val="nil"/>
              <w:left w:val="nil"/>
              <w:bottom w:val="single" w:sz="4" w:space="0" w:color="auto"/>
              <w:right w:val="single" w:sz="4" w:space="0" w:color="auto"/>
            </w:tcBorders>
            <w:shd w:val="clear" w:color="auto" w:fill="auto"/>
            <w:noWrap/>
            <w:vAlign w:val="center"/>
          </w:tcPr>
          <w:p w14:paraId="04320187" w14:textId="302A7C73" w:rsidR="003C424B" w:rsidRPr="000A1177" w:rsidRDefault="003C424B" w:rsidP="003C424B">
            <w:pPr>
              <w:spacing w:before="0" w:after="0"/>
              <w:jc w:val="right"/>
              <w:rPr>
                <w:rFonts w:cs="Arial"/>
                <w:i/>
                <w:iCs/>
                <w:sz w:val="14"/>
                <w:szCs w:val="14"/>
              </w:rPr>
            </w:pPr>
            <w:r w:rsidRPr="003C424B">
              <w:rPr>
                <w:rFonts w:cs="Arial"/>
                <w:i/>
                <w:iCs/>
                <w:sz w:val="14"/>
                <w:szCs w:val="14"/>
              </w:rPr>
              <w:t>303.959.000</w:t>
            </w:r>
          </w:p>
        </w:tc>
        <w:tc>
          <w:tcPr>
            <w:tcW w:w="0" w:type="auto"/>
            <w:tcBorders>
              <w:top w:val="nil"/>
              <w:left w:val="nil"/>
              <w:bottom w:val="single" w:sz="4" w:space="0" w:color="auto"/>
              <w:right w:val="single" w:sz="4" w:space="0" w:color="auto"/>
            </w:tcBorders>
            <w:shd w:val="clear" w:color="auto" w:fill="auto"/>
            <w:noWrap/>
            <w:vAlign w:val="center"/>
          </w:tcPr>
          <w:p w14:paraId="0D714587" w14:textId="1AF2CBCB" w:rsidR="003C424B" w:rsidRPr="000A1177" w:rsidRDefault="003C424B" w:rsidP="003C424B">
            <w:pPr>
              <w:spacing w:before="0" w:after="0"/>
              <w:jc w:val="right"/>
              <w:rPr>
                <w:rFonts w:cs="Arial"/>
                <w:i/>
                <w:iCs/>
                <w:sz w:val="14"/>
                <w:szCs w:val="14"/>
              </w:rPr>
            </w:pPr>
            <w:r w:rsidRPr="003C424B">
              <w:rPr>
                <w:rFonts w:cs="Arial"/>
                <w:i/>
                <w:iCs/>
                <w:sz w:val="14"/>
                <w:szCs w:val="14"/>
              </w:rPr>
              <w:t>33.426.000</w:t>
            </w:r>
          </w:p>
        </w:tc>
      </w:tr>
      <w:tr w:rsidR="003C424B" w:rsidRPr="000A1177" w14:paraId="3C54B07A"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03C3F20D"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6</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F298CFB" w14:textId="6E5364F4" w:rsidR="003C424B" w:rsidRPr="00606E76" w:rsidRDefault="003C424B" w:rsidP="003C424B">
            <w:pPr>
              <w:spacing w:before="0" w:after="0"/>
              <w:jc w:val="right"/>
              <w:rPr>
                <w:rFonts w:cs="Arial"/>
                <w:i/>
                <w:iCs/>
                <w:sz w:val="14"/>
                <w:szCs w:val="14"/>
                <w:highlight w:val="yellow"/>
              </w:rPr>
            </w:pPr>
            <w:r w:rsidRPr="005A02FD">
              <w:rPr>
                <w:rFonts w:cs="Arial"/>
                <w:i/>
                <w:iCs/>
                <w:sz w:val="14"/>
                <w:szCs w:val="14"/>
              </w:rPr>
              <w:t>3.164.656.250</w:t>
            </w:r>
          </w:p>
        </w:tc>
        <w:tc>
          <w:tcPr>
            <w:tcW w:w="0" w:type="auto"/>
            <w:tcBorders>
              <w:top w:val="nil"/>
              <w:left w:val="nil"/>
              <w:bottom w:val="single" w:sz="4" w:space="0" w:color="auto"/>
              <w:right w:val="single" w:sz="4" w:space="0" w:color="auto"/>
            </w:tcBorders>
            <w:shd w:val="clear" w:color="auto" w:fill="auto"/>
            <w:noWrap/>
            <w:vAlign w:val="center"/>
          </w:tcPr>
          <w:p w14:paraId="48122BC3" w14:textId="4174B8DE" w:rsidR="003C424B" w:rsidRPr="000A1177" w:rsidRDefault="003C424B" w:rsidP="003C424B">
            <w:pPr>
              <w:spacing w:before="0" w:after="0"/>
              <w:jc w:val="right"/>
              <w:rPr>
                <w:rFonts w:cs="Arial"/>
                <w:i/>
                <w:iCs/>
                <w:sz w:val="14"/>
                <w:szCs w:val="14"/>
              </w:rPr>
            </w:pPr>
            <w:r w:rsidRPr="003C424B">
              <w:rPr>
                <w:rFonts w:cs="Arial"/>
                <w:i/>
                <w:iCs/>
                <w:sz w:val="14"/>
                <w:szCs w:val="14"/>
              </w:rPr>
              <w:t>1.241.040.000</w:t>
            </w:r>
          </w:p>
        </w:tc>
        <w:tc>
          <w:tcPr>
            <w:tcW w:w="0" w:type="auto"/>
            <w:tcBorders>
              <w:top w:val="nil"/>
              <w:left w:val="nil"/>
              <w:bottom w:val="single" w:sz="4" w:space="0" w:color="auto"/>
              <w:right w:val="single" w:sz="4" w:space="0" w:color="auto"/>
            </w:tcBorders>
            <w:shd w:val="clear" w:color="auto" w:fill="auto"/>
            <w:noWrap/>
            <w:vAlign w:val="center"/>
          </w:tcPr>
          <w:p w14:paraId="7C25A29D" w14:textId="28FC8BAD" w:rsidR="003C424B" w:rsidRPr="000A1177" w:rsidRDefault="003C424B" w:rsidP="003C424B">
            <w:pPr>
              <w:spacing w:before="0" w:after="0"/>
              <w:jc w:val="right"/>
              <w:rPr>
                <w:rFonts w:cs="Arial"/>
                <w:i/>
                <w:iCs/>
                <w:sz w:val="14"/>
                <w:szCs w:val="14"/>
              </w:rPr>
            </w:pPr>
            <w:r w:rsidRPr="003C424B">
              <w:rPr>
                <w:rFonts w:cs="Arial"/>
                <w:i/>
                <w:iCs/>
                <w:sz w:val="14"/>
                <w:szCs w:val="14"/>
              </w:rPr>
              <w:t>2.939.235.000</w:t>
            </w:r>
          </w:p>
        </w:tc>
        <w:tc>
          <w:tcPr>
            <w:tcW w:w="0" w:type="auto"/>
            <w:tcBorders>
              <w:top w:val="nil"/>
              <w:left w:val="nil"/>
              <w:bottom w:val="single" w:sz="4" w:space="0" w:color="auto"/>
              <w:right w:val="single" w:sz="4" w:space="0" w:color="auto"/>
            </w:tcBorders>
            <w:shd w:val="clear" w:color="auto" w:fill="auto"/>
            <w:noWrap/>
            <w:vAlign w:val="center"/>
          </w:tcPr>
          <w:p w14:paraId="4ADC6BE0" w14:textId="0A1FC0F3" w:rsidR="003C424B" w:rsidRPr="000A1177" w:rsidRDefault="003C424B" w:rsidP="003C424B">
            <w:pPr>
              <w:spacing w:before="0" w:after="0"/>
              <w:jc w:val="right"/>
              <w:rPr>
                <w:rFonts w:cs="Arial"/>
                <w:i/>
                <w:iCs/>
                <w:sz w:val="14"/>
                <w:szCs w:val="14"/>
              </w:rPr>
            </w:pPr>
            <w:r w:rsidRPr="003C424B">
              <w:rPr>
                <w:rFonts w:cs="Arial"/>
                <w:i/>
                <w:iCs/>
                <w:sz w:val="14"/>
                <w:szCs w:val="14"/>
              </w:rPr>
              <w:t>2.781.394.000</w:t>
            </w:r>
          </w:p>
        </w:tc>
        <w:tc>
          <w:tcPr>
            <w:tcW w:w="0" w:type="auto"/>
            <w:tcBorders>
              <w:top w:val="nil"/>
              <w:left w:val="nil"/>
              <w:bottom w:val="single" w:sz="4" w:space="0" w:color="auto"/>
              <w:right w:val="single" w:sz="4" w:space="0" w:color="auto"/>
            </w:tcBorders>
            <w:shd w:val="clear" w:color="auto" w:fill="auto"/>
            <w:noWrap/>
            <w:vAlign w:val="center"/>
          </w:tcPr>
          <w:p w14:paraId="0523608C" w14:textId="68A4164D" w:rsidR="003C424B" w:rsidRPr="000A1177" w:rsidRDefault="003C424B" w:rsidP="003C424B">
            <w:pPr>
              <w:spacing w:before="0" w:after="0"/>
              <w:jc w:val="right"/>
              <w:rPr>
                <w:rFonts w:cs="Arial"/>
                <w:i/>
                <w:iCs/>
                <w:sz w:val="14"/>
                <w:szCs w:val="14"/>
              </w:rPr>
            </w:pPr>
            <w:r w:rsidRPr="003C424B">
              <w:rPr>
                <w:rFonts w:cs="Arial"/>
                <w:i/>
                <w:iCs/>
                <w:sz w:val="14"/>
                <w:szCs w:val="14"/>
              </w:rPr>
              <w:t>1.279.566.000</w:t>
            </w:r>
          </w:p>
        </w:tc>
        <w:tc>
          <w:tcPr>
            <w:tcW w:w="0" w:type="auto"/>
            <w:tcBorders>
              <w:top w:val="nil"/>
              <w:left w:val="nil"/>
              <w:bottom w:val="single" w:sz="4" w:space="0" w:color="auto"/>
              <w:right w:val="single" w:sz="4" w:space="0" w:color="auto"/>
            </w:tcBorders>
            <w:shd w:val="clear" w:color="auto" w:fill="auto"/>
            <w:noWrap/>
            <w:vAlign w:val="center"/>
          </w:tcPr>
          <w:p w14:paraId="393B8B1D" w14:textId="4DE07FC7" w:rsidR="003C424B" w:rsidRPr="000A1177" w:rsidRDefault="003C424B" w:rsidP="003C424B">
            <w:pPr>
              <w:spacing w:before="0" w:after="0"/>
              <w:jc w:val="right"/>
              <w:rPr>
                <w:rFonts w:cs="Arial"/>
                <w:i/>
                <w:iCs/>
                <w:sz w:val="14"/>
                <w:szCs w:val="14"/>
              </w:rPr>
            </w:pPr>
            <w:r w:rsidRPr="003C424B">
              <w:rPr>
                <w:rFonts w:cs="Arial"/>
                <w:i/>
                <w:iCs/>
                <w:sz w:val="14"/>
                <w:szCs w:val="14"/>
              </w:rPr>
              <w:t>761.322.000</w:t>
            </w:r>
          </w:p>
        </w:tc>
      </w:tr>
      <w:tr w:rsidR="003C424B" w:rsidRPr="000A1177" w14:paraId="7CBA182D"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1803031A"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7</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69ABA90" w14:textId="6F48F066" w:rsidR="003C424B" w:rsidRPr="00606E76" w:rsidRDefault="003C424B" w:rsidP="003C424B">
            <w:pPr>
              <w:spacing w:before="0" w:after="0"/>
              <w:jc w:val="right"/>
              <w:rPr>
                <w:rFonts w:cs="Arial"/>
                <w:i/>
                <w:iCs/>
                <w:sz w:val="14"/>
                <w:szCs w:val="14"/>
                <w:highlight w:val="yellow"/>
              </w:rPr>
            </w:pPr>
            <w:r w:rsidRPr="005A02FD">
              <w:rPr>
                <w:rFonts w:cs="Arial"/>
                <w:i/>
                <w:iCs/>
                <w:sz w:val="14"/>
                <w:szCs w:val="14"/>
              </w:rPr>
              <w:t>82.464.605.401</w:t>
            </w:r>
          </w:p>
        </w:tc>
        <w:tc>
          <w:tcPr>
            <w:tcW w:w="0" w:type="auto"/>
            <w:tcBorders>
              <w:top w:val="nil"/>
              <w:left w:val="nil"/>
              <w:bottom w:val="single" w:sz="4" w:space="0" w:color="auto"/>
              <w:right w:val="single" w:sz="4" w:space="0" w:color="auto"/>
            </w:tcBorders>
            <w:shd w:val="clear" w:color="auto" w:fill="auto"/>
            <w:noWrap/>
            <w:vAlign w:val="center"/>
          </w:tcPr>
          <w:p w14:paraId="38F3F00B" w14:textId="75A5000D" w:rsidR="003C424B" w:rsidRPr="000A1177" w:rsidRDefault="003C424B" w:rsidP="003C424B">
            <w:pPr>
              <w:spacing w:before="0" w:after="0"/>
              <w:jc w:val="right"/>
              <w:rPr>
                <w:rFonts w:cs="Arial"/>
                <w:i/>
                <w:iCs/>
                <w:sz w:val="14"/>
                <w:szCs w:val="14"/>
              </w:rPr>
            </w:pPr>
            <w:r w:rsidRPr="003C424B">
              <w:rPr>
                <w:rFonts w:cs="Arial"/>
                <w:i/>
                <w:iCs/>
                <w:sz w:val="14"/>
                <w:szCs w:val="14"/>
              </w:rPr>
              <w:t>79.175.216.850</w:t>
            </w:r>
          </w:p>
        </w:tc>
        <w:tc>
          <w:tcPr>
            <w:tcW w:w="0" w:type="auto"/>
            <w:tcBorders>
              <w:top w:val="nil"/>
              <w:left w:val="nil"/>
              <w:bottom w:val="single" w:sz="4" w:space="0" w:color="auto"/>
              <w:right w:val="single" w:sz="4" w:space="0" w:color="auto"/>
            </w:tcBorders>
            <w:shd w:val="clear" w:color="auto" w:fill="auto"/>
            <w:noWrap/>
            <w:vAlign w:val="center"/>
          </w:tcPr>
          <w:p w14:paraId="014CA5A6" w14:textId="56AA04C2" w:rsidR="003C424B" w:rsidRPr="000A1177" w:rsidRDefault="003C424B" w:rsidP="003C424B">
            <w:pPr>
              <w:spacing w:before="0" w:after="0"/>
              <w:jc w:val="right"/>
              <w:rPr>
                <w:rFonts w:cs="Arial"/>
                <w:i/>
                <w:iCs/>
                <w:sz w:val="14"/>
                <w:szCs w:val="14"/>
              </w:rPr>
            </w:pPr>
            <w:r w:rsidRPr="003C424B">
              <w:rPr>
                <w:rFonts w:cs="Arial"/>
                <w:i/>
                <w:iCs/>
                <w:sz w:val="14"/>
                <w:szCs w:val="14"/>
              </w:rPr>
              <w:t>124.570.484.143</w:t>
            </w:r>
          </w:p>
        </w:tc>
        <w:tc>
          <w:tcPr>
            <w:tcW w:w="0" w:type="auto"/>
            <w:tcBorders>
              <w:top w:val="nil"/>
              <w:left w:val="nil"/>
              <w:bottom w:val="single" w:sz="4" w:space="0" w:color="auto"/>
              <w:right w:val="single" w:sz="4" w:space="0" w:color="auto"/>
            </w:tcBorders>
            <w:shd w:val="clear" w:color="auto" w:fill="auto"/>
            <w:noWrap/>
            <w:vAlign w:val="center"/>
          </w:tcPr>
          <w:p w14:paraId="747B8800" w14:textId="403FA46A" w:rsidR="003C424B" w:rsidRPr="000A1177" w:rsidRDefault="003C424B" w:rsidP="003C424B">
            <w:pPr>
              <w:spacing w:before="0" w:after="0"/>
              <w:jc w:val="right"/>
              <w:rPr>
                <w:rFonts w:cs="Arial"/>
                <w:i/>
                <w:iCs/>
                <w:sz w:val="14"/>
                <w:szCs w:val="14"/>
              </w:rPr>
            </w:pPr>
            <w:r w:rsidRPr="003C424B">
              <w:rPr>
                <w:rFonts w:cs="Arial"/>
                <w:i/>
                <w:iCs/>
                <w:sz w:val="14"/>
                <w:szCs w:val="14"/>
              </w:rPr>
              <w:t>114.986.396.208</w:t>
            </w:r>
          </w:p>
        </w:tc>
        <w:tc>
          <w:tcPr>
            <w:tcW w:w="0" w:type="auto"/>
            <w:tcBorders>
              <w:top w:val="nil"/>
              <w:left w:val="nil"/>
              <w:bottom w:val="single" w:sz="4" w:space="0" w:color="auto"/>
              <w:right w:val="single" w:sz="4" w:space="0" w:color="auto"/>
            </w:tcBorders>
            <w:shd w:val="clear" w:color="auto" w:fill="auto"/>
            <w:noWrap/>
            <w:vAlign w:val="center"/>
          </w:tcPr>
          <w:p w14:paraId="421D58C5" w14:textId="033ECF58" w:rsidR="003C424B" w:rsidRPr="000A1177" w:rsidRDefault="003C424B" w:rsidP="003C424B">
            <w:pPr>
              <w:spacing w:before="0" w:after="0"/>
              <w:jc w:val="right"/>
              <w:rPr>
                <w:rFonts w:cs="Arial"/>
                <w:i/>
                <w:iCs/>
                <w:sz w:val="14"/>
                <w:szCs w:val="14"/>
              </w:rPr>
            </w:pPr>
            <w:r w:rsidRPr="003C424B">
              <w:rPr>
                <w:rFonts w:cs="Arial"/>
                <w:i/>
                <w:iCs/>
                <w:sz w:val="14"/>
                <w:szCs w:val="14"/>
              </w:rPr>
              <w:t>64.840.155.240</w:t>
            </w:r>
          </w:p>
        </w:tc>
        <w:tc>
          <w:tcPr>
            <w:tcW w:w="0" w:type="auto"/>
            <w:tcBorders>
              <w:top w:val="nil"/>
              <w:left w:val="nil"/>
              <w:bottom w:val="single" w:sz="4" w:space="0" w:color="auto"/>
              <w:right w:val="single" w:sz="4" w:space="0" w:color="auto"/>
            </w:tcBorders>
            <w:shd w:val="clear" w:color="auto" w:fill="auto"/>
            <w:noWrap/>
            <w:vAlign w:val="center"/>
          </w:tcPr>
          <w:p w14:paraId="7AE34AD0" w14:textId="262752EE" w:rsidR="003C424B" w:rsidRPr="000A1177" w:rsidRDefault="003C424B" w:rsidP="003C424B">
            <w:pPr>
              <w:spacing w:before="0" w:after="0"/>
              <w:jc w:val="right"/>
              <w:rPr>
                <w:rFonts w:cs="Arial"/>
                <w:i/>
                <w:iCs/>
                <w:sz w:val="14"/>
                <w:szCs w:val="14"/>
              </w:rPr>
            </w:pPr>
            <w:r w:rsidRPr="003C424B">
              <w:rPr>
                <w:rFonts w:cs="Arial"/>
                <w:i/>
                <w:iCs/>
                <w:sz w:val="14"/>
                <w:szCs w:val="14"/>
              </w:rPr>
              <w:t>60.007.880.847</w:t>
            </w:r>
          </w:p>
        </w:tc>
      </w:tr>
      <w:tr w:rsidR="003C424B" w:rsidRPr="000A1177" w14:paraId="2B768C76"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0A3E780D"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8</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9904E63" w14:textId="5AE2E713" w:rsidR="003C424B" w:rsidRPr="00606E76" w:rsidRDefault="003C424B" w:rsidP="003C424B">
            <w:pPr>
              <w:spacing w:before="0" w:after="0"/>
              <w:jc w:val="right"/>
              <w:rPr>
                <w:rFonts w:cs="Arial"/>
                <w:i/>
                <w:iCs/>
                <w:sz w:val="14"/>
                <w:szCs w:val="14"/>
                <w:highlight w:val="yellow"/>
              </w:rPr>
            </w:pPr>
            <w:r w:rsidRPr="007E0269">
              <w:rPr>
                <w:rFonts w:cs="Arial"/>
                <w:i/>
                <w:iCs/>
                <w:sz w:val="14"/>
                <w:szCs w:val="14"/>
              </w:rPr>
              <w:t>14.499.720.705</w:t>
            </w:r>
          </w:p>
        </w:tc>
        <w:tc>
          <w:tcPr>
            <w:tcW w:w="0" w:type="auto"/>
            <w:tcBorders>
              <w:top w:val="nil"/>
              <w:left w:val="nil"/>
              <w:bottom w:val="single" w:sz="4" w:space="0" w:color="auto"/>
              <w:right w:val="single" w:sz="4" w:space="0" w:color="auto"/>
            </w:tcBorders>
            <w:shd w:val="clear" w:color="auto" w:fill="auto"/>
            <w:noWrap/>
            <w:vAlign w:val="center"/>
          </w:tcPr>
          <w:p w14:paraId="501BE044" w14:textId="5472AE6D" w:rsidR="003C424B" w:rsidRPr="000A1177" w:rsidRDefault="003C424B" w:rsidP="003C424B">
            <w:pPr>
              <w:spacing w:before="0" w:after="0"/>
              <w:jc w:val="right"/>
              <w:rPr>
                <w:rFonts w:cs="Arial"/>
                <w:i/>
                <w:iCs/>
                <w:sz w:val="14"/>
                <w:szCs w:val="14"/>
              </w:rPr>
            </w:pPr>
            <w:r w:rsidRPr="003C424B">
              <w:rPr>
                <w:rFonts w:cs="Arial"/>
                <w:i/>
                <w:iCs/>
                <w:sz w:val="14"/>
                <w:szCs w:val="14"/>
              </w:rPr>
              <w:t>6.888.478.026</w:t>
            </w:r>
          </w:p>
        </w:tc>
        <w:tc>
          <w:tcPr>
            <w:tcW w:w="0" w:type="auto"/>
            <w:tcBorders>
              <w:top w:val="nil"/>
              <w:left w:val="nil"/>
              <w:bottom w:val="single" w:sz="4" w:space="0" w:color="auto"/>
              <w:right w:val="single" w:sz="4" w:space="0" w:color="auto"/>
            </w:tcBorders>
            <w:shd w:val="clear" w:color="auto" w:fill="auto"/>
            <w:noWrap/>
            <w:vAlign w:val="center"/>
          </w:tcPr>
          <w:p w14:paraId="5877624D" w14:textId="16EFABCF" w:rsidR="003C424B" w:rsidRPr="000A1177" w:rsidRDefault="003C424B" w:rsidP="003C424B">
            <w:pPr>
              <w:spacing w:before="0" w:after="0"/>
              <w:jc w:val="right"/>
              <w:rPr>
                <w:rFonts w:cs="Arial"/>
                <w:i/>
                <w:iCs/>
                <w:sz w:val="14"/>
                <w:szCs w:val="14"/>
              </w:rPr>
            </w:pPr>
            <w:r w:rsidRPr="003C424B">
              <w:rPr>
                <w:rFonts w:cs="Arial"/>
                <w:i/>
                <w:iCs/>
                <w:sz w:val="14"/>
                <w:szCs w:val="14"/>
              </w:rPr>
              <w:t>9.313.760.924</w:t>
            </w:r>
          </w:p>
        </w:tc>
        <w:tc>
          <w:tcPr>
            <w:tcW w:w="0" w:type="auto"/>
            <w:tcBorders>
              <w:top w:val="nil"/>
              <w:left w:val="nil"/>
              <w:bottom w:val="single" w:sz="4" w:space="0" w:color="auto"/>
              <w:right w:val="single" w:sz="4" w:space="0" w:color="auto"/>
            </w:tcBorders>
            <w:shd w:val="clear" w:color="auto" w:fill="auto"/>
            <w:noWrap/>
            <w:vAlign w:val="center"/>
          </w:tcPr>
          <w:p w14:paraId="7702F664" w14:textId="7E7D2842" w:rsidR="003C424B" w:rsidRPr="000A1177" w:rsidRDefault="003C424B" w:rsidP="003C424B">
            <w:pPr>
              <w:spacing w:before="0" w:after="0"/>
              <w:jc w:val="right"/>
              <w:rPr>
                <w:rFonts w:cs="Arial"/>
                <w:i/>
                <w:iCs/>
                <w:sz w:val="14"/>
                <w:szCs w:val="14"/>
              </w:rPr>
            </w:pPr>
            <w:r w:rsidRPr="003C424B">
              <w:rPr>
                <w:rFonts w:cs="Arial"/>
                <w:i/>
                <w:iCs/>
                <w:sz w:val="14"/>
                <w:szCs w:val="14"/>
              </w:rPr>
              <w:t>4.635.094.373</w:t>
            </w:r>
          </w:p>
        </w:tc>
        <w:tc>
          <w:tcPr>
            <w:tcW w:w="0" w:type="auto"/>
            <w:tcBorders>
              <w:top w:val="nil"/>
              <w:left w:val="nil"/>
              <w:bottom w:val="single" w:sz="4" w:space="0" w:color="auto"/>
              <w:right w:val="single" w:sz="4" w:space="0" w:color="auto"/>
            </w:tcBorders>
            <w:shd w:val="clear" w:color="auto" w:fill="auto"/>
            <w:noWrap/>
            <w:vAlign w:val="center"/>
          </w:tcPr>
          <w:p w14:paraId="47B3530A" w14:textId="6861E2F0" w:rsidR="003C424B" w:rsidRPr="000A1177" w:rsidRDefault="003C424B" w:rsidP="003C424B">
            <w:pPr>
              <w:spacing w:before="0" w:after="0"/>
              <w:jc w:val="right"/>
              <w:rPr>
                <w:rFonts w:cs="Arial"/>
                <w:i/>
                <w:iCs/>
                <w:sz w:val="14"/>
                <w:szCs w:val="14"/>
              </w:rPr>
            </w:pPr>
            <w:r w:rsidRPr="003C424B">
              <w:rPr>
                <w:rFonts w:cs="Arial"/>
                <w:i/>
                <w:iCs/>
                <w:sz w:val="14"/>
                <w:szCs w:val="14"/>
              </w:rPr>
              <w:t>9.520.669.260</w:t>
            </w:r>
          </w:p>
        </w:tc>
        <w:tc>
          <w:tcPr>
            <w:tcW w:w="0" w:type="auto"/>
            <w:tcBorders>
              <w:top w:val="nil"/>
              <w:left w:val="nil"/>
              <w:bottom w:val="single" w:sz="4" w:space="0" w:color="auto"/>
              <w:right w:val="single" w:sz="4" w:space="0" w:color="auto"/>
            </w:tcBorders>
            <w:shd w:val="clear" w:color="auto" w:fill="auto"/>
            <w:noWrap/>
            <w:vAlign w:val="center"/>
          </w:tcPr>
          <w:p w14:paraId="45857216" w14:textId="131F4AB9" w:rsidR="003C424B" w:rsidRPr="000A1177" w:rsidRDefault="003C424B" w:rsidP="003C424B">
            <w:pPr>
              <w:spacing w:before="0" w:after="0"/>
              <w:jc w:val="right"/>
              <w:rPr>
                <w:rFonts w:cs="Arial"/>
                <w:i/>
                <w:iCs/>
                <w:sz w:val="14"/>
                <w:szCs w:val="14"/>
              </w:rPr>
            </w:pPr>
            <w:r w:rsidRPr="003C424B">
              <w:rPr>
                <w:rFonts w:cs="Arial"/>
                <w:i/>
                <w:iCs/>
                <w:sz w:val="14"/>
                <w:szCs w:val="14"/>
              </w:rPr>
              <w:t>13.498.709.910</w:t>
            </w:r>
          </w:p>
        </w:tc>
      </w:tr>
      <w:tr w:rsidR="003C424B" w:rsidRPr="000A1177" w14:paraId="542204C6"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7DF755DE"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9</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14A61F09" w14:textId="7FD1005C" w:rsidR="003C424B" w:rsidRPr="00606E76" w:rsidRDefault="003C424B" w:rsidP="003C424B">
            <w:pPr>
              <w:spacing w:before="0" w:after="0"/>
              <w:jc w:val="right"/>
              <w:rPr>
                <w:rFonts w:cs="Arial"/>
                <w:i/>
                <w:iCs/>
                <w:sz w:val="14"/>
                <w:szCs w:val="14"/>
                <w:highlight w:val="yellow"/>
              </w:rPr>
            </w:pPr>
            <w:r w:rsidRPr="007E0269">
              <w:rPr>
                <w:rFonts w:cs="Arial"/>
                <w:i/>
                <w:iCs/>
                <w:sz w:val="14"/>
                <w:szCs w:val="14"/>
              </w:rPr>
              <w:t>17.403.229.586</w:t>
            </w:r>
          </w:p>
        </w:tc>
        <w:tc>
          <w:tcPr>
            <w:tcW w:w="0" w:type="auto"/>
            <w:tcBorders>
              <w:top w:val="nil"/>
              <w:left w:val="nil"/>
              <w:bottom w:val="single" w:sz="4" w:space="0" w:color="auto"/>
              <w:right w:val="single" w:sz="4" w:space="0" w:color="auto"/>
            </w:tcBorders>
            <w:shd w:val="clear" w:color="auto" w:fill="auto"/>
            <w:noWrap/>
            <w:vAlign w:val="center"/>
          </w:tcPr>
          <w:p w14:paraId="440159A3" w14:textId="4FAC17BB" w:rsidR="003C424B" w:rsidRPr="000A1177" w:rsidRDefault="003C424B" w:rsidP="003C424B">
            <w:pPr>
              <w:spacing w:before="0" w:after="0"/>
              <w:jc w:val="right"/>
              <w:rPr>
                <w:rFonts w:cs="Arial"/>
                <w:i/>
                <w:iCs/>
                <w:sz w:val="14"/>
                <w:szCs w:val="14"/>
              </w:rPr>
            </w:pPr>
            <w:r w:rsidRPr="003C424B">
              <w:rPr>
                <w:rFonts w:cs="Arial"/>
                <w:i/>
                <w:iCs/>
                <w:sz w:val="14"/>
                <w:szCs w:val="14"/>
              </w:rPr>
              <w:t>3.506.379.000</w:t>
            </w:r>
          </w:p>
        </w:tc>
        <w:tc>
          <w:tcPr>
            <w:tcW w:w="0" w:type="auto"/>
            <w:tcBorders>
              <w:top w:val="nil"/>
              <w:left w:val="nil"/>
              <w:bottom w:val="single" w:sz="4" w:space="0" w:color="auto"/>
              <w:right w:val="single" w:sz="4" w:space="0" w:color="auto"/>
            </w:tcBorders>
            <w:shd w:val="clear" w:color="auto" w:fill="auto"/>
            <w:noWrap/>
            <w:vAlign w:val="center"/>
          </w:tcPr>
          <w:p w14:paraId="02D892FE" w14:textId="511F0E1B" w:rsidR="003C424B" w:rsidRPr="000A1177" w:rsidRDefault="003C424B" w:rsidP="003C424B">
            <w:pPr>
              <w:spacing w:before="0" w:after="0"/>
              <w:jc w:val="right"/>
              <w:rPr>
                <w:rFonts w:cs="Arial"/>
                <w:i/>
                <w:iCs/>
                <w:sz w:val="14"/>
                <w:szCs w:val="14"/>
              </w:rPr>
            </w:pPr>
            <w:r w:rsidRPr="003C424B">
              <w:rPr>
                <w:rFonts w:cs="Arial"/>
                <w:i/>
                <w:iCs/>
                <w:sz w:val="14"/>
                <w:szCs w:val="14"/>
              </w:rPr>
              <w:t>7.531.274.000</w:t>
            </w:r>
          </w:p>
        </w:tc>
        <w:tc>
          <w:tcPr>
            <w:tcW w:w="0" w:type="auto"/>
            <w:tcBorders>
              <w:top w:val="nil"/>
              <w:left w:val="nil"/>
              <w:bottom w:val="single" w:sz="4" w:space="0" w:color="auto"/>
              <w:right w:val="single" w:sz="4" w:space="0" w:color="auto"/>
            </w:tcBorders>
            <w:shd w:val="clear" w:color="auto" w:fill="auto"/>
            <w:noWrap/>
            <w:vAlign w:val="center"/>
          </w:tcPr>
          <w:p w14:paraId="498BC668" w14:textId="03F335FD" w:rsidR="003C424B" w:rsidRPr="000A1177" w:rsidRDefault="003C424B" w:rsidP="003C424B">
            <w:pPr>
              <w:spacing w:before="0" w:after="0"/>
              <w:jc w:val="right"/>
              <w:rPr>
                <w:rFonts w:cs="Arial"/>
                <w:i/>
                <w:iCs/>
                <w:sz w:val="14"/>
                <w:szCs w:val="14"/>
              </w:rPr>
            </w:pPr>
            <w:r w:rsidRPr="003C424B">
              <w:rPr>
                <w:rFonts w:cs="Arial"/>
                <w:i/>
                <w:iCs/>
                <w:sz w:val="14"/>
                <w:szCs w:val="14"/>
              </w:rPr>
              <w:t>8.297.383.000</w:t>
            </w:r>
          </w:p>
        </w:tc>
        <w:tc>
          <w:tcPr>
            <w:tcW w:w="0" w:type="auto"/>
            <w:tcBorders>
              <w:top w:val="nil"/>
              <w:left w:val="nil"/>
              <w:bottom w:val="single" w:sz="4" w:space="0" w:color="auto"/>
              <w:right w:val="single" w:sz="4" w:space="0" w:color="auto"/>
            </w:tcBorders>
            <w:shd w:val="clear" w:color="auto" w:fill="auto"/>
            <w:noWrap/>
            <w:vAlign w:val="center"/>
          </w:tcPr>
          <w:p w14:paraId="12475D1A" w14:textId="32107714" w:rsidR="003C424B" w:rsidRPr="000A1177" w:rsidRDefault="003C424B" w:rsidP="003C424B">
            <w:pPr>
              <w:spacing w:before="0" w:after="0"/>
              <w:jc w:val="right"/>
              <w:rPr>
                <w:rFonts w:cs="Arial"/>
                <w:i/>
                <w:iCs/>
                <w:sz w:val="14"/>
                <w:szCs w:val="14"/>
              </w:rPr>
            </w:pPr>
            <w:r w:rsidRPr="003C424B">
              <w:rPr>
                <w:rFonts w:cs="Arial"/>
                <w:i/>
                <w:iCs/>
                <w:sz w:val="14"/>
                <w:szCs w:val="14"/>
              </w:rPr>
              <w:t>9.061.949.000</w:t>
            </w:r>
          </w:p>
        </w:tc>
        <w:tc>
          <w:tcPr>
            <w:tcW w:w="0" w:type="auto"/>
            <w:tcBorders>
              <w:top w:val="nil"/>
              <w:left w:val="nil"/>
              <w:bottom w:val="single" w:sz="4" w:space="0" w:color="auto"/>
              <w:right w:val="single" w:sz="4" w:space="0" w:color="auto"/>
            </w:tcBorders>
            <w:shd w:val="clear" w:color="auto" w:fill="auto"/>
            <w:noWrap/>
            <w:vAlign w:val="center"/>
          </w:tcPr>
          <w:p w14:paraId="56CB6657" w14:textId="08D70CBC" w:rsidR="003C424B" w:rsidRPr="000A1177" w:rsidRDefault="003C424B" w:rsidP="003C424B">
            <w:pPr>
              <w:spacing w:before="0" w:after="0"/>
              <w:jc w:val="right"/>
              <w:rPr>
                <w:rFonts w:cs="Arial"/>
                <w:i/>
                <w:iCs/>
                <w:sz w:val="14"/>
                <w:szCs w:val="14"/>
              </w:rPr>
            </w:pPr>
            <w:r w:rsidRPr="003C424B">
              <w:rPr>
                <w:rFonts w:cs="Arial"/>
                <w:i/>
                <w:iCs/>
                <w:sz w:val="14"/>
                <w:szCs w:val="14"/>
              </w:rPr>
              <w:t>11.256.718.000</w:t>
            </w:r>
          </w:p>
        </w:tc>
      </w:tr>
      <w:tr w:rsidR="003C424B" w:rsidRPr="000A1177" w14:paraId="549F13B2" w14:textId="77777777" w:rsidTr="003C424B">
        <w:trPr>
          <w:trHeight w:val="255"/>
          <w:jc w:val="center"/>
        </w:trPr>
        <w:tc>
          <w:tcPr>
            <w:tcW w:w="934" w:type="dxa"/>
            <w:tcBorders>
              <w:top w:val="nil"/>
              <w:left w:val="single" w:sz="4" w:space="0" w:color="auto"/>
              <w:bottom w:val="single" w:sz="4" w:space="0" w:color="auto"/>
              <w:right w:val="nil"/>
            </w:tcBorders>
            <w:shd w:val="clear" w:color="auto" w:fill="auto"/>
            <w:noWrap/>
            <w:vAlign w:val="center"/>
            <w:hideMark/>
          </w:tcPr>
          <w:p w14:paraId="381E12B8" w14:textId="77777777" w:rsidR="003C424B" w:rsidRPr="000A1177" w:rsidRDefault="003C424B" w:rsidP="003C424B">
            <w:pPr>
              <w:spacing w:before="0" w:after="0"/>
              <w:jc w:val="center"/>
              <w:rPr>
                <w:rFonts w:cs="Arial"/>
                <w:i/>
                <w:iCs/>
                <w:sz w:val="16"/>
                <w:szCs w:val="16"/>
                <w:lang w:eastAsia="es-CO"/>
              </w:rPr>
            </w:pPr>
            <w:r w:rsidRPr="000A1177">
              <w:rPr>
                <w:rFonts w:cs="Arial"/>
                <w:i/>
                <w:iCs/>
                <w:sz w:val="16"/>
                <w:szCs w:val="16"/>
                <w:lang w:eastAsia="es-CO"/>
              </w:rPr>
              <w:t>l = 10</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4C1012B" w14:textId="48BF3E51" w:rsidR="003C424B" w:rsidRPr="00606E76" w:rsidRDefault="003C424B" w:rsidP="003C424B">
            <w:pPr>
              <w:spacing w:before="0" w:after="0"/>
              <w:jc w:val="right"/>
              <w:rPr>
                <w:rFonts w:cs="Arial"/>
                <w:i/>
                <w:iCs/>
                <w:sz w:val="14"/>
                <w:szCs w:val="14"/>
                <w:highlight w:val="yellow"/>
              </w:rPr>
            </w:pPr>
            <w:r w:rsidRPr="007E0269">
              <w:rPr>
                <w:rFonts w:cs="Arial"/>
                <w:i/>
                <w:iCs/>
                <w:sz w:val="14"/>
                <w:szCs w:val="14"/>
              </w:rPr>
              <w:t>13.064.174.452</w:t>
            </w:r>
          </w:p>
        </w:tc>
        <w:tc>
          <w:tcPr>
            <w:tcW w:w="0" w:type="auto"/>
            <w:tcBorders>
              <w:top w:val="nil"/>
              <w:left w:val="nil"/>
              <w:bottom w:val="single" w:sz="4" w:space="0" w:color="auto"/>
              <w:right w:val="single" w:sz="4" w:space="0" w:color="auto"/>
            </w:tcBorders>
            <w:shd w:val="clear" w:color="auto" w:fill="auto"/>
            <w:noWrap/>
            <w:vAlign w:val="center"/>
          </w:tcPr>
          <w:p w14:paraId="2B56D724" w14:textId="34BD767D" w:rsidR="003C424B" w:rsidRPr="000A1177" w:rsidRDefault="003C424B" w:rsidP="003C424B">
            <w:pPr>
              <w:spacing w:before="0" w:after="0"/>
              <w:jc w:val="right"/>
              <w:rPr>
                <w:rFonts w:cs="Arial"/>
                <w:i/>
                <w:iCs/>
                <w:sz w:val="14"/>
                <w:szCs w:val="14"/>
              </w:rPr>
            </w:pPr>
            <w:r w:rsidRPr="003C424B">
              <w:rPr>
                <w:rFonts w:cs="Arial"/>
                <w:i/>
                <w:iCs/>
                <w:sz w:val="14"/>
                <w:szCs w:val="14"/>
              </w:rPr>
              <w:t>8.946.171.625</w:t>
            </w:r>
          </w:p>
        </w:tc>
        <w:tc>
          <w:tcPr>
            <w:tcW w:w="0" w:type="auto"/>
            <w:tcBorders>
              <w:top w:val="nil"/>
              <w:left w:val="nil"/>
              <w:bottom w:val="single" w:sz="4" w:space="0" w:color="auto"/>
              <w:right w:val="single" w:sz="4" w:space="0" w:color="auto"/>
            </w:tcBorders>
            <w:shd w:val="clear" w:color="auto" w:fill="auto"/>
            <w:noWrap/>
            <w:vAlign w:val="center"/>
          </w:tcPr>
          <w:p w14:paraId="3D88581F" w14:textId="765CA923" w:rsidR="003C424B" w:rsidRPr="000A1177" w:rsidRDefault="003C424B" w:rsidP="003C424B">
            <w:pPr>
              <w:spacing w:before="0" w:after="0"/>
              <w:jc w:val="right"/>
              <w:rPr>
                <w:rFonts w:cs="Arial"/>
                <w:i/>
                <w:iCs/>
                <w:sz w:val="14"/>
                <w:szCs w:val="14"/>
              </w:rPr>
            </w:pPr>
            <w:r w:rsidRPr="003C424B">
              <w:rPr>
                <w:rFonts w:cs="Arial"/>
                <w:i/>
                <w:iCs/>
                <w:sz w:val="14"/>
                <w:szCs w:val="14"/>
              </w:rPr>
              <w:t>3.356.134.667</w:t>
            </w:r>
          </w:p>
        </w:tc>
        <w:tc>
          <w:tcPr>
            <w:tcW w:w="0" w:type="auto"/>
            <w:tcBorders>
              <w:top w:val="nil"/>
              <w:left w:val="nil"/>
              <w:bottom w:val="single" w:sz="4" w:space="0" w:color="auto"/>
              <w:right w:val="single" w:sz="4" w:space="0" w:color="auto"/>
            </w:tcBorders>
            <w:shd w:val="clear" w:color="auto" w:fill="auto"/>
            <w:noWrap/>
            <w:vAlign w:val="center"/>
          </w:tcPr>
          <w:p w14:paraId="32A96126" w14:textId="142B6477" w:rsidR="003C424B" w:rsidRPr="000A1177" w:rsidRDefault="003C424B" w:rsidP="003C424B">
            <w:pPr>
              <w:spacing w:before="0" w:after="0"/>
              <w:jc w:val="right"/>
              <w:rPr>
                <w:rFonts w:cs="Arial"/>
                <w:i/>
                <w:iCs/>
                <w:sz w:val="14"/>
                <w:szCs w:val="14"/>
              </w:rPr>
            </w:pPr>
            <w:r w:rsidRPr="003C424B">
              <w:rPr>
                <w:rFonts w:cs="Arial"/>
                <w:i/>
                <w:iCs/>
                <w:sz w:val="14"/>
                <w:szCs w:val="14"/>
              </w:rPr>
              <w:t>4.830.960.307</w:t>
            </w:r>
          </w:p>
        </w:tc>
        <w:tc>
          <w:tcPr>
            <w:tcW w:w="0" w:type="auto"/>
            <w:tcBorders>
              <w:top w:val="nil"/>
              <w:left w:val="nil"/>
              <w:bottom w:val="single" w:sz="4" w:space="0" w:color="auto"/>
              <w:right w:val="single" w:sz="4" w:space="0" w:color="auto"/>
            </w:tcBorders>
            <w:shd w:val="clear" w:color="auto" w:fill="auto"/>
            <w:noWrap/>
            <w:vAlign w:val="center"/>
          </w:tcPr>
          <w:p w14:paraId="2700B803" w14:textId="77BC8447" w:rsidR="003C424B" w:rsidRPr="000A1177" w:rsidRDefault="003C424B" w:rsidP="003C424B">
            <w:pPr>
              <w:spacing w:before="0" w:after="0"/>
              <w:jc w:val="right"/>
              <w:rPr>
                <w:rFonts w:cs="Arial"/>
                <w:i/>
                <w:iCs/>
                <w:sz w:val="14"/>
                <w:szCs w:val="14"/>
              </w:rPr>
            </w:pPr>
            <w:r w:rsidRPr="003C424B">
              <w:rPr>
                <w:rFonts w:cs="Arial"/>
                <w:i/>
                <w:iCs/>
                <w:sz w:val="14"/>
                <w:szCs w:val="14"/>
              </w:rPr>
              <w:t>2.401.656.933</w:t>
            </w:r>
          </w:p>
        </w:tc>
        <w:tc>
          <w:tcPr>
            <w:tcW w:w="0" w:type="auto"/>
            <w:tcBorders>
              <w:top w:val="nil"/>
              <w:left w:val="nil"/>
              <w:bottom w:val="single" w:sz="4" w:space="0" w:color="auto"/>
              <w:right w:val="single" w:sz="4" w:space="0" w:color="auto"/>
            </w:tcBorders>
            <w:shd w:val="clear" w:color="auto" w:fill="auto"/>
            <w:noWrap/>
            <w:vAlign w:val="center"/>
          </w:tcPr>
          <w:p w14:paraId="61A01052" w14:textId="1F9E5864" w:rsidR="003C424B" w:rsidRPr="000A1177" w:rsidRDefault="003C424B" w:rsidP="003C424B">
            <w:pPr>
              <w:spacing w:before="0" w:after="0"/>
              <w:jc w:val="right"/>
              <w:rPr>
                <w:rFonts w:cs="Arial"/>
                <w:i/>
                <w:iCs/>
                <w:sz w:val="14"/>
                <w:szCs w:val="14"/>
              </w:rPr>
            </w:pPr>
            <w:r w:rsidRPr="003C424B">
              <w:rPr>
                <w:rFonts w:cs="Arial"/>
                <w:i/>
                <w:iCs/>
                <w:sz w:val="14"/>
                <w:szCs w:val="14"/>
              </w:rPr>
              <w:t>2.338.214.227</w:t>
            </w:r>
          </w:p>
        </w:tc>
      </w:tr>
    </w:tbl>
    <w:p w14:paraId="75C381CE" w14:textId="1706D2BE" w:rsidR="00000018" w:rsidRPr="00D86AE1" w:rsidRDefault="00000018" w:rsidP="007A6765">
      <w:pPr>
        <w:pStyle w:val="Descripcin"/>
        <w:spacing w:before="120" w:after="120"/>
        <w:ind w:firstLine="708"/>
        <w:rPr>
          <w:i/>
          <w:iCs/>
          <w:sz w:val="20"/>
          <w:szCs w:val="18"/>
        </w:rPr>
      </w:pPr>
      <w:r w:rsidRPr="00D86AE1">
        <w:rPr>
          <w:i/>
          <w:iCs/>
          <w:sz w:val="20"/>
          <w:szCs w:val="18"/>
        </w:rPr>
        <w:lastRenderedPageBreak/>
        <w:t>Tabla 5 Plan de inversiones del nivel de tensión 1, pesos de diciembre de 2017</w:t>
      </w:r>
    </w:p>
    <w:tbl>
      <w:tblPr>
        <w:tblW w:w="0" w:type="auto"/>
        <w:jc w:val="center"/>
        <w:tblCellMar>
          <w:left w:w="70" w:type="dxa"/>
          <w:right w:w="70" w:type="dxa"/>
        </w:tblCellMar>
        <w:tblLook w:val="04A0" w:firstRow="1" w:lastRow="0" w:firstColumn="1" w:lastColumn="0" w:noHBand="0" w:noVBand="1"/>
      </w:tblPr>
      <w:tblGrid>
        <w:gridCol w:w="966"/>
        <w:gridCol w:w="1221"/>
        <w:gridCol w:w="1221"/>
        <w:gridCol w:w="1221"/>
        <w:gridCol w:w="1221"/>
        <w:gridCol w:w="1221"/>
        <w:gridCol w:w="1221"/>
      </w:tblGrid>
      <w:tr w:rsidR="00000018" w:rsidRPr="00F41324" w14:paraId="589C7DEB" w14:textId="77777777" w:rsidTr="00807FA5">
        <w:trPr>
          <w:trHeight w:val="480"/>
          <w:tblHeader/>
          <w:jc w:val="center"/>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57BC7C" w14:textId="77777777" w:rsidR="00000018" w:rsidRPr="00F41324" w:rsidRDefault="00000018" w:rsidP="003A2309">
            <w:pPr>
              <w:spacing w:before="0" w:after="0"/>
              <w:jc w:val="center"/>
              <w:rPr>
                <w:rFonts w:cs="Arial"/>
                <w:b/>
                <w:bCs/>
                <w:i/>
                <w:iCs/>
                <w:sz w:val="16"/>
                <w:szCs w:val="16"/>
                <w:lang w:val="es-CO" w:eastAsia="es-CO"/>
              </w:rPr>
            </w:pPr>
            <w:r w:rsidRPr="00F41324">
              <w:rPr>
                <w:rFonts w:cs="Arial"/>
                <w:b/>
                <w:bCs/>
                <w:i/>
                <w:iCs/>
                <w:sz w:val="16"/>
                <w:szCs w:val="16"/>
                <w:lang w:val="es-CO" w:eastAsia="es-CO"/>
              </w:rPr>
              <w:t>Categoría de activos 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8E6DC9B" w14:textId="77777777" w:rsidR="00000018" w:rsidRPr="00F41324" w:rsidRDefault="00000018" w:rsidP="003A2309">
            <w:pPr>
              <w:spacing w:before="0" w:after="0"/>
              <w:jc w:val="center"/>
              <w:rPr>
                <w:rFonts w:cs="Arial"/>
                <w:b/>
                <w:bCs/>
                <w:i/>
                <w:iCs/>
                <w:sz w:val="16"/>
                <w:szCs w:val="16"/>
                <w:lang w:val="es-CO" w:eastAsia="es-CO"/>
              </w:rPr>
            </w:pPr>
            <w:r w:rsidRPr="00F41324">
              <w:rPr>
                <w:rFonts w:cs="Arial"/>
                <w:b/>
                <w:bCs/>
                <w:i/>
                <w:iCs/>
                <w:sz w:val="16"/>
                <w:szCs w:val="16"/>
                <w:lang w:val="es-CO" w:eastAsia="es-CO"/>
              </w:rPr>
              <w:t>INVA</w:t>
            </w:r>
            <w:r w:rsidRPr="00F41324">
              <w:rPr>
                <w:rFonts w:cs="Arial"/>
                <w:b/>
                <w:bCs/>
                <w:i/>
                <w:iCs/>
                <w:sz w:val="16"/>
                <w:szCs w:val="16"/>
                <w:vertAlign w:val="subscript"/>
                <w:lang w:val="es-CO" w:eastAsia="es-CO"/>
              </w:rPr>
              <w:t>j,1,l,1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BA9EDF1" w14:textId="77777777" w:rsidR="00000018" w:rsidRPr="00F41324" w:rsidRDefault="00000018" w:rsidP="003A2309">
            <w:pPr>
              <w:spacing w:before="0" w:after="0"/>
              <w:jc w:val="center"/>
              <w:rPr>
                <w:rFonts w:cs="Arial"/>
                <w:b/>
                <w:bCs/>
                <w:i/>
                <w:iCs/>
                <w:sz w:val="16"/>
                <w:szCs w:val="16"/>
                <w:lang w:val="es-CO" w:eastAsia="es-CO"/>
              </w:rPr>
            </w:pPr>
            <w:r w:rsidRPr="00F41324">
              <w:rPr>
                <w:rFonts w:cs="Arial"/>
                <w:b/>
                <w:bCs/>
                <w:i/>
                <w:iCs/>
                <w:sz w:val="16"/>
                <w:szCs w:val="16"/>
                <w:lang w:val="es-CO" w:eastAsia="es-CO"/>
              </w:rPr>
              <w:t>INVA</w:t>
            </w:r>
            <w:r w:rsidRPr="00F41324">
              <w:rPr>
                <w:rFonts w:cs="Arial"/>
                <w:b/>
                <w:bCs/>
                <w:i/>
                <w:iCs/>
                <w:sz w:val="16"/>
                <w:szCs w:val="16"/>
                <w:vertAlign w:val="subscript"/>
                <w:lang w:val="es-CO" w:eastAsia="es-CO"/>
              </w:rPr>
              <w:t>j,1,l,2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11A02E7" w14:textId="77777777" w:rsidR="00000018" w:rsidRPr="00F41324" w:rsidRDefault="00000018" w:rsidP="003A2309">
            <w:pPr>
              <w:spacing w:before="0" w:after="0"/>
              <w:jc w:val="center"/>
              <w:rPr>
                <w:rFonts w:cs="Arial"/>
                <w:b/>
                <w:bCs/>
                <w:i/>
                <w:iCs/>
                <w:sz w:val="16"/>
                <w:szCs w:val="16"/>
                <w:lang w:val="es-CO" w:eastAsia="es-CO"/>
              </w:rPr>
            </w:pPr>
            <w:r w:rsidRPr="00F41324">
              <w:rPr>
                <w:rFonts w:cs="Arial"/>
                <w:b/>
                <w:bCs/>
                <w:i/>
                <w:iCs/>
                <w:sz w:val="16"/>
                <w:szCs w:val="16"/>
                <w:lang w:val="es-CO" w:eastAsia="es-CO"/>
              </w:rPr>
              <w:t>INVA</w:t>
            </w:r>
            <w:r w:rsidRPr="00F41324">
              <w:rPr>
                <w:rFonts w:cs="Arial"/>
                <w:b/>
                <w:bCs/>
                <w:i/>
                <w:iCs/>
                <w:sz w:val="16"/>
                <w:szCs w:val="16"/>
                <w:vertAlign w:val="subscript"/>
                <w:lang w:val="es-CO" w:eastAsia="es-CO"/>
              </w:rPr>
              <w:t>j,1,l,3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DEE3547" w14:textId="77777777" w:rsidR="00000018" w:rsidRPr="00F41324" w:rsidRDefault="00000018" w:rsidP="003A2309">
            <w:pPr>
              <w:spacing w:before="0" w:after="0"/>
              <w:jc w:val="center"/>
              <w:rPr>
                <w:rFonts w:cs="Arial"/>
                <w:b/>
                <w:bCs/>
                <w:i/>
                <w:iCs/>
                <w:sz w:val="16"/>
                <w:szCs w:val="16"/>
                <w:lang w:val="es-CO" w:eastAsia="es-CO"/>
              </w:rPr>
            </w:pPr>
            <w:r w:rsidRPr="00F41324">
              <w:rPr>
                <w:rFonts w:cs="Arial"/>
                <w:b/>
                <w:bCs/>
                <w:i/>
                <w:iCs/>
                <w:sz w:val="16"/>
                <w:szCs w:val="16"/>
                <w:lang w:val="es-CO" w:eastAsia="es-CO"/>
              </w:rPr>
              <w:t>INVA</w:t>
            </w:r>
            <w:r w:rsidRPr="00F41324">
              <w:rPr>
                <w:rFonts w:cs="Arial"/>
                <w:b/>
                <w:bCs/>
                <w:i/>
                <w:iCs/>
                <w:sz w:val="16"/>
                <w:szCs w:val="16"/>
                <w:vertAlign w:val="subscript"/>
                <w:lang w:val="es-CO" w:eastAsia="es-CO"/>
              </w:rPr>
              <w:t>j,1,l,4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67ECB11" w14:textId="77777777" w:rsidR="00000018" w:rsidRPr="00F41324" w:rsidRDefault="00000018" w:rsidP="003A2309">
            <w:pPr>
              <w:spacing w:before="0" w:after="0"/>
              <w:jc w:val="center"/>
              <w:rPr>
                <w:rFonts w:cs="Arial"/>
                <w:b/>
                <w:bCs/>
                <w:i/>
                <w:iCs/>
                <w:sz w:val="16"/>
                <w:szCs w:val="16"/>
                <w:lang w:val="es-CO" w:eastAsia="es-CO"/>
              </w:rPr>
            </w:pPr>
            <w:r w:rsidRPr="00F41324">
              <w:rPr>
                <w:rFonts w:cs="Arial"/>
                <w:b/>
                <w:bCs/>
                <w:i/>
                <w:iCs/>
                <w:sz w:val="16"/>
                <w:szCs w:val="16"/>
                <w:lang w:val="es-CO" w:eastAsia="es-CO"/>
              </w:rPr>
              <w:t>INVA</w:t>
            </w:r>
            <w:r w:rsidRPr="00F41324">
              <w:rPr>
                <w:rFonts w:cs="Arial"/>
                <w:b/>
                <w:bCs/>
                <w:i/>
                <w:iCs/>
                <w:sz w:val="16"/>
                <w:szCs w:val="16"/>
                <w:vertAlign w:val="subscript"/>
                <w:lang w:val="es-CO" w:eastAsia="es-CO"/>
              </w:rPr>
              <w:t>j,1,l,5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941490D" w14:textId="77777777" w:rsidR="00000018" w:rsidRPr="00F41324" w:rsidRDefault="00000018" w:rsidP="003A2309">
            <w:pPr>
              <w:spacing w:before="0" w:after="0"/>
              <w:jc w:val="center"/>
              <w:rPr>
                <w:rFonts w:cs="Arial"/>
                <w:b/>
                <w:bCs/>
                <w:i/>
                <w:iCs/>
                <w:sz w:val="16"/>
                <w:szCs w:val="16"/>
                <w:lang w:val="es-CO" w:eastAsia="es-CO"/>
              </w:rPr>
            </w:pPr>
            <w:r w:rsidRPr="00F41324">
              <w:rPr>
                <w:rFonts w:cs="Arial"/>
                <w:b/>
                <w:bCs/>
                <w:i/>
                <w:iCs/>
                <w:sz w:val="16"/>
                <w:szCs w:val="16"/>
                <w:lang w:val="es-CO" w:eastAsia="es-CO"/>
              </w:rPr>
              <w:t>INVA</w:t>
            </w:r>
            <w:r w:rsidRPr="00F41324">
              <w:rPr>
                <w:rFonts w:cs="Arial"/>
                <w:b/>
                <w:bCs/>
                <w:i/>
                <w:iCs/>
                <w:sz w:val="16"/>
                <w:szCs w:val="16"/>
                <w:vertAlign w:val="subscript"/>
                <w:lang w:val="es-CO" w:eastAsia="es-CO"/>
              </w:rPr>
              <w:t>j,1,l,6</w:t>
            </w:r>
          </w:p>
        </w:tc>
      </w:tr>
      <w:tr w:rsidR="008102CC" w:rsidRPr="00F41324" w14:paraId="00BF7C99" w14:textId="77777777" w:rsidTr="00807FA5">
        <w:trPr>
          <w:trHeight w:val="264"/>
          <w:tblHeader/>
          <w:jc w:val="center"/>
        </w:trPr>
        <w:tc>
          <w:tcPr>
            <w:tcW w:w="966" w:type="dxa"/>
            <w:tcBorders>
              <w:top w:val="nil"/>
              <w:left w:val="single" w:sz="4" w:space="0" w:color="auto"/>
              <w:bottom w:val="single" w:sz="4" w:space="0" w:color="auto"/>
              <w:right w:val="nil"/>
            </w:tcBorders>
            <w:shd w:val="clear" w:color="000000" w:fill="FFFFFF"/>
            <w:noWrap/>
            <w:vAlign w:val="center"/>
            <w:hideMark/>
          </w:tcPr>
          <w:p w14:paraId="06978681" w14:textId="77777777" w:rsidR="008102CC" w:rsidRPr="00F41324" w:rsidRDefault="008102CC" w:rsidP="008102CC">
            <w:pPr>
              <w:spacing w:before="0" w:after="0"/>
              <w:jc w:val="center"/>
              <w:rPr>
                <w:rFonts w:cs="Arial"/>
                <w:i/>
                <w:iCs/>
                <w:sz w:val="16"/>
                <w:szCs w:val="16"/>
                <w:lang w:val="es-CO" w:eastAsia="es-CO"/>
              </w:rPr>
            </w:pPr>
            <w:r w:rsidRPr="00F41324">
              <w:rPr>
                <w:rFonts w:cs="Arial"/>
                <w:i/>
                <w:iCs/>
                <w:sz w:val="16"/>
                <w:szCs w:val="16"/>
                <w:lang w:val="es-CO" w:eastAsia="es-CO"/>
              </w:rPr>
              <w:t>l = 11</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E0FA613" w14:textId="3677535A" w:rsidR="008102CC" w:rsidRPr="000159E8" w:rsidRDefault="008102CC" w:rsidP="008102CC">
            <w:pPr>
              <w:spacing w:before="0" w:after="0"/>
              <w:jc w:val="right"/>
              <w:rPr>
                <w:rFonts w:cs="Arial"/>
                <w:i/>
                <w:iCs/>
                <w:sz w:val="14"/>
                <w:szCs w:val="14"/>
                <w:highlight w:val="yellow"/>
              </w:rPr>
            </w:pPr>
            <w:r w:rsidRPr="00A966DD">
              <w:rPr>
                <w:rFonts w:cs="Arial"/>
                <w:i/>
                <w:iCs/>
                <w:sz w:val="14"/>
                <w:szCs w:val="14"/>
              </w:rPr>
              <w:t>30.340.685.000</w:t>
            </w:r>
          </w:p>
        </w:tc>
        <w:tc>
          <w:tcPr>
            <w:tcW w:w="0" w:type="auto"/>
            <w:tcBorders>
              <w:top w:val="nil"/>
              <w:left w:val="nil"/>
              <w:bottom w:val="single" w:sz="4" w:space="0" w:color="auto"/>
              <w:right w:val="single" w:sz="4" w:space="0" w:color="auto"/>
            </w:tcBorders>
            <w:shd w:val="clear" w:color="auto" w:fill="auto"/>
            <w:noWrap/>
            <w:vAlign w:val="center"/>
          </w:tcPr>
          <w:p w14:paraId="39633557" w14:textId="5385802D" w:rsidR="008102CC" w:rsidRPr="00F41324" w:rsidRDefault="008102CC" w:rsidP="008102CC">
            <w:pPr>
              <w:spacing w:before="0" w:after="0"/>
              <w:jc w:val="right"/>
              <w:rPr>
                <w:rFonts w:cs="Arial"/>
                <w:i/>
                <w:iCs/>
                <w:sz w:val="14"/>
                <w:szCs w:val="14"/>
              </w:rPr>
            </w:pPr>
            <w:r w:rsidRPr="008102CC">
              <w:rPr>
                <w:rFonts w:cs="Arial"/>
                <w:i/>
                <w:iCs/>
                <w:sz w:val="14"/>
                <w:szCs w:val="14"/>
              </w:rPr>
              <w:t>31.349.394.000</w:t>
            </w:r>
          </w:p>
        </w:tc>
        <w:tc>
          <w:tcPr>
            <w:tcW w:w="0" w:type="auto"/>
            <w:tcBorders>
              <w:top w:val="nil"/>
              <w:left w:val="nil"/>
              <w:bottom w:val="single" w:sz="4" w:space="0" w:color="auto"/>
              <w:right w:val="single" w:sz="4" w:space="0" w:color="auto"/>
            </w:tcBorders>
            <w:shd w:val="clear" w:color="auto" w:fill="auto"/>
            <w:noWrap/>
            <w:vAlign w:val="center"/>
          </w:tcPr>
          <w:p w14:paraId="2E022FFC" w14:textId="43933269" w:rsidR="008102CC" w:rsidRPr="00F41324" w:rsidRDefault="008102CC" w:rsidP="008102CC">
            <w:pPr>
              <w:spacing w:before="0" w:after="0"/>
              <w:jc w:val="right"/>
              <w:rPr>
                <w:rFonts w:cs="Arial"/>
                <w:i/>
                <w:iCs/>
                <w:sz w:val="14"/>
                <w:szCs w:val="14"/>
              </w:rPr>
            </w:pPr>
            <w:r w:rsidRPr="008102CC">
              <w:rPr>
                <w:rFonts w:cs="Arial"/>
                <w:i/>
                <w:iCs/>
                <w:sz w:val="14"/>
                <w:szCs w:val="14"/>
              </w:rPr>
              <w:t>30.234.583.000</w:t>
            </w:r>
          </w:p>
        </w:tc>
        <w:tc>
          <w:tcPr>
            <w:tcW w:w="0" w:type="auto"/>
            <w:tcBorders>
              <w:top w:val="nil"/>
              <w:left w:val="nil"/>
              <w:bottom w:val="single" w:sz="4" w:space="0" w:color="auto"/>
              <w:right w:val="single" w:sz="4" w:space="0" w:color="auto"/>
            </w:tcBorders>
            <w:shd w:val="clear" w:color="auto" w:fill="auto"/>
            <w:noWrap/>
            <w:vAlign w:val="center"/>
          </w:tcPr>
          <w:p w14:paraId="24F7A72C" w14:textId="0101CDD9" w:rsidR="008102CC" w:rsidRPr="00F41324" w:rsidRDefault="008102CC" w:rsidP="008102CC">
            <w:pPr>
              <w:spacing w:before="0" w:after="0"/>
              <w:jc w:val="right"/>
              <w:rPr>
                <w:rFonts w:cs="Arial"/>
                <w:i/>
                <w:iCs/>
                <w:sz w:val="14"/>
                <w:szCs w:val="14"/>
              </w:rPr>
            </w:pPr>
            <w:r w:rsidRPr="008102CC">
              <w:rPr>
                <w:rFonts w:cs="Arial"/>
                <w:i/>
                <w:iCs/>
                <w:sz w:val="14"/>
                <w:szCs w:val="14"/>
              </w:rPr>
              <w:t>39.911.137.000</w:t>
            </w:r>
          </w:p>
        </w:tc>
        <w:tc>
          <w:tcPr>
            <w:tcW w:w="0" w:type="auto"/>
            <w:tcBorders>
              <w:top w:val="nil"/>
              <w:left w:val="nil"/>
              <w:bottom w:val="single" w:sz="4" w:space="0" w:color="auto"/>
              <w:right w:val="single" w:sz="4" w:space="0" w:color="auto"/>
            </w:tcBorders>
            <w:shd w:val="clear" w:color="auto" w:fill="auto"/>
            <w:noWrap/>
            <w:vAlign w:val="center"/>
          </w:tcPr>
          <w:p w14:paraId="4BD5078B" w14:textId="3D42C04B" w:rsidR="008102CC" w:rsidRPr="00F41324" w:rsidRDefault="008102CC" w:rsidP="008102CC">
            <w:pPr>
              <w:spacing w:before="0" w:after="0"/>
              <w:jc w:val="right"/>
              <w:rPr>
                <w:rFonts w:cs="Arial"/>
                <w:i/>
                <w:iCs/>
                <w:sz w:val="14"/>
                <w:szCs w:val="14"/>
              </w:rPr>
            </w:pPr>
            <w:r w:rsidRPr="008102CC">
              <w:rPr>
                <w:rFonts w:cs="Arial"/>
                <w:i/>
                <w:iCs/>
                <w:sz w:val="14"/>
                <w:szCs w:val="14"/>
              </w:rPr>
              <w:t>12.985.235.000</w:t>
            </w:r>
          </w:p>
        </w:tc>
        <w:tc>
          <w:tcPr>
            <w:tcW w:w="0" w:type="auto"/>
            <w:tcBorders>
              <w:top w:val="nil"/>
              <w:left w:val="nil"/>
              <w:bottom w:val="single" w:sz="4" w:space="0" w:color="auto"/>
              <w:right w:val="single" w:sz="4" w:space="0" w:color="auto"/>
            </w:tcBorders>
            <w:shd w:val="clear" w:color="auto" w:fill="auto"/>
            <w:noWrap/>
            <w:vAlign w:val="center"/>
          </w:tcPr>
          <w:p w14:paraId="468F410D" w14:textId="44D7DB82" w:rsidR="008102CC" w:rsidRPr="00F41324" w:rsidRDefault="008102CC" w:rsidP="008102CC">
            <w:pPr>
              <w:spacing w:before="0" w:after="0"/>
              <w:jc w:val="right"/>
              <w:rPr>
                <w:rFonts w:cs="Arial"/>
                <w:i/>
                <w:iCs/>
                <w:sz w:val="14"/>
                <w:szCs w:val="14"/>
              </w:rPr>
            </w:pPr>
            <w:r w:rsidRPr="008102CC">
              <w:rPr>
                <w:rFonts w:cs="Arial"/>
                <w:i/>
                <w:iCs/>
                <w:sz w:val="14"/>
                <w:szCs w:val="14"/>
              </w:rPr>
              <w:t>17.394.336.000</w:t>
            </w:r>
          </w:p>
        </w:tc>
      </w:tr>
      <w:tr w:rsidR="008102CC" w:rsidRPr="00F41324" w14:paraId="027045CE" w14:textId="77777777" w:rsidTr="00807FA5">
        <w:trPr>
          <w:trHeight w:val="264"/>
          <w:tblHeader/>
          <w:jc w:val="center"/>
        </w:trPr>
        <w:tc>
          <w:tcPr>
            <w:tcW w:w="966" w:type="dxa"/>
            <w:tcBorders>
              <w:top w:val="nil"/>
              <w:left w:val="single" w:sz="4" w:space="0" w:color="auto"/>
              <w:bottom w:val="single" w:sz="4" w:space="0" w:color="auto"/>
              <w:right w:val="nil"/>
            </w:tcBorders>
            <w:shd w:val="clear" w:color="000000" w:fill="FFFFFF"/>
            <w:noWrap/>
            <w:vAlign w:val="center"/>
            <w:hideMark/>
          </w:tcPr>
          <w:p w14:paraId="4D1BAA23" w14:textId="77777777" w:rsidR="008102CC" w:rsidRPr="00F41324" w:rsidRDefault="008102CC" w:rsidP="008102CC">
            <w:pPr>
              <w:spacing w:before="0" w:after="0"/>
              <w:jc w:val="center"/>
              <w:rPr>
                <w:rFonts w:cs="Arial"/>
                <w:i/>
                <w:iCs/>
                <w:sz w:val="16"/>
                <w:szCs w:val="16"/>
                <w:lang w:val="es-CO" w:eastAsia="es-CO"/>
              </w:rPr>
            </w:pPr>
            <w:r w:rsidRPr="00F41324">
              <w:rPr>
                <w:rFonts w:cs="Arial"/>
                <w:i/>
                <w:iCs/>
                <w:sz w:val="16"/>
                <w:szCs w:val="16"/>
                <w:lang w:val="es-CO" w:eastAsia="es-CO"/>
              </w:rPr>
              <w:t>l = 12</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95ACF2B" w14:textId="410C215C" w:rsidR="008102CC" w:rsidRPr="000159E8" w:rsidRDefault="008102CC" w:rsidP="008102CC">
            <w:pPr>
              <w:spacing w:before="0" w:after="0"/>
              <w:jc w:val="right"/>
              <w:rPr>
                <w:rFonts w:cs="Arial"/>
                <w:i/>
                <w:iCs/>
                <w:sz w:val="14"/>
                <w:szCs w:val="14"/>
                <w:highlight w:val="yellow"/>
              </w:rPr>
            </w:pPr>
            <w:r w:rsidRPr="00A966DD">
              <w:rPr>
                <w:rFonts w:cs="Arial"/>
                <w:i/>
                <w:iCs/>
                <w:sz w:val="14"/>
                <w:szCs w:val="14"/>
              </w:rPr>
              <w:t>13.828.846.785</w:t>
            </w:r>
          </w:p>
        </w:tc>
        <w:tc>
          <w:tcPr>
            <w:tcW w:w="0" w:type="auto"/>
            <w:tcBorders>
              <w:top w:val="nil"/>
              <w:left w:val="nil"/>
              <w:bottom w:val="single" w:sz="4" w:space="0" w:color="auto"/>
              <w:right w:val="single" w:sz="4" w:space="0" w:color="auto"/>
            </w:tcBorders>
            <w:shd w:val="clear" w:color="auto" w:fill="auto"/>
            <w:noWrap/>
            <w:vAlign w:val="center"/>
          </w:tcPr>
          <w:p w14:paraId="6BCA6A61" w14:textId="280CDC80" w:rsidR="008102CC" w:rsidRPr="00F41324" w:rsidRDefault="008102CC" w:rsidP="008102CC">
            <w:pPr>
              <w:spacing w:before="0" w:after="0"/>
              <w:jc w:val="right"/>
              <w:rPr>
                <w:rFonts w:cs="Arial"/>
                <w:i/>
                <w:iCs/>
                <w:sz w:val="14"/>
                <w:szCs w:val="14"/>
              </w:rPr>
            </w:pPr>
            <w:r w:rsidRPr="008102CC">
              <w:rPr>
                <w:rFonts w:cs="Arial"/>
                <w:i/>
                <w:iCs/>
                <w:sz w:val="14"/>
                <w:szCs w:val="14"/>
              </w:rPr>
              <w:t>9.174.499.555</w:t>
            </w:r>
          </w:p>
        </w:tc>
        <w:tc>
          <w:tcPr>
            <w:tcW w:w="0" w:type="auto"/>
            <w:tcBorders>
              <w:top w:val="nil"/>
              <w:left w:val="nil"/>
              <w:bottom w:val="single" w:sz="4" w:space="0" w:color="auto"/>
              <w:right w:val="single" w:sz="4" w:space="0" w:color="auto"/>
            </w:tcBorders>
            <w:shd w:val="clear" w:color="auto" w:fill="auto"/>
            <w:noWrap/>
            <w:vAlign w:val="center"/>
          </w:tcPr>
          <w:p w14:paraId="4F5FE933" w14:textId="1073DEEA" w:rsidR="008102CC" w:rsidRPr="00F41324" w:rsidRDefault="008102CC" w:rsidP="008102CC">
            <w:pPr>
              <w:spacing w:before="0" w:after="0"/>
              <w:jc w:val="right"/>
              <w:rPr>
                <w:rFonts w:cs="Arial"/>
                <w:i/>
                <w:iCs/>
                <w:sz w:val="14"/>
                <w:szCs w:val="14"/>
              </w:rPr>
            </w:pPr>
            <w:r w:rsidRPr="008102CC">
              <w:rPr>
                <w:rFonts w:cs="Arial"/>
                <w:i/>
                <w:iCs/>
                <w:sz w:val="14"/>
                <w:szCs w:val="14"/>
              </w:rPr>
              <w:t>11.960.396.823</w:t>
            </w:r>
          </w:p>
        </w:tc>
        <w:tc>
          <w:tcPr>
            <w:tcW w:w="0" w:type="auto"/>
            <w:tcBorders>
              <w:top w:val="nil"/>
              <w:left w:val="nil"/>
              <w:bottom w:val="single" w:sz="4" w:space="0" w:color="auto"/>
              <w:right w:val="single" w:sz="4" w:space="0" w:color="auto"/>
            </w:tcBorders>
            <w:shd w:val="clear" w:color="auto" w:fill="auto"/>
            <w:noWrap/>
            <w:vAlign w:val="center"/>
          </w:tcPr>
          <w:p w14:paraId="2D821AFA" w14:textId="483B6444" w:rsidR="008102CC" w:rsidRPr="00F41324" w:rsidRDefault="008102CC" w:rsidP="008102CC">
            <w:pPr>
              <w:spacing w:before="0" w:after="0"/>
              <w:jc w:val="right"/>
              <w:rPr>
                <w:rFonts w:cs="Arial"/>
                <w:i/>
                <w:iCs/>
                <w:sz w:val="14"/>
                <w:szCs w:val="14"/>
              </w:rPr>
            </w:pPr>
            <w:r w:rsidRPr="008102CC">
              <w:rPr>
                <w:rFonts w:cs="Arial"/>
                <w:i/>
                <w:iCs/>
                <w:sz w:val="14"/>
                <w:szCs w:val="14"/>
              </w:rPr>
              <w:t>14.856.283.313</w:t>
            </w:r>
          </w:p>
        </w:tc>
        <w:tc>
          <w:tcPr>
            <w:tcW w:w="0" w:type="auto"/>
            <w:tcBorders>
              <w:top w:val="nil"/>
              <w:left w:val="nil"/>
              <w:bottom w:val="single" w:sz="4" w:space="0" w:color="auto"/>
              <w:right w:val="single" w:sz="4" w:space="0" w:color="auto"/>
            </w:tcBorders>
            <w:shd w:val="clear" w:color="auto" w:fill="auto"/>
            <w:noWrap/>
            <w:vAlign w:val="center"/>
          </w:tcPr>
          <w:p w14:paraId="7351AD4D" w14:textId="29825374" w:rsidR="008102CC" w:rsidRPr="00F41324" w:rsidRDefault="008102CC" w:rsidP="008102CC">
            <w:pPr>
              <w:spacing w:before="0" w:after="0"/>
              <w:jc w:val="right"/>
              <w:rPr>
                <w:rFonts w:cs="Arial"/>
                <w:i/>
                <w:iCs/>
                <w:sz w:val="14"/>
                <w:szCs w:val="14"/>
              </w:rPr>
            </w:pPr>
            <w:r w:rsidRPr="008102CC">
              <w:rPr>
                <w:rFonts w:cs="Arial"/>
                <w:i/>
                <w:iCs/>
                <w:sz w:val="14"/>
                <w:szCs w:val="14"/>
              </w:rPr>
              <w:t>8.052.283.966</w:t>
            </w:r>
          </w:p>
        </w:tc>
        <w:tc>
          <w:tcPr>
            <w:tcW w:w="0" w:type="auto"/>
            <w:tcBorders>
              <w:top w:val="nil"/>
              <w:left w:val="nil"/>
              <w:bottom w:val="single" w:sz="4" w:space="0" w:color="auto"/>
              <w:right w:val="single" w:sz="4" w:space="0" w:color="auto"/>
            </w:tcBorders>
            <w:shd w:val="clear" w:color="auto" w:fill="auto"/>
            <w:noWrap/>
            <w:vAlign w:val="center"/>
          </w:tcPr>
          <w:p w14:paraId="1F7263ED" w14:textId="07C85F50" w:rsidR="008102CC" w:rsidRPr="00F41324" w:rsidRDefault="008102CC" w:rsidP="008102CC">
            <w:pPr>
              <w:spacing w:before="0" w:after="0"/>
              <w:jc w:val="right"/>
              <w:rPr>
                <w:rFonts w:cs="Arial"/>
                <w:i/>
                <w:iCs/>
                <w:sz w:val="14"/>
                <w:szCs w:val="14"/>
              </w:rPr>
            </w:pPr>
            <w:r w:rsidRPr="008102CC">
              <w:rPr>
                <w:rFonts w:cs="Arial"/>
                <w:i/>
                <w:iCs/>
                <w:sz w:val="14"/>
                <w:szCs w:val="14"/>
              </w:rPr>
              <w:t>9.309.703.280</w:t>
            </w:r>
          </w:p>
        </w:tc>
      </w:tr>
    </w:tbl>
    <w:p w14:paraId="07CBEFC5" w14:textId="31C4E3E0" w:rsidR="005A7921" w:rsidRPr="001D2029" w:rsidRDefault="0035582D" w:rsidP="00083EF8">
      <w:pPr>
        <w:numPr>
          <w:ilvl w:val="0"/>
          <w:numId w:val="8"/>
        </w:numPr>
        <w:tabs>
          <w:tab w:val="left" w:pos="1701"/>
          <w:tab w:val="num" w:pos="2150"/>
        </w:tabs>
        <w:spacing w:before="360" w:after="240"/>
        <w:rPr>
          <w:rFonts w:cs="Arial"/>
        </w:rPr>
      </w:pPr>
      <w:r w:rsidRPr="001D2029">
        <w:rPr>
          <w:bCs/>
        </w:rPr>
        <w:t xml:space="preserve">La presente resolución deberá notificarse al representante legal de </w:t>
      </w:r>
      <w:r w:rsidR="00027FE2" w:rsidRPr="00930BD8">
        <w:t>AIR-E S.A.S. E.S.P.</w:t>
      </w:r>
      <w:r w:rsidR="00620FA7" w:rsidRPr="001D2029">
        <w:t xml:space="preserve"> y publicarse en el </w:t>
      </w:r>
      <w:r w:rsidR="00620FA7" w:rsidRPr="001D2029">
        <w:rPr>
          <w:i/>
          <w:iCs/>
        </w:rPr>
        <w:t>Diario Oficial</w:t>
      </w:r>
      <w:r w:rsidR="00620FA7" w:rsidRPr="001D2029">
        <w:t>.</w:t>
      </w:r>
      <w:r w:rsidRPr="001D2029">
        <w:rPr>
          <w:bCs/>
        </w:rPr>
        <w:t xml:space="preserve"> Contra lo aquí dispuesto no procede recurso alguno toda vez que</w:t>
      </w:r>
      <w:r w:rsidR="0006284C" w:rsidRPr="001D2029">
        <w:rPr>
          <w:bCs/>
        </w:rPr>
        <w:t xml:space="preserve"> se</w:t>
      </w:r>
      <w:r w:rsidRPr="001D2029">
        <w:rPr>
          <w:bCs/>
        </w:rPr>
        <w:t xml:space="preserve"> entienden agotados todos los recursos que por ley son obligatorios.</w:t>
      </w:r>
    </w:p>
    <w:p w14:paraId="35BA1735" w14:textId="46C71929" w:rsidR="005A7921" w:rsidRPr="005D18D5" w:rsidRDefault="009B57CC" w:rsidP="00083EF8">
      <w:pPr>
        <w:spacing w:before="480"/>
        <w:jc w:val="center"/>
        <w:rPr>
          <w:b/>
        </w:rPr>
      </w:pPr>
      <w:r w:rsidRPr="009B57CC">
        <w:rPr>
          <w:b/>
        </w:rPr>
        <w:t>NOTIFÍQUESE, PUBLÍQUESE Y CÚMPLASE</w:t>
      </w:r>
    </w:p>
    <w:p w14:paraId="69070E91" w14:textId="77777777" w:rsidR="001D54BC" w:rsidRDefault="001D54BC" w:rsidP="00B522EC"/>
    <w:p w14:paraId="33065C1D" w14:textId="11214B6A" w:rsidR="00B522EC" w:rsidRDefault="00B522EC" w:rsidP="00B522EC">
      <w:r>
        <w:t>Dada en Bogotá, D.C.</w:t>
      </w:r>
      <w:r w:rsidR="00BE6B8B">
        <w:t>,</w:t>
      </w:r>
      <w:r>
        <w:t xml:space="preserve"> a</w:t>
      </w:r>
      <w:r w:rsidR="00BE6B8B">
        <w:t xml:space="preserve"> los 28 días de abril de 2023.</w:t>
      </w:r>
    </w:p>
    <w:p w14:paraId="3F192066" w14:textId="05E165AD" w:rsidR="005A7921" w:rsidRDefault="005A7921" w:rsidP="005A7921">
      <w:pPr>
        <w:spacing w:before="240"/>
      </w:pPr>
    </w:p>
    <w:p w14:paraId="34816C23" w14:textId="77777777" w:rsidR="00804DDE" w:rsidRDefault="00804DDE" w:rsidP="005A7921">
      <w:pPr>
        <w:spacing w:before="240"/>
      </w:pPr>
    </w:p>
    <w:p w14:paraId="41FCC238" w14:textId="77777777" w:rsidR="005A7921" w:rsidRPr="00BF69C9" w:rsidRDefault="005A7921" w:rsidP="005A7921"/>
    <w:tbl>
      <w:tblPr>
        <w:tblW w:w="9639" w:type="dxa"/>
        <w:jc w:val="center"/>
        <w:tblCellSpacing w:w="0" w:type="dxa"/>
        <w:tblCellMar>
          <w:left w:w="0" w:type="dxa"/>
          <w:right w:w="0" w:type="dxa"/>
        </w:tblCellMar>
        <w:tblLook w:val="04A0" w:firstRow="1" w:lastRow="0" w:firstColumn="1" w:lastColumn="0" w:noHBand="0" w:noVBand="1"/>
      </w:tblPr>
      <w:tblGrid>
        <w:gridCol w:w="5033"/>
        <w:gridCol w:w="4606"/>
      </w:tblGrid>
      <w:tr w:rsidR="005A7921" w:rsidRPr="00BF69C9" w14:paraId="5970203F" w14:textId="77777777" w:rsidTr="003A2309">
        <w:trPr>
          <w:tblCellSpacing w:w="0" w:type="dxa"/>
          <w:jc w:val="center"/>
        </w:trPr>
        <w:tc>
          <w:tcPr>
            <w:tcW w:w="5033" w:type="dxa"/>
          </w:tcPr>
          <w:p w14:paraId="18B3BE08" w14:textId="504BD388" w:rsidR="005A7921" w:rsidRPr="00B80BE8" w:rsidRDefault="00F93F82" w:rsidP="003A2309">
            <w:pPr>
              <w:spacing w:before="0" w:after="0"/>
              <w:ind w:left="66"/>
              <w:jc w:val="center"/>
              <w:rPr>
                <w:rFonts w:cs="Arial"/>
                <w:b/>
              </w:rPr>
            </w:pPr>
            <w:r>
              <w:rPr>
                <w:rFonts w:cs="Arial"/>
                <w:b/>
              </w:rPr>
              <w:t>IRENE VELEZ TORRES</w:t>
            </w:r>
          </w:p>
        </w:tc>
        <w:tc>
          <w:tcPr>
            <w:tcW w:w="4606" w:type="dxa"/>
          </w:tcPr>
          <w:p w14:paraId="428DEAA9" w14:textId="3FFEF0E6" w:rsidR="005A7921" w:rsidRPr="00B80BE8" w:rsidRDefault="005A7921" w:rsidP="003A2309">
            <w:pPr>
              <w:spacing w:before="0" w:after="0"/>
              <w:ind w:left="69"/>
              <w:jc w:val="center"/>
              <w:rPr>
                <w:rFonts w:cs="Arial"/>
                <w:b/>
              </w:rPr>
            </w:pPr>
            <w:r>
              <w:rPr>
                <w:rFonts w:cs="Arial"/>
                <w:b/>
              </w:rPr>
              <w:t>JOS</w:t>
            </w:r>
            <w:r w:rsidR="00943FA1">
              <w:rPr>
                <w:rFonts w:cs="Arial"/>
                <w:b/>
              </w:rPr>
              <w:t>É</w:t>
            </w:r>
            <w:r>
              <w:rPr>
                <w:rFonts w:cs="Arial"/>
                <w:b/>
              </w:rPr>
              <w:t xml:space="preserve"> FERNANDO PRADA RÍOS</w:t>
            </w:r>
          </w:p>
        </w:tc>
      </w:tr>
      <w:tr w:rsidR="005A7921" w:rsidRPr="00BF69C9" w14:paraId="651A5F37" w14:textId="77777777" w:rsidTr="003A2309">
        <w:trPr>
          <w:tblCellSpacing w:w="0" w:type="dxa"/>
          <w:jc w:val="center"/>
        </w:trPr>
        <w:tc>
          <w:tcPr>
            <w:tcW w:w="5033" w:type="dxa"/>
            <w:hideMark/>
          </w:tcPr>
          <w:p w14:paraId="3D91FC56" w14:textId="57CD2179" w:rsidR="005A7921" w:rsidRPr="00B80BE8" w:rsidRDefault="005A7921" w:rsidP="003A2309">
            <w:pPr>
              <w:spacing w:before="0" w:after="0"/>
              <w:ind w:left="66"/>
              <w:jc w:val="center"/>
              <w:rPr>
                <w:rFonts w:eastAsia="Arial Unicode MS" w:cs="Arial"/>
                <w:color w:val="000000"/>
              </w:rPr>
            </w:pPr>
            <w:r w:rsidRPr="00B80BE8">
              <w:rPr>
                <w:rFonts w:cs="Arial"/>
              </w:rPr>
              <w:t>Ministr</w:t>
            </w:r>
            <w:r w:rsidR="00F93F82">
              <w:rPr>
                <w:rFonts w:cs="Arial"/>
              </w:rPr>
              <w:t>a</w:t>
            </w:r>
            <w:r w:rsidRPr="00B80BE8">
              <w:rPr>
                <w:rFonts w:cs="Arial"/>
              </w:rPr>
              <w:t xml:space="preserve"> de Minas y Energía</w:t>
            </w:r>
          </w:p>
        </w:tc>
        <w:tc>
          <w:tcPr>
            <w:tcW w:w="4606" w:type="dxa"/>
            <w:hideMark/>
          </w:tcPr>
          <w:p w14:paraId="248A34DA" w14:textId="77777777" w:rsidR="005A7921" w:rsidRPr="00B80BE8" w:rsidRDefault="005A7921" w:rsidP="003A2309">
            <w:pPr>
              <w:spacing w:before="0" w:after="0"/>
              <w:jc w:val="center"/>
              <w:rPr>
                <w:rFonts w:eastAsia="Arial Unicode MS" w:cs="Arial"/>
                <w:color w:val="000000"/>
              </w:rPr>
            </w:pPr>
            <w:r w:rsidRPr="00B80BE8">
              <w:rPr>
                <w:rFonts w:cs="Arial"/>
              </w:rPr>
              <w:t xml:space="preserve">Director Ejecutivo </w:t>
            </w:r>
          </w:p>
        </w:tc>
      </w:tr>
      <w:tr w:rsidR="005A7921" w:rsidRPr="00CF2A2D" w14:paraId="401E4637" w14:textId="77777777" w:rsidTr="003A2309">
        <w:trPr>
          <w:tblCellSpacing w:w="0" w:type="dxa"/>
          <w:jc w:val="center"/>
        </w:trPr>
        <w:tc>
          <w:tcPr>
            <w:tcW w:w="5033" w:type="dxa"/>
            <w:hideMark/>
          </w:tcPr>
          <w:p w14:paraId="3FC3C0E2" w14:textId="77777777" w:rsidR="005A7921" w:rsidRPr="00B80BE8" w:rsidRDefault="005A7921" w:rsidP="003A2309">
            <w:pPr>
              <w:spacing w:before="0" w:after="0"/>
              <w:ind w:left="66"/>
              <w:jc w:val="center"/>
              <w:rPr>
                <w:rFonts w:eastAsia="Arial Unicode MS" w:cs="Arial"/>
                <w:color w:val="000000"/>
              </w:rPr>
            </w:pPr>
            <w:r w:rsidRPr="00B80BE8">
              <w:rPr>
                <w:rFonts w:cs="Arial"/>
              </w:rPr>
              <w:t>Presidente</w:t>
            </w:r>
          </w:p>
        </w:tc>
        <w:tc>
          <w:tcPr>
            <w:tcW w:w="4606" w:type="dxa"/>
          </w:tcPr>
          <w:p w14:paraId="53CB7A43" w14:textId="77777777" w:rsidR="005A7921" w:rsidRPr="00B80BE8" w:rsidRDefault="005A7921" w:rsidP="003A2309">
            <w:pPr>
              <w:spacing w:before="0" w:after="0"/>
              <w:jc w:val="center"/>
              <w:rPr>
                <w:rFonts w:eastAsia="Arial Unicode MS" w:cs="Arial"/>
                <w:color w:val="000000"/>
              </w:rPr>
            </w:pPr>
          </w:p>
        </w:tc>
      </w:tr>
    </w:tbl>
    <w:p w14:paraId="155F65AA" w14:textId="77777777" w:rsidR="005A7921" w:rsidRPr="0006284C" w:rsidRDefault="005A7921" w:rsidP="005A7921">
      <w:pPr>
        <w:pStyle w:val="Artculo"/>
        <w:numPr>
          <w:ilvl w:val="0"/>
          <w:numId w:val="0"/>
        </w:numPr>
        <w:tabs>
          <w:tab w:val="left" w:pos="1701"/>
          <w:tab w:val="num" w:pos="2150"/>
        </w:tabs>
        <w:outlineLvl w:val="2"/>
        <w:rPr>
          <w:b w:val="0"/>
          <w:highlight w:val="yellow"/>
        </w:rPr>
      </w:pPr>
    </w:p>
    <w:sectPr w:rsidR="005A7921" w:rsidRPr="0006284C" w:rsidSect="000B7990">
      <w:headerReference w:type="default" r:id="rId13"/>
      <w:headerReference w:type="first" r:id="rId14"/>
      <w:type w:val="continuous"/>
      <w:pgSz w:w="12242" w:h="18722" w:code="123"/>
      <w:pgMar w:top="226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9F05" w14:textId="77777777" w:rsidR="00875DCA" w:rsidRDefault="00875DCA">
      <w:r>
        <w:separator/>
      </w:r>
    </w:p>
    <w:p w14:paraId="501F3145" w14:textId="77777777" w:rsidR="00875DCA" w:rsidRDefault="00875DCA"/>
    <w:p w14:paraId="57B21596" w14:textId="77777777" w:rsidR="00875DCA" w:rsidRDefault="00875DCA" w:rsidP="00C851C0"/>
  </w:endnote>
  <w:endnote w:type="continuationSeparator" w:id="0">
    <w:p w14:paraId="337E5DC7" w14:textId="77777777" w:rsidR="00875DCA" w:rsidRDefault="00875DCA">
      <w:r>
        <w:continuationSeparator/>
      </w:r>
    </w:p>
    <w:p w14:paraId="11E06DA4" w14:textId="77777777" w:rsidR="00875DCA" w:rsidRDefault="00875DCA"/>
    <w:p w14:paraId="69DAF7F4" w14:textId="77777777" w:rsidR="00875DCA" w:rsidRDefault="00875DCA" w:rsidP="00C851C0"/>
  </w:endnote>
  <w:endnote w:type="continuationNotice" w:id="1">
    <w:p w14:paraId="6448C0FC" w14:textId="77777777" w:rsidR="00875DCA" w:rsidRDefault="00875D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DejaVu Sans">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8EE0" w14:textId="77777777" w:rsidR="00875DCA" w:rsidRDefault="00875DCA">
      <w:r>
        <w:separator/>
      </w:r>
    </w:p>
    <w:p w14:paraId="784D0D0D" w14:textId="77777777" w:rsidR="00875DCA" w:rsidRDefault="00875DCA"/>
    <w:p w14:paraId="3EFA9838" w14:textId="77777777" w:rsidR="00875DCA" w:rsidRDefault="00875DCA" w:rsidP="00C851C0"/>
  </w:footnote>
  <w:footnote w:type="continuationSeparator" w:id="0">
    <w:p w14:paraId="760FB9B5" w14:textId="77777777" w:rsidR="00875DCA" w:rsidRDefault="00875DCA">
      <w:r>
        <w:continuationSeparator/>
      </w:r>
    </w:p>
    <w:p w14:paraId="545459E7" w14:textId="77777777" w:rsidR="00875DCA" w:rsidRDefault="00875DCA"/>
    <w:p w14:paraId="4309C437" w14:textId="77777777" w:rsidR="00875DCA" w:rsidRDefault="00875DCA" w:rsidP="00C851C0"/>
  </w:footnote>
  <w:footnote w:type="continuationNotice" w:id="1">
    <w:p w14:paraId="281463A9" w14:textId="77777777" w:rsidR="00875DCA" w:rsidRDefault="00875DC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D277" w14:textId="6E4DFB80" w:rsidR="009C1EF5" w:rsidRPr="00BE6B8B" w:rsidRDefault="009C1EF5" w:rsidP="00AC01A4">
    <w:pPr>
      <w:pStyle w:val="Ttulo1"/>
      <w:numPr>
        <w:ilvl w:val="0"/>
        <w:numId w:val="0"/>
      </w:numPr>
      <w:rPr>
        <w:sz w:val="22"/>
        <w:szCs w:val="22"/>
      </w:rPr>
    </w:pPr>
    <w:r w:rsidRPr="00BE6B8B">
      <w:rPr>
        <w:b w:val="0"/>
        <w:bCs/>
        <w:sz w:val="22"/>
        <w:szCs w:val="22"/>
      </w:rPr>
      <w:t>RESOLUCIÓN No.</w:t>
    </w:r>
    <w:r w:rsidRPr="00BE6B8B">
      <w:rPr>
        <w:sz w:val="22"/>
        <w:szCs w:val="22"/>
      </w:rPr>
      <w:t xml:space="preserve"> </w:t>
    </w:r>
    <w:r w:rsidR="00BE6B8B" w:rsidRPr="00BE6B8B">
      <w:rPr>
        <w:bCs/>
        <w:sz w:val="22"/>
        <w:szCs w:val="22"/>
        <w:u w:val="single"/>
      </w:rPr>
      <w:t>501 011</w:t>
    </w:r>
    <w:r w:rsidRPr="00BE6B8B">
      <w:rPr>
        <w:sz w:val="22"/>
        <w:szCs w:val="22"/>
      </w:rPr>
      <w:tab/>
    </w:r>
    <w:r w:rsidRPr="00BE6B8B">
      <w:rPr>
        <w:b w:val="0"/>
        <w:bCs/>
        <w:sz w:val="22"/>
        <w:szCs w:val="22"/>
      </w:rPr>
      <w:t>DE</w:t>
    </w:r>
    <w:r w:rsidRPr="00BE6B8B">
      <w:rPr>
        <w:sz w:val="22"/>
        <w:szCs w:val="22"/>
      </w:rPr>
      <w:t xml:space="preserve"> </w:t>
    </w:r>
    <w:r w:rsidR="00BE6B8B" w:rsidRPr="00BE6B8B">
      <w:rPr>
        <w:sz w:val="22"/>
        <w:szCs w:val="22"/>
      </w:rPr>
      <w:t xml:space="preserve">    </w:t>
    </w:r>
    <w:r w:rsidR="00BE6B8B" w:rsidRPr="00BE6B8B">
      <w:rPr>
        <w:bCs/>
        <w:sz w:val="22"/>
        <w:szCs w:val="22"/>
        <w:u w:val="single"/>
      </w:rPr>
      <w:t>28 ABR. 2023</w:t>
    </w:r>
    <w:r w:rsidRPr="00BE6B8B">
      <w:rPr>
        <w:sz w:val="22"/>
        <w:szCs w:val="22"/>
      </w:rPr>
      <w:tab/>
    </w:r>
    <w:r w:rsidR="00BE6B8B" w:rsidRPr="00BE6B8B">
      <w:rPr>
        <w:sz w:val="22"/>
        <w:szCs w:val="22"/>
      </w:rPr>
      <w:t xml:space="preserve">    </w:t>
    </w:r>
    <w:r w:rsidRPr="00BE6B8B">
      <w:rPr>
        <w:b w:val="0"/>
        <w:bCs/>
        <w:sz w:val="22"/>
        <w:szCs w:val="22"/>
      </w:rPr>
      <w:t xml:space="preserve">HOJA No. </w:t>
    </w:r>
    <w:r w:rsidRPr="00BE6B8B">
      <w:rPr>
        <w:b w:val="0"/>
        <w:bCs/>
        <w:sz w:val="22"/>
        <w:szCs w:val="22"/>
      </w:rPr>
      <w:fldChar w:fldCharType="begin"/>
    </w:r>
    <w:r w:rsidRPr="00BE6B8B">
      <w:rPr>
        <w:b w:val="0"/>
        <w:bCs/>
        <w:sz w:val="22"/>
        <w:szCs w:val="22"/>
      </w:rPr>
      <w:instrText xml:space="preserve"> PAGE   \* MERGEFORMAT </w:instrText>
    </w:r>
    <w:r w:rsidRPr="00BE6B8B">
      <w:rPr>
        <w:b w:val="0"/>
        <w:bCs/>
        <w:sz w:val="22"/>
        <w:szCs w:val="22"/>
      </w:rPr>
      <w:fldChar w:fldCharType="separate"/>
    </w:r>
    <w:r w:rsidRPr="00BE6B8B">
      <w:rPr>
        <w:b w:val="0"/>
        <w:bCs/>
        <w:noProof/>
        <w:sz w:val="22"/>
        <w:szCs w:val="22"/>
      </w:rPr>
      <w:t>3</w:t>
    </w:r>
    <w:r w:rsidRPr="00BE6B8B">
      <w:rPr>
        <w:b w:val="0"/>
        <w:bCs/>
        <w:sz w:val="22"/>
        <w:szCs w:val="22"/>
      </w:rPr>
      <w:fldChar w:fldCharType="end"/>
    </w:r>
    <w:r w:rsidRPr="00BE6B8B">
      <w:rPr>
        <w:b w:val="0"/>
        <w:bCs/>
        <w:sz w:val="22"/>
        <w:szCs w:val="22"/>
      </w:rPr>
      <w:t>/</w:t>
    </w:r>
    <w:r w:rsidR="00943FA1" w:rsidRPr="00BE6B8B">
      <w:rPr>
        <w:b w:val="0"/>
        <w:bCs/>
        <w:sz w:val="22"/>
        <w:szCs w:val="22"/>
      </w:rPr>
      <w:fldChar w:fldCharType="begin"/>
    </w:r>
    <w:r w:rsidR="00943FA1" w:rsidRPr="00BE6B8B">
      <w:rPr>
        <w:b w:val="0"/>
        <w:bCs/>
        <w:sz w:val="22"/>
        <w:szCs w:val="22"/>
      </w:rPr>
      <w:instrText>NUMPAGES  \* MERGEFORMAT</w:instrText>
    </w:r>
    <w:r w:rsidR="00943FA1" w:rsidRPr="00BE6B8B">
      <w:rPr>
        <w:b w:val="0"/>
        <w:bCs/>
        <w:sz w:val="22"/>
        <w:szCs w:val="22"/>
      </w:rPr>
      <w:fldChar w:fldCharType="separate"/>
    </w:r>
    <w:r w:rsidRPr="00BE6B8B">
      <w:rPr>
        <w:b w:val="0"/>
        <w:bCs/>
        <w:noProof/>
        <w:sz w:val="22"/>
        <w:szCs w:val="22"/>
      </w:rPr>
      <w:t>7</w:t>
    </w:r>
    <w:r w:rsidR="00943FA1" w:rsidRPr="00BE6B8B">
      <w:rPr>
        <w:b w:val="0"/>
        <w:bCs/>
        <w:noProof/>
        <w:sz w:val="22"/>
        <w:szCs w:val="22"/>
      </w:rPr>
      <w:fldChar w:fldCharType="end"/>
    </w:r>
  </w:p>
  <w:p w14:paraId="5EEBDD92" w14:textId="77777777" w:rsidR="009C1EF5" w:rsidRDefault="009C1EF5"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0" locked="0" layoutInCell="1" allowOverlap="1" wp14:anchorId="00F492FC" wp14:editId="41B78FEF">
              <wp:simplePos x="0" y="0"/>
              <wp:positionH relativeFrom="column">
                <wp:posOffset>-121285</wp:posOffset>
              </wp:positionH>
              <wp:positionV relativeFrom="paragraph">
                <wp:posOffset>141605</wp:posOffset>
              </wp:positionV>
              <wp:extent cx="6267450" cy="994410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44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BDF79B" id="Rectangle 1" o:spid="_x0000_s1026" style="position:absolute;margin-left:-9.55pt;margin-top:11.15pt;width:493.5pt;height:7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7BwIAAO8DAAAOAAAAZHJzL2Uyb0RvYy54bWysU8tu2zAQvBfoPxC815IMxYkFy0HgNEWB&#10;9AGk/QCaoiSiJJdd0pbTr++SdhyjvRXVgeBqydnZ2eHq9mAN2ysMGlzLq1nJmXISOu2Gln//9vDu&#10;hrMQheuEAada/qwCv12/fbOafKPmMILpFDICcaGZfMvHGH1TFEGOyoowA68cJXtAKyKFOBQdionQ&#10;rSnmZbkoJsDOI0gVAv29Pyb5OuP3vZLxS98HFZlpOXGLecW8btNarFeiGVD4UcsTDfEPLKzQjoqe&#10;oe5FFGyH+i8oqyVCgD7OJNgC+l5LlXugbqryj26eRuFV7oXECf4sU/h/sPLz/sl/xUQ9+EeQPwJz&#10;sBmFG9QdIkyjEh2Vq5JQxeRDc76QgkBX2Xb6BB2NVuwiZA0OPdoESN2xQ5b6+Sy1OkQm6edivriu&#10;r2giknLLZV1XZR5GIZqX6x5D/KDAsrRpOdIsM7zYP4aY6Ijm5Uiq5uBBG5PnaRybiPOypAK5MzC6&#10;S9kc4LDdGGR7kSyRv9wcCXB5zOpIxjTatvzmfEg0SY/3rstlotDmuCcqxp0ESpok+4VmC90z6YNw&#10;dB29EtqMgL84m8hxLQ8/dwIVZ+ajI42XVV0ni+agvrqeU4CXme1lRjhJUC2PnB23m3i09c6jHkaq&#10;VOXeHdzRXHqdFXtldSJLrspCnl5Asu1lnE+9vtP1bwAAAP//AwBQSwMEFAAGAAgAAAAhAMZu6Pvj&#10;AAAACwEAAA8AAABkcnMvZG93bnJldi54bWxMj8FOwzAQRO9I/IO1SFxQ6ySFNAlxqgqJE0gVoZXK&#10;zbWXJCK2Q+y26d+znOC4mqeZt+VqMj074eg7ZwXE8wgYWuV0ZxsB2/fnWQbMB2m17J1FARf0sKqu&#10;r0pZaHe2b3iqQ8OoxPpCCmhDGArOvWrRSD93A1rKPt1oZKBzbLge5ZnKTc+TKEq5kZ2lhVYO+NSi&#10;+qqPRsDdfWr0bv99GT/ql/1uk6n1q1dC3N5M60dgAafwB8OvPqlDRU4Hd7Tas17ALM5jQgUkyQIY&#10;AXm6zIEdiHzIsgXwquT/f6h+AAAA//8DAFBLAQItABQABgAIAAAAIQC2gziS/gAAAOEBAAATAAAA&#10;AAAAAAAAAAAAAAAAAABbQ29udGVudF9UeXBlc10ueG1sUEsBAi0AFAAGAAgAAAAhADj9If/WAAAA&#10;lAEAAAsAAAAAAAAAAAAAAAAALwEAAF9yZWxzLy5yZWxzUEsBAi0AFAAGAAgAAAAhAPf69TsHAgAA&#10;7wMAAA4AAAAAAAAAAAAAAAAALgIAAGRycy9lMm9Eb2MueG1sUEsBAi0AFAAGAAgAAAAhAMZu6Pvj&#10;AAAACwEAAA8AAAAAAAAAAAAAAAAAYQQAAGRycy9kb3ducmV2LnhtbFBLBQYAAAAABAAEAPMAAABx&#10;BQAAAAA=&#10;" filled="f" strokeweight="1.5pt"/>
          </w:pict>
        </mc:Fallback>
      </mc:AlternateContent>
    </w:r>
  </w:p>
  <w:p w14:paraId="19A008AD" w14:textId="2A2234B1" w:rsidR="009C1EF5" w:rsidRPr="00083EF8" w:rsidRDefault="00E45F0E" w:rsidP="00083EF8">
    <w:pPr>
      <w:pBdr>
        <w:bottom w:val="single" w:sz="4" w:space="6" w:color="auto"/>
      </w:pBdr>
      <w:rPr>
        <w:i/>
        <w:iCs/>
        <w:sz w:val="22"/>
        <w:szCs w:val="22"/>
      </w:rPr>
    </w:pPr>
    <w:r w:rsidRPr="00083EF8">
      <w:rPr>
        <w:i/>
        <w:iCs/>
        <w:sz w:val="22"/>
        <w:szCs w:val="22"/>
      </w:rPr>
      <w:t xml:space="preserve">Por la cual se resuelve el recurso de reposición interpuesto por AIR-E S.A.S. E.S.P., contra la Resolución CREG 501 056 de </w:t>
    </w:r>
    <w:r w:rsidR="00C30708" w:rsidRPr="00083EF8">
      <w:rPr>
        <w:i/>
        <w:iCs/>
        <w:sz w:val="22"/>
        <w:szCs w:val="22"/>
      </w:rPr>
      <w:t>2022</w:t>
    </w:r>
    <w:r w:rsidR="00143CBC" w:rsidRPr="00083EF8">
      <w:rPr>
        <w:i/>
        <w:iCs/>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2E89" w14:textId="77777777" w:rsidR="009C1EF5" w:rsidRDefault="009C1EF5" w:rsidP="000B7990">
    <w:pPr>
      <w:pStyle w:val="Encabezado"/>
      <w:jc w:val="center"/>
      <w:rPr>
        <w:rFonts w:ascii="Arial" w:hAnsi="Arial" w:cs="Arial"/>
        <w:spacing w:val="20"/>
        <w:sz w:val="20"/>
      </w:rPr>
    </w:pPr>
    <w:r>
      <w:rPr>
        <w:rFonts w:ascii="Arial" w:hAnsi="Arial" w:cs="Arial"/>
        <w:spacing w:val="20"/>
        <w:sz w:val="20"/>
      </w:rPr>
      <w:t>República de Colombia</w:t>
    </w:r>
  </w:p>
  <w:p w14:paraId="6ADC23F8" w14:textId="77777777" w:rsidR="009C1EF5" w:rsidRDefault="009C1EF5">
    <w:pPr>
      <w:pStyle w:val="Encabezado"/>
      <w:jc w:val="center"/>
      <w:rPr>
        <w:rFonts w:ascii="Arial" w:hAnsi="Arial" w:cs="Arial"/>
        <w:spacing w:val="20"/>
        <w:sz w:val="20"/>
      </w:rPr>
    </w:pPr>
  </w:p>
  <w:p w14:paraId="1A5CD802" w14:textId="77777777" w:rsidR="009C1EF5" w:rsidRDefault="009C1EF5"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3A199B1E" wp14:editId="0360A44B">
              <wp:simplePos x="0" y="0"/>
              <wp:positionH relativeFrom="column">
                <wp:posOffset>-213360</wp:posOffset>
              </wp:positionH>
              <wp:positionV relativeFrom="paragraph">
                <wp:posOffset>265223</wp:posOffset>
              </wp:positionV>
              <wp:extent cx="6343650" cy="9839325"/>
              <wp:effectExtent l="9525" t="12065" r="9525" b="165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81CE80" id="Rectangle 2" o:spid="_x0000_s1026" style="position:absolute;margin-left:-16.8pt;margin-top:20.9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RYyfy4gAA&#10;AAsBAAAPAAAAZHJzL2Rvd25yZXYueG1sTI9RS8MwFIXfBf9DuIIvsqW1Xdlq0zEEnxRk1cF8y5Jr&#10;W2ySmmRb9++9Punj5X6c851qPZmBndCH3lkB6TwBhlY53dtWwPvb02wJLERptRycRQEXDLCur68q&#10;WWp3tls8NbFlFGJDKQV0MY4l50F1aGSYuxEt/T6dNzLS6VuuvTxTuBn4fZIU3MjeUkMnR3zsUH01&#10;RyPgLi+M3u2/L/6jed7vXpdq8xKUELc30+YBWMQp/sHwq0/qUJPTwR2tDmwQMMuyglABeUoTCFgV&#10;ixzYgcjFKs2A1xX/v6H+AQAA//8DAFBLAQItABQABgAIAAAAIQC2gziS/gAAAOEBAAATAAAAAAAA&#10;AAAAAAAAAAAAAABbQ29udGVudF9UeXBlc10ueG1sUEsBAi0AFAAGAAgAAAAhADj9If/WAAAAlAEA&#10;AAsAAAAAAAAAAAAAAAAALwEAAF9yZWxzLy5yZWxzUEsBAi0AFAAGAAgAAAAhAI6kZNEFAgAA7wMA&#10;AA4AAAAAAAAAAAAAAAAALgIAAGRycy9lMm9Eb2MueG1sUEsBAi0AFAAGAAgAAAAhAJFjJ/LiAAAA&#10;CwEAAA8AAAAAAAAAAAAAAAAAXwQAAGRycy9kb3ducmV2LnhtbFBLBQYAAAAABAAEAPMAAABuBQAA&#10;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3C2E58"/>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441C30"/>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8816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7783742"/>
    <w:multiLevelType w:val="hybridMultilevel"/>
    <w:tmpl w:val="33EA10CA"/>
    <w:lvl w:ilvl="0" w:tplc="240A000F">
      <w:start w:val="1"/>
      <w:numFmt w:val="decimal"/>
      <w:lvlText w:val="%1."/>
      <w:lvlJc w:val="left"/>
      <w:pPr>
        <w:ind w:left="792" w:hanging="360"/>
      </w:pPr>
    </w:lvl>
    <w:lvl w:ilvl="1" w:tplc="240A0019" w:tentative="1">
      <w:start w:val="1"/>
      <w:numFmt w:val="lowerLetter"/>
      <w:lvlText w:val="%2."/>
      <w:lvlJc w:val="left"/>
      <w:pPr>
        <w:ind w:left="1512" w:hanging="360"/>
      </w:pPr>
    </w:lvl>
    <w:lvl w:ilvl="2" w:tplc="240A001B" w:tentative="1">
      <w:start w:val="1"/>
      <w:numFmt w:val="lowerRoman"/>
      <w:lvlText w:val="%3."/>
      <w:lvlJc w:val="right"/>
      <w:pPr>
        <w:ind w:left="2232" w:hanging="180"/>
      </w:pPr>
    </w:lvl>
    <w:lvl w:ilvl="3" w:tplc="240A000F" w:tentative="1">
      <w:start w:val="1"/>
      <w:numFmt w:val="decimal"/>
      <w:lvlText w:val="%4."/>
      <w:lvlJc w:val="left"/>
      <w:pPr>
        <w:ind w:left="2952" w:hanging="360"/>
      </w:pPr>
    </w:lvl>
    <w:lvl w:ilvl="4" w:tplc="240A0019" w:tentative="1">
      <w:start w:val="1"/>
      <w:numFmt w:val="lowerLetter"/>
      <w:lvlText w:val="%5."/>
      <w:lvlJc w:val="left"/>
      <w:pPr>
        <w:ind w:left="3672" w:hanging="360"/>
      </w:pPr>
    </w:lvl>
    <w:lvl w:ilvl="5" w:tplc="240A001B" w:tentative="1">
      <w:start w:val="1"/>
      <w:numFmt w:val="lowerRoman"/>
      <w:lvlText w:val="%6."/>
      <w:lvlJc w:val="right"/>
      <w:pPr>
        <w:ind w:left="4392" w:hanging="180"/>
      </w:pPr>
    </w:lvl>
    <w:lvl w:ilvl="6" w:tplc="240A000F" w:tentative="1">
      <w:start w:val="1"/>
      <w:numFmt w:val="decimal"/>
      <w:lvlText w:val="%7."/>
      <w:lvlJc w:val="left"/>
      <w:pPr>
        <w:ind w:left="5112" w:hanging="360"/>
      </w:pPr>
    </w:lvl>
    <w:lvl w:ilvl="7" w:tplc="240A0019" w:tentative="1">
      <w:start w:val="1"/>
      <w:numFmt w:val="lowerLetter"/>
      <w:lvlText w:val="%8."/>
      <w:lvlJc w:val="left"/>
      <w:pPr>
        <w:ind w:left="5832" w:hanging="360"/>
      </w:pPr>
    </w:lvl>
    <w:lvl w:ilvl="8" w:tplc="240A001B" w:tentative="1">
      <w:start w:val="1"/>
      <w:numFmt w:val="lowerRoman"/>
      <w:lvlText w:val="%9."/>
      <w:lvlJc w:val="right"/>
      <w:pPr>
        <w:ind w:left="6552" w:hanging="180"/>
      </w:pPr>
    </w:lvl>
  </w:abstractNum>
  <w:abstractNum w:abstractNumId="7" w15:restartNumberingAfterBreak="0">
    <w:nsid w:val="10000A54"/>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0011A0"/>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567538"/>
    <w:multiLevelType w:val="hybridMultilevel"/>
    <w:tmpl w:val="A9049AB2"/>
    <w:lvl w:ilvl="0" w:tplc="1CEE4BFA">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A348C5"/>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2" w15:restartNumberingAfterBreak="0">
    <w:nsid w:val="1D98123A"/>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1956C4"/>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644B41"/>
    <w:multiLevelType w:val="hybridMultilevel"/>
    <w:tmpl w:val="79682F9A"/>
    <w:lvl w:ilvl="0" w:tplc="FFFFFFFF">
      <w:start w:val="1"/>
      <w:numFmt w:val="decimal"/>
      <w:lvlText w:val="Artículo %1."/>
      <w:lvlJc w:val="left"/>
      <w:pPr>
        <w:tabs>
          <w:tab w:val="num" w:pos="1440"/>
        </w:tabs>
        <w:ind w:left="0" w:firstLine="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3966A89"/>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65577E"/>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7A7C88"/>
    <w:multiLevelType w:val="multilevel"/>
    <w:tmpl w:val="8B721044"/>
    <w:lvl w:ilvl="0">
      <w:start w:val="1"/>
      <w:numFmt w:val="decimal"/>
      <w:suff w:val="space"/>
      <w:lvlText w:val="Capítulo %1"/>
      <w:lvlJc w:val="left"/>
      <w:pPr>
        <w:ind w:left="0" w:firstLine="0"/>
      </w:pPr>
    </w:lvl>
    <w:lvl w:ilvl="1">
      <w:start w:val="1"/>
      <w:numFmt w:val="decimal"/>
      <w:lvlText w:val="%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8"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20" w15:restartNumberingAfterBreak="0">
    <w:nsid w:val="3E4C2E75"/>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2E1FD4"/>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A5C72"/>
    <w:multiLevelType w:val="multilevel"/>
    <w:tmpl w:val="16EE0F5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7F7187"/>
    <w:multiLevelType w:val="multilevel"/>
    <w:tmpl w:val="A81A774C"/>
    <w:lvl w:ilvl="0">
      <w:start w:val="2"/>
      <w:numFmt w:val="decimal"/>
      <w:pStyle w:val="Ttulo1"/>
      <w:lvlText w:val="ANEXO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FD2D34"/>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9DA074D"/>
    <w:multiLevelType w:val="multilevel"/>
    <w:tmpl w:val="9BAEEC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4624CB"/>
    <w:multiLevelType w:val="hybridMultilevel"/>
    <w:tmpl w:val="89060F0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471EEB"/>
    <w:multiLevelType w:val="multilevel"/>
    <w:tmpl w:val="7F48610C"/>
    <w:name w:val="Nueva lista 3"/>
    <w:lvl w:ilvl="0">
      <w:start w:val="1"/>
      <w:numFmt w:val="decimal"/>
      <w:pStyle w:val="Artculo"/>
      <w:suff w:val="space"/>
      <w:lvlText w:val="Artículo %1."/>
      <w:lvlJc w:val="left"/>
      <w:pPr>
        <w:ind w:left="426" w:firstLine="0"/>
      </w:pPr>
      <w:rPr>
        <w:rFonts w:hint="default"/>
        <w:b/>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580A4579"/>
    <w:multiLevelType w:val="hybridMultilevel"/>
    <w:tmpl w:val="370E7952"/>
    <w:lvl w:ilvl="0" w:tplc="854E72DE">
      <w:start w:val="1"/>
      <w:numFmt w:val="lowerLetter"/>
      <w:pStyle w:val="Prrafodelista"/>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4E6DEF"/>
    <w:multiLevelType w:val="hybridMultilevel"/>
    <w:tmpl w:val="88BAAA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CC40536"/>
    <w:multiLevelType w:val="hybridMultilevel"/>
    <w:tmpl w:val="B0BA704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9095BA4"/>
    <w:multiLevelType w:val="multilevel"/>
    <w:tmpl w:val="86B09E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5C36D8"/>
    <w:multiLevelType w:val="hybridMultilevel"/>
    <w:tmpl w:val="29BA0DB8"/>
    <w:lvl w:ilvl="0" w:tplc="68B442E6">
      <w:start w:val="1"/>
      <w:numFmt w:val="lowerLetter"/>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0AA73BE"/>
    <w:multiLevelType w:val="multilevel"/>
    <w:tmpl w:val="22B02E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5F6BFD"/>
    <w:multiLevelType w:val="hybridMultilevel"/>
    <w:tmpl w:val="33EA10CA"/>
    <w:lvl w:ilvl="0" w:tplc="FFFFFFFF">
      <w:start w:val="1"/>
      <w:numFmt w:val="decimal"/>
      <w:lvlText w:val="%1."/>
      <w:lvlJc w:val="left"/>
      <w:pPr>
        <w:ind w:left="792" w:hanging="360"/>
      </w:p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8" w15:restartNumberingAfterBreak="0">
    <w:nsid w:val="7B5B24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2C4FB3"/>
    <w:multiLevelType w:val="hybridMultilevel"/>
    <w:tmpl w:val="A460A87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4747475">
    <w:abstractNumId w:val="1"/>
  </w:num>
  <w:num w:numId="2" w16cid:durableId="1273786885">
    <w:abstractNumId w:val="17"/>
  </w:num>
  <w:num w:numId="3" w16cid:durableId="1091241083">
    <w:abstractNumId w:val="31"/>
  </w:num>
  <w:num w:numId="4" w16cid:durableId="408312824">
    <w:abstractNumId w:val="27"/>
  </w:num>
  <w:num w:numId="5" w16cid:durableId="1213736307">
    <w:abstractNumId w:val="34"/>
  </w:num>
  <w:num w:numId="6" w16cid:durableId="858153893">
    <w:abstractNumId w:val="18"/>
  </w:num>
  <w:num w:numId="7" w16cid:durableId="1298027957">
    <w:abstractNumId w:val="36"/>
  </w:num>
  <w:num w:numId="8" w16cid:durableId="962151041">
    <w:abstractNumId w:val="14"/>
  </w:num>
  <w:num w:numId="9" w16cid:durableId="413206680">
    <w:abstractNumId w:val="20"/>
  </w:num>
  <w:num w:numId="10" w16cid:durableId="1892841626">
    <w:abstractNumId w:val="28"/>
  </w:num>
  <w:num w:numId="11" w16cid:durableId="1911035635">
    <w:abstractNumId w:val="9"/>
  </w:num>
  <w:num w:numId="12" w16cid:durableId="787627245">
    <w:abstractNumId w:val="12"/>
  </w:num>
  <w:num w:numId="13" w16cid:durableId="198008687">
    <w:abstractNumId w:val="8"/>
  </w:num>
  <w:num w:numId="14" w16cid:durableId="18313371">
    <w:abstractNumId w:val="39"/>
  </w:num>
  <w:num w:numId="15" w16cid:durableId="1228611323">
    <w:abstractNumId w:val="30"/>
  </w:num>
  <w:num w:numId="16" w16cid:durableId="804935119">
    <w:abstractNumId w:val="13"/>
  </w:num>
  <w:num w:numId="17" w16cid:durableId="1028264022">
    <w:abstractNumId w:val="2"/>
  </w:num>
  <w:num w:numId="18" w16cid:durableId="1980957071">
    <w:abstractNumId w:val="21"/>
  </w:num>
  <w:num w:numId="19" w16cid:durableId="1749688936">
    <w:abstractNumId w:val="7"/>
  </w:num>
  <w:num w:numId="20" w16cid:durableId="895166620">
    <w:abstractNumId w:val="25"/>
  </w:num>
  <w:num w:numId="21" w16cid:durableId="664625453">
    <w:abstractNumId w:val="24"/>
  </w:num>
  <w:num w:numId="22" w16cid:durableId="211968715">
    <w:abstractNumId w:val="22"/>
  </w:num>
  <w:num w:numId="23" w16cid:durableId="1067266757">
    <w:abstractNumId w:val="33"/>
  </w:num>
  <w:num w:numId="24" w16cid:durableId="407848160">
    <w:abstractNumId w:val="23"/>
  </w:num>
  <w:num w:numId="25" w16cid:durableId="513418638">
    <w:abstractNumId w:val="5"/>
  </w:num>
  <w:num w:numId="26" w16cid:durableId="525943868">
    <w:abstractNumId w:val="38"/>
  </w:num>
  <w:num w:numId="27" w16cid:durableId="1909068286">
    <w:abstractNumId w:val="4"/>
  </w:num>
  <w:num w:numId="28" w16cid:durableId="1527794714">
    <w:abstractNumId w:val="22"/>
  </w:num>
  <w:num w:numId="29" w16cid:durableId="1265771621">
    <w:abstractNumId w:val="22"/>
  </w:num>
  <w:num w:numId="30" w16cid:durableId="504170710">
    <w:abstractNumId w:val="28"/>
    <w:lvlOverride w:ilvl="0">
      <w:startOverride w:val="1"/>
    </w:lvlOverride>
  </w:num>
  <w:num w:numId="31" w16cid:durableId="274098687">
    <w:abstractNumId w:val="28"/>
  </w:num>
  <w:num w:numId="32" w16cid:durableId="229733999">
    <w:abstractNumId w:val="28"/>
    <w:lvlOverride w:ilvl="0">
      <w:startOverride w:val="1"/>
    </w:lvlOverride>
  </w:num>
  <w:num w:numId="33" w16cid:durableId="1315794504">
    <w:abstractNumId w:val="17"/>
  </w:num>
  <w:num w:numId="34" w16cid:durableId="1930768232">
    <w:abstractNumId w:val="35"/>
  </w:num>
  <w:num w:numId="35" w16cid:durableId="374701862">
    <w:abstractNumId w:val="22"/>
  </w:num>
  <w:num w:numId="36" w16cid:durableId="1331324823">
    <w:abstractNumId w:val="22"/>
  </w:num>
  <w:num w:numId="37" w16cid:durableId="18896147">
    <w:abstractNumId w:val="10"/>
  </w:num>
  <w:num w:numId="38" w16cid:durableId="1120076042">
    <w:abstractNumId w:val="26"/>
  </w:num>
  <w:num w:numId="39" w16cid:durableId="37114878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15943530">
    <w:abstractNumId w:val="28"/>
  </w:num>
  <w:num w:numId="41" w16cid:durableId="1262690635">
    <w:abstractNumId w:val="28"/>
  </w:num>
  <w:num w:numId="42" w16cid:durableId="1141076450">
    <w:abstractNumId w:val="28"/>
  </w:num>
  <w:num w:numId="43" w16cid:durableId="1629360510">
    <w:abstractNumId w:val="22"/>
  </w:num>
  <w:num w:numId="44" w16cid:durableId="805589124">
    <w:abstractNumId w:val="3"/>
  </w:num>
  <w:num w:numId="45" w16cid:durableId="784423508">
    <w:abstractNumId w:val="16"/>
  </w:num>
  <w:num w:numId="46" w16cid:durableId="312178177">
    <w:abstractNumId w:val="15"/>
  </w:num>
  <w:num w:numId="47" w16cid:durableId="1434206832">
    <w:abstractNumId w:val="6"/>
  </w:num>
  <w:num w:numId="48" w16cid:durableId="1840074345">
    <w:abstractNumId w:val="29"/>
  </w:num>
  <w:num w:numId="49" w16cid:durableId="392120964">
    <w:abstractNumId w:val="37"/>
  </w:num>
  <w:num w:numId="50" w16cid:durableId="1931962540">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018"/>
    <w:rsid w:val="00000157"/>
    <w:rsid w:val="000002C5"/>
    <w:rsid w:val="000014A8"/>
    <w:rsid w:val="0000191D"/>
    <w:rsid w:val="0000215F"/>
    <w:rsid w:val="00002853"/>
    <w:rsid w:val="00002A27"/>
    <w:rsid w:val="00003049"/>
    <w:rsid w:val="000041D5"/>
    <w:rsid w:val="000042D3"/>
    <w:rsid w:val="00004872"/>
    <w:rsid w:val="00004906"/>
    <w:rsid w:val="00004F28"/>
    <w:rsid w:val="00005326"/>
    <w:rsid w:val="000056FB"/>
    <w:rsid w:val="00006585"/>
    <w:rsid w:val="00006870"/>
    <w:rsid w:val="00006AE2"/>
    <w:rsid w:val="00006BF4"/>
    <w:rsid w:val="00006EAD"/>
    <w:rsid w:val="00006EF5"/>
    <w:rsid w:val="000076A1"/>
    <w:rsid w:val="0001040A"/>
    <w:rsid w:val="0001043C"/>
    <w:rsid w:val="0001053B"/>
    <w:rsid w:val="0001074E"/>
    <w:rsid w:val="000116A0"/>
    <w:rsid w:val="0001188A"/>
    <w:rsid w:val="0001193C"/>
    <w:rsid w:val="0001209B"/>
    <w:rsid w:val="00012259"/>
    <w:rsid w:val="0001228C"/>
    <w:rsid w:val="00012D6A"/>
    <w:rsid w:val="0001368F"/>
    <w:rsid w:val="000159E8"/>
    <w:rsid w:val="00015E53"/>
    <w:rsid w:val="00015F4C"/>
    <w:rsid w:val="00016B85"/>
    <w:rsid w:val="00017104"/>
    <w:rsid w:val="00017396"/>
    <w:rsid w:val="000203BE"/>
    <w:rsid w:val="00020EE1"/>
    <w:rsid w:val="0002117B"/>
    <w:rsid w:val="00022367"/>
    <w:rsid w:val="000224C7"/>
    <w:rsid w:val="00022832"/>
    <w:rsid w:val="00023275"/>
    <w:rsid w:val="00023841"/>
    <w:rsid w:val="00023D77"/>
    <w:rsid w:val="00024EEB"/>
    <w:rsid w:val="00025383"/>
    <w:rsid w:val="00025D05"/>
    <w:rsid w:val="00025F97"/>
    <w:rsid w:val="000268D6"/>
    <w:rsid w:val="00027C0A"/>
    <w:rsid w:val="00027C0E"/>
    <w:rsid w:val="00027FE2"/>
    <w:rsid w:val="00032C8E"/>
    <w:rsid w:val="00033717"/>
    <w:rsid w:val="00034669"/>
    <w:rsid w:val="00034EAE"/>
    <w:rsid w:val="00034F65"/>
    <w:rsid w:val="0003547A"/>
    <w:rsid w:val="0003568E"/>
    <w:rsid w:val="000356FD"/>
    <w:rsid w:val="0003695A"/>
    <w:rsid w:val="00036BD0"/>
    <w:rsid w:val="00037F4E"/>
    <w:rsid w:val="00040250"/>
    <w:rsid w:val="000403F5"/>
    <w:rsid w:val="00042A98"/>
    <w:rsid w:val="000432E2"/>
    <w:rsid w:val="000446EC"/>
    <w:rsid w:val="00045094"/>
    <w:rsid w:val="00045D3D"/>
    <w:rsid w:val="00045F93"/>
    <w:rsid w:val="000472C7"/>
    <w:rsid w:val="000474F4"/>
    <w:rsid w:val="000478BA"/>
    <w:rsid w:val="00050158"/>
    <w:rsid w:val="00050964"/>
    <w:rsid w:val="000512FD"/>
    <w:rsid w:val="0005171B"/>
    <w:rsid w:val="00051D1F"/>
    <w:rsid w:val="00051E75"/>
    <w:rsid w:val="0005248E"/>
    <w:rsid w:val="00053BE6"/>
    <w:rsid w:val="0005541F"/>
    <w:rsid w:val="00055984"/>
    <w:rsid w:val="0005637B"/>
    <w:rsid w:val="000564D0"/>
    <w:rsid w:val="00056893"/>
    <w:rsid w:val="00056D64"/>
    <w:rsid w:val="00056ECE"/>
    <w:rsid w:val="00056F59"/>
    <w:rsid w:val="0005705F"/>
    <w:rsid w:val="0005740C"/>
    <w:rsid w:val="00057CEE"/>
    <w:rsid w:val="00057D60"/>
    <w:rsid w:val="000607B4"/>
    <w:rsid w:val="000621A6"/>
    <w:rsid w:val="0006284C"/>
    <w:rsid w:val="00063454"/>
    <w:rsid w:val="00063657"/>
    <w:rsid w:val="00063983"/>
    <w:rsid w:val="00067F97"/>
    <w:rsid w:val="00070B87"/>
    <w:rsid w:val="0007160D"/>
    <w:rsid w:val="000718BC"/>
    <w:rsid w:val="00071AF5"/>
    <w:rsid w:val="00071E46"/>
    <w:rsid w:val="0007409E"/>
    <w:rsid w:val="0007541F"/>
    <w:rsid w:val="00076680"/>
    <w:rsid w:val="00076A1D"/>
    <w:rsid w:val="000771FB"/>
    <w:rsid w:val="0008073E"/>
    <w:rsid w:val="0008115D"/>
    <w:rsid w:val="00081567"/>
    <w:rsid w:val="000817C0"/>
    <w:rsid w:val="00081DF3"/>
    <w:rsid w:val="00081F0E"/>
    <w:rsid w:val="000821D9"/>
    <w:rsid w:val="0008237F"/>
    <w:rsid w:val="0008259D"/>
    <w:rsid w:val="000827A2"/>
    <w:rsid w:val="000828AF"/>
    <w:rsid w:val="00082B34"/>
    <w:rsid w:val="00082FE9"/>
    <w:rsid w:val="000831AC"/>
    <w:rsid w:val="000837A5"/>
    <w:rsid w:val="00083AA8"/>
    <w:rsid w:val="00083EF8"/>
    <w:rsid w:val="00084968"/>
    <w:rsid w:val="00084F74"/>
    <w:rsid w:val="000857D1"/>
    <w:rsid w:val="000858CD"/>
    <w:rsid w:val="00085CB5"/>
    <w:rsid w:val="00085D75"/>
    <w:rsid w:val="00086373"/>
    <w:rsid w:val="00086632"/>
    <w:rsid w:val="0008751B"/>
    <w:rsid w:val="0008752F"/>
    <w:rsid w:val="0008776A"/>
    <w:rsid w:val="00090F14"/>
    <w:rsid w:val="0009104E"/>
    <w:rsid w:val="0009196C"/>
    <w:rsid w:val="00091CDB"/>
    <w:rsid w:val="00092882"/>
    <w:rsid w:val="000930F3"/>
    <w:rsid w:val="000952BC"/>
    <w:rsid w:val="00095DCF"/>
    <w:rsid w:val="00095EA2"/>
    <w:rsid w:val="000961E1"/>
    <w:rsid w:val="00097612"/>
    <w:rsid w:val="000A028F"/>
    <w:rsid w:val="000A1177"/>
    <w:rsid w:val="000A11FA"/>
    <w:rsid w:val="000A1319"/>
    <w:rsid w:val="000A19AC"/>
    <w:rsid w:val="000A1ADD"/>
    <w:rsid w:val="000A2073"/>
    <w:rsid w:val="000A38CB"/>
    <w:rsid w:val="000A38CC"/>
    <w:rsid w:val="000A4691"/>
    <w:rsid w:val="000A564F"/>
    <w:rsid w:val="000A5A78"/>
    <w:rsid w:val="000B1124"/>
    <w:rsid w:val="000B1408"/>
    <w:rsid w:val="000B2923"/>
    <w:rsid w:val="000B2E8E"/>
    <w:rsid w:val="000B2EC9"/>
    <w:rsid w:val="000B3167"/>
    <w:rsid w:val="000B3688"/>
    <w:rsid w:val="000B48E1"/>
    <w:rsid w:val="000B62DD"/>
    <w:rsid w:val="000B65BD"/>
    <w:rsid w:val="000B6EAC"/>
    <w:rsid w:val="000B6FF6"/>
    <w:rsid w:val="000B7990"/>
    <w:rsid w:val="000B7FED"/>
    <w:rsid w:val="000C06AF"/>
    <w:rsid w:val="000C1951"/>
    <w:rsid w:val="000C1B8A"/>
    <w:rsid w:val="000C1DE0"/>
    <w:rsid w:val="000C266A"/>
    <w:rsid w:val="000C2C36"/>
    <w:rsid w:val="000C549E"/>
    <w:rsid w:val="000C5565"/>
    <w:rsid w:val="000C57A9"/>
    <w:rsid w:val="000C5DF4"/>
    <w:rsid w:val="000C620E"/>
    <w:rsid w:val="000C64D6"/>
    <w:rsid w:val="000C6881"/>
    <w:rsid w:val="000C743D"/>
    <w:rsid w:val="000C7488"/>
    <w:rsid w:val="000C784A"/>
    <w:rsid w:val="000D08E3"/>
    <w:rsid w:val="000D1E36"/>
    <w:rsid w:val="000D2656"/>
    <w:rsid w:val="000D26F8"/>
    <w:rsid w:val="000D2A00"/>
    <w:rsid w:val="000D326B"/>
    <w:rsid w:val="000D35DA"/>
    <w:rsid w:val="000D360A"/>
    <w:rsid w:val="000D36AF"/>
    <w:rsid w:val="000D36D0"/>
    <w:rsid w:val="000D3884"/>
    <w:rsid w:val="000D3FC2"/>
    <w:rsid w:val="000D4628"/>
    <w:rsid w:val="000D5201"/>
    <w:rsid w:val="000D54A7"/>
    <w:rsid w:val="000D5C79"/>
    <w:rsid w:val="000D5D1C"/>
    <w:rsid w:val="000D7A6F"/>
    <w:rsid w:val="000E101C"/>
    <w:rsid w:val="000E11C2"/>
    <w:rsid w:val="000E1D9C"/>
    <w:rsid w:val="000E21C7"/>
    <w:rsid w:val="000E28E0"/>
    <w:rsid w:val="000E2A42"/>
    <w:rsid w:val="000E395B"/>
    <w:rsid w:val="000E3D26"/>
    <w:rsid w:val="000E438C"/>
    <w:rsid w:val="000E6059"/>
    <w:rsid w:val="000E6252"/>
    <w:rsid w:val="000E7F3C"/>
    <w:rsid w:val="000F1E80"/>
    <w:rsid w:val="000F30B5"/>
    <w:rsid w:val="000F3A75"/>
    <w:rsid w:val="000F4463"/>
    <w:rsid w:val="000F47C4"/>
    <w:rsid w:val="000F5392"/>
    <w:rsid w:val="000F563E"/>
    <w:rsid w:val="000F68AA"/>
    <w:rsid w:val="000F77DD"/>
    <w:rsid w:val="000F7AE9"/>
    <w:rsid w:val="000F7C81"/>
    <w:rsid w:val="000F7F46"/>
    <w:rsid w:val="00100049"/>
    <w:rsid w:val="0010087D"/>
    <w:rsid w:val="0010101F"/>
    <w:rsid w:val="00101F35"/>
    <w:rsid w:val="0010333D"/>
    <w:rsid w:val="00103701"/>
    <w:rsid w:val="00104BD5"/>
    <w:rsid w:val="00105564"/>
    <w:rsid w:val="00105883"/>
    <w:rsid w:val="0010596F"/>
    <w:rsid w:val="00105E02"/>
    <w:rsid w:val="0010658E"/>
    <w:rsid w:val="00106654"/>
    <w:rsid w:val="001067D3"/>
    <w:rsid w:val="001105CA"/>
    <w:rsid w:val="001106AF"/>
    <w:rsid w:val="00110AE4"/>
    <w:rsid w:val="00111B3C"/>
    <w:rsid w:val="001129C7"/>
    <w:rsid w:val="00112F16"/>
    <w:rsid w:val="00112F91"/>
    <w:rsid w:val="0011455E"/>
    <w:rsid w:val="001147FF"/>
    <w:rsid w:val="00115279"/>
    <w:rsid w:val="00116700"/>
    <w:rsid w:val="00116847"/>
    <w:rsid w:val="001177E6"/>
    <w:rsid w:val="0012069D"/>
    <w:rsid w:val="00121B8E"/>
    <w:rsid w:val="00126B7F"/>
    <w:rsid w:val="00127488"/>
    <w:rsid w:val="00127692"/>
    <w:rsid w:val="0012783F"/>
    <w:rsid w:val="00130C46"/>
    <w:rsid w:val="00130D85"/>
    <w:rsid w:val="0013146B"/>
    <w:rsid w:val="00132921"/>
    <w:rsid w:val="00132FE3"/>
    <w:rsid w:val="001333FC"/>
    <w:rsid w:val="001334EA"/>
    <w:rsid w:val="0013384D"/>
    <w:rsid w:val="00133EC9"/>
    <w:rsid w:val="0013402E"/>
    <w:rsid w:val="001340AC"/>
    <w:rsid w:val="001344C2"/>
    <w:rsid w:val="0013526C"/>
    <w:rsid w:val="00135C1F"/>
    <w:rsid w:val="00136343"/>
    <w:rsid w:val="00136F57"/>
    <w:rsid w:val="001405C6"/>
    <w:rsid w:val="0014064C"/>
    <w:rsid w:val="00141013"/>
    <w:rsid w:val="0014166A"/>
    <w:rsid w:val="00142021"/>
    <w:rsid w:val="0014208F"/>
    <w:rsid w:val="0014220A"/>
    <w:rsid w:val="0014256F"/>
    <w:rsid w:val="0014286B"/>
    <w:rsid w:val="0014363D"/>
    <w:rsid w:val="00143CBC"/>
    <w:rsid w:val="00144681"/>
    <w:rsid w:val="001448D8"/>
    <w:rsid w:val="00144D34"/>
    <w:rsid w:val="00144EE3"/>
    <w:rsid w:val="00144F53"/>
    <w:rsid w:val="00145736"/>
    <w:rsid w:val="001459D6"/>
    <w:rsid w:val="001471CD"/>
    <w:rsid w:val="001478B5"/>
    <w:rsid w:val="0015003F"/>
    <w:rsid w:val="00151033"/>
    <w:rsid w:val="00151239"/>
    <w:rsid w:val="0015163D"/>
    <w:rsid w:val="00151A0F"/>
    <w:rsid w:val="00151BFB"/>
    <w:rsid w:val="0015228B"/>
    <w:rsid w:val="00152D9A"/>
    <w:rsid w:val="00152E0C"/>
    <w:rsid w:val="0015338C"/>
    <w:rsid w:val="001541F3"/>
    <w:rsid w:val="00154D0C"/>
    <w:rsid w:val="00155C1D"/>
    <w:rsid w:val="001560A7"/>
    <w:rsid w:val="001565D2"/>
    <w:rsid w:val="00157B49"/>
    <w:rsid w:val="00157DC2"/>
    <w:rsid w:val="00160BCF"/>
    <w:rsid w:val="0016105E"/>
    <w:rsid w:val="00161084"/>
    <w:rsid w:val="00161948"/>
    <w:rsid w:val="00161C61"/>
    <w:rsid w:val="00162925"/>
    <w:rsid w:val="00162BD4"/>
    <w:rsid w:val="00163F69"/>
    <w:rsid w:val="00164E00"/>
    <w:rsid w:val="00164FE5"/>
    <w:rsid w:val="00165CEB"/>
    <w:rsid w:val="00166AA9"/>
    <w:rsid w:val="00166B53"/>
    <w:rsid w:val="00167A5F"/>
    <w:rsid w:val="00167B81"/>
    <w:rsid w:val="0017090C"/>
    <w:rsid w:val="001710F9"/>
    <w:rsid w:val="001714CF"/>
    <w:rsid w:val="00171B59"/>
    <w:rsid w:val="001732B8"/>
    <w:rsid w:val="00173EEF"/>
    <w:rsid w:val="00174133"/>
    <w:rsid w:val="00174138"/>
    <w:rsid w:val="001742FB"/>
    <w:rsid w:val="001758AC"/>
    <w:rsid w:val="0017628B"/>
    <w:rsid w:val="001762DD"/>
    <w:rsid w:val="00176631"/>
    <w:rsid w:val="001775B2"/>
    <w:rsid w:val="00177652"/>
    <w:rsid w:val="001777B6"/>
    <w:rsid w:val="001777FA"/>
    <w:rsid w:val="001778BC"/>
    <w:rsid w:val="00177D48"/>
    <w:rsid w:val="00181668"/>
    <w:rsid w:val="00181E1C"/>
    <w:rsid w:val="0018211B"/>
    <w:rsid w:val="0018241F"/>
    <w:rsid w:val="00182528"/>
    <w:rsid w:val="001827DF"/>
    <w:rsid w:val="00182A2F"/>
    <w:rsid w:val="00184170"/>
    <w:rsid w:val="00185200"/>
    <w:rsid w:val="00185BB0"/>
    <w:rsid w:val="00185F79"/>
    <w:rsid w:val="0018718C"/>
    <w:rsid w:val="001871A7"/>
    <w:rsid w:val="001876F9"/>
    <w:rsid w:val="00187C76"/>
    <w:rsid w:val="00190184"/>
    <w:rsid w:val="001907D7"/>
    <w:rsid w:val="00190C2D"/>
    <w:rsid w:val="00192229"/>
    <w:rsid w:val="00192CBF"/>
    <w:rsid w:val="00192FF1"/>
    <w:rsid w:val="0019373B"/>
    <w:rsid w:val="00193ECC"/>
    <w:rsid w:val="0019465D"/>
    <w:rsid w:val="00194947"/>
    <w:rsid w:val="001949D2"/>
    <w:rsid w:val="00194C52"/>
    <w:rsid w:val="00194CF7"/>
    <w:rsid w:val="00195EF2"/>
    <w:rsid w:val="0019667F"/>
    <w:rsid w:val="00196AF9"/>
    <w:rsid w:val="00196D8C"/>
    <w:rsid w:val="00197F32"/>
    <w:rsid w:val="001A0A57"/>
    <w:rsid w:val="001A1422"/>
    <w:rsid w:val="001A23F0"/>
    <w:rsid w:val="001A2B6E"/>
    <w:rsid w:val="001A2F6B"/>
    <w:rsid w:val="001A3643"/>
    <w:rsid w:val="001A39D5"/>
    <w:rsid w:val="001A3DF6"/>
    <w:rsid w:val="001A44FC"/>
    <w:rsid w:val="001A4971"/>
    <w:rsid w:val="001A5EF5"/>
    <w:rsid w:val="001A5F1B"/>
    <w:rsid w:val="001A6488"/>
    <w:rsid w:val="001A680A"/>
    <w:rsid w:val="001A6E91"/>
    <w:rsid w:val="001A7613"/>
    <w:rsid w:val="001B03F7"/>
    <w:rsid w:val="001B05A4"/>
    <w:rsid w:val="001B0C92"/>
    <w:rsid w:val="001B17F4"/>
    <w:rsid w:val="001B1C22"/>
    <w:rsid w:val="001B2986"/>
    <w:rsid w:val="001B3343"/>
    <w:rsid w:val="001B33D3"/>
    <w:rsid w:val="001B3456"/>
    <w:rsid w:val="001B34C6"/>
    <w:rsid w:val="001B49E7"/>
    <w:rsid w:val="001B5239"/>
    <w:rsid w:val="001B59C5"/>
    <w:rsid w:val="001B6055"/>
    <w:rsid w:val="001B62B3"/>
    <w:rsid w:val="001C0452"/>
    <w:rsid w:val="001C0652"/>
    <w:rsid w:val="001C092C"/>
    <w:rsid w:val="001C0C42"/>
    <w:rsid w:val="001C0F9B"/>
    <w:rsid w:val="001C196B"/>
    <w:rsid w:val="001C2018"/>
    <w:rsid w:val="001C36F4"/>
    <w:rsid w:val="001C3877"/>
    <w:rsid w:val="001C407A"/>
    <w:rsid w:val="001C43D9"/>
    <w:rsid w:val="001C4A3C"/>
    <w:rsid w:val="001C76FF"/>
    <w:rsid w:val="001C78BE"/>
    <w:rsid w:val="001D0772"/>
    <w:rsid w:val="001D1CC5"/>
    <w:rsid w:val="001D2029"/>
    <w:rsid w:val="001D2721"/>
    <w:rsid w:val="001D2B74"/>
    <w:rsid w:val="001D2CF4"/>
    <w:rsid w:val="001D31E0"/>
    <w:rsid w:val="001D3333"/>
    <w:rsid w:val="001D3868"/>
    <w:rsid w:val="001D4401"/>
    <w:rsid w:val="001D4A61"/>
    <w:rsid w:val="001D4C99"/>
    <w:rsid w:val="001D516B"/>
    <w:rsid w:val="001D5242"/>
    <w:rsid w:val="001D54BC"/>
    <w:rsid w:val="001D70E9"/>
    <w:rsid w:val="001D75AE"/>
    <w:rsid w:val="001D7832"/>
    <w:rsid w:val="001E02F8"/>
    <w:rsid w:val="001E225E"/>
    <w:rsid w:val="001E3911"/>
    <w:rsid w:val="001E485E"/>
    <w:rsid w:val="001E5E68"/>
    <w:rsid w:val="001E692F"/>
    <w:rsid w:val="001F0527"/>
    <w:rsid w:val="001F089B"/>
    <w:rsid w:val="001F13C8"/>
    <w:rsid w:val="001F2C5B"/>
    <w:rsid w:val="001F2D80"/>
    <w:rsid w:val="001F2FD8"/>
    <w:rsid w:val="001F3551"/>
    <w:rsid w:val="001F35B0"/>
    <w:rsid w:val="001F4256"/>
    <w:rsid w:val="001F59AA"/>
    <w:rsid w:val="001F5A53"/>
    <w:rsid w:val="001F5AFE"/>
    <w:rsid w:val="001F6519"/>
    <w:rsid w:val="001F780F"/>
    <w:rsid w:val="00200874"/>
    <w:rsid w:val="00200967"/>
    <w:rsid w:val="00200EA7"/>
    <w:rsid w:val="002012D8"/>
    <w:rsid w:val="002015A0"/>
    <w:rsid w:val="00201856"/>
    <w:rsid w:val="002038CE"/>
    <w:rsid w:val="002039D6"/>
    <w:rsid w:val="00204D82"/>
    <w:rsid w:val="0020533E"/>
    <w:rsid w:val="00205F99"/>
    <w:rsid w:val="00205FC8"/>
    <w:rsid w:val="00206349"/>
    <w:rsid w:val="0020637C"/>
    <w:rsid w:val="00207D99"/>
    <w:rsid w:val="00210436"/>
    <w:rsid w:val="00210DC1"/>
    <w:rsid w:val="0021157A"/>
    <w:rsid w:val="00211D34"/>
    <w:rsid w:val="0021240A"/>
    <w:rsid w:val="0021304E"/>
    <w:rsid w:val="002133FA"/>
    <w:rsid w:val="00214328"/>
    <w:rsid w:val="00214F04"/>
    <w:rsid w:val="002174A5"/>
    <w:rsid w:val="00217810"/>
    <w:rsid w:val="00217D47"/>
    <w:rsid w:val="00220019"/>
    <w:rsid w:val="002202DE"/>
    <w:rsid w:val="00220734"/>
    <w:rsid w:val="00221BED"/>
    <w:rsid w:val="00222C8F"/>
    <w:rsid w:val="00222FF3"/>
    <w:rsid w:val="00223DAE"/>
    <w:rsid w:val="00223E50"/>
    <w:rsid w:val="002243F3"/>
    <w:rsid w:val="00224569"/>
    <w:rsid w:val="0022483E"/>
    <w:rsid w:val="0022498D"/>
    <w:rsid w:val="00224B0F"/>
    <w:rsid w:val="00224FC9"/>
    <w:rsid w:val="00227061"/>
    <w:rsid w:val="002273DA"/>
    <w:rsid w:val="00227E1E"/>
    <w:rsid w:val="00227F00"/>
    <w:rsid w:val="002308AB"/>
    <w:rsid w:val="002311BF"/>
    <w:rsid w:val="00231998"/>
    <w:rsid w:val="00231D67"/>
    <w:rsid w:val="002326A0"/>
    <w:rsid w:val="0023338E"/>
    <w:rsid w:val="00233964"/>
    <w:rsid w:val="00235088"/>
    <w:rsid w:val="002352B9"/>
    <w:rsid w:val="0023598E"/>
    <w:rsid w:val="00235E04"/>
    <w:rsid w:val="0023621E"/>
    <w:rsid w:val="00236479"/>
    <w:rsid w:val="002367F5"/>
    <w:rsid w:val="002369E3"/>
    <w:rsid w:val="00237EDC"/>
    <w:rsid w:val="00240640"/>
    <w:rsid w:val="00240FB8"/>
    <w:rsid w:val="00241ACF"/>
    <w:rsid w:val="00241B47"/>
    <w:rsid w:val="00242040"/>
    <w:rsid w:val="00242899"/>
    <w:rsid w:val="00242A95"/>
    <w:rsid w:val="00242F2B"/>
    <w:rsid w:val="00243535"/>
    <w:rsid w:val="002436B9"/>
    <w:rsid w:val="00243A0A"/>
    <w:rsid w:val="00243DBF"/>
    <w:rsid w:val="00243E4D"/>
    <w:rsid w:val="002441CD"/>
    <w:rsid w:val="002443AA"/>
    <w:rsid w:val="002444FF"/>
    <w:rsid w:val="002448D6"/>
    <w:rsid w:val="00245E5D"/>
    <w:rsid w:val="0024632E"/>
    <w:rsid w:val="00246761"/>
    <w:rsid w:val="002503F7"/>
    <w:rsid w:val="00250626"/>
    <w:rsid w:val="0025192F"/>
    <w:rsid w:val="00251FB5"/>
    <w:rsid w:val="00252FFD"/>
    <w:rsid w:val="00253D36"/>
    <w:rsid w:val="0025525F"/>
    <w:rsid w:val="00255960"/>
    <w:rsid w:val="00255BBC"/>
    <w:rsid w:val="002560C5"/>
    <w:rsid w:val="00256704"/>
    <w:rsid w:val="00256DBC"/>
    <w:rsid w:val="00256EA4"/>
    <w:rsid w:val="002571C8"/>
    <w:rsid w:val="002578B3"/>
    <w:rsid w:val="002579DC"/>
    <w:rsid w:val="00257A41"/>
    <w:rsid w:val="002603B0"/>
    <w:rsid w:val="002603CD"/>
    <w:rsid w:val="002607E8"/>
    <w:rsid w:val="00260906"/>
    <w:rsid w:val="002611AC"/>
    <w:rsid w:val="00261479"/>
    <w:rsid w:val="00261CF7"/>
    <w:rsid w:val="00262248"/>
    <w:rsid w:val="0026282C"/>
    <w:rsid w:val="002631B1"/>
    <w:rsid w:val="002634C8"/>
    <w:rsid w:val="002638F0"/>
    <w:rsid w:val="00263BD5"/>
    <w:rsid w:val="00263ED9"/>
    <w:rsid w:val="00264030"/>
    <w:rsid w:val="00264CA8"/>
    <w:rsid w:val="00264F14"/>
    <w:rsid w:val="0026521A"/>
    <w:rsid w:val="002654BA"/>
    <w:rsid w:val="002657E2"/>
    <w:rsid w:val="00265EA4"/>
    <w:rsid w:val="002664D1"/>
    <w:rsid w:val="0026661A"/>
    <w:rsid w:val="00266904"/>
    <w:rsid w:val="00266CD6"/>
    <w:rsid w:val="002673AC"/>
    <w:rsid w:val="00270C4A"/>
    <w:rsid w:val="00270F33"/>
    <w:rsid w:val="0027278C"/>
    <w:rsid w:val="00273484"/>
    <w:rsid w:val="00273778"/>
    <w:rsid w:val="002739BD"/>
    <w:rsid w:val="00274C95"/>
    <w:rsid w:val="00275DAB"/>
    <w:rsid w:val="00275F7E"/>
    <w:rsid w:val="00276059"/>
    <w:rsid w:val="002762FA"/>
    <w:rsid w:val="0027646D"/>
    <w:rsid w:val="00276708"/>
    <w:rsid w:val="00280F65"/>
    <w:rsid w:val="00281C7F"/>
    <w:rsid w:val="002821BE"/>
    <w:rsid w:val="002836E2"/>
    <w:rsid w:val="0028534F"/>
    <w:rsid w:val="002856B5"/>
    <w:rsid w:val="00285F28"/>
    <w:rsid w:val="0028662C"/>
    <w:rsid w:val="002878C1"/>
    <w:rsid w:val="00287F48"/>
    <w:rsid w:val="00290143"/>
    <w:rsid w:val="002903C0"/>
    <w:rsid w:val="002903D1"/>
    <w:rsid w:val="002905D3"/>
    <w:rsid w:val="00290FF0"/>
    <w:rsid w:val="0029122F"/>
    <w:rsid w:val="00291726"/>
    <w:rsid w:val="0029205E"/>
    <w:rsid w:val="002922A7"/>
    <w:rsid w:val="00292FE9"/>
    <w:rsid w:val="00293074"/>
    <w:rsid w:val="00295069"/>
    <w:rsid w:val="002956BB"/>
    <w:rsid w:val="00295857"/>
    <w:rsid w:val="00295ACD"/>
    <w:rsid w:val="0029698E"/>
    <w:rsid w:val="00297A51"/>
    <w:rsid w:val="002A108A"/>
    <w:rsid w:val="002A128C"/>
    <w:rsid w:val="002A2D68"/>
    <w:rsid w:val="002A2F64"/>
    <w:rsid w:val="002A49E5"/>
    <w:rsid w:val="002A5151"/>
    <w:rsid w:val="002A51EF"/>
    <w:rsid w:val="002A6CE5"/>
    <w:rsid w:val="002A71A1"/>
    <w:rsid w:val="002A782A"/>
    <w:rsid w:val="002A7D62"/>
    <w:rsid w:val="002B11E2"/>
    <w:rsid w:val="002B1B4C"/>
    <w:rsid w:val="002B24B8"/>
    <w:rsid w:val="002B289A"/>
    <w:rsid w:val="002B3834"/>
    <w:rsid w:val="002B3A24"/>
    <w:rsid w:val="002B4591"/>
    <w:rsid w:val="002B5E28"/>
    <w:rsid w:val="002B5E3C"/>
    <w:rsid w:val="002B628A"/>
    <w:rsid w:val="002B71B1"/>
    <w:rsid w:val="002B798E"/>
    <w:rsid w:val="002C008E"/>
    <w:rsid w:val="002C01FA"/>
    <w:rsid w:val="002C07A6"/>
    <w:rsid w:val="002C23FF"/>
    <w:rsid w:val="002C27CF"/>
    <w:rsid w:val="002C3488"/>
    <w:rsid w:val="002C3802"/>
    <w:rsid w:val="002C5023"/>
    <w:rsid w:val="002C5612"/>
    <w:rsid w:val="002C5A6A"/>
    <w:rsid w:val="002C5E17"/>
    <w:rsid w:val="002C7252"/>
    <w:rsid w:val="002D007E"/>
    <w:rsid w:val="002D0C65"/>
    <w:rsid w:val="002D0FC0"/>
    <w:rsid w:val="002D12D7"/>
    <w:rsid w:val="002D1321"/>
    <w:rsid w:val="002D1BBA"/>
    <w:rsid w:val="002D256C"/>
    <w:rsid w:val="002D37F9"/>
    <w:rsid w:val="002D3AE9"/>
    <w:rsid w:val="002D3CE7"/>
    <w:rsid w:val="002D3E96"/>
    <w:rsid w:val="002D4510"/>
    <w:rsid w:val="002D4CA4"/>
    <w:rsid w:val="002D57EE"/>
    <w:rsid w:val="002D75FD"/>
    <w:rsid w:val="002D77FC"/>
    <w:rsid w:val="002D7D6C"/>
    <w:rsid w:val="002E09F5"/>
    <w:rsid w:val="002E1770"/>
    <w:rsid w:val="002E1AF2"/>
    <w:rsid w:val="002E1F65"/>
    <w:rsid w:val="002E3682"/>
    <w:rsid w:val="002E380A"/>
    <w:rsid w:val="002E4581"/>
    <w:rsid w:val="002E4801"/>
    <w:rsid w:val="002E4C76"/>
    <w:rsid w:val="002E544D"/>
    <w:rsid w:val="002E5DED"/>
    <w:rsid w:val="002E635C"/>
    <w:rsid w:val="002E742B"/>
    <w:rsid w:val="002E7997"/>
    <w:rsid w:val="002F026E"/>
    <w:rsid w:val="002F0734"/>
    <w:rsid w:val="002F0BCC"/>
    <w:rsid w:val="002F0E79"/>
    <w:rsid w:val="002F0FFF"/>
    <w:rsid w:val="002F12A4"/>
    <w:rsid w:val="002F12D0"/>
    <w:rsid w:val="002F1D86"/>
    <w:rsid w:val="002F20D4"/>
    <w:rsid w:val="002F22EB"/>
    <w:rsid w:val="002F34E7"/>
    <w:rsid w:val="002F3712"/>
    <w:rsid w:val="002F463C"/>
    <w:rsid w:val="002F46E7"/>
    <w:rsid w:val="002F54C8"/>
    <w:rsid w:val="002F6F87"/>
    <w:rsid w:val="002F7095"/>
    <w:rsid w:val="002F71F4"/>
    <w:rsid w:val="002F72DB"/>
    <w:rsid w:val="002F75C0"/>
    <w:rsid w:val="002F7B19"/>
    <w:rsid w:val="002F7DC5"/>
    <w:rsid w:val="003008A1"/>
    <w:rsid w:val="00302810"/>
    <w:rsid w:val="00302CAC"/>
    <w:rsid w:val="00302EFB"/>
    <w:rsid w:val="0030336F"/>
    <w:rsid w:val="003040BE"/>
    <w:rsid w:val="00305470"/>
    <w:rsid w:val="00306225"/>
    <w:rsid w:val="0030641B"/>
    <w:rsid w:val="003066B8"/>
    <w:rsid w:val="00306F7F"/>
    <w:rsid w:val="0030724B"/>
    <w:rsid w:val="003073CF"/>
    <w:rsid w:val="00307E9C"/>
    <w:rsid w:val="00307F8B"/>
    <w:rsid w:val="00307F96"/>
    <w:rsid w:val="003101DA"/>
    <w:rsid w:val="003111C3"/>
    <w:rsid w:val="003114E1"/>
    <w:rsid w:val="0031176D"/>
    <w:rsid w:val="00312443"/>
    <w:rsid w:val="00312CBC"/>
    <w:rsid w:val="00312D2B"/>
    <w:rsid w:val="00312DDD"/>
    <w:rsid w:val="00313753"/>
    <w:rsid w:val="00313B84"/>
    <w:rsid w:val="00314757"/>
    <w:rsid w:val="00315689"/>
    <w:rsid w:val="003158CA"/>
    <w:rsid w:val="00315CD0"/>
    <w:rsid w:val="003163BC"/>
    <w:rsid w:val="00317410"/>
    <w:rsid w:val="003174BD"/>
    <w:rsid w:val="00320388"/>
    <w:rsid w:val="00320EE6"/>
    <w:rsid w:val="003211CE"/>
    <w:rsid w:val="003216FF"/>
    <w:rsid w:val="0032190A"/>
    <w:rsid w:val="00321B6E"/>
    <w:rsid w:val="003229A0"/>
    <w:rsid w:val="00323AC6"/>
    <w:rsid w:val="00324E94"/>
    <w:rsid w:val="0032573E"/>
    <w:rsid w:val="00325CF3"/>
    <w:rsid w:val="003261DB"/>
    <w:rsid w:val="00326A17"/>
    <w:rsid w:val="00326D1A"/>
    <w:rsid w:val="0032714E"/>
    <w:rsid w:val="003272B0"/>
    <w:rsid w:val="00327412"/>
    <w:rsid w:val="00327443"/>
    <w:rsid w:val="00327C42"/>
    <w:rsid w:val="00330E17"/>
    <w:rsid w:val="00330F9B"/>
    <w:rsid w:val="00331473"/>
    <w:rsid w:val="00331C8C"/>
    <w:rsid w:val="0033319F"/>
    <w:rsid w:val="0033342C"/>
    <w:rsid w:val="003343C8"/>
    <w:rsid w:val="003343FE"/>
    <w:rsid w:val="003344C3"/>
    <w:rsid w:val="0033564E"/>
    <w:rsid w:val="00335EAC"/>
    <w:rsid w:val="00336A32"/>
    <w:rsid w:val="0033715F"/>
    <w:rsid w:val="003373A2"/>
    <w:rsid w:val="00337C84"/>
    <w:rsid w:val="00341499"/>
    <w:rsid w:val="00341928"/>
    <w:rsid w:val="003427F5"/>
    <w:rsid w:val="00343BDA"/>
    <w:rsid w:val="003452B7"/>
    <w:rsid w:val="003459B0"/>
    <w:rsid w:val="00346541"/>
    <w:rsid w:val="003473A2"/>
    <w:rsid w:val="0034744C"/>
    <w:rsid w:val="00350A8C"/>
    <w:rsid w:val="00350DE4"/>
    <w:rsid w:val="00351E6B"/>
    <w:rsid w:val="00352C2F"/>
    <w:rsid w:val="0035403A"/>
    <w:rsid w:val="0035582D"/>
    <w:rsid w:val="003569DD"/>
    <w:rsid w:val="00356C2E"/>
    <w:rsid w:val="003573E5"/>
    <w:rsid w:val="003579E7"/>
    <w:rsid w:val="00360AC7"/>
    <w:rsid w:val="00360DAA"/>
    <w:rsid w:val="00361BAC"/>
    <w:rsid w:val="00361EF5"/>
    <w:rsid w:val="00363796"/>
    <w:rsid w:val="003638FA"/>
    <w:rsid w:val="0036394B"/>
    <w:rsid w:val="00363E14"/>
    <w:rsid w:val="00364DF8"/>
    <w:rsid w:val="003650A6"/>
    <w:rsid w:val="003651E2"/>
    <w:rsid w:val="00365AC7"/>
    <w:rsid w:val="00366AC7"/>
    <w:rsid w:val="00366DB6"/>
    <w:rsid w:val="003671B0"/>
    <w:rsid w:val="0036724C"/>
    <w:rsid w:val="0036763F"/>
    <w:rsid w:val="00370325"/>
    <w:rsid w:val="00370390"/>
    <w:rsid w:val="0037060D"/>
    <w:rsid w:val="003706AD"/>
    <w:rsid w:val="003709B5"/>
    <w:rsid w:val="0037156B"/>
    <w:rsid w:val="00372533"/>
    <w:rsid w:val="003735E3"/>
    <w:rsid w:val="00373A59"/>
    <w:rsid w:val="003742B8"/>
    <w:rsid w:val="00374855"/>
    <w:rsid w:val="0037566A"/>
    <w:rsid w:val="003759C2"/>
    <w:rsid w:val="00376A70"/>
    <w:rsid w:val="0037710B"/>
    <w:rsid w:val="00377FCD"/>
    <w:rsid w:val="003800A1"/>
    <w:rsid w:val="00380F32"/>
    <w:rsid w:val="00381357"/>
    <w:rsid w:val="00381AAD"/>
    <w:rsid w:val="0038349C"/>
    <w:rsid w:val="00383AB4"/>
    <w:rsid w:val="0038402B"/>
    <w:rsid w:val="00384B78"/>
    <w:rsid w:val="00384E4D"/>
    <w:rsid w:val="003857B4"/>
    <w:rsid w:val="00385A73"/>
    <w:rsid w:val="00386A9A"/>
    <w:rsid w:val="00386D58"/>
    <w:rsid w:val="00387223"/>
    <w:rsid w:val="003877A8"/>
    <w:rsid w:val="00387C27"/>
    <w:rsid w:val="00390396"/>
    <w:rsid w:val="00390681"/>
    <w:rsid w:val="00390C88"/>
    <w:rsid w:val="0039127D"/>
    <w:rsid w:val="0039155D"/>
    <w:rsid w:val="0039172F"/>
    <w:rsid w:val="00391A6D"/>
    <w:rsid w:val="003920AF"/>
    <w:rsid w:val="003923CF"/>
    <w:rsid w:val="0039240B"/>
    <w:rsid w:val="0039337E"/>
    <w:rsid w:val="00393F9F"/>
    <w:rsid w:val="0039489C"/>
    <w:rsid w:val="00395665"/>
    <w:rsid w:val="00395DA5"/>
    <w:rsid w:val="00396389"/>
    <w:rsid w:val="0039666B"/>
    <w:rsid w:val="003966A8"/>
    <w:rsid w:val="00397365"/>
    <w:rsid w:val="00397540"/>
    <w:rsid w:val="00397DA6"/>
    <w:rsid w:val="003A0389"/>
    <w:rsid w:val="003A09A2"/>
    <w:rsid w:val="003A1451"/>
    <w:rsid w:val="003A1899"/>
    <w:rsid w:val="003A1A65"/>
    <w:rsid w:val="003A215C"/>
    <w:rsid w:val="003A31F6"/>
    <w:rsid w:val="003A3A6C"/>
    <w:rsid w:val="003A3E98"/>
    <w:rsid w:val="003A4D67"/>
    <w:rsid w:val="003A6FE1"/>
    <w:rsid w:val="003A754D"/>
    <w:rsid w:val="003A76F6"/>
    <w:rsid w:val="003A7C3C"/>
    <w:rsid w:val="003A7C42"/>
    <w:rsid w:val="003B0555"/>
    <w:rsid w:val="003B1627"/>
    <w:rsid w:val="003B1DFC"/>
    <w:rsid w:val="003B2C98"/>
    <w:rsid w:val="003B3EF0"/>
    <w:rsid w:val="003B43D3"/>
    <w:rsid w:val="003B4485"/>
    <w:rsid w:val="003B4F63"/>
    <w:rsid w:val="003B5067"/>
    <w:rsid w:val="003B52AC"/>
    <w:rsid w:val="003B534A"/>
    <w:rsid w:val="003B5941"/>
    <w:rsid w:val="003B75C7"/>
    <w:rsid w:val="003B79D4"/>
    <w:rsid w:val="003B7AE8"/>
    <w:rsid w:val="003C020A"/>
    <w:rsid w:val="003C0474"/>
    <w:rsid w:val="003C076D"/>
    <w:rsid w:val="003C1424"/>
    <w:rsid w:val="003C156A"/>
    <w:rsid w:val="003C1E44"/>
    <w:rsid w:val="003C2389"/>
    <w:rsid w:val="003C242C"/>
    <w:rsid w:val="003C26EB"/>
    <w:rsid w:val="003C33A2"/>
    <w:rsid w:val="003C3447"/>
    <w:rsid w:val="003C4072"/>
    <w:rsid w:val="003C424B"/>
    <w:rsid w:val="003C58FB"/>
    <w:rsid w:val="003C746E"/>
    <w:rsid w:val="003C7D57"/>
    <w:rsid w:val="003D00DD"/>
    <w:rsid w:val="003D0607"/>
    <w:rsid w:val="003D076C"/>
    <w:rsid w:val="003D1367"/>
    <w:rsid w:val="003D160E"/>
    <w:rsid w:val="003D1646"/>
    <w:rsid w:val="003D1FD8"/>
    <w:rsid w:val="003D2B23"/>
    <w:rsid w:val="003D2DA9"/>
    <w:rsid w:val="003D34F9"/>
    <w:rsid w:val="003D38E3"/>
    <w:rsid w:val="003D6335"/>
    <w:rsid w:val="003D684C"/>
    <w:rsid w:val="003D6EBF"/>
    <w:rsid w:val="003D7344"/>
    <w:rsid w:val="003E01CE"/>
    <w:rsid w:val="003E02B3"/>
    <w:rsid w:val="003E0745"/>
    <w:rsid w:val="003E090C"/>
    <w:rsid w:val="003E1DFC"/>
    <w:rsid w:val="003E217D"/>
    <w:rsid w:val="003E2635"/>
    <w:rsid w:val="003E3442"/>
    <w:rsid w:val="003E3CED"/>
    <w:rsid w:val="003E4FBA"/>
    <w:rsid w:val="003E5626"/>
    <w:rsid w:val="003E5E2B"/>
    <w:rsid w:val="003E5E4D"/>
    <w:rsid w:val="003E6157"/>
    <w:rsid w:val="003E7112"/>
    <w:rsid w:val="003E7817"/>
    <w:rsid w:val="003E78B5"/>
    <w:rsid w:val="003F0309"/>
    <w:rsid w:val="003F15A3"/>
    <w:rsid w:val="003F1778"/>
    <w:rsid w:val="003F2D0D"/>
    <w:rsid w:val="003F3A33"/>
    <w:rsid w:val="003F4F1A"/>
    <w:rsid w:val="003F54A4"/>
    <w:rsid w:val="003F65FB"/>
    <w:rsid w:val="003F70F2"/>
    <w:rsid w:val="003F77E3"/>
    <w:rsid w:val="003F7F77"/>
    <w:rsid w:val="00400A3D"/>
    <w:rsid w:val="004013AF"/>
    <w:rsid w:val="0040174E"/>
    <w:rsid w:val="0040199C"/>
    <w:rsid w:val="004019EC"/>
    <w:rsid w:val="0040285F"/>
    <w:rsid w:val="00402C03"/>
    <w:rsid w:val="004031B9"/>
    <w:rsid w:val="00404968"/>
    <w:rsid w:val="00405029"/>
    <w:rsid w:val="00405776"/>
    <w:rsid w:val="0040652E"/>
    <w:rsid w:val="0040781C"/>
    <w:rsid w:val="00407A24"/>
    <w:rsid w:val="00407A25"/>
    <w:rsid w:val="00407C33"/>
    <w:rsid w:val="00410552"/>
    <w:rsid w:val="00410CD3"/>
    <w:rsid w:val="00411D12"/>
    <w:rsid w:val="00411F8F"/>
    <w:rsid w:val="004135D1"/>
    <w:rsid w:val="0041451E"/>
    <w:rsid w:val="004151D9"/>
    <w:rsid w:val="00415255"/>
    <w:rsid w:val="0041597A"/>
    <w:rsid w:val="00415BAB"/>
    <w:rsid w:val="00415D33"/>
    <w:rsid w:val="00415ED2"/>
    <w:rsid w:val="00416421"/>
    <w:rsid w:val="004164A8"/>
    <w:rsid w:val="00420205"/>
    <w:rsid w:val="0042068C"/>
    <w:rsid w:val="004213BB"/>
    <w:rsid w:val="00421E96"/>
    <w:rsid w:val="00423679"/>
    <w:rsid w:val="004237FF"/>
    <w:rsid w:val="00423CD1"/>
    <w:rsid w:val="00424FE3"/>
    <w:rsid w:val="00425191"/>
    <w:rsid w:val="0042557A"/>
    <w:rsid w:val="004255DF"/>
    <w:rsid w:val="004257CF"/>
    <w:rsid w:val="00425A70"/>
    <w:rsid w:val="00425E93"/>
    <w:rsid w:val="00425F7D"/>
    <w:rsid w:val="004272FF"/>
    <w:rsid w:val="00430EC7"/>
    <w:rsid w:val="00431492"/>
    <w:rsid w:val="004315C7"/>
    <w:rsid w:val="00431F25"/>
    <w:rsid w:val="00432822"/>
    <w:rsid w:val="00432CC6"/>
    <w:rsid w:val="00432DC8"/>
    <w:rsid w:val="004356C8"/>
    <w:rsid w:val="00435913"/>
    <w:rsid w:val="00436D92"/>
    <w:rsid w:val="00436EFA"/>
    <w:rsid w:val="00440840"/>
    <w:rsid w:val="00440925"/>
    <w:rsid w:val="00440DC7"/>
    <w:rsid w:val="00441774"/>
    <w:rsid w:val="00441C8E"/>
    <w:rsid w:val="00441FD9"/>
    <w:rsid w:val="004420F6"/>
    <w:rsid w:val="004429D9"/>
    <w:rsid w:val="00442CCF"/>
    <w:rsid w:val="0044318E"/>
    <w:rsid w:val="00443B35"/>
    <w:rsid w:val="00443E79"/>
    <w:rsid w:val="004453BB"/>
    <w:rsid w:val="00445DB2"/>
    <w:rsid w:val="00446813"/>
    <w:rsid w:val="00446B3A"/>
    <w:rsid w:val="00446BEE"/>
    <w:rsid w:val="00446C55"/>
    <w:rsid w:val="0045009B"/>
    <w:rsid w:val="004508F2"/>
    <w:rsid w:val="00450974"/>
    <w:rsid w:val="00450A9D"/>
    <w:rsid w:val="00450C1D"/>
    <w:rsid w:val="00451303"/>
    <w:rsid w:val="0045178C"/>
    <w:rsid w:val="00452577"/>
    <w:rsid w:val="004526AC"/>
    <w:rsid w:val="0045293D"/>
    <w:rsid w:val="00453340"/>
    <w:rsid w:val="0045345B"/>
    <w:rsid w:val="0045381E"/>
    <w:rsid w:val="00453EB0"/>
    <w:rsid w:val="004540CD"/>
    <w:rsid w:val="004541F0"/>
    <w:rsid w:val="0045463B"/>
    <w:rsid w:val="00455DAE"/>
    <w:rsid w:val="00455E26"/>
    <w:rsid w:val="00456622"/>
    <w:rsid w:val="00456CCE"/>
    <w:rsid w:val="004575B9"/>
    <w:rsid w:val="004577F8"/>
    <w:rsid w:val="00457AF9"/>
    <w:rsid w:val="004605D4"/>
    <w:rsid w:val="00461628"/>
    <w:rsid w:val="00461D9A"/>
    <w:rsid w:val="00463785"/>
    <w:rsid w:val="00463D47"/>
    <w:rsid w:val="00465300"/>
    <w:rsid w:val="00466325"/>
    <w:rsid w:val="004667E4"/>
    <w:rsid w:val="00466988"/>
    <w:rsid w:val="0047092D"/>
    <w:rsid w:val="0047122B"/>
    <w:rsid w:val="004712F4"/>
    <w:rsid w:val="00472125"/>
    <w:rsid w:val="00472720"/>
    <w:rsid w:val="00473B7A"/>
    <w:rsid w:val="00473C8E"/>
    <w:rsid w:val="0047469F"/>
    <w:rsid w:val="00474922"/>
    <w:rsid w:val="00476BE3"/>
    <w:rsid w:val="00476BF2"/>
    <w:rsid w:val="004771D9"/>
    <w:rsid w:val="004779B4"/>
    <w:rsid w:val="004807ED"/>
    <w:rsid w:val="00480C0E"/>
    <w:rsid w:val="00481F5D"/>
    <w:rsid w:val="0048216C"/>
    <w:rsid w:val="00482780"/>
    <w:rsid w:val="00482D44"/>
    <w:rsid w:val="004836D4"/>
    <w:rsid w:val="00483D96"/>
    <w:rsid w:val="00485CA3"/>
    <w:rsid w:val="0048601A"/>
    <w:rsid w:val="00486CE9"/>
    <w:rsid w:val="00487273"/>
    <w:rsid w:val="00490CC9"/>
    <w:rsid w:val="00490F58"/>
    <w:rsid w:val="00491E85"/>
    <w:rsid w:val="00492230"/>
    <w:rsid w:val="00492564"/>
    <w:rsid w:val="00492C4A"/>
    <w:rsid w:val="00493823"/>
    <w:rsid w:val="00493ADB"/>
    <w:rsid w:val="00495703"/>
    <w:rsid w:val="004957FD"/>
    <w:rsid w:val="00495EFD"/>
    <w:rsid w:val="004960E9"/>
    <w:rsid w:val="00496685"/>
    <w:rsid w:val="00497384"/>
    <w:rsid w:val="00497DC9"/>
    <w:rsid w:val="004A0E15"/>
    <w:rsid w:val="004A134E"/>
    <w:rsid w:val="004A21DA"/>
    <w:rsid w:val="004A2E73"/>
    <w:rsid w:val="004A2E88"/>
    <w:rsid w:val="004A4898"/>
    <w:rsid w:val="004A5305"/>
    <w:rsid w:val="004A6144"/>
    <w:rsid w:val="004A6274"/>
    <w:rsid w:val="004A66BC"/>
    <w:rsid w:val="004A6D92"/>
    <w:rsid w:val="004B0CE4"/>
    <w:rsid w:val="004B132B"/>
    <w:rsid w:val="004B13C6"/>
    <w:rsid w:val="004B1EC2"/>
    <w:rsid w:val="004B38B4"/>
    <w:rsid w:val="004B41C9"/>
    <w:rsid w:val="004B4266"/>
    <w:rsid w:val="004B562D"/>
    <w:rsid w:val="004B5A15"/>
    <w:rsid w:val="004B64C3"/>
    <w:rsid w:val="004B7634"/>
    <w:rsid w:val="004B7D05"/>
    <w:rsid w:val="004B7FAF"/>
    <w:rsid w:val="004C0257"/>
    <w:rsid w:val="004C03F6"/>
    <w:rsid w:val="004C0564"/>
    <w:rsid w:val="004C05BC"/>
    <w:rsid w:val="004C0E22"/>
    <w:rsid w:val="004C0E93"/>
    <w:rsid w:val="004C1DEA"/>
    <w:rsid w:val="004C687E"/>
    <w:rsid w:val="004C7D0C"/>
    <w:rsid w:val="004D040D"/>
    <w:rsid w:val="004D182B"/>
    <w:rsid w:val="004D20E9"/>
    <w:rsid w:val="004D25A7"/>
    <w:rsid w:val="004D2A46"/>
    <w:rsid w:val="004D34AC"/>
    <w:rsid w:val="004D3EA7"/>
    <w:rsid w:val="004D4089"/>
    <w:rsid w:val="004D47E2"/>
    <w:rsid w:val="004D49FF"/>
    <w:rsid w:val="004D4B8C"/>
    <w:rsid w:val="004D5A3A"/>
    <w:rsid w:val="004D5B73"/>
    <w:rsid w:val="004D6BC4"/>
    <w:rsid w:val="004D6BFF"/>
    <w:rsid w:val="004D72B2"/>
    <w:rsid w:val="004D75B3"/>
    <w:rsid w:val="004D7634"/>
    <w:rsid w:val="004E1055"/>
    <w:rsid w:val="004E1214"/>
    <w:rsid w:val="004E1794"/>
    <w:rsid w:val="004E196A"/>
    <w:rsid w:val="004E31EA"/>
    <w:rsid w:val="004E410F"/>
    <w:rsid w:val="004E4A05"/>
    <w:rsid w:val="004E55D4"/>
    <w:rsid w:val="004E5EAA"/>
    <w:rsid w:val="004E611A"/>
    <w:rsid w:val="004E650C"/>
    <w:rsid w:val="004E73ED"/>
    <w:rsid w:val="004E7CF3"/>
    <w:rsid w:val="004F033E"/>
    <w:rsid w:val="004F0852"/>
    <w:rsid w:val="004F093A"/>
    <w:rsid w:val="004F165C"/>
    <w:rsid w:val="004F177E"/>
    <w:rsid w:val="004F17CA"/>
    <w:rsid w:val="004F23BE"/>
    <w:rsid w:val="004F2A6C"/>
    <w:rsid w:val="004F2E69"/>
    <w:rsid w:val="004F3BE4"/>
    <w:rsid w:val="004F3D58"/>
    <w:rsid w:val="004F3DF8"/>
    <w:rsid w:val="004F5BC3"/>
    <w:rsid w:val="004F5C69"/>
    <w:rsid w:val="004F5F72"/>
    <w:rsid w:val="004F6360"/>
    <w:rsid w:val="004F6460"/>
    <w:rsid w:val="004F6B64"/>
    <w:rsid w:val="004F6E0E"/>
    <w:rsid w:val="004F7CA0"/>
    <w:rsid w:val="0050029D"/>
    <w:rsid w:val="0050079B"/>
    <w:rsid w:val="00500EB5"/>
    <w:rsid w:val="005010CF"/>
    <w:rsid w:val="00501160"/>
    <w:rsid w:val="005012E4"/>
    <w:rsid w:val="0050193E"/>
    <w:rsid w:val="00501E64"/>
    <w:rsid w:val="00502E85"/>
    <w:rsid w:val="00502F9C"/>
    <w:rsid w:val="00503613"/>
    <w:rsid w:val="005044C6"/>
    <w:rsid w:val="005046DF"/>
    <w:rsid w:val="00504C3C"/>
    <w:rsid w:val="00505381"/>
    <w:rsid w:val="005057D0"/>
    <w:rsid w:val="00505B76"/>
    <w:rsid w:val="00505CF4"/>
    <w:rsid w:val="005064DA"/>
    <w:rsid w:val="0050682B"/>
    <w:rsid w:val="00506AFF"/>
    <w:rsid w:val="00506D18"/>
    <w:rsid w:val="00506E54"/>
    <w:rsid w:val="00507137"/>
    <w:rsid w:val="005076E4"/>
    <w:rsid w:val="00507DC6"/>
    <w:rsid w:val="00507F82"/>
    <w:rsid w:val="00510CBD"/>
    <w:rsid w:val="00511171"/>
    <w:rsid w:val="00511E05"/>
    <w:rsid w:val="0051288E"/>
    <w:rsid w:val="005145F2"/>
    <w:rsid w:val="00514912"/>
    <w:rsid w:val="00515D56"/>
    <w:rsid w:val="0051635B"/>
    <w:rsid w:val="00516FEF"/>
    <w:rsid w:val="005170DA"/>
    <w:rsid w:val="00517400"/>
    <w:rsid w:val="00520010"/>
    <w:rsid w:val="0052110A"/>
    <w:rsid w:val="00521271"/>
    <w:rsid w:val="0052144F"/>
    <w:rsid w:val="005215F1"/>
    <w:rsid w:val="00523A96"/>
    <w:rsid w:val="00525389"/>
    <w:rsid w:val="00525583"/>
    <w:rsid w:val="00525697"/>
    <w:rsid w:val="00525AEE"/>
    <w:rsid w:val="00526330"/>
    <w:rsid w:val="00526A6A"/>
    <w:rsid w:val="00526C8C"/>
    <w:rsid w:val="0052700C"/>
    <w:rsid w:val="0052720E"/>
    <w:rsid w:val="0052725A"/>
    <w:rsid w:val="005300D3"/>
    <w:rsid w:val="0053057E"/>
    <w:rsid w:val="0053058C"/>
    <w:rsid w:val="00530A34"/>
    <w:rsid w:val="00531F2B"/>
    <w:rsid w:val="00532303"/>
    <w:rsid w:val="00533E34"/>
    <w:rsid w:val="00534CB0"/>
    <w:rsid w:val="0053520D"/>
    <w:rsid w:val="00536925"/>
    <w:rsid w:val="00537EDA"/>
    <w:rsid w:val="0054085C"/>
    <w:rsid w:val="00540944"/>
    <w:rsid w:val="0054109E"/>
    <w:rsid w:val="005420F7"/>
    <w:rsid w:val="005421DD"/>
    <w:rsid w:val="00542A10"/>
    <w:rsid w:val="00543038"/>
    <w:rsid w:val="00543B0C"/>
    <w:rsid w:val="00544F82"/>
    <w:rsid w:val="00545A5D"/>
    <w:rsid w:val="00545DA9"/>
    <w:rsid w:val="005460E7"/>
    <w:rsid w:val="00546568"/>
    <w:rsid w:val="00546CD5"/>
    <w:rsid w:val="00547CE7"/>
    <w:rsid w:val="0055026F"/>
    <w:rsid w:val="005509D2"/>
    <w:rsid w:val="00551711"/>
    <w:rsid w:val="00551B65"/>
    <w:rsid w:val="00551C12"/>
    <w:rsid w:val="005532E0"/>
    <w:rsid w:val="00554C96"/>
    <w:rsid w:val="00555BA6"/>
    <w:rsid w:val="00555F0E"/>
    <w:rsid w:val="00555FB5"/>
    <w:rsid w:val="00557262"/>
    <w:rsid w:val="005575E9"/>
    <w:rsid w:val="00557C8A"/>
    <w:rsid w:val="00557DD2"/>
    <w:rsid w:val="00560010"/>
    <w:rsid w:val="00560A68"/>
    <w:rsid w:val="0056183A"/>
    <w:rsid w:val="005628C1"/>
    <w:rsid w:val="00562E83"/>
    <w:rsid w:val="0056303A"/>
    <w:rsid w:val="00563258"/>
    <w:rsid w:val="00563E79"/>
    <w:rsid w:val="0056428B"/>
    <w:rsid w:val="00564B22"/>
    <w:rsid w:val="00564B67"/>
    <w:rsid w:val="00564B8B"/>
    <w:rsid w:val="00564EDF"/>
    <w:rsid w:val="0056570C"/>
    <w:rsid w:val="00565895"/>
    <w:rsid w:val="00565924"/>
    <w:rsid w:val="00566685"/>
    <w:rsid w:val="005673AC"/>
    <w:rsid w:val="00567424"/>
    <w:rsid w:val="00570CC7"/>
    <w:rsid w:val="00570F0C"/>
    <w:rsid w:val="005711EC"/>
    <w:rsid w:val="005714A3"/>
    <w:rsid w:val="00571C46"/>
    <w:rsid w:val="00571CB4"/>
    <w:rsid w:val="00571D26"/>
    <w:rsid w:val="005726CA"/>
    <w:rsid w:val="00574008"/>
    <w:rsid w:val="005750EB"/>
    <w:rsid w:val="005750F5"/>
    <w:rsid w:val="00575988"/>
    <w:rsid w:val="00576B4F"/>
    <w:rsid w:val="00576D16"/>
    <w:rsid w:val="00580C4A"/>
    <w:rsid w:val="00581DBF"/>
    <w:rsid w:val="00581F44"/>
    <w:rsid w:val="005820BA"/>
    <w:rsid w:val="00582A07"/>
    <w:rsid w:val="00583179"/>
    <w:rsid w:val="005841A9"/>
    <w:rsid w:val="005843A4"/>
    <w:rsid w:val="00585718"/>
    <w:rsid w:val="00585A2E"/>
    <w:rsid w:val="00585CF8"/>
    <w:rsid w:val="00585EEC"/>
    <w:rsid w:val="0058651E"/>
    <w:rsid w:val="00586CF2"/>
    <w:rsid w:val="00590FA3"/>
    <w:rsid w:val="005912D1"/>
    <w:rsid w:val="005912FF"/>
    <w:rsid w:val="005913FE"/>
    <w:rsid w:val="0059145D"/>
    <w:rsid w:val="00591F19"/>
    <w:rsid w:val="00593C4F"/>
    <w:rsid w:val="005943AA"/>
    <w:rsid w:val="005946A8"/>
    <w:rsid w:val="00595129"/>
    <w:rsid w:val="0059537B"/>
    <w:rsid w:val="00595856"/>
    <w:rsid w:val="005A01FB"/>
    <w:rsid w:val="005A02FD"/>
    <w:rsid w:val="005A0394"/>
    <w:rsid w:val="005A0E0C"/>
    <w:rsid w:val="005A2989"/>
    <w:rsid w:val="005A3199"/>
    <w:rsid w:val="005A34EC"/>
    <w:rsid w:val="005A35ED"/>
    <w:rsid w:val="005A3E1C"/>
    <w:rsid w:val="005A4407"/>
    <w:rsid w:val="005A4A7D"/>
    <w:rsid w:val="005A51B6"/>
    <w:rsid w:val="005A59EF"/>
    <w:rsid w:val="005A5B8B"/>
    <w:rsid w:val="005A648D"/>
    <w:rsid w:val="005A676C"/>
    <w:rsid w:val="005A6794"/>
    <w:rsid w:val="005A6984"/>
    <w:rsid w:val="005A7921"/>
    <w:rsid w:val="005A7B85"/>
    <w:rsid w:val="005B08DD"/>
    <w:rsid w:val="005B15C9"/>
    <w:rsid w:val="005B1C7E"/>
    <w:rsid w:val="005B2098"/>
    <w:rsid w:val="005B20F9"/>
    <w:rsid w:val="005B30DF"/>
    <w:rsid w:val="005B4CF2"/>
    <w:rsid w:val="005B6CB3"/>
    <w:rsid w:val="005B6E70"/>
    <w:rsid w:val="005C0019"/>
    <w:rsid w:val="005C00E9"/>
    <w:rsid w:val="005C1104"/>
    <w:rsid w:val="005C11B3"/>
    <w:rsid w:val="005C14A4"/>
    <w:rsid w:val="005C1C0B"/>
    <w:rsid w:val="005C1C67"/>
    <w:rsid w:val="005C2146"/>
    <w:rsid w:val="005C2B0E"/>
    <w:rsid w:val="005C32A3"/>
    <w:rsid w:val="005C395D"/>
    <w:rsid w:val="005C399B"/>
    <w:rsid w:val="005C3BAA"/>
    <w:rsid w:val="005C4156"/>
    <w:rsid w:val="005C4ACE"/>
    <w:rsid w:val="005C51B8"/>
    <w:rsid w:val="005C5AE4"/>
    <w:rsid w:val="005C6976"/>
    <w:rsid w:val="005C6F01"/>
    <w:rsid w:val="005C7781"/>
    <w:rsid w:val="005C7C8E"/>
    <w:rsid w:val="005D013B"/>
    <w:rsid w:val="005D09E5"/>
    <w:rsid w:val="005D0A73"/>
    <w:rsid w:val="005D0DE8"/>
    <w:rsid w:val="005D1C05"/>
    <w:rsid w:val="005D1DE8"/>
    <w:rsid w:val="005D2786"/>
    <w:rsid w:val="005D352F"/>
    <w:rsid w:val="005D533D"/>
    <w:rsid w:val="005D5BC6"/>
    <w:rsid w:val="005D5F66"/>
    <w:rsid w:val="005D7549"/>
    <w:rsid w:val="005E1E05"/>
    <w:rsid w:val="005E20FA"/>
    <w:rsid w:val="005E2B7C"/>
    <w:rsid w:val="005E3785"/>
    <w:rsid w:val="005E3BC7"/>
    <w:rsid w:val="005E4914"/>
    <w:rsid w:val="005E5374"/>
    <w:rsid w:val="005E6727"/>
    <w:rsid w:val="005E7A10"/>
    <w:rsid w:val="005F048F"/>
    <w:rsid w:val="005F077B"/>
    <w:rsid w:val="005F2835"/>
    <w:rsid w:val="005F2D77"/>
    <w:rsid w:val="005F3416"/>
    <w:rsid w:val="005F36A0"/>
    <w:rsid w:val="005F39CA"/>
    <w:rsid w:val="005F4573"/>
    <w:rsid w:val="005F4F2F"/>
    <w:rsid w:val="005F4FE4"/>
    <w:rsid w:val="005F526D"/>
    <w:rsid w:val="005F5B71"/>
    <w:rsid w:val="005F6E11"/>
    <w:rsid w:val="005F6F41"/>
    <w:rsid w:val="005F7013"/>
    <w:rsid w:val="006000CE"/>
    <w:rsid w:val="0060103E"/>
    <w:rsid w:val="00601DCA"/>
    <w:rsid w:val="00601DDF"/>
    <w:rsid w:val="006024D3"/>
    <w:rsid w:val="0060260C"/>
    <w:rsid w:val="006032DB"/>
    <w:rsid w:val="00604A98"/>
    <w:rsid w:val="0060513B"/>
    <w:rsid w:val="006056BC"/>
    <w:rsid w:val="006056FC"/>
    <w:rsid w:val="00605DA0"/>
    <w:rsid w:val="00605FDB"/>
    <w:rsid w:val="00606E76"/>
    <w:rsid w:val="00606EFF"/>
    <w:rsid w:val="00606FEE"/>
    <w:rsid w:val="00607470"/>
    <w:rsid w:val="00610A14"/>
    <w:rsid w:val="00610AC2"/>
    <w:rsid w:val="0061112B"/>
    <w:rsid w:val="00611B5C"/>
    <w:rsid w:val="00612151"/>
    <w:rsid w:val="00612938"/>
    <w:rsid w:val="00612948"/>
    <w:rsid w:val="00613353"/>
    <w:rsid w:val="00614138"/>
    <w:rsid w:val="00614509"/>
    <w:rsid w:val="006148D6"/>
    <w:rsid w:val="0061581B"/>
    <w:rsid w:val="00616160"/>
    <w:rsid w:val="0061617E"/>
    <w:rsid w:val="006164E4"/>
    <w:rsid w:val="006166B9"/>
    <w:rsid w:val="0061681B"/>
    <w:rsid w:val="00616B17"/>
    <w:rsid w:val="006171F4"/>
    <w:rsid w:val="00617E6D"/>
    <w:rsid w:val="00620164"/>
    <w:rsid w:val="006203E4"/>
    <w:rsid w:val="00620FA7"/>
    <w:rsid w:val="00620FCF"/>
    <w:rsid w:val="006217A0"/>
    <w:rsid w:val="00621A8D"/>
    <w:rsid w:val="00621C4E"/>
    <w:rsid w:val="006224DE"/>
    <w:rsid w:val="00622B67"/>
    <w:rsid w:val="00623032"/>
    <w:rsid w:val="006236DF"/>
    <w:rsid w:val="006243CF"/>
    <w:rsid w:val="00625D9F"/>
    <w:rsid w:val="00625DC6"/>
    <w:rsid w:val="006263B4"/>
    <w:rsid w:val="006264D6"/>
    <w:rsid w:val="00626D5E"/>
    <w:rsid w:val="0062729D"/>
    <w:rsid w:val="00627335"/>
    <w:rsid w:val="006276CA"/>
    <w:rsid w:val="0063035A"/>
    <w:rsid w:val="006310DC"/>
    <w:rsid w:val="006327E7"/>
    <w:rsid w:val="00632871"/>
    <w:rsid w:val="0063334B"/>
    <w:rsid w:val="0063341F"/>
    <w:rsid w:val="006346A8"/>
    <w:rsid w:val="00634A1A"/>
    <w:rsid w:val="006358F4"/>
    <w:rsid w:val="00635B22"/>
    <w:rsid w:val="00636835"/>
    <w:rsid w:val="00637F1B"/>
    <w:rsid w:val="00641554"/>
    <w:rsid w:val="0064343E"/>
    <w:rsid w:val="006434B4"/>
    <w:rsid w:val="0064391D"/>
    <w:rsid w:val="00644871"/>
    <w:rsid w:val="00644E86"/>
    <w:rsid w:val="00645BF9"/>
    <w:rsid w:val="00645F96"/>
    <w:rsid w:val="00646366"/>
    <w:rsid w:val="00646756"/>
    <w:rsid w:val="00647048"/>
    <w:rsid w:val="00647097"/>
    <w:rsid w:val="006478D0"/>
    <w:rsid w:val="00647FFA"/>
    <w:rsid w:val="006508AB"/>
    <w:rsid w:val="00650C10"/>
    <w:rsid w:val="00650D7D"/>
    <w:rsid w:val="00651154"/>
    <w:rsid w:val="006516F4"/>
    <w:rsid w:val="00651821"/>
    <w:rsid w:val="00651BBF"/>
    <w:rsid w:val="00651C8E"/>
    <w:rsid w:val="006528E5"/>
    <w:rsid w:val="00653ACC"/>
    <w:rsid w:val="00654384"/>
    <w:rsid w:val="006549B8"/>
    <w:rsid w:val="00654E96"/>
    <w:rsid w:val="00655726"/>
    <w:rsid w:val="00655740"/>
    <w:rsid w:val="00655981"/>
    <w:rsid w:val="0065605D"/>
    <w:rsid w:val="00656D07"/>
    <w:rsid w:val="00657852"/>
    <w:rsid w:val="0066051A"/>
    <w:rsid w:val="006622B2"/>
    <w:rsid w:val="00662E16"/>
    <w:rsid w:val="006638A1"/>
    <w:rsid w:val="00664AC2"/>
    <w:rsid w:val="006658FB"/>
    <w:rsid w:val="00666A1D"/>
    <w:rsid w:val="0066708E"/>
    <w:rsid w:val="006673D1"/>
    <w:rsid w:val="006675CD"/>
    <w:rsid w:val="00667AD5"/>
    <w:rsid w:val="00670229"/>
    <w:rsid w:val="00670895"/>
    <w:rsid w:val="006712F7"/>
    <w:rsid w:val="0067238D"/>
    <w:rsid w:val="00672B9A"/>
    <w:rsid w:val="006734F8"/>
    <w:rsid w:val="006740B2"/>
    <w:rsid w:val="006740B9"/>
    <w:rsid w:val="00674313"/>
    <w:rsid w:val="006747D5"/>
    <w:rsid w:val="00675985"/>
    <w:rsid w:val="00676412"/>
    <w:rsid w:val="00676B82"/>
    <w:rsid w:val="00676EB4"/>
    <w:rsid w:val="0067715C"/>
    <w:rsid w:val="00677D1F"/>
    <w:rsid w:val="00677E6A"/>
    <w:rsid w:val="006801CC"/>
    <w:rsid w:val="00680888"/>
    <w:rsid w:val="00680BFA"/>
    <w:rsid w:val="00682149"/>
    <w:rsid w:val="006824B8"/>
    <w:rsid w:val="0068349B"/>
    <w:rsid w:val="00683B47"/>
    <w:rsid w:val="00683EB3"/>
    <w:rsid w:val="006843F3"/>
    <w:rsid w:val="00684929"/>
    <w:rsid w:val="006849A7"/>
    <w:rsid w:val="00684D9B"/>
    <w:rsid w:val="0068510A"/>
    <w:rsid w:val="00685BCB"/>
    <w:rsid w:val="006871F5"/>
    <w:rsid w:val="00687CE5"/>
    <w:rsid w:val="0069096F"/>
    <w:rsid w:val="00690C28"/>
    <w:rsid w:val="00690CEF"/>
    <w:rsid w:val="006916E2"/>
    <w:rsid w:val="0069245B"/>
    <w:rsid w:val="00693241"/>
    <w:rsid w:val="00694585"/>
    <w:rsid w:val="00694E6C"/>
    <w:rsid w:val="00694F2E"/>
    <w:rsid w:val="0069546C"/>
    <w:rsid w:val="006956E3"/>
    <w:rsid w:val="00695D46"/>
    <w:rsid w:val="00696F0D"/>
    <w:rsid w:val="00697149"/>
    <w:rsid w:val="00697363"/>
    <w:rsid w:val="00697556"/>
    <w:rsid w:val="00697B84"/>
    <w:rsid w:val="006A0A20"/>
    <w:rsid w:val="006A12EE"/>
    <w:rsid w:val="006A1959"/>
    <w:rsid w:val="006A1B28"/>
    <w:rsid w:val="006A1CA8"/>
    <w:rsid w:val="006A1EB6"/>
    <w:rsid w:val="006A2BF9"/>
    <w:rsid w:val="006A2EDF"/>
    <w:rsid w:val="006A3EFD"/>
    <w:rsid w:val="006A5892"/>
    <w:rsid w:val="006A5ADA"/>
    <w:rsid w:val="006A616B"/>
    <w:rsid w:val="006A72C7"/>
    <w:rsid w:val="006B0C4E"/>
    <w:rsid w:val="006B1B80"/>
    <w:rsid w:val="006B1FDF"/>
    <w:rsid w:val="006B2285"/>
    <w:rsid w:val="006B4081"/>
    <w:rsid w:val="006B4647"/>
    <w:rsid w:val="006B4C2B"/>
    <w:rsid w:val="006B4EB3"/>
    <w:rsid w:val="006B5DFE"/>
    <w:rsid w:val="006B6139"/>
    <w:rsid w:val="006B6194"/>
    <w:rsid w:val="006B63E6"/>
    <w:rsid w:val="006B661E"/>
    <w:rsid w:val="006B6AD5"/>
    <w:rsid w:val="006B6D47"/>
    <w:rsid w:val="006B7078"/>
    <w:rsid w:val="006B719A"/>
    <w:rsid w:val="006B79BC"/>
    <w:rsid w:val="006C0011"/>
    <w:rsid w:val="006C0769"/>
    <w:rsid w:val="006C1949"/>
    <w:rsid w:val="006C1D6E"/>
    <w:rsid w:val="006C1DE9"/>
    <w:rsid w:val="006C1FD7"/>
    <w:rsid w:val="006C262B"/>
    <w:rsid w:val="006C3E16"/>
    <w:rsid w:val="006C4912"/>
    <w:rsid w:val="006C596E"/>
    <w:rsid w:val="006C5AFE"/>
    <w:rsid w:val="006C76DF"/>
    <w:rsid w:val="006C7715"/>
    <w:rsid w:val="006C7AF6"/>
    <w:rsid w:val="006D05CE"/>
    <w:rsid w:val="006D2747"/>
    <w:rsid w:val="006D2AED"/>
    <w:rsid w:val="006D30B1"/>
    <w:rsid w:val="006D40C4"/>
    <w:rsid w:val="006D40C5"/>
    <w:rsid w:val="006D469D"/>
    <w:rsid w:val="006D49E0"/>
    <w:rsid w:val="006D563D"/>
    <w:rsid w:val="006D597A"/>
    <w:rsid w:val="006D5E04"/>
    <w:rsid w:val="006D6406"/>
    <w:rsid w:val="006D6E3A"/>
    <w:rsid w:val="006D7F62"/>
    <w:rsid w:val="006E0A54"/>
    <w:rsid w:val="006E155D"/>
    <w:rsid w:val="006E1EEA"/>
    <w:rsid w:val="006E2FAC"/>
    <w:rsid w:val="006E411D"/>
    <w:rsid w:val="006E4298"/>
    <w:rsid w:val="006E4C15"/>
    <w:rsid w:val="006E4F1F"/>
    <w:rsid w:val="006E5DCF"/>
    <w:rsid w:val="006E5FC3"/>
    <w:rsid w:val="006E72FE"/>
    <w:rsid w:val="006E73C9"/>
    <w:rsid w:val="006E7850"/>
    <w:rsid w:val="006F02E6"/>
    <w:rsid w:val="006F0AFE"/>
    <w:rsid w:val="006F1458"/>
    <w:rsid w:val="006F22B3"/>
    <w:rsid w:val="006F268E"/>
    <w:rsid w:val="006F2EC8"/>
    <w:rsid w:val="006F33A3"/>
    <w:rsid w:val="006F3970"/>
    <w:rsid w:val="006F4824"/>
    <w:rsid w:val="006F5451"/>
    <w:rsid w:val="006F56D0"/>
    <w:rsid w:val="006F5B4E"/>
    <w:rsid w:val="006F5E13"/>
    <w:rsid w:val="006F6B59"/>
    <w:rsid w:val="006F6D95"/>
    <w:rsid w:val="006F70AA"/>
    <w:rsid w:val="006F7178"/>
    <w:rsid w:val="006F7CFE"/>
    <w:rsid w:val="00700D09"/>
    <w:rsid w:val="007019A4"/>
    <w:rsid w:val="007024D5"/>
    <w:rsid w:val="00702937"/>
    <w:rsid w:val="00703486"/>
    <w:rsid w:val="00705F85"/>
    <w:rsid w:val="0070692C"/>
    <w:rsid w:val="00706F13"/>
    <w:rsid w:val="00706FB4"/>
    <w:rsid w:val="007072E8"/>
    <w:rsid w:val="007076FB"/>
    <w:rsid w:val="007109F4"/>
    <w:rsid w:val="00710FF1"/>
    <w:rsid w:val="007110CE"/>
    <w:rsid w:val="0071234B"/>
    <w:rsid w:val="007127EF"/>
    <w:rsid w:val="007134B4"/>
    <w:rsid w:val="00714164"/>
    <w:rsid w:val="00714A31"/>
    <w:rsid w:val="0071618D"/>
    <w:rsid w:val="0072116F"/>
    <w:rsid w:val="007212F8"/>
    <w:rsid w:val="00721534"/>
    <w:rsid w:val="00721756"/>
    <w:rsid w:val="00721A52"/>
    <w:rsid w:val="00721D5B"/>
    <w:rsid w:val="00722B3D"/>
    <w:rsid w:val="00723A41"/>
    <w:rsid w:val="00723CF0"/>
    <w:rsid w:val="00723F65"/>
    <w:rsid w:val="0072420A"/>
    <w:rsid w:val="0072463D"/>
    <w:rsid w:val="00724792"/>
    <w:rsid w:val="00724A10"/>
    <w:rsid w:val="00724C58"/>
    <w:rsid w:val="00724CDA"/>
    <w:rsid w:val="00725A27"/>
    <w:rsid w:val="00725FA4"/>
    <w:rsid w:val="00727B2C"/>
    <w:rsid w:val="00730732"/>
    <w:rsid w:val="00730F10"/>
    <w:rsid w:val="00731511"/>
    <w:rsid w:val="007315F0"/>
    <w:rsid w:val="0073163E"/>
    <w:rsid w:val="007316AC"/>
    <w:rsid w:val="007321CE"/>
    <w:rsid w:val="007322B7"/>
    <w:rsid w:val="0073276B"/>
    <w:rsid w:val="00732E0B"/>
    <w:rsid w:val="00732FDC"/>
    <w:rsid w:val="0073347B"/>
    <w:rsid w:val="00733DD7"/>
    <w:rsid w:val="00733E32"/>
    <w:rsid w:val="007340CC"/>
    <w:rsid w:val="00734187"/>
    <w:rsid w:val="00734C73"/>
    <w:rsid w:val="00734FC2"/>
    <w:rsid w:val="007376B8"/>
    <w:rsid w:val="0074040F"/>
    <w:rsid w:val="00740446"/>
    <w:rsid w:val="00740C8E"/>
    <w:rsid w:val="00741260"/>
    <w:rsid w:val="0074245F"/>
    <w:rsid w:val="0074265D"/>
    <w:rsid w:val="007438A9"/>
    <w:rsid w:val="00743C78"/>
    <w:rsid w:val="00743D24"/>
    <w:rsid w:val="00743E7F"/>
    <w:rsid w:val="007445E0"/>
    <w:rsid w:val="0074482F"/>
    <w:rsid w:val="0074491E"/>
    <w:rsid w:val="00745921"/>
    <w:rsid w:val="00745C85"/>
    <w:rsid w:val="00745E3D"/>
    <w:rsid w:val="00745F76"/>
    <w:rsid w:val="00745FC6"/>
    <w:rsid w:val="00746E56"/>
    <w:rsid w:val="007505B3"/>
    <w:rsid w:val="007511E4"/>
    <w:rsid w:val="00751EEB"/>
    <w:rsid w:val="0075210D"/>
    <w:rsid w:val="0075452E"/>
    <w:rsid w:val="0075578E"/>
    <w:rsid w:val="00755D72"/>
    <w:rsid w:val="00755DEE"/>
    <w:rsid w:val="007560E9"/>
    <w:rsid w:val="00756B68"/>
    <w:rsid w:val="007602F3"/>
    <w:rsid w:val="007603D6"/>
    <w:rsid w:val="00761244"/>
    <w:rsid w:val="0076163F"/>
    <w:rsid w:val="0076165B"/>
    <w:rsid w:val="0076247A"/>
    <w:rsid w:val="00762FB0"/>
    <w:rsid w:val="00763175"/>
    <w:rsid w:val="00763381"/>
    <w:rsid w:val="00763468"/>
    <w:rsid w:val="00763B07"/>
    <w:rsid w:val="0076488C"/>
    <w:rsid w:val="00764CB3"/>
    <w:rsid w:val="00765FEA"/>
    <w:rsid w:val="00767391"/>
    <w:rsid w:val="0076778A"/>
    <w:rsid w:val="00767FCE"/>
    <w:rsid w:val="007705CD"/>
    <w:rsid w:val="00772150"/>
    <w:rsid w:val="007732E2"/>
    <w:rsid w:val="00773E35"/>
    <w:rsid w:val="0077447C"/>
    <w:rsid w:val="00774ABE"/>
    <w:rsid w:val="007758AF"/>
    <w:rsid w:val="00775964"/>
    <w:rsid w:val="00776099"/>
    <w:rsid w:val="0077639F"/>
    <w:rsid w:val="00776466"/>
    <w:rsid w:val="007765FE"/>
    <w:rsid w:val="007766B3"/>
    <w:rsid w:val="00777117"/>
    <w:rsid w:val="00777163"/>
    <w:rsid w:val="007774A1"/>
    <w:rsid w:val="00780739"/>
    <w:rsid w:val="00780ECA"/>
    <w:rsid w:val="00781210"/>
    <w:rsid w:val="00781414"/>
    <w:rsid w:val="00781E1A"/>
    <w:rsid w:val="00781EBA"/>
    <w:rsid w:val="00782822"/>
    <w:rsid w:val="007838B1"/>
    <w:rsid w:val="00785664"/>
    <w:rsid w:val="00785678"/>
    <w:rsid w:val="00786DA1"/>
    <w:rsid w:val="00787C1E"/>
    <w:rsid w:val="00787E5A"/>
    <w:rsid w:val="00790123"/>
    <w:rsid w:val="00790375"/>
    <w:rsid w:val="007910F2"/>
    <w:rsid w:val="00791901"/>
    <w:rsid w:val="00791DC8"/>
    <w:rsid w:val="007923A0"/>
    <w:rsid w:val="007928B7"/>
    <w:rsid w:val="00793207"/>
    <w:rsid w:val="00793C5D"/>
    <w:rsid w:val="007947D7"/>
    <w:rsid w:val="00794E2E"/>
    <w:rsid w:val="00795373"/>
    <w:rsid w:val="00795AB3"/>
    <w:rsid w:val="00795BFB"/>
    <w:rsid w:val="007969B5"/>
    <w:rsid w:val="00797811"/>
    <w:rsid w:val="007A060C"/>
    <w:rsid w:val="007A3FFA"/>
    <w:rsid w:val="007A50BA"/>
    <w:rsid w:val="007A590A"/>
    <w:rsid w:val="007A5CD1"/>
    <w:rsid w:val="007A5E57"/>
    <w:rsid w:val="007A5E60"/>
    <w:rsid w:val="007A6097"/>
    <w:rsid w:val="007A6765"/>
    <w:rsid w:val="007A75EE"/>
    <w:rsid w:val="007B0F90"/>
    <w:rsid w:val="007B0FAC"/>
    <w:rsid w:val="007B100F"/>
    <w:rsid w:val="007B115A"/>
    <w:rsid w:val="007B1BD6"/>
    <w:rsid w:val="007B1CF5"/>
    <w:rsid w:val="007B2257"/>
    <w:rsid w:val="007B263E"/>
    <w:rsid w:val="007B2725"/>
    <w:rsid w:val="007B2760"/>
    <w:rsid w:val="007B2802"/>
    <w:rsid w:val="007B2BBA"/>
    <w:rsid w:val="007B357B"/>
    <w:rsid w:val="007B3FF0"/>
    <w:rsid w:val="007B5106"/>
    <w:rsid w:val="007B53E9"/>
    <w:rsid w:val="007B564B"/>
    <w:rsid w:val="007B583A"/>
    <w:rsid w:val="007B5CF2"/>
    <w:rsid w:val="007B5D78"/>
    <w:rsid w:val="007B5E07"/>
    <w:rsid w:val="007B654A"/>
    <w:rsid w:val="007B71EE"/>
    <w:rsid w:val="007B77CE"/>
    <w:rsid w:val="007B7F5E"/>
    <w:rsid w:val="007C0C5A"/>
    <w:rsid w:val="007C0C63"/>
    <w:rsid w:val="007C0FCB"/>
    <w:rsid w:val="007C1067"/>
    <w:rsid w:val="007C127E"/>
    <w:rsid w:val="007C1286"/>
    <w:rsid w:val="007C13CF"/>
    <w:rsid w:val="007C1B10"/>
    <w:rsid w:val="007C1C3C"/>
    <w:rsid w:val="007C2407"/>
    <w:rsid w:val="007C271C"/>
    <w:rsid w:val="007C3258"/>
    <w:rsid w:val="007C40CF"/>
    <w:rsid w:val="007C585E"/>
    <w:rsid w:val="007C5B24"/>
    <w:rsid w:val="007C79E3"/>
    <w:rsid w:val="007D21CD"/>
    <w:rsid w:val="007D3B8A"/>
    <w:rsid w:val="007D4036"/>
    <w:rsid w:val="007D49D7"/>
    <w:rsid w:val="007D4FF1"/>
    <w:rsid w:val="007D5836"/>
    <w:rsid w:val="007D656F"/>
    <w:rsid w:val="007D685B"/>
    <w:rsid w:val="007D69D2"/>
    <w:rsid w:val="007D6B92"/>
    <w:rsid w:val="007D763D"/>
    <w:rsid w:val="007D79DD"/>
    <w:rsid w:val="007D7CD5"/>
    <w:rsid w:val="007E0269"/>
    <w:rsid w:val="007E02C4"/>
    <w:rsid w:val="007E09A4"/>
    <w:rsid w:val="007E1112"/>
    <w:rsid w:val="007E1B30"/>
    <w:rsid w:val="007E1BEB"/>
    <w:rsid w:val="007E3D47"/>
    <w:rsid w:val="007E4040"/>
    <w:rsid w:val="007E44F5"/>
    <w:rsid w:val="007E4A8E"/>
    <w:rsid w:val="007E51DB"/>
    <w:rsid w:val="007E5792"/>
    <w:rsid w:val="007E5B81"/>
    <w:rsid w:val="007E5C90"/>
    <w:rsid w:val="007E5CF8"/>
    <w:rsid w:val="007E640C"/>
    <w:rsid w:val="007E642D"/>
    <w:rsid w:val="007E66B1"/>
    <w:rsid w:val="007E6C4A"/>
    <w:rsid w:val="007E71A4"/>
    <w:rsid w:val="007E797F"/>
    <w:rsid w:val="007E7A97"/>
    <w:rsid w:val="007F0253"/>
    <w:rsid w:val="007F0328"/>
    <w:rsid w:val="007F09CF"/>
    <w:rsid w:val="007F1280"/>
    <w:rsid w:val="007F236B"/>
    <w:rsid w:val="007F28B1"/>
    <w:rsid w:val="007F313C"/>
    <w:rsid w:val="007F4BFD"/>
    <w:rsid w:val="007F61C0"/>
    <w:rsid w:val="007F6527"/>
    <w:rsid w:val="007F6926"/>
    <w:rsid w:val="007F6C99"/>
    <w:rsid w:val="007F7C1B"/>
    <w:rsid w:val="00800D21"/>
    <w:rsid w:val="00801F33"/>
    <w:rsid w:val="00802255"/>
    <w:rsid w:val="00802E44"/>
    <w:rsid w:val="00803071"/>
    <w:rsid w:val="0080401E"/>
    <w:rsid w:val="008043BB"/>
    <w:rsid w:val="00804D2E"/>
    <w:rsid w:val="00804DDE"/>
    <w:rsid w:val="00804FEF"/>
    <w:rsid w:val="00806549"/>
    <w:rsid w:val="00806668"/>
    <w:rsid w:val="00806C01"/>
    <w:rsid w:val="00806DD1"/>
    <w:rsid w:val="008072DF"/>
    <w:rsid w:val="00807FA5"/>
    <w:rsid w:val="008102CC"/>
    <w:rsid w:val="008104D6"/>
    <w:rsid w:val="0081072B"/>
    <w:rsid w:val="00810A93"/>
    <w:rsid w:val="00810B35"/>
    <w:rsid w:val="0081116D"/>
    <w:rsid w:val="00811D3E"/>
    <w:rsid w:val="008126C3"/>
    <w:rsid w:val="00812BAE"/>
    <w:rsid w:val="00813A44"/>
    <w:rsid w:val="0081468B"/>
    <w:rsid w:val="008148CC"/>
    <w:rsid w:val="00814E5A"/>
    <w:rsid w:val="008156B9"/>
    <w:rsid w:val="008163D8"/>
    <w:rsid w:val="008167FC"/>
    <w:rsid w:val="008170E2"/>
    <w:rsid w:val="00817731"/>
    <w:rsid w:val="00820205"/>
    <w:rsid w:val="0082024A"/>
    <w:rsid w:val="008211A4"/>
    <w:rsid w:val="00821986"/>
    <w:rsid w:val="008223A2"/>
    <w:rsid w:val="00822961"/>
    <w:rsid w:val="0082311D"/>
    <w:rsid w:val="00823354"/>
    <w:rsid w:val="008237CA"/>
    <w:rsid w:val="00824A74"/>
    <w:rsid w:val="008251BC"/>
    <w:rsid w:val="00826A6F"/>
    <w:rsid w:val="00826E96"/>
    <w:rsid w:val="0082743B"/>
    <w:rsid w:val="0082762C"/>
    <w:rsid w:val="008276D9"/>
    <w:rsid w:val="00830FF0"/>
    <w:rsid w:val="0083140E"/>
    <w:rsid w:val="00831609"/>
    <w:rsid w:val="008317C2"/>
    <w:rsid w:val="008318F6"/>
    <w:rsid w:val="00831A7D"/>
    <w:rsid w:val="00831D52"/>
    <w:rsid w:val="00832D90"/>
    <w:rsid w:val="00834EFB"/>
    <w:rsid w:val="0083545A"/>
    <w:rsid w:val="00836E5E"/>
    <w:rsid w:val="00837902"/>
    <w:rsid w:val="00837AD4"/>
    <w:rsid w:val="00837D2A"/>
    <w:rsid w:val="00840277"/>
    <w:rsid w:val="008413A4"/>
    <w:rsid w:val="00841B92"/>
    <w:rsid w:val="00841D80"/>
    <w:rsid w:val="00842049"/>
    <w:rsid w:val="00842644"/>
    <w:rsid w:val="00842BD5"/>
    <w:rsid w:val="008434EE"/>
    <w:rsid w:val="00843B3A"/>
    <w:rsid w:val="00843DAD"/>
    <w:rsid w:val="00844329"/>
    <w:rsid w:val="008444C9"/>
    <w:rsid w:val="008459C6"/>
    <w:rsid w:val="00845A9E"/>
    <w:rsid w:val="00845BAD"/>
    <w:rsid w:val="00845F2C"/>
    <w:rsid w:val="0084693A"/>
    <w:rsid w:val="0084761B"/>
    <w:rsid w:val="0084781D"/>
    <w:rsid w:val="00847CB6"/>
    <w:rsid w:val="008501FC"/>
    <w:rsid w:val="008511DC"/>
    <w:rsid w:val="00851CD1"/>
    <w:rsid w:val="00851DD1"/>
    <w:rsid w:val="00854203"/>
    <w:rsid w:val="0085590F"/>
    <w:rsid w:val="0085640E"/>
    <w:rsid w:val="008567D4"/>
    <w:rsid w:val="00857229"/>
    <w:rsid w:val="0085733E"/>
    <w:rsid w:val="008603A7"/>
    <w:rsid w:val="00861829"/>
    <w:rsid w:val="00862463"/>
    <w:rsid w:val="008625B3"/>
    <w:rsid w:val="00862786"/>
    <w:rsid w:val="00862E48"/>
    <w:rsid w:val="00863A37"/>
    <w:rsid w:val="00863AB8"/>
    <w:rsid w:val="00864C35"/>
    <w:rsid w:val="00864F48"/>
    <w:rsid w:val="00865BDA"/>
    <w:rsid w:val="00866DF9"/>
    <w:rsid w:val="00870417"/>
    <w:rsid w:val="008704BE"/>
    <w:rsid w:val="00870648"/>
    <w:rsid w:val="00870B1F"/>
    <w:rsid w:val="0087143B"/>
    <w:rsid w:val="00872037"/>
    <w:rsid w:val="008723DD"/>
    <w:rsid w:val="00872517"/>
    <w:rsid w:val="00873150"/>
    <w:rsid w:val="008734E9"/>
    <w:rsid w:val="00873FF9"/>
    <w:rsid w:val="00874329"/>
    <w:rsid w:val="00874613"/>
    <w:rsid w:val="008749DE"/>
    <w:rsid w:val="00874F4D"/>
    <w:rsid w:val="008756EE"/>
    <w:rsid w:val="00875B5E"/>
    <w:rsid w:val="00875DCA"/>
    <w:rsid w:val="00876557"/>
    <w:rsid w:val="0087657D"/>
    <w:rsid w:val="00876B8B"/>
    <w:rsid w:val="00877BB5"/>
    <w:rsid w:val="008800E4"/>
    <w:rsid w:val="008807D5"/>
    <w:rsid w:val="00880832"/>
    <w:rsid w:val="008808F2"/>
    <w:rsid w:val="00881A25"/>
    <w:rsid w:val="00881CED"/>
    <w:rsid w:val="008822EA"/>
    <w:rsid w:val="008824C7"/>
    <w:rsid w:val="0088369F"/>
    <w:rsid w:val="008836A4"/>
    <w:rsid w:val="0088389F"/>
    <w:rsid w:val="00884D80"/>
    <w:rsid w:val="00885D8E"/>
    <w:rsid w:val="00885E02"/>
    <w:rsid w:val="008869C7"/>
    <w:rsid w:val="00886D19"/>
    <w:rsid w:val="00886EE1"/>
    <w:rsid w:val="0088727D"/>
    <w:rsid w:val="00887F31"/>
    <w:rsid w:val="008902C7"/>
    <w:rsid w:val="00890BC2"/>
    <w:rsid w:val="00891A07"/>
    <w:rsid w:val="00892AC3"/>
    <w:rsid w:val="00892DD7"/>
    <w:rsid w:val="00892F2C"/>
    <w:rsid w:val="00893069"/>
    <w:rsid w:val="008932B1"/>
    <w:rsid w:val="008932E1"/>
    <w:rsid w:val="0089340F"/>
    <w:rsid w:val="00893EF3"/>
    <w:rsid w:val="008944D2"/>
    <w:rsid w:val="00894B89"/>
    <w:rsid w:val="00895326"/>
    <w:rsid w:val="0089612C"/>
    <w:rsid w:val="008961F9"/>
    <w:rsid w:val="00896478"/>
    <w:rsid w:val="00896F62"/>
    <w:rsid w:val="00897157"/>
    <w:rsid w:val="008972F0"/>
    <w:rsid w:val="00897423"/>
    <w:rsid w:val="00897429"/>
    <w:rsid w:val="00897C27"/>
    <w:rsid w:val="00897C75"/>
    <w:rsid w:val="00897DEA"/>
    <w:rsid w:val="008A0E24"/>
    <w:rsid w:val="008A0F70"/>
    <w:rsid w:val="008A1221"/>
    <w:rsid w:val="008A1234"/>
    <w:rsid w:val="008A1461"/>
    <w:rsid w:val="008A1EDB"/>
    <w:rsid w:val="008A2565"/>
    <w:rsid w:val="008A2732"/>
    <w:rsid w:val="008A3B48"/>
    <w:rsid w:val="008A4148"/>
    <w:rsid w:val="008A4BD9"/>
    <w:rsid w:val="008A4E90"/>
    <w:rsid w:val="008A52CD"/>
    <w:rsid w:val="008A5B21"/>
    <w:rsid w:val="008A6101"/>
    <w:rsid w:val="008A66C8"/>
    <w:rsid w:val="008A6BE9"/>
    <w:rsid w:val="008A6EE3"/>
    <w:rsid w:val="008A7040"/>
    <w:rsid w:val="008A7669"/>
    <w:rsid w:val="008B112D"/>
    <w:rsid w:val="008B1869"/>
    <w:rsid w:val="008B1CE2"/>
    <w:rsid w:val="008B1E84"/>
    <w:rsid w:val="008B21A6"/>
    <w:rsid w:val="008B2CEF"/>
    <w:rsid w:val="008B2EAF"/>
    <w:rsid w:val="008B2F83"/>
    <w:rsid w:val="008B3A34"/>
    <w:rsid w:val="008B3AEF"/>
    <w:rsid w:val="008B401A"/>
    <w:rsid w:val="008B4E82"/>
    <w:rsid w:val="008B502D"/>
    <w:rsid w:val="008B61E5"/>
    <w:rsid w:val="008B6760"/>
    <w:rsid w:val="008B6CFD"/>
    <w:rsid w:val="008B7707"/>
    <w:rsid w:val="008B799B"/>
    <w:rsid w:val="008C0C6E"/>
    <w:rsid w:val="008C0DB6"/>
    <w:rsid w:val="008C1097"/>
    <w:rsid w:val="008C1130"/>
    <w:rsid w:val="008C1914"/>
    <w:rsid w:val="008C3591"/>
    <w:rsid w:val="008C4758"/>
    <w:rsid w:val="008C52D7"/>
    <w:rsid w:val="008C54CC"/>
    <w:rsid w:val="008C6406"/>
    <w:rsid w:val="008C6D97"/>
    <w:rsid w:val="008C713B"/>
    <w:rsid w:val="008C76A2"/>
    <w:rsid w:val="008C7A64"/>
    <w:rsid w:val="008D0647"/>
    <w:rsid w:val="008D13D1"/>
    <w:rsid w:val="008D180C"/>
    <w:rsid w:val="008D18E6"/>
    <w:rsid w:val="008D19C9"/>
    <w:rsid w:val="008D1DC5"/>
    <w:rsid w:val="008D2566"/>
    <w:rsid w:val="008D2C6D"/>
    <w:rsid w:val="008D3144"/>
    <w:rsid w:val="008D4226"/>
    <w:rsid w:val="008D4760"/>
    <w:rsid w:val="008D4F64"/>
    <w:rsid w:val="008D6C3C"/>
    <w:rsid w:val="008D6D03"/>
    <w:rsid w:val="008D6E38"/>
    <w:rsid w:val="008D712B"/>
    <w:rsid w:val="008D7A9B"/>
    <w:rsid w:val="008D7C8F"/>
    <w:rsid w:val="008E0060"/>
    <w:rsid w:val="008E0A28"/>
    <w:rsid w:val="008E0F2A"/>
    <w:rsid w:val="008E1090"/>
    <w:rsid w:val="008E121C"/>
    <w:rsid w:val="008E1E53"/>
    <w:rsid w:val="008E3984"/>
    <w:rsid w:val="008E40FE"/>
    <w:rsid w:val="008E445E"/>
    <w:rsid w:val="008E4655"/>
    <w:rsid w:val="008E4F46"/>
    <w:rsid w:val="008E4F4C"/>
    <w:rsid w:val="008E53B6"/>
    <w:rsid w:val="008E57B9"/>
    <w:rsid w:val="008E609A"/>
    <w:rsid w:val="008E6687"/>
    <w:rsid w:val="008E6BC2"/>
    <w:rsid w:val="008E6D31"/>
    <w:rsid w:val="008E7091"/>
    <w:rsid w:val="008E76AC"/>
    <w:rsid w:val="008E76D4"/>
    <w:rsid w:val="008F03AC"/>
    <w:rsid w:val="008F110E"/>
    <w:rsid w:val="008F171F"/>
    <w:rsid w:val="008F1EB1"/>
    <w:rsid w:val="008F1FDC"/>
    <w:rsid w:val="008F21F6"/>
    <w:rsid w:val="008F2BA3"/>
    <w:rsid w:val="008F2EB0"/>
    <w:rsid w:val="008F44D5"/>
    <w:rsid w:val="008F6824"/>
    <w:rsid w:val="008F6FA2"/>
    <w:rsid w:val="008F72E0"/>
    <w:rsid w:val="008F77A3"/>
    <w:rsid w:val="008F7990"/>
    <w:rsid w:val="00900D5E"/>
    <w:rsid w:val="00900E75"/>
    <w:rsid w:val="00901457"/>
    <w:rsid w:val="00901DFC"/>
    <w:rsid w:val="00902F64"/>
    <w:rsid w:val="00903386"/>
    <w:rsid w:val="0090351F"/>
    <w:rsid w:val="009043F0"/>
    <w:rsid w:val="009045B3"/>
    <w:rsid w:val="009049C5"/>
    <w:rsid w:val="00904A12"/>
    <w:rsid w:val="00905316"/>
    <w:rsid w:val="00906A2D"/>
    <w:rsid w:val="00906C61"/>
    <w:rsid w:val="00906C67"/>
    <w:rsid w:val="0090795E"/>
    <w:rsid w:val="00910AA0"/>
    <w:rsid w:val="00911001"/>
    <w:rsid w:val="009113F1"/>
    <w:rsid w:val="00911F4D"/>
    <w:rsid w:val="00912FBA"/>
    <w:rsid w:val="00913501"/>
    <w:rsid w:val="0091359D"/>
    <w:rsid w:val="00914F06"/>
    <w:rsid w:val="009165C7"/>
    <w:rsid w:val="009167B0"/>
    <w:rsid w:val="009170AF"/>
    <w:rsid w:val="00917201"/>
    <w:rsid w:val="00917215"/>
    <w:rsid w:val="00917367"/>
    <w:rsid w:val="00917439"/>
    <w:rsid w:val="009174E7"/>
    <w:rsid w:val="009175DC"/>
    <w:rsid w:val="0092058F"/>
    <w:rsid w:val="00920663"/>
    <w:rsid w:val="00921D03"/>
    <w:rsid w:val="00922533"/>
    <w:rsid w:val="00923B14"/>
    <w:rsid w:val="00925993"/>
    <w:rsid w:val="00926475"/>
    <w:rsid w:val="0092659D"/>
    <w:rsid w:val="00926CE2"/>
    <w:rsid w:val="00930004"/>
    <w:rsid w:val="00930543"/>
    <w:rsid w:val="00931ADD"/>
    <w:rsid w:val="00931BC6"/>
    <w:rsid w:val="00931E01"/>
    <w:rsid w:val="00932806"/>
    <w:rsid w:val="0093297A"/>
    <w:rsid w:val="00932B77"/>
    <w:rsid w:val="00933800"/>
    <w:rsid w:val="00933E6D"/>
    <w:rsid w:val="009345F9"/>
    <w:rsid w:val="009351BF"/>
    <w:rsid w:val="00935218"/>
    <w:rsid w:val="00935DAD"/>
    <w:rsid w:val="00936488"/>
    <w:rsid w:val="009364F2"/>
    <w:rsid w:val="00937074"/>
    <w:rsid w:val="009378A7"/>
    <w:rsid w:val="0094100A"/>
    <w:rsid w:val="0094147E"/>
    <w:rsid w:val="00941F9A"/>
    <w:rsid w:val="00942327"/>
    <w:rsid w:val="009427D5"/>
    <w:rsid w:val="0094299F"/>
    <w:rsid w:val="0094356E"/>
    <w:rsid w:val="00943CA7"/>
    <w:rsid w:val="00943FA1"/>
    <w:rsid w:val="0094447D"/>
    <w:rsid w:val="00944E18"/>
    <w:rsid w:val="00944E53"/>
    <w:rsid w:val="0094513B"/>
    <w:rsid w:val="0094611D"/>
    <w:rsid w:val="00946187"/>
    <w:rsid w:val="009471C3"/>
    <w:rsid w:val="009475AC"/>
    <w:rsid w:val="009477EF"/>
    <w:rsid w:val="00950009"/>
    <w:rsid w:val="00950BFC"/>
    <w:rsid w:val="009515E9"/>
    <w:rsid w:val="009516B1"/>
    <w:rsid w:val="0095183F"/>
    <w:rsid w:val="00951925"/>
    <w:rsid w:val="00951F79"/>
    <w:rsid w:val="009529A6"/>
    <w:rsid w:val="009533E2"/>
    <w:rsid w:val="00953E66"/>
    <w:rsid w:val="00954404"/>
    <w:rsid w:val="00954C36"/>
    <w:rsid w:val="00954EB1"/>
    <w:rsid w:val="00955F64"/>
    <w:rsid w:val="00956377"/>
    <w:rsid w:val="00956380"/>
    <w:rsid w:val="00956446"/>
    <w:rsid w:val="009564CD"/>
    <w:rsid w:val="0095745C"/>
    <w:rsid w:val="00957503"/>
    <w:rsid w:val="00960324"/>
    <w:rsid w:val="00961863"/>
    <w:rsid w:val="00961EAC"/>
    <w:rsid w:val="0096279C"/>
    <w:rsid w:val="009628CC"/>
    <w:rsid w:val="00962972"/>
    <w:rsid w:val="0096342A"/>
    <w:rsid w:val="009635AE"/>
    <w:rsid w:val="00963985"/>
    <w:rsid w:val="00963F4E"/>
    <w:rsid w:val="00964BE8"/>
    <w:rsid w:val="00965EE3"/>
    <w:rsid w:val="0096697E"/>
    <w:rsid w:val="00966FFF"/>
    <w:rsid w:val="00967498"/>
    <w:rsid w:val="00967D25"/>
    <w:rsid w:val="00970276"/>
    <w:rsid w:val="009703FA"/>
    <w:rsid w:val="00970ADD"/>
    <w:rsid w:val="00970B14"/>
    <w:rsid w:val="00971CC1"/>
    <w:rsid w:val="009725AB"/>
    <w:rsid w:val="0097323A"/>
    <w:rsid w:val="009733BB"/>
    <w:rsid w:val="009739A5"/>
    <w:rsid w:val="00974136"/>
    <w:rsid w:val="00974291"/>
    <w:rsid w:val="0097499D"/>
    <w:rsid w:val="00974AB5"/>
    <w:rsid w:val="00975624"/>
    <w:rsid w:val="00976A4D"/>
    <w:rsid w:val="00976EC7"/>
    <w:rsid w:val="00976FD7"/>
    <w:rsid w:val="00977932"/>
    <w:rsid w:val="00980152"/>
    <w:rsid w:val="0098076F"/>
    <w:rsid w:val="00981832"/>
    <w:rsid w:val="009819E2"/>
    <w:rsid w:val="009820D7"/>
    <w:rsid w:val="00982701"/>
    <w:rsid w:val="0098286E"/>
    <w:rsid w:val="00982A7B"/>
    <w:rsid w:val="00982FE1"/>
    <w:rsid w:val="009843A8"/>
    <w:rsid w:val="009844C9"/>
    <w:rsid w:val="00984754"/>
    <w:rsid w:val="00984813"/>
    <w:rsid w:val="009851BF"/>
    <w:rsid w:val="009851CD"/>
    <w:rsid w:val="009861C0"/>
    <w:rsid w:val="009866EC"/>
    <w:rsid w:val="00986A5E"/>
    <w:rsid w:val="0098706D"/>
    <w:rsid w:val="0098764A"/>
    <w:rsid w:val="00987BDD"/>
    <w:rsid w:val="0099061A"/>
    <w:rsid w:val="00991B54"/>
    <w:rsid w:val="00991CB0"/>
    <w:rsid w:val="009935FB"/>
    <w:rsid w:val="009961D4"/>
    <w:rsid w:val="00996E66"/>
    <w:rsid w:val="009971F5"/>
    <w:rsid w:val="00997985"/>
    <w:rsid w:val="00997E69"/>
    <w:rsid w:val="009A0187"/>
    <w:rsid w:val="009A0748"/>
    <w:rsid w:val="009A0A35"/>
    <w:rsid w:val="009A1DBD"/>
    <w:rsid w:val="009A235E"/>
    <w:rsid w:val="009A2611"/>
    <w:rsid w:val="009A3863"/>
    <w:rsid w:val="009A38F6"/>
    <w:rsid w:val="009A39AF"/>
    <w:rsid w:val="009A3B73"/>
    <w:rsid w:val="009A3D21"/>
    <w:rsid w:val="009A3DAA"/>
    <w:rsid w:val="009A482E"/>
    <w:rsid w:val="009A4D1C"/>
    <w:rsid w:val="009A4F41"/>
    <w:rsid w:val="009A4FD2"/>
    <w:rsid w:val="009A513C"/>
    <w:rsid w:val="009A5484"/>
    <w:rsid w:val="009A5DB8"/>
    <w:rsid w:val="009A5DEE"/>
    <w:rsid w:val="009A6C9D"/>
    <w:rsid w:val="009A70B8"/>
    <w:rsid w:val="009A73EC"/>
    <w:rsid w:val="009B04E3"/>
    <w:rsid w:val="009B079A"/>
    <w:rsid w:val="009B1328"/>
    <w:rsid w:val="009B1AB3"/>
    <w:rsid w:val="009B1C54"/>
    <w:rsid w:val="009B303D"/>
    <w:rsid w:val="009B3238"/>
    <w:rsid w:val="009B3D67"/>
    <w:rsid w:val="009B45B2"/>
    <w:rsid w:val="009B4F8D"/>
    <w:rsid w:val="009B509F"/>
    <w:rsid w:val="009B5752"/>
    <w:rsid w:val="009B57CC"/>
    <w:rsid w:val="009B57F5"/>
    <w:rsid w:val="009B7199"/>
    <w:rsid w:val="009C07D5"/>
    <w:rsid w:val="009C1527"/>
    <w:rsid w:val="009C15AD"/>
    <w:rsid w:val="009C167B"/>
    <w:rsid w:val="009C17D3"/>
    <w:rsid w:val="009C1933"/>
    <w:rsid w:val="009C1AAA"/>
    <w:rsid w:val="009C1E4E"/>
    <w:rsid w:val="009C1EF5"/>
    <w:rsid w:val="009C2AF0"/>
    <w:rsid w:val="009C2DD3"/>
    <w:rsid w:val="009C2E90"/>
    <w:rsid w:val="009C3DB8"/>
    <w:rsid w:val="009C3E52"/>
    <w:rsid w:val="009C422B"/>
    <w:rsid w:val="009C5BC8"/>
    <w:rsid w:val="009C5D8F"/>
    <w:rsid w:val="009C5F4D"/>
    <w:rsid w:val="009C60D5"/>
    <w:rsid w:val="009C6FF8"/>
    <w:rsid w:val="009C71DA"/>
    <w:rsid w:val="009C73A9"/>
    <w:rsid w:val="009C7500"/>
    <w:rsid w:val="009C7987"/>
    <w:rsid w:val="009C7F03"/>
    <w:rsid w:val="009C7F29"/>
    <w:rsid w:val="009D191F"/>
    <w:rsid w:val="009D23BC"/>
    <w:rsid w:val="009D26E5"/>
    <w:rsid w:val="009D2A09"/>
    <w:rsid w:val="009D2B19"/>
    <w:rsid w:val="009D3A24"/>
    <w:rsid w:val="009D3C00"/>
    <w:rsid w:val="009D3C4B"/>
    <w:rsid w:val="009D418B"/>
    <w:rsid w:val="009D457E"/>
    <w:rsid w:val="009D4626"/>
    <w:rsid w:val="009D54B1"/>
    <w:rsid w:val="009D5565"/>
    <w:rsid w:val="009D67FF"/>
    <w:rsid w:val="009D754C"/>
    <w:rsid w:val="009D75F9"/>
    <w:rsid w:val="009D7709"/>
    <w:rsid w:val="009D7A3A"/>
    <w:rsid w:val="009E00E9"/>
    <w:rsid w:val="009E06C2"/>
    <w:rsid w:val="009E1320"/>
    <w:rsid w:val="009E1EB8"/>
    <w:rsid w:val="009E2A99"/>
    <w:rsid w:val="009E3023"/>
    <w:rsid w:val="009E3D1C"/>
    <w:rsid w:val="009E5113"/>
    <w:rsid w:val="009E5521"/>
    <w:rsid w:val="009E5968"/>
    <w:rsid w:val="009E5B91"/>
    <w:rsid w:val="009E5BC5"/>
    <w:rsid w:val="009E6C3E"/>
    <w:rsid w:val="009E7664"/>
    <w:rsid w:val="009E7922"/>
    <w:rsid w:val="009F0489"/>
    <w:rsid w:val="009F0AA1"/>
    <w:rsid w:val="009F0CEE"/>
    <w:rsid w:val="009F15BD"/>
    <w:rsid w:val="009F252B"/>
    <w:rsid w:val="009F2A1A"/>
    <w:rsid w:val="009F41F8"/>
    <w:rsid w:val="009F457C"/>
    <w:rsid w:val="009F4749"/>
    <w:rsid w:val="009F47F4"/>
    <w:rsid w:val="009F4A54"/>
    <w:rsid w:val="009F4BEC"/>
    <w:rsid w:val="009F4F37"/>
    <w:rsid w:val="009F553B"/>
    <w:rsid w:val="009F5874"/>
    <w:rsid w:val="009F59FE"/>
    <w:rsid w:val="009F5A0B"/>
    <w:rsid w:val="009F6438"/>
    <w:rsid w:val="009F67FD"/>
    <w:rsid w:val="009F70A5"/>
    <w:rsid w:val="009F7782"/>
    <w:rsid w:val="00A01B8C"/>
    <w:rsid w:val="00A024DD"/>
    <w:rsid w:val="00A026F7"/>
    <w:rsid w:val="00A032F3"/>
    <w:rsid w:val="00A0333E"/>
    <w:rsid w:val="00A0436C"/>
    <w:rsid w:val="00A045AB"/>
    <w:rsid w:val="00A04D18"/>
    <w:rsid w:val="00A0515F"/>
    <w:rsid w:val="00A060A1"/>
    <w:rsid w:val="00A061FC"/>
    <w:rsid w:val="00A06C25"/>
    <w:rsid w:val="00A0708C"/>
    <w:rsid w:val="00A07643"/>
    <w:rsid w:val="00A10393"/>
    <w:rsid w:val="00A10857"/>
    <w:rsid w:val="00A11576"/>
    <w:rsid w:val="00A12211"/>
    <w:rsid w:val="00A122C5"/>
    <w:rsid w:val="00A1289C"/>
    <w:rsid w:val="00A14044"/>
    <w:rsid w:val="00A144D4"/>
    <w:rsid w:val="00A1479B"/>
    <w:rsid w:val="00A14819"/>
    <w:rsid w:val="00A149A3"/>
    <w:rsid w:val="00A16479"/>
    <w:rsid w:val="00A16A3E"/>
    <w:rsid w:val="00A1772B"/>
    <w:rsid w:val="00A177D8"/>
    <w:rsid w:val="00A17835"/>
    <w:rsid w:val="00A17CA6"/>
    <w:rsid w:val="00A17E5E"/>
    <w:rsid w:val="00A2261B"/>
    <w:rsid w:val="00A23DA6"/>
    <w:rsid w:val="00A240CB"/>
    <w:rsid w:val="00A242BD"/>
    <w:rsid w:val="00A242DE"/>
    <w:rsid w:val="00A2447C"/>
    <w:rsid w:val="00A2477A"/>
    <w:rsid w:val="00A24CB4"/>
    <w:rsid w:val="00A25FD7"/>
    <w:rsid w:val="00A26DEA"/>
    <w:rsid w:val="00A306C4"/>
    <w:rsid w:val="00A307F8"/>
    <w:rsid w:val="00A30E95"/>
    <w:rsid w:val="00A31B8C"/>
    <w:rsid w:val="00A33243"/>
    <w:rsid w:val="00A3552A"/>
    <w:rsid w:val="00A366F9"/>
    <w:rsid w:val="00A36F36"/>
    <w:rsid w:val="00A3728A"/>
    <w:rsid w:val="00A37622"/>
    <w:rsid w:val="00A3773C"/>
    <w:rsid w:val="00A378C7"/>
    <w:rsid w:val="00A40669"/>
    <w:rsid w:val="00A40880"/>
    <w:rsid w:val="00A40915"/>
    <w:rsid w:val="00A409EA"/>
    <w:rsid w:val="00A40B9A"/>
    <w:rsid w:val="00A42AF5"/>
    <w:rsid w:val="00A43041"/>
    <w:rsid w:val="00A438E7"/>
    <w:rsid w:val="00A43AFF"/>
    <w:rsid w:val="00A45234"/>
    <w:rsid w:val="00A454E3"/>
    <w:rsid w:val="00A46303"/>
    <w:rsid w:val="00A4635F"/>
    <w:rsid w:val="00A46411"/>
    <w:rsid w:val="00A47A7E"/>
    <w:rsid w:val="00A50952"/>
    <w:rsid w:val="00A50F78"/>
    <w:rsid w:val="00A50FF1"/>
    <w:rsid w:val="00A51DA4"/>
    <w:rsid w:val="00A52334"/>
    <w:rsid w:val="00A52D39"/>
    <w:rsid w:val="00A532D3"/>
    <w:rsid w:val="00A537A1"/>
    <w:rsid w:val="00A5380B"/>
    <w:rsid w:val="00A53881"/>
    <w:rsid w:val="00A543AE"/>
    <w:rsid w:val="00A54DE4"/>
    <w:rsid w:val="00A55865"/>
    <w:rsid w:val="00A607EB"/>
    <w:rsid w:val="00A60C76"/>
    <w:rsid w:val="00A60D92"/>
    <w:rsid w:val="00A60F91"/>
    <w:rsid w:val="00A614D2"/>
    <w:rsid w:val="00A619C0"/>
    <w:rsid w:val="00A62380"/>
    <w:rsid w:val="00A6294F"/>
    <w:rsid w:val="00A62CF6"/>
    <w:rsid w:val="00A63390"/>
    <w:rsid w:val="00A63E66"/>
    <w:rsid w:val="00A6411B"/>
    <w:rsid w:val="00A643E7"/>
    <w:rsid w:val="00A645DF"/>
    <w:rsid w:val="00A647E5"/>
    <w:rsid w:val="00A6492A"/>
    <w:rsid w:val="00A65696"/>
    <w:rsid w:val="00A66026"/>
    <w:rsid w:val="00A66313"/>
    <w:rsid w:val="00A667B4"/>
    <w:rsid w:val="00A66B6A"/>
    <w:rsid w:val="00A678BA"/>
    <w:rsid w:val="00A67C46"/>
    <w:rsid w:val="00A70408"/>
    <w:rsid w:val="00A713F1"/>
    <w:rsid w:val="00A71F3C"/>
    <w:rsid w:val="00A731C3"/>
    <w:rsid w:val="00A73C49"/>
    <w:rsid w:val="00A74502"/>
    <w:rsid w:val="00A74AB8"/>
    <w:rsid w:val="00A74AD1"/>
    <w:rsid w:val="00A74EF9"/>
    <w:rsid w:val="00A772AD"/>
    <w:rsid w:val="00A7793A"/>
    <w:rsid w:val="00A80C05"/>
    <w:rsid w:val="00A80C7B"/>
    <w:rsid w:val="00A81E1D"/>
    <w:rsid w:val="00A82091"/>
    <w:rsid w:val="00A827B5"/>
    <w:rsid w:val="00A83B99"/>
    <w:rsid w:val="00A83D5C"/>
    <w:rsid w:val="00A83EE1"/>
    <w:rsid w:val="00A8497A"/>
    <w:rsid w:val="00A84B9E"/>
    <w:rsid w:val="00A85024"/>
    <w:rsid w:val="00A85482"/>
    <w:rsid w:val="00A85B0E"/>
    <w:rsid w:val="00A85C52"/>
    <w:rsid w:val="00A876B0"/>
    <w:rsid w:val="00A87A26"/>
    <w:rsid w:val="00A90A5A"/>
    <w:rsid w:val="00A92906"/>
    <w:rsid w:val="00A92CD4"/>
    <w:rsid w:val="00A93FCC"/>
    <w:rsid w:val="00A95099"/>
    <w:rsid w:val="00A95587"/>
    <w:rsid w:val="00A956C0"/>
    <w:rsid w:val="00A95A48"/>
    <w:rsid w:val="00A95D41"/>
    <w:rsid w:val="00A966DD"/>
    <w:rsid w:val="00A971FB"/>
    <w:rsid w:val="00A9774A"/>
    <w:rsid w:val="00A97754"/>
    <w:rsid w:val="00A979F5"/>
    <w:rsid w:val="00AA0FA8"/>
    <w:rsid w:val="00AA132E"/>
    <w:rsid w:val="00AA2290"/>
    <w:rsid w:val="00AA2722"/>
    <w:rsid w:val="00AA3811"/>
    <w:rsid w:val="00AA3927"/>
    <w:rsid w:val="00AA4CC7"/>
    <w:rsid w:val="00AA535A"/>
    <w:rsid w:val="00AA583A"/>
    <w:rsid w:val="00AA5E8E"/>
    <w:rsid w:val="00AA625A"/>
    <w:rsid w:val="00AA6A2A"/>
    <w:rsid w:val="00AA7048"/>
    <w:rsid w:val="00AA79DB"/>
    <w:rsid w:val="00AB00EE"/>
    <w:rsid w:val="00AB0281"/>
    <w:rsid w:val="00AB02CE"/>
    <w:rsid w:val="00AB06AF"/>
    <w:rsid w:val="00AB0EB1"/>
    <w:rsid w:val="00AB12A3"/>
    <w:rsid w:val="00AB163A"/>
    <w:rsid w:val="00AB19F4"/>
    <w:rsid w:val="00AB1AF2"/>
    <w:rsid w:val="00AB1E65"/>
    <w:rsid w:val="00AB225B"/>
    <w:rsid w:val="00AB2685"/>
    <w:rsid w:val="00AB2BAD"/>
    <w:rsid w:val="00AB4452"/>
    <w:rsid w:val="00AB46ED"/>
    <w:rsid w:val="00AB4964"/>
    <w:rsid w:val="00AB4ECC"/>
    <w:rsid w:val="00AB566F"/>
    <w:rsid w:val="00AB5DFE"/>
    <w:rsid w:val="00AB604C"/>
    <w:rsid w:val="00AB6CA7"/>
    <w:rsid w:val="00AB6D57"/>
    <w:rsid w:val="00AB6DD5"/>
    <w:rsid w:val="00AB7139"/>
    <w:rsid w:val="00AB71D7"/>
    <w:rsid w:val="00AB7FAC"/>
    <w:rsid w:val="00AC01A4"/>
    <w:rsid w:val="00AC0BD4"/>
    <w:rsid w:val="00AC1E5F"/>
    <w:rsid w:val="00AC2510"/>
    <w:rsid w:val="00AC3B82"/>
    <w:rsid w:val="00AC3EF0"/>
    <w:rsid w:val="00AC422F"/>
    <w:rsid w:val="00AC45AE"/>
    <w:rsid w:val="00AC4AC1"/>
    <w:rsid w:val="00AC4F4A"/>
    <w:rsid w:val="00AC5F01"/>
    <w:rsid w:val="00AC626A"/>
    <w:rsid w:val="00AC6B4B"/>
    <w:rsid w:val="00AC6C60"/>
    <w:rsid w:val="00AC7B9E"/>
    <w:rsid w:val="00AC7D4C"/>
    <w:rsid w:val="00AD01E4"/>
    <w:rsid w:val="00AD0336"/>
    <w:rsid w:val="00AD0858"/>
    <w:rsid w:val="00AD1098"/>
    <w:rsid w:val="00AD11B0"/>
    <w:rsid w:val="00AD1511"/>
    <w:rsid w:val="00AD17E6"/>
    <w:rsid w:val="00AD18D3"/>
    <w:rsid w:val="00AD2559"/>
    <w:rsid w:val="00AD2BF6"/>
    <w:rsid w:val="00AD3367"/>
    <w:rsid w:val="00AD3516"/>
    <w:rsid w:val="00AD4866"/>
    <w:rsid w:val="00AD4D6E"/>
    <w:rsid w:val="00AD5D5B"/>
    <w:rsid w:val="00AD7B3E"/>
    <w:rsid w:val="00AD7D7C"/>
    <w:rsid w:val="00AE02E3"/>
    <w:rsid w:val="00AE06F7"/>
    <w:rsid w:val="00AE0B47"/>
    <w:rsid w:val="00AE1231"/>
    <w:rsid w:val="00AE12AA"/>
    <w:rsid w:val="00AE146A"/>
    <w:rsid w:val="00AE168C"/>
    <w:rsid w:val="00AE1B24"/>
    <w:rsid w:val="00AE2B11"/>
    <w:rsid w:val="00AE45AF"/>
    <w:rsid w:val="00AE5145"/>
    <w:rsid w:val="00AE60A7"/>
    <w:rsid w:val="00AE65B1"/>
    <w:rsid w:val="00AE7340"/>
    <w:rsid w:val="00AF0BB5"/>
    <w:rsid w:val="00AF0C52"/>
    <w:rsid w:val="00AF148B"/>
    <w:rsid w:val="00AF1BBD"/>
    <w:rsid w:val="00AF2380"/>
    <w:rsid w:val="00AF246E"/>
    <w:rsid w:val="00AF29D5"/>
    <w:rsid w:val="00AF53F4"/>
    <w:rsid w:val="00AF5FBC"/>
    <w:rsid w:val="00AF6B22"/>
    <w:rsid w:val="00AF794B"/>
    <w:rsid w:val="00AF7E31"/>
    <w:rsid w:val="00B022AE"/>
    <w:rsid w:val="00B02659"/>
    <w:rsid w:val="00B03620"/>
    <w:rsid w:val="00B04948"/>
    <w:rsid w:val="00B052C2"/>
    <w:rsid w:val="00B0553F"/>
    <w:rsid w:val="00B05E8F"/>
    <w:rsid w:val="00B06FFE"/>
    <w:rsid w:val="00B077F9"/>
    <w:rsid w:val="00B10207"/>
    <w:rsid w:val="00B11D36"/>
    <w:rsid w:val="00B11EAF"/>
    <w:rsid w:val="00B121BF"/>
    <w:rsid w:val="00B1257A"/>
    <w:rsid w:val="00B12594"/>
    <w:rsid w:val="00B12DD5"/>
    <w:rsid w:val="00B12DE4"/>
    <w:rsid w:val="00B132D9"/>
    <w:rsid w:val="00B141E7"/>
    <w:rsid w:val="00B15349"/>
    <w:rsid w:val="00B15DD3"/>
    <w:rsid w:val="00B16417"/>
    <w:rsid w:val="00B16B69"/>
    <w:rsid w:val="00B173EB"/>
    <w:rsid w:val="00B22044"/>
    <w:rsid w:val="00B2224C"/>
    <w:rsid w:val="00B22A0A"/>
    <w:rsid w:val="00B23415"/>
    <w:rsid w:val="00B23C0A"/>
    <w:rsid w:val="00B23D5E"/>
    <w:rsid w:val="00B2435A"/>
    <w:rsid w:val="00B24B88"/>
    <w:rsid w:val="00B24D7C"/>
    <w:rsid w:val="00B25B86"/>
    <w:rsid w:val="00B26197"/>
    <w:rsid w:val="00B26280"/>
    <w:rsid w:val="00B265A1"/>
    <w:rsid w:val="00B27348"/>
    <w:rsid w:val="00B2797B"/>
    <w:rsid w:val="00B27E1C"/>
    <w:rsid w:val="00B302E5"/>
    <w:rsid w:val="00B31169"/>
    <w:rsid w:val="00B3175E"/>
    <w:rsid w:val="00B3194B"/>
    <w:rsid w:val="00B31D3C"/>
    <w:rsid w:val="00B32C12"/>
    <w:rsid w:val="00B330ED"/>
    <w:rsid w:val="00B3344F"/>
    <w:rsid w:val="00B3360A"/>
    <w:rsid w:val="00B33A4E"/>
    <w:rsid w:val="00B3466A"/>
    <w:rsid w:val="00B35138"/>
    <w:rsid w:val="00B351B4"/>
    <w:rsid w:val="00B351FA"/>
    <w:rsid w:val="00B35960"/>
    <w:rsid w:val="00B35E88"/>
    <w:rsid w:val="00B36312"/>
    <w:rsid w:val="00B36E07"/>
    <w:rsid w:val="00B3777F"/>
    <w:rsid w:val="00B37A9F"/>
    <w:rsid w:val="00B40D0D"/>
    <w:rsid w:val="00B41320"/>
    <w:rsid w:val="00B41C94"/>
    <w:rsid w:val="00B41DF4"/>
    <w:rsid w:val="00B42314"/>
    <w:rsid w:val="00B4232B"/>
    <w:rsid w:val="00B42917"/>
    <w:rsid w:val="00B42993"/>
    <w:rsid w:val="00B431C6"/>
    <w:rsid w:val="00B43325"/>
    <w:rsid w:val="00B43898"/>
    <w:rsid w:val="00B43900"/>
    <w:rsid w:val="00B43A69"/>
    <w:rsid w:val="00B46BCA"/>
    <w:rsid w:val="00B46CB8"/>
    <w:rsid w:val="00B47333"/>
    <w:rsid w:val="00B47356"/>
    <w:rsid w:val="00B47528"/>
    <w:rsid w:val="00B478AA"/>
    <w:rsid w:val="00B47B43"/>
    <w:rsid w:val="00B506FD"/>
    <w:rsid w:val="00B522EC"/>
    <w:rsid w:val="00B5231E"/>
    <w:rsid w:val="00B52415"/>
    <w:rsid w:val="00B5370F"/>
    <w:rsid w:val="00B54B63"/>
    <w:rsid w:val="00B554FE"/>
    <w:rsid w:val="00B55692"/>
    <w:rsid w:val="00B56028"/>
    <w:rsid w:val="00B565C7"/>
    <w:rsid w:val="00B56B2A"/>
    <w:rsid w:val="00B5711A"/>
    <w:rsid w:val="00B57C7C"/>
    <w:rsid w:val="00B57D8C"/>
    <w:rsid w:val="00B600A4"/>
    <w:rsid w:val="00B600FD"/>
    <w:rsid w:val="00B60421"/>
    <w:rsid w:val="00B60E0D"/>
    <w:rsid w:val="00B60E1D"/>
    <w:rsid w:val="00B61252"/>
    <w:rsid w:val="00B61B02"/>
    <w:rsid w:val="00B61CD7"/>
    <w:rsid w:val="00B61D64"/>
    <w:rsid w:val="00B61E17"/>
    <w:rsid w:val="00B62678"/>
    <w:rsid w:val="00B62DF7"/>
    <w:rsid w:val="00B63528"/>
    <w:rsid w:val="00B63CAB"/>
    <w:rsid w:val="00B63E4F"/>
    <w:rsid w:val="00B64F3D"/>
    <w:rsid w:val="00B650B0"/>
    <w:rsid w:val="00B65439"/>
    <w:rsid w:val="00B656FB"/>
    <w:rsid w:val="00B65B27"/>
    <w:rsid w:val="00B65F61"/>
    <w:rsid w:val="00B665A5"/>
    <w:rsid w:val="00B665CD"/>
    <w:rsid w:val="00B6703D"/>
    <w:rsid w:val="00B674DD"/>
    <w:rsid w:val="00B700FB"/>
    <w:rsid w:val="00B70663"/>
    <w:rsid w:val="00B70BE9"/>
    <w:rsid w:val="00B710D7"/>
    <w:rsid w:val="00B71E2A"/>
    <w:rsid w:val="00B72192"/>
    <w:rsid w:val="00B72217"/>
    <w:rsid w:val="00B72959"/>
    <w:rsid w:val="00B729F8"/>
    <w:rsid w:val="00B72E5C"/>
    <w:rsid w:val="00B744B8"/>
    <w:rsid w:val="00B74FEE"/>
    <w:rsid w:val="00B75663"/>
    <w:rsid w:val="00B757FF"/>
    <w:rsid w:val="00B760AE"/>
    <w:rsid w:val="00B76A1F"/>
    <w:rsid w:val="00B77482"/>
    <w:rsid w:val="00B77CD0"/>
    <w:rsid w:val="00B8018B"/>
    <w:rsid w:val="00B80621"/>
    <w:rsid w:val="00B80902"/>
    <w:rsid w:val="00B80A4C"/>
    <w:rsid w:val="00B80A53"/>
    <w:rsid w:val="00B80B15"/>
    <w:rsid w:val="00B80BE8"/>
    <w:rsid w:val="00B8131D"/>
    <w:rsid w:val="00B825C2"/>
    <w:rsid w:val="00B82619"/>
    <w:rsid w:val="00B82883"/>
    <w:rsid w:val="00B82DE0"/>
    <w:rsid w:val="00B83258"/>
    <w:rsid w:val="00B84993"/>
    <w:rsid w:val="00B84C00"/>
    <w:rsid w:val="00B84EEC"/>
    <w:rsid w:val="00B85325"/>
    <w:rsid w:val="00B85425"/>
    <w:rsid w:val="00B859D5"/>
    <w:rsid w:val="00B85FD4"/>
    <w:rsid w:val="00B862DA"/>
    <w:rsid w:val="00B86C8E"/>
    <w:rsid w:val="00B871DE"/>
    <w:rsid w:val="00B87565"/>
    <w:rsid w:val="00B87802"/>
    <w:rsid w:val="00B87806"/>
    <w:rsid w:val="00B87A2D"/>
    <w:rsid w:val="00B87EC9"/>
    <w:rsid w:val="00B9064C"/>
    <w:rsid w:val="00B9139C"/>
    <w:rsid w:val="00B91F5D"/>
    <w:rsid w:val="00B92BFA"/>
    <w:rsid w:val="00B92EBB"/>
    <w:rsid w:val="00B93640"/>
    <w:rsid w:val="00B9384D"/>
    <w:rsid w:val="00B93FF5"/>
    <w:rsid w:val="00B949AB"/>
    <w:rsid w:val="00B94C9E"/>
    <w:rsid w:val="00B94D33"/>
    <w:rsid w:val="00B9505A"/>
    <w:rsid w:val="00B95428"/>
    <w:rsid w:val="00B9574E"/>
    <w:rsid w:val="00B95972"/>
    <w:rsid w:val="00B95B1A"/>
    <w:rsid w:val="00B967A4"/>
    <w:rsid w:val="00B97734"/>
    <w:rsid w:val="00BA070B"/>
    <w:rsid w:val="00BA0AA6"/>
    <w:rsid w:val="00BA0B1F"/>
    <w:rsid w:val="00BA13ED"/>
    <w:rsid w:val="00BA210E"/>
    <w:rsid w:val="00BA2E21"/>
    <w:rsid w:val="00BA3114"/>
    <w:rsid w:val="00BA333F"/>
    <w:rsid w:val="00BA3864"/>
    <w:rsid w:val="00BA4149"/>
    <w:rsid w:val="00BA4427"/>
    <w:rsid w:val="00BA4868"/>
    <w:rsid w:val="00BA4B4D"/>
    <w:rsid w:val="00BA4C3E"/>
    <w:rsid w:val="00BA5137"/>
    <w:rsid w:val="00BA6075"/>
    <w:rsid w:val="00BA664F"/>
    <w:rsid w:val="00BA6F8B"/>
    <w:rsid w:val="00BA74E1"/>
    <w:rsid w:val="00BB138F"/>
    <w:rsid w:val="00BB156F"/>
    <w:rsid w:val="00BB1B58"/>
    <w:rsid w:val="00BB2B38"/>
    <w:rsid w:val="00BB2D9A"/>
    <w:rsid w:val="00BB3B07"/>
    <w:rsid w:val="00BB4AAE"/>
    <w:rsid w:val="00BB4CC4"/>
    <w:rsid w:val="00BB5AE3"/>
    <w:rsid w:val="00BB6133"/>
    <w:rsid w:val="00BB651A"/>
    <w:rsid w:val="00BB6691"/>
    <w:rsid w:val="00BB701F"/>
    <w:rsid w:val="00BB751A"/>
    <w:rsid w:val="00BB778C"/>
    <w:rsid w:val="00BC0A67"/>
    <w:rsid w:val="00BC24A1"/>
    <w:rsid w:val="00BC3527"/>
    <w:rsid w:val="00BC38FD"/>
    <w:rsid w:val="00BC3C3B"/>
    <w:rsid w:val="00BC3C53"/>
    <w:rsid w:val="00BC4C9E"/>
    <w:rsid w:val="00BC5BEC"/>
    <w:rsid w:val="00BC5C73"/>
    <w:rsid w:val="00BC5CAB"/>
    <w:rsid w:val="00BC6F5E"/>
    <w:rsid w:val="00BD00D1"/>
    <w:rsid w:val="00BD19D7"/>
    <w:rsid w:val="00BD1B5B"/>
    <w:rsid w:val="00BD28F0"/>
    <w:rsid w:val="00BD2FCA"/>
    <w:rsid w:val="00BD30D2"/>
    <w:rsid w:val="00BD3EB5"/>
    <w:rsid w:val="00BD45D8"/>
    <w:rsid w:val="00BD4A2B"/>
    <w:rsid w:val="00BD6191"/>
    <w:rsid w:val="00BD7269"/>
    <w:rsid w:val="00BD72C1"/>
    <w:rsid w:val="00BE0080"/>
    <w:rsid w:val="00BE0371"/>
    <w:rsid w:val="00BE064B"/>
    <w:rsid w:val="00BE141A"/>
    <w:rsid w:val="00BE1723"/>
    <w:rsid w:val="00BE1CDF"/>
    <w:rsid w:val="00BE2586"/>
    <w:rsid w:val="00BE2773"/>
    <w:rsid w:val="00BE479B"/>
    <w:rsid w:val="00BE499F"/>
    <w:rsid w:val="00BE4A70"/>
    <w:rsid w:val="00BE511F"/>
    <w:rsid w:val="00BE52B5"/>
    <w:rsid w:val="00BE5B4F"/>
    <w:rsid w:val="00BE6240"/>
    <w:rsid w:val="00BE6451"/>
    <w:rsid w:val="00BE65CF"/>
    <w:rsid w:val="00BE6B8B"/>
    <w:rsid w:val="00BE6CE3"/>
    <w:rsid w:val="00BE6D1B"/>
    <w:rsid w:val="00BE6FCB"/>
    <w:rsid w:val="00BF020D"/>
    <w:rsid w:val="00BF0E38"/>
    <w:rsid w:val="00BF432F"/>
    <w:rsid w:val="00BF4A8F"/>
    <w:rsid w:val="00BF5A0E"/>
    <w:rsid w:val="00BF69C9"/>
    <w:rsid w:val="00BF737C"/>
    <w:rsid w:val="00BF7931"/>
    <w:rsid w:val="00BF7F5D"/>
    <w:rsid w:val="00C0009C"/>
    <w:rsid w:val="00C01DF8"/>
    <w:rsid w:val="00C02231"/>
    <w:rsid w:val="00C02259"/>
    <w:rsid w:val="00C02BA1"/>
    <w:rsid w:val="00C02D7C"/>
    <w:rsid w:val="00C030AB"/>
    <w:rsid w:val="00C03146"/>
    <w:rsid w:val="00C034CB"/>
    <w:rsid w:val="00C038AA"/>
    <w:rsid w:val="00C03D13"/>
    <w:rsid w:val="00C04CD9"/>
    <w:rsid w:val="00C0509B"/>
    <w:rsid w:val="00C051A8"/>
    <w:rsid w:val="00C054BC"/>
    <w:rsid w:val="00C059D0"/>
    <w:rsid w:val="00C05A90"/>
    <w:rsid w:val="00C06851"/>
    <w:rsid w:val="00C07859"/>
    <w:rsid w:val="00C07D28"/>
    <w:rsid w:val="00C10433"/>
    <w:rsid w:val="00C10C42"/>
    <w:rsid w:val="00C10CBB"/>
    <w:rsid w:val="00C1142D"/>
    <w:rsid w:val="00C11B7D"/>
    <w:rsid w:val="00C11F53"/>
    <w:rsid w:val="00C12D87"/>
    <w:rsid w:val="00C12E72"/>
    <w:rsid w:val="00C12F3B"/>
    <w:rsid w:val="00C1355E"/>
    <w:rsid w:val="00C13E6F"/>
    <w:rsid w:val="00C14033"/>
    <w:rsid w:val="00C14B0A"/>
    <w:rsid w:val="00C158D4"/>
    <w:rsid w:val="00C16A3D"/>
    <w:rsid w:val="00C16CA2"/>
    <w:rsid w:val="00C170C2"/>
    <w:rsid w:val="00C17547"/>
    <w:rsid w:val="00C17897"/>
    <w:rsid w:val="00C200B5"/>
    <w:rsid w:val="00C202E9"/>
    <w:rsid w:val="00C21450"/>
    <w:rsid w:val="00C2199B"/>
    <w:rsid w:val="00C21A7C"/>
    <w:rsid w:val="00C22ACF"/>
    <w:rsid w:val="00C23CE0"/>
    <w:rsid w:val="00C23D5E"/>
    <w:rsid w:val="00C24BAD"/>
    <w:rsid w:val="00C24D55"/>
    <w:rsid w:val="00C25099"/>
    <w:rsid w:val="00C2531A"/>
    <w:rsid w:val="00C254FF"/>
    <w:rsid w:val="00C25706"/>
    <w:rsid w:val="00C257A9"/>
    <w:rsid w:val="00C2693A"/>
    <w:rsid w:val="00C273C7"/>
    <w:rsid w:val="00C303B9"/>
    <w:rsid w:val="00C30708"/>
    <w:rsid w:val="00C30CA6"/>
    <w:rsid w:val="00C30D93"/>
    <w:rsid w:val="00C312D2"/>
    <w:rsid w:val="00C3136D"/>
    <w:rsid w:val="00C329E0"/>
    <w:rsid w:val="00C32B95"/>
    <w:rsid w:val="00C32CD4"/>
    <w:rsid w:val="00C33E42"/>
    <w:rsid w:val="00C33F14"/>
    <w:rsid w:val="00C357DB"/>
    <w:rsid w:val="00C35E2B"/>
    <w:rsid w:val="00C362A6"/>
    <w:rsid w:val="00C367C9"/>
    <w:rsid w:val="00C36AE6"/>
    <w:rsid w:val="00C36C98"/>
    <w:rsid w:val="00C36E7E"/>
    <w:rsid w:val="00C3760F"/>
    <w:rsid w:val="00C37C61"/>
    <w:rsid w:val="00C40052"/>
    <w:rsid w:val="00C409D5"/>
    <w:rsid w:val="00C40B13"/>
    <w:rsid w:val="00C412C4"/>
    <w:rsid w:val="00C415A6"/>
    <w:rsid w:val="00C41BBC"/>
    <w:rsid w:val="00C41CD2"/>
    <w:rsid w:val="00C42101"/>
    <w:rsid w:val="00C4253F"/>
    <w:rsid w:val="00C435C3"/>
    <w:rsid w:val="00C43FAE"/>
    <w:rsid w:val="00C44133"/>
    <w:rsid w:val="00C4460E"/>
    <w:rsid w:val="00C447FB"/>
    <w:rsid w:val="00C44B9B"/>
    <w:rsid w:val="00C44CC9"/>
    <w:rsid w:val="00C44E5F"/>
    <w:rsid w:val="00C46B05"/>
    <w:rsid w:val="00C4722C"/>
    <w:rsid w:val="00C50179"/>
    <w:rsid w:val="00C502DA"/>
    <w:rsid w:val="00C50334"/>
    <w:rsid w:val="00C50572"/>
    <w:rsid w:val="00C50589"/>
    <w:rsid w:val="00C512DF"/>
    <w:rsid w:val="00C51486"/>
    <w:rsid w:val="00C51595"/>
    <w:rsid w:val="00C51B7C"/>
    <w:rsid w:val="00C52727"/>
    <w:rsid w:val="00C53604"/>
    <w:rsid w:val="00C53F29"/>
    <w:rsid w:val="00C54342"/>
    <w:rsid w:val="00C56C0B"/>
    <w:rsid w:val="00C60557"/>
    <w:rsid w:val="00C60976"/>
    <w:rsid w:val="00C60AE3"/>
    <w:rsid w:val="00C60C51"/>
    <w:rsid w:val="00C61B63"/>
    <w:rsid w:val="00C6234B"/>
    <w:rsid w:val="00C639AD"/>
    <w:rsid w:val="00C639EB"/>
    <w:rsid w:val="00C63EAE"/>
    <w:rsid w:val="00C64A70"/>
    <w:rsid w:val="00C64B3A"/>
    <w:rsid w:val="00C654CD"/>
    <w:rsid w:val="00C65567"/>
    <w:rsid w:val="00C656EE"/>
    <w:rsid w:val="00C65B7B"/>
    <w:rsid w:val="00C65EB5"/>
    <w:rsid w:val="00C670B3"/>
    <w:rsid w:val="00C676CE"/>
    <w:rsid w:val="00C706D4"/>
    <w:rsid w:val="00C7089A"/>
    <w:rsid w:val="00C70D03"/>
    <w:rsid w:val="00C70E01"/>
    <w:rsid w:val="00C7248A"/>
    <w:rsid w:val="00C72533"/>
    <w:rsid w:val="00C72E6A"/>
    <w:rsid w:val="00C73260"/>
    <w:rsid w:val="00C7385B"/>
    <w:rsid w:val="00C7396F"/>
    <w:rsid w:val="00C73D43"/>
    <w:rsid w:val="00C748DF"/>
    <w:rsid w:val="00C74B5F"/>
    <w:rsid w:val="00C7540C"/>
    <w:rsid w:val="00C75F5B"/>
    <w:rsid w:val="00C7629F"/>
    <w:rsid w:val="00C765E8"/>
    <w:rsid w:val="00C76936"/>
    <w:rsid w:val="00C771BE"/>
    <w:rsid w:val="00C77385"/>
    <w:rsid w:val="00C80BC9"/>
    <w:rsid w:val="00C810C1"/>
    <w:rsid w:val="00C823AC"/>
    <w:rsid w:val="00C824DA"/>
    <w:rsid w:val="00C82F6F"/>
    <w:rsid w:val="00C83796"/>
    <w:rsid w:val="00C83CC6"/>
    <w:rsid w:val="00C84086"/>
    <w:rsid w:val="00C84FFB"/>
    <w:rsid w:val="00C851C0"/>
    <w:rsid w:val="00C8531E"/>
    <w:rsid w:val="00C8568D"/>
    <w:rsid w:val="00C856E8"/>
    <w:rsid w:val="00C85990"/>
    <w:rsid w:val="00C85BF8"/>
    <w:rsid w:val="00C8661B"/>
    <w:rsid w:val="00C87829"/>
    <w:rsid w:val="00C87966"/>
    <w:rsid w:val="00C87F56"/>
    <w:rsid w:val="00C91378"/>
    <w:rsid w:val="00C92BDD"/>
    <w:rsid w:val="00C93442"/>
    <w:rsid w:val="00C934A9"/>
    <w:rsid w:val="00C939C5"/>
    <w:rsid w:val="00C93C63"/>
    <w:rsid w:val="00C94925"/>
    <w:rsid w:val="00C94C0A"/>
    <w:rsid w:val="00C95040"/>
    <w:rsid w:val="00C951D5"/>
    <w:rsid w:val="00C9528B"/>
    <w:rsid w:val="00C95C54"/>
    <w:rsid w:val="00C9632D"/>
    <w:rsid w:val="00C96364"/>
    <w:rsid w:val="00C96974"/>
    <w:rsid w:val="00C97581"/>
    <w:rsid w:val="00C979BF"/>
    <w:rsid w:val="00CA03C8"/>
    <w:rsid w:val="00CA0600"/>
    <w:rsid w:val="00CA0630"/>
    <w:rsid w:val="00CA0D1A"/>
    <w:rsid w:val="00CA0DFD"/>
    <w:rsid w:val="00CA0E09"/>
    <w:rsid w:val="00CA139A"/>
    <w:rsid w:val="00CA157D"/>
    <w:rsid w:val="00CA19FA"/>
    <w:rsid w:val="00CA1CD0"/>
    <w:rsid w:val="00CA2899"/>
    <w:rsid w:val="00CA33A2"/>
    <w:rsid w:val="00CA3A3D"/>
    <w:rsid w:val="00CA3AA6"/>
    <w:rsid w:val="00CA3EF3"/>
    <w:rsid w:val="00CA42B5"/>
    <w:rsid w:val="00CA4880"/>
    <w:rsid w:val="00CA51FC"/>
    <w:rsid w:val="00CA555C"/>
    <w:rsid w:val="00CA5712"/>
    <w:rsid w:val="00CA614F"/>
    <w:rsid w:val="00CA65BD"/>
    <w:rsid w:val="00CA6609"/>
    <w:rsid w:val="00CA7025"/>
    <w:rsid w:val="00CA75ED"/>
    <w:rsid w:val="00CA7600"/>
    <w:rsid w:val="00CA77FB"/>
    <w:rsid w:val="00CA793D"/>
    <w:rsid w:val="00CA7942"/>
    <w:rsid w:val="00CB026C"/>
    <w:rsid w:val="00CB0C67"/>
    <w:rsid w:val="00CB158D"/>
    <w:rsid w:val="00CB1764"/>
    <w:rsid w:val="00CB1A93"/>
    <w:rsid w:val="00CB2886"/>
    <w:rsid w:val="00CB3293"/>
    <w:rsid w:val="00CB379B"/>
    <w:rsid w:val="00CB3BF4"/>
    <w:rsid w:val="00CB4074"/>
    <w:rsid w:val="00CB454A"/>
    <w:rsid w:val="00CB4F88"/>
    <w:rsid w:val="00CB50AE"/>
    <w:rsid w:val="00CB5DD0"/>
    <w:rsid w:val="00CC06BA"/>
    <w:rsid w:val="00CC1A2C"/>
    <w:rsid w:val="00CC1BDE"/>
    <w:rsid w:val="00CC1DC4"/>
    <w:rsid w:val="00CC269A"/>
    <w:rsid w:val="00CC3E4A"/>
    <w:rsid w:val="00CC40B5"/>
    <w:rsid w:val="00CC4AD9"/>
    <w:rsid w:val="00CC51D4"/>
    <w:rsid w:val="00CC65DA"/>
    <w:rsid w:val="00CC6C62"/>
    <w:rsid w:val="00CC718A"/>
    <w:rsid w:val="00CC780E"/>
    <w:rsid w:val="00CC794C"/>
    <w:rsid w:val="00CC7D9D"/>
    <w:rsid w:val="00CC7E9F"/>
    <w:rsid w:val="00CD0572"/>
    <w:rsid w:val="00CD0A83"/>
    <w:rsid w:val="00CD1043"/>
    <w:rsid w:val="00CD13F3"/>
    <w:rsid w:val="00CD14B9"/>
    <w:rsid w:val="00CD1962"/>
    <w:rsid w:val="00CD46B3"/>
    <w:rsid w:val="00CD692C"/>
    <w:rsid w:val="00CD69FF"/>
    <w:rsid w:val="00CD6C8C"/>
    <w:rsid w:val="00CD718F"/>
    <w:rsid w:val="00CE0AB0"/>
    <w:rsid w:val="00CE1085"/>
    <w:rsid w:val="00CE11CC"/>
    <w:rsid w:val="00CE1519"/>
    <w:rsid w:val="00CE16BC"/>
    <w:rsid w:val="00CE18A4"/>
    <w:rsid w:val="00CE1C2E"/>
    <w:rsid w:val="00CE271F"/>
    <w:rsid w:val="00CE2AA7"/>
    <w:rsid w:val="00CE31D4"/>
    <w:rsid w:val="00CE3C0A"/>
    <w:rsid w:val="00CE4916"/>
    <w:rsid w:val="00CE4E3D"/>
    <w:rsid w:val="00CE4E9C"/>
    <w:rsid w:val="00CE598C"/>
    <w:rsid w:val="00CE5AA0"/>
    <w:rsid w:val="00CE5C5A"/>
    <w:rsid w:val="00CE6C7A"/>
    <w:rsid w:val="00CE778C"/>
    <w:rsid w:val="00CF0103"/>
    <w:rsid w:val="00CF1006"/>
    <w:rsid w:val="00CF174F"/>
    <w:rsid w:val="00CF18FA"/>
    <w:rsid w:val="00CF1921"/>
    <w:rsid w:val="00CF21B9"/>
    <w:rsid w:val="00CF2823"/>
    <w:rsid w:val="00CF2930"/>
    <w:rsid w:val="00CF2A2D"/>
    <w:rsid w:val="00CF2B6C"/>
    <w:rsid w:val="00CF2E9D"/>
    <w:rsid w:val="00CF3737"/>
    <w:rsid w:val="00CF43EE"/>
    <w:rsid w:val="00CF4EA6"/>
    <w:rsid w:val="00CF54A0"/>
    <w:rsid w:val="00CF67D5"/>
    <w:rsid w:val="00CF6BF9"/>
    <w:rsid w:val="00CF7574"/>
    <w:rsid w:val="00CF7CDD"/>
    <w:rsid w:val="00D005F9"/>
    <w:rsid w:val="00D00748"/>
    <w:rsid w:val="00D01A00"/>
    <w:rsid w:val="00D02A5C"/>
    <w:rsid w:val="00D02B04"/>
    <w:rsid w:val="00D0315E"/>
    <w:rsid w:val="00D03800"/>
    <w:rsid w:val="00D03AB5"/>
    <w:rsid w:val="00D04499"/>
    <w:rsid w:val="00D04687"/>
    <w:rsid w:val="00D05413"/>
    <w:rsid w:val="00D065D3"/>
    <w:rsid w:val="00D07523"/>
    <w:rsid w:val="00D07CDB"/>
    <w:rsid w:val="00D1094E"/>
    <w:rsid w:val="00D10DD2"/>
    <w:rsid w:val="00D11C4B"/>
    <w:rsid w:val="00D1256D"/>
    <w:rsid w:val="00D12AEC"/>
    <w:rsid w:val="00D134BB"/>
    <w:rsid w:val="00D13799"/>
    <w:rsid w:val="00D138CB"/>
    <w:rsid w:val="00D13BB7"/>
    <w:rsid w:val="00D13C58"/>
    <w:rsid w:val="00D14142"/>
    <w:rsid w:val="00D14A27"/>
    <w:rsid w:val="00D14C94"/>
    <w:rsid w:val="00D14D6D"/>
    <w:rsid w:val="00D1520F"/>
    <w:rsid w:val="00D15613"/>
    <w:rsid w:val="00D1624B"/>
    <w:rsid w:val="00D16EB4"/>
    <w:rsid w:val="00D17902"/>
    <w:rsid w:val="00D1796A"/>
    <w:rsid w:val="00D17FD8"/>
    <w:rsid w:val="00D206B0"/>
    <w:rsid w:val="00D20AD0"/>
    <w:rsid w:val="00D20C48"/>
    <w:rsid w:val="00D2143C"/>
    <w:rsid w:val="00D215E1"/>
    <w:rsid w:val="00D219D7"/>
    <w:rsid w:val="00D21DF3"/>
    <w:rsid w:val="00D21E9F"/>
    <w:rsid w:val="00D231C8"/>
    <w:rsid w:val="00D2408C"/>
    <w:rsid w:val="00D2457B"/>
    <w:rsid w:val="00D2560E"/>
    <w:rsid w:val="00D256FA"/>
    <w:rsid w:val="00D25D3C"/>
    <w:rsid w:val="00D2686F"/>
    <w:rsid w:val="00D26D63"/>
    <w:rsid w:val="00D27672"/>
    <w:rsid w:val="00D27F49"/>
    <w:rsid w:val="00D31C4A"/>
    <w:rsid w:val="00D328B9"/>
    <w:rsid w:val="00D32A11"/>
    <w:rsid w:val="00D32F94"/>
    <w:rsid w:val="00D3342B"/>
    <w:rsid w:val="00D33A9F"/>
    <w:rsid w:val="00D34038"/>
    <w:rsid w:val="00D3421B"/>
    <w:rsid w:val="00D342A6"/>
    <w:rsid w:val="00D343C4"/>
    <w:rsid w:val="00D34440"/>
    <w:rsid w:val="00D3458A"/>
    <w:rsid w:val="00D347C3"/>
    <w:rsid w:val="00D348DD"/>
    <w:rsid w:val="00D35884"/>
    <w:rsid w:val="00D35933"/>
    <w:rsid w:val="00D35A33"/>
    <w:rsid w:val="00D35E37"/>
    <w:rsid w:val="00D3636B"/>
    <w:rsid w:val="00D36A6A"/>
    <w:rsid w:val="00D371CE"/>
    <w:rsid w:val="00D3744C"/>
    <w:rsid w:val="00D37634"/>
    <w:rsid w:val="00D37914"/>
    <w:rsid w:val="00D400F9"/>
    <w:rsid w:val="00D40903"/>
    <w:rsid w:val="00D41024"/>
    <w:rsid w:val="00D412A1"/>
    <w:rsid w:val="00D428AA"/>
    <w:rsid w:val="00D42F56"/>
    <w:rsid w:val="00D443BE"/>
    <w:rsid w:val="00D452A2"/>
    <w:rsid w:val="00D45CA6"/>
    <w:rsid w:val="00D46111"/>
    <w:rsid w:val="00D464BF"/>
    <w:rsid w:val="00D46635"/>
    <w:rsid w:val="00D467D9"/>
    <w:rsid w:val="00D472B2"/>
    <w:rsid w:val="00D47574"/>
    <w:rsid w:val="00D476A5"/>
    <w:rsid w:val="00D507CB"/>
    <w:rsid w:val="00D51247"/>
    <w:rsid w:val="00D524F6"/>
    <w:rsid w:val="00D52BDB"/>
    <w:rsid w:val="00D53483"/>
    <w:rsid w:val="00D5356B"/>
    <w:rsid w:val="00D538B7"/>
    <w:rsid w:val="00D53E26"/>
    <w:rsid w:val="00D54D82"/>
    <w:rsid w:val="00D553D3"/>
    <w:rsid w:val="00D557EE"/>
    <w:rsid w:val="00D56895"/>
    <w:rsid w:val="00D57074"/>
    <w:rsid w:val="00D601E0"/>
    <w:rsid w:val="00D60EE3"/>
    <w:rsid w:val="00D60EE7"/>
    <w:rsid w:val="00D62F75"/>
    <w:rsid w:val="00D630BE"/>
    <w:rsid w:val="00D6322D"/>
    <w:rsid w:val="00D6473C"/>
    <w:rsid w:val="00D64C51"/>
    <w:rsid w:val="00D64E48"/>
    <w:rsid w:val="00D659C1"/>
    <w:rsid w:val="00D65EBE"/>
    <w:rsid w:val="00D66C3D"/>
    <w:rsid w:val="00D66F94"/>
    <w:rsid w:val="00D67969"/>
    <w:rsid w:val="00D70E00"/>
    <w:rsid w:val="00D70E31"/>
    <w:rsid w:val="00D711B2"/>
    <w:rsid w:val="00D721B9"/>
    <w:rsid w:val="00D722C9"/>
    <w:rsid w:val="00D72D24"/>
    <w:rsid w:val="00D72DA3"/>
    <w:rsid w:val="00D72F39"/>
    <w:rsid w:val="00D74E44"/>
    <w:rsid w:val="00D755F8"/>
    <w:rsid w:val="00D765A3"/>
    <w:rsid w:val="00D76752"/>
    <w:rsid w:val="00D7694C"/>
    <w:rsid w:val="00D77688"/>
    <w:rsid w:val="00D801F7"/>
    <w:rsid w:val="00D8020E"/>
    <w:rsid w:val="00D802A1"/>
    <w:rsid w:val="00D804DC"/>
    <w:rsid w:val="00D80E5D"/>
    <w:rsid w:val="00D8159D"/>
    <w:rsid w:val="00D8202E"/>
    <w:rsid w:val="00D829B1"/>
    <w:rsid w:val="00D835D1"/>
    <w:rsid w:val="00D8377A"/>
    <w:rsid w:val="00D84D15"/>
    <w:rsid w:val="00D85297"/>
    <w:rsid w:val="00D8550B"/>
    <w:rsid w:val="00D85B77"/>
    <w:rsid w:val="00D85E9A"/>
    <w:rsid w:val="00D8683C"/>
    <w:rsid w:val="00D86AE1"/>
    <w:rsid w:val="00D87054"/>
    <w:rsid w:val="00D87308"/>
    <w:rsid w:val="00D9080F"/>
    <w:rsid w:val="00D90E4B"/>
    <w:rsid w:val="00D9118F"/>
    <w:rsid w:val="00D9202C"/>
    <w:rsid w:val="00D92E12"/>
    <w:rsid w:val="00D934F9"/>
    <w:rsid w:val="00D93B84"/>
    <w:rsid w:val="00D93BD1"/>
    <w:rsid w:val="00D93E27"/>
    <w:rsid w:val="00D94CCE"/>
    <w:rsid w:val="00D95055"/>
    <w:rsid w:val="00D95AA4"/>
    <w:rsid w:val="00D96A41"/>
    <w:rsid w:val="00D979E4"/>
    <w:rsid w:val="00DA0339"/>
    <w:rsid w:val="00DA03C0"/>
    <w:rsid w:val="00DA077A"/>
    <w:rsid w:val="00DA1C35"/>
    <w:rsid w:val="00DA23B4"/>
    <w:rsid w:val="00DA2588"/>
    <w:rsid w:val="00DA59BF"/>
    <w:rsid w:val="00DA61BD"/>
    <w:rsid w:val="00DA653F"/>
    <w:rsid w:val="00DA6A7F"/>
    <w:rsid w:val="00DA6EF0"/>
    <w:rsid w:val="00DA715C"/>
    <w:rsid w:val="00DA78EC"/>
    <w:rsid w:val="00DB020A"/>
    <w:rsid w:val="00DB0714"/>
    <w:rsid w:val="00DB0E8A"/>
    <w:rsid w:val="00DB0EF5"/>
    <w:rsid w:val="00DB182C"/>
    <w:rsid w:val="00DB2566"/>
    <w:rsid w:val="00DB2582"/>
    <w:rsid w:val="00DB2E34"/>
    <w:rsid w:val="00DB390F"/>
    <w:rsid w:val="00DB3C0D"/>
    <w:rsid w:val="00DB5402"/>
    <w:rsid w:val="00DB62A2"/>
    <w:rsid w:val="00DB7175"/>
    <w:rsid w:val="00DB7A2C"/>
    <w:rsid w:val="00DC02C0"/>
    <w:rsid w:val="00DC0F46"/>
    <w:rsid w:val="00DC16A7"/>
    <w:rsid w:val="00DC1AB9"/>
    <w:rsid w:val="00DC22D8"/>
    <w:rsid w:val="00DC2DB9"/>
    <w:rsid w:val="00DC30E6"/>
    <w:rsid w:val="00DC32A9"/>
    <w:rsid w:val="00DC3445"/>
    <w:rsid w:val="00DC3483"/>
    <w:rsid w:val="00DC3BD1"/>
    <w:rsid w:val="00DC3C36"/>
    <w:rsid w:val="00DC4047"/>
    <w:rsid w:val="00DC44AA"/>
    <w:rsid w:val="00DC4BB6"/>
    <w:rsid w:val="00DC5723"/>
    <w:rsid w:val="00DC5D65"/>
    <w:rsid w:val="00DC61DA"/>
    <w:rsid w:val="00DC63F8"/>
    <w:rsid w:val="00DC64AC"/>
    <w:rsid w:val="00DC6DB4"/>
    <w:rsid w:val="00DC756E"/>
    <w:rsid w:val="00DC75EF"/>
    <w:rsid w:val="00DC7B09"/>
    <w:rsid w:val="00DD0705"/>
    <w:rsid w:val="00DD096C"/>
    <w:rsid w:val="00DD1939"/>
    <w:rsid w:val="00DD1BB4"/>
    <w:rsid w:val="00DD236B"/>
    <w:rsid w:val="00DD2769"/>
    <w:rsid w:val="00DD3302"/>
    <w:rsid w:val="00DD3943"/>
    <w:rsid w:val="00DD4605"/>
    <w:rsid w:val="00DD4F0E"/>
    <w:rsid w:val="00DD54ED"/>
    <w:rsid w:val="00DD5B6B"/>
    <w:rsid w:val="00DD5F22"/>
    <w:rsid w:val="00DD5FBB"/>
    <w:rsid w:val="00DD66FC"/>
    <w:rsid w:val="00DD6B47"/>
    <w:rsid w:val="00DD763B"/>
    <w:rsid w:val="00DE00E8"/>
    <w:rsid w:val="00DE0C49"/>
    <w:rsid w:val="00DE150B"/>
    <w:rsid w:val="00DE1D45"/>
    <w:rsid w:val="00DE26A0"/>
    <w:rsid w:val="00DE2E3D"/>
    <w:rsid w:val="00DE36FF"/>
    <w:rsid w:val="00DE42A5"/>
    <w:rsid w:val="00DE4ACD"/>
    <w:rsid w:val="00DE540B"/>
    <w:rsid w:val="00DE640A"/>
    <w:rsid w:val="00DE67BD"/>
    <w:rsid w:val="00DE6F65"/>
    <w:rsid w:val="00DE74ED"/>
    <w:rsid w:val="00DE7847"/>
    <w:rsid w:val="00DE7B7E"/>
    <w:rsid w:val="00DE7F72"/>
    <w:rsid w:val="00DF07D1"/>
    <w:rsid w:val="00DF0BF0"/>
    <w:rsid w:val="00DF0C1F"/>
    <w:rsid w:val="00DF1CB4"/>
    <w:rsid w:val="00DF1FA0"/>
    <w:rsid w:val="00DF376D"/>
    <w:rsid w:val="00DF3CA2"/>
    <w:rsid w:val="00DF3EF4"/>
    <w:rsid w:val="00DF4100"/>
    <w:rsid w:val="00DF55CD"/>
    <w:rsid w:val="00DF56AC"/>
    <w:rsid w:val="00DF5747"/>
    <w:rsid w:val="00DF6A7B"/>
    <w:rsid w:val="00DF71DC"/>
    <w:rsid w:val="00DF7473"/>
    <w:rsid w:val="00DF753B"/>
    <w:rsid w:val="00DF7572"/>
    <w:rsid w:val="00DF7651"/>
    <w:rsid w:val="00DF78A4"/>
    <w:rsid w:val="00DF7E9D"/>
    <w:rsid w:val="00E002F6"/>
    <w:rsid w:val="00E00AF4"/>
    <w:rsid w:val="00E01375"/>
    <w:rsid w:val="00E01463"/>
    <w:rsid w:val="00E01A6B"/>
    <w:rsid w:val="00E01CC7"/>
    <w:rsid w:val="00E02991"/>
    <w:rsid w:val="00E03163"/>
    <w:rsid w:val="00E03B99"/>
    <w:rsid w:val="00E0489E"/>
    <w:rsid w:val="00E04F2F"/>
    <w:rsid w:val="00E052C8"/>
    <w:rsid w:val="00E05E0A"/>
    <w:rsid w:val="00E060BE"/>
    <w:rsid w:val="00E062E2"/>
    <w:rsid w:val="00E06416"/>
    <w:rsid w:val="00E06779"/>
    <w:rsid w:val="00E0683F"/>
    <w:rsid w:val="00E1034D"/>
    <w:rsid w:val="00E10452"/>
    <w:rsid w:val="00E10E29"/>
    <w:rsid w:val="00E129C9"/>
    <w:rsid w:val="00E12BBE"/>
    <w:rsid w:val="00E131EA"/>
    <w:rsid w:val="00E139DC"/>
    <w:rsid w:val="00E13A76"/>
    <w:rsid w:val="00E13D0F"/>
    <w:rsid w:val="00E16101"/>
    <w:rsid w:val="00E16AAC"/>
    <w:rsid w:val="00E2155A"/>
    <w:rsid w:val="00E216B8"/>
    <w:rsid w:val="00E21A76"/>
    <w:rsid w:val="00E2266F"/>
    <w:rsid w:val="00E23E43"/>
    <w:rsid w:val="00E24519"/>
    <w:rsid w:val="00E24857"/>
    <w:rsid w:val="00E25479"/>
    <w:rsid w:val="00E25DC1"/>
    <w:rsid w:val="00E26C8D"/>
    <w:rsid w:val="00E26F95"/>
    <w:rsid w:val="00E27337"/>
    <w:rsid w:val="00E27608"/>
    <w:rsid w:val="00E30423"/>
    <w:rsid w:val="00E3092E"/>
    <w:rsid w:val="00E30ADE"/>
    <w:rsid w:val="00E3144A"/>
    <w:rsid w:val="00E32863"/>
    <w:rsid w:val="00E3419F"/>
    <w:rsid w:val="00E348B6"/>
    <w:rsid w:val="00E36456"/>
    <w:rsid w:val="00E3651B"/>
    <w:rsid w:val="00E37B24"/>
    <w:rsid w:val="00E40697"/>
    <w:rsid w:val="00E40B05"/>
    <w:rsid w:val="00E42047"/>
    <w:rsid w:val="00E42E08"/>
    <w:rsid w:val="00E4302C"/>
    <w:rsid w:val="00E4334D"/>
    <w:rsid w:val="00E433C6"/>
    <w:rsid w:val="00E442C8"/>
    <w:rsid w:val="00E44594"/>
    <w:rsid w:val="00E44D6B"/>
    <w:rsid w:val="00E45320"/>
    <w:rsid w:val="00E45F0E"/>
    <w:rsid w:val="00E45F3F"/>
    <w:rsid w:val="00E474A8"/>
    <w:rsid w:val="00E47A98"/>
    <w:rsid w:val="00E512DA"/>
    <w:rsid w:val="00E521C9"/>
    <w:rsid w:val="00E52C3D"/>
    <w:rsid w:val="00E534CF"/>
    <w:rsid w:val="00E538D3"/>
    <w:rsid w:val="00E54130"/>
    <w:rsid w:val="00E54251"/>
    <w:rsid w:val="00E55390"/>
    <w:rsid w:val="00E553F7"/>
    <w:rsid w:val="00E556E8"/>
    <w:rsid w:val="00E56D4F"/>
    <w:rsid w:val="00E5777D"/>
    <w:rsid w:val="00E57794"/>
    <w:rsid w:val="00E577D8"/>
    <w:rsid w:val="00E609EA"/>
    <w:rsid w:val="00E61918"/>
    <w:rsid w:val="00E62003"/>
    <w:rsid w:val="00E64159"/>
    <w:rsid w:val="00E64CFD"/>
    <w:rsid w:val="00E6541F"/>
    <w:rsid w:val="00E65533"/>
    <w:rsid w:val="00E6631B"/>
    <w:rsid w:val="00E66A24"/>
    <w:rsid w:val="00E66EF8"/>
    <w:rsid w:val="00E67492"/>
    <w:rsid w:val="00E6757C"/>
    <w:rsid w:val="00E70525"/>
    <w:rsid w:val="00E705F0"/>
    <w:rsid w:val="00E70E14"/>
    <w:rsid w:val="00E71517"/>
    <w:rsid w:val="00E71D32"/>
    <w:rsid w:val="00E72226"/>
    <w:rsid w:val="00E726A8"/>
    <w:rsid w:val="00E726AD"/>
    <w:rsid w:val="00E73C12"/>
    <w:rsid w:val="00E73CF4"/>
    <w:rsid w:val="00E759AB"/>
    <w:rsid w:val="00E759E4"/>
    <w:rsid w:val="00E75D91"/>
    <w:rsid w:val="00E764CC"/>
    <w:rsid w:val="00E76552"/>
    <w:rsid w:val="00E777F9"/>
    <w:rsid w:val="00E77825"/>
    <w:rsid w:val="00E77C52"/>
    <w:rsid w:val="00E80AA0"/>
    <w:rsid w:val="00E81AA5"/>
    <w:rsid w:val="00E81CB4"/>
    <w:rsid w:val="00E8243D"/>
    <w:rsid w:val="00E82735"/>
    <w:rsid w:val="00E82A33"/>
    <w:rsid w:val="00E83403"/>
    <w:rsid w:val="00E83543"/>
    <w:rsid w:val="00E8365B"/>
    <w:rsid w:val="00E83699"/>
    <w:rsid w:val="00E8393E"/>
    <w:rsid w:val="00E83CE6"/>
    <w:rsid w:val="00E83DD8"/>
    <w:rsid w:val="00E83DF2"/>
    <w:rsid w:val="00E83EE2"/>
    <w:rsid w:val="00E83F58"/>
    <w:rsid w:val="00E844FD"/>
    <w:rsid w:val="00E848F3"/>
    <w:rsid w:val="00E8535E"/>
    <w:rsid w:val="00E8585B"/>
    <w:rsid w:val="00E862E0"/>
    <w:rsid w:val="00E86C55"/>
    <w:rsid w:val="00E86F44"/>
    <w:rsid w:val="00E87CCE"/>
    <w:rsid w:val="00E87F41"/>
    <w:rsid w:val="00E905C9"/>
    <w:rsid w:val="00E90B82"/>
    <w:rsid w:val="00E90E21"/>
    <w:rsid w:val="00E920A5"/>
    <w:rsid w:val="00E92880"/>
    <w:rsid w:val="00E93211"/>
    <w:rsid w:val="00E9330F"/>
    <w:rsid w:val="00E93D10"/>
    <w:rsid w:val="00E93DFB"/>
    <w:rsid w:val="00E952BD"/>
    <w:rsid w:val="00E9577E"/>
    <w:rsid w:val="00E97083"/>
    <w:rsid w:val="00E973B0"/>
    <w:rsid w:val="00E9776F"/>
    <w:rsid w:val="00EA0759"/>
    <w:rsid w:val="00EA1273"/>
    <w:rsid w:val="00EA20BE"/>
    <w:rsid w:val="00EA32D9"/>
    <w:rsid w:val="00EA3726"/>
    <w:rsid w:val="00EA396E"/>
    <w:rsid w:val="00EA3D63"/>
    <w:rsid w:val="00EA3F15"/>
    <w:rsid w:val="00EA43D4"/>
    <w:rsid w:val="00EA464D"/>
    <w:rsid w:val="00EA69C9"/>
    <w:rsid w:val="00EA74EE"/>
    <w:rsid w:val="00EA7847"/>
    <w:rsid w:val="00EA7B08"/>
    <w:rsid w:val="00EA7B8D"/>
    <w:rsid w:val="00EA7BB7"/>
    <w:rsid w:val="00EB0CEC"/>
    <w:rsid w:val="00EB16F4"/>
    <w:rsid w:val="00EB1FC3"/>
    <w:rsid w:val="00EB2176"/>
    <w:rsid w:val="00EB29E1"/>
    <w:rsid w:val="00EB2AD3"/>
    <w:rsid w:val="00EB2F92"/>
    <w:rsid w:val="00EB31C1"/>
    <w:rsid w:val="00EB352A"/>
    <w:rsid w:val="00EB363F"/>
    <w:rsid w:val="00EB3D1E"/>
    <w:rsid w:val="00EB3FCB"/>
    <w:rsid w:val="00EB432F"/>
    <w:rsid w:val="00EB4576"/>
    <w:rsid w:val="00EB4C2F"/>
    <w:rsid w:val="00EB500D"/>
    <w:rsid w:val="00EB5054"/>
    <w:rsid w:val="00EB50EB"/>
    <w:rsid w:val="00EB551F"/>
    <w:rsid w:val="00EB63E6"/>
    <w:rsid w:val="00EB701B"/>
    <w:rsid w:val="00EC0085"/>
    <w:rsid w:val="00EC08D5"/>
    <w:rsid w:val="00EC0F0F"/>
    <w:rsid w:val="00EC1BA0"/>
    <w:rsid w:val="00EC1F80"/>
    <w:rsid w:val="00EC24EC"/>
    <w:rsid w:val="00EC3C43"/>
    <w:rsid w:val="00EC3F5E"/>
    <w:rsid w:val="00EC40A1"/>
    <w:rsid w:val="00EC559B"/>
    <w:rsid w:val="00EC5748"/>
    <w:rsid w:val="00EC5A4B"/>
    <w:rsid w:val="00EC5ED1"/>
    <w:rsid w:val="00EC688C"/>
    <w:rsid w:val="00EC6B7F"/>
    <w:rsid w:val="00EC7620"/>
    <w:rsid w:val="00EC7BE2"/>
    <w:rsid w:val="00ED0150"/>
    <w:rsid w:val="00ED06F9"/>
    <w:rsid w:val="00ED0D19"/>
    <w:rsid w:val="00ED118E"/>
    <w:rsid w:val="00ED130C"/>
    <w:rsid w:val="00ED2AFF"/>
    <w:rsid w:val="00ED39B5"/>
    <w:rsid w:val="00ED3F24"/>
    <w:rsid w:val="00ED48E6"/>
    <w:rsid w:val="00ED5475"/>
    <w:rsid w:val="00ED5792"/>
    <w:rsid w:val="00ED5D82"/>
    <w:rsid w:val="00ED5FF2"/>
    <w:rsid w:val="00ED6602"/>
    <w:rsid w:val="00ED7133"/>
    <w:rsid w:val="00ED7DB3"/>
    <w:rsid w:val="00EE14D6"/>
    <w:rsid w:val="00EE1951"/>
    <w:rsid w:val="00EE1A46"/>
    <w:rsid w:val="00EE259D"/>
    <w:rsid w:val="00EE2C67"/>
    <w:rsid w:val="00EE2E6E"/>
    <w:rsid w:val="00EE36B2"/>
    <w:rsid w:val="00EE3FCD"/>
    <w:rsid w:val="00EE4659"/>
    <w:rsid w:val="00EE4FE4"/>
    <w:rsid w:val="00EE5307"/>
    <w:rsid w:val="00EE5D30"/>
    <w:rsid w:val="00EE5E12"/>
    <w:rsid w:val="00EE5E86"/>
    <w:rsid w:val="00EE5F87"/>
    <w:rsid w:val="00EE5FCC"/>
    <w:rsid w:val="00EE62C0"/>
    <w:rsid w:val="00EE64AA"/>
    <w:rsid w:val="00EE6EDD"/>
    <w:rsid w:val="00EE76C0"/>
    <w:rsid w:val="00EF06B0"/>
    <w:rsid w:val="00EF1262"/>
    <w:rsid w:val="00EF1592"/>
    <w:rsid w:val="00EF29FE"/>
    <w:rsid w:val="00EF3279"/>
    <w:rsid w:val="00EF335B"/>
    <w:rsid w:val="00EF390A"/>
    <w:rsid w:val="00EF442D"/>
    <w:rsid w:val="00EF4BB0"/>
    <w:rsid w:val="00EF52E6"/>
    <w:rsid w:val="00EF5849"/>
    <w:rsid w:val="00EF66A2"/>
    <w:rsid w:val="00EF69AA"/>
    <w:rsid w:val="00EF6FAC"/>
    <w:rsid w:val="00EF70EB"/>
    <w:rsid w:val="00EF7546"/>
    <w:rsid w:val="00EF7848"/>
    <w:rsid w:val="00EF7EDC"/>
    <w:rsid w:val="00F0030B"/>
    <w:rsid w:val="00F0035C"/>
    <w:rsid w:val="00F00B67"/>
    <w:rsid w:val="00F00C90"/>
    <w:rsid w:val="00F0138E"/>
    <w:rsid w:val="00F01595"/>
    <w:rsid w:val="00F01EB4"/>
    <w:rsid w:val="00F021E4"/>
    <w:rsid w:val="00F02C0E"/>
    <w:rsid w:val="00F03B65"/>
    <w:rsid w:val="00F044B6"/>
    <w:rsid w:val="00F04810"/>
    <w:rsid w:val="00F049C4"/>
    <w:rsid w:val="00F04C88"/>
    <w:rsid w:val="00F04C90"/>
    <w:rsid w:val="00F04F0D"/>
    <w:rsid w:val="00F06CF1"/>
    <w:rsid w:val="00F0758C"/>
    <w:rsid w:val="00F0759E"/>
    <w:rsid w:val="00F11188"/>
    <w:rsid w:val="00F11688"/>
    <w:rsid w:val="00F118A1"/>
    <w:rsid w:val="00F11ACC"/>
    <w:rsid w:val="00F11B52"/>
    <w:rsid w:val="00F12851"/>
    <w:rsid w:val="00F12D6F"/>
    <w:rsid w:val="00F13847"/>
    <w:rsid w:val="00F13E43"/>
    <w:rsid w:val="00F14D41"/>
    <w:rsid w:val="00F14F2F"/>
    <w:rsid w:val="00F150EC"/>
    <w:rsid w:val="00F151A8"/>
    <w:rsid w:val="00F1690F"/>
    <w:rsid w:val="00F16A43"/>
    <w:rsid w:val="00F16E29"/>
    <w:rsid w:val="00F178D8"/>
    <w:rsid w:val="00F17914"/>
    <w:rsid w:val="00F17B18"/>
    <w:rsid w:val="00F17F03"/>
    <w:rsid w:val="00F224BD"/>
    <w:rsid w:val="00F231C2"/>
    <w:rsid w:val="00F2375C"/>
    <w:rsid w:val="00F23A14"/>
    <w:rsid w:val="00F246AE"/>
    <w:rsid w:val="00F2506A"/>
    <w:rsid w:val="00F25482"/>
    <w:rsid w:val="00F26E7B"/>
    <w:rsid w:val="00F270E9"/>
    <w:rsid w:val="00F2718C"/>
    <w:rsid w:val="00F27561"/>
    <w:rsid w:val="00F27E0E"/>
    <w:rsid w:val="00F302BD"/>
    <w:rsid w:val="00F304FE"/>
    <w:rsid w:val="00F30572"/>
    <w:rsid w:val="00F30906"/>
    <w:rsid w:val="00F3091D"/>
    <w:rsid w:val="00F30C9E"/>
    <w:rsid w:val="00F3147E"/>
    <w:rsid w:val="00F3199B"/>
    <w:rsid w:val="00F31E23"/>
    <w:rsid w:val="00F3317E"/>
    <w:rsid w:val="00F337B3"/>
    <w:rsid w:val="00F34E06"/>
    <w:rsid w:val="00F353B0"/>
    <w:rsid w:val="00F35F07"/>
    <w:rsid w:val="00F35F1B"/>
    <w:rsid w:val="00F35F6F"/>
    <w:rsid w:val="00F37A1B"/>
    <w:rsid w:val="00F40496"/>
    <w:rsid w:val="00F4085D"/>
    <w:rsid w:val="00F40882"/>
    <w:rsid w:val="00F41324"/>
    <w:rsid w:val="00F42192"/>
    <w:rsid w:val="00F42E0E"/>
    <w:rsid w:val="00F42EF2"/>
    <w:rsid w:val="00F44682"/>
    <w:rsid w:val="00F4468D"/>
    <w:rsid w:val="00F4625D"/>
    <w:rsid w:val="00F46369"/>
    <w:rsid w:val="00F46780"/>
    <w:rsid w:val="00F46B9D"/>
    <w:rsid w:val="00F46CEC"/>
    <w:rsid w:val="00F47B75"/>
    <w:rsid w:val="00F50305"/>
    <w:rsid w:val="00F50702"/>
    <w:rsid w:val="00F50748"/>
    <w:rsid w:val="00F50AC4"/>
    <w:rsid w:val="00F51218"/>
    <w:rsid w:val="00F51A86"/>
    <w:rsid w:val="00F51C53"/>
    <w:rsid w:val="00F51DED"/>
    <w:rsid w:val="00F51E0C"/>
    <w:rsid w:val="00F52662"/>
    <w:rsid w:val="00F52701"/>
    <w:rsid w:val="00F52CB1"/>
    <w:rsid w:val="00F532BA"/>
    <w:rsid w:val="00F54493"/>
    <w:rsid w:val="00F54C93"/>
    <w:rsid w:val="00F5566F"/>
    <w:rsid w:val="00F559EF"/>
    <w:rsid w:val="00F55A19"/>
    <w:rsid w:val="00F56125"/>
    <w:rsid w:val="00F56FBF"/>
    <w:rsid w:val="00F572F3"/>
    <w:rsid w:val="00F57709"/>
    <w:rsid w:val="00F57CCB"/>
    <w:rsid w:val="00F60921"/>
    <w:rsid w:val="00F609B1"/>
    <w:rsid w:val="00F6105A"/>
    <w:rsid w:val="00F61473"/>
    <w:rsid w:val="00F619CE"/>
    <w:rsid w:val="00F6205E"/>
    <w:rsid w:val="00F62A1B"/>
    <w:rsid w:val="00F63661"/>
    <w:rsid w:val="00F63C2B"/>
    <w:rsid w:val="00F64373"/>
    <w:rsid w:val="00F65511"/>
    <w:rsid w:val="00F65D96"/>
    <w:rsid w:val="00F6727E"/>
    <w:rsid w:val="00F67613"/>
    <w:rsid w:val="00F678DC"/>
    <w:rsid w:val="00F70043"/>
    <w:rsid w:val="00F707F6"/>
    <w:rsid w:val="00F72B25"/>
    <w:rsid w:val="00F72B61"/>
    <w:rsid w:val="00F72FDD"/>
    <w:rsid w:val="00F73E95"/>
    <w:rsid w:val="00F74C38"/>
    <w:rsid w:val="00F75EFB"/>
    <w:rsid w:val="00F75FDE"/>
    <w:rsid w:val="00F7693A"/>
    <w:rsid w:val="00F76BB6"/>
    <w:rsid w:val="00F76C1D"/>
    <w:rsid w:val="00F76CA5"/>
    <w:rsid w:val="00F76FD7"/>
    <w:rsid w:val="00F7760D"/>
    <w:rsid w:val="00F77B04"/>
    <w:rsid w:val="00F77D2D"/>
    <w:rsid w:val="00F800C1"/>
    <w:rsid w:val="00F80317"/>
    <w:rsid w:val="00F80710"/>
    <w:rsid w:val="00F80D02"/>
    <w:rsid w:val="00F8199C"/>
    <w:rsid w:val="00F81DAE"/>
    <w:rsid w:val="00F81FAA"/>
    <w:rsid w:val="00F821A3"/>
    <w:rsid w:val="00F84174"/>
    <w:rsid w:val="00F84552"/>
    <w:rsid w:val="00F84BC3"/>
    <w:rsid w:val="00F85ABB"/>
    <w:rsid w:val="00F86028"/>
    <w:rsid w:val="00F86162"/>
    <w:rsid w:val="00F86B1B"/>
    <w:rsid w:val="00F86BEA"/>
    <w:rsid w:val="00F8748F"/>
    <w:rsid w:val="00F874D4"/>
    <w:rsid w:val="00F878E2"/>
    <w:rsid w:val="00F87BDE"/>
    <w:rsid w:val="00F9018B"/>
    <w:rsid w:val="00F91043"/>
    <w:rsid w:val="00F91C11"/>
    <w:rsid w:val="00F9246F"/>
    <w:rsid w:val="00F9309A"/>
    <w:rsid w:val="00F9314A"/>
    <w:rsid w:val="00F93F82"/>
    <w:rsid w:val="00F940B2"/>
    <w:rsid w:val="00F946F4"/>
    <w:rsid w:val="00F94BC2"/>
    <w:rsid w:val="00F94E61"/>
    <w:rsid w:val="00F95AF6"/>
    <w:rsid w:val="00F95D08"/>
    <w:rsid w:val="00F95FB9"/>
    <w:rsid w:val="00F96006"/>
    <w:rsid w:val="00F960C4"/>
    <w:rsid w:val="00F96605"/>
    <w:rsid w:val="00F96FD0"/>
    <w:rsid w:val="00F97186"/>
    <w:rsid w:val="00F9742E"/>
    <w:rsid w:val="00F975A8"/>
    <w:rsid w:val="00F97B70"/>
    <w:rsid w:val="00FA1462"/>
    <w:rsid w:val="00FA148D"/>
    <w:rsid w:val="00FA2CC7"/>
    <w:rsid w:val="00FA37AC"/>
    <w:rsid w:val="00FA3A57"/>
    <w:rsid w:val="00FA3E88"/>
    <w:rsid w:val="00FA4C06"/>
    <w:rsid w:val="00FA5BD7"/>
    <w:rsid w:val="00FA6777"/>
    <w:rsid w:val="00FA75EC"/>
    <w:rsid w:val="00FA79FB"/>
    <w:rsid w:val="00FA7C0F"/>
    <w:rsid w:val="00FB19E8"/>
    <w:rsid w:val="00FB1BF4"/>
    <w:rsid w:val="00FB1DA9"/>
    <w:rsid w:val="00FB2117"/>
    <w:rsid w:val="00FB24A5"/>
    <w:rsid w:val="00FB2A38"/>
    <w:rsid w:val="00FB2CC6"/>
    <w:rsid w:val="00FB3258"/>
    <w:rsid w:val="00FB34B6"/>
    <w:rsid w:val="00FB397E"/>
    <w:rsid w:val="00FB41A3"/>
    <w:rsid w:val="00FB41DE"/>
    <w:rsid w:val="00FB4D42"/>
    <w:rsid w:val="00FB5CA9"/>
    <w:rsid w:val="00FB5EC8"/>
    <w:rsid w:val="00FB61D1"/>
    <w:rsid w:val="00FB6765"/>
    <w:rsid w:val="00FB6C27"/>
    <w:rsid w:val="00FB739E"/>
    <w:rsid w:val="00FB7A02"/>
    <w:rsid w:val="00FC0209"/>
    <w:rsid w:val="00FC0C37"/>
    <w:rsid w:val="00FC0E8A"/>
    <w:rsid w:val="00FC1D26"/>
    <w:rsid w:val="00FC21CE"/>
    <w:rsid w:val="00FC3D74"/>
    <w:rsid w:val="00FC4B39"/>
    <w:rsid w:val="00FC4BFD"/>
    <w:rsid w:val="00FC524D"/>
    <w:rsid w:val="00FC5798"/>
    <w:rsid w:val="00FC58EF"/>
    <w:rsid w:val="00FC5ADC"/>
    <w:rsid w:val="00FC64D4"/>
    <w:rsid w:val="00FC783B"/>
    <w:rsid w:val="00FC7D0C"/>
    <w:rsid w:val="00FD0369"/>
    <w:rsid w:val="00FD05AF"/>
    <w:rsid w:val="00FD0C4E"/>
    <w:rsid w:val="00FD1049"/>
    <w:rsid w:val="00FD15F5"/>
    <w:rsid w:val="00FD1785"/>
    <w:rsid w:val="00FD1A92"/>
    <w:rsid w:val="00FD24E3"/>
    <w:rsid w:val="00FD259A"/>
    <w:rsid w:val="00FD281E"/>
    <w:rsid w:val="00FD30B2"/>
    <w:rsid w:val="00FD30C0"/>
    <w:rsid w:val="00FD31B0"/>
    <w:rsid w:val="00FD3268"/>
    <w:rsid w:val="00FD33B7"/>
    <w:rsid w:val="00FD33DF"/>
    <w:rsid w:val="00FD3882"/>
    <w:rsid w:val="00FD3CBE"/>
    <w:rsid w:val="00FD43EF"/>
    <w:rsid w:val="00FD69B7"/>
    <w:rsid w:val="00FD6A8D"/>
    <w:rsid w:val="00FD6BEC"/>
    <w:rsid w:val="00FD7B88"/>
    <w:rsid w:val="00FE0158"/>
    <w:rsid w:val="00FE1006"/>
    <w:rsid w:val="00FE1761"/>
    <w:rsid w:val="00FE304A"/>
    <w:rsid w:val="00FE354F"/>
    <w:rsid w:val="00FE38A0"/>
    <w:rsid w:val="00FE39D7"/>
    <w:rsid w:val="00FE460F"/>
    <w:rsid w:val="00FE495B"/>
    <w:rsid w:val="00FE4E0E"/>
    <w:rsid w:val="00FE4ECD"/>
    <w:rsid w:val="00FE5350"/>
    <w:rsid w:val="00FE5522"/>
    <w:rsid w:val="00FE5A14"/>
    <w:rsid w:val="00FE5D12"/>
    <w:rsid w:val="00FE6205"/>
    <w:rsid w:val="00FE6FC4"/>
    <w:rsid w:val="00FE771C"/>
    <w:rsid w:val="00FE7BCD"/>
    <w:rsid w:val="00FE7EAA"/>
    <w:rsid w:val="00FF02BE"/>
    <w:rsid w:val="00FF0767"/>
    <w:rsid w:val="00FF0A41"/>
    <w:rsid w:val="00FF0A56"/>
    <w:rsid w:val="00FF1383"/>
    <w:rsid w:val="00FF1AA4"/>
    <w:rsid w:val="00FF2D46"/>
    <w:rsid w:val="00FF3178"/>
    <w:rsid w:val="00FF381D"/>
    <w:rsid w:val="00FF4689"/>
    <w:rsid w:val="00FF6105"/>
    <w:rsid w:val="00FF6349"/>
    <w:rsid w:val="00FF75C5"/>
    <w:rsid w:val="00FF7A97"/>
    <w:rsid w:val="00FF7C13"/>
    <w:rsid w:val="3322F8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C065278"/>
  <w15:chartTrackingRefBased/>
  <w15:docId w15:val="{B7E7C510-79F6-48B5-89E0-AE1C5F1D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4C"/>
    <w:pPr>
      <w:spacing w:before="120" w:after="120"/>
      <w:jc w:val="both"/>
    </w:pPr>
    <w:rPr>
      <w:rFonts w:ascii="Bookman Old Style" w:hAnsi="Bookman Old Style"/>
      <w:sz w:val="24"/>
      <w:szCs w:val="24"/>
      <w:lang w:val="es-ES" w:eastAsia="es-ES"/>
    </w:rPr>
  </w:style>
  <w:style w:type="paragraph" w:styleId="Ttulo1">
    <w:name w:val="heading 1"/>
    <w:basedOn w:val="Heading"/>
    <w:next w:val="Normal"/>
    <w:link w:val="Ttulo1Car"/>
    <w:qFormat/>
    <w:rsid w:val="00AC01A4"/>
    <w:pPr>
      <w:numPr>
        <w:numId w:val="24"/>
      </w:numPr>
      <w:jc w:val="center"/>
      <w:outlineLvl w:val="0"/>
    </w:pPr>
    <w:rPr>
      <w:rFonts w:ascii="Bookman Old Style" w:hAnsi="Bookman Old Style"/>
      <w:b/>
      <w:sz w:val="24"/>
      <w:szCs w:val="24"/>
    </w:rPr>
  </w:style>
  <w:style w:type="paragraph" w:styleId="Ttulo2">
    <w:name w:val="heading 2"/>
    <w:basedOn w:val="Normal"/>
    <w:next w:val="Normal"/>
    <w:link w:val="Ttulo2Car"/>
    <w:unhideWhenUsed/>
    <w:qFormat/>
    <w:rsid w:val="00045F93"/>
    <w:pPr>
      <w:keepNext/>
      <w:numPr>
        <w:ilvl w:val="1"/>
        <w:numId w:val="22"/>
      </w:numPr>
      <w:spacing w:before="240" w:after="60"/>
      <w:ind w:left="0" w:firstLine="0"/>
      <w:outlineLvl w:val="1"/>
    </w:pPr>
    <w:rPr>
      <w:b/>
      <w:bCs/>
      <w:caps/>
    </w:rPr>
  </w:style>
  <w:style w:type="paragraph" w:styleId="Ttulo3">
    <w:name w:val="heading 3"/>
    <w:basedOn w:val="Ttulo2"/>
    <w:next w:val="Normal"/>
    <w:link w:val="Ttulo3Car"/>
    <w:uiPriority w:val="9"/>
    <w:qFormat/>
    <w:rsid w:val="00045F93"/>
    <w:pPr>
      <w:numPr>
        <w:ilvl w:val="2"/>
      </w:numPr>
      <w:outlineLvl w:val="2"/>
    </w:pPr>
    <w:rPr>
      <w:caps w:val="0"/>
    </w:rPr>
  </w:style>
  <w:style w:type="paragraph" w:styleId="Ttulo4">
    <w:name w:val="heading 4"/>
    <w:basedOn w:val="Ttulo3"/>
    <w:next w:val="Normal"/>
    <w:link w:val="Ttulo4Car"/>
    <w:qFormat/>
    <w:rsid w:val="00D934F9"/>
    <w:pPr>
      <w:numPr>
        <w:ilvl w:val="3"/>
      </w:numPr>
      <w:ind w:left="360" w:firstLine="72"/>
      <w:outlineLvl w:val="3"/>
    </w:p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uiPriority w:val="9"/>
    <w:rsid w:val="00045F93"/>
    <w:rPr>
      <w:rFonts w:ascii="Bookman Old Style" w:hAnsi="Bookman Old Style"/>
      <w:b/>
      <w:bCs/>
      <w:sz w:val="24"/>
      <w:szCs w:val="24"/>
      <w:lang w:val="es-ES" w:eastAsia="es-ES"/>
    </w:rPr>
  </w:style>
  <w:style w:type="character" w:customStyle="1" w:styleId="Ttulo4Car">
    <w:name w:val="Título 4 Car"/>
    <w:link w:val="Ttulo4"/>
    <w:rsid w:val="00D934F9"/>
    <w:rPr>
      <w:rFonts w:ascii="Bookman Old Style" w:hAnsi="Bookman Old Style"/>
      <w:b/>
      <w:bCs/>
      <w:sz w:val="24"/>
      <w:szCs w:val="24"/>
      <w:lang w:val="es-ES"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D2560E"/>
    <w:pPr>
      <w:numPr>
        <w:numId w:val="10"/>
      </w:numPr>
      <w:spacing w:before="240" w:after="240"/>
    </w:pPr>
    <w:rPr>
      <w:szCs w:val="20"/>
      <w:lang w:val="es-CO"/>
    </w:rPr>
  </w:style>
  <w:style w:type="character" w:customStyle="1" w:styleId="PrrafodelistaCar">
    <w:name w:val="Párrafo de lista Car"/>
    <w:link w:val="Prrafodelista"/>
    <w:rsid w:val="00D2560E"/>
    <w:rPr>
      <w:rFonts w:ascii="Bookman Old Style" w:hAnsi="Bookman Old Style"/>
      <w:sz w:val="24"/>
      <w:lang w:eastAsia="es-ES"/>
    </w:rPr>
  </w:style>
  <w:style w:type="paragraph" w:styleId="TDC1">
    <w:name w:val="toc 1"/>
    <w:basedOn w:val="Normal"/>
    <w:next w:val="Normal"/>
    <w:autoRedefine/>
    <w:uiPriority w:val="39"/>
    <w:qFormat/>
    <w:rsid w:val="00F46B9D"/>
    <w:pPr>
      <w:tabs>
        <w:tab w:val="left" w:pos="480"/>
        <w:tab w:val="left" w:pos="1843"/>
        <w:tab w:val="right" w:leader="dot" w:pos="8828"/>
      </w:tabs>
    </w:pPr>
    <w:rPr>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045F93"/>
    <w:rPr>
      <w:rFonts w:ascii="Bookman Old Style" w:hAnsi="Bookman Old Style"/>
      <w:b/>
      <w:bCs/>
      <w:caps/>
      <w:sz w:val="24"/>
      <w:szCs w:val="24"/>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ind w:left="425"/>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526A6A"/>
    <w:pPr>
      <w:keepNext/>
      <w:widowControl w:val="0"/>
      <w:adjustRightInd w:val="0"/>
      <w:spacing w:before="60" w:after="180" w:line="360" w:lineRule="atLeast"/>
      <w:jc w:val="center"/>
      <w:textAlignment w:val="baseline"/>
    </w:pPr>
    <w:rPr>
      <w:sz w:val="22"/>
      <w:szCs w:val="20"/>
    </w:rPr>
  </w:style>
  <w:style w:type="character" w:customStyle="1" w:styleId="DescripcinCar">
    <w:name w:val="Descripción Car"/>
    <w:link w:val="Descripcin"/>
    <w:uiPriority w:val="35"/>
    <w:rsid w:val="00526A6A"/>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AC01A4"/>
    <w:rPr>
      <w:rFonts w:ascii="Bookman Old Style" w:eastAsia="DejaVu Sans" w:hAnsi="Bookman Old Style" w:cs="DejaVu Sans"/>
      <w:b/>
      <w:sz w:val="24"/>
      <w:szCs w:val="24"/>
      <w:lang w:eastAsia="ar-SA"/>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styleId="Tablaconcuadrculaclara">
    <w:name w:val="Grid Table Light"/>
    <w:basedOn w:val="Tablanormal"/>
    <w:uiPriority w:val="40"/>
    <w:rsid w:val="0023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j">
    <w:name w:val="b_aj"/>
    <w:basedOn w:val="Fuentedeprrafopredeter"/>
    <w:rsid w:val="00EB701B"/>
  </w:style>
  <w:style w:type="character" w:styleId="Mencinsinresolver">
    <w:name w:val="Unresolved Mention"/>
    <w:basedOn w:val="Fuentedeprrafopredeter"/>
    <w:uiPriority w:val="99"/>
    <w:semiHidden/>
    <w:unhideWhenUsed/>
    <w:rsid w:val="000B6EAC"/>
    <w:rPr>
      <w:color w:val="605E5C"/>
      <w:shd w:val="clear" w:color="auto" w:fill="E1DFDD"/>
    </w:rPr>
  </w:style>
  <w:style w:type="character" w:customStyle="1" w:styleId="ui-provider">
    <w:name w:val="ui-provider"/>
    <w:basedOn w:val="Fuentedeprrafopredeter"/>
    <w:rsid w:val="00307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61683069">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71893614">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40470315">
      <w:bodyDiv w:val="1"/>
      <w:marLeft w:val="0"/>
      <w:marRight w:val="0"/>
      <w:marTop w:val="0"/>
      <w:marBottom w:val="0"/>
      <w:divBdr>
        <w:top w:val="none" w:sz="0" w:space="0" w:color="auto"/>
        <w:left w:val="none" w:sz="0" w:space="0" w:color="auto"/>
        <w:bottom w:val="none" w:sz="0" w:space="0" w:color="auto"/>
        <w:right w:val="none" w:sz="0" w:space="0" w:color="auto"/>
      </w:divBdr>
    </w:div>
    <w:div w:id="156312074">
      <w:bodyDiv w:val="1"/>
      <w:marLeft w:val="0"/>
      <w:marRight w:val="0"/>
      <w:marTop w:val="0"/>
      <w:marBottom w:val="0"/>
      <w:divBdr>
        <w:top w:val="none" w:sz="0" w:space="0" w:color="auto"/>
        <w:left w:val="none" w:sz="0" w:space="0" w:color="auto"/>
        <w:bottom w:val="none" w:sz="0" w:space="0" w:color="auto"/>
        <w:right w:val="none" w:sz="0" w:space="0" w:color="auto"/>
      </w:divBdr>
    </w:div>
    <w:div w:id="205801749">
      <w:bodyDiv w:val="1"/>
      <w:marLeft w:val="0"/>
      <w:marRight w:val="0"/>
      <w:marTop w:val="0"/>
      <w:marBottom w:val="0"/>
      <w:divBdr>
        <w:top w:val="none" w:sz="0" w:space="0" w:color="auto"/>
        <w:left w:val="none" w:sz="0" w:space="0" w:color="auto"/>
        <w:bottom w:val="none" w:sz="0" w:space="0" w:color="auto"/>
        <w:right w:val="none" w:sz="0" w:space="0" w:color="auto"/>
      </w:divBdr>
    </w:div>
    <w:div w:id="269362176">
      <w:bodyDiv w:val="1"/>
      <w:marLeft w:val="0"/>
      <w:marRight w:val="0"/>
      <w:marTop w:val="0"/>
      <w:marBottom w:val="0"/>
      <w:divBdr>
        <w:top w:val="none" w:sz="0" w:space="0" w:color="auto"/>
        <w:left w:val="none" w:sz="0" w:space="0" w:color="auto"/>
        <w:bottom w:val="none" w:sz="0" w:space="0" w:color="auto"/>
        <w:right w:val="none" w:sz="0" w:space="0" w:color="auto"/>
      </w:divBdr>
    </w:div>
    <w:div w:id="272370328">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280067107">
      <w:bodyDiv w:val="1"/>
      <w:marLeft w:val="0"/>
      <w:marRight w:val="0"/>
      <w:marTop w:val="0"/>
      <w:marBottom w:val="0"/>
      <w:divBdr>
        <w:top w:val="none" w:sz="0" w:space="0" w:color="auto"/>
        <w:left w:val="none" w:sz="0" w:space="0" w:color="auto"/>
        <w:bottom w:val="none" w:sz="0" w:space="0" w:color="auto"/>
        <w:right w:val="none" w:sz="0" w:space="0" w:color="auto"/>
      </w:divBdr>
    </w:div>
    <w:div w:id="293869732">
      <w:bodyDiv w:val="1"/>
      <w:marLeft w:val="0"/>
      <w:marRight w:val="0"/>
      <w:marTop w:val="0"/>
      <w:marBottom w:val="0"/>
      <w:divBdr>
        <w:top w:val="none" w:sz="0" w:space="0" w:color="auto"/>
        <w:left w:val="none" w:sz="0" w:space="0" w:color="auto"/>
        <w:bottom w:val="none" w:sz="0" w:space="0" w:color="auto"/>
        <w:right w:val="none" w:sz="0" w:space="0" w:color="auto"/>
      </w:divBdr>
    </w:div>
    <w:div w:id="298075528">
      <w:bodyDiv w:val="1"/>
      <w:marLeft w:val="0"/>
      <w:marRight w:val="0"/>
      <w:marTop w:val="0"/>
      <w:marBottom w:val="0"/>
      <w:divBdr>
        <w:top w:val="none" w:sz="0" w:space="0" w:color="auto"/>
        <w:left w:val="none" w:sz="0" w:space="0" w:color="auto"/>
        <w:bottom w:val="none" w:sz="0" w:space="0" w:color="auto"/>
        <w:right w:val="none" w:sz="0" w:space="0" w:color="auto"/>
      </w:divBdr>
    </w:div>
    <w:div w:id="314989952">
      <w:bodyDiv w:val="1"/>
      <w:marLeft w:val="0"/>
      <w:marRight w:val="0"/>
      <w:marTop w:val="0"/>
      <w:marBottom w:val="0"/>
      <w:divBdr>
        <w:top w:val="none" w:sz="0" w:space="0" w:color="auto"/>
        <w:left w:val="none" w:sz="0" w:space="0" w:color="auto"/>
        <w:bottom w:val="none" w:sz="0" w:space="0" w:color="auto"/>
        <w:right w:val="none" w:sz="0" w:space="0" w:color="auto"/>
      </w:divBdr>
    </w:div>
    <w:div w:id="331106085">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49717990">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512575725">
      <w:bodyDiv w:val="1"/>
      <w:marLeft w:val="0"/>
      <w:marRight w:val="0"/>
      <w:marTop w:val="0"/>
      <w:marBottom w:val="0"/>
      <w:divBdr>
        <w:top w:val="none" w:sz="0" w:space="0" w:color="auto"/>
        <w:left w:val="none" w:sz="0" w:space="0" w:color="auto"/>
        <w:bottom w:val="none" w:sz="0" w:space="0" w:color="auto"/>
        <w:right w:val="none" w:sz="0" w:space="0" w:color="auto"/>
      </w:divBdr>
    </w:div>
    <w:div w:id="639072156">
      <w:bodyDiv w:val="1"/>
      <w:marLeft w:val="0"/>
      <w:marRight w:val="0"/>
      <w:marTop w:val="0"/>
      <w:marBottom w:val="0"/>
      <w:divBdr>
        <w:top w:val="none" w:sz="0" w:space="0" w:color="auto"/>
        <w:left w:val="none" w:sz="0" w:space="0" w:color="auto"/>
        <w:bottom w:val="none" w:sz="0" w:space="0" w:color="auto"/>
        <w:right w:val="none" w:sz="0" w:space="0" w:color="auto"/>
      </w:divBdr>
    </w:div>
    <w:div w:id="639724377">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86236283">
      <w:bodyDiv w:val="1"/>
      <w:marLeft w:val="0"/>
      <w:marRight w:val="0"/>
      <w:marTop w:val="0"/>
      <w:marBottom w:val="0"/>
      <w:divBdr>
        <w:top w:val="none" w:sz="0" w:space="0" w:color="auto"/>
        <w:left w:val="none" w:sz="0" w:space="0" w:color="auto"/>
        <w:bottom w:val="none" w:sz="0" w:space="0" w:color="auto"/>
        <w:right w:val="none" w:sz="0" w:space="0" w:color="auto"/>
      </w:divBdr>
    </w:div>
    <w:div w:id="787627512">
      <w:bodyDiv w:val="1"/>
      <w:marLeft w:val="0"/>
      <w:marRight w:val="0"/>
      <w:marTop w:val="0"/>
      <w:marBottom w:val="0"/>
      <w:divBdr>
        <w:top w:val="none" w:sz="0" w:space="0" w:color="auto"/>
        <w:left w:val="none" w:sz="0" w:space="0" w:color="auto"/>
        <w:bottom w:val="none" w:sz="0" w:space="0" w:color="auto"/>
        <w:right w:val="none" w:sz="0" w:space="0" w:color="auto"/>
      </w:divBdr>
    </w:div>
    <w:div w:id="789591800">
      <w:bodyDiv w:val="1"/>
      <w:marLeft w:val="0"/>
      <w:marRight w:val="0"/>
      <w:marTop w:val="0"/>
      <w:marBottom w:val="0"/>
      <w:divBdr>
        <w:top w:val="none" w:sz="0" w:space="0" w:color="auto"/>
        <w:left w:val="none" w:sz="0" w:space="0" w:color="auto"/>
        <w:bottom w:val="none" w:sz="0" w:space="0" w:color="auto"/>
        <w:right w:val="none" w:sz="0" w:space="0" w:color="auto"/>
      </w:divBdr>
    </w:div>
    <w:div w:id="84701645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16591844">
      <w:bodyDiv w:val="1"/>
      <w:marLeft w:val="0"/>
      <w:marRight w:val="0"/>
      <w:marTop w:val="0"/>
      <w:marBottom w:val="0"/>
      <w:divBdr>
        <w:top w:val="none" w:sz="0" w:space="0" w:color="auto"/>
        <w:left w:val="none" w:sz="0" w:space="0" w:color="auto"/>
        <w:bottom w:val="none" w:sz="0" w:space="0" w:color="auto"/>
        <w:right w:val="none" w:sz="0" w:space="0" w:color="auto"/>
      </w:divBdr>
    </w:div>
    <w:div w:id="936476637">
      <w:bodyDiv w:val="1"/>
      <w:marLeft w:val="0"/>
      <w:marRight w:val="0"/>
      <w:marTop w:val="0"/>
      <w:marBottom w:val="0"/>
      <w:divBdr>
        <w:top w:val="none" w:sz="0" w:space="0" w:color="auto"/>
        <w:left w:val="none" w:sz="0" w:space="0" w:color="auto"/>
        <w:bottom w:val="none" w:sz="0" w:space="0" w:color="auto"/>
        <w:right w:val="none" w:sz="0" w:space="0" w:color="auto"/>
      </w:divBdr>
    </w:div>
    <w:div w:id="953053102">
      <w:bodyDiv w:val="1"/>
      <w:marLeft w:val="0"/>
      <w:marRight w:val="0"/>
      <w:marTop w:val="0"/>
      <w:marBottom w:val="0"/>
      <w:divBdr>
        <w:top w:val="none" w:sz="0" w:space="0" w:color="auto"/>
        <w:left w:val="none" w:sz="0" w:space="0" w:color="auto"/>
        <w:bottom w:val="none" w:sz="0" w:space="0" w:color="auto"/>
        <w:right w:val="none" w:sz="0" w:space="0" w:color="auto"/>
      </w:divBdr>
    </w:div>
    <w:div w:id="1024289228">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83788956">
      <w:bodyDiv w:val="1"/>
      <w:marLeft w:val="0"/>
      <w:marRight w:val="0"/>
      <w:marTop w:val="0"/>
      <w:marBottom w:val="0"/>
      <w:divBdr>
        <w:top w:val="none" w:sz="0" w:space="0" w:color="auto"/>
        <w:left w:val="none" w:sz="0" w:space="0" w:color="auto"/>
        <w:bottom w:val="none" w:sz="0" w:space="0" w:color="auto"/>
        <w:right w:val="none" w:sz="0" w:space="0" w:color="auto"/>
      </w:divBdr>
    </w:div>
    <w:div w:id="1212039176">
      <w:bodyDiv w:val="1"/>
      <w:marLeft w:val="0"/>
      <w:marRight w:val="0"/>
      <w:marTop w:val="0"/>
      <w:marBottom w:val="0"/>
      <w:divBdr>
        <w:top w:val="none" w:sz="0" w:space="0" w:color="auto"/>
        <w:left w:val="none" w:sz="0" w:space="0" w:color="auto"/>
        <w:bottom w:val="none" w:sz="0" w:space="0" w:color="auto"/>
        <w:right w:val="none" w:sz="0" w:space="0" w:color="auto"/>
      </w:divBdr>
    </w:div>
    <w:div w:id="1239172316">
      <w:bodyDiv w:val="1"/>
      <w:marLeft w:val="0"/>
      <w:marRight w:val="0"/>
      <w:marTop w:val="0"/>
      <w:marBottom w:val="0"/>
      <w:divBdr>
        <w:top w:val="none" w:sz="0" w:space="0" w:color="auto"/>
        <w:left w:val="none" w:sz="0" w:space="0" w:color="auto"/>
        <w:bottom w:val="none" w:sz="0" w:space="0" w:color="auto"/>
        <w:right w:val="none" w:sz="0" w:space="0" w:color="auto"/>
      </w:divBdr>
    </w:div>
    <w:div w:id="1241675912">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8267646">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48542780">
      <w:bodyDiv w:val="1"/>
      <w:marLeft w:val="0"/>
      <w:marRight w:val="0"/>
      <w:marTop w:val="0"/>
      <w:marBottom w:val="0"/>
      <w:divBdr>
        <w:top w:val="none" w:sz="0" w:space="0" w:color="auto"/>
        <w:left w:val="none" w:sz="0" w:space="0" w:color="auto"/>
        <w:bottom w:val="none" w:sz="0" w:space="0" w:color="auto"/>
        <w:right w:val="none" w:sz="0" w:space="0" w:color="auto"/>
      </w:divBdr>
    </w:div>
    <w:div w:id="1463958162">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1059061">
      <w:bodyDiv w:val="1"/>
      <w:marLeft w:val="0"/>
      <w:marRight w:val="0"/>
      <w:marTop w:val="0"/>
      <w:marBottom w:val="0"/>
      <w:divBdr>
        <w:top w:val="none" w:sz="0" w:space="0" w:color="auto"/>
        <w:left w:val="none" w:sz="0" w:space="0" w:color="auto"/>
        <w:bottom w:val="none" w:sz="0" w:space="0" w:color="auto"/>
        <w:right w:val="none" w:sz="0" w:space="0" w:color="auto"/>
      </w:divBdr>
    </w:div>
    <w:div w:id="1583176135">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16674505">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38757304">
      <w:bodyDiv w:val="1"/>
      <w:marLeft w:val="0"/>
      <w:marRight w:val="0"/>
      <w:marTop w:val="0"/>
      <w:marBottom w:val="0"/>
      <w:divBdr>
        <w:top w:val="none" w:sz="0" w:space="0" w:color="auto"/>
        <w:left w:val="none" w:sz="0" w:space="0" w:color="auto"/>
        <w:bottom w:val="none" w:sz="0" w:space="0" w:color="auto"/>
        <w:right w:val="none" w:sz="0" w:space="0" w:color="auto"/>
      </w:divBdr>
    </w:div>
    <w:div w:id="1649436959">
      <w:bodyDiv w:val="1"/>
      <w:marLeft w:val="0"/>
      <w:marRight w:val="0"/>
      <w:marTop w:val="0"/>
      <w:marBottom w:val="0"/>
      <w:divBdr>
        <w:top w:val="none" w:sz="0" w:space="0" w:color="auto"/>
        <w:left w:val="none" w:sz="0" w:space="0" w:color="auto"/>
        <w:bottom w:val="none" w:sz="0" w:space="0" w:color="auto"/>
        <w:right w:val="none" w:sz="0" w:space="0" w:color="auto"/>
      </w:divBdr>
    </w:div>
    <w:div w:id="1693334954">
      <w:bodyDiv w:val="1"/>
      <w:marLeft w:val="0"/>
      <w:marRight w:val="0"/>
      <w:marTop w:val="0"/>
      <w:marBottom w:val="0"/>
      <w:divBdr>
        <w:top w:val="none" w:sz="0" w:space="0" w:color="auto"/>
        <w:left w:val="none" w:sz="0" w:space="0" w:color="auto"/>
        <w:bottom w:val="none" w:sz="0" w:space="0" w:color="auto"/>
        <w:right w:val="none" w:sz="0" w:space="0" w:color="auto"/>
      </w:divBdr>
    </w:div>
    <w:div w:id="1747220806">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39999313">
      <w:bodyDiv w:val="1"/>
      <w:marLeft w:val="0"/>
      <w:marRight w:val="0"/>
      <w:marTop w:val="0"/>
      <w:marBottom w:val="0"/>
      <w:divBdr>
        <w:top w:val="none" w:sz="0" w:space="0" w:color="auto"/>
        <w:left w:val="none" w:sz="0" w:space="0" w:color="auto"/>
        <w:bottom w:val="none" w:sz="0" w:space="0" w:color="auto"/>
        <w:right w:val="none" w:sz="0" w:space="0" w:color="auto"/>
      </w:divBdr>
      <w:divsChild>
        <w:div w:id="352850187">
          <w:marLeft w:val="0"/>
          <w:marRight w:val="0"/>
          <w:marTop w:val="0"/>
          <w:marBottom w:val="0"/>
          <w:divBdr>
            <w:top w:val="none" w:sz="0" w:space="0" w:color="auto"/>
            <w:left w:val="none" w:sz="0" w:space="0" w:color="auto"/>
            <w:bottom w:val="none" w:sz="0" w:space="0" w:color="auto"/>
            <w:right w:val="none" w:sz="0" w:space="0" w:color="auto"/>
          </w:divBdr>
        </w:div>
      </w:divsChild>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6504166">
      <w:bodyDiv w:val="1"/>
      <w:marLeft w:val="0"/>
      <w:marRight w:val="0"/>
      <w:marTop w:val="0"/>
      <w:marBottom w:val="0"/>
      <w:divBdr>
        <w:top w:val="none" w:sz="0" w:space="0" w:color="auto"/>
        <w:left w:val="none" w:sz="0" w:space="0" w:color="auto"/>
        <w:bottom w:val="none" w:sz="0" w:space="0" w:color="auto"/>
        <w:right w:val="none" w:sz="0" w:space="0" w:color="auto"/>
      </w:divBdr>
    </w:div>
    <w:div w:id="190706297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861276">
      <w:bodyDiv w:val="1"/>
      <w:marLeft w:val="0"/>
      <w:marRight w:val="0"/>
      <w:marTop w:val="0"/>
      <w:marBottom w:val="0"/>
      <w:divBdr>
        <w:top w:val="none" w:sz="0" w:space="0" w:color="auto"/>
        <w:left w:val="none" w:sz="0" w:space="0" w:color="auto"/>
        <w:bottom w:val="none" w:sz="0" w:space="0" w:color="auto"/>
        <w:right w:val="none" w:sz="0" w:space="0" w:color="auto"/>
      </w:divBdr>
    </w:div>
    <w:div w:id="1946569172">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16683500">
      <w:bodyDiv w:val="1"/>
      <w:marLeft w:val="0"/>
      <w:marRight w:val="0"/>
      <w:marTop w:val="0"/>
      <w:marBottom w:val="0"/>
      <w:divBdr>
        <w:top w:val="none" w:sz="0" w:space="0" w:color="auto"/>
        <w:left w:val="none" w:sz="0" w:space="0" w:color="auto"/>
        <w:bottom w:val="none" w:sz="0" w:space="0" w:color="auto"/>
        <w:right w:val="none" w:sz="0" w:space="0" w:color="auto"/>
      </w:divBdr>
    </w:div>
    <w:div w:id="2030794680">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62168116">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7" ma:contentTypeDescription="Crear nuevo documento." ma:contentTypeScope="" ma:versionID="77e1b2dd02c432db3bbd3d80e0b23440">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2a2f22cdf807b8d96067f7b83efad60c"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02FF0-B0DC-494A-868E-E389E28B2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FBCD-D49D-4F7E-AFBE-B5DDBCCA5252}">
  <ds:schemaRefs>
    <ds:schemaRef ds:uri="http://schemas.openxmlformats.org/officeDocument/2006/bibliography"/>
  </ds:schemaRefs>
</ds:datastoreItem>
</file>

<file path=customXml/itemProps3.xml><?xml version="1.0" encoding="utf-8"?>
<ds:datastoreItem xmlns:ds="http://schemas.openxmlformats.org/officeDocument/2006/customXml" ds:itemID="{55B37BBF-3A80-4B36-83CC-8D1B470D89CF}">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4.xml><?xml version="1.0" encoding="utf-8"?>
<ds:datastoreItem xmlns:ds="http://schemas.openxmlformats.org/officeDocument/2006/customXml" ds:itemID="{CF34AC77-63C2-4AD4-BE15-647C77217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5</TotalTime>
  <Pages>16</Pages>
  <Words>6103</Words>
  <Characters>33109</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CREG</Company>
  <LinksUpToDate>false</LinksUpToDate>
  <CharactersWithSpaces>39134</CharactersWithSpaces>
  <SharedDoc>false</SharedDoc>
  <HLinks>
    <vt:vector size="84" baseType="variant">
      <vt:variant>
        <vt:i4>1769528</vt:i4>
      </vt:variant>
      <vt:variant>
        <vt:i4>77</vt:i4>
      </vt:variant>
      <vt:variant>
        <vt:i4>0</vt:i4>
      </vt:variant>
      <vt:variant>
        <vt:i4>5</vt:i4>
      </vt:variant>
      <vt:variant>
        <vt:lpwstr/>
      </vt:variant>
      <vt:variant>
        <vt:lpwstr>_Toc125740890</vt:lpwstr>
      </vt:variant>
      <vt:variant>
        <vt:i4>1703992</vt:i4>
      </vt:variant>
      <vt:variant>
        <vt:i4>71</vt:i4>
      </vt:variant>
      <vt:variant>
        <vt:i4>0</vt:i4>
      </vt:variant>
      <vt:variant>
        <vt:i4>5</vt:i4>
      </vt:variant>
      <vt:variant>
        <vt:lpwstr/>
      </vt:variant>
      <vt:variant>
        <vt:lpwstr>_Toc125740889</vt:lpwstr>
      </vt:variant>
      <vt:variant>
        <vt:i4>1703992</vt:i4>
      </vt:variant>
      <vt:variant>
        <vt:i4>65</vt:i4>
      </vt:variant>
      <vt:variant>
        <vt:i4>0</vt:i4>
      </vt:variant>
      <vt:variant>
        <vt:i4>5</vt:i4>
      </vt:variant>
      <vt:variant>
        <vt:lpwstr/>
      </vt:variant>
      <vt:variant>
        <vt:lpwstr>_Toc125740888</vt:lpwstr>
      </vt:variant>
      <vt:variant>
        <vt:i4>1703992</vt:i4>
      </vt:variant>
      <vt:variant>
        <vt:i4>59</vt:i4>
      </vt:variant>
      <vt:variant>
        <vt:i4>0</vt:i4>
      </vt:variant>
      <vt:variant>
        <vt:i4>5</vt:i4>
      </vt:variant>
      <vt:variant>
        <vt:lpwstr/>
      </vt:variant>
      <vt:variant>
        <vt:lpwstr>_Toc125740887</vt:lpwstr>
      </vt:variant>
      <vt:variant>
        <vt:i4>1703992</vt:i4>
      </vt:variant>
      <vt:variant>
        <vt:i4>53</vt:i4>
      </vt:variant>
      <vt:variant>
        <vt:i4>0</vt:i4>
      </vt:variant>
      <vt:variant>
        <vt:i4>5</vt:i4>
      </vt:variant>
      <vt:variant>
        <vt:lpwstr/>
      </vt:variant>
      <vt:variant>
        <vt:lpwstr>_Toc125740886</vt:lpwstr>
      </vt:variant>
      <vt:variant>
        <vt:i4>1703992</vt:i4>
      </vt:variant>
      <vt:variant>
        <vt:i4>47</vt:i4>
      </vt:variant>
      <vt:variant>
        <vt:i4>0</vt:i4>
      </vt:variant>
      <vt:variant>
        <vt:i4>5</vt:i4>
      </vt:variant>
      <vt:variant>
        <vt:lpwstr/>
      </vt:variant>
      <vt:variant>
        <vt:lpwstr>_Toc125740882</vt:lpwstr>
      </vt:variant>
      <vt:variant>
        <vt:i4>1703992</vt:i4>
      </vt:variant>
      <vt:variant>
        <vt:i4>41</vt:i4>
      </vt:variant>
      <vt:variant>
        <vt:i4>0</vt:i4>
      </vt:variant>
      <vt:variant>
        <vt:i4>5</vt:i4>
      </vt:variant>
      <vt:variant>
        <vt:lpwstr/>
      </vt:variant>
      <vt:variant>
        <vt:lpwstr>_Toc125740881</vt:lpwstr>
      </vt:variant>
      <vt:variant>
        <vt:i4>1703992</vt:i4>
      </vt:variant>
      <vt:variant>
        <vt:i4>35</vt:i4>
      </vt:variant>
      <vt:variant>
        <vt:i4>0</vt:i4>
      </vt:variant>
      <vt:variant>
        <vt:i4>5</vt:i4>
      </vt:variant>
      <vt:variant>
        <vt:lpwstr/>
      </vt:variant>
      <vt:variant>
        <vt:lpwstr>_Toc125740880</vt:lpwstr>
      </vt:variant>
      <vt:variant>
        <vt:i4>1376312</vt:i4>
      </vt:variant>
      <vt:variant>
        <vt:i4>29</vt:i4>
      </vt:variant>
      <vt:variant>
        <vt:i4>0</vt:i4>
      </vt:variant>
      <vt:variant>
        <vt:i4>5</vt:i4>
      </vt:variant>
      <vt:variant>
        <vt:lpwstr/>
      </vt:variant>
      <vt:variant>
        <vt:lpwstr>_Toc125740879</vt:lpwstr>
      </vt:variant>
      <vt:variant>
        <vt:i4>1376312</vt:i4>
      </vt:variant>
      <vt:variant>
        <vt:i4>23</vt:i4>
      </vt:variant>
      <vt:variant>
        <vt:i4>0</vt:i4>
      </vt:variant>
      <vt:variant>
        <vt:i4>5</vt:i4>
      </vt:variant>
      <vt:variant>
        <vt:lpwstr/>
      </vt:variant>
      <vt:variant>
        <vt:lpwstr>_Toc125740878</vt:lpwstr>
      </vt:variant>
      <vt:variant>
        <vt:i4>1376312</vt:i4>
      </vt:variant>
      <vt:variant>
        <vt:i4>17</vt:i4>
      </vt:variant>
      <vt:variant>
        <vt:i4>0</vt:i4>
      </vt:variant>
      <vt:variant>
        <vt:i4>5</vt:i4>
      </vt:variant>
      <vt:variant>
        <vt:lpwstr/>
      </vt:variant>
      <vt:variant>
        <vt:lpwstr>_Toc125740877</vt:lpwstr>
      </vt:variant>
      <vt:variant>
        <vt:i4>1376312</vt:i4>
      </vt:variant>
      <vt:variant>
        <vt:i4>11</vt:i4>
      </vt:variant>
      <vt:variant>
        <vt:i4>0</vt:i4>
      </vt:variant>
      <vt:variant>
        <vt:i4>5</vt:i4>
      </vt:variant>
      <vt:variant>
        <vt:lpwstr/>
      </vt:variant>
      <vt:variant>
        <vt:lpwstr>_Toc125740876</vt:lpwstr>
      </vt:variant>
      <vt:variant>
        <vt:i4>1376312</vt:i4>
      </vt:variant>
      <vt:variant>
        <vt:i4>5</vt:i4>
      </vt:variant>
      <vt:variant>
        <vt:i4>0</vt:i4>
      </vt:variant>
      <vt:variant>
        <vt:i4>5</vt:i4>
      </vt:variant>
      <vt:variant>
        <vt:lpwstr/>
      </vt:variant>
      <vt:variant>
        <vt:lpwstr>_Toc125740875</vt:lpwstr>
      </vt:variant>
      <vt:variant>
        <vt:i4>4390966</vt:i4>
      </vt:variant>
      <vt:variant>
        <vt:i4>0</vt:i4>
      </vt:variant>
      <vt:variant>
        <vt:i4>0</vt:i4>
      </vt:variant>
      <vt:variant>
        <vt:i4>5</vt:i4>
      </vt:variant>
      <vt:variant>
        <vt:lpwstr>mailto:creg@creg.gov.co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Eliana Rodriguez Fonseca</cp:lastModifiedBy>
  <cp:revision>3</cp:revision>
  <cp:lastPrinted>2023-02-02T20:44:00Z</cp:lastPrinted>
  <dcterms:created xsi:type="dcterms:W3CDTF">2023-10-06T20:33:00Z</dcterms:created>
  <dcterms:modified xsi:type="dcterms:W3CDTF">2023-10-06T20:34:00Z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