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7635" w14:textId="77777777" w:rsidR="00BC63E2" w:rsidRPr="00BC63E2" w:rsidRDefault="00BC63E2" w:rsidP="00BC63E2">
      <w:pPr>
        <w:pStyle w:val="Encabezado"/>
        <w:spacing w:line="276" w:lineRule="auto"/>
        <w:jc w:val="both"/>
        <w:rPr>
          <w:rFonts w:ascii="Helvetica" w:hAnsi="Helvetica" w:cs="Helvetica"/>
          <w:bCs/>
          <w:sz w:val="22"/>
          <w:szCs w:val="22"/>
        </w:rPr>
      </w:pPr>
      <w:r w:rsidRPr="00BC63E2">
        <w:rPr>
          <w:rFonts w:ascii="Helvetica" w:hAnsi="Helvetica" w:cs="Helvetica"/>
          <w:bCs/>
          <w:sz w:val="22"/>
          <w:szCs w:val="22"/>
        </w:rPr>
        <w:t xml:space="preserve">Bogotá D.C., </w:t>
      </w:r>
      <w:r w:rsidRPr="00BC63E2">
        <w:rPr>
          <w:rFonts w:ascii="Helvetica" w:hAnsi="Helvetica" w:cs="Helvetica"/>
          <w:sz w:val="22"/>
          <w:szCs w:val="22"/>
          <w:lang w:val="es-MX"/>
        </w:rPr>
        <w:fldChar w:fldCharType="begin"/>
      </w:r>
      <w:r w:rsidRPr="00BC63E2">
        <w:rPr>
          <w:rFonts w:ascii="Helvetica" w:hAnsi="Helvetica" w:cs="Helvetica"/>
          <w:sz w:val="22"/>
          <w:szCs w:val="22"/>
          <w:lang w:val="es-MX"/>
        </w:rPr>
        <w:instrText xml:space="preserve"> MERGEFIELD  Fecha  \* MERGEFORMAT </w:instrText>
      </w:r>
      <w:r w:rsidRPr="00BC63E2">
        <w:rPr>
          <w:rFonts w:ascii="Helvetica" w:hAnsi="Helvetica" w:cs="Helvetica"/>
          <w:sz w:val="22"/>
          <w:szCs w:val="22"/>
          <w:lang w:val="es-MX"/>
        </w:rPr>
        <w:fldChar w:fldCharType="separate"/>
      </w:r>
      <w:r w:rsidRPr="00BC63E2">
        <w:rPr>
          <w:rFonts w:ascii="Helvetica" w:hAnsi="Helvetica" w:cs="Helvetica"/>
          <w:noProof/>
          <w:sz w:val="22"/>
          <w:szCs w:val="22"/>
          <w:lang w:val="es-MX"/>
        </w:rPr>
        <w:t>25 de enero de 2024</w:t>
      </w:r>
      <w:r w:rsidRPr="00BC63E2">
        <w:rPr>
          <w:rFonts w:ascii="Helvetica" w:hAnsi="Helvetica" w:cs="Helvetica"/>
          <w:sz w:val="22"/>
          <w:szCs w:val="22"/>
          <w:lang w:val="es-MX"/>
        </w:rPr>
        <w:fldChar w:fldCharType="end"/>
      </w:r>
    </w:p>
    <w:p w14:paraId="226DC92A" w14:textId="77777777" w:rsidR="00BC63E2" w:rsidRPr="00BC63E2" w:rsidRDefault="00BC63E2" w:rsidP="00BC63E2">
      <w:pPr>
        <w:pStyle w:val="Encabezado"/>
        <w:spacing w:line="276" w:lineRule="auto"/>
        <w:jc w:val="both"/>
        <w:rPr>
          <w:rFonts w:ascii="Helvetica" w:hAnsi="Helvetica" w:cs="Helvetica"/>
          <w:bCs/>
          <w:sz w:val="22"/>
          <w:szCs w:val="22"/>
        </w:rPr>
      </w:pPr>
    </w:p>
    <w:p w14:paraId="68CB1809" w14:textId="06F6FC9F" w:rsidR="00BC63E2" w:rsidRPr="00BC63E2" w:rsidRDefault="00BC63E2" w:rsidP="00BC63E2">
      <w:pPr>
        <w:pStyle w:val="Encabezado"/>
        <w:spacing w:line="276" w:lineRule="auto"/>
        <w:jc w:val="center"/>
        <w:rPr>
          <w:rFonts w:ascii="Helvetica" w:hAnsi="Helvetica" w:cs="Helvetica"/>
          <w:b/>
          <w:bCs/>
          <w:sz w:val="22"/>
          <w:szCs w:val="22"/>
        </w:rPr>
      </w:pPr>
      <w:r w:rsidRPr="00BC63E2">
        <w:rPr>
          <w:rFonts w:ascii="Helvetica" w:hAnsi="Helvetica" w:cs="Helvetica"/>
          <w:b/>
          <w:bCs/>
          <w:sz w:val="22"/>
          <w:szCs w:val="22"/>
        </w:rPr>
        <w:t xml:space="preserve">AVISO No. </w:t>
      </w:r>
      <w:r w:rsidRPr="00BC63E2">
        <w:rPr>
          <w:rFonts w:ascii="Helvetica" w:hAnsi="Helvetica" w:cs="Helvetica"/>
          <w:b/>
          <w:bCs/>
          <w:sz w:val="22"/>
          <w:szCs w:val="22"/>
        </w:rPr>
        <w:fldChar w:fldCharType="begin"/>
      </w:r>
      <w:r w:rsidRPr="00BC63E2">
        <w:rPr>
          <w:rFonts w:ascii="Helvetica" w:hAnsi="Helvetica" w:cs="Helvetica"/>
          <w:b/>
          <w:bCs/>
          <w:sz w:val="22"/>
          <w:szCs w:val="22"/>
        </w:rPr>
        <w:instrText xml:space="preserve"> MERGEFIELD  NumeroAviso  \* MERGEFORMAT </w:instrText>
      </w:r>
      <w:r w:rsidRPr="00BC63E2">
        <w:rPr>
          <w:rFonts w:ascii="Helvetica" w:hAnsi="Helvetica" w:cs="Helvetica"/>
          <w:b/>
          <w:bCs/>
          <w:sz w:val="22"/>
          <w:szCs w:val="22"/>
        </w:rPr>
        <w:fldChar w:fldCharType="separate"/>
      </w:r>
      <w:r w:rsidR="00E4276F" w:rsidRPr="00E4276F">
        <w:rPr>
          <w:rFonts w:ascii="Helvetica" w:hAnsi="Helvetica" w:cs="Helvetica"/>
          <w:b/>
          <w:bCs/>
          <w:noProof/>
          <w:sz w:val="22"/>
          <w:szCs w:val="22"/>
        </w:rPr>
        <w:t>0000236</w:t>
      </w:r>
      <w:r w:rsidRPr="00BC63E2">
        <w:rPr>
          <w:rFonts w:ascii="Helvetica" w:hAnsi="Helvetica" w:cs="Helvetica"/>
          <w:b/>
          <w:bCs/>
          <w:noProof/>
          <w:sz w:val="22"/>
          <w:szCs w:val="22"/>
        </w:rPr>
        <w:t xml:space="preserve"> de 2024</w:t>
      </w:r>
      <w:r w:rsidRPr="00BC63E2">
        <w:rPr>
          <w:rFonts w:ascii="Helvetica" w:hAnsi="Helvetica" w:cs="Helvetica"/>
          <w:b/>
          <w:bCs/>
          <w:sz w:val="22"/>
          <w:szCs w:val="22"/>
        </w:rPr>
        <w:fldChar w:fldCharType="end"/>
      </w:r>
    </w:p>
    <w:p w14:paraId="5D55FE66" w14:textId="77777777" w:rsidR="00E87146" w:rsidRPr="00671F81" w:rsidRDefault="00E87146" w:rsidP="00970699">
      <w:pPr>
        <w:pStyle w:val="Encabezado"/>
        <w:spacing w:line="276" w:lineRule="auto"/>
        <w:jc w:val="center"/>
        <w:rPr>
          <w:rFonts w:ascii="Helvetica" w:hAnsi="Helvetica" w:cs="Helvetica"/>
          <w:b/>
          <w:bCs/>
          <w:sz w:val="22"/>
          <w:szCs w:val="22"/>
        </w:rPr>
      </w:pPr>
    </w:p>
    <w:p w14:paraId="01994895" w14:textId="77777777" w:rsidR="00943FD1" w:rsidRPr="00671F81" w:rsidRDefault="00943FD1" w:rsidP="00970699">
      <w:pPr>
        <w:pStyle w:val="Encabezado"/>
        <w:spacing w:line="276" w:lineRule="auto"/>
        <w:jc w:val="center"/>
        <w:rPr>
          <w:rFonts w:ascii="Helvetica" w:hAnsi="Helvetica" w:cs="Helvetica"/>
          <w:b/>
          <w:bCs/>
          <w:sz w:val="22"/>
          <w:szCs w:val="22"/>
        </w:rPr>
      </w:pPr>
      <w:r w:rsidRPr="00671F81">
        <w:rPr>
          <w:rFonts w:ascii="Helvetica" w:hAnsi="Helvetica" w:cs="Helvetica"/>
          <w:b/>
          <w:bCs/>
          <w:sz w:val="22"/>
          <w:szCs w:val="22"/>
        </w:rPr>
        <w:t>LA COMISIÓN DE REGULACIÓN DE ENERGÍA Y GAS – CREG</w:t>
      </w:r>
    </w:p>
    <w:p w14:paraId="4BA04EE9" w14:textId="77777777" w:rsidR="00671F81" w:rsidRPr="00671F81" w:rsidRDefault="00671F81" w:rsidP="00970699">
      <w:pPr>
        <w:pStyle w:val="Encabezado"/>
        <w:spacing w:line="276" w:lineRule="auto"/>
        <w:jc w:val="center"/>
        <w:rPr>
          <w:rFonts w:ascii="Helvetica" w:hAnsi="Helvetica" w:cs="Helvetica"/>
          <w:sz w:val="22"/>
          <w:szCs w:val="22"/>
        </w:rPr>
      </w:pPr>
    </w:p>
    <w:p w14:paraId="0AFB9A26" w14:textId="3A9B794F" w:rsidR="00943FD1" w:rsidRPr="00671F81" w:rsidRDefault="00D56140" w:rsidP="00970699">
      <w:pPr>
        <w:spacing w:line="276" w:lineRule="auto"/>
        <w:jc w:val="center"/>
        <w:rPr>
          <w:rFonts w:ascii="Helvetica" w:hAnsi="Helvetica" w:cs="Helvetica"/>
          <w:b/>
          <w:bCs/>
          <w:sz w:val="22"/>
          <w:szCs w:val="22"/>
        </w:rPr>
      </w:pPr>
      <w:r w:rsidRPr="00671F81">
        <w:rPr>
          <w:rFonts w:ascii="Helvetica" w:hAnsi="Helvetica" w:cs="Helvetica"/>
          <w:b/>
          <w:bCs/>
          <w:sz w:val="22"/>
          <w:szCs w:val="22"/>
        </w:rPr>
        <w:t>H</w:t>
      </w:r>
      <w:r w:rsidR="00943FD1" w:rsidRPr="00671F81">
        <w:rPr>
          <w:rFonts w:ascii="Helvetica" w:hAnsi="Helvetica" w:cs="Helvetica"/>
          <w:b/>
          <w:bCs/>
          <w:sz w:val="22"/>
          <w:szCs w:val="22"/>
        </w:rPr>
        <w:t>ACE SABER:</w:t>
      </w:r>
    </w:p>
    <w:p w14:paraId="05A3C51E" w14:textId="77777777" w:rsidR="00943FD1" w:rsidRPr="00671F81" w:rsidRDefault="00943FD1" w:rsidP="00970699">
      <w:pPr>
        <w:spacing w:line="276" w:lineRule="auto"/>
        <w:ind w:left="567" w:right="566"/>
        <w:jc w:val="both"/>
        <w:rPr>
          <w:rFonts w:ascii="Helvetica" w:hAnsi="Helvetica" w:cs="Helvetica"/>
          <w:sz w:val="22"/>
          <w:szCs w:val="22"/>
        </w:rPr>
      </w:pPr>
    </w:p>
    <w:p w14:paraId="0B3A5649" w14:textId="01B11C0F" w:rsidR="00671F81" w:rsidRPr="00671F81" w:rsidRDefault="00671F81" w:rsidP="00671F81">
      <w:pPr>
        <w:spacing w:after="0"/>
        <w:rPr>
          <w:rFonts w:ascii="Helvetica" w:hAnsi="Helvetica" w:cs="Helvetica"/>
          <w:sz w:val="22"/>
          <w:szCs w:val="22"/>
          <w:lang w:val="es-MX"/>
        </w:rPr>
      </w:pPr>
      <w:r w:rsidRPr="00671F81">
        <w:rPr>
          <w:rFonts w:ascii="Helvetica" w:hAnsi="Helvetica" w:cs="Helvetica"/>
          <w:sz w:val="22"/>
          <w:szCs w:val="22"/>
          <w:lang w:val="es-MX"/>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r w:rsidR="00DC50CF" w:rsidRPr="00DC50CF">
        <w:rPr>
          <w:rFonts w:ascii="Helvetica" w:hAnsi="Helvetica" w:cs="Helvetica"/>
          <w:sz w:val="22"/>
          <w:szCs w:val="22"/>
          <w:lang w:val="es-MX"/>
        </w:rPr>
        <w:t xml:space="preserve">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w:t>
      </w:r>
      <w:r w:rsidR="007A16BB" w:rsidRPr="00DC50CF">
        <w:rPr>
          <w:rFonts w:ascii="Helvetica" w:hAnsi="Helvetica" w:cs="Helvetica"/>
          <w:sz w:val="22"/>
          <w:szCs w:val="22"/>
          <w:lang w:val="es-MX"/>
        </w:rPr>
        <w:t>también los</w:t>
      </w:r>
      <w:r w:rsidR="00DC50CF" w:rsidRPr="00DC50CF">
        <w:rPr>
          <w:rFonts w:ascii="Helvetica" w:hAnsi="Helvetica" w:cs="Helvetica"/>
          <w:sz w:val="22"/>
          <w:szCs w:val="22"/>
          <w:lang w:val="es-MX"/>
        </w:rPr>
        <w:t xml:space="preserve">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580CEFB5" w14:textId="77777777" w:rsidR="00671F81" w:rsidRPr="00671F81" w:rsidRDefault="00671F81" w:rsidP="00671F81">
      <w:pPr>
        <w:spacing w:after="0"/>
        <w:rPr>
          <w:rFonts w:ascii="Helvetica" w:hAnsi="Helvetica" w:cs="Helvetica"/>
          <w:sz w:val="22"/>
          <w:szCs w:val="22"/>
          <w:lang w:val="es-MX"/>
        </w:rPr>
      </w:pPr>
    </w:p>
    <w:p w14:paraId="0354CDA5" w14:textId="75ADE50D" w:rsidR="00671F81" w:rsidRDefault="00671F81" w:rsidP="00671F81">
      <w:pPr>
        <w:spacing w:after="0"/>
        <w:rPr>
          <w:rFonts w:ascii="Helvetica" w:hAnsi="Helvetica" w:cs="Helvetica"/>
          <w:sz w:val="22"/>
          <w:szCs w:val="22"/>
          <w:lang w:val="es-MX"/>
        </w:rPr>
      </w:pPr>
      <w:r w:rsidRPr="00671F81">
        <w:rPr>
          <w:rFonts w:ascii="Helvetica" w:hAnsi="Helvetica" w:cs="Helvetica"/>
          <w:sz w:val="22"/>
          <w:szCs w:val="22"/>
          <w:lang w:val="es-MX"/>
        </w:rPr>
        <w:t xml:space="preserve">La empresa </w:t>
      </w:r>
      <w:r w:rsidR="005D4843">
        <w:rPr>
          <w:rFonts w:ascii="Helvetica" w:hAnsi="Helvetica" w:cs="Helvetica"/>
          <w:b/>
          <w:bCs/>
          <w:sz w:val="22"/>
          <w:szCs w:val="22"/>
          <w:lang w:val="es-MX"/>
        </w:rPr>
        <w:t>NORTESANTANDEREANA DE GAS</w:t>
      </w:r>
      <w:r w:rsidRPr="005D4843">
        <w:rPr>
          <w:rFonts w:ascii="Helvetica" w:hAnsi="Helvetica" w:cs="Helvetica"/>
          <w:b/>
          <w:bCs/>
          <w:sz w:val="22"/>
          <w:szCs w:val="22"/>
          <w:lang w:val="es-MX"/>
        </w:rPr>
        <w:t xml:space="preserve"> S.A. E.S.P.</w:t>
      </w:r>
      <w:r w:rsidRPr="00671F81">
        <w:rPr>
          <w:rFonts w:ascii="Helvetica" w:hAnsi="Helvetica" w:cs="Helvetica"/>
          <w:sz w:val="22"/>
          <w:szCs w:val="22"/>
          <w:lang w:val="es-MX"/>
        </w:rPr>
        <w:t xml:space="preserve"> en adelante La Empresa, mediante radicado CREG </w:t>
      </w:r>
      <w:r w:rsidR="00084BF3" w:rsidRPr="00084BF3">
        <w:rPr>
          <w:rFonts w:ascii="Helvetica" w:eastAsia="Calibri" w:hAnsi="Helvetica" w:cs="Helvetica"/>
          <w:kern w:val="2"/>
          <w:sz w:val="22"/>
          <w:szCs w:val="22"/>
          <w14:ligatures w14:val="standardContextual"/>
        </w:rPr>
        <w:t xml:space="preserve">E2023004976 </w:t>
      </w:r>
      <w:r w:rsidRPr="00671F81">
        <w:rPr>
          <w:rFonts w:ascii="Helvetica" w:hAnsi="Helvetica" w:cs="Helvetica"/>
          <w:sz w:val="22"/>
          <w:szCs w:val="22"/>
          <w:lang w:val="es-MX"/>
        </w:rPr>
        <w:t xml:space="preserve">del </w:t>
      </w:r>
      <w:r w:rsidR="00084BF3">
        <w:rPr>
          <w:rFonts w:ascii="Helvetica" w:hAnsi="Helvetica" w:cs="Helvetica"/>
          <w:sz w:val="22"/>
          <w:szCs w:val="22"/>
          <w:lang w:val="es-MX"/>
        </w:rPr>
        <w:t>23</w:t>
      </w:r>
      <w:r w:rsidR="005D4843">
        <w:rPr>
          <w:rFonts w:ascii="Helvetica" w:hAnsi="Helvetica" w:cs="Helvetica"/>
          <w:sz w:val="22"/>
          <w:szCs w:val="22"/>
          <w:lang w:val="es-MX"/>
        </w:rPr>
        <w:t xml:space="preserve"> de marzo</w:t>
      </w:r>
      <w:r w:rsidRPr="00671F81">
        <w:rPr>
          <w:rFonts w:ascii="Helvetica" w:hAnsi="Helvetica" w:cs="Helvetica"/>
          <w:sz w:val="22"/>
          <w:szCs w:val="22"/>
          <w:lang w:val="es-MX"/>
        </w:rPr>
        <w:t xml:space="preserve"> de 2023,</w:t>
      </w:r>
      <w:r w:rsidR="00D15D5D">
        <w:rPr>
          <w:rFonts w:ascii="Helvetica" w:hAnsi="Helvetica" w:cs="Helvetica"/>
          <w:sz w:val="22"/>
          <w:szCs w:val="22"/>
          <w:lang w:val="es-MX"/>
        </w:rPr>
        <w:t xml:space="preserve"> complementada con los radicados CREG </w:t>
      </w:r>
      <w:r w:rsidR="00D15D5D" w:rsidRPr="00F13EA3">
        <w:rPr>
          <w:rFonts w:ascii="Helvetica" w:eastAsia="Calibri" w:hAnsi="Helvetica" w:cs="Helvetica"/>
          <w:kern w:val="2"/>
          <w:sz w:val="22"/>
          <w:szCs w:val="22"/>
          <w14:ligatures w14:val="standardContextual"/>
        </w:rPr>
        <w:t>E2023013137</w:t>
      </w:r>
      <w:r w:rsidR="00D15D5D">
        <w:rPr>
          <w:rFonts w:ascii="Helvetica" w:eastAsia="Calibri" w:hAnsi="Helvetica" w:cs="Helvetica"/>
          <w:kern w:val="2"/>
          <w:sz w:val="22"/>
          <w:szCs w:val="22"/>
          <w14:ligatures w14:val="standardContextual"/>
        </w:rPr>
        <w:t xml:space="preserve"> </w:t>
      </w:r>
      <w:r w:rsidR="00D15D5D" w:rsidRPr="003473CC">
        <w:rPr>
          <w:rFonts w:ascii="Helvetica" w:eastAsia="Calibri" w:hAnsi="Helvetica" w:cs="Helvetica"/>
          <w:kern w:val="2"/>
          <w:sz w:val="22"/>
          <w:szCs w:val="22"/>
          <w14:ligatures w14:val="standardContextual"/>
        </w:rPr>
        <w:t xml:space="preserve">del </w:t>
      </w:r>
      <w:r w:rsidR="00D15D5D">
        <w:rPr>
          <w:rFonts w:ascii="Helvetica" w:eastAsia="Calibri" w:hAnsi="Helvetica" w:cs="Helvetica"/>
          <w:kern w:val="2"/>
          <w:sz w:val="22"/>
          <w:szCs w:val="22"/>
          <w14:ligatures w14:val="standardContextual"/>
        </w:rPr>
        <w:t>10</w:t>
      </w:r>
      <w:r w:rsidR="00D15D5D" w:rsidRPr="003473CC">
        <w:rPr>
          <w:rFonts w:ascii="Helvetica" w:eastAsia="Calibri" w:hAnsi="Helvetica" w:cs="Helvetica"/>
          <w:kern w:val="2"/>
          <w:sz w:val="22"/>
          <w:szCs w:val="22"/>
          <w14:ligatures w14:val="standardContextual"/>
        </w:rPr>
        <w:t xml:space="preserve"> de </w:t>
      </w:r>
      <w:r w:rsidR="00D15D5D">
        <w:rPr>
          <w:rFonts w:ascii="Helvetica" w:eastAsia="Calibri" w:hAnsi="Helvetica" w:cs="Helvetica"/>
          <w:kern w:val="2"/>
          <w:sz w:val="22"/>
          <w:szCs w:val="22"/>
          <w14:ligatures w14:val="standardContextual"/>
        </w:rPr>
        <w:t>julio</w:t>
      </w:r>
      <w:r w:rsidR="00D15D5D" w:rsidRPr="003473CC">
        <w:rPr>
          <w:rFonts w:ascii="Helvetica" w:eastAsia="Calibri" w:hAnsi="Helvetica" w:cs="Helvetica"/>
          <w:kern w:val="2"/>
          <w:sz w:val="22"/>
          <w:szCs w:val="22"/>
          <w14:ligatures w14:val="standardContextual"/>
        </w:rPr>
        <w:t xml:space="preserve"> de 2023</w:t>
      </w:r>
      <w:r w:rsidR="00D15D5D">
        <w:rPr>
          <w:rFonts w:ascii="Helvetica" w:eastAsia="Calibri" w:hAnsi="Helvetica" w:cs="Helvetica"/>
          <w:kern w:val="2"/>
          <w:sz w:val="22"/>
          <w:szCs w:val="22"/>
          <w14:ligatures w14:val="standardContextual"/>
        </w:rPr>
        <w:t xml:space="preserve"> y </w:t>
      </w:r>
      <w:r w:rsidR="00D15D5D" w:rsidRPr="00F13EA3">
        <w:rPr>
          <w:rFonts w:ascii="Helvetica" w:eastAsia="Calibri" w:hAnsi="Helvetica" w:cs="Helvetica"/>
          <w:kern w:val="2"/>
          <w:sz w:val="22"/>
          <w:szCs w:val="22"/>
          <w14:ligatures w14:val="standardContextual"/>
        </w:rPr>
        <w:t>E2023016345</w:t>
      </w:r>
      <w:r w:rsidR="00D15D5D">
        <w:rPr>
          <w:rFonts w:ascii="Helvetica" w:eastAsia="Calibri" w:hAnsi="Helvetica" w:cs="Helvetica"/>
          <w:kern w:val="2"/>
          <w:sz w:val="22"/>
          <w:szCs w:val="22"/>
          <w14:ligatures w14:val="standardContextual"/>
        </w:rPr>
        <w:t xml:space="preserve"> </w:t>
      </w:r>
      <w:r w:rsidR="00D15D5D" w:rsidRPr="00511928">
        <w:rPr>
          <w:rFonts w:ascii="Helvetica" w:eastAsia="Calibri" w:hAnsi="Helvetica" w:cs="Helvetica"/>
          <w:kern w:val="2"/>
          <w:sz w:val="22"/>
          <w:szCs w:val="22"/>
          <w14:ligatures w14:val="standardContextual"/>
        </w:rPr>
        <w:t xml:space="preserve">del </w:t>
      </w:r>
      <w:r w:rsidR="00D15D5D">
        <w:rPr>
          <w:rFonts w:ascii="Helvetica" w:eastAsia="Calibri" w:hAnsi="Helvetica" w:cs="Helvetica"/>
          <w:kern w:val="2"/>
          <w:sz w:val="22"/>
          <w:szCs w:val="22"/>
          <w14:ligatures w14:val="standardContextual"/>
        </w:rPr>
        <w:t>11</w:t>
      </w:r>
      <w:r w:rsidR="00D15D5D" w:rsidRPr="00511928">
        <w:rPr>
          <w:rFonts w:ascii="Helvetica" w:eastAsia="Calibri" w:hAnsi="Helvetica" w:cs="Helvetica"/>
          <w:kern w:val="2"/>
          <w:sz w:val="22"/>
          <w:szCs w:val="22"/>
          <w14:ligatures w14:val="standardContextual"/>
        </w:rPr>
        <w:t xml:space="preserve"> de </w:t>
      </w:r>
      <w:r w:rsidR="00D15D5D">
        <w:rPr>
          <w:rFonts w:ascii="Helvetica" w:eastAsia="Calibri" w:hAnsi="Helvetica" w:cs="Helvetica"/>
          <w:kern w:val="2"/>
          <w:sz w:val="22"/>
          <w:szCs w:val="22"/>
          <w14:ligatures w14:val="standardContextual"/>
        </w:rPr>
        <w:t>septiembre</w:t>
      </w:r>
      <w:r w:rsidR="00D15D5D" w:rsidRPr="00511928">
        <w:rPr>
          <w:rFonts w:ascii="Helvetica" w:eastAsia="Calibri" w:hAnsi="Helvetica" w:cs="Helvetica"/>
          <w:kern w:val="2"/>
          <w:sz w:val="22"/>
          <w:szCs w:val="22"/>
          <w14:ligatures w14:val="standardContextual"/>
        </w:rPr>
        <w:t xml:space="preserve"> de 2023</w:t>
      </w:r>
      <w:r w:rsidR="00D15D5D">
        <w:rPr>
          <w:rFonts w:ascii="Helvetica" w:eastAsia="Calibri" w:hAnsi="Helvetica" w:cs="Helvetica"/>
          <w:kern w:val="2"/>
          <w:sz w:val="22"/>
          <w:szCs w:val="22"/>
          <w14:ligatures w14:val="standardContextual"/>
        </w:rPr>
        <w:t xml:space="preserve">, </w:t>
      </w:r>
      <w:r w:rsidRPr="00671F81">
        <w:rPr>
          <w:rFonts w:ascii="Helvetica" w:hAnsi="Helvetica" w:cs="Helvetica"/>
          <w:sz w:val="22"/>
          <w:szCs w:val="22"/>
          <w:lang w:val="es-MX"/>
        </w:rPr>
        <w:t xml:space="preserve">solicitó la aprobación para el siguiente período tarifario tanto del Cargo de Distribución de Gas </w:t>
      </w:r>
      <w:r w:rsidR="005D4843">
        <w:rPr>
          <w:rFonts w:ascii="Helvetica" w:hAnsi="Helvetica" w:cs="Helvetica"/>
          <w:sz w:val="22"/>
          <w:szCs w:val="22"/>
          <w:lang w:val="es-MX"/>
        </w:rPr>
        <w:t>Licuado de Petróleo</w:t>
      </w:r>
      <w:r w:rsidRPr="00671F81">
        <w:rPr>
          <w:rFonts w:ascii="Helvetica" w:hAnsi="Helvetica" w:cs="Helvetica"/>
          <w:sz w:val="22"/>
          <w:szCs w:val="22"/>
          <w:lang w:val="es-MX"/>
        </w:rPr>
        <w:t xml:space="preserve"> por redes como del Componente Fijo del Cargo de Comercialización de este gas combustible, así como la aprobación del mercado relevante conformado </w:t>
      </w:r>
      <w:r w:rsidR="00DC50CF">
        <w:rPr>
          <w:rFonts w:ascii="Helvetica" w:hAnsi="Helvetica" w:cs="Helvetica"/>
          <w:sz w:val="22"/>
          <w:szCs w:val="22"/>
          <w:lang w:val="es-MX"/>
        </w:rPr>
        <w:t>por el municipio relacionado en el Cuadro 1.</w:t>
      </w:r>
    </w:p>
    <w:p w14:paraId="197EDA4D" w14:textId="77777777" w:rsidR="00671F81" w:rsidRPr="00671F81" w:rsidRDefault="00671F81" w:rsidP="00671F81">
      <w:pPr>
        <w:spacing w:after="0"/>
        <w:rPr>
          <w:rFonts w:ascii="Helvetica" w:hAnsi="Helvetica" w:cs="Helvetica"/>
          <w:sz w:val="22"/>
          <w:szCs w:val="22"/>
          <w:lang w:val="es-MX"/>
        </w:rPr>
      </w:pPr>
    </w:p>
    <w:p w14:paraId="6761F314" w14:textId="05E9E781" w:rsidR="00671F81" w:rsidRPr="005D4843" w:rsidRDefault="00DC50CF" w:rsidP="005D4843">
      <w:pPr>
        <w:jc w:val="center"/>
        <w:textAlignment w:val="baseline"/>
        <w:rPr>
          <w:rFonts w:ascii="Segoe UI" w:eastAsia="Times New Roman" w:hAnsi="Segoe UI" w:cs="Segoe UI"/>
          <w:sz w:val="22"/>
          <w:szCs w:val="22"/>
        </w:rPr>
      </w:pPr>
      <w:r w:rsidRPr="009F5435">
        <w:rPr>
          <w:rFonts w:ascii="Arial" w:eastAsia="Times New Roman" w:hAnsi="Arial" w:cs="Arial"/>
          <w:b/>
          <w:bCs/>
          <w:sz w:val="22"/>
          <w:szCs w:val="22"/>
          <w:lang w:val="es-ES"/>
        </w:rPr>
        <w:lastRenderedPageBreak/>
        <w:t>Cuadro 1</w:t>
      </w:r>
      <w:r w:rsidRPr="005D4843">
        <w:rPr>
          <w:rFonts w:ascii="Arial" w:eastAsia="Times New Roman" w:hAnsi="Arial" w:cs="Arial"/>
          <w:sz w:val="22"/>
          <w:szCs w:val="22"/>
        </w:rPr>
        <w:t>. Mercado Relevante de Distribución solicitado</w:t>
      </w:r>
      <w:r w:rsidR="007A16BB">
        <w:rPr>
          <w:rFonts w:ascii="Arial" w:eastAsia="Times New Roman" w:hAnsi="Arial" w:cs="Arial"/>
          <w:sz w:val="22"/>
          <w:szCs w:val="22"/>
        </w:rPr>
        <w:t xml:space="preserve"> por La Empresa</w:t>
      </w:r>
      <w:r w:rsidRPr="005D4843">
        <w:rPr>
          <w:rFonts w:ascii="Arial" w:eastAsia="Times New Roman" w:hAnsi="Arial" w:cs="Arial"/>
          <w:sz w:val="22"/>
          <w:szCs w:val="22"/>
        </w:rPr>
        <w:t>.</w:t>
      </w:r>
    </w:p>
    <w:tbl>
      <w:tblPr>
        <w:tblStyle w:val="Tablaconcuadrcula"/>
        <w:tblW w:w="4543" w:type="pct"/>
        <w:jc w:val="center"/>
        <w:tblLook w:val="04A0" w:firstRow="1" w:lastRow="0" w:firstColumn="1" w:lastColumn="0" w:noHBand="0" w:noVBand="1"/>
      </w:tblPr>
      <w:tblGrid>
        <w:gridCol w:w="1904"/>
        <w:gridCol w:w="1975"/>
        <w:gridCol w:w="2122"/>
        <w:gridCol w:w="2534"/>
      </w:tblGrid>
      <w:tr w:rsidR="00084BF3" w:rsidRPr="00511928" w14:paraId="07861CFB" w14:textId="77777777" w:rsidTr="00F70B4E">
        <w:trPr>
          <w:trHeight w:val="555"/>
          <w:jc w:val="center"/>
        </w:trPr>
        <w:tc>
          <w:tcPr>
            <w:tcW w:w="951" w:type="pct"/>
            <w:shd w:val="clear" w:color="auto" w:fill="D9D9D9"/>
            <w:vAlign w:val="center"/>
          </w:tcPr>
          <w:p w14:paraId="22826700" w14:textId="77777777" w:rsidR="00084BF3" w:rsidRPr="00511928" w:rsidRDefault="00084BF3" w:rsidP="00C53A55">
            <w:pPr>
              <w:spacing w:before="0" w:after="0"/>
              <w:jc w:val="center"/>
              <w:rPr>
                <w:rFonts w:ascii="Helvetica" w:eastAsia="Calibri" w:hAnsi="Helvetica" w:cs="Helvetica"/>
              </w:rPr>
            </w:pPr>
            <w:r w:rsidRPr="00511928">
              <w:rPr>
                <w:rFonts w:ascii="Helvetica" w:eastAsia="Calibri" w:hAnsi="Helvetica" w:cs="Helvetica"/>
              </w:rPr>
              <w:t>MUNICIPIO</w:t>
            </w:r>
          </w:p>
        </w:tc>
        <w:tc>
          <w:tcPr>
            <w:tcW w:w="1212" w:type="pct"/>
            <w:shd w:val="clear" w:color="auto" w:fill="D9D9D9"/>
            <w:vAlign w:val="center"/>
          </w:tcPr>
          <w:p w14:paraId="7FB621D8" w14:textId="77777777" w:rsidR="00084BF3" w:rsidRPr="00511928" w:rsidRDefault="00084BF3" w:rsidP="00C53A55">
            <w:pPr>
              <w:spacing w:before="0" w:after="0"/>
              <w:jc w:val="center"/>
              <w:rPr>
                <w:rFonts w:ascii="Helvetica" w:eastAsia="Calibri" w:hAnsi="Helvetica" w:cs="Helvetica"/>
              </w:rPr>
            </w:pPr>
            <w:r w:rsidRPr="00511928">
              <w:rPr>
                <w:rFonts w:ascii="Helvetica" w:eastAsia="Calibri" w:hAnsi="Helvetica" w:cs="Helvetica"/>
              </w:rPr>
              <w:t>CÓDIDO DANE MUNICIPIO</w:t>
            </w:r>
          </w:p>
        </w:tc>
        <w:tc>
          <w:tcPr>
            <w:tcW w:w="1298" w:type="pct"/>
            <w:shd w:val="clear" w:color="auto" w:fill="D9D9D9"/>
            <w:vAlign w:val="center"/>
          </w:tcPr>
          <w:p w14:paraId="093D5A2D" w14:textId="77777777" w:rsidR="00084BF3" w:rsidRPr="00511928" w:rsidRDefault="00084BF3" w:rsidP="00C53A55">
            <w:pPr>
              <w:spacing w:before="0" w:after="0"/>
              <w:jc w:val="center"/>
              <w:rPr>
                <w:rFonts w:ascii="Helvetica" w:eastAsia="Calibri" w:hAnsi="Helvetica" w:cs="Helvetica"/>
              </w:rPr>
            </w:pPr>
            <w:r w:rsidRPr="00511928">
              <w:rPr>
                <w:rFonts w:ascii="Helvetica" w:eastAsia="Calibri" w:hAnsi="Helvetica" w:cs="Helvetica"/>
              </w:rPr>
              <w:t>CENTRO POBLADO</w:t>
            </w:r>
          </w:p>
        </w:tc>
        <w:tc>
          <w:tcPr>
            <w:tcW w:w="1540" w:type="pct"/>
            <w:shd w:val="clear" w:color="auto" w:fill="D9D9D9"/>
            <w:vAlign w:val="center"/>
          </w:tcPr>
          <w:p w14:paraId="11B929D2" w14:textId="77777777" w:rsidR="00084BF3" w:rsidRPr="00511928" w:rsidRDefault="00084BF3" w:rsidP="00C53A55">
            <w:pPr>
              <w:spacing w:before="0" w:after="0"/>
              <w:jc w:val="center"/>
              <w:rPr>
                <w:rFonts w:ascii="Helvetica" w:eastAsia="Calibri" w:hAnsi="Helvetica" w:cs="Helvetica"/>
              </w:rPr>
            </w:pPr>
            <w:r w:rsidRPr="00511928">
              <w:rPr>
                <w:rFonts w:ascii="Helvetica" w:eastAsia="Calibri" w:hAnsi="Helvetica" w:cs="Helvetica"/>
              </w:rPr>
              <w:t>CÓDIGO DANE CENTRO POBLADO</w:t>
            </w:r>
          </w:p>
        </w:tc>
      </w:tr>
      <w:tr w:rsidR="00084BF3" w:rsidRPr="00511928" w14:paraId="0B1E0436" w14:textId="77777777" w:rsidTr="00F70B4E">
        <w:trPr>
          <w:trHeight w:val="628"/>
          <w:jc w:val="center"/>
        </w:trPr>
        <w:tc>
          <w:tcPr>
            <w:tcW w:w="951" w:type="pct"/>
            <w:vAlign w:val="center"/>
          </w:tcPr>
          <w:p w14:paraId="3F128BCC" w14:textId="77777777" w:rsidR="00084BF3" w:rsidRPr="00511928" w:rsidRDefault="00084BF3" w:rsidP="00C53A55">
            <w:pPr>
              <w:spacing w:before="0" w:after="0"/>
              <w:jc w:val="center"/>
              <w:rPr>
                <w:rFonts w:ascii="Helvetica" w:eastAsia="Calibri" w:hAnsi="Helvetica" w:cs="Helvetica"/>
              </w:rPr>
            </w:pPr>
            <w:r>
              <w:rPr>
                <w:rFonts w:ascii="Helvetica" w:eastAsia="Calibri" w:hAnsi="Helvetica" w:cs="Helvetica"/>
              </w:rPr>
              <w:t>Barrancabermeja</w:t>
            </w:r>
          </w:p>
        </w:tc>
        <w:tc>
          <w:tcPr>
            <w:tcW w:w="1212" w:type="pct"/>
            <w:vAlign w:val="center"/>
          </w:tcPr>
          <w:p w14:paraId="4589D6F1" w14:textId="77777777" w:rsidR="00084BF3" w:rsidRPr="00511928" w:rsidRDefault="00084BF3" w:rsidP="00C53A55">
            <w:pPr>
              <w:spacing w:before="0" w:after="0"/>
              <w:jc w:val="center"/>
              <w:rPr>
                <w:rFonts w:ascii="Helvetica" w:eastAsia="Calibri" w:hAnsi="Helvetica" w:cs="Helvetica"/>
              </w:rPr>
            </w:pPr>
            <w:r w:rsidRPr="002C5800">
              <w:rPr>
                <w:rFonts w:ascii="Helvetica" w:eastAsia="Calibri" w:hAnsi="Helvetica" w:cs="Helvetica"/>
              </w:rPr>
              <w:t>68081</w:t>
            </w:r>
          </w:p>
        </w:tc>
        <w:tc>
          <w:tcPr>
            <w:tcW w:w="1298" w:type="pct"/>
            <w:vAlign w:val="center"/>
          </w:tcPr>
          <w:p w14:paraId="5407C07A" w14:textId="77777777" w:rsidR="00084BF3" w:rsidRPr="00511928" w:rsidRDefault="00084BF3" w:rsidP="00C53A55">
            <w:pPr>
              <w:spacing w:before="0" w:after="0"/>
              <w:jc w:val="center"/>
              <w:rPr>
                <w:rFonts w:ascii="Helvetica" w:eastAsia="Calibri" w:hAnsi="Helvetica" w:cs="Helvetica"/>
              </w:rPr>
            </w:pPr>
            <w:r>
              <w:rPr>
                <w:rFonts w:ascii="Helvetica" w:eastAsia="Calibri" w:hAnsi="Helvetica" w:cs="Helvetica"/>
              </w:rPr>
              <w:t>San Rafael de Chucurí</w:t>
            </w:r>
          </w:p>
        </w:tc>
        <w:tc>
          <w:tcPr>
            <w:tcW w:w="1540" w:type="pct"/>
            <w:vAlign w:val="center"/>
          </w:tcPr>
          <w:p w14:paraId="486FFBDC" w14:textId="77777777" w:rsidR="00084BF3" w:rsidRPr="00511928" w:rsidRDefault="00084BF3" w:rsidP="00C53A55">
            <w:pPr>
              <w:spacing w:before="0" w:after="0"/>
              <w:jc w:val="center"/>
              <w:rPr>
                <w:rFonts w:ascii="Helvetica" w:eastAsia="Calibri" w:hAnsi="Helvetica" w:cs="Helvetica"/>
              </w:rPr>
            </w:pPr>
            <w:r w:rsidRPr="002C5800">
              <w:rPr>
                <w:rFonts w:ascii="Helvetica" w:eastAsia="Calibri" w:hAnsi="Helvetica" w:cs="Helvetica"/>
              </w:rPr>
              <w:t>68081006</w:t>
            </w:r>
          </w:p>
        </w:tc>
      </w:tr>
    </w:tbl>
    <w:p w14:paraId="66AB45AE" w14:textId="77777777" w:rsidR="00671F81" w:rsidRPr="00671F81" w:rsidRDefault="00671F81" w:rsidP="00671F81">
      <w:pPr>
        <w:spacing w:after="0"/>
        <w:jc w:val="center"/>
        <w:rPr>
          <w:rFonts w:ascii="Helvetica" w:hAnsi="Helvetica" w:cs="Helvetica"/>
          <w:sz w:val="22"/>
          <w:szCs w:val="22"/>
          <w:lang w:val="es-MX"/>
        </w:rPr>
      </w:pPr>
    </w:p>
    <w:p w14:paraId="47D78ECC" w14:textId="7CBCE0ED" w:rsidR="00D15D5D" w:rsidRDefault="00671F81" w:rsidP="00B72244">
      <w:pPr>
        <w:spacing w:after="0"/>
        <w:jc w:val="both"/>
        <w:rPr>
          <w:rFonts w:ascii="Helvetica" w:hAnsi="Helvetica" w:cs="Helvetica"/>
          <w:sz w:val="22"/>
          <w:szCs w:val="22"/>
          <w:lang w:val="es-MX"/>
        </w:rPr>
      </w:pPr>
      <w:r w:rsidRPr="00671F81">
        <w:rPr>
          <w:rFonts w:ascii="Helvetica" w:hAnsi="Helvetica" w:cs="Helvetica"/>
          <w:sz w:val="22"/>
          <w:szCs w:val="22"/>
          <w:lang w:val="es-MX"/>
        </w:rPr>
        <w:t xml:space="preserve">A través del aplicativo </w:t>
      </w:r>
      <w:r w:rsidR="005D4843">
        <w:rPr>
          <w:rFonts w:ascii="Helvetica" w:hAnsi="Helvetica" w:cs="Helvetica"/>
          <w:sz w:val="22"/>
          <w:szCs w:val="22"/>
          <w:lang w:val="es-MX"/>
        </w:rPr>
        <w:t>APLIGAS</w:t>
      </w:r>
      <w:r w:rsidRPr="00671F81">
        <w:rPr>
          <w:rFonts w:ascii="Helvetica" w:hAnsi="Helvetica" w:cs="Helvetica"/>
          <w:sz w:val="22"/>
          <w:szCs w:val="22"/>
          <w:lang w:val="es-MX"/>
        </w:rPr>
        <w:t xml:space="preserve">, </w:t>
      </w:r>
      <w:r w:rsidR="00323818">
        <w:rPr>
          <w:rFonts w:ascii="Helvetica" w:hAnsi="Helvetica" w:cs="Helvetica"/>
          <w:b/>
          <w:bCs/>
          <w:sz w:val="22"/>
          <w:szCs w:val="22"/>
          <w:lang w:val="es-MX"/>
        </w:rPr>
        <w:t>NORTESANTANDEREANA DE GAS</w:t>
      </w:r>
      <w:r w:rsidR="00323818" w:rsidRPr="005D4843">
        <w:rPr>
          <w:rFonts w:ascii="Helvetica" w:hAnsi="Helvetica" w:cs="Helvetica"/>
          <w:b/>
          <w:bCs/>
          <w:sz w:val="22"/>
          <w:szCs w:val="22"/>
          <w:lang w:val="es-MX"/>
        </w:rPr>
        <w:t xml:space="preserve"> S.A. E.S.P.</w:t>
      </w:r>
      <w:r w:rsidR="00323818" w:rsidRPr="00671F81">
        <w:rPr>
          <w:rFonts w:ascii="Helvetica" w:hAnsi="Helvetica" w:cs="Helvetica"/>
          <w:sz w:val="22"/>
          <w:szCs w:val="22"/>
          <w:lang w:val="es-MX"/>
        </w:rPr>
        <w:t xml:space="preserve"> </w:t>
      </w:r>
      <w:r w:rsidRPr="00671F81">
        <w:rPr>
          <w:rFonts w:ascii="Helvetica" w:hAnsi="Helvetica" w:cs="Helvetica"/>
          <w:sz w:val="22"/>
          <w:szCs w:val="22"/>
          <w:lang w:val="es-MX"/>
        </w:rPr>
        <w:t xml:space="preserve">cargó la información para la solicitud tarifaria de los cargos mencionados, bajo el número </w:t>
      </w:r>
      <w:r w:rsidR="005D4843">
        <w:rPr>
          <w:rFonts w:ascii="Helvetica" w:hAnsi="Helvetica" w:cs="Helvetica"/>
          <w:sz w:val="22"/>
          <w:szCs w:val="22"/>
          <w:lang w:val="es-MX"/>
        </w:rPr>
        <w:t>2</w:t>
      </w:r>
      <w:r w:rsidR="00084BF3">
        <w:rPr>
          <w:rFonts w:ascii="Helvetica" w:hAnsi="Helvetica" w:cs="Helvetica"/>
          <w:sz w:val="22"/>
          <w:szCs w:val="22"/>
          <w:lang w:val="es-MX"/>
        </w:rPr>
        <w:t>933</w:t>
      </w:r>
      <w:r w:rsidR="00DC50CF">
        <w:rPr>
          <w:rFonts w:ascii="Helvetica" w:hAnsi="Helvetica" w:cs="Helvetica"/>
          <w:sz w:val="22"/>
          <w:szCs w:val="22"/>
          <w:lang w:val="es-MX"/>
        </w:rPr>
        <w:t xml:space="preserve"> confirmado el </w:t>
      </w:r>
      <w:r w:rsidR="00B314CA">
        <w:rPr>
          <w:rFonts w:ascii="Helvetica" w:hAnsi="Helvetica" w:cs="Helvetica"/>
          <w:sz w:val="22"/>
          <w:szCs w:val="22"/>
          <w:lang w:val="es-MX"/>
        </w:rPr>
        <w:t>10</w:t>
      </w:r>
      <w:r w:rsidR="005D4843">
        <w:rPr>
          <w:rFonts w:ascii="Helvetica" w:hAnsi="Helvetica" w:cs="Helvetica"/>
          <w:sz w:val="22"/>
          <w:szCs w:val="22"/>
          <w:lang w:val="es-MX"/>
        </w:rPr>
        <w:t xml:space="preserve"> de</w:t>
      </w:r>
      <w:r w:rsidR="00084BF3">
        <w:rPr>
          <w:rFonts w:ascii="Helvetica" w:hAnsi="Helvetica" w:cs="Helvetica"/>
          <w:sz w:val="22"/>
          <w:szCs w:val="22"/>
          <w:lang w:val="es-MX"/>
        </w:rPr>
        <w:t xml:space="preserve"> febrero de</w:t>
      </w:r>
      <w:r w:rsidR="005D4843">
        <w:rPr>
          <w:rFonts w:ascii="Helvetica" w:hAnsi="Helvetica" w:cs="Helvetica"/>
          <w:sz w:val="22"/>
          <w:szCs w:val="22"/>
          <w:lang w:val="es-MX"/>
        </w:rPr>
        <w:t xml:space="preserve"> 202</w:t>
      </w:r>
      <w:r w:rsidR="00B314CA">
        <w:rPr>
          <w:rFonts w:ascii="Helvetica" w:hAnsi="Helvetica" w:cs="Helvetica"/>
          <w:sz w:val="22"/>
          <w:szCs w:val="22"/>
          <w:lang w:val="es-MX"/>
        </w:rPr>
        <w:t>3</w:t>
      </w:r>
      <w:r w:rsidR="00D15D5D">
        <w:rPr>
          <w:rFonts w:ascii="Helvetica" w:hAnsi="Helvetica" w:cs="Helvetica"/>
          <w:sz w:val="22"/>
          <w:szCs w:val="22"/>
          <w:lang w:val="es-MX"/>
        </w:rPr>
        <w:t>.</w:t>
      </w:r>
    </w:p>
    <w:p w14:paraId="4938457B" w14:textId="6E875D14" w:rsidR="00671F81" w:rsidRDefault="00DC50CF" w:rsidP="00B72244">
      <w:pPr>
        <w:spacing w:after="0"/>
        <w:jc w:val="both"/>
        <w:rPr>
          <w:rFonts w:ascii="Helvetica" w:hAnsi="Helvetica" w:cs="Helvetica"/>
          <w:sz w:val="22"/>
          <w:szCs w:val="22"/>
          <w:lang w:val="es-MX"/>
        </w:rPr>
      </w:pPr>
      <w:r w:rsidRPr="005D4843">
        <w:rPr>
          <w:rFonts w:ascii="Helvetica" w:hAnsi="Helvetica" w:cs="Helvetica"/>
          <w:sz w:val="22"/>
          <w:szCs w:val="22"/>
          <w:lang w:val="es-MX"/>
        </w:rPr>
        <w:t xml:space="preserve">Conforme a la solicitud tarifaria presentada, los cargos propuestos por la Empresa para el mercado relevante de Distribución y el Componente Fijo del Costo de Comercialización anteriormente mencionado son los </w:t>
      </w:r>
      <w:r w:rsidR="00D15D5D">
        <w:rPr>
          <w:rFonts w:ascii="Helvetica" w:hAnsi="Helvetica" w:cs="Helvetica"/>
          <w:sz w:val="22"/>
          <w:szCs w:val="22"/>
          <w:lang w:val="es-MX"/>
        </w:rPr>
        <w:t>siguientes:</w:t>
      </w:r>
    </w:p>
    <w:p w14:paraId="1CC34190" w14:textId="73B85CC0" w:rsidR="00671F81" w:rsidRPr="00671F81" w:rsidRDefault="007A16BB" w:rsidP="005D4843">
      <w:pPr>
        <w:spacing w:after="0"/>
        <w:jc w:val="center"/>
        <w:rPr>
          <w:rFonts w:ascii="Helvetica" w:hAnsi="Helvetica" w:cs="Helvetica"/>
          <w:sz w:val="22"/>
          <w:szCs w:val="22"/>
          <w:lang w:val="es-MX"/>
        </w:rPr>
      </w:pPr>
      <w:r>
        <w:rPr>
          <w:rFonts w:ascii="Helvetica" w:hAnsi="Helvetica" w:cs="Helvetica"/>
          <w:sz w:val="22"/>
          <w:szCs w:val="22"/>
          <w:lang w:val="es-MX"/>
        </w:rPr>
        <w:t>Cuadro 2. Cargos solicitados por La Empresa</w:t>
      </w:r>
    </w:p>
    <w:tbl>
      <w:tblPr>
        <w:tblStyle w:val="Tablaconcuadrcula"/>
        <w:tblW w:w="4856" w:type="pct"/>
        <w:jc w:val="center"/>
        <w:tblLook w:val="04A0" w:firstRow="1" w:lastRow="0" w:firstColumn="1" w:lastColumn="0" w:noHBand="0" w:noVBand="1"/>
      </w:tblPr>
      <w:tblGrid>
        <w:gridCol w:w="2697"/>
        <w:gridCol w:w="3784"/>
        <w:gridCol w:w="2642"/>
      </w:tblGrid>
      <w:tr w:rsidR="00671F81" w:rsidRPr="00671F81" w14:paraId="0267ED63" w14:textId="77777777" w:rsidTr="00973168">
        <w:trPr>
          <w:trHeight w:val="1050"/>
          <w:tblHeader/>
          <w:jc w:val="center"/>
        </w:trPr>
        <w:tc>
          <w:tcPr>
            <w:tcW w:w="5000" w:type="pct"/>
            <w:gridSpan w:val="3"/>
            <w:shd w:val="clear" w:color="auto" w:fill="BFBFBF" w:themeFill="background1" w:themeFillShade="BF"/>
            <w:vAlign w:val="center"/>
          </w:tcPr>
          <w:p w14:paraId="09B6EA56" w14:textId="77777777" w:rsidR="00671F81" w:rsidRPr="00671F81" w:rsidRDefault="00671F81" w:rsidP="00C53A55">
            <w:pPr>
              <w:spacing w:before="0" w:after="0"/>
              <w:jc w:val="center"/>
              <w:rPr>
                <w:rFonts w:ascii="Helvetica" w:hAnsi="Helvetica" w:cs="Helvetica"/>
                <w:b/>
              </w:rPr>
            </w:pPr>
            <w:r w:rsidRPr="00671F81">
              <w:rPr>
                <w:rFonts w:ascii="Helvetica" w:hAnsi="Helvetica" w:cs="Helvetica"/>
                <w:b/>
              </w:rPr>
              <w:t>CARGOS DE DISTRIBUCIÓN APLICABLES A USUARIOS DE USO RESIDENCIAL Y DIFERENTE AL RESIDENCIAL</w:t>
            </w:r>
          </w:p>
          <w:p w14:paraId="4948A17C" w14:textId="5915F781" w:rsidR="00671F81" w:rsidRPr="00671F81" w:rsidRDefault="00671F81" w:rsidP="00C53A55">
            <w:pPr>
              <w:spacing w:before="0" w:after="0"/>
              <w:jc w:val="center"/>
              <w:rPr>
                <w:rFonts w:ascii="Helvetica" w:hAnsi="Helvetica" w:cs="Helvetica"/>
                <w:b/>
              </w:rPr>
            </w:pPr>
            <w:r w:rsidRPr="00671F81">
              <w:rPr>
                <w:rFonts w:ascii="Helvetica" w:hAnsi="Helvetica" w:cs="Helvetica"/>
                <w:b/>
              </w:rPr>
              <w:t>($/m</w:t>
            </w:r>
            <w:r w:rsidRPr="00671F81">
              <w:rPr>
                <w:rFonts w:ascii="Helvetica" w:hAnsi="Helvetica" w:cs="Helvetica"/>
                <w:b/>
                <w:vertAlign w:val="superscript"/>
              </w:rPr>
              <w:t>3</w:t>
            </w:r>
            <w:r w:rsidRPr="00671F81">
              <w:rPr>
                <w:rFonts w:ascii="Helvetica" w:hAnsi="Helvetica" w:cs="Helvetica"/>
                <w:b/>
              </w:rPr>
              <w:t xml:space="preserve"> pesos del 31 de diciembre de 202</w:t>
            </w:r>
            <w:r w:rsidR="00371349">
              <w:rPr>
                <w:rFonts w:ascii="Helvetica" w:hAnsi="Helvetica" w:cs="Helvetica"/>
                <w:b/>
              </w:rPr>
              <w:t>2</w:t>
            </w:r>
            <w:r w:rsidRPr="00671F81">
              <w:rPr>
                <w:rFonts w:ascii="Helvetica" w:hAnsi="Helvetica" w:cs="Helvetica"/>
                <w:b/>
              </w:rPr>
              <w:t>)</w:t>
            </w:r>
          </w:p>
        </w:tc>
      </w:tr>
      <w:tr w:rsidR="00671F81" w:rsidRPr="00671F81" w14:paraId="24F783C7" w14:textId="77777777" w:rsidTr="00973168">
        <w:trPr>
          <w:trHeight w:val="684"/>
          <w:tblHeader/>
          <w:jc w:val="center"/>
        </w:trPr>
        <w:tc>
          <w:tcPr>
            <w:tcW w:w="1478" w:type="pct"/>
            <w:shd w:val="clear" w:color="auto" w:fill="BFBFBF" w:themeFill="background1" w:themeFillShade="BF"/>
            <w:vAlign w:val="center"/>
          </w:tcPr>
          <w:p w14:paraId="680AB28C" w14:textId="77777777" w:rsidR="00671F81" w:rsidRPr="00671F81" w:rsidRDefault="00671F81" w:rsidP="00C53A55">
            <w:pPr>
              <w:spacing w:before="0" w:after="0"/>
              <w:jc w:val="center"/>
              <w:rPr>
                <w:rFonts w:ascii="Helvetica" w:hAnsi="Helvetica" w:cs="Helvetica"/>
                <w:b/>
              </w:rPr>
            </w:pPr>
            <w:r w:rsidRPr="00671F81">
              <w:rPr>
                <w:rFonts w:ascii="Helvetica" w:hAnsi="Helvetica" w:cs="Helvetica"/>
                <w:b/>
              </w:rPr>
              <w:t>Componentes</w:t>
            </w:r>
          </w:p>
        </w:tc>
        <w:tc>
          <w:tcPr>
            <w:tcW w:w="2074" w:type="pct"/>
            <w:shd w:val="clear" w:color="auto" w:fill="BFBFBF" w:themeFill="background1" w:themeFillShade="BF"/>
            <w:vAlign w:val="center"/>
          </w:tcPr>
          <w:p w14:paraId="7D709EEB" w14:textId="77777777" w:rsidR="00671F81" w:rsidRPr="00671F81" w:rsidRDefault="00671F81" w:rsidP="00C53A55">
            <w:pPr>
              <w:spacing w:before="0" w:after="0"/>
              <w:jc w:val="center"/>
              <w:rPr>
                <w:rFonts w:ascii="Helvetica" w:hAnsi="Helvetica" w:cs="Helvetica"/>
                <w:b/>
              </w:rPr>
            </w:pPr>
            <w:r w:rsidRPr="00671F81">
              <w:rPr>
                <w:rFonts w:ascii="Helvetica" w:hAnsi="Helvetica" w:cs="Helvetica"/>
                <w:b/>
              </w:rPr>
              <w:t>Descripción</w:t>
            </w:r>
          </w:p>
        </w:tc>
        <w:tc>
          <w:tcPr>
            <w:tcW w:w="1448" w:type="pct"/>
            <w:shd w:val="clear" w:color="auto" w:fill="BFBFBF" w:themeFill="background1" w:themeFillShade="BF"/>
            <w:vAlign w:val="center"/>
          </w:tcPr>
          <w:p w14:paraId="648D8A17" w14:textId="6B15E56F" w:rsidR="00671F81" w:rsidRPr="00671F81" w:rsidRDefault="00671F81" w:rsidP="00C53A55">
            <w:pPr>
              <w:spacing w:before="0" w:after="0"/>
              <w:jc w:val="center"/>
              <w:rPr>
                <w:rFonts w:ascii="Helvetica" w:hAnsi="Helvetica" w:cs="Helvetica"/>
                <w:b/>
              </w:rPr>
            </w:pPr>
            <w:r w:rsidRPr="00671F81">
              <w:rPr>
                <w:rFonts w:ascii="Helvetica" w:hAnsi="Helvetica" w:cs="Helvetica"/>
                <w:b/>
              </w:rPr>
              <w:t>Año 202</w:t>
            </w:r>
            <w:r w:rsidR="00973168">
              <w:rPr>
                <w:rFonts w:ascii="Helvetica" w:hAnsi="Helvetica" w:cs="Helvetica"/>
                <w:b/>
              </w:rPr>
              <w:t>2</w:t>
            </w:r>
            <w:r w:rsidRPr="00671F81">
              <w:rPr>
                <w:rFonts w:ascii="Helvetica" w:hAnsi="Helvetica" w:cs="Helvetica"/>
                <w:b/>
              </w:rPr>
              <w:t xml:space="preserve"> en adelante</w:t>
            </w:r>
          </w:p>
        </w:tc>
      </w:tr>
      <w:tr w:rsidR="00671F81" w:rsidRPr="00671F81" w14:paraId="60D7979C" w14:textId="77777777" w:rsidTr="00973168">
        <w:trPr>
          <w:trHeight w:val="1751"/>
          <w:jc w:val="center"/>
        </w:trPr>
        <w:tc>
          <w:tcPr>
            <w:tcW w:w="1478" w:type="pct"/>
            <w:vAlign w:val="center"/>
          </w:tcPr>
          <w:p w14:paraId="46872097" w14:textId="77777777" w:rsidR="00671F81" w:rsidRPr="00671F81" w:rsidRDefault="00000000" w:rsidP="00C53A55">
            <w:pPr>
              <w:spacing w:before="0" w:after="0"/>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inv</m:t>
                    </m:r>
                    <m:d>
                      <m:dPr>
                        <m:ctrlPr>
                          <w:rPr>
                            <w:rFonts w:ascii="Cambria Math" w:hAnsi="Cambria Math" w:cs="Helvetica"/>
                            <w:i/>
                          </w:rPr>
                        </m:ctrlPr>
                      </m:dPr>
                      <m:e>
                        <m:r>
                          <w:rPr>
                            <w:rFonts w:ascii="Cambria Math" w:hAnsi="Cambria Math" w:cs="Helvetica"/>
                          </w:rPr>
                          <m:t>AUR</m:t>
                        </m:r>
                      </m:e>
                    </m:d>
                    <m:r>
                      <w:rPr>
                        <w:rFonts w:ascii="Cambria Math" w:hAnsi="Cambria Math" w:cs="Helvetica"/>
                      </w:rPr>
                      <m:t>empresa</m:t>
                    </m:r>
                  </m:sub>
                </m:sSub>
              </m:oMath>
            </m:oMathPara>
          </w:p>
          <w:p w14:paraId="48FA1CA4" w14:textId="77777777" w:rsidR="00671F81" w:rsidRPr="00671F81" w:rsidRDefault="00000000" w:rsidP="00C53A55">
            <w:pPr>
              <w:spacing w:before="0" w:after="0"/>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inv</m:t>
                    </m:r>
                    <m:d>
                      <m:dPr>
                        <m:ctrlPr>
                          <w:rPr>
                            <w:rFonts w:ascii="Cambria Math" w:hAnsi="Cambria Math" w:cs="Helvetica"/>
                            <w:i/>
                          </w:rPr>
                        </m:ctrlPr>
                      </m:dPr>
                      <m:e>
                        <m:r>
                          <w:rPr>
                            <w:rFonts w:ascii="Cambria Math" w:hAnsi="Cambria Math" w:cs="Helvetica"/>
                          </w:rPr>
                          <m:t>AUNR</m:t>
                        </m:r>
                      </m:e>
                    </m:d>
                    <m:r>
                      <w:rPr>
                        <w:rFonts w:ascii="Cambria Math" w:hAnsi="Cambria Math" w:cs="Helvetica"/>
                      </w:rPr>
                      <m:t>empresa</m:t>
                    </m:r>
                  </m:sub>
                </m:sSub>
              </m:oMath>
            </m:oMathPara>
          </w:p>
        </w:tc>
        <w:tc>
          <w:tcPr>
            <w:tcW w:w="2074" w:type="pct"/>
            <w:vAlign w:val="center"/>
          </w:tcPr>
          <w:p w14:paraId="3E29ACF9" w14:textId="77777777" w:rsidR="00671F81" w:rsidRPr="00671F81" w:rsidRDefault="00671F81" w:rsidP="00C53A55">
            <w:pPr>
              <w:spacing w:before="0" w:after="0"/>
              <w:jc w:val="both"/>
              <w:rPr>
                <w:rFonts w:ascii="Helvetica" w:hAnsi="Helvetica" w:cs="Helvetica"/>
              </w:rPr>
            </w:pPr>
            <w:r w:rsidRPr="00671F81">
              <w:rPr>
                <w:rFonts w:ascii="Helvetica" w:hAnsi="Helvetica" w:cs="Helvetica"/>
              </w:rPr>
              <w:t>Componente que remunera la Inversión Base de La Empresa para Mercado Relevante de Distribución para el siguiente período tarifario</w:t>
            </w:r>
          </w:p>
        </w:tc>
        <w:tc>
          <w:tcPr>
            <w:tcW w:w="1448" w:type="pct"/>
            <w:vAlign w:val="center"/>
          </w:tcPr>
          <w:p w14:paraId="5FDDADCA" w14:textId="63F3ACA1" w:rsidR="00671F81" w:rsidRPr="00671F81" w:rsidRDefault="00671F81" w:rsidP="00C53A55">
            <w:pPr>
              <w:spacing w:before="0" w:after="0"/>
              <w:jc w:val="center"/>
              <w:rPr>
                <w:rFonts w:ascii="Helvetica" w:hAnsi="Helvetica" w:cs="Helvetica"/>
              </w:rPr>
            </w:pPr>
            <w:r w:rsidRPr="00671F81">
              <w:rPr>
                <w:rFonts w:ascii="Helvetica" w:hAnsi="Helvetica" w:cs="Helvetica"/>
              </w:rPr>
              <w:t>$ 1,</w:t>
            </w:r>
            <w:r w:rsidR="00B314CA">
              <w:rPr>
                <w:rFonts w:ascii="Helvetica" w:hAnsi="Helvetica" w:cs="Helvetica"/>
              </w:rPr>
              <w:t>987</w:t>
            </w:r>
            <w:r w:rsidR="00973168">
              <w:rPr>
                <w:rFonts w:ascii="Helvetica" w:hAnsi="Helvetica" w:cs="Helvetica"/>
              </w:rPr>
              <w:t>.2</w:t>
            </w:r>
            <w:r w:rsidR="00B314CA">
              <w:rPr>
                <w:rFonts w:ascii="Helvetica" w:hAnsi="Helvetica" w:cs="Helvetica"/>
              </w:rPr>
              <w:t>7</w:t>
            </w:r>
          </w:p>
          <w:p w14:paraId="5660F659" w14:textId="77777777" w:rsidR="00671F81" w:rsidRPr="00671F81" w:rsidRDefault="00671F81" w:rsidP="00C53A55">
            <w:pPr>
              <w:pStyle w:val="Default"/>
              <w:rPr>
                <w:rFonts w:ascii="Helvetica" w:hAnsi="Helvetica" w:cs="Helvetica"/>
              </w:rPr>
            </w:pPr>
          </w:p>
        </w:tc>
      </w:tr>
      <w:tr w:rsidR="00973168" w:rsidRPr="00671F81" w14:paraId="418FD207" w14:textId="77777777" w:rsidTr="00973168">
        <w:trPr>
          <w:trHeight w:val="1751"/>
          <w:jc w:val="center"/>
        </w:trPr>
        <w:tc>
          <w:tcPr>
            <w:tcW w:w="1478" w:type="pct"/>
            <w:vAlign w:val="center"/>
          </w:tcPr>
          <w:p w14:paraId="455EF1F4" w14:textId="77777777" w:rsidR="00973168" w:rsidRPr="00671F81" w:rsidRDefault="00000000" w:rsidP="00C53A55">
            <w:pPr>
              <w:spacing w:before="0" w:after="0"/>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AOM</m:t>
                    </m:r>
                    <m:d>
                      <m:dPr>
                        <m:ctrlPr>
                          <w:rPr>
                            <w:rFonts w:ascii="Cambria Math" w:hAnsi="Cambria Math" w:cs="Helvetica"/>
                            <w:i/>
                          </w:rPr>
                        </m:ctrlPr>
                      </m:dPr>
                      <m:e>
                        <m:r>
                          <w:rPr>
                            <w:rFonts w:ascii="Cambria Math" w:hAnsi="Cambria Math" w:cs="Helvetica"/>
                          </w:rPr>
                          <m:t>AUR</m:t>
                        </m:r>
                      </m:e>
                    </m:d>
                  </m:sub>
                </m:sSub>
              </m:oMath>
            </m:oMathPara>
          </w:p>
          <w:p w14:paraId="3885C7A5" w14:textId="6674FA66" w:rsidR="00973168" w:rsidRPr="00671F81" w:rsidRDefault="00000000" w:rsidP="00C53A55">
            <w:pPr>
              <w:spacing w:before="0" w:after="0"/>
              <w:jc w:val="center"/>
              <w:rPr>
                <w:rFonts w:ascii="Helvetica" w:eastAsia="Calibri" w:hAnsi="Helvetica" w:cs="Helvetica"/>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AOM</m:t>
                    </m:r>
                    <m:d>
                      <m:dPr>
                        <m:ctrlPr>
                          <w:rPr>
                            <w:rFonts w:ascii="Cambria Math" w:hAnsi="Cambria Math" w:cs="Helvetica"/>
                            <w:i/>
                          </w:rPr>
                        </m:ctrlPr>
                      </m:dPr>
                      <m:e>
                        <m:r>
                          <w:rPr>
                            <w:rFonts w:ascii="Cambria Math" w:hAnsi="Cambria Math" w:cs="Helvetica"/>
                          </w:rPr>
                          <m:t>AUNR</m:t>
                        </m:r>
                      </m:e>
                    </m:d>
                  </m:sub>
                </m:sSub>
              </m:oMath>
            </m:oMathPara>
          </w:p>
        </w:tc>
        <w:tc>
          <w:tcPr>
            <w:tcW w:w="2074" w:type="pct"/>
            <w:vAlign w:val="center"/>
          </w:tcPr>
          <w:p w14:paraId="7F48DC01" w14:textId="7ADFCD2E" w:rsidR="00973168" w:rsidRPr="00671F81" w:rsidRDefault="00973168" w:rsidP="00C53A55">
            <w:pPr>
              <w:spacing w:before="0" w:after="0"/>
              <w:jc w:val="both"/>
              <w:rPr>
                <w:rFonts w:ascii="Helvetica" w:hAnsi="Helvetica" w:cs="Helvetica"/>
              </w:rPr>
            </w:pPr>
            <w:r w:rsidRPr="00671F81">
              <w:rPr>
                <w:rFonts w:ascii="Helvetica" w:hAnsi="Helvetica" w:cs="Helvetica"/>
              </w:rPr>
              <w:t>Componente que remunera los gastos de Administración, Operación y Mantenimiento (AOM) del Mercado Relevante de Distribución para el Siguiente Periodo Tarifario.</w:t>
            </w:r>
          </w:p>
        </w:tc>
        <w:tc>
          <w:tcPr>
            <w:tcW w:w="1448" w:type="pct"/>
            <w:vAlign w:val="center"/>
          </w:tcPr>
          <w:p w14:paraId="292D151D" w14:textId="4DE0FDD6" w:rsidR="00973168" w:rsidRPr="00671F81" w:rsidRDefault="00973168" w:rsidP="00C53A55">
            <w:pPr>
              <w:spacing w:before="0" w:after="0"/>
              <w:jc w:val="center"/>
              <w:rPr>
                <w:rFonts w:ascii="Helvetica" w:hAnsi="Helvetica" w:cs="Helvetica"/>
              </w:rPr>
            </w:pPr>
            <w:r w:rsidRPr="00671F81">
              <w:rPr>
                <w:rFonts w:ascii="Helvetica" w:hAnsi="Helvetica" w:cs="Helvetica"/>
              </w:rPr>
              <w:t>$</w:t>
            </w:r>
            <w:r w:rsidR="00B314CA">
              <w:rPr>
                <w:rFonts w:ascii="Helvetica" w:hAnsi="Helvetica" w:cs="Helvetica"/>
              </w:rPr>
              <w:t>2</w:t>
            </w:r>
            <w:r w:rsidRPr="00671F81">
              <w:rPr>
                <w:rFonts w:ascii="Helvetica" w:hAnsi="Helvetica" w:cs="Helvetica"/>
              </w:rPr>
              <w:t>,</w:t>
            </w:r>
            <w:r w:rsidR="00B314CA">
              <w:rPr>
                <w:rFonts w:ascii="Helvetica" w:hAnsi="Helvetica" w:cs="Helvetica"/>
              </w:rPr>
              <w:t>480</w:t>
            </w:r>
            <w:r>
              <w:rPr>
                <w:rFonts w:ascii="Helvetica" w:hAnsi="Helvetica" w:cs="Helvetica"/>
              </w:rPr>
              <w:t>.</w:t>
            </w:r>
            <w:r w:rsidR="00B314CA">
              <w:rPr>
                <w:rFonts w:ascii="Helvetica" w:hAnsi="Helvetica" w:cs="Helvetica"/>
              </w:rPr>
              <w:t>81</w:t>
            </w:r>
          </w:p>
        </w:tc>
      </w:tr>
      <w:tr w:rsidR="00973168" w:rsidRPr="00671F81" w14:paraId="22CC70A4" w14:textId="77777777" w:rsidTr="00973168">
        <w:trPr>
          <w:trHeight w:val="2102"/>
          <w:jc w:val="center"/>
        </w:trPr>
        <w:tc>
          <w:tcPr>
            <w:tcW w:w="1478" w:type="pct"/>
            <w:vAlign w:val="center"/>
          </w:tcPr>
          <w:p w14:paraId="7BACB30A" w14:textId="77777777" w:rsidR="00973168" w:rsidRPr="00671F81" w:rsidRDefault="00000000" w:rsidP="00C53A55">
            <w:pPr>
              <w:spacing w:before="0" w:after="0"/>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d>
                      <m:dPr>
                        <m:ctrlPr>
                          <w:rPr>
                            <w:rFonts w:ascii="Cambria Math" w:hAnsi="Cambria Math" w:cs="Helvetica"/>
                            <w:i/>
                          </w:rPr>
                        </m:ctrlPr>
                      </m:dPr>
                      <m:e>
                        <m:r>
                          <w:rPr>
                            <w:rFonts w:ascii="Cambria Math" w:hAnsi="Cambria Math" w:cs="Helvetica"/>
                          </w:rPr>
                          <m:t>AUR</m:t>
                        </m:r>
                      </m:e>
                    </m:d>
                  </m:sub>
                </m:sSub>
              </m:oMath>
            </m:oMathPara>
          </w:p>
          <w:p w14:paraId="527BF137" w14:textId="2B5D8197" w:rsidR="00973168" w:rsidRPr="00671F81" w:rsidRDefault="00000000" w:rsidP="00C53A55">
            <w:pPr>
              <w:spacing w:before="0" w:after="0"/>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d>
                      <m:dPr>
                        <m:ctrlPr>
                          <w:rPr>
                            <w:rFonts w:ascii="Cambria Math" w:hAnsi="Cambria Math" w:cs="Helvetica"/>
                            <w:i/>
                          </w:rPr>
                        </m:ctrlPr>
                      </m:dPr>
                      <m:e>
                        <m:r>
                          <w:rPr>
                            <w:rFonts w:ascii="Cambria Math" w:hAnsi="Cambria Math" w:cs="Helvetica"/>
                          </w:rPr>
                          <m:t>AUNR</m:t>
                        </m:r>
                      </m:e>
                    </m:d>
                  </m:sub>
                </m:sSub>
              </m:oMath>
            </m:oMathPara>
          </w:p>
        </w:tc>
        <w:tc>
          <w:tcPr>
            <w:tcW w:w="2074" w:type="pct"/>
            <w:vAlign w:val="center"/>
          </w:tcPr>
          <w:p w14:paraId="77E1B8D2" w14:textId="0F3B546D" w:rsidR="00973168" w:rsidRPr="00671F81" w:rsidRDefault="00973168" w:rsidP="00C53A55">
            <w:pPr>
              <w:spacing w:before="0" w:after="0"/>
              <w:jc w:val="both"/>
              <w:rPr>
                <w:rFonts w:ascii="Helvetica" w:hAnsi="Helvetica" w:cs="Helvetica"/>
              </w:rPr>
            </w:pPr>
            <w:r w:rsidRPr="00671F81">
              <w:rPr>
                <w:rFonts w:ascii="Helvetica" w:hAnsi="Helvetica" w:cs="Helvetica"/>
              </w:rPr>
              <w:t>Cargo de Distribución del Mercado Relevante de Distribución para el Siguiente Periodo Tarifario.</w:t>
            </w:r>
          </w:p>
        </w:tc>
        <w:tc>
          <w:tcPr>
            <w:tcW w:w="1448" w:type="pct"/>
            <w:vAlign w:val="center"/>
          </w:tcPr>
          <w:p w14:paraId="297C5B6F" w14:textId="38DEBD30" w:rsidR="00973168" w:rsidRPr="00671F81" w:rsidRDefault="00973168" w:rsidP="00C53A55">
            <w:pPr>
              <w:spacing w:before="0" w:after="0"/>
              <w:jc w:val="center"/>
              <w:rPr>
                <w:rFonts w:ascii="Helvetica" w:hAnsi="Helvetica" w:cs="Helvetica"/>
              </w:rPr>
            </w:pPr>
            <w:r w:rsidRPr="00671F81">
              <w:rPr>
                <w:rFonts w:ascii="Helvetica" w:hAnsi="Helvetica" w:cs="Helvetica"/>
              </w:rPr>
              <w:t xml:space="preserve">$ </w:t>
            </w:r>
            <w:r w:rsidR="00B314CA">
              <w:rPr>
                <w:rFonts w:ascii="Helvetica" w:hAnsi="Helvetica" w:cs="Helvetica"/>
              </w:rPr>
              <w:t>4</w:t>
            </w:r>
            <w:r w:rsidRPr="00671F81">
              <w:rPr>
                <w:rFonts w:ascii="Helvetica" w:hAnsi="Helvetica" w:cs="Helvetica"/>
              </w:rPr>
              <w:t>,</w:t>
            </w:r>
            <w:r w:rsidR="00B314CA">
              <w:rPr>
                <w:rFonts w:ascii="Helvetica" w:hAnsi="Helvetica" w:cs="Helvetica"/>
              </w:rPr>
              <w:t>468</w:t>
            </w:r>
            <w:r w:rsidRPr="00671F81">
              <w:rPr>
                <w:rFonts w:ascii="Helvetica" w:hAnsi="Helvetica" w:cs="Helvetica"/>
              </w:rPr>
              <w:t>.</w:t>
            </w:r>
            <w:r w:rsidR="00B314CA">
              <w:rPr>
                <w:rFonts w:ascii="Helvetica" w:hAnsi="Helvetica" w:cs="Helvetica"/>
              </w:rPr>
              <w:t>08</w:t>
            </w:r>
          </w:p>
        </w:tc>
      </w:tr>
    </w:tbl>
    <w:p w14:paraId="5501E88A" w14:textId="77777777" w:rsidR="00671F81" w:rsidRPr="00671F81" w:rsidRDefault="00671F81" w:rsidP="00671F81">
      <w:pPr>
        <w:spacing w:after="0"/>
        <w:jc w:val="center"/>
        <w:rPr>
          <w:rFonts w:ascii="Helvetica" w:hAnsi="Helvetica" w:cs="Helvetica"/>
          <w:sz w:val="22"/>
          <w:szCs w:val="22"/>
        </w:rPr>
      </w:pPr>
    </w:p>
    <w:p w14:paraId="4542D8F7" w14:textId="77777777" w:rsidR="00671F81" w:rsidRPr="00671F81" w:rsidRDefault="00671F81" w:rsidP="00671F81">
      <w:pPr>
        <w:spacing w:after="0"/>
        <w:jc w:val="center"/>
        <w:rPr>
          <w:rFonts w:ascii="Helvetica" w:hAnsi="Helvetica" w:cs="Helvetica"/>
          <w:sz w:val="22"/>
          <w:szCs w:val="22"/>
        </w:rPr>
      </w:pPr>
    </w:p>
    <w:tbl>
      <w:tblPr>
        <w:tblStyle w:val="Tablaconcuadrcula"/>
        <w:tblW w:w="4862" w:type="pct"/>
        <w:jc w:val="center"/>
        <w:tblLook w:val="04A0" w:firstRow="1" w:lastRow="0" w:firstColumn="1" w:lastColumn="0" w:noHBand="0" w:noVBand="1"/>
      </w:tblPr>
      <w:tblGrid>
        <w:gridCol w:w="2753"/>
        <w:gridCol w:w="3678"/>
        <w:gridCol w:w="2704"/>
      </w:tblGrid>
      <w:tr w:rsidR="00671F81" w:rsidRPr="00671F81" w14:paraId="04F66BCD" w14:textId="77777777" w:rsidTr="00FC1C2D">
        <w:trPr>
          <w:trHeight w:val="1150"/>
          <w:tblHeader/>
          <w:jc w:val="center"/>
        </w:trPr>
        <w:tc>
          <w:tcPr>
            <w:tcW w:w="5000" w:type="pct"/>
            <w:gridSpan w:val="3"/>
            <w:shd w:val="clear" w:color="auto" w:fill="BFBFBF" w:themeFill="background1" w:themeFillShade="BF"/>
            <w:vAlign w:val="center"/>
          </w:tcPr>
          <w:p w14:paraId="308A459C" w14:textId="77777777" w:rsidR="00671F81" w:rsidRPr="00671F81" w:rsidRDefault="00671F81" w:rsidP="00C53A55">
            <w:pPr>
              <w:spacing w:before="0" w:after="0"/>
              <w:jc w:val="center"/>
              <w:rPr>
                <w:rFonts w:ascii="Helvetica" w:hAnsi="Helvetica" w:cs="Helvetica"/>
                <w:b/>
              </w:rPr>
            </w:pPr>
            <w:r w:rsidRPr="00671F81">
              <w:rPr>
                <w:rFonts w:ascii="Helvetica" w:hAnsi="Helvetica" w:cs="Helvetica"/>
                <w:b/>
              </w:rPr>
              <w:t xml:space="preserve">CARGO DE COMERCIALIZACIÓN PARA EL MERCADO RELEVANTE DE COMERCIALIZACIÓN </w:t>
            </w:r>
          </w:p>
          <w:p w14:paraId="439D4F42" w14:textId="317416F9" w:rsidR="00671F81" w:rsidRPr="00671F81" w:rsidRDefault="00671F81" w:rsidP="00C53A55">
            <w:pPr>
              <w:spacing w:before="0" w:after="0"/>
              <w:jc w:val="center"/>
              <w:rPr>
                <w:rFonts w:ascii="Helvetica" w:hAnsi="Helvetica" w:cs="Helvetica"/>
                <w:b/>
              </w:rPr>
            </w:pPr>
            <w:r w:rsidRPr="00671F81">
              <w:rPr>
                <w:rFonts w:ascii="Helvetica" w:hAnsi="Helvetica" w:cs="Helvetica"/>
                <w:b/>
              </w:rPr>
              <w:t>($/factura pesos del 31 diciembre de 202</w:t>
            </w:r>
            <w:r w:rsidR="00371349">
              <w:rPr>
                <w:rFonts w:ascii="Helvetica" w:hAnsi="Helvetica" w:cs="Helvetica"/>
                <w:b/>
              </w:rPr>
              <w:t>2</w:t>
            </w:r>
            <w:r w:rsidRPr="00671F81">
              <w:rPr>
                <w:rFonts w:ascii="Helvetica" w:hAnsi="Helvetica" w:cs="Helvetica"/>
                <w:b/>
              </w:rPr>
              <w:t>)</w:t>
            </w:r>
          </w:p>
        </w:tc>
      </w:tr>
      <w:tr w:rsidR="00671F81" w:rsidRPr="00671F81" w14:paraId="3377E259" w14:textId="77777777" w:rsidTr="00FC1C2D">
        <w:trPr>
          <w:trHeight w:val="748"/>
          <w:tblHeader/>
          <w:jc w:val="center"/>
        </w:trPr>
        <w:tc>
          <w:tcPr>
            <w:tcW w:w="1507" w:type="pct"/>
            <w:shd w:val="clear" w:color="auto" w:fill="BFBFBF" w:themeFill="background1" w:themeFillShade="BF"/>
            <w:vAlign w:val="center"/>
          </w:tcPr>
          <w:p w14:paraId="7C923C42" w14:textId="77777777" w:rsidR="00671F81" w:rsidRPr="00671F81" w:rsidRDefault="00671F81" w:rsidP="00C53A55">
            <w:pPr>
              <w:spacing w:before="0" w:after="0"/>
              <w:jc w:val="center"/>
              <w:rPr>
                <w:rFonts w:ascii="Helvetica" w:hAnsi="Helvetica" w:cs="Helvetica"/>
                <w:b/>
              </w:rPr>
            </w:pPr>
            <w:r w:rsidRPr="00671F81">
              <w:rPr>
                <w:rFonts w:ascii="Helvetica" w:hAnsi="Helvetica" w:cs="Helvetica"/>
                <w:b/>
              </w:rPr>
              <w:t>Componentes</w:t>
            </w:r>
          </w:p>
        </w:tc>
        <w:tc>
          <w:tcPr>
            <w:tcW w:w="2013" w:type="pct"/>
            <w:shd w:val="clear" w:color="auto" w:fill="BFBFBF" w:themeFill="background1" w:themeFillShade="BF"/>
            <w:vAlign w:val="center"/>
          </w:tcPr>
          <w:p w14:paraId="111EB74D" w14:textId="77777777" w:rsidR="00671F81" w:rsidRPr="00671F81" w:rsidRDefault="00671F81" w:rsidP="00C53A55">
            <w:pPr>
              <w:spacing w:before="0" w:after="0"/>
              <w:jc w:val="center"/>
              <w:rPr>
                <w:rFonts w:ascii="Helvetica" w:hAnsi="Helvetica" w:cs="Helvetica"/>
                <w:b/>
              </w:rPr>
            </w:pPr>
            <w:r w:rsidRPr="00671F81">
              <w:rPr>
                <w:rFonts w:ascii="Helvetica" w:hAnsi="Helvetica" w:cs="Helvetica"/>
                <w:b/>
              </w:rPr>
              <w:t>Descripción</w:t>
            </w:r>
          </w:p>
        </w:tc>
        <w:tc>
          <w:tcPr>
            <w:tcW w:w="1479" w:type="pct"/>
            <w:shd w:val="clear" w:color="auto" w:fill="BFBFBF" w:themeFill="background1" w:themeFillShade="BF"/>
            <w:vAlign w:val="center"/>
          </w:tcPr>
          <w:p w14:paraId="626ABA3F" w14:textId="09FE5C99" w:rsidR="00671F81" w:rsidRPr="00671F81" w:rsidRDefault="00671F81" w:rsidP="00C53A55">
            <w:pPr>
              <w:spacing w:before="0" w:after="0"/>
              <w:jc w:val="center"/>
              <w:rPr>
                <w:rFonts w:ascii="Helvetica" w:hAnsi="Helvetica" w:cs="Helvetica"/>
                <w:b/>
              </w:rPr>
            </w:pPr>
            <w:r w:rsidRPr="00671F81">
              <w:rPr>
                <w:rFonts w:ascii="Helvetica" w:hAnsi="Helvetica" w:cs="Helvetica"/>
                <w:b/>
              </w:rPr>
              <w:t>Año 202</w:t>
            </w:r>
            <w:r w:rsidR="00973168">
              <w:rPr>
                <w:rFonts w:ascii="Helvetica" w:hAnsi="Helvetica" w:cs="Helvetica"/>
                <w:b/>
              </w:rPr>
              <w:t>2</w:t>
            </w:r>
            <w:r w:rsidRPr="00671F81">
              <w:rPr>
                <w:rFonts w:ascii="Helvetica" w:hAnsi="Helvetica" w:cs="Helvetica"/>
                <w:b/>
              </w:rPr>
              <w:t xml:space="preserve"> en adelante</w:t>
            </w:r>
          </w:p>
        </w:tc>
      </w:tr>
      <w:tr w:rsidR="00671F81" w:rsidRPr="00671F81" w14:paraId="345D713A" w14:textId="77777777" w:rsidTr="00FC1C2D">
        <w:trPr>
          <w:trHeight w:val="1532"/>
          <w:jc w:val="center"/>
        </w:trPr>
        <w:tc>
          <w:tcPr>
            <w:tcW w:w="1507" w:type="pct"/>
            <w:vAlign w:val="center"/>
          </w:tcPr>
          <w:p w14:paraId="1933338C" w14:textId="77777777" w:rsidR="00671F81" w:rsidRPr="00671F81" w:rsidRDefault="00000000" w:rsidP="00C53A55">
            <w:pPr>
              <w:spacing w:before="0" w:after="0"/>
              <w:jc w:val="center"/>
              <w:rPr>
                <w:rFonts w:ascii="Helvetica" w:hAnsi="Helvetica" w:cs="Helvetica"/>
                <w:iCs/>
              </w:rPr>
            </w:pPr>
            <m:oMathPara>
              <m:oMath>
                <m:sSub>
                  <m:sSubPr>
                    <m:ctrlPr>
                      <w:rPr>
                        <w:rFonts w:ascii="Cambria Math" w:hAnsi="Cambria Math" w:cs="Helvetica"/>
                      </w:rPr>
                    </m:ctrlPr>
                  </m:sSubPr>
                  <m:e>
                    <m:r>
                      <w:rPr>
                        <w:rFonts w:ascii="Cambria Math" w:hAnsi="Cambria Math" w:cs="Helvetica"/>
                      </w:rPr>
                      <m:t>Cf</m:t>
                    </m:r>
                  </m:e>
                  <m:sub>
                    <m:r>
                      <w:rPr>
                        <w:rFonts w:ascii="Cambria Math" w:hAnsi="Cambria Math" w:cs="Helvetica"/>
                      </w:rPr>
                      <m:t>i</m:t>
                    </m:r>
                  </m:sub>
                </m:sSub>
              </m:oMath>
            </m:oMathPara>
          </w:p>
        </w:tc>
        <w:tc>
          <w:tcPr>
            <w:tcW w:w="2013" w:type="pct"/>
            <w:vAlign w:val="center"/>
          </w:tcPr>
          <w:p w14:paraId="5C4D32B6" w14:textId="77777777" w:rsidR="00671F81" w:rsidRPr="00671F81" w:rsidRDefault="00671F81" w:rsidP="00C53A55">
            <w:pPr>
              <w:spacing w:before="0" w:after="0"/>
              <w:jc w:val="both"/>
              <w:rPr>
                <w:rFonts w:ascii="Helvetica" w:hAnsi="Helvetica" w:cs="Helvetica"/>
              </w:rPr>
            </w:pPr>
            <w:r w:rsidRPr="00671F81">
              <w:rPr>
                <w:rFonts w:ascii="Helvetica" w:hAnsi="Helvetica" w:cs="Helvetica"/>
              </w:rPr>
              <w:t>Componente fijo del costo de comercialización aplicable para el mercado relevante de comercialización.</w:t>
            </w:r>
          </w:p>
        </w:tc>
        <w:tc>
          <w:tcPr>
            <w:tcW w:w="1479" w:type="pct"/>
            <w:vAlign w:val="center"/>
          </w:tcPr>
          <w:p w14:paraId="189F5A71" w14:textId="26ECBE55" w:rsidR="00671F81" w:rsidRPr="00671F81" w:rsidRDefault="00671F81" w:rsidP="00C53A55">
            <w:pPr>
              <w:spacing w:before="0" w:after="0"/>
              <w:jc w:val="center"/>
              <w:rPr>
                <w:rFonts w:ascii="Helvetica" w:hAnsi="Helvetica" w:cs="Helvetica"/>
                <w:highlight w:val="yellow"/>
              </w:rPr>
            </w:pPr>
            <w:r w:rsidRPr="00671F81">
              <w:rPr>
                <w:rFonts w:ascii="Helvetica" w:hAnsi="Helvetica" w:cs="Helvetica"/>
              </w:rPr>
              <w:t xml:space="preserve">$ </w:t>
            </w:r>
            <w:r w:rsidR="00B314CA">
              <w:rPr>
                <w:rFonts w:ascii="Helvetica" w:hAnsi="Helvetica" w:cs="Helvetica"/>
              </w:rPr>
              <w:t>3</w:t>
            </w:r>
            <w:r w:rsidR="00E92517">
              <w:rPr>
                <w:rFonts w:ascii="Helvetica" w:hAnsi="Helvetica" w:cs="Helvetica"/>
              </w:rPr>
              <w:t>,</w:t>
            </w:r>
            <w:r w:rsidR="00B314CA">
              <w:rPr>
                <w:rFonts w:ascii="Helvetica" w:hAnsi="Helvetica" w:cs="Helvetica"/>
              </w:rPr>
              <w:t>638</w:t>
            </w:r>
            <w:r w:rsidR="00E92517">
              <w:rPr>
                <w:rFonts w:ascii="Helvetica" w:hAnsi="Helvetica" w:cs="Helvetica"/>
              </w:rPr>
              <w:t>.</w:t>
            </w:r>
            <w:r w:rsidR="00B314CA">
              <w:rPr>
                <w:rFonts w:ascii="Helvetica" w:hAnsi="Helvetica" w:cs="Helvetica"/>
              </w:rPr>
              <w:t>96</w:t>
            </w:r>
          </w:p>
        </w:tc>
      </w:tr>
    </w:tbl>
    <w:p w14:paraId="7FCD7F2E" w14:textId="77777777" w:rsidR="00671F81" w:rsidRPr="00671F81" w:rsidRDefault="00671F81" w:rsidP="00671F81">
      <w:pPr>
        <w:spacing w:after="0"/>
        <w:jc w:val="center"/>
        <w:rPr>
          <w:rFonts w:ascii="Helvetica" w:hAnsi="Helvetica" w:cs="Helvetica"/>
          <w:sz w:val="22"/>
          <w:szCs w:val="22"/>
        </w:rPr>
      </w:pPr>
    </w:p>
    <w:p w14:paraId="347A57E6" w14:textId="6652F7E9" w:rsidR="00671F81" w:rsidRDefault="00671F81" w:rsidP="00671F81">
      <w:pPr>
        <w:spacing w:after="0"/>
        <w:jc w:val="both"/>
        <w:rPr>
          <w:rFonts w:ascii="Helvetica" w:hAnsi="Helvetica" w:cs="Helvetica"/>
          <w:sz w:val="22"/>
          <w:szCs w:val="22"/>
        </w:rPr>
      </w:pPr>
      <w:r w:rsidRPr="00671F81">
        <w:rPr>
          <w:rFonts w:ascii="Helvetica" w:hAnsi="Helvetica" w:cs="Helvetica"/>
          <w:sz w:val="22"/>
          <w:szCs w:val="22"/>
        </w:rPr>
        <w:t>En su solicitud tarifaria,</w:t>
      </w:r>
      <w:r w:rsidR="00DC50CF">
        <w:rPr>
          <w:rFonts w:ascii="Helvetica" w:hAnsi="Helvetica" w:cs="Helvetica"/>
          <w:sz w:val="22"/>
          <w:szCs w:val="22"/>
        </w:rPr>
        <w:t xml:space="preserve"> </w:t>
      </w:r>
      <w:r w:rsidR="00323818">
        <w:rPr>
          <w:rFonts w:ascii="Helvetica" w:hAnsi="Helvetica" w:cs="Helvetica"/>
          <w:b/>
          <w:bCs/>
          <w:sz w:val="22"/>
          <w:szCs w:val="22"/>
          <w:lang w:val="es-MX"/>
        </w:rPr>
        <w:t>NORTESANTANDEREANA DE GAS</w:t>
      </w:r>
      <w:r w:rsidR="00323818" w:rsidRPr="005D4843">
        <w:rPr>
          <w:rFonts w:ascii="Helvetica" w:hAnsi="Helvetica" w:cs="Helvetica"/>
          <w:b/>
          <w:bCs/>
          <w:sz w:val="22"/>
          <w:szCs w:val="22"/>
          <w:lang w:val="es-MX"/>
        </w:rPr>
        <w:t xml:space="preserve"> S.A. E.S.P.</w:t>
      </w:r>
      <w:r w:rsidR="00323818" w:rsidRPr="00671F81">
        <w:rPr>
          <w:rFonts w:ascii="Helvetica" w:hAnsi="Helvetica" w:cs="Helvetica"/>
          <w:sz w:val="22"/>
          <w:szCs w:val="22"/>
          <w:lang w:val="es-MX"/>
        </w:rPr>
        <w:t xml:space="preserve"> </w:t>
      </w:r>
      <w:r w:rsidRPr="00671F81">
        <w:rPr>
          <w:rFonts w:ascii="Helvetica" w:hAnsi="Helvetica" w:cs="Helvetica"/>
          <w:sz w:val="22"/>
          <w:szCs w:val="22"/>
        </w:rPr>
        <w:t>inform</w:t>
      </w:r>
      <w:r w:rsidR="00323818">
        <w:rPr>
          <w:rFonts w:ascii="Helvetica" w:hAnsi="Helvetica" w:cs="Helvetica"/>
          <w:sz w:val="22"/>
          <w:szCs w:val="22"/>
        </w:rPr>
        <w:t xml:space="preserve">ó </w:t>
      </w:r>
      <w:r w:rsidRPr="00671F81">
        <w:rPr>
          <w:rFonts w:ascii="Helvetica" w:hAnsi="Helvetica" w:cs="Helvetica"/>
          <w:sz w:val="22"/>
          <w:szCs w:val="22"/>
        </w:rPr>
        <w:t xml:space="preserve">que </w:t>
      </w:r>
      <w:r w:rsidR="00B72244">
        <w:rPr>
          <w:rFonts w:ascii="Helvetica" w:hAnsi="Helvetica" w:cs="Helvetica"/>
          <w:sz w:val="22"/>
          <w:szCs w:val="22"/>
        </w:rPr>
        <w:t xml:space="preserve">NO </w:t>
      </w:r>
      <w:r w:rsidRPr="00671F81">
        <w:rPr>
          <w:rFonts w:ascii="Helvetica" w:hAnsi="Helvetica" w:cs="Helvetica"/>
          <w:sz w:val="22"/>
          <w:szCs w:val="22"/>
        </w:rPr>
        <w:t xml:space="preserve">cuenta con aportes </w:t>
      </w:r>
      <w:r w:rsidR="00B72244">
        <w:rPr>
          <w:rFonts w:ascii="Helvetica" w:hAnsi="Helvetica" w:cs="Helvetica"/>
          <w:sz w:val="22"/>
          <w:szCs w:val="22"/>
        </w:rPr>
        <w:t xml:space="preserve">provenientes </w:t>
      </w:r>
      <w:r w:rsidRPr="00671F81">
        <w:rPr>
          <w:rFonts w:ascii="Helvetica" w:hAnsi="Helvetica" w:cs="Helvetica"/>
          <w:sz w:val="22"/>
          <w:szCs w:val="22"/>
        </w:rPr>
        <w:t>de recursos públicos</w:t>
      </w:r>
      <w:r w:rsidR="00B72244">
        <w:rPr>
          <w:rFonts w:ascii="Helvetica" w:hAnsi="Helvetica" w:cs="Helvetica"/>
          <w:sz w:val="22"/>
          <w:szCs w:val="22"/>
        </w:rPr>
        <w:t>.</w:t>
      </w:r>
    </w:p>
    <w:p w14:paraId="6D967326" w14:textId="7A00770B" w:rsidR="00671F81" w:rsidRPr="00671F81" w:rsidRDefault="00671F81" w:rsidP="00671F81">
      <w:pPr>
        <w:spacing w:after="0"/>
        <w:rPr>
          <w:rFonts w:ascii="Helvetica" w:hAnsi="Helvetica" w:cs="Helvetica"/>
          <w:sz w:val="22"/>
          <w:szCs w:val="22"/>
        </w:rPr>
      </w:pPr>
      <w:r w:rsidRPr="00671F81">
        <w:rPr>
          <w:rFonts w:ascii="Helvetica" w:hAnsi="Helvetica" w:cs="Helvetica"/>
          <w:sz w:val="22"/>
          <w:szCs w:val="22"/>
        </w:rPr>
        <w:t xml:space="preserve">Verificado el cumplimento de los requisitos exigidos en las metodologías indicadas, se encontró procedente adelantar el análisis del estudio tarifario presentado por </w:t>
      </w:r>
      <w:r w:rsidR="00323818">
        <w:rPr>
          <w:rFonts w:ascii="Helvetica" w:hAnsi="Helvetica" w:cs="Helvetica"/>
          <w:b/>
          <w:bCs/>
          <w:sz w:val="22"/>
          <w:szCs w:val="22"/>
          <w:lang w:val="es-MX"/>
        </w:rPr>
        <w:t>NORTESANTANDEREANA DE GAS</w:t>
      </w:r>
      <w:r w:rsidR="00323818" w:rsidRPr="005D4843">
        <w:rPr>
          <w:rFonts w:ascii="Helvetica" w:hAnsi="Helvetica" w:cs="Helvetica"/>
          <w:b/>
          <w:bCs/>
          <w:sz w:val="22"/>
          <w:szCs w:val="22"/>
          <w:lang w:val="es-MX"/>
        </w:rPr>
        <w:t xml:space="preserve"> S.A. E.S.P.</w:t>
      </w:r>
      <w:r w:rsidR="00323818" w:rsidRPr="00671F81">
        <w:rPr>
          <w:rFonts w:ascii="Helvetica" w:hAnsi="Helvetica" w:cs="Helvetica"/>
          <w:sz w:val="22"/>
          <w:szCs w:val="22"/>
          <w:lang w:val="es-MX"/>
        </w:rPr>
        <w:t xml:space="preserve"> </w:t>
      </w:r>
      <w:r w:rsidRPr="00671F81">
        <w:rPr>
          <w:rFonts w:ascii="Helvetica" w:hAnsi="Helvetica" w:cs="Helvetica"/>
          <w:sz w:val="22"/>
          <w:szCs w:val="22"/>
        </w:rPr>
        <w:t xml:space="preserve">y, en consecuencia, se ha </w:t>
      </w:r>
      <w:proofErr w:type="gramStart"/>
      <w:r w:rsidRPr="00671F81">
        <w:rPr>
          <w:rFonts w:ascii="Helvetica" w:hAnsi="Helvetica" w:cs="Helvetica"/>
          <w:sz w:val="22"/>
          <w:szCs w:val="22"/>
        </w:rPr>
        <w:t>dado inicio a</w:t>
      </w:r>
      <w:proofErr w:type="gramEnd"/>
      <w:r w:rsidRPr="00671F81">
        <w:rPr>
          <w:rFonts w:ascii="Helvetica" w:hAnsi="Helvetica" w:cs="Helvetica"/>
          <w:sz w:val="22"/>
          <w:szCs w:val="22"/>
        </w:rPr>
        <w:t xml:space="preserve"> la correspondiente Actuación Administrativa.</w:t>
      </w:r>
    </w:p>
    <w:p w14:paraId="3FCC7496" w14:textId="51C83FAB" w:rsidR="00671F81" w:rsidRPr="00671F81" w:rsidRDefault="00671F81" w:rsidP="00671F81">
      <w:pPr>
        <w:spacing w:after="0"/>
        <w:rPr>
          <w:rFonts w:ascii="Helvetica" w:hAnsi="Helvetica" w:cs="Helvetica"/>
          <w:sz w:val="22"/>
          <w:szCs w:val="22"/>
        </w:rPr>
      </w:pPr>
      <w:r w:rsidRPr="00671F81">
        <w:rPr>
          <w:rFonts w:ascii="Helvetica" w:hAnsi="Helvetica" w:cs="Helvetica"/>
          <w:sz w:val="22"/>
          <w:szCs w:val="22"/>
        </w:rPr>
        <w:lastRenderedPageBreak/>
        <w:t>La presente publicación se efectúa con el fin de que los terceros interesados puedan hacerse parte en la Actuación Administrativa iniciada, conforme a lo dispuesto en el Artículo 37 del Código de Procedimiento Administrativo y de lo Contencioso Administrativo</w:t>
      </w:r>
      <w:r w:rsidR="00DC50CF">
        <w:rPr>
          <w:rFonts w:ascii="Helvetica" w:hAnsi="Helvetica" w:cs="Helvetica"/>
          <w:sz w:val="22"/>
          <w:szCs w:val="22"/>
        </w:rPr>
        <w:t xml:space="preserve">, </w:t>
      </w:r>
      <w:r w:rsidR="00DC50CF">
        <w:rPr>
          <w:sz w:val="22"/>
          <w:szCs w:val="22"/>
        </w:rPr>
        <w:t>Ley 1437 de 2011.</w:t>
      </w:r>
    </w:p>
    <w:p w14:paraId="76CDC971" w14:textId="77777777" w:rsidR="00943FD1" w:rsidRPr="00671F81" w:rsidRDefault="00943FD1" w:rsidP="00970699">
      <w:pPr>
        <w:spacing w:line="276" w:lineRule="auto"/>
        <w:ind w:left="567" w:right="566"/>
        <w:jc w:val="both"/>
        <w:rPr>
          <w:rFonts w:ascii="Helvetica" w:hAnsi="Helvetica" w:cs="Helvetica"/>
          <w:sz w:val="22"/>
          <w:szCs w:val="22"/>
        </w:rPr>
      </w:pPr>
    </w:p>
    <w:p w14:paraId="4FB5E112" w14:textId="77777777" w:rsidR="00943FD1" w:rsidRPr="00671F81" w:rsidRDefault="00943FD1" w:rsidP="00970699">
      <w:pPr>
        <w:spacing w:line="276" w:lineRule="auto"/>
        <w:ind w:left="567" w:right="566"/>
        <w:jc w:val="both"/>
        <w:rPr>
          <w:rFonts w:ascii="Helvetica" w:hAnsi="Helvetica" w:cs="Helvetica"/>
          <w:sz w:val="22"/>
          <w:szCs w:val="22"/>
        </w:rPr>
      </w:pPr>
    </w:p>
    <w:p w14:paraId="1AAC92EA" w14:textId="77777777" w:rsidR="00361486" w:rsidRPr="004708CF" w:rsidRDefault="00361486" w:rsidP="00361486">
      <w:pPr>
        <w:spacing w:before="0" w:after="0" w:line="240" w:lineRule="auto"/>
        <w:jc w:val="center"/>
        <w:rPr>
          <w:rFonts w:ascii="Helvetica" w:hAnsi="Helvetica" w:cs="Helvetica"/>
          <w:b/>
          <w:bCs/>
        </w:rPr>
      </w:pPr>
      <w:r>
        <w:rPr>
          <w:rFonts w:ascii="Helvetica" w:hAnsi="Helvetica" w:cs="Helvetica"/>
          <w:b/>
          <w:bCs/>
        </w:rPr>
        <w:t>O</w:t>
      </w:r>
      <w:r w:rsidRPr="004708CF">
        <w:rPr>
          <w:rFonts w:ascii="Helvetica" w:hAnsi="Helvetica" w:cs="Helvetica"/>
          <w:b/>
          <w:bCs/>
        </w:rPr>
        <w:t>MAR PR</w:t>
      </w:r>
      <w:r>
        <w:rPr>
          <w:rFonts w:ascii="Helvetica" w:hAnsi="Helvetica" w:cs="Helvetica"/>
          <w:b/>
          <w:bCs/>
        </w:rPr>
        <w:t>I</w:t>
      </w:r>
      <w:r w:rsidRPr="004708CF">
        <w:rPr>
          <w:rFonts w:ascii="Helvetica" w:hAnsi="Helvetica" w:cs="Helvetica"/>
          <w:b/>
          <w:bCs/>
        </w:rPr>
        <w:t>AS CAICEDO</w:t>
      </w:r>
    </w:p>
    <w:p w14:paraId="1A623192" w14:textId="78F89D58" w:rsidR="00361486" w:rsidRPr="00DA4AE8" w:rsidRDefault="00361486" w:rsidP="00DA4AE8">
      <w:pPr>
        <w:spacing w:before="0" w:after="0" w:line="240" w:lineRule="auto"/>
        <w:jc w:val="center"/>
        <w:rPr>
          <w:rFonts w:ascii="Helvetica" w:hAnsi="Helvetica" w:cs="Helvetica"/>
        </w:rPr>
      </w:pPr>
      <w:r w:rsidRPr="00011777">
        <w:rPr>
          <w:rFonts w:ascii="Helvetica" w:hAnsi="Helvetica" w:cs="Helvetica"/>
        </w:rPr>
        <w:t>Director ejecutivo</w:t>
      </w:r>
    </w:p>
    <w:sectPr w:rsidR="00361486" w:rsidRPr="00DA4AE8" w:rsidSect="007E4133">
      <w:headerReference w:type="default" r:id="rId11"/>
      <w:footerReference w:type="default" r:id="rId12"/>
      <w:headerReference w:type="first" r:id="rId13"/>
      <w:footerReference w:type="first" r:id="rId14"/>
      <w:pgSz w:w="12240" w:h="15840"/>
      <w:pgMar w:top="1979" w:right="1418" w:bottom="1985"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29E1" w14:textId="77777777" w:rsidR="007E4133" w:rsidRDefault="007E4133" w:rsidP="00AA0519">
      <w:r>
        <w:separator/>
      </w:r>
    </w:p>
  </w:endnote>
  <w:endnote w:type="continuationSeparator" w:id="0">
    <w:p w14:paraId="39C5A346" w14:textId="77777777" w:rsidR="007E4133" w:rsidRDefault="007E4133"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Rounded">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5199" w14:textId="77777777" w:rsidR="00671F81" w:rsidRDefault="00671F81" w:rsidP="00671F81">
    <w:pPr>
      <w:pBdr>
        <w:bottom w:val="single" w:sz="12" w:space="1" w:color="auto"/>
      </w:pBdr>
      <w:spacing w:after="0" w:line="276" w:lineRule="auto"/>
      <w:jc w:val="both"/>
      <w:rPr>
        <w:b/>
        <w:bCs/>
        <w:sz w:val="20"/>
        <w:szCs w:val="20"/>
      </w:rPr>
    </w:pPr>
  </w:p>
  <w:p w14:paraId="1A9B576A"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Comisión de Regulación de Energía y Gas</w:t>
    </w:r>
  </w:p>
  <w:p w14:paraId="54754883"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Dirección: Av. Calle 116 No. 7 - 15, Bogotá D.C., Colombia</w:t>
    </w:r>
  </w:p>
  <w:p w14:paraId="326B9C9D"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Conmutador: (+57) 601 603 2020</w:t>
    </w:r>
  </w:p>
  <w:p w14:paraId="6563F066" w14:textId="77777777" w:rsidR="00671F81" w:rsidRPr="00035BE0" w:rsidRDefault="00671F81" w:rsidP="00671F81">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Línea Gratuita: (+57) 01 8000 512734</w:t>
    </w:r>
  </w:p>
  <w:p w14:paraId="12EB656D" w14:textId="03F8305F" w:rsidR="00735E1F" w:rsidRDefault="000F38B4" w:rsidP="00735E1F">
    <w:pP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A02B" w14:textId="4D858622" w:rsidR="00035BE0" w:rsidRDefault="00035BE0" w:rsidP="00035BE0">
    <w:pPr>
      <w:pBdr>
        <w:bottom w:val="single" w:sz="12" w:space="1" w:color="auto"/>
      </w:pBdr>
      <w:spacing w:after="0" w:line="276" w:lineRule="auto"/>
      <w:jc w:val="both"/>
      <w:rPr>
        <w:b/>
        <w:bCs/>
        <w:sz w:val="20"/>
        <w:szCs w:val="20"/>
      </w:rPr>
    </w:pPr>
  </w:p>
  <w:p w14:paraId="141C86F6" w14:textId="1D3DF47A"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Comisión de Regulación de Energía y Gas</w:t>
    </w:r>
  </w:p>
  <w:p w14:paraId="257241FE" w14:textId="77777777"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Dirección: Av. Calle 116 No. 7 - 15, Bogotá D.C., Colombia</w:t>
    </w:r>
  </w:p>
  <w:p w14:paraId="2B5A70B6" w14:textId="77777777"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Conmutador: (+57) 601 603 2020</w:t>
    </w:r>
  </w:p>
  <w:p w14:paraId="47A2BBE0" w14:textId="77777777" w:rsidR="00035BE0" w:rsidRPr="00035BE0" w:rsidRDefault="00035BE0" w:rsidP="00035BE0">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Línea Gratuita: (+57) 01 8000 512734</w:t>
    </w:r>
  </w:p>
  <w:p w14:paraId="726A889B" w14:textId="0A55E13B" w:rsidR="003F2F4B" w:rsidRDefault="00717096" w:rsidP="003F2F4B">
    <w:pPr>
      <w:jc w:val="center"/>
    </w:pPr>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F194" w14:textId="77777777" w:rsidR="007E4133" w:rsidRDefault="007E4133" w:rsidP="00AA0519">
      <w:r>
        <w:separator/>
      </w:r>
    </w:p>
  </w:footnote>
  <w:footnote w:type="continuationSeparator" w:id="0">
    <w:p w14:paraId="7C51F353" w14:textId="77777777" w:rsidR="007E4133" w:rsidRDefault="007E4133"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D676" w14:textId="4D233CE4" w:rsidR="00457CC2" w:rsidRDefault="00671F81" w:rsidP="00F82573">
    <w:pPr>
      <w:pStyle w:val="Encabezado"/>
      <w:tabs>
        <w:tab w:val="clear" w:pos="8838"/>
        <w:tab w:val="right" w:pos="9072"/>
      </w:tabs>
      <w:ind w:left="-851" w:right="-1086" w:firstLine="284"/>
    </w:pPr>
    <w:r>
      <w:rPr>
        <w:noProof/>
      </w:rPr>
      <w:drawing>
        <wp:anchor distT="0" distB="0" distL="114300" distR="114300" simplePos="0" relativeHeight="251693056" behindDoc="0" locked="0" layoutInCell="1" allowOverlap="1" wp14:anchorId="6FC66291" wp14:editId="74E6486A">
          <wp:simplePos x="0" y="0"/>
          <wp:positionH relativeFrom="margin">
            <wp:posOffset>4846320</wp:posOffset>
          </wp:positionH>
          <wp:positionV relativeFrom="margin">
            <wp:posOffset>-1036955</wp:posOffset>
          </wp:positionV>
          <wp:extent cx="1125220" cy="567055"/>
          <wp:effectExtent l="0" t="0" r="0" b="4445"/>
          <wp:wrapSquare wrapText="bothSides"/>
          <wp:docPr id="179590783" name="Imagen 17959078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2BFF4B48" wp14:editId="2F54E7C5">
          <wp:simplePos x="0" y="0"/>
          <wp:positionH relativeFrom="margin">
            <wp:posOffset>0</wp:posOffset>
          </wp:positionH>
          <wp:positionV relativeFrom="margin">
            <wp:posOffset>-1009650</wp:posOffset>
          </wp:positionV>
          <wp:extent cx="1366520" cy="474980"/>
          <wp:effectExtent l="0" t="0" r="5080" b="1270"/>
          <wp:wrapSquare wrapText="bothSides"/>
          <wp:docPr id="1059907831" name="Imagen 105990783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sidR="00457CC2">
      <w:rPr>
        <w:noProof/>
        <w:lang w:eastAsia="es-CO"/>
      </w:rPr>
      <w:t xml:space="preserve">                                                              </w:t>
    </w:r>
  </w:p>
  <w:p w14:paraId="201B6A2A" w14:textId="3FCA210A" w:rsidR="003F2F4B" w:rsidRPr="00CC3B9D" w:rsidRDefault="003F2F4B" w:rsidP="00957BE3">
    <w:pPr>
      <w:pStyle w:val="Destinario"/>
    </w:pPr>
  </w:p>
  <w:p w14:paraId="4B188324" w14:textId="63CB6AD1" w:rsidR="003F2F4B" w:rsidRPr="00D03901" w:rsidRDefault="003F2F4B" w:rsidP="00957BE3">
    <w:pPr>
      <w:pStyle w:val="Destinari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3DE" w14:textId="0AB3F192" w:rsidR="00F82573" w:rsidRDefault="00035BE0" w:rsidP="00F82573">
    <w:pPr>
      <w:pStyle w:val="Encabezado"/>
      <w:tabs>
        <w:tab w:val="clear" w:pos="4419"/>
        <w:tab w:val="left" w:pos="7274"/>
      </w:tabs>
      <w:ind w:left="-709" w:right="-1369" w:firstLine="284"/>
    </w:pPr>
    <w:r>
      <w:rPr>
        <w:noProof/>
      </w:rPr>
      <w:drawing>
        <wp:anchor distT="0" distB="0" distL="114300" distR="114300" simplePos="0" relativeHeight="251689984" behindDoc="0" locked="0" layoutInCell="1" allowOverlap="1" wp14:anchorId="164FEA37" wp14:editId="34471E12">
          <wp:simplePos x="0" y="0"/>
          <wp:positionH relativeFrom="margin">
            <wp:align>right</wp:align>
          </wp:positionH>
          <wp:positionV relativeFrom="margin">
            <wp:posOffset>-915670</wp:posOffset>
          </wp:positionV>
          <wp:extent cx="1125220" cy="567055"/>
          <wp:effectExtent l="0" t="0" r="0" b="4445"/>
          <wp:wrapSquare wrapText="bothSides"/>
          <wp:docPr id="2103835522" name="Imagen 210383552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392312AA" wp14:editId="7364E053">
          <wp:simplePos x="0" y="0"/>
          <wp:positionH relativeFrom="margin">
            <wp:align>left</wp:align>
          </wp:positionH>
          <wp:positionV relativeFrom="margin">
            <wp:posOffset>-888365</wp:posOffset>
          </wp:positionV>
          <wp:extent cx="1366520" cy="474980"/>
          <wp:effectExtent l="0" t="0" r="5080" b="1270"/>
          <wp:wrapSquare wrapText="bothSides"/>
          <wp:docPr id="1313075100" name="Imagen 131307510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r w:rsidR="00F82573">
      <w:rPr>
        <w:noProof/>
        <w:lang w:eastAsia="es-CO"/>
      </w:rPr>
      <w:tab/>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6277425">
    <w:abstractNumId w:val="6"/>
  </w:num>
  <w:num w:numId="2" w16cid:durableId="417678261">
    <w:abstractNumId w:val="1"/>
  </w:num>
  <w:num w:numId="3" w16cid:durableId="1724022195">
    <w:abstractNumId w:val="0"/>
  </w:num>
  <w:num w:numId="4" w16cid:durableId="1070232537">
    <w:abstractNumId w:val="2"/>
  </w:num>
  <w:num w:numId="5" w16cid:durableId="874659495">
    <w:abstractNumId w:val="3"/>
  </w:num>
  <w:num w:numId="6" w16cid:durableId="1083139611">
    <w:abstractNumId w:val="5"/>
  </w:num>
  <w:num w:numId="7" w16cid:durableId="1977753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5BE0"/>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84BF3"/>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3818"/>
    <w:rsid w:val="00324760"/>
    <w:rsid w:val="003313F4"/>
    <w:rsid w:val="0033238A"/>
    <w:rsid w:val="003353AC"/>
    <w:rsid w:val="0035240D"/>
    <w:rsid w:val="00353D1D"/>
    <w:rsid w:val="00361486"/>
    <w:rsid w:val="00361FF5"/>
    <w:rsid w:val="00363EC5"/>
    <w:rsid w:val="003672B3"/>
    <w:rsid w:val="00371349"/>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3FEC"/>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160B2"/>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3961"/>
    <w:rsid w:val="005B458A"/>
    <w:rsid w:val="005C1A8D"/>
    <w:rsid w:val="005C247A"/>
    <w:rsid w:val="005C3446"/>
    <w:rsid w:val="005C42EC"/>
    <w:rsid w:val="005C6AC5"/>
    <w:rsid w:val="005D4843"/>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6E04"/>
    <w:rsid w:val="00650DC4"/>
    <w:rsid w:val="0065114B"/>
    <w:rsid w:val="00653066"/>
    <w:rsid w:val="00654939"/>
    <w:rsid w:val="00656855"/>
    <w:rsid w:val="00671F81"/>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16BB"/>
    <w:rsid w:val="007A5E85"/>
    <w:rsid w:val="007A6492"/>
    <w:rsid w:val="007A7176"/>
    <w:rsid w:val="007A7C1D"/>
    <w:rsid w:val="007B04EF"/>
    <w:rsid w:val="007B5392"/>
    <w:rsid w:val="007C3DE9"/>
    <w:rsid w:val="007D0721"/>
    <w:rsid w:val="007D647F"/>
    <w:rsid w:val="007E0123"/>
    <w:rsid w:val="007E4133"/>
    <w:rsid w:val="007F13EE"/>
    <w:rsid w:val="007F42BC"/>
    <w:rsid w:val="007F42E3"/>
    <w:rsid w:val="007F6348"/>
    <w:rsid w:val="00810D23"/>
    <w:rsid w:val="00813F88"/>
    <w:rsid w:val="008149CA"/>
    <w:rsid w:val="00821D7F"/>
    <w:rsid w:val="00823401"/>
    <w:rsid w:val="0082558F"/>
    <w:rsid w:val="00825FDA"/>
    <w:rsid w:val="00830ACD"/>
    <w:rsid w:val="008328EC"/>
    <w:rsid w:val="00833C42"/>
    <w:rsid w:val="00837B30"/>
    <w:rsid w:val="00841760"/>
    <w:rsid w:val="00847289"/>
    <w:rsid w:val="008572E3"/>
    <w:rsid w:val="008607E2"/>
    <w:rsid w:val="00863589"/>
    <w:rsid w:val="008640C9"/>
    <w:rsid w:val="00881A94"/>
    <w:rsid w:val="008853C1"/>
    <w:rsid w:val="00885EA7"/>
    <w:rsid w:val="00891E5C"/>
    <w:rsid w:val="00895DEF"/>
    <w:rsid w:val="008A0FC0"/>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3168"/>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615"/>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96E87"/>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130BA"/>
    <w:rsid w:val="00B21190"/>
    <w:rsid w:val="00B2713B"/>
    <w:rsid w:val="00B30300"/>
    <w:rsid w:val="00B314CA"/>
    <w:rsid w:val="00B35167"/>
    <w:rsid w:val="00B35922"/>
    <w:rsid w:val="00B36578"/>
    <w:rsid w:val="00B3729B"/>
    <w:rsid w:val="00B52B0A"/>
    <w:rsid w:val="00B54CEB"/>
    <w:rsid w:val="00B66C66"/>
    <w:rsid w:val="00B67F39"/>
    <w:rsid w:val="00B72244"/>
    <w:rsid w:val="00B74DFE"/>
    <w:rsid w:val="00B8292B"/>
    <w:rsid w:val="00B92022"/>
    <w:rsid w:val="00B92097"/>
    <w:rsid w:val="00BA017E"/>
    <w:rsid w:val="00BA0EEA"/>
    <w:rsid w:val="00BA3AB8"/>
    <w:rsid w:val="00BB2D10"/>
    <w:rsid w:val="00BC0363"/>
    <w:rsid w:val="00BC63E2"/>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3A55"/>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070B8"/>
    <w:rsid w:val="00D1061F"/>
    <w:rsid w:val="00D132FA"/>
    <w:rsid w:val="00D14F62"/>
    <w:rsid w:val="00D15D5D"/>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A4AE8"/>
    <w:rsid w:val="00DB4015"/>
    <w:rsid w:val="00DB526F"/>
    <w:rsid w:val="00DB599F"/>
    <w:rsid w:val="00DC454D"/>
    <w:rsid w:val="00DC50CF"/>
    <w:rsid w:val="00DC51CA"/>
    <w:rsid w:val="00DC6ACD"/>
    <w:rsid w:val="00DD0CBB"/>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33BC9"/>
    <w:rsid w:val="00E4276F"/>
    <w:rsid w:val="00E53F21"/>
    <w:rsid w:val="00E57F5D"/>
    <w:rsid w:val="00E61FAE"/>
    <w:rsid w:val="00E633A8"/>
    <w:rsid w:val="00E70828"/>
    <w:rsid w:val="00E72F5F"/>
    <w:rsid w:val="00E87146"/>
    <w:rsid w:val="00E9155B"/>
    <w:rsid w:val="00E92517"/>
    <w:rsid w:val="00E94404"/>
    <w:rsid w:val="00E94C75"/>
    <w:rsid w:val="00E95778"/>
    <w:rsid w:val="00E96298"/>
    <w:rsid w:val="00EA0813"/>
    <w:rsid w:val="00EA1DDD"/>
    <w:rsid w:val="00EA21AB"/>
    <w:rsid w:val="00EA4C2C"/>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373"/>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39"/>
    <w:rsid w:val="00671F81"/>
    <w:pPr>
      <w:spacing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F81"/>
    <w:pPr>
      <w:autoSpaceDE w:val="0"/>
      <w:autoSpaceDN w:val="0"/>
      <w:adjustRightInd w:val="0"/>
      <w:spacing w:line="240" w:lineRule="auto"/>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4.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639</Words>
  <Characters>3519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7</cp:revision>
  <cp:lastPrinted>2024-01-25T22:51:00Z</cp:lastPrinted>
  <dcterms:created xsi:type="dcterms:W3CDTF">2023-12-01T18:07:00Z</dcterms:created>
  <dcterms:modified xsi:type="dcterms:W3CDTF">2024-01-25T22:51:00Z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y fmtid="{D5CDD505-2E9C-101B-9397-08002B2CF9AE}" pid="3" name="GrammarlyDocumentId">
    <vt:lpwstr>576b4e490e2ba8edfd5387cc0a84284c9a82b5c92efe0e77b33115aeb1e955d0</vt:lpwstr>
  </property>
</Properties>
</file>