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C30F" w14:textId="77777777" w:rsidR="0018192B" w:rsidRPr="00146362" w:rsidRDefault="0018192B" w:rsidP="0018192B">
      <w:pPr>
        <w:spacing w:before="0"/>
        <w:rPr>
          <w:rFonts w:ascii="Arial" w:hAnsi="Arial" w:cs="Arial"/>
          <w:lang w:val="es-MX"/>
        </w:rPr>
      </w:pPr>
      <w:r w:rsidRPr="00146362">
        <w:rPr>
          <w:rFonts w:ascii="Arial" w:hAnsi="Arial" w:cs="Arial"/>
          <w:lang w:val="es-MX"/>
        </w:rPr>
        <w:t xml:space="preserve">Bogotá, D. C.,  </w:t>
      </w:r>
      <w:r w:rsidRPr="00430C2E">
        <w:rPr>
          <w:rFonts w:ascii="Arial" w:hAnsi="Arial" w:cs="Arial"/>
          <w:lang w:val="es-MX"/>
        </w:rPr>
        <w:fldChar w:fldCharType="begin"/>
      </w:r>
      <w:r w:rsidRPr="00430C2E">
        <w:rPr>
          <w:rFonts w:ascii="Arial" w:hAnsi="Arial" w:cs="Arial"/>
          <w:lang w:val="es-MX"/>
        </w:rPr>
        <w:instrText xml:space="preserve"> MERGEFIELD  Fecha  \* MERGEFORMAT </w:instrText>
      </w:r>
      <w:r w:rsidRPr="00430C2E">
        <w:rPr>
          <w:rFonts w:ascii="Arial" w:hAnsi="Arial" w:cs="Arial"/>
          <w:lang w:val="es-MX"/>
        </w:rPr>
        <w:fldChar w:fldCharType="separate"/>
      </w:r>
      <w:r w:rsidRPr="00430C2E">
        <w:rPr>
          <w:rFonts w:ascii="Arial" w:hAnsi="Arial" w:cs="Arial"/>
          <w:noProof/>
          <w:lang w:val="es-MX"/>
        </w:rPr>
        <w:t>08 de noviembre de 2023</w:t>
      </w:r>
      <w:r w:rsidRPr="00430C2E">
        <w:rPr>
          <w:rFonts w:ascii="Arial" w:hAnsi="Arial" w:cs="Arial"/>
          <w:lang w:val="es-MX"/>
        </w:rPr>
        <w:fldChar w:fldCharType="end"/>
      </w:r>
    </w:p>
    <w:p w14:paraId="4B9EC50E" w14:textId="77777777" w:rsidR="0018192B" w:rsidRDefault="0018192B" w:rsidP="0018192B">
      <w:pPr>
        <w:rPr>
          <w:rFonts w:ascii="Arial" w:hAnsi="Arial" w:cs="Arial"/>
          <w:sz w:val="22"/>
          <w:szCs w:val="22"/>
          <w:lang w:val="es-MX"/>
        </w:rPr>
      </w:pPr>
    </w:p>
    <w:p w14:paraId="24FA832D" w14:textId="77777777" w:rsidR="0018192B" w:rsidRPr="00BA6D78" w:rsidRDefault="0018192B" w:rsidP="0018192B">
      <w:pPr>
        <w:pStyle w:val="Ttulo5"/>
        <w:spacing w:before="240" w:after="24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430C2E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430C2E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430C2E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430C2E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086 de 2023</w:t>
      </w:r>
      <w:r w:rsidRPr="00430C2E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39872E10" w14:textId="77777777" w:rsidR="0018192B" w:rsidRPr="00BA6D78" w:rsidRDefault="0018192B" w:rsidP="0018192B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11FEF80D" w14:textId="77777777" w:rsidR="0018192B" w:rsidRPr="004142B1" w:rsidRDefault="0018192B" w:rsidP="0018192B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Usuarios, empresas, academía y demás interesados.</w:t>
      </w:r>
      <w:r>
        <w:rPr>
          <w:rFonts w:ascii="Arial" w:hAnsi="Arial" w:cs="Arial"/>
          <w:b/>
        </w:rPr>
        <w:fldChar w:fldCharType="end"/>
      </w:r>
    </w:p>
    <w:p w14:paraId="7D7ED533" w14:textId="77777777" w:rsidR="0018192B" w:rsidRDefault="0018192B" w:rsidP="0018192B">
      <w:pPr>
        <w:tabs>
          <w:tab w:val="left" w:pos="709"/>
        </w:tabs>
        <w:ind w:left="1418" w:hanging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05C5F480" w14:textId="77777777" w:rsidR="0018192B" w:rsidRDefault="0018192B" w:rsidP="0018192B">
      <w:pPr>
        <w:tabs>
          <w:tab w:val="left" w:pos="709"/>
        </w:tabs>
        <w:ind w:left="1418" w:hanging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  <w:t xml:space="preserve">Trámite transitorio 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Asunto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 xml:space="preserve">de las PQRSD por vacancia de los cargos de Expertos Comisionados y Director Ejecutivo </w:t>
      </w:r>
      <w:r>
        <w:rPr>
          <w:rFonts w:ascii="Arial" w:hAnsi="Arial" w:cs="Arial"/>
          <w:b/>
        </w:rPr>
        <w:fldChar w:fldCharType="end"/>
      </w:r>
    </w:p>
    <w:p w14:paraId="1641866E" w14:textId="77777777" w:rsidR="0018192B" w:rsidRPr="00146362" w:rsidRDefault="0018192B" w:rsidP="0018192B">
      <w:pPr>
        <w:pStyle w:val="Textoindependiente"/>
        <w:spacing w:after="0" w:line="240" w:lineRule="auto"/>
        <w:ind w:left="1410" w:hanging="1410"/>
        <w:rPr>
          <w:rFonts w:cs="Arial"/>
          <w:sz w:val="23"/>
          <w:szCs w:val="23"/>
          <w:lang w:val="es-ES_tradnl"/>
        </w:rPr>
      </w:pPr>
    </w:p>
    <w:p w14:paraId="6ACED8B7" w14:textId="77777777" w:rsidR="0018192B" w:rsidRDefault="0018192B" w:rsidP="00430C2E">
      <w:pPr>
        <w:pStyle w:val="NormalWeb"/>
        <w:shd w:val="clear" w:color="auto" w:fill="FFFFFF"/>
        <w:spacing w:before="240" w:beforeAutospacing="0" w:line="360" w:lineRule="auto"/>
        <w:jc w:val="both"/>
        <w:rPr>
          <w:rFonts w:ascii="Helvetica" w:hAnsi="Helvetica" w:cs="Helvetica"/>
          <w:sz w:val="23"/>
          <w:szCs w:val="23"/>
        </w:rPr>
      </w:pPr>
      <w:r w:rsidRPr="00146362">
        <w:rPr>
          <w:rFonts w:ascii="Helvetica" w:hAnsi="Helvetica" w:cs="Helvetica"/>
          <w:sz w:val="23"/>
          <w:szCs w:val="23"/>
        </w:rPr>
        <w:t>La Dirección Ejecutiva de la Comisión de Regulación de Energía y Gas, CREG, informa que las</w:t>
      </w:r>
      <w:r>
        <w:rPr>
          <w:rFonts w:ascii="Helvetica" w:hAnsi="Helvetica" w:cs="Helvetica"/>
          <w:sz w:val="23"/>
          <w:szCs w:val="23"/>
        </w:rPr>
        <w:t xml:space="preserve"> solicitudes y</w:t>
      </w:r>
      <w:r w:rsidRPr="00146362">
        <w:rPr>
          <w:rFonts w:ascii="Helvetica" w:hAnsi="Helvetica" w:cs="Helvetica"/>
          <w:sz w:val="23"/>
          <w:szCs w:val="23"/>
        </w:rPr>
        <w:t xml:space="preserve"> peticiones mediante las cuales se eleva una consulta y las de interés general o particular relacionadas con la regulación de los servicios públicos domiciliarios de energía y gas combustible y de combustibles líquidos, que a la fecha se encuentran en trámite de respuesta o que están en proceso de radicación, sólo podrán ser respondidas cuando haya al menos tres expertos comisionados en ejercicio de sus funciones</w:t>
      </w:r>
      <w:r>
        <w:rPr>
          <w:rFonts w:ascii="Helvetica" w:hAnsi="Helvetica" w:cs="Helvetica"/>
          <w:sz w:val="23"/>
          <w:szCs w:val="23"/>
        </w:rPr>
        <w:t>.</w:t>
      </w:r>
    </w:p>
    <w:p w14:paraId="1C5CCB82" w14:textId="77777777" w:rsidR="0018192B" w:rsidRPr="00146362" w:rsidRDefault="0018192B" w:rsidP="00430C2E">
      <w:pPr>
        <w:pStyle w:val="NormalWeb"/>
        <w:shd w:val="clear" w:color="auto" w:fill="FFFFFF"/>
        <w:spacing w:before="240" w:beforeAutospacing="0" w:line="360" w:lineRule="auto"/>
        <w:jc w:val="both"/>
        <w:rPr>
          <w:rFonts w:ascii="Helvetica" w:hAnsi="Helvetica" w:cs="Helvetica"/>
          <w:i/>
          <w:i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E</w:t>
      </w:r>
      <w:r w:rsidRPr="00146362">
        <w:rPr>
          <w:rFonts w:ascii="Helvetica" w:hAnsi="Helvetica" w:cs="Helvetica"/>
          <w:sz w:val="23"/>
          <w:szCs w:val="23"/>
        </w:rPr>
        <w:t>sto en razón a que la función de emitir conceptos corresponde al Comité de Expertos y, en desarrollo de esta función, la Resolución CREG 020 de 2018 señala “</w:t>
      </w:r>
      <w:r w:rsidRPr="00146362">
        <w:rPr>
          <w:rFonts w:ascii="Helvetica" w:hAnsi="Helvetica" w:cs="Helvetica"/>
          <w:i/>
          <w:iCs/>
          <w:sz w:val="23"/>
          <w:szCs w:val="23"/>
        </w:rPr>
        <w:t xml:space="preserve">que las respuestas a </w:t>
      </w:r>
      <w:r w:rsidRPr="00146362">
        <w:rPr>
          <w:rFonts w:ascii="Helvetica" w:hAnsi="Helvetica" w:cs="Helvetica"/>
          <w:b/>
          <w:bCs/>
          <w:i/>
          <w:iCs/>
          <w:sz w:val="23"/>
          <w:szCs w:val="23"/>
        </w:rPr>
        <w:t xml:space="preserve">consultas </w:t>
      </w:r>
      <w:r w:rsidRPr="00146362">
        <w:rPr>
          <w:rFonts w:ascii="Helvetica" w:hAnsi="Helvetica" w:cs="Helvetica"/>
          <w:i/>
          <w:iCs/>
          <w:sz w:val="23"/>
          <w:szCs w:val="23"/>
        </w:rPr>
        <w:t xml:space="preserve">y petición de interés general o particular relacionadas con la regulación de los servicios públicos, requieren la aprobación de tres expertos comisionados, incluido el </w:t>
      </w:r>
      <w:proofErr w:type="gramStart"/>
      <w:r w:rsidRPr="00146362">
        <w:rPr>
          <w:rFonts w:ascii="Helvetica" w:hAnsi="Helvetica" w:cs="Helvetica"/>
          <w:i/>
          <w:iCs/>
          <w:sz w:val="23"/>
          <w:szCs w:val="23"/>
        </w:rPr>
        <w:t>Director Ejecutivo</w:t>
      </w:r>
      <w:proofErr w:type="gramEnd"/>
      <w:r w:rsidRPr="00146362">
        <w:rPr>
          <w:rFonts w:ascii="Helvetica" w:hAnsi="Helvetica" w:cs="Helvetica"/>
          <w:i/>
          <w:iCs/>
          <w:sz w:val="23"/>
          <w:szCs w:val="23"/>
        </w:rPr>
        <w:t xml:space="preserve"> como uno de ellos”. </w:t>
      </w:r>
      <w:r w:rsidRPr="00146362">
        <w:rPr>
          <w:rFonts w:ascii="Helvetica" w:hAnsi="Helvetica" w:cs="Helvetica"/>
          <w:sz w:val="23"/>
          <w:szCs w:val="23"/>
        </w:rPr>
        <w:t>Agrega la resolución que</w:t>
      </w:r>
      <w:r w:rsidRPr="00146362">
        <w:rPr>
          <w:rFonts w:ascii="Helvetica" w:hAnsi="Helvetica" w:cs="Helvetica"/>
          <w:i/>
          <w:iCs/>
          <w:sz w:val="23"/>
          <w:szCs w:val="23"/>
        </w:rPr>
        <w:t xml:space="preserve"> “en el caso de que por cualquier situación administrativa solamente se encuentren menos de tres (3) Expertos Comisionados en servicio, únicamente se requerirá el visto bueno de un Experto, distinto del </w:t>
      </w:r>
      <w:proofErr w:type="gramStart"/>
      <w:r w:rsidRPr="00146362">
        <w:rPr>
          <w:rFonts w:ascii="Helvetica" w:hAnsi="Helvetica" w:cs="Helvetica"/>
          <w:i/>
          <w:iCs/>
          <w:sz w:val="23"/>
          <w:szCs w:val="23"/>
        </w:rPr>
        <w:t>Director Ejecutivo</w:t>
      </w:r>
      <w:proofErr w:type="gramEnd"/>
      <w:r w:rsidRPr="00146362">
        <w:rPr>
          <w:rFonts w:ascii="Helvetica" w:hAnsi="Helvetica" w:cs="Helvetica"/>
          <w:i/>
          <w:iCs/>
          <w:sz w:val="23"/>
          <w:szCs w:val="23"/>
        </w:rPr>
        <w:t>”.</w:t>
      </w:r>
    </w:p>
    <w:p w14:paraId="2EF80AC7" w14:textId="77777777" w:rsidR="0018192B" w:rsidRPr="00146362" w:rsidRDefault="0018192B" w:rsidP="00430C2E">
      <w:pPr>
        <w:pStyle w:val="NormalWeb"/>
        <w:shd w:val="clear" w:color="auto" w:fill="FFFFFF"/>
        <w:spacing w:before="230" w:beforeAutospacing="0" w:line="360" w:lineRule="auto"/>
        <w:jc w:val="both"/>
        <w:rPr>
          <w:rFonts w:ascii="Helvetica" w:hAnsi="Helvetica" w:cs="Helvetica"/>
          <w:sz w:val="23"/>
          <w:szCs w:val="23"/>
        </w:rPr>
      </w:pPr>
      <w:r w:rsidRPr="00146362">
        <w:rPr>
          <w:rFonts w:ascii="Helvetica" w:hAnsi="Helvetica" w:cs="Helvetica"/>
          <w:sz w:val="23"/>
          <w:szCs w:val="23"/>
        </w:rPr>
        <w:lastRenderedPageBreak/>
        <w:t xml:space="preserve">Por lo anterior y dado la separación del cargo del director ejecutivo de la entidad, José Fernando Prada y la falta de los expertos </w:t>
      </w:r>
      <w:r>
        <w:rPr>
          <w:rFonts w:ascii="Helvetica" w:hAnsi="Helvetica" w:cs="Helvetica"/>
          <w:sz w:val="23"/>
          <w:szCs w:val="23"/>
        </w:rPr>
        <w:t xml:space="preserve">comisionados </w:t>
      </w:r>
      <w:r w:rsidRPr="00146362">
        <w:rPr>
          <w:rFonts w:ascii="Helvetica" w:hAnsi="Helvetica" w:cs="Helvetica"/>
          <w:sz w:val="23"/>
          <w:szCs w:val="23"/>
        </w:rPr>
        <w:t>que conforman la Comisión de Regulación de Energía y Gas (CREG), en este momento no se cumplen los requisitos para emitir conceptos y responder peticiones de interés general y particular relacionadas con la regulación de los servicios públicos.</w:t>
      </w:r>
    </w:p>
    <w:p w14:paraId="7CC231E1" w14:textId="77777777" w:rsidR="0018192B" w:rsidRPr="00146362" w:rsidRDefault="0018192B" w:rsidP="00430C2E">
      <w:pPr>
        <w:pStyle w:val="NormalWeb"/>
        <w:shd w:val="clear" w:color="auto" w:fill="FFFFFF"/>
        <w:spacing w:before="230" w:beforeAutospacing="0" w:line="360" w:lineRule="auto"/>
        <w:jc w:val="both"/>
        <w:rPr>
          <w:rFonts w:ascii="Helvetica" w:hAnsi="Helvetica" w:cs="Helvetica"/>
          <w:sz w:val="23"/>
          <w:szCs w:val="23"/>
        </w:rPr>
      </w:pPr>
      <w:r w:rsidRPr="00146362">
        <w:rPr>
          <w:rFonts w:ascii="Helvetica" w:hAnsi="Helvetica" w:cs="Helvetica"/>
          <w:sz w:val="23"/>
          <w:szCs w:val="23"/>
        </w:rPr>
        <w:t>Las respuestas a otras peticiones, quejas y reclamos de la Entidad quedarán a cargo del funcionario Hugo Enrique Pacheco León, asesor jurídico de la CREG, por delegación del director ejecutivo.</w:t>
      </w:r>
    </w:p>
    <w:p w14:paraId="410090C8" w14:textId="77777777" w:rsidR="0018192B" w:rsidRDefault="0018192B" w:rsidP="0018192B">
      <w:pPr>
        <w:pStyle w:val="Cordialmente"/>
        <w:spacing w:before="0" w:after="0" w:line="240" w:lineRule="auto"/>
        <w:rPr>
          <w:rFonts w:ascii="Helvetica" w:hAnsi="Helvetica" w:cs="Helvetica"/>
          <w:sz w:val="22"/>
          <w:szCs w:val="22"/>
          <w:lang w:eastAsia="es-CO"/>
        </w:rPr>
      </w:pPr>
    </w:p>
    <w:p w14:paraId="4DBF0EDD" w14:textId="77777777" w:rsidR="0018192B" w:rsidRPr="00F36F60" w:rsidRDefault="0018192B" w:rsidP="0018192B">
      <w:pPr>
        <w:pStyle w:val="Cordialmente"/>
        <w:spacing w:before="0" w:after="0" w:line="240" w:lineRule="auto"/>
        <w:rPr>
          <w:rFonts w:ascii="Helvetica" w:hAnsi="Helvetica" w:cs="Helvetica"/>
          <w:sz w:val="22"/>
          <w:szCs w:val="22"/>
          <w:lang w:eastAsia="es-CO"/>
        </w:rPr>
      </w:pPr>
    </w:p>
    <w:p w14:paraId="35AA15B1" w14:textId="77777777" w:rsidR="0018192B" w:rsidRPr="00A137EB" w:rsidRDefault="0018192B" w:rsidP="0018192B">
      <w:pPr>
        <w:pStyle w:val="Cordialmente"/>
        <w:spacing w:before="0" w:after="120" w:line="240" w:lineRule="auto"/>
        <w:jc w:val="center"/>
        <w:rPr>
          <w:rFonts w:ascii="Helvetica" w:eastAsia="Times New Roman" w:hAnsi="Helvetica" w:cs="Helvetica"/>
          <w:b/>
          <w:bCs/>
        </w:rPr>
      </w:pPr>
      <w:r w:rsidRPr="00A137EB">
        <w:rPr>
          <w:rFonts w:ascii="Helvetica" w:eastAsia="Times New Roman" w:hAnsi="Helvetica" w:cs="Helvetica"/>
          <w:b/>
          <w:bCs/>
        </w:rPr>
        <w:t>JOSÉ FERNANDO PRADA RÍOS</w:t>
      </w:r>
    </w:p>
    <w:p w14:paraId="590F063C" w14:textId="77777777" w:rsidR="0018192B" w:rsidRPr="00A137EB" w:rsidRDefault="0018192B" w:rsidP="0018192B">
      <w:pPr>
        <w:spacing w:before="0" w:after="0" w:line="240" w:lineRule="auto"/>
        <w:jc w:val="center"/>
        <w:rPr>
          <w:rFonts w:ascii="Helvetica" w:eastAsia="Times New Roman" w:hAnsi="Helvetica" w:cs="Helvetica"/>
          <w:b/>
          <w:bCs/>
        </w:rPr>
      </w:pPr>
      <w:r w:rsidRPr="00A137EB">
        <w:rPr>
          <w:rFonts w:ascii="Helvetica" w:eastAsia="Times New Roman" w:hAnsi="Helvetica" w:cs="Helvetica"/>
          <w:b/>
          <w:bCs/>
        </w:rPr>
        <w:t>Director Ejecutivo</w:t>
      </w:r>
    </w:p>
    <w:p w14:paraId="4B8E06AF" w14:textId="07EA30A0" w:rsidR="0030237D" w:rsidRPr="000029B7" w:rsidRDefault="0030237D" w:rsidP="00BB5379">
      <w:pPr>
        <w:spacing w:line="312" w:lineRule="auto"/>
      </w:pPr>
    </w:p>
    <w:sectPr w:rsidR="0030237D" w:rsidRPr="000029B7" w:rsidSect="00133D7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79" w:right="1418" w:bottom="198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97F0" w14:textId="77777777" w:rsidR="00E9566F" w:rsidRDefault="00E9566F" w:rsidP="00AA0519">
      <w:r>
        <w:separator/>
      </w:r>
    </w:p>
  </w:endnote>
  <w:endnote w:type="continuationSeparator" w:id="0">
    <w:p w14:paraId="08C317C7" w14:textId="77777777" w:rsidR="00E9566F" w:rsidRDefault="00E9566F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683D" w14:textId="77777777" w:rsidR="00133D73" w:rsidRDefault="00133D73" w:rsidP="00DB6892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595512EF" w14:textId="77777777" w:rsidR="00DB6892" w:rsidRPr="000774A9" w:rsidRDefault="00DB6892" w:rsidP="00DE1DF3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2FC45316" w14:textId="77777777" w:rsidR="00DB6892" w:rsidRPr="00DE1DF3" w:rsidRDefault="00DB6892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Dirección: Calle 116 No.7 - 15, Bogotá D.C., Colombia</w:t>
    </w:r>
  </w:p>
  <w:p w14:paraId="19B43AED" w14:textId="77777777" w:rsidR="00DB6892" w:rsidRPr="00DE1DF3" w:rsidRDefault="00DB6892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Conmutador: (+57) 601 603 2020</w:t>
    </w:r>
  </w:p>
  <w:p w14:paraId="12EB656D" w14:textId="09B8CFDD" w:rsidR="00735E1F" w:rsidRPr="00DE1DF3" w:rsidRDefault="00DB6892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4AEE" w14:textId="2F6E71D7" w:rsidR="00A911B2" w:rsidRDefault="00A911B2" w:rsidP="00FD68F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62EC2D52" w14:textId="07589B87" w:rsidR="00FD68F9" w:rsidRPr="000774A9" w:rsidRDefault="00FD68F9" w:rsidP="00DE1DF3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993944F" w14:textId="77777777" w:rsidR="00FD68F9" w:rsidRPr="00DE1DF3" w:rsidRDefault="00FD68F9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Dirección: Calle 116 No.7 - 15, Bogotá D.C., Colombia</w:t>
    </w:r>
  </w:p>
  <w:p w14:paraId="4DAD554B" w14:textId="77777777" w:rsidR="00FD68F9" w:rsidRPr="00DE1DF3" w:rsidRDefault="00FD68F9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Conmutador: (+57) 601 603 2020</w:t>
    </w:r>
  </w:p>
  <w:p w14:paraId="726A889B" w14:textId="2A5AB63A" w:rsidR="003F2F4B" w:rsidRPr="00DE1DF3" w:rsidRDefault="00FD68F9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EF08" w14:textId="77777777" w:rsidR="00E9566F" w:rsidRDefault="00E9566F" w:rsidP="00AA0519">
      <w:r>
        <w:separator/>
      </w:r>
    </w:p>
  </w:footnote>
  <w:footnote w:type="continuationSeparator" w:id="0">
    <w:p w14:paraId="2909994E" w14:textId="77777777" w:rsidR="00E9566F" w:rsidRDefault="00E9566F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8324" w14:textId="54D52C43" w:rsidR="003F2F4B" w:rsidRPr="008C0A5F" w:rsidRDefault="00DB6892" w:rsidP="003B4F7D">
    <w:pPr>
      <w:pStyle w:val="Encabezado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56FC820" wp14:editId="5C5D672A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1024887277" name="Imagen 1024887277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064B93B2" wp14:editId="1C6DDA8C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1328191994" name="Imagen 132819199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D022" w14:textId="453E4EAC" w:rsidR="006756C5" w:rsidRDefault="00BB5379" w:rsidP="006756C5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2F87B16" wp14:editId="269E10CB">
          <wp:simplePos x="0" y="0"/>
          <wp:positionH relativeFrom="margin">
            <wp:posOffset>5408930</wp:posOffset>
          </wp:positionH>
          <wp:positionV relativeFrom="margin">
            <wp:posOffset>-768985</wp:posOffset>
          </wp:positionV>
          <wp:extent cx="722630" cy="403860"/>
          <wp:effectExtent l="0" t="0" r="1270" b="0"/>
          <wp:wrapSquare wrapText="bothSides"/>
          <wp:docPr id="1084011508" name="Imagen 108401150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6E560FA" wp14:editId="4A6AAE03">
          <wp:simplePos x="0" y="0"/>
          <wp:positionH relativeFrom="margin">
            <wp:posOffset>-297180</wp:posOffset>
          </wp:positionH>
          <wp:positionV relativeFrom="margin">
            <wp:posOffset>-786765</wp:posOffset>
          </wp:positionV>
          <wp:extent cx="1033145" cy="359410"/>
          <wp:effectExtent l="0" t="0" r="0" b="2540"/>
          <wp:wrapSquare wrapText="bothSides"/>
          <wp:docPr id="249333531" name="Imagen 24933353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E61">
      <w:rPr>
        <w:noProof/>
      </w:rPr>
      <w:t xml:space="preserve">                                  </w:t>
    </w:r>
  </w:p>
  <w:p w14:paraId="47126917" w14:textId="1EEB483A" w:rsidR="006756C5" w:rsidRDefault="006756C5" w:rsidP="00DE1DF3">
    <w:pPr>
      <w:pStyle w:val="Encabezado"/>
      <w:spacing w:before="0"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29B7"/>
    <w:rsid w:val="00011EC2"/>
    <w:rsid w:val="00040E20"/>
    <w:rsid w:val="00044F3D"/>
    <w:rsid w:val="00046BDF"/>
    <w:rsid w:val="00071BA7"/>
    <w:rsid w:val="00074D17"/>
    <w:rsid w:val="0008325F"/>
    <w:rsid w:val="000B439A"/>
    <w:rsid w:val="000B4983"/>
    <w:rsid w:val="000C6C9A"/>
    <w:rsid w:val="000D7050"/>
    <w:rsid w:val="000F11F6"/>
    <w:rsid w:val="000F38B4"/>
    <w:rsid w:val="001215BB"/>
    <w:rsid w:val="00124C31"/>
    <w:rsid w:val="00133D73"/>
    <w:rsid w:val="0014353D"/>
    <w:rsid w:val="00153BE7"/>
    <w:rsid w:val="001567C5"/>
    <w:rsid w:val="00161861"/>
    <w:rsid w:val="001626E3"/>
    <w:rsid w:val="0018192B"/>
    <w:rsid w:val="001E2DD2"/>
    <w:rsid w:val="001F303A"/>
    <w:rsid w:val="001F47AB"/>
    <w:rsid w:val="00212267"/>
    <w:rsid w:val="0024085D"/>
    <w:rsid w:val="00241F06"/>
    <w:rsid w:val="00280305"/>
    <w:rsid w:val="002A6D67"/>
    <w:rsid w:val="002C26C3"/>
    <w:rsid w:val="0030237D"/>
    <w:rsid w:val="00324760"/>
    <w:rsid w:val="00340559"/>
    <w:rsid w:val="00353D1D"/>
    <w:rsid w:val="0035632E"/>
    <w:rsid w:val="00357B2A"/>
    <w:rsid w:val="00361DFF"/>
    <w:rsid w:val="0038014E"/>
    <w:rsid w:val="003A7FC9"/>
    <w:rsid w:val="003B1FEC"/>
    <w:rsid w:val="003B4F7D"/>
    <w:rsid w:val="003C106C"/>
    <w:rsid w:val="003C7E1C"/>
    <w:rsid w:val="003D30FB"/>
    <w:rsid w:val="003F2F4B"/>
    <w:rsid w:val="00401E61"/>
    <w:rsid w:val="00411CBB"/>
    <w:rsid w:val="004142B1"/>
    <w:rsid w:val="004170AF"/>
    <w:rsid w:val="0042049B"/>
    <w:rsid w:val="00430C2E"/>
    <w:rsid w:val="004335E4"/>
    <w:rsid w:val="00456720"/>
    <w:rsid w:val="00457CC2"/>
    <w:rsid w:val="00467415"/>
    <w:rsid w:val="00483D6B"/>
    <w:rsid w:val="00491842"/>
    <w:rsid w:val="004A6CAB"/>
    <w:rsid w:val="004C0855"/>
    <w:rsid w:val="004C69B7"/>
    <w:rsid w:val="004E017D"/>
    <w:rsid w:val="004F2C12"/>
    <w:rsid w:val="00506DE5"/>
    <w:rsid w:val="00515BEF"/>
    <w:rsid w:val="0053330D"/>
    <w:rsid w:val="005604AC"/>
    <w:rsid w:val="00571C5E"/>
    <w:rsid w:val="005723D7"/>
    <w:rsid w:val="00580265"/>
    <w:rsid w:val="00587F12"/>
    <w:rsid w:val="005A4453"/>
    <w:rsid w:val="005B4F83"/>
    <w:rsid w:val="005B53D9"/>
    <w:rsid w:val="005B5736"/>
    <w:rsid w:val="005B7D87"/>
    <w:rsid w:val="005C287A"/>
    <w:rsid w:val="005C42EC"/>
    <w:rsid w:val="005D7D66"/>
    <w:rsid w:val="005E366C"/>
    <w:rsid w:val="005E3E32"/>
    <w:rsid w:val="005F6877"/>
    <w:rsid w:val="005F783D"/>
    <w:rsid w:val="00602072"/>
    <w:rsid w:val="00623B30"/>
    <w:rsid w:val="00651461"/>
    <w:rsid w:val="00651863"/>
    <w:rsid w:val="006629AD"/>
    <w:rsid w:val="006756C5"/>
    <w:rsid w:val="00691071"/>
    <w:rsid w:val="006C2F7E"/>
    <w:rsid w:val="006D6FD4"/>
    <w:rsid w:val="006E1726"/>
    <w:rsid w:val="006E22E8"/>
    <w:rsid w:val="00717096"/>
    <w:rsid w:val="007247FF"/>
    <w:rsid w:val="00726DC0"/>
    <w:rsid w:val="00735E1F"/>
    <w:rsid w:val="00737B6D"/>
    <w:rsid w:val="0074199A"/>
    <w:rsid w:val="00752DEC"/>
    <w:rsid w:val="00762CBD"/>
    <w:rsid w:val="0078631A"/>
    <w:rsid w:val="007A5AE1"/>
    <w:rsid w:val="007A7C1D"/>
    <w:rsid w:val="007C5142"/>
    <w:rsid w:val="007F3B2B"/>
    <w:rsid w:val="007F42E3"/>
    <w:rsid w:val="007F4E31"/>
    <w:rsid w:val="0080027D"/>
    <w:rsid w:val="008066FD"/>
    <w:rsid w:val="00811678"/>
    <w:rsid w:val="00812FF5"/>
    <w:rsid w:val="00823401"/>
    <w:rsid w:val="0084098E"/>
    <w:rsid w:val="00847FE4"/>
    <w:rsid w:val="008518A8"/>
    <w:rsid w:val="0085194E"/>
    <w:rsid w:val="00872A2E"/>
    <w:rsid w:val="008776E3"/>
    <w:rsid w:val="008B0943"/>
    <w:rsid w:val="008C0A5F"/>
    <w:rsid w:val="00902889"/>
    <w:rsid w:val="00930F73"/>
    <w:rsid w:val="00937C4D"/>
    <w:rsid w:val="0095597A"/>
    <w:rsid w:val="00957BE3"/>
    <w:rsid w:val="00970EE9"/>
    <w:rsid w:val="00976702"/>
    <w:rsid w:val="009A3312"/>
    <w:rsid w:val="009C26B5"/>
    <w:rsid w:val="009D72A5"/>
    <w:rsid w:val="009E7865"/>
    <w:rsid w:val="009F3478"/>
    <w:rsid w:val="009F5428"/>
    <w:rsid w:val="00A15CDD"/>
    <w:rsid w:val="00A15D55"/>
    <w:rsid w:val="00A30250"/>
    <w:rsid w:val="00A37757"/>
    <w:rsid w:val="00A84924"/>
    <w:rsid w:val="00A90A86"/>
    <w:rsid w:val="00A911B2"/>
    <w:rsid w:val="00A92B44"/>
    <w:rsid w:val="00AA0519"/>
    <w:rsid w:val="00AA7A5F"/>
    <w:rsid w:val="00B30281"/>
    <w:rsid w:val="00B37FAA"/>
    <w:rsid w:val="00B74DFE"/>
    <w:rsid w:val="00B81424"/>
    <w:rsid w:val="00BA6D78"/>
    <w:rsid w:val="00BB5379"/>
    <w:rsid w:val="00BF0FD8"/>
    <w:rsid w:val="00BF3DB6"/>
    <w:rsid w:val="00C20329"/>
    <w:rsid w:val="00C350D1"/>
    <w:rsid w:val="00C70578"/>
    <w:rsid w:val="00C81E1F"/>
    <w:rsid w:val="00C9169C"/>
    <w:rsid w:val="00C93328"/>
    <w:rsid w:val="00CA7E63"/>
    <w:rsid w:val="00CB3666"/>
    <w:rsid w:val="00CD6394"/>
    <w:rsid w:val="00CD6E1C"/>
    <w:rsid w:val="00CE66F4"/>
    <w:rsid w:val="00D15207"/>
    <w:rsid w:val="00D15A31"/>
    <w:rsid w:val="00D24CD9"/>
    <w:rsid w:val="00D31768"/>
    <w:rsid w:val="00D42B20"/>
    <w:rsid w:val="00D43034"/>
    <w:rsid w:val="00D74213"/>
    <w:rsid w:val="00D75289"/>
    <w:rsid w:val="00D754A1"/>
    <w:rsid w:val="00D80877"/>
    <w:rsid w:val="00D915DC"/>
    <w:rsid w:val="00D946D9"/>
    <w:rsid w:val="00DA0984"/>
    <w:rsid w:val="00DB6892"/>
    <w:rsid w:val="00DC0794"/>
    <w:rsid w:val="00DE1DF3"/>
    <w:rsid w:val="00DF79E2"/>
    <w:rsid w:val="00E01852"/>
    <w:rsid w:val="00E035CC"/>
    <w:rsid w:val="00E03FD5"/>
    <w:rsid w:val="00E42214"/>
    <w:rsid w:val="00E4425C"/>
    <w:rsid w:val="00E56853"/>
    <w:rsid w:val="00E6447D"/>
    <w:rsid w:val="00E77923"/>
    <w:rsid w:val="00E9566F"/>
    <w:rsid w:val="00EB7DFF"/>
    <w:rsid w:val="00EC5291"/>
    <w:rsid w:val="00EF0DA6"/>
    <w:rsid w:val="00EF3A8F"/>
    <w:rsid w:val="00F02D43"/>
    <w:rsid w:val="00F13D47"/>
    <w:rsid w:val="00F20A60"/>
    <w:rsid w:val="00F23121"/>
    <w:rsid w:val="00F35EFC"/>
    <w:rsid w:val="00F36F60"/>
    <w:rsid w:val="00F477F0"/>
    <w:rsid w:val="00F65108"/>
    <w:rsid w:val="00F66BF3"/>
    <w:rsid w:val="00F80B1D"/>
    <w:rsid w:val="00F82573"/>
    <w:rsid w:val="00FA6661"/>
    <w:rsid w:val="00FB07C1"/>
    <w:rsid w:val="00FC759B"/>
    <w:rsid w:val="00FD2A8B"/>
    <w:rsid w:val="00FD68F9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3023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table" w:styleId="Tablaconcuadrcula">
    <w:name w:val="Table Grid"/>
    <w:basedOn w:val="Tablanormal"/>
    <w:uiPriority w:val="39"/>
    <w:rsid w:val="0030237D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1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D0B26ABEDD0459BD4267A57D8442E" ma:contentTypeVersion="18" ma:contentTypeDescription="Crear nuevo documento." ma:contentTypeScope="" ma:versionID="25084f767b96646b2c6e8d6ddd97c02b">
  <xsd:schema xmlns:xsd="http://www.w3.org/2001/XMLSchema" xmlns:xs="http://www.w3.org/2001/XMLSchema" xmlns:p="http://schemas.microsoft.com/office/2006/metadata/properties" xmlns:ns2="52f50d89-700a-49c3-acb1-cc45863f80d1" xmlns:ns3="c5e352c5-a0a5-4aff-9101-fc8c076df9f7" targetNamespace="http://schemas.microsoft.com/office/2006/metadata/properties" ma:root="true" ma:fieldsID="950528903f64b51f9de8f9c75a3efe10" ns2:_="" ns3:_="">
    <xsd:import namespace="52f50d89-700a-49c3-acb1-cc45863f80d1"/>
    <xsd:import namespace="c5e352c5-a0a5-4aff-9101-fc8c076df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Usuario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0d89-700a-49c3-acb1-cc45863f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suarios" ma:index="23" nillable="true" ma:displayName="Usuarios" ma:format="Dropdown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52c5-a0a5-4aff-9101-fc8c076d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049abc-2a9a-43b8-8608-fb390d17ff38}" ma:internalName="TaxCatchAll" ma:showField="CatchAllData" ma:web="c5e352c5-a0a5-4aff-9101-fc8c076df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352c5-a0a5-4aff-9101-fc8c076df9f7" xsi:nil="true"/>
    <Usuarios xmlns="52f50d89-700a-49c3-acb1-cc45863f80d1">
      <UserInfo>
        <DisplayName/>
        <AccountId xsi:nil="true"/>
        <AccountType/>
      </UserInfo>
    </Usuarios>
    <lcf76f155ced4ddcb4097134ff3c332f xmlns="52f50d89-700a-49c3-acb1-cc45863f80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31BA-1332-4D9D-ABFF-A86C8889E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F415B-3567-494F-A92D-793252F5E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0d89-700a-49c3-acb1-cc45863f80d1"/>
    <ds:schemaRef ds:uri="c5e352c5-a0a5-4aff-9101-fc8c076d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1AD2C-1955-4E2A-BE0A-A7ACE825AC2C}">
  <ds:schemaRefs>
    <ds:schemaRef ds:uri="http://schemas.microsoft.com/office/2006/metadata/properties"/>
    <ds:schemaRef ds:uri="http://schemas.microsoft.com/office/infopath/2007/PartnerControls"/>
    <ds:schemaRef ds:uri="c5e352c5-a0a5-4aff-9101-fc8c076df9f7"/>
    <ds:schemaRef ds:uri="52f50d89-700a-49c3-acb1-cc45863f80d1"/>
  </ds:schemaRefs>
</ds:datastoreItem>
</file>

<file path=customXml/itemProps4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Daniel Cristancho</cp:lastModifiedBy>
  <cp:revision>3</cp:revision>
  <cp:lastPrinted>2023-09-01T14:26:00Z</cp:lastPrinted>
  <dcterms:created xsi:type="dcterms:W3CDTF">2023-11-09T01:49:00Z</dcterms:created>
  <dcterms:modified xsi:type="dcterms:W3CDTF">2023-11-09T01:46:00Z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