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BB7E" w14:textId="75620214" w:rsidR="00BA6D78" w:rsidRPr="00DE1DF3" w:rsidRDefault="00BA6D78" w:rsidP="00BA6D78">
      <w:pPr>
        <w:rPr>
          <w:rFonts w:ascii="Helvetica" w:hAnsi="Helvetica" w:cs="Helvetica"/>
          <w:lang w:val="es-MX"/>
        </w:rPr>
      </w:pPr>
      <w:r w:rsidRPr="00DE1DF3">
        <w:rPr>
          <w:rFonts w:ascii="Helvetica" w:hAnsi="Helvetica" w:cs="Helvetica"/>
          <w:lang w:val="es-MX"/>
        </w:rPr>
        <w:t>Bogotá, D. C</w:t>
      </w:r>
      <w:r w:rsidRPr="00F20A60">
        <w:rPr>
          <w:rFonts w:ascii="Helvetica" w:hAnsi="Helvetica" w:cs="Helvetica"/>
          <w:lang w:val="es-MX"/>
        </w:rPr>
        <w:t xml:space="preserve">.,  </w:t>
      </w:r>
      <w:r w:rsidRPr="00F20A60">
        <w:rPr>
          <w:rFonts w:ascii="Helvetica" w:hAnsi="Helvetica" w:cs="Helvetica"/>
          <w:lang w:val="es-MX"/>
        </w:rPr>
        <w:fldChar w:fldCharType="begin"/>
      </w:r>
      <w:r w:rsidRPr="00F20A60">
        <w:rPr>
          <w:rFonts w:ascii="Helvetica" w:hAnsi="Helvetica" w:cs="Helvetica"/>
          <w:lang w:val="es-MX"/>
        </w:rPr>
        <w:instrText xml:space="preserve"> MERGEFIELD  Fecha  \* MERGEFORMAT </w:instrText>
      </w:r>
      <w:r w:rsidRPr="00F20A60">
        <w:rPr>
          <w:rFonts w:ascii="Helvetica" w:hAnsi="Helvetica" w:cs="Helvetica"/>
          <w:lang w:val="es-MX"/>
        </w:rPr>
        <w:fldChar w:fldCharType="separate"/>
      </w:r>
      <w:r w:rsidRPr="00F20A60">
        <w:rPr>
          <w:rFonts w:ascii="Helvetica" w:hAnsi="Helvetica" w:cs="Helvetica"/>
          <w:noProof/>
          <w:lang w:val="es-MX"/>
        </w:rPr>
        <w:t>03 de noviembre de 2023</w:t>
      </w:r>
      <w:r w:rsidRPr="00F20A60">
        <w:rPr>
          <w:rFonts w:ascii="Helvetica" w:hAnsi="Helvetica" w:cs="Helvetica"/>
          <w:lang w:val="es-MX"/>
        </w:rPr>
        <w:fldChar w:fldCharType="end"/>
      </w:r>
    </w:p>
    <w:p w14:paraId="4BF6BC04" w14:textId="77777777" w:rsidR="00BA6D78" w:rsidRDefault="00BA6D78" w:rsidP="00BA6D78">
      <w:pPr>
        <w:rPr>
          <w:rFonts w:ascii="Helvetica" w:hAnsi="Helvetica" w:cs="Helvetica"/>
          <w:sz w:val="22"/>
          <w:szCs w:val="22"/>
          <w:lang w:val="es-MX"/>
        </w:rPr>
      </w:pPr>
    </w:p>
    <w:p w14:paraId="0A312D99" w14:textId="77777777" w:rsidR="00F20A60" w:rsidRPr="00F36F60" w:rsidRDefault="00F20A60" w:rsidP="00BA6D78">
      <w:pPr>
        <w:rPr>
          <w:rFonts w:ascii="Helvetica" w:hAnsi="Helvetica" w:cs="Helvetica"/>
          <w:sz w:val="22"/>
          <w:szCs w:val="22"/>
          <w:lang w:val="es-MX"/>
        </w:rPr>
      </w:pPr>
    </w:p>
    <w:p w14:paraId="2DF36FC6" w14:textId="33257262" w:rsidR="00BA6D78" w:rsidRPr="00F36F60" w:rsidRDefault="00BA6D78" w:rsidP="00DE1DF3">
      <w:pPr>
        <w:pStyle w:val="Ttulo5"/>
        <w:spacing w:before="240" w:after="240" w:line="220" w:lineRule="atLeast"/>
        <w:ind w:left="720"/>
        <w:jc w:val="center"/>
        <w:rPr>
          <w:rFonts w:ascii="Helvetica" w:eastAsia="Times New Roman" w:hAnsi="Helvetica" w:cs="Helvetica"/>
          <w:b/>
          <w:bCs/>
          <w:i/>
          <w:iCs/>
          <w:noProof/>
          <w:color w:val="auto"/>
          <w:spacing w:val="-5"/>
          <w:kern w:val="60"/>
          <w:sz w:val="40"/>
          <w:szCs w:val="40"/>
        </w:rPr>
      </w:pPr>
      <w:r w:rsidRPr="00F36F60">
        <w:rPr>
          <w:rFonts w:ascii="Helvetica" w:eastAsia="Times New Roman" w:hAnsi="Helvetica" w:cs="Helvetica"/>
          <w:b/>
          <w:bCs/>
          <w:i/>
          <w:iCs/>
          <w:noProof/>
          <w:color w:val="auto"/>
          <w:spacing w:val="-5"/>
          <w:kern w:val="60"/>
          <w:sz w:val="40"/>
          <w:szCs w:val="40"/>
        </w:rPr>
        <w:t xml:space="preserve">CIRCULAR No. </w:t>
      </w:r>
      <w:r w:rsidRPr="00F20A60">
        <w:rPr>
          <w:rFonts w:ascii="Helvetica" w:eastAsia="Times New Roman" w:hAnsi="Helvetica" w:cs="Helvetica"/>
          <w:b/>
          <w:bCs/>
          <w:i/>
          <w:iCs/>
          <w:noProof/>
          <w:color w:val="auto"/>
          <w:spacing w:val="-5"/>
          <w:kern w:val="60"/>
          <w:sz w:val="40"/>
          <w:szCs w:val="40"/>
        </w:rPr>
        <w:fldChar w:fldCharType="begin"/>
      </w:r>
      <w:r w:rsidRPr="00F20A60">
        <w:rPr>
          <w:rFonts w:ascii="Helvetica" w:eastAsia="Times New Roman" w:hAnsi="Helvetica" w:cs="Helvetica"/>
          <w:b/>
          <w:bCs/>
          <w:i/>
          <w:iCs/>
          <w:noProof/>
          <w:color w:val="auto"/>
          <w:spacing w:val="-5"/>
          <w:kern w:val="60"/>
          <w:sz w:val="40"/>
          <w:szCs w:val="40"/>
        </w:rPr>
        <w:instrText xml:space="preserve"> MERGEFIELD  NumeroCircular  \* MERGEFORMAT </w:instrText>
      </w:r>
      <w:r w:rsidRPr="00F20A60">
        <w:rPr>
          <w:rFonts w:ascii="Helvetica" w:eastAsia="Times New Roman" w:hAnsi="Helvetica" w:cs="Helvetica"/>
          <w:b/>
          <w:bCs/>
          <w:i/>
          <w:iCs/>
          <w:noProof/>
          <w:color w:val="auto"/>
          <w:spacing w:val="-5"/>
          <w:kern w:val="60"/>
          <w:sz w:val="40"/>
          <w:szCs w:val="40"/>
        </w:rPr>
        <w:fldChar w:fldCharType="separate"/>
      </w:r>
      <w:r w:rsidRPr="00F20A60">
        <w:rPr>
          <w:rFonts w:ascii="Helvetica" w:eastAsia="Times New Roman" w:hAnsi="Helvetica" w:cs="Helvetica"/>
          <w:b/>
          <w:bCs/>
          <w:i/>
          <w:iCs/>
          <w:noProof/>
          <w:color w:val="auto"/>
          <w:spacing w:val="-5"/>
          <w:kern w:val="60"/>
          <w:sz w:val="40"/>
          <w:szCs w:val="40"/>
        </w:rPr>
        <w:t>084 de 2023</w:t>
      </w:r>
      <w:r w:rsidRPr="00F20A60">
        <w:rPr>
          <w:rFonts w:ascii="Helvetica" w:eastAsia="Times New Roman" w:hAnsi="Helvetica" w:cs="Helvetica"/>
          <w:b/>
          <w:bCs/>
          <w:i/>
          <w:iCs/>
          <w:noProof/>
          <w:color w:val="auto"/>
          <w:spacing w:val="-5"/>
          <w:kern w:val="60"/>
          <w:sz w:val="40"/>
          <w:szCs w:val="40"/>
        </w:rPr>
        <w:fldChar w:fldCharType="end"/>
      </w:r>
    </w:p>
    <w:p w14:paraId="6F13CDC0" w14:textId="77777777" w:rsidR="00BA6D78" w:rsidRDefault="00BA6D78" w:rsidP="00BA6D78">
      <w:pPr>
        <w:pStyle w:val="Ttulo5"/>
        <w:spacing w:before="0" w:line="220" w:lineRule="atLeast"/>
        <w:ind w:left="720"/>
        <w:jc w:val="center"/>
        <w:rPr>
          <w:rFonts w:ascii="Helvetica" w:eastAsia="Times New Roman" w:hAnsi="Helvetica" w:cs="Helvetica"/>
          <w:b/>
          <w:bCs/>
          <w:i/>
          <w:iCs/>
          <w:noProof/>
          <w:color w:val="auto"/>
          <w:spacing w:val="-5"/>
          <w:kern w:val="60"/>
          <w:sz w:val="40"/>
          <w:szCs w:val="40"/>
        </w:rPr>
      </w:pPr>
    </w:p>
    <w:p w14:paraId="22D5C1F6" w14:textId="77777777" w:rsidR="00F20A60" w:rsidRPr="00F20A60" w:rsidRDefault="00F20A60" w:rsidP="00F20A60"/>
    <w:p w14:paraId="74FF62B2" w14:textId="545EC703" w:rsidR="00BA6D78" w:rsidRPr="00F36F60" w:rsidRDefault="00BA6D78" w:rsidP="004142B1">
      <w:pPr>
        <w:tabs>
          <w:tab w:val="left" w:pos="709"/>
        </w:tabs>
        <w:ind w:left="1418" w:hanging="1418"/>
        <w:jc w:val="both"/>
        <w:rPr>
          <w:rFonts w:ascii="Helvetica" w:eastAsia="Times New Roman" w:hAnsi="Helvetica" w:cs="Helvetica"/>
          <w:spacing w:val="-5"/>
          <w:sz w:val="22"/>
          <w:szCs w:val="22"/>
        </w:rPr>
      </w:pPr>
      <w:r w:rsidRPr="00F36F60">
        <w:rPr>
          <w:rFonts w:ascii="Helvetica" w:hAnsi="Helvetica" w:cs="Helvetica"/>
          <w:b/>
        </w:rPr>
        <w:t>PARA:</w:t>
      </w:r>
      <w:r w:rsidRPr="00F36F60">
        <w:rPr>
          <w:rFonts w:ascii="Helvetica" w:hAnsi="Helvetica" w:cs="Helvetica"/>
          <w:b/>
        </w:rPr>
        <w:tab/>
      </w:r>
      <w:r w:rsidRPr="00F36F60">
        <w:rPr>
          <w:rFonts w:ascii="Helvetica" w:hAnsi="Helvetica" w:cs="Helvetica"/>
          <w:b/>
        </w:rPr>
        <w:fldChar w:fldCharType="begin"/>
      </w:r>
      <w:r w:rsidRPr="00F36F60">
        <w:rPr>
          <w:rFonts w:ascii="Helvetica" w:hAnsi="Helvetica" w:cs="Helvetica"/>
          <w:b/>
        </w:rPr>
        <w:instrText xml:space="preserve"> MERGEFIELD  Destinatario  \* MERGEFORMAT </w:instrText>
      </w:r>
      <w:r w:rsidRPr="00F36F60">
        <w:rPr>
          <w:rFonts w:ascii="Helvetica" w:hAnsi="Helvetica" w:cs="Helvetica"/>
          <w:b/>
        </w:rPr>
        <w:fldChar w:fldCharType="separate"/>
      </w:r>
      <w:r w:rsidRPr="00F36F60">
        <w:rPr>
          <w:rFonts w:ascii="Helvetica" w:hAnsi="Helvetica" w:cs="Helvetica"/>
          <w:b/>
          <w:noProof/>
        </w:rPr>
        <w:t>GRUPOS DE VALOR Y PARTES INTERESADAS</w:t>
      </w:r>
      <w:r w:rsidRPr="00F36F60">
        <w:rPr>
          <w:rFonts w:ascii="Helvetica" w:hAnsi="Helvetica" w:cs="Helvetica"/>
          <w:b/>
        </w:rPr>
        <w:fldChar w:fldCharType="end"/>
      </w:r>
    </w:p>
    <w:p w14:paraId="5ECA4954" w14:textId="1D88CBF1" w:rsidR="00BA6D78" w:rsidRPr="00F36F60" w:rsidRDefault="00BA6D78" w:rsidP="00DE1DF3">
      <w:pPr>
        <w:tabs>
          <w:tab w:val="left" w:pos="709"/>
        </w:tabs>
        <w:ind w:left="1418" w:hanging="1418"/>
        <w:jc w:val="both"/>
        <w:rPr>
          <w:rFonts w:ascii="Helvetica" w:hAnsi="Helvetica" w:cs="Helvetica"/>
          <w:b/>
        </w:rPr>
      </w:pPr>
      <w:r w:rsidRPr="00F36F60">
        <w:rPr>
          <w:rFonts w:ascii="Helvetica" w:hAnsi="Helvetica" w:cs="Helvetica"/>
          <w:b/>
        </w:rPr>
        <w:t>DE:</w:t>
      </w:r>
      <w:r w:rsidRPr="00F36F60">
        <w:rPr>
          <w:rFonts w:ascii="Helvetica" w:hAnsi="Helvetica" w:cs="Helvetica"/>
          <w:b/>
        </w:rPr>
        <w:tab/>
      </w:r>
      <w:r w:rsidR="00DE1DF3">
        <w:rPr>
          <w:rFonts w:ascii="Helvetica" w:hAnsi="Helvetica" w:cs="Helvetica"/>
          <w:b/>
        </w:rPr>
        <w:tab/>
      </w:r>
      <w:r w:rsidRPr="00F36F60">
        <w:rPr>
          <w:rFonts w:ascii="Helvetica" w:hAnsi="Helvetica" w:cs="Helvetica"/>
          <w:b/>
        </w:rPr>
        <w:fldChar w:fldCharType="begin"/>
      </w:r>
      <w:r w:rsidRPr="00F36F60">
        <w:rPr>
          <w:rFonts w:ascii="Helvetica" w:hAnsi="Helvetica" w:cs="Helvetica"/>
          <w:b/>
        </w:rPr>
        <w:instrText xml:space="preserve"> MERGEFIELD  Remitente  \* MERGEFORMAT </w:instrText>
      </w:r>
      <w:r w:rsidRPr="00F36F60">
        <w:rPr>
          <w:rFonts w:ascii="Helvetica" w:hAnsi="Helvetica" w:cs="Helvetica"/>
          <w:b/>
        </w:rPr>
        <w:fldChar w:fldCharType="separate"/>
      </w:r>
      <w:r w:rsidRPr="00F36F60">
        <w:rPr>
          <w:rFonts w:ascii="Helvetica" w:hAnsi="Helvetica" w:cs="Helvetica"/>
          <w:b/>
          <w:noProof/>
        </w:rPr>
        <w:t>DIRECCIÓN EJECUTIVA</w:t>
      </w:r>
      <w:r w:rsidRPr="00F36F60">
        <w:rPr>
          <w:rFonts w:ascii="Helvetica" w:hAnsi="Helvetica" w:cs="Helvetica"/>
          <w:b/>
        </w:rPr>
        <w:fldChar w:fldCharType="end"/>
      </w:r>
    </w:p>
    <w:p w14:paraId="3AF4582F" w14:textId="77777777" w:rsidR="00BA6D78" w:rsidRPr="00F36F60" w:rsidRDefault="00BA6D78" w:rsidP="00BA6D78">
      <w:pPr>
        <w:pStyle w:val="Sangradetextonormal"/>
        <w:ind w:left="1410" w:hanging="1410"/>
        <w:rPr>
          <w:rFonts w:ascii="Helvetica" w:hAnsi="Helvetica" w:cs="Helvetica"/>
          <w:b/>
        </w:rPr>
      </w:pPr>
      <w:r w:rsidRPr="00F36F60">
        <w:rPr>
          <w:rFonts w:ascii="Helvetica" w:hAnsi="Helvetica" w:cs="Helvetica"/>
          <w:b/>
        </w:rPr>
        <w:t>ASUNTO:</w:t>
      </w:r>
      <w:r w:rsidRPr="00F36F60">
        <w:rPr>
          <w:rFonts w:ascii="Helvetica" w:hAnsi="Helvetica" w:cs="Helvetica"/>
          <w:b/>
        </w:rPr>
        <w:tab/>
      </w:r>
      <w:r w:rsidRPr="00F36F60">
        <w:rPr>
          <w:rFonts w:ascii="Helvetica" w:hAnsi="Helvetica" w:cs="Helvetica"/>
          <w:b/>
        </w:rPr>
        <w:fldChar w:fldCharType="begin"/>
      </w:r>
      <w:r w:rsidRPr="00F36F60">
        <w:rPr>
          <w:rFonts w:ascii="Helvetica" w:hAnsi="Helvetica" w:cs="Helvetica"/>
          <w:b/>
        </w:rPr>
        <w:instrText xml:space="preserve"> MERGEFIELD  Asunto  \* MERGEFORMAT </w:instrText>
      </w:r>
      <w:r w:rsidRPr="00F36F60">
        <w:rPr>
          <w:rFonts w:ascii="Helvetica" w:hAnsi="Helvetica" w:cs="Helvetica"/>
          <w:b/>
        </w:rPr>
        <w:fldChar w:fldCharType="separate"/>
      </w:r>
      <w:r w:rsidRPr="00F36F60">
        <w:rPr>
          <w:rFonts w:ascii="Helvetica" w:hAnsi="Helvetica" w:cs="Helvetica"/>
          <w:b/>
          <w:noProof/>
        </w:rPr>
        <w:t>PUBLICACIÓN DE PRECIOS DE REFERENCIA DE VENTA AL PÚBLICO DE LOS COMBUSTIBLES</w:t>
      </w:r>
      <w:r w:rsidRPr="00F36F60">
        <w:rPr>
          <w:rFonts w:ascii="Helvetica" w:hAnsi="Helvetica" w:cs="Helvetica"/>
          <w:b/>
        </w:rPr>
        <w:fldChar w:fldCharType="end"/>
      </w:r>
    </w:p>
    <w:p w14:paraId="4AE7CAEE" w14:textId="77777777" w:rsidR="00BA6D78" w:rsidRPr="00F36F60" w:rsidRDefault="00BA6D78" w:rsidP="00DE1DF3">
      <w:pPr>
        <w:pStyle w:val="Textoindependiente"/>
        <w:spacing w:after="0" w:line="240" w:lineRule="auto"/>
        <w:ind w:left="1410" w:hanging="1410"/>
        <w:rPr>
          <w:rFonts w:ascii="Helvetica" w:hAnsi="Helvetica" w:cs="Helvetica"/>
          <w:sz w:val="22"/>
          <w:szCs w:val="22"/>
        </w:rPr>
      </w:pPr>
    </w:p>
    <w:p w14:paraId="526E2ECF" w14:textId="5699E7C6" w:rsidR="0030237D" w:rsidRPr="00F36F60" w:rsidRDefault="0030237D" w:rsidP="00DE1DF3">
      <w:pPr>
        <w:pStyle w:val="NormalWeb"/>
        <w:shd w:val="clear" w:color="auto" w:fill="FFFFFF"/>
        <w:spacing w:before="240" w:beforeAutospacing="0" w:line="360" w:lineRule="auto"/>
        <w:rPr>
          <w:rFonts w:ascii="Helvetica" w:hAnsi="Helvetica" w:cs="Helvetica"/>
          <w:sz w:val="22"/>
          <w:szCs w:val="22"/>
        </w:rPr>
      </w:pPr>
      <w:r w:rsidRPr="00F36F60">
        <w:rPr>
          <w:rFonts w:ascii="Helvetica" w:hAnsi="Helvetica" w:cs="Helvetica"/>
          <w:sz w:val="22"/>
          <w:szCs w:val="22"/>
        </w:rPr>
        <w:t>La Dirección Ejecutiva de la Comisión de Regulación de Energía y Gas, CREG, de conformidad con la Resolución CREG 104 001 de 2022 y las funciones delegadas por el Ministerio de Hacienda y Crédito Público y el Ministerio de Minas y Energía</w:t>
      </w:r>
      <w:r w:rsidR="00DE1DF3">
        <w:rPr>
          <w:rFonts w:ascii="Helvetica" w:hAnsi="Helvetica" w:cs="Helvetica"/>
          <w:sz w:val="22"/>
          <w:szCs w:val="22"/>
        </w:rPr>
        <w:t>,</w:t>
      </w:r>
      <w:r w:rsidRPr="00F36F60">
        <w:rPr>
          <w:rFonts w:ascii="Helvetica" w:hAnsi="Helvetica" w:cs="Helvetica"/>
          <w:sz w:val="22"/>
          <w:szCs w:val="22"/>
        </w:rPr>
        <w:t xml:space="preserve">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w:t>
      </w:r>
      <w:r w:rsidR="0084098E">
        <w:rPr>
          <w:rFonts w:ascii="Helvetica" w:hAnsi="Helvetica" w:cs="Helvetica"/>
          <w:sz w:val="22"/>
          <w:szCs w:val="22"/>
        </w:rPr>
        <w:t>4</w:t>
      </w:r>
      <w:r w:rsidRPr="00F36F60">
        <w:rPr>
          <w:rFonts w:ascii="Helvetica" w:hAnsi="Helvetica" w:cs="Helvetica"/>
          <w:sz w:val="22"/>
          <w:szCs w:val="22"/>
        </w:rPr>
        <w:t xml:space="preserve"> de </w:t>
      </w:r>
      <w:r w:rsidR="0084098E">
        <w:rPr>
          <w:rFonts w:ascii="Helvetica" w:hAnsi="Helvetica" w:cs="Helvetica"/>
          <w:sz w:val="22"/>
          <w:szCs w:val="22"/>
        </w:rPr>
        <w:t>noviembre</w:t>
      </w:r>
      <w:r w:rsidRPr="00F36F60">
        <w:rPr>
          <w:rFonts w:ascii="Helvetica" w:hAnsi="Helvetica" w:cs="Helvetica"/>
          <w:sz w:val="22"/>
          <w:szCs w:val="22"/>
        </w:rPr>
        <w:t xml:space="preserve"> de 2023.</w:t>
      </w:r>
    </w:p>
    <w:p w14:paraId="6806AA8B" w14:textId="77777777" w:rsidR="0030237D" w:rsidRPr="00F36F60" w:rsidRDefault="0030237D" w:rsidP="0030237D">
      <w:pPr>
        <w:pStyle w:val="NormalWeb"/>
        <w:shd w:val="clear" w:color="auto" w:fill="FFFFFF"/>
        <w:spacing w:line="360" w:lineRule="auto"/>
        <w:rPr>
          <w:rFonts w:ascii="Helvetica" w:hAnsi="Helvetica" w:cs="Helvetica"/>
          <w:sz w:val="22"/>
          <w:szCs w:val="22"/>
        </w:rPr>
      </w:pPr>
      <w:r w:rsidRPr="00F36F60">
        <w:rPr>
          <w:rFonts w:ascii="Helvetica" w:hAnsi="Helvetica" w:cs="Helvetica"/>
          <w:sz w:val="22"/>
          <w:szCs w:val="22"/>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62C978A6" w14:textId="77777777" w:rsidR="0030237D" w:rsidRPr="00F36F60" w:rsidRDefault="0030237D" w:rsidP="0030237D">
      <w:pPr>
        <w:spacing w:before="0" w:after="0"/>
        <w:rPr>
          <w:rFonts w:ascii="Helvetica" w:hAnsi="Helvetica" w:cs="Helvetica"/>
          <w:sz w:val="22"/>
          <w:szCs w:val="22"/>
          <w:lang w:eastAsia="es-CO"/>
        </w:rPr>
      </w:pPr>
      <w:r w:rsidRPr="00F36F60">
        <w:rPr>
          <w:rFonts w:ascii="Helvetica" w:hAnsi="Helvetica" w:cs="Helvetica"/>
          <w:sz w:val="22"/>
          <w:szCs w:val="22"/>
          <w:lang w:eastAsia="es-CO"/>
        </w:rPr>
        <w:t xml:space="preserve">El documento técnico de la estructura de precios de gasolina motor corriente y ACPM-Diésel, así como de sus respectivas mezclas con biocombustibles, y el de precios de referencia por </w:t>
      </w:r>
      <w:r w:rsidRPr="00F36F60">
        <w:rPr>
          <w:rFonts w:ascii="Helvetica" w:hAnsi="Helvetica" w:cs="Helvetica"/>
          <w:sz w:val="22"/>
          <w:szCs w:val="22"/>
          <w:lang w:eastAsia="es-CO"/>
        </w:rPr>
        <w:lastRenderedPageBreak/>
        <w:t xml:space="preserve">ciudades, se anexan a la presente circular, y pueden ser consultados en el siguiente enlace: </w:t>
      </w:r>
      <w:hyperlink r:id="rId10" w:history="1">
        <w:r w:rsidRPr="00F36F60">
          <w:rPr>
            <w:rStyle w:val="Hipervnculo"/>
            <w:rFonts w:ascii="Helvetica" w:hAnsi="Helvetica" w:cs="Helvetica"/>
            <w:sz w:val="22"/>
            <w:szCs w:val="22"/>
          </w:rPr>
          <w:t>https://creg.gov.co/publicaciones/14288/precios-de-los-combustibles/</w:t>
        </w:r>
      </w:hyperlink>
      <w:r w:rsidRPr="00F36F60">
        <w:rPr>
          <w:rFonts w:ascii="Helvetica" w:hAnsi="Helvetica" w:cs="Helvetica"/>
          <w:sz w:val="22"/>
          <w:szCs w:val="22"/>
          <w:lang w:eastAsia="es-CO"/>
        </w:rPr>
        <w:t>.</w:t>
      </w:r>
    </w:p>
    <w:p w14:paraId="6626768F" w14:textId="77777777" w:rsidR="0030237D" w:rsidRPr="00F36F60" w:rsidRDefault="0030237D" w:rsidP="0030237D">
      <w:pPr>
        <w:pStyle w:val="Textoindependiente"/>
        <w:spacing w:before="0" w:after="0" w:line="240" w:lineRule="auto"/>
        <w:rPr>
          <w:rFonts w:ascii="Helvetica" w:hAnsi="Helvetica" w:cs="Helvetica"/>
          <w:spacing w:val="0"/>
          <w:sz w:val="22"/>
          <w:szCs w:val="22"/>
          <w:lang w:eastAsia="es-CO"/>
        </w:rPr>
      </w:pPr>
    </w:p>
    <w:p w14:paraId="6C9F2842" w14:textId="1B0ECB42" w:rsidR="0030237D" w:rsidRPr="00F36F60" w:rsidRDefault="00DE1DF3" w:rsidP="0030237D">
      <w:pPr>
        <w:pStyle w:val="Cordialmente"/>
        <w:spacing w:before="0" w:after="0" w:line="240" w:lineRule="auto"/>
        <w:rPr>
          <w:rFonts w:ascii="Helvetica" w:hAnsi="Helvetica" w:cs="Helvetica"/>
          <w:sz w:val="22"/>
          <w:szCs w:val="22"/>
          <w:lang w:eastAsia="es-CO"/>
        </w:rPr>
      </w:pPr>
      <w:r>
        <w:rPr>
          <w:rFonts w:ascii="Helvetica" w:hAnsi="Helvetica" w:cs="Helvetica"/>
          <w:sz w:val="22"/>
          <w:szCs w:val="22"/>
          <w:lang w:eastAsia="es-CO"/>
        </w:rPr>
        <w:t>Atentamente</w:t>
      </w:r>
      <w:r w:rsidR="0030237D" w:rsidRPr="00F36F60">
        <w:rPr>
          <w:rFonts w:ascii="Helvetica" w:hAnsi="Helvetica" w:cs="Helvetica"/>
          <w:sz w:val="22"/>
          <w:szCs w:val="22"/>
          <w:lang w:eastAsia="es-CO"/>
        </w:rPr>
        <w:t>,</w:t>
      </w:r>
    </w:p>
    <w:p w14:paraId="30D863CA" w14:textId="77777777" w:rsidR="0030237D" w:rsidRDefault="0030237D" w:rsidP="0030237D">
      <w:pPr>
        <w:pStyle w:val="Cordialmente"/>
        <w:spacing w:before="0" w:after="0" w:line="240" w:lineRule="auto"/>
        <w:rPr>
          <w:rFonts w:ascii="Helvetica" w:hAnsi="Helvetica" w:cs="Helvetica"/>
          <w:sz w:val="22"/>
          <w:szCs w:val="22"/>
          <w:lang w:eastAsia="es-CO"/>
        </w:rPr>
      </w:pPr>
    </w:p>
    <w:p w14:paraId="3FFE4FC6" w14:textId="77777777" w:rsidR="00DE1DF3" w:rsidRPr="00F36F60" w:rsidRDefault="00DE1DF3" w:rsidP="0030237D">
      <w:pPr>
        <w:pStyle w:val="Cordialmente"/>
        <w:spacing w:before="0" w:after="0" w:line="240" w:lineRule="auto"/>
        <w:rPr>
          <w:rFonts w:ascii="Helvetica" w:hAnsi="Helvetica" w:cs="Helvetica"/>
          <w:sz w:val="22"/>
          <w:szCs w:val="22"/>
          <w:lang w:eastAsia="es-CO"/>
        </w:rPr>
      </w:pPr>
    </w:p>
    <w:p w14:paraId="787900F0" w14:textId="77777777" w:rsidR="0030237D" w:rsidRPr="00F36F60" w:rsidRDefault="0030237D" w:rsidP="00DE1DF3">
      <w:pPr>
        <w:pStyle w:val="Cordialmente"/>
        <w:spacing w:before="0" w:after="120" w:line="240" w:lineRule="auto"/>
        <w:jc w:val="center"/>
        <w:rPr>
          <w:rFonts w:ascii="Helvetica" w:eastAsia="Times New Roman" w:hAnsi="Helvetica" w:cs="Helvetica"/>
          <w:b/>
          <w:bCs/>
          <w:sz w:val="22"/>
          <w:szCs w:val="22"/>
        </w:rPr>
      </w:pPr>
      <w:r w:rsidRPr="00F36F60">
        <w:rPr>
          <w:rFonts w:ascii="Helvetica" w:eastAsia="Times New Roman" w:hAnsi="Helvetica" w:cs="Helvetica"/>
          <w:b/>
          <w:bCs/>
          <w:sz w:val="22"/>
          <w:szCs w:val="22"/>
        </w:rPr>
        <w:t>JOSÉ FERNANDO PRADA RÍOS</w:t>
      </w:r>
    </w:p>
    <w:p w14:paraId="5525FF1B" w14:textId="77777777" w:rsidR="0030237D" w:rsidRPr="00F36F60" w:rsidRDefault="0030237D" w:rsidP="0030237D">
      <w:pPr>
        <w:spacing w:before="0" w:after="0" w:line="240" w:lineRule="auto"/>
        <w:jc w:val="center"/>
        <w:rPr>
          <w:rFonts w:ascii="Helvetica" w:eastAsia="Times New Roman" w:hAnsi="Helvetica" w:cs="Helvetica"/>
          <w:b/>
          <w:bCs/>
          <w:sz w:val="22"/>
          <w:szCs w:val="22"/>
        </w:rPr>
      </w:pPr>
      <w:r w:rsidRPr="00F36F60">
        <w:rPr>
          <w:rFonts w:ascii="Helvetica" w:eastAsia="Times New Roman" w:hAnsi="Helvetica" w:cs="Helvetica"/>
          <w:b/>
          <w:bCs/>
          <w:sz w:val="22"/>
          <w:szCs w:val="22"/>
        </w:rPr>
        <w:t>Director Ejecutivo</w:t>
      </w:r>
    </w:p>
    <w:p w14:paraId="2DB89BD5" w14:textId="77777777" w:rsidR="0030237D" w:rsidRPr="00F36F60" w:rsidRDefault="0030237D" w:rsidP="0030237D">
      <w:pPr>
        <w:pStyle w:val="Textoindependiente"/>
        <w:spacing w:after="0" w:line="240" w:lineRule="auto"/>
        <w:rPr>
          <w:rFonts w:ascii="Helvetica" w:hAnsi="Helvetica" w:cs="Helvetica"/>
          <w:sz w:val="22"/>
          <w:szCs w:val="22"/>
        </w:rPr>
      </w:pPr>
    </w:p>
    <w:p w14:paraId="1E3EF8DF" w14:textId="77777777" w:rsidR="0030237D" w:rsidRPr="00F36F60" w:rsidRDefault="0030237D" w:rsidP="0030237D">
      <w:pPr>
        <w:pStyle w:val="Textoindependiente"/>
        <w:spacing w:after="0" w:line="240" w:lineRule="auto"/>
        <w:rPr>
          <w:rFonts w:ascii="Helvetica" w:hAnsi="Helvetica" w:cs="Helvetica"/>
          <w:sz w:val="22"/>
          <w:szCs w:val="22"/>
        </w:rPr>
      </w:pPr>
    </w:p>
    <w:p w14:paraId="70DE4938" w14:textId="3D45F84E" w:rsidR="0030237D" w:rsidRPr="00F36F60" w:rsidRDefault="0030237D" w:rsidP="0030237D">
      <w:pPr>
        <w:pStyle w:val="Textoindependiente"/>
        <w:spacing w:after="0" w:line="240" w:lineRule="auto"/>
        <w:rPr>
          <w:rFonts w:ascii="Helvetica" w:hAnsi="Helvetica" w:cs="Helvetica"/>
          <w:sz w:val="22"/>
          <w:szCs w:val="22"/>
        </w:rPr>
      </w:pPr>
      <w:r w:rsidRPr="00F36F60">
        <w:rPr>
          <w:rFonts w:ascii="Helvetica" w:hAnsi="Helvetica" w:cs="Helvetica"/>
          <w:sz w:val="22"/>
          <w:szCs w:val="22"/>
        </w:rPr>
        <w:t xml:space="preserve">Anexos: </w:t>
      </w:r>
      <w:r w:rsidR="00DE1DF3">
        <w:rPr>
          <w:rFonts w:ascii="Helvetica" w:hAnsi="Helvetica" w:cs="Helvetica"/>
          <w:sz w:val="22"/>
          <w:szCs w:val="22"/>
        </w:rPr>
        <w:t xml:space="preserve"> </w:t>
      </w:r>
      <w:r w:rsidRPr="00F36F60">
        <w:rPr>
          <w:rFonts w:ascii="Helvetica" w:hAnsi="Helvetica" w:cs="Helvetica"/>
          <w:sz w:val="22"/>
          <w:szCs w:val="22"/>
        </w:rPr>
        <w:t>Precios vigentes 13 ciudades principales.</w:t>
      </w:r>
    </w:p>
    <w:p w14:paraId="1AABCAC1" w14:textId="6E729834" w:rsidR="0030237D" w:rsidRPr="00F36F60" w:rsidRDefault="0030237D" w:rsidP="0030237D">
      <w:pPr>
        <w:pStyle w:val="Textoindependiente"/>
        <w:spacing w:after="0" w:line="240" w:lineRule="auto"/>
        <w:ind w:firstLine="709"/>
        <w:rPr>
          <w:rFonts w:ascii="Helvetica" w:hAnsi="Helvetica" w:cs="Helvetica"/>
          <w:sz w:val="22"/>
          <w:szCs w:val="22"/>
        </w:rPr>
      </w:pPr>
      <w:r w:rsidRPr="00F36F60">
        <w:rPr>
          <w:rFonts w:ascii="Helvetica" w:hAnsi="Helvetica" w:cs="Helvetica"/>
          <w:sz w:val="22"/>
          <w:szCs w:val="22"/>
        </w:rPr>
        <w:t xml:space="preserve"> </w:t>
      </w:r>
      <w:r w:rsidR="00DE1DF3">
        <w:rPr>
          <w:rFonts w:ascii="Helvetica" w:hAnsi="Helvetica" w:cs="Helvetica"/>
          <w:sz w:val="22"/>
          <w:szCs w:val="22"/>
        </w:rPr>
        <w:t xml:space="preserve">  </w:t>
      </w:r>
      <w:r w:rsidRPr="00F36F60">
        <w:rPr>
          <w:rFonts w:ascii="Helvetica" w:hAnsi="Helvetica" w:cs="Helvetica"/>
          <w:sz w:val="22"/>
          <w:szCs w:val="22"/>
        </w:rPr>
        <w:t>Documento soporte.</w:t>
      </w:r>
    </w:p>
    <w:p w14:paraId="61650255" w14:textId="77777777" w:rsidR="00DE1DF3" w:rsidRDefault="00DE1DF3" w:rsidP="0030237D">
      <w:pPr>
        <w:spacing w:before="0" w:after="0" w:line="240" w:lineRule="auto"/>
        <w:jc w:val="both"/>
        <w:rPr>
          <w:rFonts w:ascii="Helvetica" w:hAnsi="Helvetica" w:cs="Helvetica"/>
          <w:sz w:val="22"/>
          <w:szCs w:val="22"/>
        </w:rPr>
      </w:pPr>
    </w:p>
    <w:p w14:paraId="4B8E06AF" w14:textId="40539417" w:rsidR="0030237D" w:rsidRPr="00F36F60" w:rsidRDefault="0030237D" w:rsidP="0030237D">
      <w:pPr>
        <w:spacing w:before="0" w:after="0" w:line="240" w:lineRule="auto"/>
        <w:jc w:val="both"/>
        <w:rPr>
          <w:rFonts w:ascii="Helvetica" w:eastAsia="Times New Roman" w:hAnsi="Helvetica" w:cs="Helvetica"/>
          <w:spacing w:val="-5"/>
          <w:sz w:val="22"/>
          <w:szCs w:val="22"/>
        </w:rPr>
      </w:pPr>
      <w:r w:rsidRPr="00F36F60">
        <w:rPr>
          <w:rFonts w:ascii="Helvetica" w:hAnsi="Helvetica" w:cs="Helvetica"/>
          <w:sz w:val="22"/>
          <w:szCs w:val="22"/>
        </w:rPr>
        <w:br w:type="page"/>
      </w:r>
    </w:p>
    <w:p w14:paraId="78667291" w14:textId="77777777" w:rsidR="002A6D67" w:rsidRPr="002A6D67" w:rsidRDefault="002A6D67" w:rsidP="002A6D67">
      <w:pPr>
        <w:pStyle w:val="NormalWeb"/>
        <w:shd w:val="clear" w:color="auto" w:fill="FFFFFF"/>
        <w:spacing w:before="0" w:beforeAutospacing="0" w:after="150" w:afterAutospacing="0"/>
        <w:jc w:val="center"/>
        <w:rPr>
          <w:rFonts w:ascii="Helvetica" w:hAnsi="Helvetica" w:cs="Helvetica"/>
          <w:b/>
          <w:bCs/>
        </w:rPr>
      </w:pPr>
      <w:r w:rsidRPr="002A6D67">
        <w:rPr>
          <w:rFonts w:ascii="Helvetica" w:hAnsi="Helvetica" w:cs="Helvetica"/>
          <w:b/>
          <w:bCs/>
        </w:rPr>
        <w:lastRenderedPageBreak/>
        <w:t>Precios vigentes a partir del 4 de noviembre del 2023</w:t>
      </w:r>
    </w:p>
    <w:p w14:paraId="0D46124D" w14:textId="364596BA" w:rsidR="002A6D67" w:rsidRPr="002A6D67" w:rsidRDefault="002A6D67" w:rsidP="002A6D67">
      <w:pPr>
        <w:pStyle w:val="NormalWeb"/>
        <w:shd w:val="clear" w:color="auto" w:fill="FFFFFF"/>
        <w:spacing w:before="0" w:beforeAutospacing="0" w:after="150" w:afterAutospacing="0"/>
        <w:jc w:val="center"/>
        <w:rPr>
          <w:rFonts w:ascii="Helvetica" w:hAnsi="Helvetica" w:cs="Helvetica"/>
          <w:b/>
          <w:bCs/>
        </w:rPr>
      </w:pPr>
      <w:r w:rsidRPr="002A6D67">
        <w:rPr>
          <w:rFonts w:ascii="Helvetica" w:hAnsi="Helvetica" w:cs="Helvetica"/>
          <w:b/>
          <w:bCs/>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2A6D67" w:rsidRPr="002A6D67" w14:paraId="1327739A" w14:textId="77777777" w:rsidTr="002A6D67">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38BD8F"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auto" w:fill="002060"/>
            <w:noWrap/>
            <w:vAlign w:val="center"/>
            <w:hideMark/>
          </w:tcPr>
          <w:p w14:paraId="1FCCE986" w14:textId="77777777" w:rsidR="002A6D67" w:rsidRPr="002A6D67" w:rsidRDefault="002A6D67" w:rsidP="00EF3A8F">
            <w:pPr>
              <w:spacing w:before="0" w:after="0" w:line="240" w:lineRule="auto"/>
              <w:jc w:val="center"/>
              <w:rPr>
                <w:rFonts w:ascii="Helvetica" w:eastAsia="Times New Roman" w:hAnsi="Helvetica" w:cs="Helvetica"/>
                <w:color w:val="FFFFFF"/>
                <w:sz w:val="18"/>
                <w:szCs w:val="18"/>
                <w:lang w:eastAsia="es-CO"/>
              </w:rPr>
            </w:pPr>
            <w:r w:rsidRPr="002A6D67">
              <w:rPr>
                <w:rFonts w:ascii="Helvetica" w:eastAsia="Times New Roman" w:hAnsi="Helvetica" w:cs="Helvetica"/>
                <w:color w:val="FFFFFF"/>
                <w:sz w:val="18"/>
                <w:szCs w:val="18"/>
                <w:lang w:eastAsia="es-CO"/>
              </w:rPr>
              <w:t>Vigencia 4 de noviembre del 2023</w:t>
            </w:r>
          </w:p>
        </w:tc>
      </w:tr>
      <w:tr w:rsidR="002A6D67" w:rsidRPr="002A6D67" w14:paraId="537ABDF5" w14:textId="77777777" w:rsidTr="002A6D6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A9E14"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p>
        </w:tc>
        <w:tc>
          <w:tcPr>
            <w:tcW w:w="2552" w:type="dxa"/>
            <w:tcBorders>
              <w:top w:val="nil"/>
              <w:left w:val="nil"/>
              <w:bottom w:val="single" w:sz="4" w:space="0" w:color="auto"/>
              <w:right w:val="single" w:sz="4" w:space="0" w:color="auto"/>
            </w:tcBorders>
            <w:shd w:val="clear" w:color="auto" w:fill="F2F2F2"/>
            <w:noWrap/>
            <w:vAlign w:val="center"/>
            <w:hideMark/>
          </w:tcPr>
          <w:p w14:paraId="3FDF5BE1" w14:textId="77777777" w:rsidR="002A6D67" w:rsidRPr="002A6D67" w:rsidRDefault="002A6D67">
            <w:pPr>
              <w:spacing w:before="0" w:after="0" w:line="240" w:lineRule="auto"/>
              <w:rPr>
                <w:rFonts w:ascii="Helvetica" w:eastAsia="Times New Roman" w:hAnsi="Helvetica" w:cs="Helvetica"/>
                <w:b/>
                <w:bCs/>
                <w:color w:val="000000"/>
                <w:sz w:val="18"/>
                <w:szCs w:val="18"/>
                <w:lang w:eastAsia="es-CO"/>
              </w:rPr>
            </w:pPr>
            <w:r w:rsidRPr="002A6D67">
              <w:rPr>
                <w:rFonts w:ascii="Helvetica" w:eastAsia="Times New Roman" w:hAnsi="Helvetica" w:cs="Helvetica"/>
                <w:b/>
                <w:bCs/>
                <w:color w:val="000000"/>
                <w:sz w:val="18"/>
                <w:szCs w:val="18"/>
                <w:lang w:eastAsia="es-CO"/>
              </w:rPr>
              <w:t>Gasolina MC ($/gal)</w:t>
            </w:r>
          </w:p>
        </w:tc>
        <w:tc>
          <w:tcPr>
            <w:tcW w:w="2529" w:type="dxa"/>
            <w:tcBorders>
              <w:top w:val="nil"/>
              <w:left w:val="nil"/>
              <w:bottom w:val="single" w:sz="4" w:space="0" w:color="auto"/>
              <w:right w:val="single" w:sz="4" w:space="0" w:color="auto"/>
            </w:tcBorders>
            <w:shd w:val="clear" w:color="auto" w:fill="F2F2F2"/>
            <w:noWrap/>
            <w:vAlign w:val="center"/>
            <w:hideMark/>
          </w:tcPr>
          <w:p w14:paraId="76D48EE4" w14:textId="77777777" w:rsidR="002A6D67" w:rsidRPr="002A6D67" w:rsidRDefault="002A6D67">
            <w:pPr>
              <w:spacing w:before="0" w:after="0" w:line="240" w:lineRule="auto"/>
              <w:rPr>
                <w:rFonts w:ascii="Helvetica" w:eastAsia="Times New Roman" w:hAnsi="Helvetica" w:cs="Helvetica"/>
                <w:b/>
                <w:bCs/>
                <w:color w:val="000000"/>
                <w:sz w:val="18"/>
                <w:szCs w:val="18"/>
                <w:lang w:eastAsia="es-CO"/>
              </w:rPr>
            </w:pPr>
            <w:r w:rsidRPr="002A6D67">
              <w:rPr>
                <w:rFonts w:ascii="Helvetica" w:eastAsia="Times New Roman" w:hAnsi="Helvetica" w:cs="Helvetica"/>
                <w:b/>
                <w:bCs/>
                <w:color w:val="000000"/>
                <w:sz w:val="18"/>
                <w:szCs w:val="18"/>
                <w:lang w:eastAsia="es-CO"/>
              </w:rPr>
              <w:t>ACPM ($/gal)</w:t>
            </w:r>
          </w:p>
        </w:tc>
      </w:tr>
      <w:tr w:rsidR="002A6D67" w:rsidRPr="002A6D67" w14:paraId="070C4082"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26D64708"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Bogotá</w:t>
            </w:r>
          </w:p>
        </w:tc>
        <w:tc>
          <w:tcPr>
            <w:tcW w:w="2552" w:type="dxa"/>
            <w:tcBorders>
              <w:top w:val="nil"/>
              <w:left w:val="nil"/>
              <w:bottom w:val="single" w:sz="4" w:space="0" w:color="auto"/>
              <w:right w:val="single" w:sz="4" w:space="0" w:color="auto"/>
            </w:tcBorders>
            <w:noWrap/>
            <w:vAlign w:val="center"/>
            <w:hideMark/>
          </w:tcPr>
          <w:p w14:paraId="056FCE62"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14.973 </w:t>
            </w:r>
          </w:p>
        </w:tc>
        <w:tc>
          <w:tcPr>
            <w:tcW w:w="2529" w:type="dxa"/>
            <w:tcBorders>
              <w:top w:val="nil"/>
              <w:left w:val="nil"/>
              <w:bottom w:val="single" w:sz="4" w:space="0" w:color="auto"/>
              <w:right w:val="single" w:sz="4" w:space="0" w:color="auto"/>
            </w:tcBorders>
            <w:noWrap/>
            <w:vAlign w:val="center"/>
            <w:hideMark/>
          </w:tcPr>
          <w:p w14:paraId="2D4D3C3A"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9.357 </w:t>
            </w:r>
          </w:p>
        </w:tc>
      </w:tr>
      <w:tr w:rsidR="002A6D67" w:rsidRPr="002A6D67" w14:paraId="44293655"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7C1380FB"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Medellín</w:t>
            </w:r>
          </w:p>
        </w:tc>
        <w:tc>
          <w:tcPr>
            <w:tcW w:w="2552" w:type="dxa"/>
            <w:tcBorders>
              <w:top w:val="nil"/>
              <w:left w:val="nil"/>
              <w:bottom w:val="single" w:sz="4" w:space="0" w:color="auto"/>
              <w:right w:val="single" w:sz="4" w:space="0" w:color="auto"/>
            </w:tcBorders>
            <w:noWrap/>
            <w:vAlign w:val="center"/>
            <w:hideMark/>
          </w:tcPr>
          <w:p w14:paraId="13482183"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14.906 </w:t>
            </w:r>
          </w:p>
        </w:tc>
        <w:tc>
          <w:tcPr>
            <w:tcW w:w="2529" w:type="dxa"/>
            <w:tcBorders>
              <w:top w:val="nil"/>
              <w:left w:val="nil"/>
              <w:bottom w:val="single" w:sz="4" w:space="0" w:color="auto"/>
              <w:right w:val="single" w:sz="4" w:space="0" w:color="auto"/>
            </w:tcBorders>
            <w:noWrap/>
            <w:vAlign w:val="center"/>
            <w:hideMark/>
          </w:tcPr>
          <w:p w14:paraId="513A49AC"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9.372 </w:t>
            </w:r>
          </w:p>
        </w:tc>
      </w:tr>
      <w:tr w:rsidR="002A6D67" w:rsidRPr="002A6D67" w14:paraId="506F254C"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7C163577"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Cali</w:t>
            </w:r>
          </w:p>
        </w:tc>
        <w:tc>
          <w:tcPr>
            <w:tcW w:w="2552" w:type="dxa"/>
            <w:tcBorders>
              <w:top w:val="nil"/>
              <w:left w:val="nil"/>
              <w:bottom w:val="single" w:sz="4" w:space="0" w:color="auto"/>
              <w:right w:val="single" w:sz="4" w:space="0" w:color="auto"/>
            </w:tcBorders>
            <w:noWrap/>
            <w:vAlign w:val="center"/>
            <w:hideMark/>
          </w:tcPr>
          <w:p w14:paraId="7B0E0738"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14.997 </w:t>
            </w:r>
          </w:p>
        </w:tc>
        <w:tc>
          <w:tcPr>
            <w:tcW w:w="2529" w:type="dxa"/>
            <w:tcBorders>
              <w:top w:val="nil"/>
              <w:left w:val="nil"/>
              <w:bottom w:val="single" w:sz="4" w:space="0" w:color="auto"/>
              <w:right w:val="single" w:sz="4" w:space="0" w:color="auto"/>
            </w:tcBorders>
            <w:noWrap/>
            <w:vAlign w:val="center"/>
            <w:hideMark/>
          </w:tcPr>
          <w:p w14:paraId="6437EC3F"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9.484 </w:t>
            </w:r>
          </w:p>
        </w:tc>
      </w:tr>
      <w:tr w:rsidR="002A6D67" w:rsidRPr="002A6D67" w14:paraId="2B44E11A"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2F6AA7A"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Barranquilla</w:t>
            </w:r>
          </w:p>
        </w:tc>
        <w:tc>
          <w:tcPr>
            <w:tcW w:w="2552" w:type="dxa"/>
            <w:tcBorders>
              <w:top w:val="nil"/>
              <w:left w:val="nil"/>
              <w:bottom w:val="single" w:sz="4" w:space="0" w:color="auto"/>
              <w:right w:val="single" w:sz="4" w:space="0" w:color="auto"/>
            </w:tcBorders>
            <w:noWrap/>
            <w:vAlign w:val="center"/>
            <w:hideMark/>
          </w:tcPr>
          <w:p w14:paraId="5BF6EA4D"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14.644 </w:t>
            </w:r>
          </w:p>
        </w:tc>
        <w:tc>
          <w:tcPr>
            <w:tcW w:w="2529" w:type="dxa"/>
            <w:tcBorders>
              <w:top w:val="nil"/>
              <w:left w:val="nil"/>
              <w:bottom w:val="single" w:sz="4" w:space="0" w:color="auto"/>
              <w:right w:val="single" w:sz="4" w:space="0" w:color="auto"/>
            </w:tcBorders>
            <w:noWrap/>
            <w:vAlign w:val="center"/>
            <w:hideMark/>
          </w:tcPr>
          <w:p w14:paraId="2A877FF7"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9.060 </w:t>
            </w:r>
          </w:p>
        </w:tc>
      </w:tr>
      <w:tr w:rsidR="002A6D67" w:rsidRPr="002A6D67" w14:paraId="62432CEA"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C7C6908"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Cartagena</w:t>
            </w:r>
          </w:p>
        </w:tc>
        <w:tc>
          <w:tcPr>
            <w:tcW w:w="2552" w:type="dxa"/>
            <w:tcBorders>
              <w:top w:val="nil"/>
              <w:left w:val="nil"/>
              <w:bottom w:val="single" w:sz="4" w:space="0" w:color="auto"/>
              <w:right w:val="single" w:sz="4" w:space="0" w:color="auto"/>
            </w:tcBorders>
            <w:noWrap/>
            <w:vAlign w:val="center"/>
            <w:hideMark/>
          </w:tcPr>
          <w:p w14:paraId="1BD60F6E"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14.603 </w:t>
            </w:r>
          </w:p>
        </w:tc>
        <w:tc>
          <w:tcPr>
            <w:tcW w:w="2529" w:type="dxa"/>
            <w:tcBorders>
              <w:top w:val="nil"/>
              <w:left w:val="nil"/>
              <w:bottom w:val="single" w:sz="4" w:space="0" w:color="auto"/>
              <w:right w:val="single" w:sz="4" w:space="0" w:color="auto"/>
            </w:tcBorders>
            <w:noWrap/>
            <w:vAlign w:val="center"/>
            <w:hideMark/>
          </w:tcPr>
          <w:p w14:paraId="7E1AB949"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9.028 </w:t>
            </w:r>
          </w:p>
        </w:tc>
      </w:tr>
      <w:tr w:rsidR="002A6D67" w:rsidRPr="002A6D67" w14:paraId="48909D5C"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61EEF8A"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Montería</w:t>
            </w:r>
          </w:p>
        </w:tc>
        <w:tc>
          <w:tcPr>
            <w:tcW w:w="2552" w:type="dxa"/>
            <w:tcBorders>
              <w:top w:val="nil"/>
              <w:left w:val="nil"/>
              <w:bottom w:val="single" w:sz="4" w:space="0" w:color="auto"/>
              <w:right w:val="single" w:sz="4" w:space="0" w:color="auto"/>
            </w:tcBorders>
            <w:noWrap/>
            <w:vAlign w:val="center"/>
            <w:hideMark/>
          </w:tcPr>
          <w:p w14:paraId="2BD85581"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14.853 </w:t>
            </w:r>
          </w:p>
        </w:tc>
        <w:tc>
          <w:tcPr>
            <w:tcW w:w="2529" w:type="dxa"/>
            <w:tcBorders>
              <w:top w:val="nil"/>
              <w:left w:val="nil"/>
              <w:bottom w:val="single" w:sz="4" w:space="0" w:color="auto"/>
              <w:right w:val="single" w:sz="4" w:space="0" w:color="auto"/>
            </w:tcBorders>
            <w:noWrap/>
            <w:vAlign w:val="center"/>
            <w:hideMark/>
          </w:tcPr>
          <w:p w14:paraId="2554FD92"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9.278 </w:t>
            </w:r>
          </w:p>
        </w:tc>
      </w:tr>
      <w:tr w:rsidR="002A6D67" w:rsidRPr="002A6D67" w14:paraId="54562F07"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6EF1ABA9"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Bucaramanga</w:t>
            </w:r>
          </w:p>
        </w:tc>
        <w:tc>
          <w:tcPr>
            <w:tcW w:w="2552" w:type="dxa"/>
            <w:tcBorders>
              <w:top w:val="nil"/>
              <w:left w:val="nil"/>
              <w:bottom w:val="single" w:sz="4" w:space="0" w:color="auto"/>
              <w:right w:val="single" w:sz="4" w:space="0" w:color="auto"/>
            </w:tcBorders>
            <w:noWrap/>
            <w:vAlign w:val="center"/>
            <w:hideMark/>
          </w:tcPr>
          <w:p w14:paraId="4853590C"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14.734 </w:t>
            </w:r>
          </w:p>
        </w:tc>
        <w:tc>
          <w:tcPr>
            <w:tcW w:w="2529" w:type="dxa"/>
            <w:tcBorders>
              <w:top w:val="nil"/>
              <w:left w:val="nil"/>
              <w:bottom w:val="single" w:sz="4" w:space="0" w:color="auto"/>
              <w:right w:val="single" w:sz="4" w:space="0" w:color="auto"/>
            </w:tcBorders>
            <w:noWrap/>
            <w:vAlign w:val="center"/>
            <w:hideMark/>
          </w:tcPr>
          <w:p w14:paraId="408BF581"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9.125 </w:t>
            </w:r>
          </w:p>
        </w:tc>
      </w:tr>
      <w:tr w:rsidR="002A6D67" w:rsidRPr="002A6D67" w14:paraId="1CBB1A55"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956FF3B"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Villavicencio</w:t>
            </w:r>
          </w:p>
        </w:tc>
        <w:tc>
          <w:tcPr>
            <w:tcW w:w="2552" w:type="dxa"/>
            <w:tcBorders>
              <w:top w:val="nil"/>
              <w:left w:val="nil"/>
              <w:bottom w:val="single" w:sz="4" w:space="0" w:color="auto"/>
              <w:right w:val="single" w:sz="4" w:space="0" w:color="auto"/>
            </w:tcBorders>
            <w:noWrap/>
            <w:vAlign w:val="center"/>
            <w:hideMark/>
          </w:tcPr>
          <w:p w14:paraId="698A2C2F"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15.073 </w:t>
            </w:r>
          </w:p>
        </w:tc>
        <w:tc>
          <w:tcPr>
            <w:tcW w:w="2529" w:type="dxa"/>
            <w:tcBorders>
              <w:top w:val="nil"/>
              <w:left w:val="nil"/>
              <w:bottom w:val="single" w:sz="4" w:space="0" w:color="auto"/>
              <w:right w:val="single" w:sz="4" w:space="0" w:color="auto"/>
            </w:tcBorders>
            <w:noWrap/>
            <w:vAlign w:val="center"/>
            <w:hideMark/>
          </w:tcPr>
          <w:p w14:paraId="74CDF84A"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9.457 </w:t>
            </w:r>
          </w:p>
        </w:tc>
      </w:tr>
      <w:tr w:rsidR="002A6D67" w:rsidRPr="002A6D67" w14:paraId="3D6730DA"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0EDF4A3"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Pereira</w:t>
            </w:r>
          </w:p>
        </w:tc>
        <w:tc>
          <w:tcPr>
            <w:tcW w:w="2552" w:type="dxa"/>
            <w:tcBorders>
              <w:top w:val="nil"/>
              <w:left w:val="nil"/>
              <w:bottom w:val="single" w:sz="4" w:space="0" w:color="auto"/>
              <w:right w:val="single" w:sz="4" w:space="0" w:color="auto"/>
            </w:tcBorders>
            <w:noWrap/>
            <w:vAlign w:val="center"/>
            <w:hideMark/>
          </w:tcPr>
          <w:p w14:paraId="53CEEF2D"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14.941 </w:t>
            </w:r>
          </w:p>
        </w:tc>
        <w:tc>
          <w:tcPr>
            <w:tcW w:w="2529" w:type="dxa"/>
            <w:tcBorders>
              <w:top w:val="nil"/>
              <w:left w:val="nil"/>
              <w:bottom w:val="single" w:sz="4" w:space="0" w:color="auto"/>
              <w:right w:val="single" w:sz="4" w:space="0" w:color="auto"/>
            </w:tcBorders>
            <w:noWrap/>
            <w:vAlign w:val="center"/>
            <w:hideMark/>
          </w:tcPr>
          <w:p w14:paraId="44BA62A5"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9.429 </w:t>
            </w:r>
          </w:p>
        </w:tc>
      </w:tr>
      <w:tr w:rsidR="002A6D67" w:rsidRPr="002A6D67" w14:paraId="31BEA52F"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3AC9FE07"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Manizales</w:t>
            </w:r>
          </w:p>
        </w:tc>
        <w:tc>
          <w:tcPr>
            <w:tcW w:w="2552" w:type="dxa"/>
            <w:tcBorders>
              <w:top w:val="nil"/>
              <w:left w:val="nil"/>
              <w:bottom w:val="single" w:sz="4" w:space="0" w:color="auto"/>
              <w:right w:val="single" w:sz="4" w:space="0" w:color="auto"/>
            </w:tcBorders>
            <w:noWrap/>
            <w:vAlign w:val="center"/>
            <w:hideMark/>
          </w:tcPr>
          <w:p w14:paraId="72231C6B"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14.957 </w:t>
            </w:r>
          </w:p>
        </w:tc>
        <w:tc>
          <w:tcPr>
            <w:tcW w:w="2529" w:type="dxa"/>
            <w:tcBorders>
              <w:top w:val="nil"/>
              <w:left w:val="nil"/>
              <w:bottom w:val="single" w:sz="4" w:space="0" w:color="auto"/>
              <w:right w:val="single" w:sz="4" w:space="0" w:color="auto"/>
            </w:tcBorders>
            <w:noWrap/>
            <w:vAlign w:val="center"/>
            <w:hideMark/>
          </w:tcPr>
          <w:p w14:paraId="480638D2"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9.417 </w:t>
            </w:r>
          </w:p>
        </w:tc>
      </w:tr>
      <w:tr w:rsidR="002A6D67" w:rsidRPr="002A6D67" w14:paraId="2A9BD428"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79D3CE31"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Ibagué</w:t>
            </w:r>
          </w:p>
        </w:tc>
        <w:tc>
          <w:tcPr>
            <w:tcW w:w="2552" w:type="dxa"/>
            <w:tcBorders>
              <w:top w:val="nil"/>
              <w:left w:val="nil"/>
              <w:bottom w:val="single" w:sz="4" w:space="0" w:color="auto"/>
              <w:right w:val="single" w:sz="4" w:space="0" w:color="auto"/>
            </w:tcBorders>
            <w:noWrap/>
            <w:vAlign w:val="center"/>
            <w:hideMark/>
          </w:tcPr>
          <w:p w14:paraId="4D9A3100"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14.908 </w:t>
            </w:r>
          </w:p>
        </w:tc>
        <w:tc>
          <w:tcPr>
            <w:tcW w:w="2529" w:type="dxa"/>
            <w:tcBorders>
              <w:top w:val="nil"/>
              <w:left w:val="nil"/>
              <w:bottom w:val="single" w:sz="4" w:space="0" w:color="auto"/>
              <w:right w:val="single" w:sz="4" w:space="0" w:color="auto"/>
            </w:tcBorders>
            <w:noWrap/>
            <w:vAlign w:val="center"/>
            <w:hideMark/>
          </w:tcPr>
          <w:p w14:paraId="2F56A8F0"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9.348 </w:t>
            </w:r>
          </w:p>
        </w:tc>
      </w:tr>
      <w:tr w:rsidR="002A6D67" w:rsidRPr="002A6D67" w14:paraId="3B6B9F6E"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3726DB9F"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Pasto</w:t>
            </w:r>
          </w:p>
        </w:tc>
        <w:tc>
          <w:tcPr>
            <w:tcW w:w="2552" w:type="dxa"/>
            <w:tcBorders>
              <w:top w:val="nil"/>
              <w:left w:val="nil"/>
              <w:bottom w:val="single" w:sz="4" w:space="0" w:color="auto"/>
              <w:right w:val="single" w:sz="4" w:space="0" w:color="auto"/>
            </w:tcBorders>
            <w:noWrap/>
            <w:vAlign w:val="center"/>
            <w:hideMark/>
          </w:tcPr>
          <w:p w14:paraId="68C43B7A"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12.716 </w:t>
            </w:r>
          </w:p>
        </w:tc>
        <w:tc>
          <w:tcPr>
            <w:tcW w:w="2529" w:type="dxa"/>
            <w:tcBorders>
              <w:top w:val="nil"/>
              <w:left w:val="nil"/>
              <w:bottom w:val="single" w:sz="4" w:space="0" w:color="auto"/>
              <w:right w:val="single" w:sz="4" w:space="0" w:color="auto"/>
            </w:tcBorders>
            <w:noWrap/>
            <w:vAlign w:val="center"/>
            <w:hideMark/>
          </w:tcPr>
          <w:p w14:paraId="4B2A938F"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8.396 </w:t>
            </w:r>
          </w:p>
        </w:tc>
      </w:tr>
      <w:tr w:rsidR="002A6D67" w:rsidRPr="002A6D67" w14:paraId="5604D0F7" w14:textId="77777777" w:rsidTr="002A6D67">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2AD00791"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Cúcuta</w:t>
            </w:r>
          </w:p>
        </w:tc>
        <w:tc>
          <w:tcPr>
            <w:tcW w:w="2552" w:type="dxa"/>
            <w:tcBorders>
              <w:top w:val="nil"/>
              <w:left w:val="nil"/>
              <w:bottom w:val="single" w:sz="4" w:space="0" w:color="auto"/>
              <w:right w:val="single" w:sz="4" w:space="0" w:color="auto"/>
            </w:tcBorders>
            <w:noWrap/>
            <w:vAlign w:val="center"/>
            <w:hideMark/>
          </w:tcPr>
          <w:p w14:paraId="09BF1FE5"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13.025 </w:t>
            </w:r>
          </w:p>
        </w:tc>
        <w:tc>
          <w:tcPr>
            <w:tcW w:w="2529" w:type="dxa"/>
            <w:tcBorders>
              <w:top w:val="nil"/>
              <w:left w:val="nil"/>
              <w:bottom w:val="single" w:sz="4" w:space="0" w:color="auto"/>
              <w:right w:val="single" w:sz="4" w:space="0" w:color="auto"/>
            </w:tcBorders>
            <w:noWrap/>
            <w:vAlign w:val="center"/>
            <w:hideMark/>
          </w:tcPr>
          <w:p w14:paraId="04373BFB"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7.089 </w:t>
            </w:r>
          </w:p>
        </w:tc>
      </w:tr>
      <w:tr w:rsidR="002A6D67" w:rsidRPr="002A6D67" w14:paraId="60141CE8" w14:textId="77777777" w:rsidTr="002A6D67">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11D18A32" w14:textId="77777777" w:rsidR="002A6D67" w:rsidRPr="002A6D67" w:rsidRDefault="002A6D67">
            <w:pPr>
              <w:spacing w:before="0" w:after="0" w:line="240" w:lineRule="auto"/>
              <w:rPr>
                <w:rFonts w:ascii="Helvetica" w:eastAsia="Times New Roman" w:hAnsi="Helvetica" w:cs="Helvetica"/>
                <w:color w:val="000000"/>
                <w:sz w:val="18"/>
                <w:szCs w:val="18"/>
                <w:lang w:eastAsia="es-CO"/>
              </w:rPr>
            </w:pPr>
            <w:r w:rsidRPr="002A6D67">
              <w:rPr>
                <w:rFonts w:ascii="Helvetica" w:eastAsia="Times New Roman" w:hAnsi="Helvetica" w:cs="Helvetica"/>
                <w:color w:val="000000"/>
                <w:sz w:val="18"/>
                <w:szCs w:val="18"/>
                <w:lang w:eastAsia="es-CO"/>
              </w:rPr>
              <w:t xml:space="preserve">Promedio PVP precio </w:t>
            </w:r>
            <w:r w:rsidRPr="002A6D67">
              <w:rPr>
                <w:rFonts w:ascii="Helvetica" w:eastAsia="Times New Roman" w:hAnsi="Helvetica" w:cs="Helvetica"/>
                <w:color w:val="000000"/>
                <w:sz w:val="18"/>
                <w:szCs w:val="18"/>
                <w:lang w:eastAsia="es-CO"/>
              </w:rPr>
              <w:br/>
            </w:r>
            <w:r w:rsidRPr="002A6D67">
              <w:rPr>
                <w:rFonts w:ascii="Helvetica" w:eastAsia="Times New Roman" w:hAnsi="Helvetica" w:cs="Helvetica"/>
                <w:b/>
                <w:bCs/>
                <w:color w:val="000000"/>
                <w:sz w:val="18"/>
                <w:szCs w:val="18"/>
                <w:lang w:eastAsia="es-CO"/>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2EAF5A4F" w14:textId="77777777" w:rsidR="002A6D67" w:rsidRPr="002A6D67" w:rsidRDefault="002A6D67">
            <w:pPr>
              <w:spacing w:before="0" w:after="0" w:line="240" w:lineRule="auto"/>
              <w:rPr>
                <w:rFonts w:ascii="Helvetica" w:eastAsia="Times New Roman" w:hAnsi="Helvetica" w:cs="Helvetica"/>
                <w:b/>
                <w:bCs/>
                <w:color w:val="000000"/>
                <w:sz w:val="18"/>
                <w:szCs w:val="18"/>
                <w:lang w:eastAsia="es-CO"/>
              </w:rPr>
            </w:pPr>
            <w:r w:rsidRPr="002A6D67">
              <w:rPr>
                <w:rFonts w:ascii="Helvetica" w:eastAsia="Times New Roman" w:hAnsi="Helvetica" w:cs="Helvetica"/>
                <w:b/>
                <w:bCs/>
                <w:color w:val="000000"/>
                <w:sz w:val="18"/>
                <w:szCs w:val="18"/>
                <w:lang w:eastAsia="es-CO"/>
              </w:rPr>
              <w:t xml:space="preserve">14.564 </w:t>
            </w:r>
          </w:p>
        </w:tc>
        <w:tc>
          <w:tcPr>
            <w:tcW w:w="2529" w:type="dxa"/>
            <w:tcBorders>
              <w:top w:val="nil"/>
              <w:left w:val="nil"/>
              <w:bottom w:val="single" w:sz="4" w:space="0" w:color="auto"/>
              <w:right w:val="single" w:sz="4" w:space="0" w:color="auto"/>
            </w:tcBorders>
            <w:shd w:val="clear" w:color="auto" w:fill="DEEAF6"/>
            <w:noWrap/>
            <w:vAlign w:val="center"/>
            <w:hideMark/>
          </w:tcPr>
          <w:p w14:paraId="182860BE" w14:textId="77777777" w:rsidR="002A6D67" w:rsidRPr="002A6D67" w:rsidRDefault="002A6D67">
            <w:pPr>
              <w:spacing w:before="0" w:after="0" w:line="240" w:lineRule="auto"/>
              <w:rPr>
                <w:rFonts w:ascii="Helvetica" w:eastAsia="Times New Roman" w:hAnsi="Helvetica" w:cs="Helvetica"/>
                <w:b/>
                <w:bCs/>
                <w:color w:val="000000"/>
                <w:sz w:val="18"/>
                <w:szCs w:val="18"/>
                <w:lang w:eastAsia="es-CO"/>
              </w:rPr>
            </w:pPr>
            <w:r w:rsidRPr="002A6D67">
              <w:rPr>
                <w:rFonts w:ascii="Helvetica" w:eastAsia="Times New Roman" w:hAnsi="Helvetica" w:cs="Helvetica"/>
                <w:b/>
                <w:bCs/>
                <w:color w:val="000000"/>
                <w:sz w:val="18"/>
                <w:szCs w:val="18"/>
                <w:lang w:eastAsia="es-CO"/>
              </w:rPr>
              <w:t xml:space="preserve">9.065 </w:t>
            </w:r>
          </w:p>
        </w:tc>
      </w:tr>
    </w:tbl>
    <w:p w14:paraId="7EA5DFD9" w14:textId="77777777" w:rsidR="002A6D67" w:rsidRPr="002A6D67" w:rsidRDefault="002A6D67" w:rsidP="002A6D67">
      <w:pPr>
        <w:spacing w:before="0" w:after="0"/>
        <w:jc w:val="both"/>
        <w:rPr>
          <w:rFonts w:ascii="Helvetica" w:eastAsia="Arial" w:hAnsi="Helvetica" w:cs="Helvetica"/>
        </w:rPr>
      </w:pPr>
    </w:p>
    <w:p w14:paraId="65605ECE" w14:textId="77777777" w:rsidR="0030237D" w:rsidRPr="00F36F60" w:rsidRDefault="0030237D" w:rsidP="0030237D">
      <w:pPr>
        <w:spacing w:before="0" w:after="0"/>
        <w:rPr>
          <w:rFonts w:ascii="Helvetica" w:hAnsi="Helvetica" w:cs="Helvetica"/>
          <w:b/>
          <w:bCs/>
          <w:sz w:val="22"/>
          <w:szCs w:val="22"/>
        </w:rPr>
      </w:pPr>
      <w:r w:rsidRPr="00F36F60">
        <w:rPr>
          <w:rFonts w:ascii="Helvetica" w:hAnsi="Helvetica" w:cs="Helvetica"/>
          <w:b/>
          <w:bCs/>
          <w:sz w:val="22"/>
          <w:szCs w:val="22"/>
        </w:rPr>
        <w:br w:type="page"/>
      </w:r>
    </w:p>
    <w:p w14:paraId="19B56EF3" w14:textId="62D0EF52" w:rsidR="00DC0794" w:rsidRPr="00D24CD9" w:rsidRDefault="00DC0794" w:rsidP="00DC0794">
      <w:pPr>
        <w:autoSpaceDE w:val="0"/>
        <w:autoSpaceDN w:val="0"/>
        <w:adjustRightInd w:val="0"/>
        <w:spacing w:before="0" w:after="0"/>
        <w:rPr>
          <w:rFonts w:ascii="Helvetica" w:hAnsi="Helvetica" w:cs="Helvetica"/>
          <w:b/>
          <w:bCs/>
          <w:highlight w:val="yellow"/>
        </w:rPr>
      </w:pPr>
      <w:r w:rsidRPr="00D24CD9">
        <w:rPr>
          <w:rFonts w:ascii="Helvetica" w:hAnsi="Helvetica" w:cs="Helvetica"/>
          <w:b/>
          <w:bCs/>
        </w:rPr>
        <w:lastRenderedPageBreak/>
        <w:t>Documento técnico de la estructura de precios de gasolina motor corriente y ACPM, así como de sus respectivas mezclas con biocombustibles, en virtud de lo establecido en la Resolución MME 40112 del 12 de abril de 2021, la Resolución CREG 104 001 de 2022 y demás modificatorias que regirán a partir del 4 de noviembre del 2023.</w:t>
      </w:r>
    </w:p>
    <w:p w14:paraId="606E177F" w14:textId="59EC8C58" w:rsidR="00DC0794" w:rsidRPr="00D24CD9" w:rsidRDefault="00DC0794" w:rsidP="00DC0794">
      <w:pPr>
        <w:autoSpaceDE w:val="0"/>
        <w:autoSpaceDN w:val="0"/>
        <w:adjustRightInd w:val="0"/>
        <w:spacing w:before="0" w:after="0"/>
        <w:rPr>
          <w:rFonts w:ascii="Helvetica" w:hAnsi="Helvetica" w:cs="Helvetica"/>
          <w:b/>
          <w:bCs/>
        </w:rPr>
      </w:pPr>
    </w:p>
    <w:p w14:paraId="7A885E51" w14:textId="77777777" w:rsidR="00DC0794" w:rsidRPr="00D24CD9" w:rsidRDefault="00DC0794" w:rsidP="00DC0794">
      <w:pPr>
        <w:autoSpaceDE w:val="0"/>
        <w:autoSpaceDN w:val="0"/>
        <w:adjustRightInd w:val="0"/>
        <w:spacing w:before="0" w:after="0"/>
        <w:rPr>
          <w:rFonts w:ascii="Helvetica" w:hAnsi="Helvetica" w:cs="Helvetica"/>
        </w:rPr>
      </w:pPr>
      <w:r w:rsidRPr="00D24CD9">
        <w:rPr>
          <w:rFonts w:ascii="Helvetica" w:hAnsi="Helvetica" w:cs="Helvetica"/>
        </w:rPr>
        <w:t>La Comisión de Regulación de Energía y Gas (CREG) de conformidad con lo establecido en el artículo 1º de la Resolución 40639 de 2023, informa que, a partir del 4 de noviembre del 2023, el Ingreso al Productor previsto en la estructura de precios de la gasolina motor corriente será de nueve mil novecientos catorce pesos con dieciséis centavos ($9,914.16) M/Cte. por galón.</w:t>
      </w:r>
    </w:p>
    <w:p w14:paraId="5C973AF1" w14:textId="77777777" w:rsidR="00DC0794" w:rsidRPr="00D24CD9" w:rsidRDefault="00DC0794" w:rsidP="00DC0794">
      <w:pPr>
        <w:autoSpaceDE w:val="0"/>
        <w:autoSpaceDN w:val="0"/>
        <w:adjustRightInd w:val="0"/>
        <w:spacing w:before="0" w:after="0"/>
        <w:rPr>
          <w:rFonts w:ascii="Helvetica" w:hAnsi="Helvetica" w:cs="Helvetica"/>
        </w:rPr>
      </w:pPr>
    </w:p>
    <w:p w14:paraId="30BD1096" w14:textId="77777777" w:rsidR="00DC0794" w:rsidRPr="00D24CD9" w:rsidRDefault="00DC0794" w:rsidP="00DC0794">
      <w:pPr>
        <w:autoSpaceDE w:val="0"/>
        <w:autoSpaceDN w:val="0"/>
        <w:adjustRightInd w:val="0"/>
        <w:spacing w:before="0" w:after="0"/>
        <w:rPr>
          <w:rFonts w:ascii="Helvetica" w:hAnsi="Helvetica" w:cs="Helvetica"/>
        </w:rPr>
      </w:pPr>
      <w:r w:rsidRPr="00D24CD9">
        <w:rPr>
          <w:rFonts w:ascii="Helvetica" w:hAnsi="Helvetica" w:cs="Helvetica"/>
        </w:rPr>
        <w:t>Así mismo, y según lo establecido en el artículo 2º de la Resolución 40639 de 2023, se informa que, a partir del 4 de noviembre del 2023, el Ingreso al Productor previsto en la estructura de precios del ACPM será de cuatro mil setecientos setenta y tres pesos con cinco centavos ($4,773.05) M/Cte. por galón.</w:t>
      </w:r>
    </w:p>
    <w:p w14:paraId="60320695" w14:textId="77777777" w:rsidR="00DC0794" w:rsidRPr="00D24CD9" w:rsidRDefault="00DC0794" w:rsidP="00DC0794">
      <w:pPr>
        <w:autoSpaceDE w:val="0"/>
        <w:autoSpaceDN w:val="0"/>
        <w:adjustRightInd w:val="0"/>
        <w:spacing w:before="0" w:after="0"/>
        <w:rPr>
          <w:rFonts w:ascii="Helvetica" w:hAnsi="Helvetica" w:cs="Helvetica"/>
        </w:rPr>
      </w:pPr>
    </w:p>
    <w:p w14:paraId="7A3375E4" w14:textId="4171BB02" w:rsidR="00DC0794" w:rsidRPr="00D24CD9" w:rsidRDefault="00DC0794" w:rsidP="00DC0794">
      <w:pPr>
        <w:autoSpaceDE w:val="0"/>
        <w:autoSpaceDN w:val="0"/>
        <w:adjustRightInd w:val="0"/>
        <w:spacing w:before="0" w:after="0"/>
        <w:rPr>
          <w:rFonts w:ascii="Helvetica" w:hAnsi="Helvetica" w:cs="Helvetica"/>
        </w:rPr>
      </w:pPr>
      <w:r w:rsidRPr="00D24CD9">
        <w:rPr>
          <w:rFonts w:ascii="Helvetica" w:hAnsi="Helvetica" w:cs="Helvetica"/>
        </w:rPr>
        <w:t xml:space="preserve">Además, conforme la Resolución 40640 de 2023, a partir del 4 de noviembre del 2023 el ingreso al productor del alcohol carburante que regirá será de catorce mil trescientos setenta y tres pesos ($14,373.00) M/Cte. por galón y, Por su parte, el ingreso al productor del biocombustible para uso en motores diésel será de </w:t>
      </w:r>
      <w:r w:rsidR="003C106C" w:rsidRPr="00D24CD9">
        <w:rPr>
          <w:rFonts w:ascii="Helvetica" w:hAnsi="Helvetica" w:cs="Helvetica"/>
        </w:rPr>
        <w:t>dieciséis</w:t>
      </w:r>
      <w:r w:rsidRPr="00D24CD9">
        <w:rPr>
          <w:rFonts w:ascii="Helvetica" w:hAnsi="Helvetica" w:cs="Helvetica"/>
        </w:rPr>
        <w:t xml:space="preserve"> mil trescientos cuarenta y nueve pesos con treinta y siete centavos ($16,349.37) M/Cte.</w:t>
      </w:r>
    </w:p>
    <w:p w14:paraId="233E9E05" w14:textId="77777777" w:rsidR="00DC0794" w:rsidRPr="00D24CD9" w:rsidRDefault="00DC0794" w:rsidP="00DC0794">
      <w:pPr>
        <w:autoSpaceDE w:val="0"/>
        <w:autoSpaceDN w:val="0"/>
        <w:adjustRightInd w:val="0"/>
        <w:spacing w:before="0" w:after="0"/>
        <w:rPr>
          <w:rFonts w:ascii="Helvetica" w:hAnsi="Helvetica" w:cs="Helvetica"/>
        </w:rPr>
      </w:pPr>
    </w:p>
    <w:p w14:paraId="3440F8C3" w14:textId="77777777" w:rsidR="00DC0794" w:rsidRPr="00D24CD9" w:rsidRDefault="00DC0794" w:rsidP="00DC0794">
      <w:pPr>
        <w:autoSpaceDE w:val="0"/>
        <w:autoSpaceDN w:val="0"/>
        <w:adjustRightInd w:val="0"/>
        <w:spacing w:before="0" w:after="0"/>
        <w:rPr>
          <w:rFonts w:ascii="Helvetica" w:hAnsi="Helvetica" w:cs="Helvetica"/>
        </w:rPr>
      </w:pPr>
      <w:r w:rsidRPr="00D24CD9">
        <w:rPr>
          <w:rFonts w:ascii="Helvetica" w:hAnsi="Helvetica" w:cs="Helvetica"/>
        </w:rPr>
        <w:t xml:space="preserve">Por otra parte, de acuerdo con la Ley 2093 del 29 de junio de 2021, deben considerarse los criterios para la base gravable y el valor de la tarifa tanto para el cálculo de la sobretasa de la gasolina motor corriente como del ACPM-Diésel. </w:t>
      </w:r>
    </w:p>
    <w:p w14:paraId="3B942D9A" w14:textId="77777777" w:rsidR="00DC0794" w:rsidRPr="00D24CD9" w:rsidRDefault="00DC0794" w:rsidP="00DC0794">
      <w:pPr>
        <w:autoSpaceDE w:val="0"/>
        <w:autoSpaceDN w:val="0"/>
        <w:adjustRightInd w:val="0"/>
        <w:spacing w:before="0" w:after="0"/>
        <w:rPr>
          <w:rFonts w:ascii="Helvetica" w:hAnsi="Helvetica" w:cs="Helvetica"/>
        </w:rPr>
      </w:pPr>
    </w:p>
    <w:p w14:paraId="3EA641D7" w14:textId="77777777" w:rsidR="00DC0794" w:rsidRPr="00D24CD9" w:rsidRDefault="00DC0794" w:rsidP="00DC0794">
      <w:pPr>
        <w:autoSpaceDE w:val="0"/>
        <w:autoSpaceDN w:val="0"/>
        <w:adjustRightInd w:val="0"/>
        <w:spacing w:before="0" w:after="0"/>
        <w:rPr>
          <w:rFonts w:ascii="Helvetica" w:hAnsi="Helvetica" w:cs="Helvetica"/>
        </w:rPr>
      </w:pPr>
      <w:r w:rsidRPr="00D24CD9">
        <w:rPr>
          <w:rFonts w:ascii="Helvetica" w:hAnsi="Helvetica" w:cs="Helvetica"/>
        </w:rPr>
        <w:lastRenderedPageBreak/>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0B38A73B" w14:textId="77777777" w:rsidR="00DC0794" w:rsidRPr="00D24CD9" w:rsidRDefault="00DC0794" w:rsidP="00DC0794">
      <w:pPr>
        <w:autoSpaceDE w:val="0"/>
        <w:autoSpaceDN w:val="0"/>
        <w:adjustRightInd w:val="0"/>
        <w:spacing w:before="0" w:after="0"/>
        <w:rPr>
          <w:rFonts w:ascii="Helvetica" w:hAnsi="Helvetica" w:cs="Helvetica"/>
        </w:rPr>
      </w:pPr>
    </w:p>
    <w:p w14:paraId="177438E9" w14:textId="77777777" w:rsidR="00DC0794" w:rsidRPr="00D24CD9" w:rsidRDefault="00DC0794" w:rsidP="00DC0794">
      <w:pPr>
        <w:autoSpaceDE w:val="0"/>
        <w:autoSpaceDN w:val="0"/>
        <w:adjustRightInd w:val="0"/>
        <w:spacing w:before="0" w:after="0"/>
        <w:rPr>
          <w:rFonts w:ascii="Helvetica" w:hAnsi="Helvetica" w:cs="Helvetica"/>
        </w:rPr>
      </w:pPr>
      <w:r w:rsidRPr="00D24CD9">
        <w:rPr>
          <w:rFonts w:ascii="Helvetica" w:hAnsi="Helvetica" w:cs="Helvetica"/>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60B7F824" w14:textId="77777777" w:rsidR="00DC0794" w:rsidRPr="00D24CD9" w:rsidRDefault="00DC0794" w:rsidP="00DC0794">
      <w:pPr>
        <w:autoSpaceDE w:val="0"/>
        <w:autoSpaceDN w:val="0"/>
        <w:adjustRightInd w:val="0"/>
        <w:spacing w:before="0" w:after="0"/>
        <w:rPr>
          <w:rFonts w:ascii="Helvetica" w:hAnsi="Helvetica" w:cs="Helvetica"/>
        </w:rPr>
      </w:pPr>
    </w:p>
    <w:p w14:paraId="0CB77172" w14:textId="77777777" w:rsidR="00DC0794" w:rsidRPr="00D24CD9" w:rsidRDefault="00DC0794" w:rsidP="00DC0794">
      <w:pPr>
        <w:pStyle w:val="Textoindependiente"/>
        <w:spacing w:after="0" w:line="360" w:lineRule="auto"/>
        <w:jc w:val="left"/>
        <w:rPr>
          <w:rFonts w:ascii="Helvetica" w:hAnsi="Helvetica" w:cs="Helvetica"/>
          <w:b/>
          <w:bCs/>
          <w:sz w:val="24"/>
          <w:szCs w:val="24"/>
          <w:u w:val="single"/>
        </w:rPr>
      </w:pPr>
      <w:r w:rsidRPr="00D24CD9">
        <w:rPr>
          <w:rFonts w:ascii="Helvetica" w:hAnsi="Helvetica" w:cs="Helvetica"/>
          <w:b/>
          <w:bCs/>
          <w:sz w:val="24"/>
          <w:szCs w:val="24"/>
          <w:u w:val="single"/>
        </w:rPr>
        <w:t>GASOLINA MOTOR CORRIENTE</w:t>
      </w:r>
    </w:p>
    <w:p w14:paraId="7487D942" w14:textId="77777777" w:rsidR="00DC0794" w:rsidRPr="00D24CD9" w:rsidRDefault="00DC0794" w:rsidP="00DC0794">
      <w:pPr>
        <w:pStyle w:val="Textoindependiente"/>
        <w:spacing w:before="0" w:after="0"/>
        <w:jc w:val="left"/>
        <w:rPr>
          <w:rFonts w:ascii="Helvetica" w:hAnsi="Helvetica" w:cs="Helvetica"/>
          <w:b/>
          <w:bCs/>
        </w:rPr>
      </w:pPr>
    </w:p>
    <w:tbl>
      <w:tblPr>
        <w:tblStyle w:val="Tablaconcuadrcula"/>
        <w:tblW w:w="9375"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38"/>
        <w:gridCol w:w="2437"/>
      </w:tblGrid>
      <w:tr w:rsidR="00DC0794" w:rsidRPr="00D24CD9" w14:paraId="1154EF56" w14:textId="77777777" w:rsidTr="00DC0794">
        <w:trPr>
          <w:trHeight w:val="567"/>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AA6B7AF"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Estructura de precio gasolina motor corriente</w:t>
            </w:r>
          </w:p>
          <w:p w14:paraId="08E16E0C"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(Pesos por galón)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4B47820C"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Componentes</w:t>
            </w:r>
          </w:p>
        </w:tc>
      </w:tr>
      <w:tr w:rsidR="00DC0794" w:rsidRPr="00D24CD9" w14:paraId="443DBD8F"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26E7C14"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 Ingreso al productor</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39AC9D4"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 xml:space="preserve">9.914,16 </w:t>
            </w:r>
          </w:p>
        </w:tc>
      </w:tr>
      <w:tr w:rsidR="00DC0794" w:rsidRPr="00D24CD9" w14:paraId="4E95F8DC"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F9DE4E1"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2. Impuesto nacional </w:t>
            </w:r>
            <w:r w:rsidRPr="00D24CD9">
              <w:rPr>
                <w:rFonts w:ascii="Helvetica" w:hAnsi="Helvetica" w:cs="Helvetica"/>
                <w:b/>
                <w:bCs/>
                <w:sz w:val="18"/>
                <w:szCs w:val="18"/>
              </w:rPr>
              <w: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623B9E"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663,16 </w:t>
            </w:r>
          </w:p>
        </w:tc>
      </w:tr>
      <w:tr w:rsidR="00DC0794" w:rsidRPr="00D24CD9" w14:paraId="4B30A9E3"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78EF4E"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3. IVA del fósil</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C8165F1"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(b)</w:t>
            </w:r>
          </w:p>
        </w:tc>
      </w:tr>
      <w:tr w:rsidR="00DC0794" w:rsidRPr="00D24CD9" w14:paraId="0E10E99D"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4F2536A"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4. Impuesto al carbono </w:t>
            </w:r>
            <w:r w:rsidRPr="00D24CD9">
              <w:rPr>
                <w:rFonts w:ascii="Helvetica" w:hAnsi="Helvetica" w:cs="Helvetica"/>
                <w:b/>
                <w:bCs/>
                <w:sz w:val="18"/>
                <w:szCs w:val="18"/>
              </w:rPr>
              <w:t>(c)</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F76DD3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169,00 </w:t>
            </w:r>
          </w:p>
        </w:tc>
      </w:tr>
      <w:tr w:rsidR="00DC0794" w:rsidRPr="00D24CD9" w14:paraId="55F7BD19"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DED7B8"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5. Tarifa de marcación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50683B6"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8,89 </w:t>
            </w:r>
          </w:p>
        </w:tc>
      </w:tr>
      <w:tr w:rsidR="00DC0794" w:rsidRPr="00D24CD9" w14:paraId="6153E703"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C1E5C1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6. Tarifa de transporte por poliductos</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3BEFF45"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(d)</w:t>
            </w:r>
          </w:p>
        </w:tc>
      </w:tr>
      <w:tr w:rsidR="00DC0794" w:rsidRPr="00D24CD9" w14:paraId="0B9982D7"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AD23BF9"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7. Precio máximo de venta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E53B027"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(f)</w:t>
            </w:r>
          </w:p>
        </w:tc>
      </w:tr>
      <w:tr w:rsidR="00DC0794" w:rsidRPr="00D24CD9" w14:paraId="5A62A149"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B3D2E3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8.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52227EE"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(g)</w:t>
            </w:r>
          </w:p>
        </w:tc>
      </w:tr>
      <w:tr w:rsidR="00DC0794" w:rsidRPr="00D24CD9" w14:paraId="62C73A2F"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4D266D5"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9. IVA sobre el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6BFAFC6"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(h)</w:t>
            </w:r>
          </w:p>
        </w:tc>
      </w:tr>
      <w:tr w:rsidR="00DC0794" w:rsidRPr="00D24CD9" w14:paraId="34BD59E2"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0101590"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10.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417EBC9"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1.429,00 </w:t>
            </w:r>
          </w:p>
        </w:tc>
      </w:tr>
      <w:tr w:rsidR="00DC0794" w:rsidRPr="00D24CD9" w14:paraId="5DE4485F"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F2E011A"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11. Precio máximo en planta de abastecimiento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2ED1FA9"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(i)</w:t>
            </w:r>
          </w:p>
        </w:tc>
      </w:tr>
      <w:tr w:rsidR="00DC0794" w:rsidRPr="00D24CD9" w14:paraId="1DA21933"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9B94446"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12. Margen del distribuidor minorista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7D0127"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(j)</w:t>
            </w:r>
          </w:p>
        </w:tc>
      </w:tr>
      <w:tr w:rsidR="00DC0794" w:rsidRPr="00D24CD9" w14:paraId="2B881C42"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EAD7FE2"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13. Perdida por evaporación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10FF07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(k)</w:t>
            </w:r>
          </w:p>
        </w:tc>
      </w:tr>
      <w:tr w:rsidR="00DC0794" w:rsidRPr="00D24CD9" w14:paraId="52E717C2"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FB0D776"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14. Transporte de la planta de abastecimiento mayorista a estación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E468848"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(l)</w:t>
            </w:r>
          </w:p>
        </w:tc>
      </w:tr>
      <w:tr w:rsidR="00DC0794" w:rsidRPr="00D24CD9" w14:paraId="5309DF6A" w14:textId="77777777" w:rsidTr="00DC0794">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6875302"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15. Precio máximo de venta por galón incluida la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0882BED"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(m)</w:t>
            </w:r>
          </w:p>
        </w:tc>
      </w:tr>
    </w:tbl>
    <w:p w14:paraId="3CCCC7D0" w14:textId="77777777" w:rsidR="00DC0794" w:rsidRPr="00D24CD9" w:rsidRDefault="00DC0794" w:rsidP="00DC0794">
      <w:pPr>
        <w:pStyle w:val="Textoindependiente"/>
        <w:spacing w:before="0" w:after="0"/>
        <w:jc w:val="left"/>
        <w:rPr>
          <w:rFonts w:ascii="Helvetica" w:hAnsi="Helvetica" w:cs="Helvetica"/>
          <w:b/>
          <w:bCs/>
        </w:rPr>
      </w:pPr>
    </w:p>
    <w:p w14:paraId="171A5C65" w14:textId="77777777" w:rsidR="00DC0794" w:rsidRPr="00D24CD9" w:rsidRDefault="00DC0794" w:rsidP="00DC0794">
      <w:pPr>
        <w:pStyle w:val="Textoindependiente"/>
        <w:spacing w:before="0" w:after="0"/>
        <w:jc w:val="left"/>
        <w:rPr>
          <w:rFonts w:ascii="Helvetica" w:hAnsi="Helvetica" w:cs="Helvetica"/>
          <w:b/>
          <w:bCs/>
        </w:rPr>
      </w:pPr>
    </w:p>
    <w:tbl>
      <w:tblPr>
        <w:tblStyle w:val="Tablaconcuadrcula"/>
        <w:tblW w:w="499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7"/>
        <w:gridCol w:w="2438"/>
      </w:tblGrid>
      <w:tr w:rsidR="00DC0794" w:rsidRPr="00D24CD9" w14:paraId="200FFED4" w14:textId="77777777" w:rsidTr="00DC0794">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9573C65"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 xml:space="preserve">Estructura de precio gasolina motor corriente oxigenada E7 </w:t>
            </w:r>
          </w:p>
          <w:p w14:paraId="52B4E740"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0118660F"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Componentes</w:t>
            </w:r>
          </w:p>
        </w:tc>
      </w:tr>
      <w:tr w:rsidR="00DC0794" w:rsidRPr="00D24CD9" w14:paraId="7BEDDEB2"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0AFD965"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1. Proporción - Ingreso al productor de la Gasolina Motor Corriente (93%)</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533B686"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9.220,17 </w:t>
            </w:r>
          </w:p>
        </w:tc>
      </w:tr>
      <w:tr w:rsidR="00DC0794" w:rsidRPr="00D24CD9" w14:paraId="28751E17"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F855B12"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lastRenderedPageBreak/>
              <w:t>2. Proporción - Ingreso al productor del Alcohol Carburante (7%)</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03A245"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1.006,11 </w:t>
            </w:r>
          </w:p>
        </w:tc>
      </w:tr>
      <w:tr w:rsidR="00DC0794" w:rsidRPr="00D24CD9" w14:paraId="3A83E60A"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01016D9"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3. Ingreso al productor de la Gasolina Motor Corriente Oxigenada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4494909"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 xml:space="preserve">10.226,28 </w:t>
            </w:r>
          </w:p>
        </w:tc>
      </w:tr>
      <w:tr w:rsidR="00DC0794" w:rsidRPr="00D24CD9" w14:paraId="5765C097"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11CEC90"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4. Impuesto nacional (a)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DAC55D5"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616,74 </w:t>
            </w:r>
          </w:p>
        </w:tc>
      </w:tr>
      <w:tr w:rsidR="00DC0794" w:rsidRPr="00D24CD9" w14:paraId="0C61EC1D"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59A5691"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5. IVA del fósil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CF7E03A"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(b)</w:t>
            </w:r>
          </w:p>
        </w:tc>
      </w:tr>
      <w:tr w:rsidR="00DC0794" w:rsidRPr="00D24CD9" w14:paraId="526CDD65"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3ABBC40"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6. Impuesto al carbono (c)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E61A112"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157,17 </w:t>
            </w:r>
          </w:p>
        </w:tc>
      </w:tr>
      <w:tr w:rsidR="00DC0794" w:rsidRPr="00D24CD9" w14:paraId="58994B78"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5764BD3"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47B938"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8,89 </w:t>
            </w:r>
          </w:p>
        </w:tc>
      </w:tr>
      <w:tr w:rsidR="00DC0794" w:rsidRPr="00D24CD9" w14:paraId="42E8280D"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BF1284B"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8. Proporción-Tarifa Transporte por poliductos Gasolina Motor Corriente (93%)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DA375BA"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(d)</w:t>
            </w:r>
          </w:p>
        </w:tc>
      </w:tr>
      <w:tr w:rsidR="00DC0794" w:rsidRPr="00D24CD9" w14:paraId="7ADAA5F8"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F555F80"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9. Proporción-Tarifa Transporte por poliductos del Alcohol Carburante (7%)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93D971A"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(e)</w:t>
            </w:r>
          </w:p>
        </w:tc>
      </w:tr>
      <w:tr w:rsidR="00DC0794" w:rsidRPr="00D24CD9" w14:paraId="1DACE667"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11E2005"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 xml:space="preserve">10.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BBF1C48"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(f)</w:t>
            </w:r>
          </w:p>
        </w:tc>
      </w:tr>
      <w:tr w:rsidR="00DC0794" w:rsidRPr="00D24CD9" w14:paraId="06E803FE"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0FB4CB"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E978C24"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(g)</w:t>
            </w:r>
          </w:p>
        </w:tc>
      </w:tr>
      <w:tr w:rsidR="00DC0794" w:rsidRPr="00D24CD9" w14:paraId="10367C26"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EDE29F"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1B9BD7"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(h)</w:t>
            </w:r>
          </w:p>
        </w:tc>
      </w:tr>
      <w:tr w:rsidR="00DC0794" w:rsidRPr="00D24CD9" w14:paraId="6C32BDB6"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54566CB"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2853AF0"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1.328,97 </w:t>
            </w:r>
          </w:p>
        </w:tc>
      </w:tr>
      <w:tr w:rsidR="00DC0794" w:rsidRPr="00D24CD9" w14:paraId="3CDA1DD6"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1A4D59E"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14.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BA3FAD1"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(i)</w:t>
            </w:r>
          </w:p>
        </w:tc>
      </w:tr>
      <w:tr w:rsidR="00DC0794" w:rsidRPr="00D24CD9" w14:paraId="30D26737"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B76287"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15.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44B88F9"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(j)</w:t>
            </w:r>
          </w:p>
        </w:tc>
      </w:tr>
      <w:tr w:rsidR="00DC0794" w:rsidRPr="00D24CD9" w14:paraId="08D1527F"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2CE69A6"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16. Perdida por evaporación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3B7AF6B"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(k)</w:t>
            </w:r>
          </w:p>
        </w:tc>
      </w:tr>
      <w:tr w:rsidR="00DC0794" w:rsidRPr="00D24CD9" w14:paraId="252178DB"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1569592"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 xml:space="preserve">17. Transporte de la planta de abastecimiento mayorista a estación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1B4EE29" w14:textId="77777777" w:rsidR="00DC0794" w:rsidRPr="00D24CD9" w:rsidRDefault="00DC0794">
            <w:pPr>
              <w:pStyle w:val="Textoindependiente"/>
              <w:spacing w:before="0" w:after="0"/>
              <w:jc w:val="left"/>
              <w:rPr>
                <w:rFonts w:ascii="Helvetica" w:hAnsi="Helvetica" w:cs="Helvetica"/>
                <w:sz w:val="18"/>
                <w:szCs w:val="18"/>
              </w:rPr>
            </w:pPr>
            <w:r w:rsidRPr="00D24CD9">
              <w:rPr>
                <w:rFonts w:ascii="Helvetica" w:hAnsi="Helvetica" w:cs="Helvetica"/>
                <w:sz w:val="18"/>
                <w:szCs w:val="18"/>
              </w:rPr>
              <w:t>(l)</w:t>
            </w:r>
          </w:p>
        </w:tc>
      </w:tr>
      <w:tr w:rsidR="00DC0794" w:rsidRPr="00D24CD9" w14:paraId="6F609E6C"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0263ADC"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18.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5ACC079" w14:textId="77777777" w:rsidR="00DC0794" w:rsidRPr="00D24CD9" w:rsidRDefault="00DC0794">
            <w:pPr>
              <w:pStyle w:val="Textoindependiente"/>
              <w:spacing w:before="0" w:after="0"/>
              <w:jc w:val="left"/>
              <w:rPr>
                <w:rFonts w:ascii="Helvetica" w:hAnsi="Helvetica" w:cs="Helvetica"/>
                <w:b/>
                <w:bCs/>
                <w:sz w:val="18"/>
                <w:szCs w:val="18"/>
              </w:rPr>
            </w:pPr>
            <w:r w:rsidRPr="00D24CD9">
              <w:rPr>
                <w:rFonts w:ascii="Helvetica" w:hAnsi="Helvetica" w:cs="Helvetica"/>
                <w:b/>
                <w:bCs/>
                <w:sz w:val="18"/>
                <w:szCs w:val="18"/>
              </w:rPr>
              <w:t>(m)</w:t>
            </w:r>
          </w:p>
        </w:tc>
      </w:tr>
    </w:tbl>
    <w:p w14:paraId="68AA857A" w14:textId="77777777" w:rsidR="00DC0794" w:rsidRPr="00D24CD9" w:rsidRDefault="00DC0794" w:rsidP="00DC0794">
      <w:pPr>
        <w:pStyle w:val="Textoindependiente"/>
        <w:spacing w:after="0" w:line="360" w:lineRule="auto"/>
        <w:jc w:val="left"/>
        <w:rPr>
          <w:rFonts w:ascii="Helvetica" w:hAnsi="Helvetica" w:cs="Helvetica"/>
          <w:b/>
          <w:bCs/>
          <w:sz w:val="24"/>
          <w:szCs w:val="24"/>
          <w:u w:val="single"/>
        </w:rPr>
      </w:pPr>
    </w:p>
    <w:p w14:paraId="70CF770E" w14:textId="77777777" w:rsidR="00DC0794" w:rsidRPr="00D24CD9" w:rsidRDefault="00DC0794" w:rsidP="00DC0794">
      <w:pPr>
        <w:pStyle w:val="Textoindependiente"/>
        <w:tabs>
          <w:tab w:val="left" w:pos="7088"/>
        </w:tabs>
        <w:spacing w:after="0" w:line="360" w:lineRule="auto"/>
        <w:jc w:val="left"/>
        <w:rPr>
          <w:rFonts w:ascii="Helvetica" w:hAnsi="Helvetica" w:cs="Helvetica"/>
          <w:b/>
          <w:bCs/>
          <w:sz w:val="24"/>
          <w:szCs w:val="24"/>
          <w:u w:val="single"/>
        </w:rPr>
      </w:pPr>
      <w:r w:rsidRPr="00D24CD9">
        <w:rPr>
          <w:rFonts w:ascii="Helvetica" w:hAnsi="Helvetica" w:cs="Helvetica"/>
          <w:b/>
          <w:bCs/>
          <w:sz w:val="24"/>
          <w:szCs w:val="24"/>
          <w:u w:val="single"/>
        </w:rPr>
        <w:t>ACPM</w:t>
      </w:r>
    </w:p>
    <w:p w14:paraId="621736D7" w14:textId="77777777" w:rsidR="00DC0794" w:rsidRPr="00D24CD9" w:rsidRDefault="00DC0794" w:rsidP="00DC0794">
      <w:pPr>
        <w:pStyle w:val="Textoindependiente"/>
        <w:spacing w:before="0" w:after="0"/>
        <w:jc w:val="left"/>
        <w:rPr>
          <w:rFonts w:ascii="Helvetica" w:hAnsi="Helvetica" w:cs="Helvetica"/>
          <w:b/>
          <w:bCs/>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DC0794" w:rsidRPr="00D24CD9" w14:paraId="1037E581" w14:textId="77777777" w:rsidTr="00DC0794">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F9FBF88"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Componentes de la estructura de precio del ACPM</w:t>
            </w:r>
          </w:p>
          <w:p w14:paraId="1E838DB0"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37DF6524"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Componentes</w:t>
            </w:r>
          </w:p>
        </w:tc>
      </w:tr>
      <w:tr w:rsidR="00DC0794" w:rsidRPr="00D24CD9" w14:paraId="52F5F701"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B6C4E05"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 Ingreso al productor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4F9EC96"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 xml:space="preserve">4.773,05 </w:t>
            </w:r>
          </w:p>
        </w:tc>
      </w:tr>
      <w:tr w:rsidR="00DC0794" w:rsidRPr="00D24CD9" w14:paraId="490B10BA"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111CA4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2. Impuesto nacional </w:t>
            </w:r>
            <w:r w:rsidRPr="00D24CD9">
              <w:rPr>
                <w:rFonts w:ascii="Helvetica" w:hAnsi="Helvetica" w:cs="Helvetica"/>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2895191"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634,74 </w:t>
            </w:r>
          </w:p>
        </w:tc>
      </w:tr>
      <w:tr w:rsidR="00DC0794" w:rsidRPr="00D24CD9" w14:paraId="69E2FC56"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88D7C5F"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3.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6E92951"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(b)</w:t>
            </w:r>
          </w:p>
        </w:tc>
      </w:tr>
      <w:tr w:rsidR="00DC0794" w:rsidRPr="00D24CD9" w14:paraId="40703762"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3F76F72"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4. Impuesto al carbono </w:t>
            </w:r>
            <w:r w:rsidRPr="00D24CD9">
              <w:rPr>
                <w:rFonts w:ascii="Helvetica" w:hAnsi="Helvetica" w:cs="Helvetica"/>
                <w:b/>
                <w:bCs/>
                <w:sz w:val="18"/>
                <w:szCs w:val="18"/>
              </w:rPr>
              <w:t>(c)</w:t>
            </w:r>
            <w:r w:rsidRPr="00D24CD9">
              <w:rPr>
                <w:rFonts w:ascii="Helvetica" w:hAnsi="Helvetica" w:cs="Helvetica"/>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67B3A17"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191,00 </w:t>
            </w:r>
          </w:p>
        </w:tc>
      </w:tr>
      <w:tr w:rsidR="00DC0794" w:rsidRPr="00D24CD9" w14:paraId="30C1D98C"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C0978D4"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5.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6D28C6"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8,89 </w:t>
            </w:r>
          </w:p>
        </w:tc>
      </w:tr>
      <w:tr w:rsidR="00DC0794" w:rsidRPr="00D24CD9" w14:paraId="02C4836C"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7C38A62"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6. Tarifa de transporte por poliductos</w:t>
            </w:r>
            <w:r w:rsidRPr="00D24CD9">
              <w:rPr>
                <w:rFonts w:ascii="Helvetica" w:hAnsi="Helvetica" w:cs="Helvetica"/>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3A096C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(d)</w:t>
            </w:r>
          </w:p>
        </w:tc>
      </w:tr>
      <w:tr w:rsidR="00DC0794" w:rsidRPr="00D24CD9" w14:paraId="14B2A21D"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7F26BC6"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 xml:space="preserve">7.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A1D64D9"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(f)</w:t>
            </w:r>
          </w:p>
        </w:tc>
      </w:tr>
      <w:tr w:rsidR="00DC0794" w:rsidRPr="00D24CD9" w14:paraId="5423DC26"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401FEBD"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8.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B966815"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(g)</w:t>
            </w:r>
          </w:p>
        </w:tc>
      </w:tr>
      <w:tr w:rsidR="00DC0794" w:rsidRPr="00D24CD9" w14:paraId="732AC2F2"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EC174A5"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9. IVA sobre el margen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EA4CBC9"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(h)</w:t>
            </w:r>
          </w:p>
        </w:tc>
      </w:tr>
      <w:tr w:rsidR="00DC0794" w:rsidRPr="00D24CD9" w14:paraId="381ED0A6"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A85B174"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 xml:space="preserve">10. Precio máximo en planta de abastecimiento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5F58C94"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(i)</w:t>
            </w:r>
          </w:p>
        </w:tc>
      </w:tr>
      <w:tr w:rsidR="00DC0794" w:rsidRPr="00D24CD9" w14:paraId="2AEE8254"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13743B4"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11.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02D0A3D"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(j)</w:t>
            </w:r>
          </w:p>
        </w:tc>
      </w:tr>
      <w:tr w:rsidR="00DC0794" w:rsidRPr="00D24CD9" w14:paraId="5FCA4B4E"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B0AA4E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12. Transporte de la planta de abastecimiento mayorista a estación</w:t>
            </w:r>
            <w:r w:rsidRPr="00D24CD9">
              <w:rPr>
                <w:rFonts w:ascii="Helvetica" w:hAnsi="Helvetica" w:cs="Helvetica"/>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64602D"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(l)</w:t>
            </w:r>
          </w:p>
        </w:tc>
      </w:tr>
      <w:tr w:rsidR="00DC0794" w:rsidRPr="00D24CD9" w14:paraId="7E79E373"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EB7C893"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B96AD0F"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339,00 </w:t>
            </w:r>
          </w:p>
        </w:tc>
      </w:tr>
      <w:tr w:rsidR="00DC0794" w:rsidRPr="00D24CD9" w14:paraId="31D0BEE6"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517AC2A"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14.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83484A0"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(m)</w:t>
            </w:r>
          </w:p>
        </w:tc>
      </w:tr>
    </w:tbl>
    <w:p w14:paraId="3038500D" w14:textId="77777777" w:rsidR="00DC0794" w:rsidRPr="00D24CD9" w:rsidRDefault="00DC0794" w:rsidP="00DC0794">
      <w:pPr>
        <w:pStyle w:val="Textoindependiente"/>
        <w:spacing w:before="0" w:after="0"/>
        <w:jc w:val="left"/>
        <w:rPr>
          <w:rFonts w:ascii="Helvetica" w:hAnsi="Helvetica" w:cs="Helvetica"/>
          <w:b/>
          <w:bCs/>
        </w:rPr>
      </w:pPr>
    </w:p>
    <w:p w14:paraId="7B63DC09" w14:textId="77777777" w:rsidR="00DC0794" w:rsidRPr="00D24CD9" w:rsidRDefault="00DC0794" w:rsidP="00DC0794">
      <w:pPr>
        <w:pStyle w:val="Textoindependiente"/>
        <w:spacing w:before="0" w:after="0"/>
        <w:jc w:val="left"/>
        <w:rPr>
          <w:rFonts w:ascii="Helvetica" w:hAnsi="Helvetica" w:cs="Helvetica"/>
          <w:b/>
          <w:bCs/>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DC0794" w:rsidRPr="00D24CD9" w14:paraId="2479D692" w14:textId="77777777" w:rsidTr="00DC0794">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40FD32E4"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lastRenderedPageBreak/>
              <w:t>Estructura de precio de la mezcla ACPM y biocombustible (B10)</w:t>
            </w:r>
          </w:p>
          <w:p w14:paraId="4C9624C7"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370DB8DD"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Componentes</w:t>
            </w:r>
          </w:p>
        </w:tc>
      </w:tr>
      <w:tr w:rsidR="00DC0794" w:rsidRPr="00D24CD9" w14:paraId="5D2A3DBD"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129622C"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 Proporción - Ingreso al productor del ACPM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BA82898"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4.295,75 </w:t>
            </w:r>
          </w:p>
        </w:tc>
      </w:tr>
      <w:tr w:rsidR="00DC0794" w:rsidRPr="00D24CD9" w14:paraId="31B738DC"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88F526E"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2. Proporción - Ingreso al productor del biocombustible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D5A0679"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1.634,94 </w:t>
            </w:r>
          </w:p>
        </w:tc>
      </w:tr>
      <w:tr w:rsidR="00DC0794" w:rsidRPr="00D24CD9" w14:paraId="01776558"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5D0D0EC9"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3. Ingreso al productor de la mezcla ACPM - biocombustible (B10)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8FD1E11"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 xml:space="preserve">5.930,68 </w:t>
            </w:r>
          </w:p>
        </w:tc>
      </w:tr>
      <w:tr w:rsidR="00DC0794" w:rsidRPr="00D24CD9" w14:paraId="42F2C7AD"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C779B69"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4. Impuesto nacional </w:t>
            </w:r>
            <w:r w:rsidRPr="00D24CD9">
              <w:rPr>
                <w:rFonts w:ascii="Helvetica" w:hAnsi="Helvetica" w:cs="Helvetica"/>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91FF0F"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571,27 </w:t>
            </w:r>
          </w:p>
        </w:tc>
      </w:tr>
      <w:tr w:rsidR="00DC0794" w:rsidRPr="00D24CD9" w14:paraId="5498C1E8"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6E320F8"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5.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74C43B"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(b)</w:t>
            </w:r>
          </w:p>
        </w:tc>
      </w:tr>
      <w:tr w:rsidR="00DC0794" w:rsidRPr="00D24CD9" w14:paraId="1FB8FE90"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353BD26"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6. Impuesto al carbono </w:t>
            </w:r>
            <w:r w:rsidRPr="00D24CD9">
              <w:rPr>
                <w:rFonts w:ascii="Helvetica" w:hAnsi="Helvetica" w:cs="Helvetica"/>
                <w:b/>
                <w:bCs/>
                <w:sz w:val="18"/>
                <w:szCs w:val="18"/>
              </w:rPr>
              <w:t>(c)</w:t>
            </w:r>
            <w:r w:rsidRPr="00D24CD9">
              <w:rPr>
                <w:rFonts w:ascii="Helvetica" w:hAnsi="Helvetica" w:cs="Helvetica"/>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E8C1972"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171,90 </w:t>
            </w:r>
          </w:p>
        </w:tc>
      </w:tr>
      <w:tr w:rsidR="00DC0794" w:rsidRPr="00D24CD9" w14:paraId="517945E4"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70AA41F"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E46E985"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8,89 </w:t>
            </w:r>
          </w:p>
        </w:tc>
      </w:tr>
      <w:tr w:rsidR="00DC0794" w:rsidRPr="00D24CD9" w14:paraId="62977321"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47B2CF9"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8. Proporción - Tarifa de transporte por poliductos del ACPM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4790A92"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(d)</w:t>
            </w:r>
          </w:p>
        </w:tc>
      </w:tr>
      <w:tr w:rsidR="00DC0794" w:rsidRPr="00D24CD9" w14:paraId="70ADE037"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728AF00"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9. Proporción - Tarifa de transporte del biocombustible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ECE7010"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(e)</w:t>
            </w:r>
          </w:p>
        </w:tc>
      </w:tr>
      <w:tr w:rsidR="00DC0794" w:rsidRPr="00D24CD9" w14:paraId="2009D818"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597F85FB"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10. Precio máximo de venta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C43CC86"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(f)</w:t>
            </w:r>
          </w:p>
        </w:tc>
      </w:tr>
      <w:tr w:rsidR="00DC0794" w:rsidRPr="00D24CD9" w14:paraId="0A977FBD"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4B3D907"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999FE1"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(g)</w:t>
            </w:r>
          </w:p>
        </w:tc>
      </w:tr>
      <w:tr w:rsidR="00DC0794" w:rsidRPr="00D24CD9" w14:paraId="452C6153"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10C3905"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F459F7"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(h)</w:t>
            </w:r>
          </w:p>
        </w:tc>
      </w:tr>
      <w:tr w:rsidR="00DC0794" w:rsidRPr="00D24CD9" w14:paraId="362C30DF"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529E8C16"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13.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7710727"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(i)</w:t>
            </w:r>
          </w:p>
        </w:tc>
      </w:tr>
      <w:tr w:rsidR="00DC0794" w:rsidRPr="00D24CD9" w14:paraId="3F0F3BCB"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85B9C59"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14. Margen del distribuidor minorista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D89EB28"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(j)</w:t>
            </w:r>
          </w:p>
        </w:tc>
      </w:tr>
      <w:tr w:rsidR="00DC0794" w:rsidRPr="00D24CD9" w14:paraId="4E9F046B"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675A18E"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15. Transporte de la planta de abastecimiento mayorista a estación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9C39104"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(l)</w:t>
            </w:r>
          </w:p>
        </w:tc>
      </w:tr>
      <w:tr w:rsidR="00DC0794" w:rsidRPr="00D24CD9" w14:paraId="076FE9A4"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5795F07"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16.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C3F676F" w14:textId="77777777" w:rsidR="00DC0794" w:rsidRPr="00D24CD9" w:rsidRDefault="00DC0794">
            <w:pPr>
              <w:spacing w:before="0" w:after="0"/>
              <w:rPr>
                <w:rFonts w:ascii="Helvetica" w:hAnsi="Helvetica" w:cs="Helvetica"/>
                <w:sz w:val="18"/>
                <w:szCs w:val="18"/>
              </w:rPr>
            </w:pPr>
            <w:r w:rsidRPr="00D24CD9">
              <w:rPr>
                <w:rFonts w:ascii="Helvetica" w:hAnsi="Helvetica" w:cs="Helvetica"/>
                <w:sz w:val="18"/>
                <w:szCs w:val="18"/>
              </w:rPr>
              <w:t xml:space="preserve">339,00 </w:t>
            </w:r>
          </w:p>
        </w:tc>
      </w:tr>
      <w:tr w:rsidR="00DC0794" w:rsidRPr="00D24CD9" w14:paraId="5469E643" w14:textId="77777777" w:rsidTr="00DC0794">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6B62E3A9"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17.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BC4B53E" w14:textId="77777777" w:rsidR="00DC0794" w:rsidRPr="00D24CD9" w:rsidRDefault="00DC0794">
            <w:pPr>
              <w:spacing w:before="0" w:after="0"/>
              <w:rPr>
                <w:rFonts w:ascii="Helvetica" w:hAnsi="Helvetica" w:cs="Helvetica"/>
                <w:b/>
                <w:bCs/>
                <w:sz w:val="18"/>
                <w:szCs w:val="18"/>
              </w:rPr>
            </w:pPr>
            <w:r w:rsidRPr="00D24CD9">
              <w:rPr>
                <w:rFonts w:ascii="Helvetica" w:hAnsi="Helvetica" w:cs="Helvetica"/>
                <w:b/>
                <w:bCs/>
                <w:sz w:val="18"/>
                <w:szCs w:val="18"/>
              </w:rPr>
              <w:t>(m)</w:t>
            </w:r>
          </w:p>
        </w:tc>
      </w:tr>
    </w:tbl>
    <w:p w14:paraId="7DB370E7" w14:textId="77777777" w:rsidR="00DC0794" w:rsidRPr="00D24CD9" w:rsidRDefault="00DC0794" w:rsidP="00DC0794">
      <w:pPr>
        <w:spacing w:before="0" w:after="0"/>
        <w:rPr>
          <w:rFonts w:ascii="Helvetica" w:hAnsi="Helvetica" w:cs="Helvetica"/>
        </w:rPr>
      </w:pPr>
    </w:p>
    <w:p w14:paraId="67FF4294" w14:textId="77777777" w:rsidR="00DC0794" w:rsidRPr="00D24CD9" w:rsidRDefault="00DC0794" w:rsidP="00DC0794">
      <w:pPr>
        <w:spacing w:before="0" w:after="0"/>
        <w:rPr>
          <w:rFonts w:ascii="Helvetica" w:hAnsi="Helvetica" w:cs="Helvetica"/>
        </w:rPr>
      </w:pPr>
      <w:r w:rsidRPr="00D24CD9">
        <w:rPr>
          <w:rFonts w:ascii="Helvetica" w:hAnsi="Helvetica" w:cs="Helvetica"/>
        </w:rPr>
        <w:t>Nota: Para estructuras de precios diferentes a E7 y B10,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Resolución 40391 del 2023.</w:t>
      </w:r>
    </w:p>
    <w:p w14:paraId="46AA20ED" w14:textId="77777777" w:rsidR="00DC0794" w:rsidRPr="00D24CD9" w:rsidRDefault="00DC0794" w:rsidP="00DC0794">
      <w:pPr>
        <w:spacing w:before="0" w:after="0"/>
        <w:rPr>
          <w:rFonts w:ascii="Helvetica" w:hAnsi="Helvetica" w:cs="Helvetica"/>
          <w:sz w:val="28"/>
          <w:szCs w:val="28"/>
        </w:rPr>
      </w:pPr>
    </w:p>
    <w:p w14:paraId="07BDF2ED" w14:textId="77777777" w:rsidR="00DC0794" w:rsidRPr="00D24CD9" w:rsidRDefault="00DC0794" w:rsidP="00DC0794">
      <w:pPr>
        <w:spacing w:before="0" w:after="0"/>
        <w:rPr>
          <w:rFonts w:ascii="Helvetica" w:hAnsi="Helvetica" w:cs="Helvetica"/>
        </w:rPr>
      </w:pPr>
      <w:r w:rsidRPr="00D24CD9">
        <w:rPr>
          <w:rFonts w:ascii="Helvetica" w:hAnsi="Helvetica" w:cs="Helvetica"/>
        </w:rPr>
        <w:t>Así mismo, a continuación, se realizan las siguientes precisiones sobre los literales empleados en las tablas:</w:t>
      </w:r>
    </w:p>
    <w:p w14:paraId="1D1D24DF" w14:textId="77777777" w:rsidR="00DC0794" w:rsidRPr="00D24CD9" w:rsidRDefault="00DC0794" w:rsidP="00DC0794">
      <w:pPr>
        <w:spacing w:before="0" w:after="0"/>
        <w:rPr>
          <w:rFonts w:ascii="Helvetica" w:hAnsi="Helvetica" w:cs="Helvetica"/>
        </w:rPr>
      </w:pPr>
    </w:p>
    <w:p w14:paraId="021C5063"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a:</w:t>
      </w:r>
      <w:r w:rsidRPr="00D24CD9">
        <w:rPr>
          <w:rFonts w:ascii="Helvetica" w:hAnsi="Helvetica" w:cs="Helvetica"/>
        </w:rPr>
        <w:t xml:space="preserve"> Será el valor correspondiente al pago del impuesto nacional a la gasolina y al ACPM, expresado en pesos por galón, establecido en los artículos 167, 168 y 173 de la Ley </w:t>
      </w:r>
      <w:r w:rsidRPr="00D24CD9">
        <w:rPr>
          <w:rFonts w:ascii="Helvetica" w:hAnsi="Helvetica" w:cs="Helvetica"/>
        </w:rPr>
        <w:lastRenderedPageBreak/>
        <w:t>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1344A37C" w14:textId="77777777" w:rsidR="00DC0794" w:rsidRPr="00D24CD9" w:rsidRDefault="00DC0794" w:rsidP="00DC0794">
      <w:pPr>
        <w:spacing w:before="0" w:after="0"/>
        <w:rPr>
          <w:rFonts w:ascii="Helvetica" w:hAnsi="Helvetica" w:cs="Helvetica"/>
        </w:rPr>
      </w:pPr>
    </w:p>
    <w:p w14:paraId="4B408465"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b:</w:t>
      </w:r>
      <w:r w:rsidRPr="00D24CD9">
        <w:rPr>
          <w:rFonts w:ascii="Helvetica" w:hAnsi="Helvetica" w:cs="Helvetica"/>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tarifa sobre el valor del IP Fósil considerando el nivel de mezcla con biocombustible respectivo, si hay lugar.</w:t>
      </w:r>
    </w:p>
    <w:p w14:paraId="0523F7F4" w14:textId="77777777" w:rsidR="00DC0794" w:rsidRPr="00D24CD9" w:rsidRDefault="00DC0794" w:rsidP="00DC0794">
      <w:pPr>
        <w:spacing w:before="0" w:after="0"/>
        <w:rPr>
          <w:rFonts w:ascii="Helvetica" w:hAnsi="Helvetica" w:cs="Helvetica"/>
        </w:rPr>
      </w:pPr>
    </w:p>
    <w:p w14:paraId="4FEBF646"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c:</w:t>
      </w:r>
      <w:r w:rsidRPr="00D24CD9">
        <w:rPr>
          <w:rFonts w:ascii="Helvetica" w:hAnsi="Helvetica" w:cs="Helvetica"/>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w:t>
      </w:r>
      <w:proofErr w:type="spellStart"/>
      <w:r w:rsidRPr="00D24CD9">
        <w:rPr>
          <w:rFonts w:ascii="Helvetica" w:hAnsi="Helvetica" w:cs="Helvetica"/>
        </w:rPr>
        <w:t>Sipí</w:t>
      </w:r>
      <w:proofErr w:type="spellEnd"/>
      <w:r w:rsidRPr="00D24CD9">
        <w:rPr>
          <w:rFonts w:ascii="Helvetica" w:hAnsi="Helvetica" w:cs="Helvetica"/>
        </w:rPr>
        <w:t xml:space="preserve">, Río Sucio, Alto Baudó, Bajo Baudó, Acandí, </w:t>
      </w:r>
      <w:proofErr w:type="spellStart"/>
      <w:r w:rsidRPr="00D24CD9">
        <w:rPr>
          <w:rFonts w:ascii="Helvetica" w:hAnsi="Helvetica" w:cs="Helvetica"/>
        </w:rPr>
        <w:t>Unguía</w:t>
      </w:r>
      <w:proofErr w:type="spellEnd"/>
      <w:r w:rsidRPr="00D24CD9">
        <w:rPr>
          <w:rFonts w:ascii="Helvetica" w:hAnsi="Helvetica" w:cs="Helvetica"/>
        </w:rPr>
        <w:t xml:space="preserve">, Litoral de San Juan, Bojayá, Medio Atrato, </w:t>
      </w:r>
      <w:proofErr w:type="spellStart"/>
      <w:r w:rsidRPr="00D24CD9">
        <w:rPr>
          <w:rFonts w:ascii="Helvetica" w:hAnsi="Helvetica" w:cs="Helvetica"/>
        </w:rPr>
        <w:t>Iró</w:t>
      </w:r>
      <w:proofErr w:type="spellEnd"/>
      <w:r w:rsidRPr="00D24CD9">
        <w:rPr>
          <w:rFonts w:ascii="Helvetica" w:hAnsi="Helvetica" w:cs="Helvetica"/>
        </w:rPr>
        <w:t xml:space="preserve">, Bahía Solano, </w:t>
      </w:r>
      <w:proofErr w:type="spellStart"/>
      <w:r w:rsidRPr="00D24CD9">
        <w:rPr>
          <w:rFonts w:ascii="Helvetica" w:hAnsi="Helvetica" w:cs="Helvetica"/>
        </w:rPr>
        <w:t>Juradó</w:t>
      </w:r>
      <w:proofErr w:type="spellEnd"/>
      <w:r w:rsidRPr="00D24CD9">
        <w:rPr>
          <w:rFonts w:ascii="Helvetica" w:hAnsi="Helvetica" w:cs="Helvetica"/>
        </w:rPr>
        <w:t xml:space="preserve"> y Carmen del Darién del departamento del Chocó.</w:t>
      </w:r>
    </w:p>
    <w:p w14:paraId="2A53C2D5" w14:textId="77777777" w:rsidR="00DC0794" w:rsidRPr="00D24CD9" w:rsidRDefault="00DC0794" w:rsidP="00DC0794">
      <w:pPr>
        <w:spacing w:before="0" w:after="0"/>
        <w:rPr>
          <w:rFonts w:ascii="Helvetica" w:hAnsi="Helvetica" w:cs="Helvetica"/>
        </w:rPr>
      </w:pPr>
    </w:p>
    <w:p w14:paraId="6A663254"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d:</w:t>
      </w:r>
      <w:r w:rsidRPr="00D24CD9">
        <w:rPr>
          <w:rFonts w:ascii="Helvetica" w:hAnsi="Helvetica" w:cs="Helvetica"/>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w:t>
      </w:r>
      <w:r w:rsidRPr="00D24CD9">
        <w:rPr>
          <w:rFonts w:ascii="Helvetica" w:hAnsi="Helvetica" w:cs="Helvetica"/>
        </w:rPr>
        <w:lastRenderedPageBreak/>
        <w:t>diciembre de 2003, 27 de febrero de 2006, 23 de agosto de 2007 y 17 de junio de 2011, respectivamente y en particular, por la 41276 del 30 de diciembre de 2016.</w:t>
      </w:r>
    </w:p>
    <w:p w14:paraId="6DA5AF42" w14:textId="77777777" w:rsidR="00DC0794" w:rsidRPr="00D24CD9" w:rsidRDefault="00DC0794" w:rsidP="00DC0794">
      <w:pPr>
        <w:spacing w:before="0" w:after="0"/>
        <w:rPr>
          <w:rFonts w:ascii="Helvetica" w:hAnsi="Helvetica" w:cs="Helvetica"/>
        </w:rPr>
      </w:pPr>
    </w:p>
    <w:p w14:paraId="084162A7" w14:textId="77777777" w:rsidR="00DC0794" w:rsidRPr="00D24CD9" w:rsidRDefault="00DC0794" w:rsidP="00DC0794">
      <w:pPr>
        <w:spacing w:before="0" w:after="0"/>
        <w:rPr>
          <w:rFonts w:ascii="Helvetica" w:hAnsi="Helvetica" w:cs="Helvetica"/>
        </w:rPr>
      </w:pPr>
      <w:proofErr w:type="spellStart"/>
      <w:r w:rsidRPr="00D24CD9">
        <w:rPr>
          <w:rFonts w:ascii="Helvetica" w:hAnsi="Helvetica" w:cs="Helvetica"/>
          <w:b/>
          <w:bCs/>
        </w:rPr>
        <w:t>e</w:t>
      </w:r>
      <w:proofErr w:type="spellEnd"/>
      <w:r w:rsidRPr="00D24CD9">
        <w:rPr>
          <w:rFonts w:ascii="Helvetica" w:hAnsi="Helvetica" w:cs="Helvetica"/>
          <w:b/>
          <w:bCs/>
        </w:rPr>
        <w:t>:</w:t>
      </w:r>
      <w:r w:rsidRPr="00D24CD9">
        <w:rPr>
          <w:rFonts w:ascii="Helvetica" w:hAnsi="Helvetica" w:cs="Helvetica"/>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definidos por la Resolución 40079 del 1 de febrero de 2018, y para el biocombustible para uso en motores diésel, lo definido por la Resolución 41277 del 30 de diciembre de 2016. </w:t>
      </w:r>
    </w:p>
    <w:p w14:paraId="4F7254E4" w14:textId="77777777" w:rsidR="00DC0794" w:rsidRPr="00D24CD9" w:rsidRDefault="00DC0794" w:rsidP="00DC0794">
      <w:pPr>
        <w:spacing w:before="0" w:after="0"/>
        <w:rPr>
          <w:rFonts w:ascii="Helvetica" w:hAnsi="Helvetica" w:cs="Helvetica"/>
        </w:rPr>
      </w:pPr>
    </w:p>
    <w:p w14:paraId="702F9FD1"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f:</w:t>
      </w:r>
      <w:r w:rsidRPr="00D24CD9">
        <w:rPr>
          <w:rFonts w:ascii="Helvetica" w:hAnsi="Helvetica" w:cs="Helvetica"/>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6E1311D4" w14:textId="77777777" w:rsidR="00DC0794" w:rsidRPr="00D24CD9" w:rsidRDefault="00DC0794" w:rsidP="00DC0794">
      <w:pPr>
        <w:spacing w:before="0" w:after="0"/>
        <w:rPr>
          <w:rFonts w:ascii="Helvetica" w:hAnsi="Helvetica" w:cs="Helvetica"/>
        </w:rPr>
      </w:pPr>
    </w:p>
    <w:p w14:paraId="6C9FEA6C"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g:</w:t>
      </w:r>
      <w:r w:rsidRPr="00D24CD9">
        <w:rPr>
          <w:rFonts w:ascii="Helvetica" w:hAnsi="Helvetica" w:cs="Helvetica"/>
        </w:rPr>
        <w:t xml:space="preserve"> Se calculará y ajustará a lo señalado en la Resolución 41278 del 30 de diciembre de 2016, o las disposiciones que lo modifiquen o sustituyan.</w:t>
      </w:r>
    </w:p>
    <w:p w14:paraId="4DF12D8A" w14:textId="77777777" w:rsidR="00DC0794" w:rsidRPr="00D24CD9" w:rsidRDefault="00DC0794" w:rsidP="00DC0794">
      <w:pPr>
        <w:spacing w:before="0" w:after="0"/>
        <w:rPr>
          <w:rFonts w:ascii="Helvetica" w:hAnsi="Helvetica" w:cs="Helvetica"/>
        </w:rPr>
      </w:pPr>
    </w:p>
    <w:p w14:paraId="386CEE29"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h:</w:t>
      </w:r>
      <w:r w:rsidRPr="00D24CD9">
        <w:rPr>
          <w:rFonts w:ascii="Helvetica" w:hAnsi="Helvetica" w:cs="Helvetica"/>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45F96B5E" w14:textId="77777777" w:rsidR="00DC0794" w:rsidRPr="00D24CD9" w:rsidRDefault="00DC0794" w:rsidP="00DC0794">
      <w:pPr>
        <w:spacing w:before="0" w:after="0"/>
        <w:rPr>
          <w:rFonts w:ascii="Helvetica" w:hAnsi="Helvetica" w:cs="Helvetica"/>
        </w:rPr>
      </w:pPr>
    </w:p>
    <w:p w14:paraId="0C98D223"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i:</w:t>
      </w:r>
      <w:r w:rsidRPr="00D24CD9">
        <w:rPr>
          <w:rFonts w:ascii="Helvetica" w:hAnsi="Helvetica" w:cs="Helvetica"/>
        </w:rPr>
        <w:t xml:space="preserve"> Se calculará en cada sitio de entrega habilitado dependiendo del margen de distribuidor mayorista a considerar. En particular, debe considerarse lo establecido en </w:t>
      </w:r>
      <w:r w:rsidRPr="00D24CD9">
        <w:rPr>
          <w:rFonts w:ascii="Helvetica" w:hAnsi="Helvetica" w:cs="Helvetica"/>
        </w:rPr>
        <w:lastRenderedPageBreak/>
        <w:t>los artículos 5, 9, 13 o 17 de la Resolución 40112 del 12 de abril del 2021, según corresponda al tipo de producto.</w:t>
      </w:r>
    </w:p>
    <w:p w14:paraId="5DC24C26" w14:textId="77777777" w:rsidR="00DC0794" w:rsidRPr="00D24CD9" w:rsidRDefault="00DC0794" w:rsidP="00DC0794">
      <w:pPr>
        <w:spacing w:before="0" w:after="0"/>
        <w:rPr>
          <w:rFonts w:ascii="Helvetica" w:hAnsi="Helvetica" w:cs="Helvetica"/>
        </w:rPr>
      </w:pPr>
    </w:p>
    <w:p w14:paraId="01F039EE"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j:</w:t>
      </w:r>
      <w:r w:rsidRPr="00D24CD9">
        <w:rPr>
          <w:rFonts w:ascii="Helvetica" w:hAnsi="Helvetica" w:cs="Helvetica"/>
        </w:rPr>
        <w:t xml:space="preserve"> Es el valor establecido por la Resolución 40222 del 22 de febrero de 2015, y las demás que la modifiquen o sustituyan. Adicionalmente, debe considerarse, lo dispuesto en la Resolución 181254 del 30 de julio de 2012, o las demás que la modifiquen o sustituyan, respecto al régimen de libertad vigilada o régimen de libertad regulada. </w:t>
      </w:r>
    </w:p>
    <w:p w14:paraId="77EB170E" w14:textId="77777777" w:rsidR="00DC0794" w:rsidRPr="00D24CD9" w:rsidRDefault="00DC0794" w:rsidP="00DC0794">
      <w:pPr>
        <w:spacing w:before="0" w:after="0"/>
        <w:rPr>
          <w:rFonts w:ascii="Helvetica" w:hAnsi="Helvetica" w:cs="Helvetica"/>
        </w:rPr>
      </w:pPr>
    </w:p>
    <w:p w14:paraId="10E06BC1"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k:</w:t>
      </w:r>
      <w:r w:rsidRPr="00D24CD9">
        <w:rPr>
          <w:rFonts w:ascii="Helvetica" w:hAnsi="Helvetica" w:cs="Helvetica"/>
        </w:rPr>
        <w:t xml:space="preserve"> Se calculará de acuerdo con lo señalado en el artículo 3 del Decreto 3322 del 25 de septiembre de 2006 y en el artículo 6 de la Resolución 18 1088 del 23 de agosto de 2005.</w:t>
      </w:r>
    </w:p>
    <w:p w14:paraId="0C92724E" w14:textId="77777777" w:rsidR="00DC0794" w:rsidRPr="00D24CD9" w:rsidRDefault="00DC0794" w:rsidP="00DC0794">
      <w:pPr>
        <w:spacing w:before="0" w:after="0"/>
        <w:rPr>
          <w:rFonts w:ascii="Helvetica" w:hAnsi="Helvetica" w:cs="Helvetica"/>
        </w:rPr>
      </w:pPr>
    </w:p>
    <w:p w14:paraId="6937CDBC" w14:textId="77777777" w:rsidR="00DC0794" w:rsidRPr="00D24CD9" w:rsidRDefault="00DC0794" w:rsidP="00DC0794">
      <w:pPr>
        <w:spacing w:before="0" w:after="0"/>
        <w:rPr>
          <w:rFonts w:ascii="Helvetica" w:hAnsi="Helvetica" w:cs="Helvetica"/>
        </w:rPr>
      </w:pPr>
      <w:r w:rsidRPr="00D24CD9">
        <w:rPr>
          <w:rFonts w:ascii="Helvetica" w:hAnsi="Helvetica" w:cs="Helvetica"/>
          <w:b/>
          <w:bCs/>
        </w:rPr>
        <w:t>l</w:t>
      </w:r>
      <w:r w:rsidRPr="00D24CD9">
        <w:rPr>
          <w:rFonts w:ascii="Helvetica" w:hAnsi="Helvetica" w:cs="Helvetica"/>
        </w:rPr>
        <w:t>: Se calcularán y ajustarán a lo señalado en la Resolución 90664 de 2014, y en la Resolución modificatoria 41280 del 30 de diciembre de 2016.</w:t>
      </w:r>
    </w:p>
    <w:p w14:paraId="1CDC965E" w14:textId="77777777" w:rsidR="00DC0794" w:rsidRPr="00D24CD9" w:rsidRDefault="00DC0794" w:rsidP="00DC0794">
      <w:pPr>
        <w:spacing w:before="0" w:after="0"/>
        <w:rPr>
          <w:rFonts w:ascii="Helvetica" w:hAnsi="Helvetica" w:cs="Helvetica"/>
        </w:rPr>
      </w:pPr>
    </w:p>
    <w:p w14:paraId="589BE9B4" w14:textId="55814B4B" w:rsidR="00467415" w:rsidRPr="00D24CD9" w:rsidRDefault="00DC0794" w:rsidP="00DC0794">
      <w:pPr>
        <w:spacing w:before="0" w:after="0"/>
        <w:rPr>
          <w:rFonts w:ascii="Helvetica" w:hAnsi="Helvetica" w:cs="Helvetica"/>
        </w:rPr>
      </w:pPr>
      <w:r w:rsidRPr="00D24CD9">
        <w:rPr>
          <w:rFonts w:ascii="Helvetica" w:hAnsi="Helvetica" w:cs="Helvetica"/>
          <w:b/>
          <w:bCs/>
        </w:rPr>
        <w:t>m</w:t>
      </w:r>
      <w:r w:rsidRPr="00D24CD9">
        <w:rPr>
          <w:rFonts w:ascii="Helvetica" w:hAnsi="Helvetica" w:cs="Helvetica"/>
        </w:rPr>
        <w:t xml:space="preserve">: Se calculará en cada sitio de entrega habilitado como la suma de: i) el Precio máximo en planta de abastecimiento mayorista, </w:t>
      </w:r>
      <w:proofErr w:type="spellStart"/>
      <w:r w:rsidRPr="00D24CD9">
        <w:rPr>
          <w:rFonts w:ascii="Helvetica" w:hAnsi="Helvetica" w:cs="Helvetica"/>
        </w:rPr>
        <w:t>ii</w:t>
      </w:r>
      <w:proofErr w:type="spellEnd"/>
      <w:r w:rsidRPr="00D24CD9">
        <w:rPr>
          <w:rFonts w:ascii="Helvetica" w:hAnsi="Helvetica" w:cs="Helvetica"/>
        </w:rPr>
        <w:t xml:space="preserve">) el margen de distribuidor minorista, </w:t>
      </w:r>
      <w:proofErr w:type="spellStart"/>
      <w:r w:rsidRPr="00D24CD9">
        <w:rPr>
          <w:rFonts w:ascii="Helvetica" w:hAnsi="Helvetica" w:cs="Helvetica"/>
        </w:rPr>
        <w:t>iii</w:t>
      </w:r>
      <w:proofErr w:type="spellEnd"/>
      <w:r w:rsidRPr="00D24CD9">
        <w:rPr>
          <w:rFonts w:ascii="Helvetica" w:hAnsi="Helvetica" w:cs="Helvetica"/>
        </w:rPr>
        <w:t xml:space="preserve">) los costos de transporte desde el sitio de abastecimiento a la estación de servicio, </w:t>
      </w:r>
      <w:proofErr w:type="spellStart"/>
      <w:r w:rsidRPr="00D24CD9">
        <w:rPr>
          <w:rFonts w:ascii="Helvetica" w:hAnsi="Helvetica" w:cs="Helvetica"/>
        </w:rPr>
        <w:t>iv</w:t>
      </w:r>
      <w:proofErr w:type="spellEnd"/>
      <w:r w:rsidRPr="00D24CD9">
        <w:rPr>
          <w:rFonts w:ascii="Helvetica" w:hAnsi="Helvetica" w:cs="Helvetica"/>
        </w:rPr>
        <w:t>)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p w14:paraId="54BDCE83" w14:textId="77777777" w:rsidR="00DC0794" w:rsidRPr="00D24CD9" w:rsidRDefault="00DC0794" w:rsidP="00DC0794">
      <w:pPr>
        <w:spacing w:before="0" w:after="0"/>
        <w:rPr>
          <w:rFonts w:ascii="Helvetica" w:hAnsi="Helvetica" w:cs="Helvetica"/>
          <w:sz w:val="22"/>
          <w:szCs w:val="22"/>
        </w:rPr>
      </w:pPr>
    </w:p>
    <w:p w14:paraId="19359524" w14:textId="1FB5C2EA" w:rsidR="00726DC0" w:rsidRPr="00F36F60" w:rsidRDefault="0030237D" w:rsidP="00280305">
      <w:pPr>
        <w:spacing w:before="0" w:after="0"/>
        <w:rPr>
          <w:rFonts w:ascii="Helvetica" w:hAnsi="Helvetica" w:cs="Helvetica"/>
        </w:rPr>
      </w:pPr>
      <w:r w:rsidRPr="00F36F60">
        <w:rPr>
          <w:rFonts w:ascii="Helvetica" w:hAnsi="Helvetica" w:cs="Helvetica"/>
          <w:sz w:val="22"/>
          <w:szCs w:val="22"/>
        </w:rPr>
        <w:t>FIN DEL ANEXO</w:t>
      </w:r>
    </w:p>
    <w:sectPr w:rsidR="00726DC0" w:rsidRPr="00F36F60" w:rsidSect="00133D73">
      <w:headerReference w:type="default" r:id="rId11"/>
      <w:footerReference w:type="default" r:id="rId12"/>
      <w:headerReference w:type="first" r:id="rId13"/>
      <w:footerReference w:type="first" r:id="rId14"/>
      <w:pgSz w:w="12240" w:h="15840"/>
      <w:pgMar w:top="1979" w:right="1418" w:bottom="1985"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0638" w14:textId="77777777" w:rsidR="00E42214" w:rsidRDefault="00E42214" w:rsidP="00AA0519">
      <w:r>
        <w:separator/>
      </w:r>
    </w:p>
  </w:endnote>
  <w:endnote w:type="continuationSeparator" w:id="0">
    <w:p w14:paraId="3F6B983B" w14:textId="77777777" w:rsidR="00E42214" w:rsidRDefault="00E42214"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683D" w14:textId="77777777" w:rsidR="00133D73" w:rsidRDefault="00133D73" w:rsidP="00DB6892">
    <w:pPr>
      <w:pBdr>
        <w:bottom w:val="single" w:sz="12" w:space="1" w:color="auto"/>
      </w:pBdr>
      <w:spacing w:after="0" w:line="276" w:lineRule="auto"/>
      <w:jc w:val="both"/>
      <w:rPr>
        <w:rFonts w:ascii="Helvetica" w:hAnsi="Helvetica"/>
        <w:b/>
        <w:bCs/>
        <w:sz w:val="20"/>
        <w:szCs w:val="20"/>
      </w:rPr>
    </w:pPr>
  </w:p>
  <w:p w14:paraId="595512EF" w14:textId="77777777" w:rsidR="00DB6892" w:rsidRPr="000774A9" w:rsidRDefault="00DB6892" w:rsidP="00DE1DF3">
    <w:pPr>
      <w:spacing w:before="0"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2FC45316" w14:textId="77777777" w:rsidR="00DB6892" w:rsidRPr="00DE1DF3" w:rsidRDefault="00DB6892" w:rsidP="00DE1DF3">
    <w:pPr>
      <w:spacing w:before="0" w:after="0" w:line="276" w:lineRule="auto"/>
      <w:jc w:val="both"/>
      <w:rPr>
        <w:rFonts w:ascii="Helvetica" w:hAnsi="Helvetica"/>
        <w:sz w:val="20"/>
        <w:szCs w:val="20"/>
      </w:rPr>
    </w:pPr>
    <w:r w:rsidRPr="00DE1DF3">
      <w:rPr>
        <w:rFonts w:ascii="Helvetica" w:hAnsi="Helvetica"/>
        <w:sz w:val="20"/>
        <w:szCs w:val="20"/>
      </w:rPr>
      <w:t>Dirección: Calle 116 No.7 - 15, Bogotá D.C., Colombia</w:t>
    </w:r>
  </w:p>
  <w:p w14:paraId="19B43AED" w14:textId="77777777" w:rsidR="00DB6892" w:rsidRPr="00DE1DF3" w:rsidRDefault="00DB6892" w:rsidP="00DE1DF3">
    <w:pPr>
      <w:spacing w:before="0" w:after="0" w:line="276" w:lineRule="auto"/>
      <w:jc w:val="both"/>
      <w:rPr>
        <w:rFonts w:ascii="Helvetica" w:hAnsi="Helvetica"/>
        <w:sz w:val="20"/>
        <w:szCs w:val="20"/>
      </w:rPr>
    </w:pPr>
    <w:r w:rsidRPr="00DE1DF3">
      <w:rPr>
        <w:rFonts w:ascii="Helvetica" w:hAnsi="Helvetica"/>
        <w:sz w:val="20"/>
        <w:szCs w:val="20"/>
      </w:rPr>
      <w:t>Conmutador: (+57) 601 603 2020</w:t>
    </w:r>
  </w:p>
  <w:p w14:paraId="12EB656D" w14:textId="09B8CFDD" w:rsidR="00735E1F" w:rsidRPr="00DE1DF3" w:rsidRDefault="00DB6892" w:rsidP="00DE1DF3">
    <w:pPr>
      <w:spacing w:before="0" w:after="0" w:line="276" w:lineRule="auto"/>
      <w:jc w:val="both"/>
      <w:rPr>
        <w:rFonts w:ascii="Helvetica" w:hAnsi="Helvetica"/>
        <w:sz w:val="20"/>
        <w:szCs w:val="20"/>
      </w:rPr>
    </w:pPr>
    <w:r w:rsidRPr="00DE1DF3">
      <w:rPr>
        <w:rFonts w:ascii="Helvetica" w:hAnsi="Helvetica"/>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4AEE" w14:textId="2F6E71D7" w:rsidR="00A911B2" w:rsidRDefault="00A911B2" w:rsidP="00FD68F9">
    <w:pPr>
      <w:pBdr>
        <w:bottom w:val="single" w:sz="12" w:space="1" w:color="auto"/>
      </w:pBdr>
      <w:spacing w:after="0" w:line="276" w:lineRule="auto"/>
      <w:jc w:val="both"/>
      <w:rPr>
        <w:rFonts w:ascii="Helvetica" w:hAnsi="Helvetica"/>
        <w:b/>
        <w:bCs/>
        <w:sz w:val="20"/>
        <w:szCs w:val="20"/>
      </w:rPr>
    </w:pPr>
  </w:p>
  <w:p w14:paraId="62EC2D52" w14:textId="07589B87" w:rsidR="00FD68F9" w:rsidRPr="000774A9" w:rsidRDefault="00FD68F9" w:rsidP="00DE1DF3">
    <w:pPr>
      <w:spacing w:before="0"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1993944F" w14:textId="77777777" w:rsidR="00FD68F9" w:rsidRPr="00DE1DF3" w:rsidRDefault="00FD68F9" w:rsidP="00DE1DF3">
    <w:pPr>
      <w:spacing w:before="0" w:after="0" w:line="276" w:lineRule="auto"/>
      <w:jc w:val="both"/>
      <w:rPr>
        <w:rFonts w:ascii="Helvetica" w:hAnsi="Helvetica"/>
        <w:sz w:val="20"/>
        <w:szCs w:val="20"/>
      </w:rPr>
    </w:pPr>
    <w:r w:rsidRPr="00DE1DF3">
      <w:rPr>
        <w:rFonts w:ascii="Helvetica" w:hAnsi="Helvetica"/>
        <w:sz w:val="20"/>
        <w:szCs w:val="20"/>
      </w:rPr>
      <w:t>Dirección: Calle 116 No.7 - 15, Bogotá D.C., Colombia</w:t>
    </w:r>
  </w:p>
  <w:p w14:paraId="4DAD554B" w14:textId="77777777" w:rsidR="00FD68F9" w:rsidRPr="00DE1DF3" w:rsidRDefault="00FD68F9" w:rsidP="00DE1DF3">
    <w:pPr>
      <w:spacing w:before="0" w:after="0" w:line="276" w:lineRule="auto"/>
      <w:jc w:val="both"/>
      <w:rPr>
        <w:rFonts w:ascii="Helvetica" w:hAnsi="Helvetica"/>
        <w:sz w:val="20"/>
        <w:szCs w:val="20"/>
      </w:rPr>
    </w:pPr>
    <w:r w:rsidRPr="00DE1DF3">
      <w:rPr>
        <w:rFonts w:ascii="Helvetica" w:hAnsi="Helvetica"/>
        <w:sz w:val="20"/>
        <w:szCs w:val="20"/>
      </w:rPr>
      <w:t>Conmutador: (+57) 601 603 2020</w:t>
    </w:r>
  </w:p>
  <w:p w14:paraId="726A889B" w14:textId="2A5AB63A" w:rsidR="003F2F4B" w:rsidRPr="00DE1DF3" w:rsidRDefault="00FD68F9" w:rsidP="00DE1DF3">
    <w:pPr>
      <w:spacing w:before="0" w:after="0" w:line="276" w:lineRule="auto"/>
      <w:jc w:val="both"/>
      <w:rPr>
        <w:rFonts w:ascii="Helvetica" w:hAnsi="Helvetica"/>
        <w:sz w:val="20"/>
        <w:szCs w:val="20"/>
      </w:rPr>
    </w:pPr>
    <w:r w:rsidRPr="00DE1DF3">
      <w:rPr>
        <w:rFonts w:ascii="Helvetica" w:hAnsi="Helvetica"/>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EB9D" w14:textId="77777777" w:rsidR="00E42214" w:rsidRDefault="00E42214" w:rsidP="00AA0519">
      <w:r>
        <w:separator/>
      </w:r>
    </w:p>
  </w:footnote>
  <w:footnote w:type="continuationSeparator" w:id="0">
    <w:p w14:paraId="24F53C1B" w14:textId="77777777" w:rsidR="00E42214" w:rsidRDefault="00E42214"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8324" w14:textId="54D52C43" w:rsidR="003F2F4B" w:rsidRPr="008C0A5F" w:rsidRDefault="00DB6892" w:rsidP="003B4F7D">
    <w:pPr>
      <w:pStyle w:val="Encabezado"/>
      <w:rPr>
        <w:sz w:val="22"/>
        <w:szCs w:val="22"/>
      </w:rPr>
    </w:pPr>
    <w:r>
      <w:rPr>
        <w:noProof/>
      </w:rPr>
      <w:drawing>
        <wp:anchor distT="0" distB="0" distL="114300" distR="114300" simplePos="0" relativeHeight="251672576" behindDoc="0" locked="0" layoutInCell="1" allowOverlap="1" wp14:anchorId="756FC820" wp14:editId="5C5D672A">
          <wp:simplePos x="0" y="0"/>
          <wp:positionH relativeFrom="margin">
            <wp:align>left</wp:align>
          </wp:positionH>
          <wp:positionV relativeFrom="margin">
            <wp:posOffset>-581025</wp:posOffset>
          </wp:positionV>
          <wp:extent cx="1033145" cy="359410"/>
          <wp:effectExtent l="0" t="0" r="0" b="2540"/>
          <wp:wrapSquare wrapText="bothSides"/>
          <wp:docPr id="1024887277" name="Imagen 102488727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71552" behindDoc="0" locked="0" layoutInCell="1" allowOverlap="1" wp14:anchorId="064B93B2" wp14:editId="1C6DDA8C">
          <wp:simplePos x="0" y="0"/>
          <wp:positionH relativeFrom="margin">
            <wp:align>right</wp:align>
          </wp:positionH>
          <wp:positionV relativeFrom="margin">
            <wp:posOffset>-523875</wp:posOffset>
          </wp:positionV>
          <wp:extent cx="644400" cy="360000"/>
          <wp:effectExtent l="0" t="0" r="3810" b="2540"/>
          <wp:wrapSquare wrapText="bothSides"/>
          <wp:docPr id="1328191994" name="Imagen 132819199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D022" w14:textId="15197CEC" w:rsidR="006756C5" w:rsidRDefault="00DE1DF3" w:rsidP="006756C5">
    <w:pPr>
      <w:pStyle w:val="Encabezado"/>
    </w:pPr>
    <w:r>
      <w:rPr>
        <w:noProof/>
      </w:rPr>
      <w:drawing>
        <wp:anchor distT="0" distB="0" distL="114300" distR="114300" simplePos="0" relativeHeight="251668480" behindDoc="0" locked="0" layoutInCell="1" allowOverlap="1" wp14:anchorId="62F87B16" wp14:editId="6E8FF930">
          <wp:simplePos x="0" y="0"/>
          <wp:positionH relativeFrom="margin">
            <wp:posOffset>5492750</wp:posOffset>
          </wp:positionH>
          <wp:positionV relativeFrom="margin">
            <wp:posOffset>-814705</wp:posOffset>
          </wp:positionV>
          <wp:extent cx="722630" cy="403860"/>
          <wp:effectExtent l="0" t="0" r="1270" b="0"/>
          <wp:wrapSquare wrapText="bothSides"/>
          <wp:docPr id="1084011508" name="Imagen 108401150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403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6E560FA" wp14:editId="3A59385C">
          <wp:simplePos x="0" y="0"/>
          <wp:positionH relativeFrom="margin">
            <wp:posOffset>-487680</wp:posOffset>
          </wp:positionH>
          <wp:positionV relativeFrom="margin">
            <wp:posOffset>-817245</wp:posOffset>
          </wp:positionV>
          <wp:extent cx="1033145" cy="359410"/>
          <wp:effectExtent l="0" t="0" r="0" b="2540"/>
          <wp:wrapSquare wrapText="bothSides"/>
          <wp:docPr id="249333531" name="Imagen 24933353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sidR="00401E61">
      <w:rPr>
        <w:noProof/>
      </w:rPr>
      <w:t xml:space="preserve">                                  </w:t>
    </w:r>
  </w:p>
  <w:p w14:paraId="47126917" w14:textId="1EEB483A" w:rsidR="006756C5" w:rsidRDefault="006756C5" w:rsidP="00DE1DF3">
    <w:pPr>
      <w:pStyle w:val="Encabezado"/>
      <w:spacing w:before="0"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4F3D"/>
    <w:rsid w:val="00046BDF"/>
    <w:rsid w:val="00071BA7"/>
    <w:rsid w:val="00074D17"/>
    <w:rsid w:val="0008325F"/>
    <w:rsid w:val="000B439A"/>
    <w:rsid w:val="000B4983"/>
    <w:rsid w:val="000C6C9A"/>
    <w:rsid w:val="000D7050"/>
    <w:rsid w:val="000F11F6"/>
    <w:rsid w:val="000F38B4"/>
    <w:rsid w:val="001215BB"/>
    <w:rsid w:val="00124C31"/>
    <w:rsid w:val="00133D73"/>
    <w:rsid w:val="0014353D"/>
    <w:rsid w:val="00153BE7"/>
    <w:rsid w:val="001E2DD2"/>
    <w:rsid w:val="001F303A"/>
    <w:rsid w:val="001F47AB"/>
    <w:rsid w:val="00212267"/>
    <w:rsid w:val="0024085D"/>
    <w:rsid w:val="00241F06"/>
    <w:rsid w:val="00280305"/>
    <w:rsid w:val="002A6D67"/>
    <w:rsid w:val="002C26C3"/>
    <w:rsid w:val="0030237D"/>
    <w:rsid w:val="00324760"/>
    <w:rsid w:val="00340559"/>
    <w:rsid w:val="00353D1D"/>
    <w:rsid w:val="0035632E"/>
    <w:rsid w:val="00357B2A"/>
    <w:rsid w:val="00361DFF"/>
    <w:rsid w:val="0038014E"/>
    <w:rsid w:val="003A7FC9"/>
    <w:rsid w:val="003B1FEC"/>
    <w:rsid w:val="003B4F7D"/>
    <w:rsid w:val="003C106C"/>
    <w:rsid w:val="003C7E1C"/>
    <w:rsid w:val="003D30FB"/>
    <w:rsid w:val="003F2F4B"/>
    <w:rsid w:val="00401E61"/>
    <w:rsid w:val="004142B1"/>
    <w:rsid w:val="004170AF"/>
    <w:rsid w:val="004335E4"/>
    <w:rsid w:val="00456720"/>
    <w:rsid w:val="00457CC2"/>
    <w:rsid w:val="00467415"/>
    <w:rsid w:val="00483D6B"/>
    <w:rsid w:val="00491842"/>
    <w:rsid w:val="004A6CAB"/>
    <w:rsid w:val="004C0855"/>
    <w:rsid w:val="004C69B7"/>
    <w:rsid w:val="004E017D"/>
    <w:rsid w:val="004F2C12"/>
    <w:rsid w:val="00506DE5"/>
    <w:rsid w:val="00515BEF"/>
    <w:rsid w:val="0053330D"/>
    <w:rsid w:val="005604AC"/>
    <w:rsid w:val="00571C5E"/>
    <w:rsid w:val="005723D7"/>
    <w:rsid w:val="00580265"/>
    <w:rsid w:val="00587F12"/>
    <w:rsid w:val="005A4453"/>
    <w:rsid w:val="005B4F83"/>
    <w:rsid w:val="005B53D9"/>
    <w:rsid w:val="005B5736"/>
    <w:rsid w:val="005B7D87"/>
    <w:rsid w:val="005C287A"/>
    <w:rsid w:val="005C42EC"/>
    <w:rsid w:val="005D7D66"/>
    <w:rsid w:val="005E366C"/>
    <w:rsid w:val="005E3E32"/>
    <w:rsid w:val="005F6877"/>
    <w:rsid w:val="005F783D"/>
    <w:rsid w:val="00602072"/>
    <w:rsid w:val="00623B30"/>
    <w:rsid w:val="00651461"/>
    <w:rsid w:val="00651863"/>
    <w:rsid w:val="006629AD"/>
    <w:rsid w:val="006756C5"/>
    <w:rsid w:val="006C2F7E"/>
    <w:rsid w:val="006D6FD4"/>
    <w:rsid w:val="006E1726"/>
    <w:rsid w:val="006E22E8"/>
    <w:rsid w:val="00717096"/>
    <w:rsid w:val="007247FF"/>
    <w:rsid w:val="00726DC0"/>
    <w:rsid w:val="00735E1F"/>
    <w:rsid w:val="0074199A"/>
    <w:rsid w:val="00752DEC"/>
    <w:rsid w:val="00762CBD"/>
    <w:rsid w:val="0078631A"/>
    <w:rsid w:val="007A5AE1"/>
    <w:rsid w:val="007A7C1D"/>
    <w:rsid w:val="007C5142"/>
    <w:rsid w:val="007F3B2B"/>
    <w:rsid w:val="007F42E3"/>
    <w:rsid w:val="007F4E31"/>
    <w:rsid w:val="0080027D"/>
    <w:rsid w:val="008066FD"/>
    <w:rsid w:val="00811678"/>
    <w:rsid w:val="00812FF5"/>
    <w:rsid w:val="00823401"/>
    <w:rsid w:val="0084098E"/>
    <w:rsid w:val="00847FE4"/>
    <w:rsid w:val="008518A8"/>
    <w:rsid w:val="0085194E"/>
    <w:rsid w:val="00872A2E"/>
    <w:rsid w:val="008776E3"/>
    <w:rsid w:val="008B0943"/>
    <w:rsid w:val="008C0A5F"/>
    <w:rsid w:val="00902889"/>
    <w:rsid w:val="00930F73"/>
    <w:rsid w:val="00937C4D"/>
    <w:rsid w:val="0095597A"/>
    <w:rsid w:val="00957BE3"/>
    <w:rsid w:val="00970EE9"/>
    <w:rsid w:val="00976702"/>
    <w:rsid w:val="009A3312"/>
    <w:rsid w:val="009C26B5"/>
    <w:rsid w:val="009D72A5"/>
    <w:rsid w:val="009E7865"/>
    <w:rsid w:val="009F3478"/>
    <w:rsid w:val="009F5428"/>
    <w:rsid w:val="00A15CDD"/>
    <w:rsid w:val="00A15D55"/>
    <w:rsid w:val="00A30250"/>
    <w:rsid w:val="00A37757"/>
    <w:rsid w:val="00A84924"/>
    <w:rsid w:val="00A90A86"/>
    <w:rsid w:val="00A911B2"/>
    <w:rsid w:val="00A92B44"/>
    <w:rsid w:val="00AA0519"/>
    <w:rsid w:val="00AA7A5F"/>
    <w:rsid w:val="00B30281"/>
    <w:rsid w:val="00B37FAA"/>
    <w:rsid w:val="00B74DFE"/>
    <w:rsid w:val="00B81424"/>
    <w:rsid w:val="00BA6D78"/>
    <w:rsid w:val="00BF0FD8"/>
    <w:rsid w:val="00C20329"/>
    <w:rsid w:val="00C350D1"/>
    <w:rsid w:val="00C70578"/>
    <w:rsid w:val="00C81E1F"/>
    <w:rsid w:val="00C9169C"/>
    <w:rsid w:val="00C93328"/>
    <w:rsid w:val="00CA7E63"/>
    <w:rsid w:val="00CB3666"/>
    <w:rsid w:val="00CD6394"/>
    <w:rsid w:val="00CD6E1C"/>
    <w:rsid w:val="00CE66F4"/>
    <w:rsid w:val="00D15207"/>
    <w:rsid w:val="00D15A31"/>
    <w:rsid w:val="00D24CD9"/>
    <w:rsid w:val="00D31768"/>
    <w:rsid w:val="00D42B20"/>
    <w:rsid w:val="00D43034"/>
    <w:rsid w:val="00D74213"/>
    <w:rsid w:val="00D754A1"/>
    <w:rsid w:val="00D80877"/>
    <w:rsid w:val="00D915DC"/>
    <w:rsid w:val="00D946D9"/>
    <w:rsid w:val="00DA0984"/>
    <w:rsid w:val="00DB6892"/>
    <w:rsid w:val="00DC0794"/>
    <w:rsid w:val="00DE1DF3"/>
    <w:rsid w:val="00DF79E2"/>
    <w:rsid w:val="00E01852"/>
    <w:rsid w:val="00E035CC"/>
    <w:rsid w:val="00E03FD5"/>
    <w:rsid w:val="00E42214"/>
    <w:rsid w:val="00E4425C"/>
    <w:rsid w:val="00E56853"/>
    <w:rsid w:val="00E6447D"/>
    <w:rsid w:val="00E77923"/>
    <w:rsid w:val="00EB7DFF"/>
    <w:rsid w:val="00EC5291"/>
    <w:rsid w:val="00EF0DA6"/>
    <w:rsid w:val="00EF3A8F"/>
    <w:rsid w:val="00F02D43"/>
    <w:rsid w:val="00F13D47"/>
    <w:rsid w:val="00F20A60"/>
    <w:rsid w:val="00F23121"/>
    <w:rsid w:val="00F35EFC"/>
    <w:rsid w:val="00F36F60"/>
    <w:rsid w:val="00F477F0"/>
    <w:rsid w:val="00F65108"/>
    <w:rsid w:val="00F66BF3"/>
    <w:rsid w:val="00F80B1D"/>
    <w:rsid w:val="00F82573"/>
    <w:rsid w:val="00FA6661"/>
    <w:rsid w:val="00FB07C1"/>
    <w:rsid w:val="00FC759B"/>
    <w:rsid w:val="00FD2A8B"/>
    <w:rsid w:val="00FD68F9"/>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character" w:styleId="Hipervnculo">
    <w:name w:val="Hyperlink"/>
    <w:basedOn w:val="Fuentedeprrafopredeter"/>
    <w:uiPriority w:val="99"/>
    <w:unhideWhenUsed/>
    <w:rsid w:val="0030237D"/>
    <w:rPr>
      <w:color w:val="0000FF"/>
      <w:u w:val="single"/>
    </w:rPr>
  </w:style>
  <w:style w:type="paragraph" w:styleId="NormalWeb">
    <w:name w:val="Normal (Web)"/>
    <w:basedOn w:val="Normal"/>
    <w:uiPriority w:val="99"/>
    <w:unhideWhenUsed/>
    <w:rsid w:val="0030237D"/>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basedOn w:val="Tablanormal"/>
    <w:uiPriority w:val="39"/>
    <w:rsid w:val="0030237D"/>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445">
      <w:bodyDiv w:val="1"/>
      <w:marLeft w:val="0"/>
      <w:marRight w:val="0"/>
      <w:marTop w:val="0"/>
      <w:marBottom w:val="0"/>
      <w:divBdr>
        <w:top w:val="none" w:sz="0" w:space="0" w:color="auto"/>
        <w:left w:val="none" w:sz="0" w:space="0" w:color="auto"/>
        <w:bottom w:val="none" w:sz="0" w:space="0" w:color="auto"/>
        <w:right w:val="none" w:sz="0" w:space="0" w:color="auto"/>
      </w:divBdr>
    </w:div>
    <w:div w:id="222445245">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454568577">
      <w:bodyDiv w:val="1"/>
      <w:marLeft w:val="0"/>
      <w:marRight w:val="0"/>
      <w:marTop w:val="0"/>
      <w:marBottom w:val="0"/>
      <w:divBdr>
        <w:top w:val="none" w:sz="0" w:space="0" w:color="auto"/>
        <w:left w:val="none" w:sz="0" w:space="0" w:color="auto"/>
        <w:bottom w:val="none" w:sz="0" w:space="0" w:color="auto"/>
        <w:right w:val="none" w:sz="0" w:space="0" w:color="auto"/>
      </w:divBdr>
    </w:div>
    <w:div w:id="458375913">
      <w:bodyDiv w:val="1"/>
      <w:marLeft w:val="0"/>
      <w:marRight w:val="0"/>
      <w:marTop w:val="0"/>
      <w:marBottom w:val="0"/>
      <w:divBdr>
        <w:top w:val="none" w:sz="0" w:space="0" w:color="auto"/>
        <w:left w:val="none" w:sz="0" w:space="0" w:color="auto"/>
        <w:bottom w:val="none" w:sz="0" w:space="0" w:color="auto"/>
        <w:right w:val="none" w:sz="0" w:space="0" w:color="auto"/>
      </w:divBdr>
    </w:div>
    <w:div w:id="514927929">
      <w:bodyDiv w:val="1"/>
      <w:marLeft w:val="0"/>
      <w:marRight w:val="0"/>
      <w:marTop w:val="0"/>
      <w:marBottom w:val="0"/>
      <w:divBdr>
        <w:top w:val="none" w:sz="0" w:space="0" w:color="auto"/>
        <w:left w:val="none" w:sz="0" w:space="0" w:color="auto"/>
        <w:bottom w:val="none" w:sz="0" w:space="0" w:color="auto"/>
        <w:right w:val="none" w:sz="0" w:space="0" w:color="auto"/>
      </w:divBdr>
    </w:div>
    <w:div w:id="718557723">
      <w:bodyDiv w:val="1"/>
      <w:marLeft w:val="0"/>
      <w:marRight w:val="0"/>
      <w:marTop w:val="0"/>
      <w:marBottom w:val="0"/>
      <w:divBdr>
        <w:top w:val="none" w:sz="0" w:space="0" w:color="auto"/>
        <w:left w:val="none" w:sz="0" w:space="0" w:color="auto"/>
        <w:bottom w:val="none" w:sz="0" w:space="0" w:color="auto"/>
        <w:right w:val="none" w:sz="0" w:space="0" w:color="auto"/>
      </w:divBdr>
    </w:div>
    <w:div w:id="947354522">
      <w:bodyDiv w:val="1"/>
      <w:marLeft w:val="0"/>
      <w:marRight w:val="0"/>
      <w:marTop w:val="0"/>
      <w:marBottom w:val="0"/>
      <w:divBdr>
        <w:top w:val="none" w:sz="0" w:space="0" w:color="auto"/>
        <w:left w:val="none" w:sz="0" w:space="0" w:color="auto"/>
        <w:bottom w:val="none" w:sz="0" w:space="0" w:color="auto"/>
        <w:right w:val="none" w:sz="0" w:space="0" w:color="auto"/>
      </w:divBdr>
    </w:div>
    <w:div w:id="1386097550">
      <w:bodyDiv w:val="1"/>
      <w:marLeft w:val="0"/>
      <w:marRight w:val="0"/>
      <w:marTop w:val="0"/>
      <w:marBottom w:val="0"/>
      <w:divBdr>
        <w:top w:val="none" w:sz="0" w:space="0" w:color="auto"/>
        <w:left w:val="none" w:sz="0" w:space="0" w:color="auto"/>
        <w:bottom w:val="none" w:sz="0" w:space="0" w:color="auto"/>
        <w:right w:val="none" w:sz="0" w:space="0" w:color="auto"/>
      </w:divBdr>
    </w:div>
    <w:div w:id="18341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reg.gov.co/publicaciones/14288/precios-de-los-combustibl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AB7731BA-1332-4D9D-ABFF-A86C8889E467}">
  <ds:schemaRefs>
    <ds:schemaRef ds:uri="http://schemas.microsoft.com/sharepoint/v3/contenttype/forms"/>
  </ds:schemaRefs>
</ds:datastoreItem>
</file>

<file path=customXml/itemProps3.xml><?xml version="1.0" encoding="utf-8"?>
<ds:datastoreItem xmlns:ds="http://schemas.openxmlformats.org/officeDocument/2006/customXml" ds:itemID="{CEBF415B-3567-494F-A92D-793252F5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1AD2C-1955-4E2A-BE0A-A7ACE825AC2C}">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2218</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Aura Yamira Gomez Pulido</cp:lastModifiedBy>
  <cp:revision>86</cp:revision>
  <cp:lastPrinted>2023-09-01T14:26:00Z</cp:lastPrinted>
  <dcterms:created xsi:type="dcterms:W3CDTF">2022-08-09T13:58:00Z</dcterms:created>
  <dcterms:modified xsi:type="dcterms:W3CDTF">2023-11-03T15:35:00Z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