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81612108"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C06CAD" w:rsidRDefault="00A06511" w:rsidP="00A06511">
      <w:pPr>
        <w:pStyle w:val="Ttulo5"/>
        <w:tabs>
          <w:tab w:val="left" w:pos="0"/>
          <w:tab w:val="right" w:pos="9356"/>
        </w:tabs>
        <w:ind w:left="0"/>
        <w:rPr>
          <w:rFonts w:ascii="Bookman Old Style" w:hAnsi="Bookman Old Style"/>
          <w:sz w:val="24"/>
          <w:szCs w:val="24"/>
        </w:rPr>
      </w:pPr>
      <w:r w:rsidRPr="00C06CAD">
        <w:rPr>
          <w:rFonts w:ascii="Bookman Old Style" w:hAnsi="Bookman Old Style"/>
          <w:sz w:val="24"/>
          <w:szCs w:val="24"/>
        </w:rPr>
        <w:t xml:space="preserve">RESOLUCIÓN No. </w:t>
      </w:r>
      <w:r w:rsidRPr="008F1E34">
        <w:rPr>
          <w:rFonts w:ascii="Bookman Old Style" w:hAnsi="Bookman Old Style"/>
          <w:sz w:val="32"/>
          <w:szCs w:val="32"/>
        </w:rPr>
        <w:fldChar w:fldCharType="begin"/>
      </w:r>
      <w:r w:rsidRPr="008F1E34">
        <w:rPr>
          <w:rFonts w:ascii="Bookman Old Style" w:hAnsi="Bookman Old Style"/>
          <w:sz w:val="32"/>
          <w:szCs w:val="32"/>
        </w:rPr>
        <w:instrText xml:space="preserve"> MERGEFIELD  NumeroResolucion  \* MERGEFORMAT </w:instrText>
      </w:r>
      <w:r w:rsidRPr="008F1E34">
        <w:rPr>
          <w:rFonts w:ascii="Bookman Old Style" w:hAnsi="Bookman Old Style"/>
          <w:sz w:val="32"/>
          <w:szCs w:val="32"/>
        </w:rPr>
        <w:fldChar w:fldCharType="separate"/>
      </w:r>
      <w:r w:rsidRPr="008F1E34">
        <w:rPr>
          <w:rFonts w:ascii="Bookman Old Style" w:hAnsi="Bookman Old Style"/>
          <w:sz w:val="32"/>
          <w:szCs w:val="32"/>
        </w:rPr>
        <w:t>101 045</w:t>
      </w:r>
      <w:r w:rsidRPr="008F1E34">
        <w:rPr>
          <w:rFonts w:ascii="Bookman Old Style" w:hAnsi="Bookman Old Style"/>
          <w:sz w:val="32"/>
          <w:szCs w:val="32"/>
        </w:rPr>
        <w:fldChar w:fldCharType="end"/>
      </w:r>
      <w:r w:rsidRPr="008F1E34">
        <w:rPr>
          <w:rFonts w:ascii="Bookman Old Style" w:hAnsi="Bookman Old Style"/>
          <w:sz w:val="32"/>
          <w:szCs w:val="32"/>
        </w:rPr>
        <w:t xml:space="preserve"> DE </w:t>
      </w:r>
      <w:r w:rsidRPr="008F1E34">
        <w:rPr>
          <w:rFonts w:ascii="Bookman Old Style" w:hAnsi="Bookman Old Style"/>
          <w:sz w:val="32"/>
          <w:szCs w:val="32"/>
        </w:rPr>
        <w:fldChar w:fldCharType="begin"/>
      </w:r>
      <w:r w:rsidRPr="008F1E34">
        <w:rPr>
          <w:rFonts w:ascii="Bookman Old Style" w:hAnsi="Bookman Old Style"/>
          <w:sz w:val="32"/>
          <w:szCs w:val="32"/>
        </w:rPr>
        <w:instrText xml:space="preserve"> MERGEFIELD  Anio  \* MERGEFORMAT </w:instrText>
      </w:r>
      <w:r w:rsidRPr="008F1E34">
        <w:rPr>
          <w:rFonts w:ascii="Bookman Old Style" w:hAnsi="Bookman Old Style"/>
          <w:sz w:val="32"/>
          <w:szCs w:val="32"/>
        </w:rPr>
        <w:fldChar w:fldCharType="separate"/>
      </w:r>
      <w:r w:rsidRPr="008F1E34">
        <w:rPr>
          <w:rFonts w:ascii="Bookman Old Style" w:hAnsi="Bookman Old Style"/>
          <w:noProof/>
          <w:sz w:val="32"/>
          <w:szCs w:val="32"/>
        </w:rPr>
        <w:t>2024</w:t>
      </w:r>
      <w:r w:rsidRPr="008F1E34">
        <w:rPr>
          <w:rFonts w:ascii="Bookman Old Style" w:hAnsi="Bookman Old Style"/>
          <w:sz w:val="32"/>
          <w:szCs w:val="32"/>
        </w:rPr>
        <w:fldChar w:fldCharType="end"/>
      </w:r>
    </w:p>
    <w:p w14:paraId="700D767A" w14:textId="77777777" w:rsidR="000E3992" w:rsidRPr="00C06CAD" w:rsidRDefault="000E3992" w:rsidP="00012259">
      <w:pPr>
        <w:tabs>
          <w:tab w:val="left" w:pos="0"/>
          <w:tab w:val="right" w:pos="9356"/>
        </w:tabs>
        <w:ind w:left="0"/>
        <w:jc w:val="center"/>
        <w:rPr>
          <w:rFonts w:ascii="Bookman Old Style" w:hAnsi="Bookman Old Style" w:cs="Arial"/>
          <w:b/>
          <w:snapToGrid w:val="0"/>
          <w:color w:val="000000"/>
          <w:lang w:val="es-ES_tradnl"/>
        </w:rPr>
      </w:pPr>
    </w:p>
    <w:p w14:paraId="350D3C85" w14:textId="05507B88" w:rsidR="00CA77FB" w:rsidRPr="00C06CAD" w:rsidRDefault="00CA77FB" w:rsidP="00012259">
      <w:pPr>
        <w:pStyle w:val="Ttulo3"/>
        <w:tabs>
          <w:tab w:val="left" w:pos="0"/>
          <w:tab w:val="right" w:pos="9356"/>
        </w:tabs>
        <w:ind w:left="0"/>
        <w:rPr>
          <w:rFonts w:ascii="Bookman Old Style" w:hAnsi="Bookman Old Style"/>
          <w:b w:val="0"/>
          <w:szCs w:val="24"/>
        </w:rPr>
      </w:pPr>
      <w:r w:rsidRPr="00C06CAD">
        <w:rPr>
          <w:rFonts w:ascii="Bookman Old Style" w:hAnsi="Bookman Old Style"/>
          <w:b w:val="0"/>
          <w:szCs w:val="24"/>
        </w:rPr>
        <w:t>(</w:t>
      </w:r>
      <w:r w:rsidR="00FA6597" w:rsidRPr="00FA6597">
        <w:rPr>
          <w:rFonts w:ascii="Bookman Old Style" w:hAnsi="Bookman Old Style"/>
          <w:bCs/>
          <w:szCs w:val="24"/>
        </w:rPr>
        <w:t>24 jun.2024</w:t>
      </w:r>
      <w:r w:rsidRPr="00C06CAD">
        <w:rPr>
          <w:rFonts w:ascii="Bookman Old Style" w:hAnsi="Bookman Old Style"/>
          <w:b w:val="0"/>
          <w:szCs w:val="24"/>
        </w:rPr>
        <w:t>)</w:t>
      </w:r>
    </w:p>
    <w:p w14:paraId="15A71B8E" w14:textId="77777777" w:rsidR="00B351B4" w:rsidRDefault="00B351B4" w:rsidP="00012259">
      <w:pPr>
        <w:ind w:left="0"/>
        <w:rPr>
          <w:rFonts w:ascii="Bookman Old Style" w:hAnsi="Bookman Old Style"/>
          <w:bCs/>
          <w:lang w:val="es-CO"/>
        </w:rPr>
      </w:pPr>
    </w:p>
    <w:p w14:paraId="3E4B30F6" w14:textId="77777777" w:rsidR="00A257D3" w:rsidRPr="00C06CAD" w:rsidRDefault="00A257D3" w:rsidP="00012259">
      <w:pPr>
        <w:ind w:left="0"/>
        <w:rPr>
          <w:rFonts w:ascii="Bookman Old Style" w:hAnsi="Bookman Old Style"/>
          <w:bCs/>
          <w:lang w:val="es-CO"/>
        </w:rPr>
      </w:pPr>
    </w:p>
    <w:p w14:paraId="46D8C664" w14:textId="4A3812D8" w:rsidR="00045D3D" w:rsidRPr="00C06CAD" w:rsidRDefault="0087753F" w:rsidP="00045D3D">
      <w:pPr>
        <w:ind w:left="0"/>
        <w:jc w:val="center"/>
        <w:rPr>
          <w:rFonts w:ascii="Bookman Old Style" w:hAnsi="Bookman Old Style"/>
        </w:rPr>
      </w:pPr>
      <w:r w:rsidRPr="00C06CAD">
        <w:rPr>
          <w:rFonts w:ascii="Bookman Old Style" w:hAnsi="Bookman Old Style"/>
        </w:rPr>
        <w:t>Por la cual se crean nuevas actividades para la prestación del servicio público domiciliario de energía eléctrica</w:t>
      </w:r>
    </w:p>
    <w:p w14:paraId="3C354737" w14:textId="77777777" w:rsidR="00F179AC" w:rsidRDefault="00F179AC" w:rsidP="00045D3D">
      <w:pPr>
        <w:ind w:right="51"/>
        <w:rPr>
          <w:rFonts w:ascii="Bookman Old Style" w:hAnsi="Bookman Old Style"/>
        </w:rPr>
      </w:pPr>
    </w:p>
    <w:p w14:paraId="3385EBD4" w14:textId="77777777" w:rsidR="00A257D3" w:rsidRDefault="00A257D3" w:rsidP="00045D3D">
      <w:pPr>
        <w:ind w:right="51"/>
        <w:rPr>
          <w:rFonts w:ascii="Bookman Old Style" w:hAnsi="Bookman Old Style"/>
        </w:rPr>
      </w:pPr>
    </w:p>
    <w:p w14:paraId="7B67FAFA" w14:textId="77777777" w:rsidR="00045D3D" w:rsidRPr="00C06CAD" w:rsidRDefault="00045D3D" w:rsidP="00045D3D">
      <w:pPr>
        <w:ind w:right="51"/>
        <w:jc w:val="center"/>
        <w:rPr>
          <w:rFonts w:ascii="Bookman Old Style" w:hAnsi="Bookman Old Style"/>
          <w:b/>
        </w:rPr>
      </w:pPr>
      <w:r w:rsidRPr="00C06CAD">
        <w:rPr>
          <w:rFonts w:ascii="Bookman Old Style" w:hAnsi="Bookman Old Style"/>
          <w:b/>
        </w:rPr>
        <w:t xml:space="preserve">LA COMISIÓN DE REGULACIÓN </w:t>
      </w:r>
      <w:r w:rsidR="007B5A60" w:rsidRPr="00C06CAD">
        <w:rPr>
          <w:rFonts w:ascii="Bookman Old Style" w:hAnsi="Bookman Old Style"/>
          <w:b/>
        </w:rPr>
        <w:t>DE ENERGÍA</w:t>
      </w:r>
      <w:r w:rsidRPr="00C06CAD">
        <w:rPr>
          <w:rFonts w:ascii="Bookman Old Style" w:hAnsi="Bookman Old Style"/>
          <w:b/>
        </w:rPr>
        <w:t xml:space="preserve"> Y GAS</w:t>
      </w:r>
    </w:p>
    <w:p w14:paraId="2739C8D4" w14:textId="77777777" w:rsidR="00045D3D" w:rsidRPr="00C06CAD" w:rsidRDefault="00045D3D" w:rsidP="00045D3D">
      <w:pPr>
        <w:ind w:left="0" w:right="51"/>
        <w:rPr>
          <w:rFonts w:ascii="Bookman Old Style" w:hAnsi="Bookman Old Style"/>
        </w:rPr>
      </w:pPr>
    </w:p>
    <w:p w14:paraId="6EDA2283" w14:textId="77777777" w:rsidR="00045D3D" w:rsidRPr="00C06CAD" w:rsidRDefault="00045D3D" w:rsidP="00045D3D">
      <w:pPr>
        <w:pStyle w:val="Textoindependiente3"/>
        <w:ind w:left="0"/>
        <w:rPr>
          <w:rFonts w:ascii="Bookman Old Style" w:hAnsi="Bookman Old Style"/>
          <w:b w:val="0"/>
        </w:rPr>
      </w:pPr>
      <w:r w:rsidRPr="00C06CAD">
        <w:rPr>
          <w:rFonts w:ascii="Bookman Old Style" w:hAnsi="Bookman Old Style"/>
          <w:b w:val="0"/>
        </w:rPr>
        <w:t xml:space="preserve">En ejercicio de sus atribuciones constitucionales y legales, en especial las conferidas por las </w:t>
      </w:r>
      <w:r w:rsidR="002352B9" w:rsidRPr="00C06CAD">
        <w:rPr>
          <w:rFonts w:ascii="Bookman Old Style" w:hAnsi="Bookman Old Style"/>
          <w:b w:val="0"/>
        </w:rPr>
        <w:t>l</w:t>
      </w:r>
      <w:r w:rsidRPr="00C06CAD">
        <w:rPr>
          <w:rFonts w:ascii="Bookman Old Style" w:hAnsi="Bookman Old Style"/>
          <w:b w:val="0"/>
        </w:rPr>
        <w:t xml:space="preserve">eyes 142 y 143 de 1994, y en desarrollo de los </w:t>
      </w:r>
      <w:r w:rsidR="002352B9" w:rsidRPr="00C06CAD">
        <w:rPr>
          <w:rFonts w:ascii="Bookman Old Style" w:hAnsi="Bookman Old Style"/>
          <w:b w:val="0"/>
        </w:rPr>
        <w:t>d</w:t>
      </w:r>
      <w:r w:rsidRPr="00C06CAD">
        <w:rPr>
          <w:rFonts w:ascii="Bookman Old Style" w:hAnsi="Bookman Old Style"/>
          <w:b w:val="0"/>
        </w:rPr>
        <w:t>ecretos 1524 y 2253 de 1994.</w:t>
      </w:r>
    </w:p>
    <w:p w14:paraId="02C192D0" w14:textId="77777777" w:rsidR="00E928C7" w:rsidRDefault="00E928C7" w:rsidP="00045D3D">
      <w:pPr>
        <w:ind w:right="51"/>
        <w:jc w:val="center"/>
        <w:rPr>
          <w:rFonts w:ascii="Bookman Old Style" w:hAnsi="Bookman Old Style"/>
          <w:b/>
        </w:rPr>
      </w:pPr>
    </w:p>
    <w:p w14:paraId="15E14F4B" w14:textId="77777777" w:rsidR="00A257D3" w:rsidRDefault="00A257D3" w:rsidP="00045D3D">
      <w:pPr>
        <w:ind w:right="51"/>
        <w:jc w:val="center"/>
        <w:rPr>
          <w:rFonts w:ascii="Bookman Old Style" w:hAnsi="Bookman Old Style"/>
          <w:b/>
        </w:rPr>
      </w:pPr>
    </w:p>
    <w:p w14:paraId="72BBA367" w14:textId="4A42E114" w:rsidR="00045D3D" w:rsidRPr="00C06CAD" w:rsidRDefault="00045D3D" w:rsidP="00045D3D">
      <w:pPr>
        <w:ind w:right="51"/>
        <w:jc w:val="center"/>
        <w:rPr>
          <w:rFonts w:ascii="Bookman Old Style" w:hAnsi="Bookman Old Style"/>
          <w:b/>
        </w:rPr>
      </w:pPr>
      <w:r w:rsidRPr="00C06CAD">
        <w:rPr>
          <w:rFonts w:ascii="Bookman Old Style" w:hAnsi="Bookman Old Style"/>
          <w:b/>
        </w:rPr>
        <w:t xml:space="preserve">C O N S I D E R A N D </w:t>
      </w:r>
      <w:r w:rsidR="007B5A60" w:rsidRPr="00C06CAD">
        <w:rPr>
          <w:rFonts w:ascii="Bookman Old Style" w:hAnsi="Bookman Old Style"/>
          <w:b/>
        </w:rPr>
        <w:t xml:space="preserve">O </w:t>
      </w:r>
      <w:r w:rsidR="00C76706" w:rsidRPr="00C06CAD">
        <w:rPr>
          <w:rFonts w:ascii="Bookman Old Style" w:hAnsi="Bookman Old Style"/>
          <w:b/>
        </w:rPr>
        <w:t xml:space="preserve"> </w:t>
      </w:r>
      <w:r w:rsidR="0087753F" w:rsidRPr="00C06CAD">
        <w:rPr>
          <w:rFonts w:ascii="Bookman Old Style" w:hAnsi="Bookman Old Style"/>
          <w:b/>
        </w:rPr>
        <w:t xml:space="preserve"> </w:t>
      </w:r>
      <w:r w:rsidR="007B5A60" w:rsidRPr="00C06CAD">
        <w:rPr>
          <w:rFonts w:ascii="Bookman Old Style" w:hAnsi="Bookman Old Style"/>
          <w:b/>
        </w:rPr>
        <w:t>Q</w:t>
      </w:r>
      <w:r w:rsidRPr="00C06CAD">
        <w:rPr>
          <w:rFonts w:ascii="Bookman Old Style" w:hAnsi="Bookman Old Style"/>
          <w:b/>
        </w:rPr>
        <w:t xml:space="preserve"> U E:</w:t>
      </w:r>
    </w:p>
    <w:p w14:paraId="2378A86C" w14:textId="77777777" w:rsidR="00045D3D" w:rsidRPr="00C06CAD" w:rsidRDefault="00045D3D" w:rsidP="00045D3D">
      <w:pPr>
        <w:ind w:right="51"/>
        <w:jc w:val="center"/>
        <w:rPr>
          <w:rFonts w:ascii="Bookman Old Style" w:hAnsi="Bookman Old Style"/>
          <w:b/>
        </w:rPr>
      </w:pPr>
    </w:p>
    <w:p w14:paraId="7A209D53"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0407EC0" w14:textId="77777777" w:rsidR="00B76A39" w:rsidRPr="00C06CAD" w:rsidRDefault="00B76A39" w:rsidP="00B76A39">
      <w:pPr>
        <w:ind w:left="0" w:right="51"/>
        <w:jc w:val="both"/>
        <w:rPr>
          <w:rFonts w:ascii="Bookman Old Style" w:hAnsi="Bookman Old Style" w:cs="Arial"/>
        </w:rPr>
      </w:pPr>
    </w:p>
    <w:p w14:paraId="554B607E"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El artículo 365 de la misma Carta Política establece que los servicios públicos son inherentes a la finalidad social del Estado y es deber de este asegurar su prestación eficiente a todos los habitantes del territorio nacional.</w:t>
      </w:r>
    </w:p>
    <w:p w14:paraId="47C1AC52" w14:textId="77777777" w:rsidR="00B76A39" w:rsidRPr="00C06CAD" w:rsidRDefault="00B76A39" w:rsidP="00B76A39">
      <w:pPr>
        <w:ind w:left="0" w:right="51"/>
        <w:jc w:val="both"/>
        <w:rPr>
          <w:rFonts w:ascii="Bookman Old Style" w:hAnsi="Bookman Old Style" w:cs="Arial"/>
        </w:rPr>
      </w:pPr>
    </w:p>
    <w:p w14:paraId="6BFCAADD"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5733E1C3" w14:textId="77777777" w:rsidR="00B76A39" w:rsidRPr="00C06CAD" w:rsidRDefault="00B76A39" w:rsidP="00B76A39">
      <w:pPr>
        <w:ind w:left="0" w:right="51"/>
        <w:jc w:val="both"/>
        <w:rPr>
          <w:rFonts w:ascii="Bookman Old Style" w:hAnsi="Bookman Old Style" w:cs="Arial"/>
        </w:rPr>
      </w:pPr>
    </w:p>
    <w:p w14:paraId="7C68CAE1"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La Ley 142 de 1994, en su artículo 35, establece que las empresas de servicios públicos que tengan posición dominante en un mercado y cuya principal actividad sea la distribución de bienes o servicios provistos por terceros, tienen que adquirir el bien o servicio que distribuyan por medio de procedimientos que aseguren posibilidad de concurrencia a los eventuales contratistas en igualdad de condiciones.</w:t>
      </w:r>
    </w:p>
    <w:p w14:paraId="5B3C2029" w14:textId="77777777" w:rsidR="00B76A39" w:rsidRPr="00C06CAD" w:rsidRDefault="00B76A39" w:rsidP="00B76A39">
      <w:pPr>
        <w:ind w:left="0" w:right="51"/>
        <w:jc w:val="both"/>
        <w:rPr>
          <w:rFonts w:ascii="Bookman Old Style" w:hAnsi="Bookman Old Style" w:cs="Arial"/>
        </w:rPr>
      </w:pPr>
    </w:p>
    <w:p w14:paraId="2CAA99A4"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 xml:space="preserve">En el artículo 73 de la Ley 142 de 1994 se señala que las comisiones de regulación tienen la función de promover la competencia entre quienes presten servicios públicos, para que las operaciones de los monopolistas o de los </w:t>
      </w:r>
      <w:r w:rsidRPr="00C06CAD">
        <w:rPr>
          <w:rFonts w:ascii="Bookman Old Style" w:hAnsi="Bookman Old Style" w:cs="Arial"/>
        </w:rPr>
        <w:lastRenderedPageBreak/>
        <w:t>competidores sean económicamente eficientes, no impliquen abuso de la posición dominante y produzcan servicios de calidad.</w:t>
      </w:r>
    </w:p>
    <w:p w14:paraId="27D4ECC4" w14:textId="77777777" w:rsidR="00B76A39" w:rsidRPr="00C06CAD" w:rsidRDefault="00B76A39" w:rsidP="00B76A39">
      <w:pPr>
        <w:ind w:left="0" w:right="51"/>
        <w:jc w:val="both"/>
        <w:rPr>
          <w:rFonts w:ascii="Bookman Old Style" w:hAnsi="Bookman Old Style" w:cs="Arial"/>
        </w:rPr>
      </w:pPr>
    </w:p>
    <w:p w14:paraId="2E8BD9EB"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En el artículo 74.1, literal a) de la Ley 142 de 1994 se define que la regulación de las actividades de los sectores de energía y gas combustible debe propiciar la competencia en el sector de minas y energía, proponer la adopción de las medidas necesarias para impedir abusos de posición dominante y buscar la liberación gradual de los mercados hacia la libre competencia. Así mismo, determina que la Comisión de Regulación de Energía y Gas (CREG) podrá adoptar reglas de comportamiento diferencial, según la posición de las empresas en el mercado.</w:t>
      </w:r>
    </w:p>
    <w:p w14:paraId="4633E77C" w14:textId="77777777" w:rsidR="00B76A39" w:rsidRPr="00C06CAD" w:rsidRDefault="00B76A39" w:rsidP="00B76A39">
      <w:pPr>
        <w:ind w:left="0" w:right="51"/>
        <w:jc w:val="both"/>
        <w:rPr>
          <w:rFonts w:ascii="Bookman Old Style" w:hAnsi="Bookman Old Style" w:cs="Arial"/>
        </w:rPr>
      </w:pPr>
    </w:p>
    <w:p w14:paraId="50445517"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 xml:space="preserve">La Ley 142 de 1994, en su artículo 14 dispuso que el servicio público domiciliario de energía eléctrica es el transporte de energía eléctrica desde las redes regionales de transmisión hasta el domicilio del usuario final, incluida su conexión y medición, y señaló que la generación y comercialización, serían actividades complementarias. </w:t>
      </w:r>
    </w:p>
    <w:p w14:paraId="68813369" w14:textId="77777777" w:rsidR="00B76A39" w:rsidRPr="00C06CAD" w:rsidRDefault="00B76A39" w:rsidP="00B76A39">
      <w:pPr>
        <w:ind w:left="0" w:right="51"/>
        <w:jc w:val="both"/>
        <w:rPr>
          <w:rFonts w:ascii="Bookman Old Style" w:hAnsi="Bookman Old Style" w:cs="Arial"/>
        </w:rPr>
      </w:pPr>
    </w:p>
    <w:p w14:paraId="3F9E3E1A"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El artículo 11 de la Ley 143 de 1994, definió la actividad de comercialización de energía, como la actividad consistente en la compra de energía eléctrica y su venta a los usuarios finales, regulados o no regulados.</w:t>
      </w:r>
    </w:p>
    <w:p w14:paraId="34C1480F" w14:textId="77777777" w:rsidR="00B76A39" w:rsidRPr="00C06CAD" w:rsidRDefault="00B76A39" w:rsidP="00B76A39">
      <w:pPr>
        <w:ind w:left="0" w:right="51"/>
        <w:jc w:val="both"/>
        <w:rPr>
          <w:rFonts w:ascii="Bookman Old Style" w:hAnsi="Bookman Old Style" w:cs="Arial"/>
        </w:rPr>
      </w:pPr>
    </w:p>
    <w:p w14:paraId="75F62E67"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El artículo 23 de la Ley 143 de 1994 define dentro de las funciones de la CREG la de establecer condiciones para una oferta energética eficiente, capaz de abastecer la demanda bajo criterios sociales, económicos, ambientales y de viabilidad financiera; así como la de promover y preservar la competencia.</w:t>
      </w:r>
    </w:p>
    <w:p w14:paraId="005F2626" w14:textId="77777777" w:rsidR="00B76A39" w:rsidRPr="00C06CAD" w:rsidRDefault="00B76A39" w:rsidP="00B76A39">
      <w:pPr>
        <w:ind w:left="0" w:right="51"/>
        <w:jc w:val="both"/>
        <w:rPr>
          <w:rFonts w:ascii="Bookman Old Style" w:hAnsi="Bookman Old Style" w:cs="Arial"/>
        </w:rPr>
      </w:pPr>
    </w:p>
    <w:p w14:paraId="5D4735AD" w14:textId="77777777"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El artículo 42 de la Ley 143 de 1994 señala que las compras de electricidad deben realizarse mediante mecanismos que estimulen la libre competencia.</w:t>
      </w:r>
    </w:p>
    <w:p w14:paraId="0FE31EB2" w14:textId="77777777" w:rsidR="00B76A39" w:rsidRDefault="00B76A39" w:rsidP="00B76A39">
      <w:pPr>
        <w:ind w:left="0" w:right="51"/>
        <w:jc w:val="both"/>
        <w:rPr>
          <w:rFonts w:ascii="Bookman Old Style" w:hAnsi="Bookman Old Style" w:cs="Arial"/>
        </w:rPr>
      </w:pPr>
    </w:p>
    <w:p w14:paraId="2D60E0F9" w14:textId="77777777" w:rsidR="00C06CAD" w:rsidRPr="00C06CAD" w:rsidRDefault="00C06CAD" w:rsidP="00C06CAD">
      <w:pPr>
        <w:ind w:left="0" w:right="51"/>
        <w:jc w:val="both"/>
        <w:rPr>
          <w:rFonts w:ascii="Bookman Old Style" w:hAnsi="Bookman Old Style" w:cs="Arial"/>
        </w:rPr>
      </w:pPr>
      <w:bookmarkStart w:id="0" w:name="_Hlk169084225"/>
      <w:r w:rsidRPr="00C06CAD">
        <w:rPr>
          <w:rFonts w:ascii="Bookman Old Style" w:hAnsi="Bookman Old Style" w:cs="Arial"/>
        </w:rPr>
        <w:t>El artículo 290 de Ley 1955 de 2019 “Plan Nacional de Desarrollo 2018 – 2022”, vigente de conformidad con el artículo 372 de la Ley 2294 de 2023 “Plan Nacional de Desarrollo 2022-2026”, asignó la siguiente función a la CREG:</w:t>
      </w:r>
    </w:p>
    <w:p w14:paraId="78A378AF" w14:textId="77777777" w:rsidR="00C06CAD" w:rsidRPr="00C06CAD" w:rsidRDefault="00C06CAD" w:rsidP="00C06CAD">
      <w:pPr>
        <w:ind w:left="0" w:right="51"/>
        <w:jc w:val="both"/>
        <w:rPr>
          <w:rFonts w:ascii="Bookman Old Style" w:hAnsi="Bookman Old Style" w:cs="Arial"/>
        </w:rPr>
      </w:pPr>
    </w:p>
    <w:p w14:paraId="3259D5AD" w14:textId="77777777" w:rsidR="00C06CAD" w:rsidRPr="00F179AC" w:rsidRDefault="00C06CAD" w:rsidP="00A257D3">
      <w:pPr>
        <w:tabs>
          <w:tab w:val="left" w:pos="8789"/>
        </w:tabs>
        <w:ind w:right="567"/>
        <w:jc w:val="both"/>
        <w:rPr>
          <w:rFonts w:ascii="Bookman Old Style" w:hAnsi="Bookman Old Style" w:cs="Arial"/>
          <w:i/>
          <w:iCs/>
          <w:sz w:val="22"/>
          <w:szCs w:val="22"/>
        </w:rPr>
      </w:pPr>
      <w:r w:rsidRPr="00F179AC">
        <w:rPr>
          <w:rFonts w:ascii="Bookman Old Style" w:hAnsi="Bookman Old Style" w:cs="Arial"/>
          <w:i/>
          <w:iCs/>
          <w:sz w:val="22"/>
          <w:szCs w:val="22"/>
        </w:rPr>
        <w:t>“ARTÍCULO 290. NUEVOS AGENTES. La Comisión de Regulación de Energía y Gas - CREG, en el marco de la función de garantizar la prestación eficiente del servicio público, de promover la competencia, evitar los abusos de posición dominante y garantizar los derechos de los usuarios, dentro de la regulación sobre servicios de gas combustible, energía eléctrica y alumbrado público, incluirá:</w:t>
      </w:r>
    </w:p>
    <w:p w14:paraId="3B670A51" w14:textId="77777777" w:rsidR="00C06CAD" w:rsidRPr="00F179AC" w:rsidRDefault="00C06CAD" w:rsidP="00A257D3">
      <w:pPr>
        <w:ind w:right="567"/>
        <w:jc w:val="both"/>
        <w:rPr>
          <w:rFonts w:ascii="Bookman Old Style" w:hAnsi="Bookman Old Style" w:cs="Arial"/>
          <w:i/>
          <w:iCs/>
          <w:sz w:val="22"/>
          <w:szCs w:val="22"/>
        </w:rPr>
      </w:pPr>
    </w:p>
    <w:p w14:paraId="7B038F4D" w14:textId="77777777" w:rsidR="00C06CAD" w:rsidRPr="00F179AC" w:rsidRDefault="00C06CAD" w:rsidP="00A257D3">
      <w:pPr>
        <w:tabs>
          <w:tab w:val="left" w:pos="8789"/>
        </w:tabs>
        <w:ind w:right="567"/>
        <w:jc w:val="both"/>
        <w:rPr>
          <w:rFonts w:ascii="Bookman Old Style" w:hAnsi="Bookman Old Style" w:cs="Arial"/>
          <w:i/>
          <w:iCs/>
          <w:sz w:val="22"/>
          <w:szCs w:val="22"/>
        </w:rPr>
      </w:pPr>
      <w:r w:rsidRPr="00F179AC">
        <w:rPr>
          <w:rFonts w:ascii="Bookman Old Style" w:hAnsi="Bookman Old Style" w:cs="Arial"/>
          <w:i/>
          <w:iCs/>
          <w:sz w:val="22"/>
          <w:szCs w:val="22"/>
        </w:rPr>
        <w:t>1. Definición de nuevas actividades o eslabones en la cadena de prestación del servicio, las cuales estarán sujetas a la regulación vigente.</w:t>
      </w:r>
    </w:p>
    <w:p w14:paraId="529D80EC" w14:textId="77777777" w:rsidR="00C06CAD" w:rsidRPr="00F179AC" w:rsidRDefault="00C06CAD" w:rsidP="00A257D3">
      <w:pPr>
        <w:tabs>
          <w:tab w:val="left" w:pos="8789"/>
        </w:tabs>
        <w:ind w:right="567"/>
        <w:jc w:val="both"/>
        <w:rPr>
          <w:rFonts w:ascii="Bookman Old Style" w:hAnsi="Bookman Old Style" w:cs="Arial"/>
          <w:i/>
          <w:iCs/>
          <w:sz w:val="22"/>
          <w:szCs w:val="22"/>
        </w:rPr>
      </w:pPr>
    </w:p>
    <w:p w14:paraId="7F67B2A0" w14:textId="77777777" w:rsidR="00C06CAD" w:rsidRPr="00F179AC" w:rsidRDefault="00C06CAD" w:rsidP="00A257D3">
      <w:pPr>
        <w:tabs>
          <w:tab w:val="left" w:pos="8789"/>
        </w:tabs>
        <w:ind w:right="567"/>
        <w:jc w:val="both"/>
        <w:rPr>
          <w:rFonts w:ascii="Bookman Old Style" w:hAnsi="Bookman Old Style" w:cs="Arial"/>
          <w:i/>
          <w:iCs/>
          <w:sz w:val="22"/>
          <w:szCs w:val="22"/>
        </w:rPr>
      </w:pPr>
      <w:r w:rsidRPr="00F179AC">
        <w:rPr>
          <w:rFonts w:ascii="Bookman Old Style" w:hAnsi="Bookman Old Style" w:cs="Arial"/>
          <w:i/>
          <w:iCs/>
          <w:sz w:val="22"/>
          <w:szCs w:val="22"/>
        </w:rPr>
        <w:t>2. Definición de la regulación aplicable a los agentes que desarrollen tales nuevas actividades, los cuales estarán sujetos a la regulación vigente.</w:t>
      </w:r>
    </w:p>
    <w:p w14:paraId="483C9C9C" w14:textId="77777777" w:rsidR="00C06CAD" w:rsidRPr="00F179AC" w:rsidRDefault="00C06CAD" w:rsidP="00A257D3">
      <w:pPr>
        <w:tabs>
          <w:tab w:val="left" w:pos="8789"/>
        </w:tabs>
        <w:ind w:right="567"/>
        <w:jc w:val="both"/>
        <w:rPr>
          <w:rFonts w:ascii="Bookman Old Style" w:hAnsi="Bookman Old Style" w:cs="Arial"/>
          <w:i/>
          <w:iCs/>
          <w:sz w:val="22"/>
          <w:szCs w:val="22"/>
        </w:rPr>
      </w:pPr>
    </w:p>
    <w:p w14:paraId="5850E982" w14:textId="77777777" w:rsidR="00C06CAD" w:rsidRPr="00F179AC" w:rsidRDefault="00C06CAD" w:rsidP="00A257D3">
      <w:pPr>
        <w:tabs>
          <w:tab w:val="left" w:pos="8789"/>
        </w:tabs>
        <w:ind w:right="567"/>
        <w:jc w:val="both"/>
        <w:rPr>
          <w:rFonts w:ascii="Bookman Old Style" w:hAnsi="Bookman Old Style" w:cs="Arial"/>
          <w:i/>
          <w:iCs/>
          <w:sz w:val="22"/>
          <w:szCs w:val="22"/>
        </w:rPr>
      </w:pPr>
      <w:r w:rsidRPr="00F179AC">
        <w:rPr>
          <w:rFonts w:ascii="Bookman Old Style" w:hAnsi="Bookman Old Style" w:cs="Arial"/>
          <w:i/>
          <w:iCs/>
          <w:sz w:val="22"/>
          <w:szCs w:val="22"/>
        </w:rPr>
        <w:t>3. Determinación de la actividad o actividades en que cada agente de la cadena puede participar.</w:t>
      </w:r>
    </w:p>
    <w:p w14:paraId="331AFC17" w14:textId="77777777" w:rsidR="00C06CAD" w:rsidRPr="00F179AC" w:rsidRDefault="00C06CAD" w:rsidP="00A257D3">
      <w:pPr>
        <w:tabs>
          <w:tab w:val="left" w:pos="8789"/>
        </w:tabs>
        <w:ind w:right="567"/>
        <w:jc w:val="both"/>
        <w:rPr>
          <w:rFonts w:ascii="Bookman Old Style" w:hAnsi="Bookman Old Style" w:cs="Arial"/>
          <w:i/>
          <w:iCs/>
          <w:sz w:val="22"/>
          <w:szCs w:val="22"/>
        </w:rPr>
      </w:pPr>
    </w:p>
    <w:p w14:paraId="2D45CC5B" w14:textId="77777777" w:rsidR="00C06CAD" w:rsidRPr="00F179AC" w:rsidRDefault="00C06CAD" w:rsidP="00A257D3">
      <w:pPr>
        <w:tabs>
          <w:tab w:val="left" w:pos="8789"/>
        </w:tabs>
        <w:ind w:right="567"/>
        <w:jc w:val="both"/>
        <w:rPr>
          <w:rFonts w:ascii="Bookman Old Style" w:hAnsi="Bookman Old Style" w:cs="Arial"/>
          <w:i/>
          <w:iCs/>
          <w:sz w:val="22"/>
          <w:szCs w:val="22"/>
        </w:rPr>
      </w:pPr>
      <w:r w:rsidRPr="00F179AC">
        <w:rPr>
          <w:rFonts w:ascii="Bookman Old Style" w:hAnsi="Bookman Old Style" w:cs="Arial"/>
          <w:i/>
          <w:iCs/>
          <w:sz w:val="22"/>
          <w:szCs w:val="22"/>
        </w:rPr>
        <w:lastRenderedPageBreak/>
        <w:t>4. Definición de las reglas sobre la gobernanza de datos e información que se produzca como resultado del ejercicio de las actividades de los agentes que interactúan en los servicios públicos.</w:t>
      </w:r>
    </w:p>
    <w:p w14:paraId="69BD9C44" w14:textId="77777777" w:rsidR="00C06CAD" w:rsidRPr="00F179AC" w:rsidRDefault="00C06CAD" w:rsidP="00E928C7">
      <w:pPr>
        <w:ind w:right="567"/>
        <w:jc w:val="both"/>
        <w:rPr>
          <w:rFonts w:ascii="Bookman Old Style" w:hAnsi="Bookman Old Style" w:cs="Arial"/>
          <w:i/>
          <w:iCs/>
          <w:sz w:val="22"/>
          <w:szCs w:val="22"/>
        </w:rPr>
      </w:pPr>
    </w:p>
    <w:p w14:paraId="2A20DB69" w14:textId="77777777" w:rsidR="00C06CAD" w:rsidRPr="00F179AC" w:rsidRDefault="00C06CAD" w:rsidP="00E928C7">
      <w:pPr>
        <w:ind w:right="567"/>
        <w:jc w:val="both"/>
        <w:rPr>
          <w:rFonts w:ascii="Bookman Old Style" w:hAnsi="Bookman Old Style" w:cs="Arial"/>
          <w:i/>
          <w:iCs/>
          <w:sz w:val="22"/>
          <w:szCs w:val="22"/>
        </w:rPr>
      </w:pPr>
      <w:r w:rsidRPr="00F179AC">
        <w:rPr>
          <w:rFonts w:ascii="Bookman Old Style" w:hAnsi="Bookman Old Style" w:cs="Arial"/>
          <w:i/>
          <w:iCs/>
          <w:sz w:val="22"/>
          <w:szCs w:val="22"/>
        </w:rPr>
        <w:t>5. Optimización de los requerimientos de información y su validación a los agentes de los sectores regulados”.</w:t>
      </w:r>
    </w:p>
    <w:bookmarkEnd w:id="0"/>
    <w:p w14:paraId="10D097EC" w14:textId="77777777" w:rsidR="00C06CAD" w:rsidRPr="00C06CAD" w:rsidRDefault="00C06CAD" w:rsidP="00B76A39">
      <w:pPr>
        <w:ind w:left="0" w:right="51"/>
        <w:jc w:val="both"/>
        <w:rPr>
          <w:rFonts w:ascii="Bookman Old Style" w:hAnsi="Bookman Old Style" w:cs="Arial"/>
        </w:rPr>
      </w:pPr>
    </w:p>
    <w:p w14:paraId="171D434C" w14:textId="68506153" w:rsidR="00B76A39" w:rsidRDefault="00B76A39" w:rsidP="00B76A39">
      <w:pPr>
        <w:ind w:left="0" w:right="51"/>
        <w:jc w:val="both"/>
        <w:rPr>
          <w:rFonts w:ascii="Bookman Old Style" w:hAnsi="Bookman Old Style" w:cs="Arial"/>
        </w:rPr>
      </w:pPr>
      <w:r w:rsidRPr="00C06CAD">
        <w:rPr>
          <w:rFonts w:ascii="Bookman Old Style" w:hAnsi="Bookman Old Style" w:cs="Arial"/>
        </w:rPr>
        <w:t xml:space="preserve">Mediante la Resolución CREG 114 de 2018 se definieron los principios y condiciones generales que deben cumplir los mecanismos para la comercialización de energía eléctrica para que sus precios sean reconocidos en el componente de costos de compras de energía al usuario regulado. Esta resolución permite que nuevos mecanismos para la comercialización de energía eléctrica sean puestos a consideración de la Comisión con el propósito de que las compras resultantes puedan ser reconocidas en el </w:t>
      </w:r>
      <w:r w:rsidR="00C06CAD" w:rsidRPr="00C06CAD">
        <w:rPr>
          <w:rFonts w:ascii="Bookman Old Style" w:hAnsi="Bookman Old Style" w:cs="Arial"/>
        </w:rPr>
        <w:t>Costo Un</w:t>
      </w:r>
      <w:r w:rsidRPr="00C06CAD">
        <w:rPr>
          <w:rFonts w:ascii="Bookman Old Style" w:hAnsi="Bookman Old Style" w:cs="Arial"/>
        </w:rPr>
        <w:t>itario de prestación del servicio de energía eléctrica para el usuario regulado</w:t>
      </w:r>
      <w:r w:rsidR="00C06CAD">
        <w:rPr>
          <w:rFonts w:ascii="Bookman Old Style" w:hAnsi="Bookman Old Style" w:cs="Arial"/>
        </w:rPr>
        <w:t xml:space="preserve"> (</w:t>
      </w:r>
      <w:r w:rsidRPr="00C06CAD">
        <w:rPr>
          <w:rFonts w:ascii="Bookman Old Style" w:hAnsi="Bookman Old Style" w:cs="Arial"/>
        </w:rPr>
        <w:t>CU</w:t>
      </w:r>
      <w:r w:rsidR="00C06CAD">
        <w:rPr>
          <w:rFonts w:ascii="Bookman Old Style" w:hAnsi="Bookman Old Style" w:cs="Arial"/>
        </w:rPr>
        <w:t>)</w:t>
      </w:r>
      <w:r w:rsidRPr="00C06CAD">
        <w:rPr>
          <w:rFonts w:ascii="Bookman Old Style" w:hAnsi="Bookman Old Style" w:cs="Arial"/>
        </w:rPr>
        <w:t>.</w:t>
      </w:r>
    </w:p>
    <w:p w14:paraId="56C0E62E" w14:textId="77777777" w:rsidR="005D5ACD" w:rsidRDefault="005D5ACD" w:rsidP="00B76A39">
      <w:pPr>
        <w:ind w:left="0" w:right="51"/>
        <w:jc w:val="both"/>
        <w:rPr>
          <w:rFonts w:ascii="Bookman Old Style" w:hAnsi="Bookman Old Style" w:cs="Arial"/>
        </w:rPr>
      </w:pPr>
    </w:p>
    <w:p w14:paraId="2617B464" w14:textId="58779AB8" w:rsidR="005D5ACD" w:rsidRDefault="005D5ACD" w:rsidP="00B76A39">
      <w:pPr>
        <w:ind w:left="0" w:right="51"/>
        <w:jc w:val="both"/>
        <w:rPr>
          <w:rFonts w:ascii="Bookman Old Style" w:hAnsi="Bookman Old Style" w:cs="Arial"/>
        </w:rPr>
      </w:pPr>
      <w:r>
        <w:rPr>
          <w:rFonts w:ascii="Bookman Old Style" w:hAnsi="Bookman Old Style" w:cs="Arial"/>
        </w:rPr>
        <w:t>En el artículo 2 de la Resolución CREG 114 de 2018 se definen los roles de A</w:t>
      </w:r>
      <w:r w:rsidRPr="005D5ACD">
        <w:rPr>
          <w:rFonts w:ascii="Bookman Old Style" w:hAnsi="Bookman Old Style" w:cs="Arial"/>
        </w:rPr>
        <w:t>dministra</w:t>
      </w:r>
      <w:r>
        <w:rPr>
          <w:rFonts w:ascii="Bookman Old Style" w:hAnsi="Bookman Old Style" w:cs="Arial"/>
        </w:rPr>
        <w:t>dor</w:t>
      </w:r>
      <w:r w:rsidRPr="005D5ACD">
        <w:rPr>
          <w:rFonts w:ascii="Bookman Old Style" w:hAnsi="Bookman Old Style" w:cs="Arial"/>
        </w:rPr>
        <w:t xml:space="preserve">, </w:t>
      </w:r>
      <w:r>
        <w:rPr>
          <w:rFonts w:ascii="Bookman Old Style" w:hAnsi="Bookman Old Style" w:cs="Arial"/>
        </w:rPr>
        <w:t>A</w:t>
      </w:r>
      <w:r w:rsidRPr="005D5ACD">
        <w:rPr>
          <w:rFonts w:ascii="Bookman Old Style" w:hAnsi="Bookman Old Style" w:cs="Arial"/>
        </w:rPr>
        <w:t>dministra</w:t>
      </w:r>
      <w:r>
        <w:rPr>
          <w:rFonts w:ascii="Bookman Old Style" w:hAnsi="Bookman Old Style" w:cs="Arial"/>
        </w:rPr>
        <w:t>dor</w:t>
      </w:r>
      <w:r w:rsidRPr="005D5ACD">
        <w:rPr>
          <w:rFonts w:ascii="Bookman Old Style" w:hAnsi="Bookman Old Style" w:cs="Arial"/>
        </w:rPr>
        <w:t xml:space="preserve"> de </w:t>
      </w:r>
      <w:r>
        <w:rPr>
          <w:rFonts w:ascii="Bookman Old Style" w:hAnsi="Bookman Old Style" w:cs="Arial"/>
        </w:rPr>
        <w:t>R</w:t>
      </w:r>
      <w:r w:rsidRPr="005D5ACD">
        <w:rPr>
          <w:rFonts w:ascii="Bookman Old Style" w:hAnsi="Bookman Old Style" w:cs="Arial"/>
        </w:rPr>
        <w:t xml:space="preserve">iesgo y </w:t>
      </w:r>
      <w:r>
        <w:rPr>
          <w:rFonts w:ascii="Bookman Old Style" w:hAnsi="Bookman Old Style" w:cs="Arial"/>
        </w:rPr>
        <w:t>Ejecutor</w:t>
      </w:r>
      <w:r w:rsidRPr="005D5ACD">
        <w:rPr>
          <w:rFonts w:ascii="Bookman Old Style" w:hAnsi="Bookman Old Style" w:cs="Arial"/>
        </w:rPr>
        <w:t xml:space="preserve"> de mecanismos de comercialización de energía eléctrica</w:t>
      </w:r>
      <w:r>
        <w:rPr>
          <w:rFonts w:ascii="Bookman Old Style" w:hAnsi="Bookman Old Style" w:cs="Arial"/>
        </w:rPr>
        <w:t>, en los siguientes términos:</w:t>
      </w:r>
    </w:p>
    <w:p w14:paraId="21F3CBB0" w14:textId="77777777" w:rsidR="005D5ACD" w:rsidRDefault="005D5ACD" w:rsidP="00B76A39">
      <w:pPr>
        <w:ind w:left="0" w:right="51"/>
        <w:jc w:val="both"/>
        <w:rPr>
          <w:rFonts w:ascii="Bookman Old Style" w:hAnsi="Bookman Old Style" w:cs="Arial"/>
        </w:rPr>
      </w:pPr>
    </w:p>
    <w:p w14:paraId="7E26E2CF" w14:textId="6CEE2FE2" w:rsidR="005D5ACD" w:rsidRPr="00F179AC" w:rsidRDefault="005D5ACD" w:rsidP="00E928C7">
      <w:pPr>
        <w:ind w:right="567"/>
        <w:jc w:val="both"/>
        <w:rPr>
          <w:rFonts w:ascii="Bookman Old Style" w:hAnsi="Bookman Old Style" w:cs="Arial"/>
          <w:i/>
          <w:iCs/>
          <w:sz w:val="22"/>
          <w:szCs w:val="22"/>
        </w:rPr>
      </w:pPr>
      <w:r w:rsidRPr="00F179AC">
        <w:rPr>
          <w:rFonts w:ascii="Bookman Old Style" w:hAnsi="Bookman Old Style" w:cs="Arial"/>
          <w:i/>
          <w:iCs/>
          <w:sz w:val="22"/>
          <w:szCs w:val="22"/>
        </w:rPr>
        <w:t>“Administrador: Persona jurídica o consorcio cuyo objeto sea gestionar el mecanismo y de garantizar que estén disponibles los elementos técnicos y administrativos necesarios para todos los agentes que desean participar en dicho mecanismo, de garantizar su funcionamiento continuo, y de implementar todos los esquemas de salvaguardas y contingencia necesarios para prevenir y solucionar fallas de carácter operativo e informático del mecanismo.</w:t>
      </w:r>
    </w:p>
    <w:p w14:paraId="34D80ADF" w14:textId="77777777" w:rsidR="005D5ACD" w:rsidRPr="00F179AC" w:rsidRDefault="005D5ACD" w:rsidP="00E928C7">
      <w:pPr>
        <w:ind w:right="567"/>
        <w:jc w:val="both"/>
        <w:rPr>
          <w:rFonts w:ascii="Bookman Old Style" w:hAnsi="Bookman Old Style" w:cs="Arial"/>
          <w:i/>
          <w:iCs/>
          <w:sz w:val="22"/>
          <w:szCs w:val="22"/>
        </w:rPr>
      </w:pPr>
    </w:p>
    <w:p w14:paraId="618C259B" w14:textId="5F25E799" w:rsidR="005D5ACD" w:rsidRPr="00F179AC" w:rsidRDefault="005D5ACD" w:rsidP="00E928C7">
      <w:pPr>
        <w:ind w:right="567"/>
        <w:jc w:val="both"/>
        <w:rPr>
          <w:rFonts w:ascii="Bookman Old Style" w:hAnsi="Bookman Old Style" w:cs="Arial"/>
          <w:i/>
          <w:iCs/>
          <w:sz w:val="22"/>
          <w:szCs w:val="22"/>
        </w:rPr>
      </w:pPr>
      <w:r w:rsidRPr="00F179AC">
        <w:rPr>
          <w:rFonts w:ascii="Bookman Old Style" w:hAnsi="Bookman Old Style" w:cs="Arial"/>
          <w:i/>
          <w:iCs/>
          <w:sz w:val="22"/>
          <w:szCs w:val="22"/>
        </w:rPr>
        <w:t>Administrador de riesgo: Persona jurídica o consorcio cuyo objeto sea gestionar los riesgos que se generan como resultado de la aplicación del mecanismo para sus participantes. Como mínimo será quien compensa y liquida los contratos suscritos como resultado de la aplicación del mecanismo.</w:t>
      </w:r>
    </w:p>
    <w:p w14:paraId="5F2561F6" w14:textId="77777777" w:rsidR="005D5ACD" w:rsidRPr="00F179AC" w:rsidRDefault="005D5ACD" w:rsidP="00E928C7">
      <w:pPr>
        <w:ind w:right="567"/>
        <w:jc w:val="both"/>
        <w:rPr>
          <w:rFonts w:ascii="Bookman Old Style" w:hAnsi="Bookman Old Style" w:cs="Arial"/>
          <w:i/>
          <w:iCs/>
          <w:sz w:val="22"/>
          <w:szCs w:val="22"/>
        </w:rPr>
      </w:pPr>
    </w:p>
    <w:p w14:paraId="0E2C8E6A" w14:textId="190810F1" w:rsidR="005D5ACD" w:rsidRPr="00F179AC" w:rsidRDefault="005D5ACD" w:rsidP="00E928C7">
      <w:pPr>
        <w:ind w:right="567"/>
        <w:jc w:val="both"/>
        <w:rPr>
          <w:rFonts w:ascii="Bookman Old Style" w:hAnsi="Bookman Old Style" w:cs="Arial"/>
          <w:i/>
          <w:iCs/>
          <w:sz w:val="22"/>
          <w:szCs w:val="22"/>
        </w:rPr>
      </w:pPr>
      <w:r w:rsidRPr="00F179AC">
        <w:rPr>
          <w:rFonts w:ascii="Bookman Old Style" w:hAnsi="Bookman Old Style" w:cs="Arial"/>
          <w:i/>
          <w:iCs/>
          <w:sz w:val="22"/>
          <w:szCs w:val="22"/>
        </w:rPr>
        <w:t>(…)</w:t>
      </w:r>
    </w:p>
    <w:p w14:paraId="4A38AA12" w14:textId="77777777" w:rsidR="005D5ACD" w:rsidRPr="00F179AC" w:rsidRDefault="005D5ACD" w:rsidP="00E928C7">
      <w:pPr>
        <w:ind w:right="567"/>
        <w:jc w:val="both"/>
        <w:rPr>
          <w:rFonts w:ascii="Bookman Old Style" w:hAnsi="Bookman Old Style" w:cs="Arial"/>
          <w:i/>
          <w:iCs/>
          <w:sz w:val="22"/>
          <w:szCs w:val="22"/>
        </w:rPr>
      </w:pPr>
    </w:p>
    <w:p w14:paraId="317FE5CA" w14:textId="1D4B6DFB" w:rsidR="005D5ACD" w:rsidRPr="00F179AC" w:rsidRDefault="005D5ACD" w:rsidP="00E928C7">
      <w:pPr>
        <w:ind w:right="567"/>
        <w:jc w:val="both"/>
        <w:rPr>
          <w:rFonts w:ascii="Bookman Old Style" w:hAnsi="Bookman Old Style" w:cs="Arial"/>
          <w:i/>
          <w:iCs/>
          <w:sz w:val="22"/>
          <w:szCs w:val="22"/>
        </w:rPr>
      </w:pPr>
      <w:r w:rsidRPr="00F179AC">
        <w:rPr>
          <w:rFonts w:ascii="Bookman Old Style" w:hAnsi="Bookman Old Style" w:cs="Arial"/>
          <w:i/>
          <w:iCs/>
          <w:sz w:val="22"/>
          <w:szCs w:val="22"/>
        </w:rPr>
        <w:t>Ejecutor: Persona natural, persona jurídica o consorcio cuyo objeto es poner en funcionamiento y aplicar las reglas definidas en el mecanismo para realizar las transacciones comerciales e implementar el mecanismo de adjudicación definido por el diseñador”.</w:t>
      </w:r>
    </w:p>
    <w:p w14:paraId="58AB69AA" w14:textId="77777777" w:rsidR="00B76A39" w:rsidRPr="00C06CAD" w:rsidRDefault="00B76A39" w:rsidP="00B76A39">
      <w:pPr>
        <w:ind w:left="0" w:right="51"/>
        <w:jc w:val="both"/>
        <w:rPr>
          <w:rFonts w:ascii="Bookman Old Style" w:hAnsi="Bookman Old Style" w:cs="Arial"/>
        </w:rPr>
      </w:pPr>
    </w:p>
    <w:p w14:paraId="43017B4B" w14:textId="3DA002D9" w:rsidR="00B76A39" w:rsidRPr="00C06CAD" w:rsidRDefault="00B76A39" w:rsidP="00B76A39">
      <w:pPr>
        <w:ind w:left="0" w:right="51"/>
        <w:jc w:val="both"/>
        <w:rPr>
          <w:rFonts w:ascii="Bookman Old Style" w:hAnsi="Bookman Old Style" w:cs="Arial"/>
        </w:rPr>
      </w:pPr>
      <w:bookmarkStart w:id="1" w:name="_Hlk169084115"/>
      <w:r w:rsidRPr="00C06CAD">
        <w:rPr>
          <w:rFonts w:ascii="Bookman Old Style" w:hAnsi="Bookman Old Style" w:cs="Arial"/>
        </w:rPr>
        <w:t>Teniendo en cuenta la dinámica del mercado de energía eléctrica, se debe considerar la entrada de diferentes actividades y agentes que hacen parte de</w:t>
      </w:r>
      <w:r w:rsidR="005D5ACD">
        <w:rPr>
          <w:rFonts w:ascii="Bookman Old Style" w:hAnsi="Bookman Old Style" w:cs="Arial"/>
        </w:rPr>
        <w:t>l modelo actual de</w:t>
      </w:r>
      <w:r w:rsidRPr="00C06CAD">
        <w:rPr>
          <w:rFonts w:ascii="Bookman Old Style" w:hAnsi="Bookman Old Style" w:cs="Arial"/>
        </w:rPr>
        <w:t xml:space="preserve"> la prestación del servicio público domiciliario, pues la Resolución CREG 114 de 2018 se constituye como una herramienta regulatoria que permite el desarrollo de diferentes mecanismos de comercialización de energía eléctrica, propendiendo por consolidar un escenario competitivo para la compra de energía, que a su vez permita la formación eficiente de precios.</w:t>
      </w:r>
      <w:bookmarkEnd w:id="1"/>
      <w:r w:rsidR="005D5ACD">
        <w:rPr>
          <w:rFonts w:ascii="Bookman Old Style" w:hAnsi="Bookman Old Style" w:cs="Arial"/>
        </w:rPr>
        <w:t xml:space="preserve"> Estos agentes y actividades se encuentran directamente </w:t>
      </w:r>
      <w:r w:rsidR="005D5ACD" w:rsidRPr="005D5ACD">
        <w:rPr>
          <w:rFonts w:ascii="Bookman Old Style" w:hAnsi="Bookman Old Style" w:cs="Arial"/>
        </w:rPr>
        <w:t>asociados</w:t>
      </w:r>
      <w:r w:rsidR="005D5ACD">
        <w:rPr>
          <w:rFonts w:ascii="Bookman Old Style" w:hAnsi="Bookman Old Style" w:cs="Arial"/>
        </w:rPr>
        <w:t>,</w:t>
      </w:r>
      <w:r w:rsidR="005D5ACD" w:rsidRPr="005D5ACD">
        <w:rPr>
          <w:rFonts w:ascii="Bookman Old Style" w:hAnsi="Bookman Old Style" w:cs="Arial"/>
        </w:rPr>
        <w:t xml:space="preserve"> por lo tanto</w:t>
      </w:r>
      <w:r w:rsidR="005D5ACD">
        <w:rPr>
          <w:rFonts w:ascii="Bookman Old Style" w:hAnsi="Bookman Old Style" w:cs="Arial"/>
        </w:rPr>
        <w:t>,</w:t>
      </w:r>
      <w:r w:rsidR="005D5ACD" w:rsidRPr="005D5ACD">
        <w:rPr>
          <w:rFonts w:ascii="Bookman Old Style" w:hAnsi="Bookman Old Style" w:cs="Arial"/>
        </w:rPr>
        <w:t xml:space="preserve"> a la cadena prestación del servicio</w:t>
      </w:r>
      <w:r w:rsidR="005D5ACD">
        <w:rPr>
          <w:rFonts w:ascii="Bookman Old Style" w:hAnsi="Bookman Old Style" w:cs="Arial"/>
        </w:rPr>
        <w:t xml:space="preserve"> público domiciliario de energía eléctrica</w:t>
      </w:r>
      <w:r w:rsidR="005D5ACD" w:rsidRPr="005D5ACD">
        <w:rPr>
          <w:rFonts w:ascii="Bookman Old Style" w:hAnsi="Bookman Old Style" w:cs="Arial"/>
        </w:rPr>
        <w:t xml:space="preserve"> a usuarios finales</w:t>
      </w:r>
      <w:r w:rsidR="005D5ACD">
        <w:rPr>
          <w:rFonts w:ascii="Bookman Old Style" w:hAnsi="Bookman Old Style" w:cs="Arial"/>
        </w:rPr>
        <w:t>.</w:t>
      </w:r>
    </w:p>
    <w:p w14:paraId="3DB04D23" w14:textId="77777777" w:rsidR="00E928C7" w:rsidRPr="00C06CAD" w:rsidRDefault="00E928C7" w:rsidP="00B76A39">
      <w:pPr>
        <w:ind w:left="0" w:right="51"/>
        <w:jc w:val="both"/>
        <w:rPr>
          <w:rFonts w:ascii="Bookman Old Style" w:hAnsi="Bookman Old Style" w:cs="Arial"/>
        </w:rPr>
      </w:pPr>
    </w:p>
    <w:p w14:paraId="2A3F6580" w14:textId="67177340"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Por lo anterior, esta</w:t>
      </w:r>
      <w:r w:rsidR="00C06CAD">
        <w:rPr>
          <w:rFonts w:ascii="Bookman Old Style" w:hAnsi="Bookman Old Style" w:cs="Arial"/>
        </w:rPr>
        <w:t xml:space="preserve"> Comisión</w:t>
      </w:r>
      <w:r w:rsidRPr="00C06CAD">
        <w:rPr>
          <w:rFonts w:ascii="Bookman Old Style" w:hAnsi="Bookman Old Style" w:cs="Arial"/>
        </w:rPr>
        <w:t xml:space="preserve"> expidió para consulta pública el </w:t>
      </w:r>
      <w:r w:rsidR="000E3992">
        <w:rPr>
          <w:rFonts w:ascii="Bookman Old Style" w:hAnsi="Bookman Old Style" w:cs="Arial"/>
        </w:rPr>
        <w:t>P</w:t>
      </w:r>
      <w:r w:rsidRPr="00C06CAD">
        <w:rPr>
          <w:rFonts w:ascii="Bookman Old Style" w:hAnsi="Bookman Old Style" w:cs="Arial"/>
        </w:rPr>
        <w:t xml:space="preserve">royecto de Resolución CREG 701-028 de 2022, con una propuesta regulatoria que busca </w:t>
      </w:r>
      <w:r w:rsidR="00C06CAD">
        <w:rPr>
          <w:rFonts w:ascii="Bookman Old Style" w:hAnsi="Bookman Old Style" w:cs="Arial"/>
        </w:rPr>
        <w:lastRenderedPageBreak/>
        <w:t>reconocer</w:t>
      </w:r>
      <w:r w:rsidRPr="00C06CAD">
        <w:rPr>
          <w:rFonts w:ascii="Bookman Old Style" w:hAnsi="Bookman Old Style" w:cs="Arial"/>
        </w:rPr>
        <w:t xml:space="preserve"> como actividades de la cadena de prestación del servicio público domiciliario de energía eléctrica la administración, la administración de riesgo y la ejecución de mecanismos de comercialización de energía eléctrica, que son puestos en consideración de esta Comisión para su respectivo reconocimiento en el</w:t>
      </w:r>
      <w:r w:rsidR="00C06CAD">
        <w:rPr>
          <w:rFonts w:ascii="Bookman Old Style" w:hAnsi="Bookman Old Style" w:cs="Arial"/>
        </w:rPr>
        <w:t xml:space="preserve"> </w:t>
      </w:r>
      <w:r w:rsidRPr="00C06CAD">
        <w:rPr>
          <w:rFonts w:ascii="Bookman Old Style" w:hAnsi="Bookman Old Style" w:cs="Arial"/>
        </w:rPr>
        <w:t xml:space="preserve">CU. </w:t>
      </w:r>
    </w:p>
    <w:p w14:paraId="5D25BB5C" w14:textId="77777777" w:rsidR="00B76A39" w:rsidRPr="00C06CAD" w:rsidRDefault="00B76A39" w:rsidP="00B76A39">
      <w:pPr>
        <w:ind w:left="0" w:right="51"/>
        <w:jc w:val="both"/>
        <w:rPr>
          <w:rFonts w:ascii="Bookman Old Style" w:hAnsi="Bookman Old Style" w:cs="Arial"/>
        </w:rPr>
      </w:pPr>
    </w:p>
    <w:p w14:paraId="0B91ACCA" w14:textId="2C069A5D" w:rsidR="00B76A39" w:rsidRPr="00C06CAD" w:rsidRDefault="00B76A39" w:rsidP="00B76A39">
      <w:pPr>
        <w:ind w:left="0" w:right="51"/>
        <w:jc w:val="both"/>
        <w:rPr>
          <w:rFonts w:ascii="Bookman Old Style" w:hAnsi="Bookman Old Style" w:cs="Arial"/>
        </w:rPr>
      </w:pPr>
      <w:r w:rsidRPr="00C06CAD">
        <w:rPr>
          <w:rFonts w:ascii="Bookman Old Style" w:hAnsi="Bookman Old Style" w:cs="Arial"/>
        </w:rPr>
        <w:t>Asimismo, la propuesta regulatoria</w:t>
      </w:r>
      <w:r w:rsidR="00C06CAD">
        <w:rPr>
          <w:rFonts w:ascii="Bookman Old Style" w:hAnsi="Bookman Old Style" w:cs="Arial"/>
        </w:rPr>
        <w:t xml:space="preserve"> consultada</w:t>
      </w:r>
      <w:r w:rsidRPr="00C06CAD">
        <w:rPr>
          <w:rFonts w:ascii="Bookman Old Style" w:hAnsi="Bookman Old Style" w:cs="Arial"/>
        </w:rPr>
        <w:t xml:space="preserve"> dispuso que estas actividades quedarían sujetas a las disposiciones contenidas en la Resolución CREG 114 de 2018 y que podrían ser desarrolladas por las personas señaladas en el artículo 15 de la Ley 142 de 1994.</w:t>
      </w:r>
    </w:p>
    <w:p w14:paraId="6E9E783A" w14:textId="77777777" w:rsidR="00B76A39" w:rsidRPr="00C06CAD" w:rsidRDefault="00B76A39" w:rsidP="00B76A39">
      <w:pPr>
        <w:ind w:left="0" w:right="51"/>
        <w:jc w:val="both"/>
        <w:rPr>
          <w:rFonts w:ascii="Bookman Old Style" w:hAnsi="Bookman Old Style" w:cs="Arial"/>
        </w:rPr>
      </w:pPr>
    </w:p>
    <w:p w14:paraId="727BA0A8" w14:textId="64116599" w:rsidR="000E3992" w:rsidRDefault="00B76A39" w:rsidP="00B76A39">
      <w:pPr>
        <w:ind w:left="0" w:right="51"/>
        <w:jc w:val="both"/>
        <w:rPr>
          <w:rFonts w:ascii="Bookman Old Style" w:hAnsi="Bookman Old Style"/>
        </w:rPr>
      </w:pPr>
      <w:r w:rsidRPr="00C06CAD">
        <w:rPr>
          <w:rFonts w:ascii="Bookman Old Style" w:hAnsi="Bookman Old Style" w:cs="Arial"/>
        </w:rPr>
        <w:t xml:space="preserve">Durante </w:t>
      </w:r>
      <w:r w:rsidR="00C06CAD">
        <w:rPr>
          <w:rFonts w:ascii="Bookman Old Style" w:hAnsi="Bookman Old Style" w:cs="Arial"/>
        </w:rPr>
        <w:t>el periodo de</w:t>
      </w:r>
      <w:r w:rsidRPr="00C06CAD">
        <w:rPr>
          <w:rFonts w:ascii="Bookman Old Style" w:hAnsi="Bookman Old Style" w:cs="Arial"/>
        </w:rPr>
        <w:t xml:space="preserve"> consulta</w:t>
      </w:r>
      <w:r w:rsidR="00C06CAD">
        <w:rPr>
          <w:rFonts w:ascii="Bookman Old Style" w:hAnsi="Bookman Old Style" w:cs="Arial"/>
        </w:rPr>
        <w:t xml:space="preserve"> pública</w:t>
      </w:r>
      <w:r w:rsidR="000E3992">
        <w:rPr>
          <w:rFonts w:ascii="Bookman Old Style" w:hAnsi="Bookman Old Style" w:cs="Arial"/>
        </w:rPr>
        <w:t xml:space="preserve"> del P</w:t>
      </w:r>
      <w:r w:rsidR="000E3992" w:rsidRPr="00C06CAD">
        <w:rPr>
          <w:rFonts w:ascii="Bookman Old Style" w:hAnsi="Bookman Old Style" w:cs="Arial"/>
        </w:rPr>
        <w:t>royecto de Resolución CREG 701-028 de 2022</w:t>
      </w:r>
      <w:r w:rsidRPr="00C06CAD">
        <w:rPr>
          <w:rFonts w:ascii="Bookman Old Style" w:hAnsi="Bookman Old Style" w:cs="Arial"/>
        </w:rPr>
        <w:t xml:space="preserve"> se recibieron comentarios por parte de los siguientes agentes:</w:t>
      </w:r>
      <w:r w:rsidR="000E3992">
        <w:rPr>
          <w:rFonts w:ascii="Bookman Old Style" w:hAnsi="Bookman Old Style" w:cs="Arial"/>
        </w:rPr>
        <w:t xml:space="preserve"> </w:t>
      </w:r>
      <w:r w:rsidRPr="00C06CAD">
        <w:rPr>
          <w:rFonts w:ascii="Bookman Old Style" w:hAnsi="Bookman Old Style"/>
        </w:rPr>
        <w:t>ACOLGEN</w:t>
      </w:r>
      <w:r w:rsidR="000E3992">
        <w:rPr>
          <w:rFonts w:ascii="Bookman Old Style" w:hAnsi="Bookman Old Style"/>
        </w:rPr>
        <w:t xml:space="preserve">, </w:t>
      </w:r>
      <w:r w:rsidRPr="00C06CAD">
        <w:rPr>
          <w:rFonts w:ascii="Bookman Old Style" w:hAnsi="Bookman Old Style"/>
        </w:rPr>
        <w:t>ANDESCO</w:t>
      </w:r>
      <w:r w:rsidR="000E3992">
        <w:rPr>
          <w:rFonts w:ascii="Bookman Old Style" w:hAnsi="Bookman Old Style"/>
        </w:rPr>
        <w:t xml:space="preserve">, </w:t>
      </w:r>
      <w:r w:rsidRPr="00C06CAD">
        <w:rPr>
          <w:rFonts w:ascii="Bookman Old Style" w:hAnsi="Bookman Old Style"/>
        </w:rPr>
        <w:t>ATLÁNTICA</w:t>
      </w:r>
      <w:r w:rsidR="000E3992">
        <w:rPr>
          <w:rFonts w:ascii="Bookman Old Style" w:hAnsi="Bookman Old Style"/>
        </w:rPr>
        <w:t xml:space="preserve">, </w:t>
      </w:r>
      <w:r w:rsidRPr="00C06CAD">
        <w:rPr>
          <w:rFonts w:ascii="Bookman Old Style" w:hAnsi="Bookman Old Style"/>
        </w:rPr>
        <w:t>BMC</w:t>
      </w:r>
      <w:r w:rsidR="000E3992">
        <w:rPr>
          <w:rFonts w:ascii="Bookman Old Style" w:hAnsi="Bookman Old Style"/>
        </w:rPr>
        <w:t xml:space="preserve">, </w:t>
      </w:r>
      <w:r w:rsidRPr="00C06CAD">
        <w:rPr>
          <w:rFonts w:ascii="Bookman Old Style" w:hAnsi="Bookman Old Style"/>
        </w:rPr>
        <w:t>CELSIA</w:t>
      </w:r>
      <w:r w:rsidR="000E3992">
        <w:rPr>
          <w:rFonts w:ascii="Bookman Old Style" w:hAnsi="Bookman Old Style"/>
        </w:rPr>
        <w:t xml:space="preserve">, </w:t>
      </w:r>
      <w:r w:rsidRPr="00C06CAD">
        <w:rPr>
          <w:rFonts w:ascii="Bookman Old Style" w:hAnsi="Bookman Old Style"/>
        </w:rPr>
        <w:t>CONSULTORÍA REGULATORIA</w:t>
      </w:r>
      <w:r w:rsidR="000E3992">
        <w:rPr>
          <w:rFonts w:ascii="Bookman Old Style" w:hAnsi="Bookman Old Style"/>
        </w:rPr>
        <w:t xml:space="preserve">, </w:t>
      </w:r>
      <w:r w:rsidRPr="00C06CAD">
        <w:rPr>
          <w:rFonts w:ascii="Bookman Old Style" w:hAnsi="Bookman Old Style"/>
        </w:rPr>
        <w:t>EMPRESA DE ENERGÍA DE PEREIRA</w:t>
      </w:r>
      <w:r w:rsidR="000E3992">
        <w:rPr>
          <w:rFonts w:ascii="Bookman Old Style" w:hAnsi="Bookman Old Style"/>
        </w:rPr>
        <w:t xml:space="preserve">, </w:t>
      </w:r>
      <w:r w:rsidRPr="00C06CAD">
        <w:rPr>
          <w:rFonts w:ascii="Bookman Old Style" w:hAnsi="Bookman Old Style"/>
        </w:rPr>
        <w:t>ENEL</w:t>
      </w:r>
      <w:r w:rsidR="000E3992">
        <w:rPr>
          <w:rFonts w:ascii="Bookman Old Style" w:hAnsi="Bookman Old Style"/>
        </w:rPr>
        <w:t xml:space="preserve">, </w:t>
      </w:r>
      <w:r w:rsidRPr="00C06CAD">
        <w:rPr>
          <w:rFonts w:ascii="Bookman Old Style" w:hAnsi="Bookman Old Style"/>
        </w:rPr>
        <w:t>EPM</w:t>
      </w:r>
      <w:r w:rsidR="000E3992">
        <w:rPr>
          <w:rFonts w:ascii="Bookman Old Style" w:hAnsi="Bookman Old Style"/>
        </w:rPr>
        <w:t xml:space="preserve">, </w:t>
      </w:r>
      <w:r w:rsidRPr="00C06CAD">
        <w:rPr>
          <w:rFonts w:ascii="Bookman Old Style" w:hAnsi="Bookman Old Style"/>
        </w:rPr>
        <w:t>GECELCA</w:t>
      </w:r>
      <w:r w:rsidR="000E3992">
        <w:rPr>
          <w:rFonts w:ascii="Bookman Old Style" w:hAnsi="Bookman Old Style"/>
        </w:rPr>
        <w:t xml:space="preserve">, </w:t>
      </w:r>
      <w:r w:rsidRPr="00C06CAD">
        <w:rPr>
          <w:rFonts w:ascii="Bookman Old Style" w:hAnsi="Bookman Old Style"/>
        </w:rPr>
        <w:t>SER</w:t>
      </w:r>
      <w:r w:rsidR="000E3992">
        <w:rPr>
          <w:rFonts w:ascii="Bookman Old Style" w:hAnsi="Bookman Old Style"/>
        </w:rPr>
        <w:t xml:space="preserve">, </w:t>
      </w:r>
      <w:r w:rsidRPr="00C06CAD">
        <w:rPr>
          <w:rFonts w:ascii="Bookman Old Style" w:hAnsi="Bookman Old Style"/>
        </w:rPr>
        <w:t>SOUTH 32 OPTIMA</w:t>
      </w:r>
      <w:r w:rsidR="000E3992">
        <w:rPr>
          <w:rFonts w:ascii="Bookman Old Style" w:hAnsi="Bookman Old Style"/>
        </w:rPr>
        <w:t xml:space="preserve">, </w:t>
      </w:r>
      <w:r w:rsidRPr="000E3992">
        <w:rPr>
          <w:rFonts w:ascii="Bookman Old Style" w:hAnsi="Bookman Old Style"/>
        </w:rPr>
        <w:t>VATIA</w:t>
      </w:r>
      <w:r w:rsidR="000E3992">
        <w:rPr>
          <w:rFonts w:ascii="Bookman Old Style" w:hAnsi="Bookman Old Style"/>
        </w:rPr>
        <w:t xml:space="preserve">, </w:t>
      </w:r>
      <w:r w:rsidRPr="00C06CAD">
        <w:rPr>
          <w:rFonts w:ascii="Bookman Old Style" w:hAnsi="Bookman Old Style"/>
        </w:rPr>
        <w:t>XM</w:t>
      </w:r>
      <w:r w:rsidR="00F179AC">
        <w:rPr>
          <w:rFonts w:ascii="Bookman Old Style" w:hAnsi="Bookman Old Style"/>
        </w:rPr>
        <w:t xml:space="preserve"> y</w:t>
      </w:r>
      <w:r w:rsidR="000E3992">
        <w:rPr>
          <w:rFonts w:ascii="Bookman Old Style" w:hAnsi="Bookman Old Style"/>
        </w:rPr>
        <w:t xml:space="preserve"> </w:t>
      </w:r>
      <w:r w:rsidRPr="00C06CAD">
        <w:rPr>
          <w:rFonts w:ascii="Bookman Old Style" w:hAnsi="Bookman Old Style"/>
        </w:rPr>
        <w:t>DERIVEX</w:t>
      </w:r>
      <w:r w:rsidR="00F179AC">
        <w:rPr>
          <w:rFonts w:ascii="Bookman Old Style" w:hAnsi="Bookman Old Style"/>
        </w:rPr>
        <w:t>.</w:t>
      </w:r>
    </w:p>
    <w:p w14:paraId="0B0956C4" w14:textId="6AFFCD80" w:rsidR="00B76A39" w:rsidRPr="00C06CAD" w:rsidRDefault="000E3992" w:rsidP="00B76A39">
      <w:pPr>
        <w:ind w:left="0" w:right="51"/>
        <w:jc w:val="both"/>
        <w:rPr>
          <w:rFonts w:ascii="Bookman Old Style" w:hAnsi="Bookman Old Style" w:cs="Arial"/>
        </w:rPr>
      </w:pPr>
      <w:r>
        <w:rPr>
          <w:rFonts w:ascii="Bookman Old Style" w:hAnsi="Bookman Old Style"/>
        </w:rPr>
        <w:t xml:space="preserve"> </w:t>
      </w:r>
    </w:p>
    <w:p w14:paraId="66E1F067" w14:textId="67184CAA" w:rsidR="00045D3D" w:rsidRPr="00C06CAD" w:rsidRDefault="00B76A39" w:rsidP="00C06CAD">
      <w:pPr>
        <w:ind w:left="0"/>
        <w:jc w:val="both"/>
        <w:rPr>
          <w:rFonts w:ascii="Bookman Old Style" w:hAnsi="Bookman Old Style" w:cs="Arial"/>
        </w:rPr>
      </w:pPr>
      <w:r w:rsidRPr="00C06CAD">
        <w:rPr>
          <w:rFonts w:ascii="Bookman Old Style" w:hAnsi="Bookman Old Style"/>
        </w:rPr>
        <w:t>De acuerdo con el análisis realizado por esta Comisión sobre los comentarios recibidos, se encontró necesario hacer ajustes de fondo sobre la propuesta regulatoria presentada para circunscribir la creación de las nuevas actividades a aquellas asociadas a l</w:t>
      </w:r>
      <w:r w:rsidRPr="00C06CAD">
        <w:rPr>
          <w:rFonts w:ascii="Bookman Old Style" w:hAnsi="Bookman Old Style" w:cs="Arial"/>
        </w:rPr>
        <w:t xml:space="preserve">a promoción de los mecanismos de que trata la Resolución CREG 114 de 2018, siempre que estos den lugar a la celebración de contratos de compra de energía y se registren y liquiden en el Mercado de Energía Mayorista. </w:t>
      </w:r>
    </w:p>
    <w:p w14:paraId="2CC0D884" w14:textId="77777777" w:rsidR="00B76A39" w:rsidRPr="00C06CAD" w:rsidRDefault="00B76A39" w:rsidP="00B76A39">
      <w:pPr>
        <w:ind w:left="0"/>
        <w:rPr>
          <w:rFonts w:ascii="Bookman Old Style" w:hAnsi="Bookman Old Style" w:cs="Arial"/>
        </w:rPr>
      </w:pPr>
    </w:p>
    <w:p w14:paraId="5932BD75" w14:textId="7C65292D" w:rsidR="00B76A39" w:rsidRPr="00C06CAD" w:rsidRDefault="00B76A39" w:rsidP="00B76A39">
      <w:pPr>
        <w:ind w:left="0"/>
        <w:jc w:val="both"/>
        <w:rPr>
          <w:rFonts w:ascii="Bookman Old Style" w:hAnsi="Bookman Old Style"/>
        </w:rPr>
      </w:pPr>
      <w:r w:rsidRPr="00C06CAD">
        <w:rPr>
          <w:rFonts w:ascii="Bookman Old Style" w:hAnsi="Bookman Old Style"/>
        </w:rPr>
        <w:t>Por lo anterior, esta Comisión presentó para</w:t>
      </w:r>
      <w:r w:rsidR="000E3992">
        <w:rPr>
          <w:rFonts w:ascii="Bookman Old Style" w:hAnsi="Bookman Old Style"/>
        </w:rPr>
        <w:t xml:space="preserve"> una segunda</w:t>
      </w:r>
      <w:r w:rsidRPr="00C06CAD">
        <w:rPr>
          <w:rFonts w:ascii="Bookman Old Style" w:hAnsi="Bookman Old Style"/>
        </w:rPr>
        <w:t xml:space="preserve"> consulta pública el Proyecto Regulatorio 701 022 de 2023, el cual fue publicado en la página web de esta Comisión el 18 de septiembre de 2023 y el periodo para recepción de comentarios se extendió hasta el 2 de octubre de 2023.</w:t>
      </w:r>
    </w:p>
    <w:p w14:paraId="0A9B0DE5" w14:textId="77777777" w:rsidR="00B76A39" w:rsidRPr="002064A3" w:rsidRDefault="00B76A39" w:rsidP="00B76A39">
      <w:pPr>
        <w:ind w:left="0"/>
        <w:jc w:val="both"/>
        <w:rPr>
          <w:rFonts w:ascii="Bookman Old Style" w:hAnsi="Bookman Old Style"/>
          <w:highlight w:val="yellow"/>
        </w:rPr>
      </w:pPr>
    </w:p>
    <w:p w14:paraId="54D6A8BD" w14:textId="26057229" w:rsidR="00C76706" w:rsidRDefault="00B76A39" w:rsidP="00045D3D">
      <w:pPr>
        <w:ind w:left="0"/>
        <w:jc w:val="both"/>
        <w:rPr>
          <w:rFonts w:ascii="Bookman Old Style" w:hAnsi="Bookman Old Style"/>
        </w:rPr>
      </w:pPr>
      <w:r>
        <w:rPr>
          <w:rFonts w:ascii="Bookman Old Style" w:hAnsi="Bookman Old Style"/>
        </w:rPr>
        <w:t xml:space="preserve">Frente al </w:t>
      </w:r>
      <w:r w:rsidRPr="00DD69E8">
        <w:rPr>
          <w:rFonts w:ascii="Bookman Old Style" w:hAnsi="Bookman Old Style"/>
        </w:rPr>
        <w:t xml:space="preserve">proyecto en </w:t>
      </w:r>
      <w:r w:rsidRPr="00CA1E93">
        <w:rPr>
          <w:rFonts w:ascii="Bookman Old Style" w:hAnsi="Bookman Old Style"/>
        </w:rPr>
        <w:t>mención, durante el periodo de consulta se recibieron comentarios de los siguientes agentes</w:t>
      </w:r>
      <w:r>
        <w:rPr>
          <w:rFonts w:ascii="Bookman Old Style" w:hAnsi="Bookman Old Style"/>
        </w:rPr>
        <w:t>:</w:t>
      </w:r>
      <w:r w:rsidR="000E3992">
        <w:rPr>
          <w:rFonts w:ascii="Bookman Old Style" w:hAnsi="Bookman Old Style"/>
        </w:rPr>
        <w:t xml:space="preserve"> </w:t>
      </w:r>
      <w:r w:rsidRPr="00DD69E8">
        <w:rPr>
          <w:rFonts w:ascii="Bookman Old Style" w:hAnsi="Bookman Old Style"/>
        </w:rPr>
        <w:t>ACCE</w:t>
      </w:r>
      <w:r w:rsidR="000E3992">
        <w:rPr>
          <w:rFonts w:ascii="Bookman Old Style" w:hAnsi="Bookman Old Style"/>
        </w:rPr>
        <w:t xml:space="preserve">, </w:t>
      </w:r>
      <w:r w:rsidRPr="00DD69E8">
        <w:rPr>
          <w:rFonts w:ascii="Bookman Old Style" w:hAnsi="Bookman Old Style"/>
        </w:rPr>
        <w:t>ACOLGEN</w:t>
      </w:r>
      <w:r w:rsidR="000E3992">
        <w:rPr>
          <w:rFonts w:ascii="Bookman Old Style" w:hAnsi="Bookman Old Style"/>
        </w:rPr>
        <w:t xml:space="preserve">, </w:t>
      </w:r>
      <w:r>
        <w:rPr>
          <w:rFonts w:ascii="Bookman Old Style" w:hAnsi="Bookman Old Style"/>
        </w:rPr>
        <w:t>BMC</w:t>
      </w:r>
      <w:r w:rsidR="000E3992">
        <w:rPr>
          <w:rFonts w:ascii="Bookman Old Style" w:hAnsi="Bookman Old Style"/>
        </w:rPr>
        <w:t xml:space="preserve">, </w:t>
      </w:r>
      <w:r w:rsidRPr="00DD69E8">
        <w:rPr>
          <w:rFonts w:ascii="Bookman Old Style" w:hAnsi="Bookman Old Style"/>
        </w:rPr>
        <w:t>DERIVEX</w:t>
      </w:r>
      <w:r w:rsidR="000E3992">
        <w:rPr>
          <w:rFonts w:ascii="Bookman Old Style" w:hAnsi="Bookman Old Style"/>
        </w:rPr>
        <w:t xml:space="preserve">, </w:t>
      </w:r>
      <w:r w:rsidRPr="00DD69E8">
        <w:rPr>
          <w:rFonts w:ascii="Bookman Old Style" w:hAnsi="Bookman Old Style"/>
        </w:rPr>
        <w:t>ENEL</w:t>
      </w:r>
      <w:r w:rsidR="000E3992">
        <w:rPr>
          <w:rFonts w:ascii="Bookman Old Style" w:hAnsi="Bookman Old Style"/>
        </w:rPr>
        <w:t xml:space="preserve">, </w:t>
      </w:r>
      <w:r w:rsidRPr="00DD69E8">
        <w:rPr>
          <w:rFonts w:ascii="Bookman Old Style" w:hAnsi="Bookman Old Style"/>
        </w:rPr>
        <w:t>EPM</w:t>
      </w:r>
      <w:r w:rsidR="000E3992">
        <w:rPr>
          <w:rFonts w:ascii="Bookman Old Style" w:hAnsi="Bookman Old Style"/>
        </w:rPr>
        <w:t xml:space="preserve">, </w:t>
      </w:r>
      <w:r w:rsidRPr="00B76A39">
        <w:rPr>
          <w:rFonts w:ascii="Bookman Old Style" w:hAnsi="Bookman Old Style"/>
        </w:rPr>
        <w:t>OGE LEGAL SERVICES</w:t>
      </w:r>
      <w:r w:rsidR="000E3992">
        <w:rPr>
          <w:rFonts w:ascii="Bookman Old Style" w:hAnsi="Bookman Old Style"/>
        </w:rPr>
        <w:t xml:space="preserve">, </w:t>
      </w:r>
      <w:r w:rsidRPr="00DD69E8">
        <w:rPr>
          <w:rFonts w:ascii="Bookman Old Style" w:hAnsi="Bookman Old Style"/>
        </w:rPr>
        <w:t>TEBSA</w:t>
      </w:r>
      <w:r w:rsidR="000E3992">
        <w:rPr>
          <w:rFonts w:ascii="Bookman Old Style" w:hAnsi="Bookman Old Style"/>
        </w:rPr>
        <w:t>.</w:t>
      </w:r>
      <w:r w:rsidR="00F179AC">
        <w:rPr>
          <w:rFonts w:ascii="Bookman Old Style" w:hAnsi="Bookman Old Style"/>
        </w:rPr>
        <w:t xml:space="preserve"> </w:t>
      </w:r>
    </w:p>
    <w:p w14:paraId="419F6F14" w14:textId="77777777" w:rsidR="00C76706" w:rsidRDefault="00C76706" w:rsidP="00045D3D">
      <w:pPr>
        <w:ind w:left="0"/>
        <w:jc w:val="both"/>
        <w:rPr>
          <w:rFonts w:ascii="Bookman Old Style" w:hAnsi="Bookman Old Style"/>
        </w:rPr>
      </w:pPr>
    </w:p>
    <w:p w14:paraId="4E5DF5F8" w14:textId="2E9F6C5A" w:rsidR="00E921F2" w:rsidRDefault="00E928C7" w:rsidP="00045D3D">
      <w:pPr>
        <w:ind w:left="0"/>
        <w:jc w:val="both"/>
        <w:rPr>
          <w:rFonts w:ascii="Bookman Old Style" w:hAnsi="Bookman Old Style"/>
        </w:rPr>
      </w:pPr>
      <w:r>
        <w:rPr>
          <w:rFonts w:ascii="Bookman Old Style" w:hAnsi="Bookman Old Style"/>
        </w:rPr>
        <w:t>Finalmente, e</w:t>
      </w:r>
      <w:r w:rsidR="00E921F2" w:rsidRPr="00E921F2">
        <w:rPr>
          <w:rFonts w:ascii="Bookman Old Style" w:hAnsi="Bookman Old Style"/>
        </w:rPr>
        <w:t xml:space="preserve">n cumplimiento de lo establecido en el Decreto número 1074 de 2015 y como resultado del diligenciamiento del formulario sobre </w:t>
      </w:r>
      <w:r w:rsidR="00267A10">
        <w:rPr>
          <w:rFonts w:ascii="Bookman Old Style" w:hAnsi="Bookman Old Style"/>
        </w:rPr>
        <w:t>abogacía de la competencia</w:t>
      </w:r>
      <w:r w:rsidR="00E921F2" w:rsidRPr="00E921F2">
        <w:rPr>
          <w:rFonts w:ascii="Bookman Old Style" w:hAnsi="Bookman Old Style"/>
        </w:rPr>
        <w:t xml:space="preserve">, se concluyó que esta normativa no </w:t>
      </w:r>
      <w:r w:rsidR="00E921F2">
        <w:rPr>
          <w:rFonts w:ascii="Bookman Old Style" w:hAnsi="Bookman Old Style"/>
        </w:rPr>
        <w:t>requiere concepto previo de la Superintendencia de Industria y Comercio</w:t>
      </w:r>
      <w:r w:rsidR="00E921F2" w:rsidRPr="00E921F2">
        <w:rPr>
          <w:rFonts w:ascii="Bookman Old Style" w:hAnsi="Bookman Old Style"/>
        </w:rPr>
        <w:t>.</w:t>
      </w:r>
    </w:p>
    <w:p w14:paraId="4AFD21B6" w14:textId="77777777" w:rsidR="00E921F2" w:rsidRDefault="00E921F2" w:rsidP="00045D3D">
      <w:pPr>
        <w:ind w:left="0"/>
        <w:jc w:val="both"/>
        <w:rPr>
          <w:rFonts w:ascii="Bookman Old Style" w:hAnsi="Bookman Old Style"/>
        </w:rPr>
      </w:pPr>
    </w:p>
    <w:p w14:paraId="3EC2FEEA" w14:textId="39F36A0C" w:rsidR="00E928C7" w:rsidRDefault="00E928C7" w:rsidP="00045D3D">
      <w:pPr>
        <w:ind w:left="0"/>
        <w:jc w:val="both"/>
        <w:rPr>
          <w:rFonts w:ascii="Bookman Old Style" w:hAnsi="Bookman Old Style"/>
        </w:rPr>
      </w:pPr>
      <w:r>
        <w:rPr>
          <w:rFonts w:ascii="Bookman Old Style" w:hAnsi="Bookman Old Style"/>
        </w:rPr>
        <w:t>Las respuestas y consideraciones de esta Comisión frente a los comentarios recibidos</w:t>
      </w:r>
      <w:r>
        <w:rPr>
          <w:rFonts w:ascii="Bookman Old Style" w:hAnsi="Bookman Old Style"/>
        </w:rPr>
        <w:t>, así como el formulario de abogacía de la competencia diligenciado,</w:t>
      </w:r>
      <w:r>
        <w:rPr>
          <w:rFonts w:ascii="Bookman Old Style" w:hAnsi="Bookman Old Style"/>
        </w:rPr>
        <w:t xml:space="preserve"> se encuentran en el documento de soporte que acompaña la presente resolución.</w:t>
      </w:r>
      <w:r>
        <w:rPr>
          <w:rFonts w:ascii="Bookman Old Style" w:hAnsi="Bookman Old Style"/>
        </w:rPr>
        <w:t xml:space="preserve"> </w:t>
      </w:r>
    </w:p>
    <w:p w14:paraId="5841175F" w14:textId="77777777" w:rsidR="00E928C7" w:rsidRDefault="00E928C7" w:rsidP="00045D3D">
      <w:pPr>
        <w:ind w:left="0"/>
        <w:jc w:val="both"/>
        <w:rPr>
          <w:rFonts w:ascii="Bookman Old Style" w:hAnsi="Bookman Old Style"/>
        </w:rPr>
      </w:pPr>
    </w:p>
    <w:p w14:paraId="502FA376" w14:textId="1A074EB1" w:rsidR="00045D3D" w:rsidRDefault="00045D3D" w:rsidP="00045D3D">
      <w:pPr>
        <w:ind w:left="0"/>
        <w:jc w:val="both"/>
        <w:rPr>
          <w:rFonts w:ascii="Bookman Old Style" w:hAnsi="Bookman Old Style"/>
        </w:rPr>
      </w:pPr>
      <w:r w:rsidRPr="00490943">
        <w:rPr>
          <w:rFonts w:ascii="Bookman Old Style" w:hAnsi="Bookman Old Style"/>
        </w:rPr>
        <w:t xml:space="preserve">La Comisión de Regulación de Energía y Gas, en su Sesión </w:t>
      </w:r>
      <w:r w:rsidR="00490943" w:rsidRPr="00490943">
        <w:rPr>
          <w:rFonts w:ascii="Bookman Old Style" w:hAnsi="Bookman Old Style"/>
        </w:rPr>
        <w:t>1323</w:t>
      </w:r>
      <w:r w:rsidR="00DF3CA2" w:rsidRPr="00490943">
        <w:rPr>
          <w:rFonts w:ascii="Bookman Old Style" w:hAnsi="Bookman Old Style"/>
        </w:rPr>
        <w:t xml:space="preserve"> del </w:t>
      </w:r>
      <w:r w:rsidR="00490943" w:rsidRPr="00490943">
        <w:rPr>
          <w:rFonts w:ascii="Bookman Old Style" w:hAnsi="Bookman Old Style"/>
        </w:rPr>
        <w:t>24</w:t>
      </w:r>
      <w:r w:rsidRPr="00490943">
        <w:rPr>
          <w:rFonts w:ascii="Bookman Old Style" w:hAnsi="Bookman Old Style"/>
        </w:rPr>
        <w:t xml:space="preserve"> de </w:t>
      </w:r>
      <w:r w:rsidR="00490943" w:rsidRPr="00490943">
        <w:rPr>
          <w:rFonts w:ascii="Bookman Old Style" w:hAnsi="Bookman Old Style"/>
        </w:rPr>
        <w:t>junio</w:t>
      </w:r>
      <w:r w:rsidRPr="00490943">
        <w:rPr>
          <w:rFonts w:ascii="Bookman Old Style" w:hAnsi="Bookman Old Style"/>
        </w:rPr>
        <w:t xml:space="preserve"> de 20</w:t>
      </w:r>
      <w:r w:rsidR="000E3992" w:rsidRPr="00490943">
        <w:rPr>
          <w:rFonts w:ascii="Bookman Old Style" w:hAnsi="Bookman Old Style"/>
        </w:rPr>
        <w:t>24</w:t>
      </w:r>
      <w:r w:rsidRPr="00490943">
        <w:rPr>
          <w:rFonts w:ascii="Bookman Old Style" w:hAnsi="Bookman Old Style"/>
        </w:rPr>
        <w:t>, acordó expedir esta resolución.</w:t>
      </w:r>
    </w:p>
    <w:p w14:paraId="500FBD3F" w14:textId="77777777" w:rsidR="00E928C7" w:rsidRDefault="00E928C7" w:rsidP="00A257D3">
      <w:pPr>
        <w:suppressAutoHyphens/>
        <w:ind w:left="0"/>
        <w:rPr>
          <w:rFonts w:ascii="Bookman Old Style" w:hAnsi="Bookman Old Style"/>
          <w:b/>
          <w:spacing w:val="-3"/>
        </w:rPr>
      </w:pPr>
    </w:p>
    <w:p w14:paraId="40EFC463" w14:textId="4CF62B3D" w:rsidR="00045D3D" w:rsidRPr="00C435C3" w:rsidRDefault="00045D3D" w:rsidP="000E3992">
      <w:pPr>
        <w:suppressAutoHyphens/>
        <w:ind w:left="0"/>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710314E7" w14:textId="77777777" w:rsidR="00B76A39" w:rsidRDefault="00B76A39" w:rsidP="00B76A39">
      <w:pPr>
        <w:ind w:left="0"/>
        <w:jc w:val="both"/>
        <w:rPr>
          <w:rFonts w:ascii="Bookman Old Style" w:hAnsi="Bookman Old Style" w:cs="Arial"/>
          <w:bCs/>
        </w:rPr>
      </w:pPr>
      <w:r w:rsidRPr="002A782A">
        <w:rPr>
          <w:rFonts w:ascii="Bookman Old Style" w:hAnsi="Bookman Old Style"/>
          <w:b/>
        </w:rPr>
        <w:t xml:space="preserve">ARTÍCULO 1. </w:t>
      </w:r>
      <w:r w:rsidRPr="00D30ACF">
        <w:rPr>
          <w:rFonts w:ascii="Bookman Old Style" w:hAnsi="Bookman Old Style" w:cs="Arial"/>
          <w:b/>
          <w:bCs/>
        </w:rPr>
        <w:t>Definiciones.</w:t>
      </w:r>
      <w:r w:rsidRPr="00B70D58">
        <w:rPr>
          <w:rFonts w:ascii="Bookman Old Style" w:hAnsi="Bookman Old Style" w:cs="Arial"/>
        </w:rPr>
        <w:t xml:space="preserve"> </w:t>
      </w:r>
      <w:r w:rsidRPr="00B70D58">
        <w:rPr>
          <w:rFonts w:ascii="Bookman Old Style" w:hAnsi="Bookman Old Style" w:cs="Arial"/>
          <w:bCs/>
        </w:rPr>
        <w:t>Para efectos de la presente resolución se tendrán en cuenta las siguientes definiciones:</w:t>
      </w:r>
    </w:p>
    <w:p w14:paraId="1E45CE7E" w14:textId="77777777" w:rsidR="00B76A39" w:rsidRDefault="00B76A39" w:rsidP="00B76A39">
      <w:pPr>
        <w:ind w:left="0"/>
        <w:jc w:val="both"/>
        <w:rPr>
          <w:rFonts w:ascii="Bookman Old Style" w:hAnsi="Bookman Old Style" w:cs="Arial"/>
          <w:bCs/>
        </w:rPr>
      </w:pPr>
    </w:p>
    <w:p w14:paraId="770F72E4" w14:textId="77777777" w:rsidR="00B76A39" w:rsidRDefault="00B76A39" w:rsidP="00B76A39">
      <w:pPr>
        <w:pStyle w:val="Ttulo1"/>
        <w:numPr>
          <w:ilvl w:val="1"/>
          <w:numId w:val="24"/>
        </w:numPr>
        <w:ind w:left="709" w:hanging="709"/>
        <w:jc w:val="both"/>
        <w:rPr>
          <w:rFonts w:ascii="Bookman Old Style" w:hAnsi="Bookman Old Style" w:cs="Arial"/>
          <w:b w:val="0"/>
          <w:bCs/>
        </w:rPr>
      </w:pPr>
      <w:r w:rsidRPr="00711E32">
        <w:rPr>
          <w:rFonts w:ascii="Bookman Old Style" w:hAnsi="Bookman Old Style" w:cs="Arial"/>
          <w:b w:val="0"/>
          <w:bCs/>
        </w:rPr>
        <w:t>Administración de mecanismos de comercialización: Actividad desarrollada por un Administrador, según lo definido en el artículo 2 de la Resolución CREG 114 de 2018.</w:t>
      </w:r>
    </w:p>
    <w:p w14:paraId="26B77ABC" w14:textId="77777777" w:rsidR="00B76A39" w:rsidRPr="00711E32" w:rsidRDefault="00B76A39" w:rsidP="00B76A39">
      <w:pPr>
        <w:pStyle w:val="Ttulo1"/>
        <w:ind w:left="709" w:hanging="709"/>
        <w:jc w:val="both"/>
        <w:rPr>
          <w:rFonts w:ascii="Bookman Old Style" w:hAnsi="Bookman Old Style" w:cs="Arial"/>
          <w:b w:val="0"/>
          <w:bCs/>
        </w:rPr>
      </w:pPr>
    </w:p>
    <w:p w14:paraId="67EC32F8" w14:textId="77777777" w:rsidR="00B76A39" w:rsidRPr="00711E32" w:rsidRDefault="00B76A39" w:rsidP="00B76A39">
      <w:pPr>
        <w:pStyle w:val="Ttulo1"/>
        <w:numPr>
          <w:ilvl w:val="1"/>
          <w:numId w:val="24"/>
        </w:numPr>
        <w:ind w:left="709" w:hanging="709"/>
        <w:jc w:val="both"/>
        <w:rPr>
          <w:rFonts w:ascii="Bookman Old Style" w:hAnsi="Bookman Old Style" w:cs="Arial"/>
          <w:b w:val="0"/>
          <w:bCs/>
        </w:rPr>
      </w:pPr>
      <w:r w:rsidRPr="00711E32">
        <w:rPr>
          <w:rFonts w:ascii="Bookman Old Style" w:hAnsi="Bookman Old Style" w:cs="Arial"/>
          <w:b w:val="0"/>
          <w:bCs/>
        </w:rPr>
        <w:t>Administración de riesgo en mecanismos de comercialización: Actividad desarrollada por un Administrador de Riesgo, según lo definido en el artículo 2 de la Resolución CREG 114 de 2018.</w:t>
      </w:r>
    </w:p>
    <w:p w14:paraId="6B6C4888" w14:textId="77777777" w:rsidR="00B76A39" w:rsidRPr="00711E32" w:rsidRDefault="00B76A39" w:rsidP="00B76A39">
      <w:pPr>
        <w:pStyle w:val="Ttulo1"/>
        <w:ind w:left="709" w:hanging="709"/>
        <w:jc w:val="both"/>
        <w:rPr>
          <w:rFonts w:ascii="Bookman Old Style" w:hAnsi="Bookman Old Style" w:cs="Arial"/>
          <w:b w:val="0"/>
          <w:bCs/>
        </w:rPr>
      </w:pPr>
    </w:p>
    <w:p w14:paraId="34276D96" w14:textId="77777777" w:rsidR="00B76A39" w:rsidRPr="00B70D58" w:rsidRDefault="00B76A39" w:rsidP="00B76A39">
      <w:pPr>
        <w:pStyle w:val="Ttulo1"/>
        <w:numPr>
          <w:ilvl w:val="1"/>
          <w:numId w:val="24"/>
        </w:numPr>
        <w:ind w:left="709" w:hanging="709"/>
        <w:jc w:val="both"/>
        <w:rPr>
          <w:rFonts w:ascii="Bookman Old Style" w:hAnsi="Bookman Old Style" w:cs="Arial"/>
          <w:b w:val="0"/>
          <w:bCs/>
        </w:rPr>
      </w:pPr>
      <w:r w:rsidRPr="00711E32">
        <w:rPr>
          <w:rFonts w:ascii="Bookman Old Style" w:hAnsi="Bookman Old Style" w:cs="Arial"/>
          <w:b w:val="0"/>
          <w:bCs/>
        </w:rPr>
        <w:t>Ejecución de mecanismos de comercialización: Actividad consistente en el</w:t>
      </w:r>
      <w:r w:rsidRPr="00B70D58">
        <w:rPr>
          <w:rFonts w:ascii="Bookman Old Style" w:hAnsi="Bookman Old Style" w:cs="Arial"/>
          <w:b w:val="0"/>
          <w:bCs/>
        </w:rPr>
        <w:t xml:space="preserve"> desarrollo de acciones mediante las cuales se implementa el mecanismo de comercialización por parte de un Promotor, según lo definido en el artículo 2 de la Resolución CREG 114 de 2018.</w:t>
      </w:r>
    </w:p>
    <w:p w14:paraId="67A3E7C9" w14:textId="77777777" w:rsidR="00B76A39" w:rsidRPr="00C435C3" w:rsidRDefault="00B76A39" w:rsidP="00B76A39">
      <w:pPr>
        <w:rPr>
          <w:rFonts w:ascii="Bookman Old Style" w:hAnsi="Bookman Old Style"/>
        </w:rPr>
      </w:pPr>
    </w:p>
    <w:p w14:paraId="15FFF120" w14:textId="0C49BCDA" w:rsidR="00B76A39" w:rsidRPr="009E1AF8" w:rsidRDefault="00B76A39" w:rsidP="00B76A39">
      <w:pPr>
        <w:ind w:left="0"/>
        <w:jc w:val="both"/>
        <w:rPr>
          <w:rFonts w:ascii="Bookman Old Style" w:hAnsi="Bookman Old Style" w:cs="Arial"/>
          <w:bCs/>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Pr>
          <w:rFonts w:ascii="Bookman Old Style" w:hAnsi="Bookman Old Style"/>
          <w:b/>
        </w:rPr>
        <w:t xml:space="preserve"> </w:t>
      </w:r>
      <w:r>
        <w:rPr>
          <w:rFonts w:ascii="Bookman Old Style" w:hAnsi="Bookman Old Style" w:cs="Arial"/>
          <w:b/>
          <w:bCs/>
        </w:rPr>
        <w:t>A</w:t>
      </w:r>
      <w:r w:rsidRPr="00E46E1C">
        <w:rPr>
          <w:rFonts w:ascii="Bookman Old Style" w:hAnsi="Bookman Old Style" w:cs="Arial"/>
          <w:b/>
          <w:bCs/>
        </w:rPr>
        <w:t>ctividades asociadas a mecanismos de comercialización</w:t>
      </w:r>
      <w:r>
        <w:rPr>
          <w:rFonts w:ascii="Bookman Old Style" w:hAnsi="Bookman Old Style" w:cs="Arial"/>
          <w:b/>
          <w:bCs/>
        </w:rPr>
        <w:t xml:space="preserve"> de la Resolución CREG 114 de 2018</w:t>
      </w:r>
      <w:r w:rsidRPr="00E46E1C">
        <w:rPr>
          <w:rFonts w:ascii="Bookman Old Style" w:hAnsi="Bookman Old Style" w:cs="Arial"/>
          <w:b/>
          <w:bCs/>
        </w:rPr>
        <w:t>.</w:t>
      </w:r>
      <w:r w:rsidRPr="0050398E">
        <w:rPr>
          <w:rFonts w:ascii="Bookman Old Style" w:hAnsi="Bookman Old Style" w:cs="Arial"/>
        </w:rPr>
        <w:t xml:space="preserve"> </w:t>
      </w:r>
      <w:r>
        <w:rPr>
          <w:rFonts w:ascii="Bookman Old Style" w:hAnsi="Bookman Old Style" w:cs="Arial"/>
          <w:bCs/>
        </w:rPr>
        <w:t>Se definen</w:t>
      </w:r>
      <w:r w:rsidRPr="0050398E">
        <w:rPr>
          <w:rFonts w:ascii="Bookman Old Style" w:hAnsi="Bookman Old Style" w:cs="Arial"/>
          <w:bCs/>
        </w:rPr>
        <w:t xml:space="preserve"> como actividades de la cadena de prestación del servicio público domiciliario de energía eléctrica, la </w:t>
      </w:r>
      <w:r>
        <w:rPr>
          <w:rFonts w:ascii="Bookman Old Style" w:hAnsi="Bookman Old Style" w:cs="Arial"/>
          <w:bCs/>
        </w:rPr>
        <w:t>A</w:t>
      </w:r>
      <w:r w:rsidRPr="0050398E">
        <w:rPr>
          <w:rFonts w:ascii="Bookman Old Style" w:hAnsi="Bookman Old Style" w:cs="Arial"/>
          <w:bCs/>
        </w:rPr>
        <w:t xml:space="preserve">dministración, la </w:t>
      </w:r>
      <w:r>
        <w:rPr>
          <w:rFonts w:ascii="Bookman Old Style" w:hAnsi="Bookman Old Style" w:cs="Arial"/>
          <w:bCs/>
        </w:rPr>
        <w:t>A</w:t>
      </w:r>
      <w:r w:rsidRPr="0050398E">
        <w:rPr>
          <w:rFonts w:ascii="Bookman Old Style" w:hAnsi="Bookman Old Style" w:cs="Arial"/>
          <w:bCs/>
        </w:rPr>
        <w:t xml:space="preserve">dministración de </w:t>
      </w:r>
      <w:r>
        <w:rPr>
          <w:rFonts w:ascii="Bookman Old Style" w:hAnsi="Bookman Old Style" w:cs="Arial"/>
          <w:bCs/>
        </w:rPr>
        <w:t>R</w:t>
      </w:r>
      <w:r w:rsidRPr="0050398E">
        <w:rPr>
          <w:rFonts w:ascii="Bookman Old Style" w:hAnsi="Bookman Old Style" w:cs="Arial"/>
          <w:bCs/>
        </w:rPr>
        <w:t xml:space="preserve">iesgo y la </w:t>
      </w:r>
      <w:r>
        <w:rPr>
          <w:rFonts w:ascii="Bookman Old Style" w:hAnsi="Bookman Old Style" w:cs="Arial"/>
          <w:bCs/>
        </w:rPr>
        <w:t>E</w:t>
      </w:r>
      <w:r w:rsidRPr="0050398E">
        <w:rPr>
          <w:rFonts w:ascii="Bookman Old Style" w:hAnsi="Bookman Old Style" w:cs="Arial"/>
          <w:bCs/>
        </w:rPr>
        <w:t xml:space="preserve">jecución de mecanismos de </w:t>
      </w:r>
      <w:r w:rsidRPr="009E1AF8">
        <w:rPr>
          <w:rFonts w:ascii="Bookman Old Style" w:hAnsi="Bookman Old Style" w:cs="Arial"/>
          <w:bCs/>
        </w:rPr>
        <w:t>comercialización</w:t>
      </w:r>
      <w:r w:rsidR="00E91842">
        <w:rPr>
          <w:rFonts w:ascii="Bookman Old Style" w:hAnsi="Bookman Old Style" w:cs="Arial"/>
          <w:bCs/>
        </w:rPr>
        <w:t xml:space="preserve"> presentados en el marco de </w:t>
      </w:r>
      <w:r w:rsidR="00E91842" w:rsidRPr="00E91842">
        <w:rPr>
          <w:rFonts w:ascii="Bookman Old Style" w:hAnsi="Bookman Old Style" w:cs="Arial"/>
          <w:bCs/>
        </w:rPr>
        <w:t>lo dispuesto</w:t>
      </w:r>
      <w:r w:rsidR="00E91842">
        <w:rPr>
          <w:rFonts w:ascii="Bookman Old Style" w:hAnsi="Bookman Old Style" w:cs="Arial"/>
          <w:bCs/>
        </w:rPr>
        <w:t xml:space="preserve"> en la Resolución CREG 114 de 2018, cuyas transacciones resultan en</w:t>
      </w:r>
      <w:r w:rsidRPr="009E1AF8">
        <w:rPr>
          <w:rFonts w:ascii="Bookman Old Style" w:hAnsi="Bookman Old Style" w:cs="Arial"/>
          <w:bCs/>
        </w:rPr>
        <w:t xml:space="preserve"> contratos </w:t>
      </w:r>
      <w:r w:rsidR="00E91842">
        <w:rPr>
          <w:rFonts w:ascii="Bookman Old Style" w:hAnsi="Bookman Old Style" w:cs="Arial"/>
          <w:bCs/>
        </w:rPr>
        <w:t>que por su naturaleza deben</w:t>
      </w:r>
      <w:r w:rsidRPr="009E1AF8">
        <w:rPr>
          <w:rFonts w:ascii="Bookman Old Style" w:hAnsi="Bookman Old Style" w:cs="Arial"/>
          <w:bCs/>
        </w:rPr>
        <w:t xml:space="preserve"> ser registrados, asignados y liquidados por el Administrador del Sistema de Intercambios Comerciales – ASIC, en aplicación de lo establecido en la Resolución CREG 024 de 1995 y demás disposiciones que la modifican o complementan.</w:t>
      </w:r>
    </w:p>
    <w:p w14:paraId="144802CA" w14:textId="77777777" w:rsidR="00B76A39" w:rsidRDefault="00B76A39" w:rsidP="00B76A39">
      <w:pPr>
        <w:ind w:left="0"/>
        <w:jc w:val="both"/>
        <w:rPr>
          <w:rFonts w:ascii="Bookman Old Style" w:hAnsi="Bookman Old Style" w:cs="Arial"/>
          <w:bCs/>
        </w:rPr>
      </w:pPr>
    </w:p>
    <w:p w14:paraId="299FC19F" w14:textId="330BB880" w:rsidR="00B76A39" w:rsidRPr="00725A80" w:rsidRDefault="00B76A39" w:rsidP="00B76A39">
      <w:pPr>
        <w:ind w:left="0"/>
        <w:jc w:val="both"/>
        <w:rPr>
          <w:rFonts w:ascii="Bookman Old Style" w:hAnsi="Bookman Old Style" w:cs="Arial"/>
        </w:rPr>
      </w:pPr>
      <w:r w:rsidRPr="00725A80">
        <w:rPr>
          <w:rFonts w:ascii="Bookman Old Style" w:hAnsi="Bookman Old Style" w:cs="Arial"/>
          <w:b/>
          <w:bCs/>
        </w:rPr>
        <w:t>ARTÍCULO 3. Prestadores de actividades asociadas a mecanismos de</w:t>
      </w:r>
      <w:r>
        <w:rPr>
          <w:rFonts w:ascii="Bookman Old Style" w:hAnsi="Bookman Old Style" w:cs="Arial"/>
          <w:b/>
          <w:bCs/>
        </w:rPr>
        <w:t xml:space="preserve"> </w:t>
      </w:r>
      <w:r w:rsidRPr="00725A80">
        <w:rPr>
          <w:rFonts w:ascii="Bookman Old Style" w:hAnsi="Bookman Old Style" w:cs="Arial"/>
          <w:b/>
          <w:bCs/>
        </w:rPr>
        <w:t>comercialización</w:t>
      </w:r>
      <w:r w:rsidR="00F179AC">
        <w:rPr>
          <w:rFonts w:ascii="Bookman Old Style" w:hAnsi="Bookman Old Style" w:cs="Arial"/>
          <w:b/>
          <w:bCs/>
        </w:rPr>
        <w:t xml:space="preserve"> de la Resolución CREG 114 de 2018</w:t>
      </w:r>
      <w:r w:rsidRPr="00725A80">
        <w:rPr>
          <w:rFonts w:ascii="Bookman Old Style" w:hAnsi="Bookman Old Style" w:cs="Arial"/>
          <w:b/>
          <w:bCs/>
        </w:rPr>
        <w:t xml:space="preserve">. </w:t>
      </w:r>
      <w:r w:rsidRPr="00725A80">
        <w:rPr>
          <w:rFonts w:ascii="Bookman Old Style" w:hAnsi="Bookman Old Style" w:cs="Arial"/>
        </w:rPr>
        <w:t>Las actividades a las que hace referencia el artículo 2 de la presente resolución, podrán ser desarrolladas por las personas señaladas en el artículo 15 de la Ley 142 de 1994.</w:t>
      </w:r>
    </w:p>
    <w:p w14:paraId="70D3BA1D" w14:textId="77777777" w:rsidR="00B76A39" w:rsidRPr="00725A80" w:rsidRDefault="00B76A39" w:rsidP="00B76A39">
      <w:pPr>
        <w:ind w:left="0"/>
        <w:jc w:val="both"/>
        <w:rPr>
          <w:rFonts w:ascii="Bookman Old Style" w:hAnsi="Bookman Old Style" w:cs="Arial"/>
          <w:b/>
          <w:bCs/>
        </w:rPr>
      </w:pPr>
    </w:p>
    <w:p w14:paraId="0597E413" w14:textId="360FE849" w:rsidR="00B76A39" w:rsidRPr="00725A80" w:rsidRDefault="00B76A39" w:rsidP="00B76A39">
      <w:pPr>
        <w:ind w:left="0"/>
        <w:jc w:val="both"/>
        <w:rPr>
          <w:rFonts w:ascii="Bookman Old Style" w:hAnsi="Bookman Old Style" w:cs="Arial"/>
        </w:rPr>
      </w:pPr>
      <w:r w:rsidRPr="00725A80">
        <w:rPr>
          <w:rFonts w:ascii="Bookman Old Style" w:hAnsi="Bookman Old Style" w:cs="Arial"/>
          <w:b/>
          <w:bCs/>
        </w:rPr>
        <w:t>ARTÍCULO 4. Regulación aplicable a las actividades asociadas a</w:t>
      </w:r>
      <w:r>
        <w:rPr>
          <w:rFonts w:ascii="Bookman Old Style" w:hAnsi="Bookman Old Style" w:cs="Arial"/>
          <w:b/>
          <w:bCs/>
        </w:rPr>
        <w:t xml:space="preserve"> </w:t>
      </w:r>
      <w:r w:rsidRPr="00725A80">
        <w:rPr>
          <w:rFonts w:ascii="Bookman Old Style" w:hAnsi="Bookman Old Style" w:cs="Arial"/>
          <w:b/>
          <w:bCs/>
        </w:rPr>
        <w:t>mecanismos de comercialización</w:t>
      </w:r>
      <w:r w:rsidR="00F179AC">
        <w:rPr>
          <w:rFonts w:ascii="Bookman Old Style" w:hAnsi="Bookman Old Style" w:cs="Arial"/>
          <w:b/>
          <w:bCs/>
        </w:rPr>
        <w:t xml:space="preserve"> de la Resolución CREG 114 de 2018</w:t>
      </w:r>
      <w:r w:rsidRPr="00725A80">
        <w:rPr>
          <w:rFonts w:ascii="Bookman Old Style" w:hAnsi="Bookman Old Style" w:cs="Arial"/>
          <w:b/>
          <w:bCs/>
        </w:rPr>
        <w:t xml:space="preserve">. </w:t>
      </w:r>
      <w:r w:rsidRPr="00725A80">
        <w:rPr>
          <w:rFonts w:ascii="Bookman Old Style" w:hAnsi="Bookman Old Style" w:cs="Arial"/>
        </w:rPr>
        <w:t xml:space="preserve">Las actividades señaladas en el artículo 2 </w:t>
      </w:r>
      <w:r w:rsidRPr="00C06CAD">
        <w:rPr>
          <w:rFonts w:ascii="Bookman Old Style" w:hAnsi="Bookman Old Style" w:cs="Arial"/>
        </w:rPr>
        <w:t>de la presente resolución, están sujetas a las disposiciones contenidas en la</w:t>
      </w:r>
      <w:r w:rsidR="00871B5D" w:rsidRPr="00C06CAD">
        <w:rPr>
          <w:rFonts w:ascii="Bookman Old Style" w:hAnsi="Bookman Old Style" w:cs="Arial"/>
        </w:rPr>
        <w:t xml:space="preserve"> Ley 142 de 1994 y en la</w:t>
      </w:r>
      <w:r w:rsidRPr="00C06CAD">
        <w:rPr>
          <w:rFonts w:ascii="Bookman Old Style" w:hAnsi="Bookman Old Style" w:cs="Arial"/>
        </w:rPr>
        <w:t xml:space="preserve"> Resolución CREG 114 de 2018 o aquella que la modifique o</w:t>
      </w:r>
      <w:r w:rsidRPr="00725A80">
        <w:rPr>
          <w:rFonts w:ascii="Bookman Old Style" w:hAnsi="Bookman Old Style" w:cs="Arial"/>
        </w:rPr>
        <w:t xml:space="preserve"> sustituya.</w:t>
      </w:r>
    </w:p>
    <w:p w14:paraId="2F1551FE" w14:textId="77777777" w:rsidR="00B76A39" w:rsidRPr="00725A80" w:rsidRDefault="00B76A39" w:rsidP="00B76A39">
      <w:pPr>
        <w:ind w:left="0"/>
        <w:jc w:val="both"/>
        <w:rPr>
          <w:rFonts w:ascii="Bookman Old Style" w:hAnsi="Bookman Old Style" w:cs="Arial"/>
        </w:rPr>
      </w:pPr>
    </w:p>
    <w:p w14:paraId="5FF753BD" w14:textId="77777777" w:rsidR="00B76A39" w:rsidRDefault="00B76A39" w:rsidP="00B76A39">
      <w:pPr>
        <w:ind w:left="0"/>
        <w:jc w:val="both"/>
        <w:rPr>
          <w:rFonts w:ascii="Bookman Old Style" w:hAnsi="Bookman Old Style"/>
          <w:i/>
          <w:sz w:val="22"/>
        </w:rPr>
      </w:pPr>
      <w:r w:rsidRPr="00E46E1C">
        <w:rPr>
          <w:rFonts w:ascii="Bookman Old Style" w:hAnsi="Bookman Old Style" w:cs="Arial"/>
          <w:b/>
          <w:bCs/>
        </w:rPr>
        <w:t xml:space="preserve">ARTÍCULO 5. Vigencia. </w:t>
      </w:r>
      <w:r w:rsidRPr="00F74E0C">
        <w:rPr>
          <w:rFonts w:ascii="Bookman Old Style" w:hAnsi="Bookman Old Style" w:cs="Arial"/>
          <w:spacing w:val="-4"/>
        </w:rPr>
        <w:t xml:space="preserve">La presente resolución rige a partir de la fecha de su publicación en el </w:t>
      </w:r>
      <w:r w:rsidRPr="00F74E0C">
        <w:rPr>
          <w:rFonts w:ascii="Bookman Old Style" w:hAnsi="Bookman Old Style" w:cs="Arial"/>
          <w:i/>
          <w:spacing w:val="-4"/>
        </w:rPr>
        <w:t>Diario Oficial</w:t>
      </w:r>
      <w:r w:rsidRPr="00F74E0C">
        <w:rPr>
          <w:rFonts w:ascii="Bookman Old Style" w:hAnsi="Bookman Old Style" w:cs="Arial"/>
          <w:spacing w:val="-4"/>
        </w:rPr>
        <w:t>.</w:t>
      </w:r>
      <w:r>
        <w:rPr>
          <w:rFonts w:ascii="Bookman Old Style" w:hAnsi="Bookman Old Style"/>
          <w:i/>
          <w:sz w:val="22"/>
        </w:rPr>
        <w:t xml:space="preserve">        </w:t>
      </w:r>
    </w:p>
    <w:p w14:paraId="4C3505C4" w14:textId="77777777" w:rsidR="00045D3D" w:rsidRDefault="00045D3D" w:rsidP="00045D3D">
      <w:pPr>
        <w:ind w:left="0"/>
        <w:rPr>
          <w:rFonts w:ascii="Bookman Old Style" w:hAnsi="Bookman Old Style"/>
        </w:rPr>
      </w:pPr>
    </w:p>
    <w:p w14:paraId="2ECDA599" w14:textId="77777777" w:rsidR="00C06CAD" w:rsidRPr="00C435C3" w:rsidRDefault="00C06CAD" w:rsidP="00045D3D">
      <w:pPr>
        <w:ind w:left="0"/>
        <w:rPr>
          <w:rFonts w:ascii="Bookman Old Style" w:hAnsi="Bookman Old Style"/>
        </w:rPr>
      </w:pPr>
    </w:p>
    <w:p w14:paraId="292B1F06" w14:textId="289152AD" w:rsidR="00045D3D" w:rsidRPr="00C435C3" w:rsidRDefault="008F1E34" w:rsidP="003725FD">
      <w:pPr>
        <w:ind w:left="0"/>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41425FE5" w14:textId="43573DCA" w:rsidR="00045D3D" w:rsidRDefault="00045D3D" w:rsidP="00045D3D">
      <w:pPr>
        <w:ind w:left="0"/>
        <w:rPr>
          <w:rFonts w:ascii="Bookman Old Style" w:hAnsi="Bookman Old Style"/>
        </w:rPr>
      </w:pPr>
      <w:r>
        <w:rPr>
          <w:rFonts w:ascii="Bookman Old Style" w:hAnsi="Bookman Old Style"/>
        </w:rPr>
        <w:t>Dada en Bogotá, D.C.</w:t>
      </w:r>
      <w:r w:rsidR="00CA3AA6">
        <w:rPr>
          <w:rFonts w:ascii="Bookman Old Style" w:hAnsi="Bookman Old Style"/>
        </w:rPr>
        <w:t xml:space="preserve"> a</w:t>
      </w:r>
      <w:r w:rsidR="008F1E34">
        <w:rPr>
          <w:rFonts w:ascii="Bookman Old Style" w:hAnsi="Bookman Old Style"/>
        </w:rPr>
        <w:t xml:space="preserve"> los 24 días de junio de 20</w:t>
      </w:r>
      <w:r w:rsidR="00043245">
        <w:rPr>
          <w:rFonts w:ascii="Bookman Old Style" w:hAnsi="Bookman Old Style"/>
        </w:rPr>
        <w:t>2</w:t>
      </w:r>
      <w:r w:rsidR="008F1E34">
        <w:rPr>
          <w:rFonts w:ascii="Bookman Old Style" w:hAnsi="Bookman Old Style"/>
        </w:rPr>
        <w:t>4</w:t>
      </w:r>
    </w:p>
    <w:p w14:paraId="2A65BEAB" w14:textId="77777777" w:rsidR="00045D3D" w:rsidRDefault="00045D3D" w:rsidP="00045D3D">
      <w:pPr>
        <w:ind w:left="0"/>
        <w:rPr>
          <w:rFonts w:ascii="Bookman Old Style" w:hAnsi="Bookman Old Style"/>
        </w:rPr>
      </w:pPr>
    </w:p>
    <w:p w14:paraId="195D31DD" w14:textId="77777777" w:rsidR="003725FD" w:rsidRDefault="003725FD" w:rsidP="00045D3D">
      <w:pPr>
        <w:ind w:left="0"/>
        <w:rPr>
          <w:rFonts w:ascii="Bookman Old Style" w:hAnsi="Bookman Old Style"/>
        </w:rPr>
      </w:pPr>
    </w:p>
    <w:p w14:paraId="1C505DDF" w14:textId="77777777" w:rsidR="00045D3D"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46C3252F" w:rsidR="00F77D2D" w:rsidRDefault="00F179AC" w:rsidP="00C44E5F">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OMAR ANDRÉS CAMACHO</w:t>
            </w:r>
          </w:p>
          <w:p w14:paraId="3FE28EBD" w14:textId="77777777" w:rsidR="00F179AC" w:rsidRDefault="00F77D2D" w:rsidP="00C44E5F">
            <w:pPr>
              <w:tabs>
                <w:tab w:val="left" w:pos="-720"/>
              </w:tabs>
              <w:suppressAutoHyphens/>
              <w:ind w:left="0"/>
              <w:jc w:val="center"/>
              <w:rPr>
                <w:rFonts w:ascii="Bookman Old Style" w:hAnsi="Bookman Old Style"/>
              </w:rPr>
            </w:pPr>
            <w:r>
              <w:rPr>
                <w:rFonts w:ascii="Bookman Old Style" w:hAnsi="Bookman Old Style"/>
              </w:rPr>
              <w:t xml:space="preserve">Ministro de </w:t>
            </w:r>
            <w:r w:rsidRPr="00EF4ACC">
              <w:rPr>
                <w:rFonts w:ascii="Bookman Old Style" w:hAnsi="Bookman Old Style"/>
              </w:rPr>
              <w:t>Minas y Energía</w:t>
            </w:r>
          </w:p>
          <w:p w14:paraId="6AD75F25" w14:textId="1B4EFA3C" w:rsidR="00F77D2D" w:rsidRPr="00BD0865" w:rsidRDefault="00F77D2D" w:rsidP="00C44E5F">
            <w:pPr>
              <w:tabs>
                <w:tab w:val="left" w:pos="-720"/>
              </w:tabs>
              <w:suppressAutoHyphens/>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429" w:type="dxa"/>
          </w:tcPr>
          <w:p w14:paraId="6369F7A4" w14:textId="40E20AC1" w:rsidR="00F77D2D" w:rsidRPr="00666660" w:rsidRDefault="00F179AC" w:rsidP="00C44E5F">
            <w:pPr>
              <w:tabs>
                <w:tab w:val="left" w:pos="-720"/>
              </w:tabs>
              <w:suppressAutoHyphens/>
              <w:ind w:left="0"/>
              <w:jc w:val="center"/>
              <w:rPr>
                <w:rFonts w:ascii="Bookman Old Style" w:hAnsi="Bookman Old Style" w:cs="Arial"/>
                <w:b/>
              </w:rPr>
            </w:pPr>
            <w:r>
              <w:rPr>
                <w:rFonts w:ascii="Bookman Old Style" w:hAnsi="Bookman Old Style" w:cs="Arial"/>
                <w:b/>
              </w:rPr>
              <w:t>OMAR PRIAS CAICEDO</w:t>
            </w:r>
          </w:p>
          <w:p w14:paraId="734E2950" w14:textId="77777777" w:rsidR="00F77D2D" w:rsidRPr="00666660" w:rsidRDefault="00F77D2D" w:rsidP="00C44E5F">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185A0E4A" w14:textId="03B49D64" w:rsidR="00E060BE" w:rsidRPr="00E060BE" w:rsidRDefault="00E060BE" w:rsidP="00B76A39">
      <w:pPr>
        <w:ind w:left="0"/>
        <w:rPr>
          <w:rFonts w:ascii="Bookman Old Style" w:hAnsi="Bookman Old Style" w:cs="Arial"/>
        </w:rPr>
      </w:pPr>
    </w:p>
    <w:sectPr w:rsidR="00E060BE" w:rsidRPr="00E060BE" w:rsidSect="005A59EF">
      <w:headerReference w:type="default" r:id="rId9"/>
      <w:headerReference w:type="first" r:id="rId1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6234" w14:textId="77777777" w:rsidR="00B20794" w:rsidRDefault="00B20794">
      <w:r>
        <w:separator/>
      </w:r>
    </w:p>
  </w:endnote>
  <w:endnote w:type="continuationSeparator" w:id="0">
    <w:p w14:paraId="638F3C54" w14:textId="77777777" w:rsidR="00B20794" w:rsidRDefault="00B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6AA2E" w14:textId="77777777" w:rsidR="00B20794" w:rsidRDefault="00B20794">
      <w:r>
        <w:separator/>
      </w:r>
    </w:p>
  </w:footnote>
  <w:footnote w:type="continuationSeparator" w:id="0">
    <w:p w14:paraId="68CEEA49" w14:textId="77777777" w:rsidR="00B20794" w:rsidRDefault="00B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3E33030B" w:rsidR="00CC51D4" w:rsidRDefault="00CC51D4" w:rsidP="00951F79">
    <w:pPr>
      <w:pStyle w:val="Ttulo1"/>
      <w:ind w:right="6"/>
      <w:jc w:val="left"/>
      <w:rPr>
        <w:rFonts w:ascii="Bookman Old Style" w:hAnsi="Bookman Old Style" w:cs="Arial"/>
        <w:b w:val="0"/>
        <w:sz w:val="22"/>
        <w:szCs w:val="22"/>
      </w:rPr>
    </w:pPr>
  </w:p>
  <w:p w14:paraId="267D8AF5" w14:textId="180D2FF9"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8F1E34">
      <w:rPr>
        <w:rFonts w:ascii="Bookman Old Style" w:hAnsi="Bookman Old Style" w:cs="Arial"/>
        <w:b w:val="0"/>
        <w:sz w:val="22"/>
        <w:szCs w:val="22"/>
      </w:rPr>
      <w:t xml:space="preserve">  </w:t>
    </w:r>
    <w:proofErr w:type="gramEnd"/>
    <w:r w:rsidR="008F1E34">
      <w:rPr>
        <w:rFonts w:ascii="Bookman Old Style" w:hAnsi="Bookman Old Style" w:cs="Arial"/>
        <w:b w:val="0"/>
        <w:sz w:val="22"/>
        <w:szCs w:val="22"/>
      </w:rPr>
      <w:t xml:space="preserve">  </w:t>
    </w:r>
    <w:r w:rsidR="008F1E34" w:rsidRPr="008F1E34">
      <w:rPr>
        <w:rFonts w:ascii="Bookman Old Style" w:hAnsi="Bookman Old Style" w:cs="Arial"/>
        <w:bCs/>
        <w:sz w:val="22"/>
        <w:szCs w:val="22"/>
        <w:u w:val="single"/>
      </w:rPr>
      <w:t>101 045</w:t>
    </w:r>
    <w:r w:rsidR="008F1E34">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8F1E34">
      <w:rPr>
        <w:rFonts w:ascii="Bookman Old Style" w:hAnsi="Bookman Old Style" w:cs="Arial"/>
        <w:b w:val="0"/>
        <w:sz w:val="22"/>
        <w:szCs w:val="22"/>
      </w:rPr>
      <w:t xml:space="preserve">          </w:t>
    </w:r>
    <w:r w:rsidR="008F1E34" w:rsidRPr="008F1E34">
      <w:rPr>
        <w:rFonts w:ascii="Bookman Old Style" w:hAnsi="Bookman Old Style"/>
        <w:bCs/>
        <w:szCs w:val="24"/>
        <w:u w:val="single"/>
      </w:rPr>
      <w:t>24 jun.2024</w:t>
    </w:r>
    <w:r w:rsidR="008F1E34">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EB6387D" w14:textId="4FA1C7B6" w:rsidR="00A257D3" w:rsidRDefault="00045D3D" w:rsidP="00A257D3">
    <w:pPr>
      <w:pBdr>
        <w:bottom w:val="single" w:sz="12" w:space="1" w:color="auto"/>
      </w:pBdr>
      <w:spacing w:before="120" w:after="120" w:line="276" w:lineRule="auto"/>
      <w:ind w:left="0"/>
      <w:jc w:val="both"/>
      <w:rPr>
        <w:rFonts w:ascii="Bookman Old Style" w:hAnsi="Bookman Old Style"/>
        <w:sz w:val="22"/>
        <w:szCs w:val="22"/>
      </w:rPr>
    </w:pPr>
    <w:r w:rsidRPr="00045D3D">
      <w:rPr>
        <w:rFonts w:ascii="Bookman Old Style" w:hAnsi="Bookman Old Style"/>
        <w:sz w:val="22"/>
        <w:szCs w:val="22"/>
      </w:rPr>
      <w:t xml:space="preserve">Por </w:t>
    </w:r>
    <w:r w:rsidR="0087753F" w:rsidRPr="0087753F">
      <w:rPr>
        <w:rFonts w:ascii="Bookman Old Style" w:hAnsi="Bookman Old Style"/>
        <w:sz w:val="22"/>
        <w:szCs w:val="22"/>
      </w:rPr>
      <w:t>la cual se crean nuevas actividades para la prestación del servicio público domiciliario de energía eléctrica</w:t>
    </w:r>
  </w:p>
  <w:p w14:paraId="40C60E19" w14:textId="77777777" w:rsidR="000E3992" w:rsidRPr="000E3992" w:rsidRDefault="000E3992" w:rsidP="000E3992">
    <w:pPr>
      <w:ind w:left="0"/>
      <w:jc w:val="both"/>
      <w:rPr>
        <w:rFonts w:ascii="Bookman Old Style" w:hAnsi="Bookman Old Style"/>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04E53"/>
    <w:multiLevelType w:val="hybridMultilevel"/>
    <w:tmpl w:val="65F6EA42"/>
    <w:lvl w:ilvl="0" w:tplc="85AEDAA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981544"/>
    <w:multiLevelType w:val="multilevel"/>
    <w:tmpl w:val="0608C4D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2"/>
  </w:num>
  <w:num w:numId="4" w16cid:durableId="1416053916">
    <w:abstractNumId w:val="7"/>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3"/>
  </w:num>
  <w:num w:numId="12" w16cid:durableId="1838691975">
    <w:abstractNumId w:val="20"/>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10"/>
  </w:num>
  <w:num w:numId="18" w16cid:durableId="788664195">
    <w:abstractNumId w:val="0"/>
  </w:num>
  <w:num w:numId="19" w16cid:durableId="1454788596">
    <w:abstractNumId w:val="19"/>
  </w:num>
  <w:num w:numId="20" w16cid:durableId="1999069271">
    <w:abstractNumId w:val="15"/>
  </w:num>
  <w:num w:numId="21" w16cid:durableId="1075667280">
    <w:abstractNumId w:val="8"/>
  </w:num>
  <w:num w:numId="22" w16cid:durableId="40371620">
    <w:abstractNumId w:val="9"/>
  </w:num>
  <w:num w:numId="23" w16cid:durableId="1693534367">
    <w:abstractNumId w:val="6"/>
  </w:num>
  <w:num w:numId="24" w16cid:durableId="1317227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348DA"/>
    <w:rsid w:val="00043245"/>
    <w:rsid w:val="00045D3D"/>
    <w:rsid w:val="00063657"/>
    <w:rsid w:val="00076680"/>
    <w:rsid w:val="00076A1D"/>
    <w:rsid w:val="0008073E"/>
    <w:rsid w:val="00091CDB"/>
    <w:rsid w:val="000A19AC"/>
    <w:rsid w:val="000B2EC9"/>
    <w:rsid w:val="000D26F8"/>
    <w:rsid w:val="000E3992"/>
    <w:rsid w:val="00106654"/>
    <w:rsid w:val="00110AD9"/>
    <w:rsid w:val="0012346C"/>
    <w:rsid w:val="0013526C"/>
    <w:rsid w:val="001405C6"/>
    <w:rsid w:val="00141013"/>
    <w:rsid w:val="00192CBF"/>
    <w:rsid w:val="00192FF1"/>
    <w:rsid w:val="001A5F1B"/>
    <w:rsid w:val="001B1C22"/>
    <w:rsid w:val="001B34C6"/>
    <w:rsid w:val="001D7832"/>
    <w:rsid w:val="00210DC1"/>
    <w:rsid w:val="00211D34"/>
    <w:rsid w:val="00214F04"/>
    <w:rsid w:val="002352B9"/>
    <w:rsid w:val="00253EC8"/>
    <w:rsid w:val="00266CD6"/>
    <w:rsid w:val="002673AC"/>
    <w:rsid w:val="00267A10"/>
    <w:rsid w:val="00275DAB"/>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5403A"/>
    <w:rsid w:val="0036394B"/>
    <w:rsid w:val="00366DB6"/>
    <w:rsid w:val="003709B5"/>
    <w:rsid w:val="003725FD"/>
    <w:rsid w:val="003759C2"/>
    <w:rsid w:val="00397365"/>
    <w:rsid w:val="003A31F6"/>
    <w:rsid w:val="003C3447"/>
    <w:rsid w:val="003D076C"/>
    <w:rsid w:val="003E78B5"/>
    <w:rsid w:val="00415BAB"/>
    <w:rsid w:val="00415ED2"/>
    <w:rsid w:val="0042068C"/>
    <w:rsid w:val="0044318E"/>
    <w:rsid w:val="00443B35"/>
    <w:rsid w:val="0045488D"/>
    <w:rsid w:val="0047122B"/>
    <w:rsid w:val="00473B7A"/>
    <w:rsid w:val="00490943"/>
    <w:rsid w:val="004960E9"/>
    <w:rsid w:val="004A2E88"/>
    <w:rsid w:val="004A5305"/>
    <w:rsid w:val="004D7634"/>
    <w:rsid w:val="004E611A"/>
    <w:rsid w:val="004F6460"/>
    <w:rsid w:val="005300D3"/>
    <w:rsid w:val="00542A10"/>
    <w:rsid w:val="00544F82"/>
    <w:rsid w:val="005509D2"/>
    <w:rsid w:val="00593C4F"/>
    <w:rsid w:val="005946A8"/>
    <w:rsid w:val="005A4407"/>
    <w:rsid w:val="005A59EF"/>
    <w:rsid w:val="005B1C7E"/>
    <w:rsid w:val="005C6976"/>
    <w:rsid w:val="005D5ACD"/>
    <w:rsid w:val="005F6F41"/>
    <w:rsid w:val="006011C4"/>
    <w:rsid w:val="00625DC6"/>
    <w:rsid w:val="0064391D"/>
    <w:rsid w:val="00651821"/>
    <w:rsid w:val="00654384"/>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7D0E97"/>
    <w:rsid w:val="007D5034"/>
    <w:rsid w:val="00806C01"/>
    <w:rsid w:val="008148CC"/>
    <w:rsid w:val="008211A4"/>
    <w:rsid w:val="0084693A"/>
    <w:rsid w:val="00871B5D"/>
    <w:rsid w:val="00873150"/>
    <w:rsid w:val="0087657D"/>
    <w:rsid w:val="0087753F"/>
    <w:rsid w:val="008807D5"/>
    <w:rsid w:val="00880832"/>
    <w:rsid w:val="00886EE1"/>
    <w:rsid w:val="0088727D"/>
    <w:rsid w:val="00897C75"/>
    <w:rsid w:val="008C1130"/>
    <w:rsid w:val="008D18E6"/>
    <w:rsid w:val="008D7A9B"/>
    <w:rsid w:val="008E0060"/>
    <w:rsid w:val="008E7091"/>
    <w:rsid w:val="008E76AC"/>
    <w:rsid w:val="008F1E34"/>
    <w:rsid w:val="008F21F6"/>
    <w:rsid w:val="009001DB"/>
    <w:rsid w:val="00951F79"/>
    <w:rsid w:val="00974AB5"/>
    <w:rsid w:val="0098706D"/>
    <w:rsid w:val="009935FB"/>
    <w:rsid w:val="009B6B4C"/>
    <w:rsid w:val="009F4A54"/>
    <w:rsid w:val="009F4BEC"/>
    <w:rsid w:val="009F5874"/>
    <w:rsid w:val="00A06511"/>
    <w:rsid w:val="00A257D3"/>
    <w:rsid w:val="00A25FD7"/>
    <w:rsid w:val="00A43AFF"/>
    <w:rsid w:val="00A718AE"/>
    <w:rsid w:val="00A7793A"/>
    <w:rsid w:val="00AA4CC7"/>
    <w:rsid w:val="00AA5E8E"/>
    <w:rsid w:val="00AB2BAD"/>
    <w:rsid w:val="00AB6CA7"/>
    <w:rsid w:val="00AD01E4"/>
    <w:rsid w:val="00AD0858"/>
    <w:rsid w:val="00AD476E"/>
    <w:rsid w:val="00AE02E3"/>
    <w:rsid w:val="00AE45D8"/>
    <w:rsid w:val="00AE7340"/>
    <w:rsid w:val="00AF1BBD"/>
    <w:rsid w:val="00B10207"/>
    <w:rsid w:val="00B141E7"/>
    <w:rsid w:val="00B20794"/>
    <w:rsid w:val="00B351B4"/>
    <w:rsid w:val="00B376AF"/>
    <w:rsid w:val="00B46BCA"/>
    <w:rsid w:val="00B478AA"/>
    <w:rsid w:val="00B6104F"/>
    <w:rsid w:val="00B76A39"/>
    <w:rsid w:val="00B87806"/>
    <w:rsid w:val="00B87EC9"/>
    <w:rsid w:val="00BC38FD"/>
    <w:rsid w:val="00C034CB"/>
    <w:rsid w:val="00C051A8"/>
    <w:rsid w:val="00C054BC"/>
    <w:rsid w:val="00C06CAD"/>
    <w:rsid w:val="00C17897"/>
    <w:rsid w:val="00C409D5"/>
    <w:rsid w:val="00C435C3"/>
    <w:rsid w:val="00C44E5F"/>
    <w:rsid w:val="00C51B7C"/>
    <w:rsid w:val="00C6234B"/>
    <w:rsid w:val="00C63EAE"/>
    <w:rsid w:val="00C73260"/>
    <w:rsid w:val="00C7629F"/>
    <w:rsid w:val="00C76706"/>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83F43"/>
    <w:rsid w:val="00D902FC"/>
    <w:rsid w:val="00DB182C"/>
    <w:rsid w:val="00DD4F0E"/>
    <w:rsid w:val="00DF0BF0"/>
    <w:rsid w:val="00DF16F5"/>
    <w:rsid w:val="00DF3CA2"/>
    <w:rsid w:val="00DF753F"/>
    <w:rsid w:val="00E01463"/>
    <w:rsid w:val="00E05E0A"/>
    <w:rsid w:val="00E060BE"/>
    <w:rsid w:val="00E255E6"/>
    <w:rsid w:val="00E34946"/>
    <w:rsid w:val="00E534CF"/>
    <w:rsid w:val="00E63920"/>
    <w:rsid w:val="00E81CB4"/>
    <w:rsid w:val="00E8585B"/>
    <w:rsid w:val="00E87F41"/>
    <w:rsid w:val="00E91842"/>
    <w:rsid w:val="00E921F2"/>
    <w:rsid w:val="00E928C7"/>
    <w:rsid w:val="00EA0DED"/>
    <w:rsid w:val="00EA3F15"/>
    <w:rsid w:val="00EA7847"/>
    <w:rsid w:val="00EB4C2F"/>
    <w:rsid w:val="00EE2E6E"/>
    <w:rsid w:val="00F0759E"/>
    <w:rsid w:val="00F16A43"/>
    <w:rsid w:val="00F179AC"/>
    <w:rsid w:val="00F46780"/>
    <w:rsid w:val="00F55DB1"/>
    <w:rsid w:val="00F64D81"/>
    <w:rsid w:val="00F77D2D"/>
    <w:rsid w:val="00F821A3"/>
    <w:rsid w:val="00F9314A"/>
    <w:rsid w:val="00F940B2"/>
    <w:rsid w:val="00FA6597"/>
    <w:rsid w:val="00FC58EF"/>
    <w:rsid w:val="00FD33DF"/>
    <w:rsid w:val="00FE018D"/>
    <w:rsid w:val="00FE39D7"/>
    <w:rsid w:val="00FE4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Ttulo1Car">
    <w:name w:val="Título 1 Car"/>
    <w:link w:val="Ttulo1"/>
    <w:rsid w:val="00B76A39"/>
    <w:rPr>
      <w:rFonts w:ascii="CG Times" w:hAnsi="CG Times"/>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267</TotalTime>
  <Pages>5</Pages>
  <Words>1946</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Liliana Cruz Pinzon</cp:lastModifiedBy>
  <cp:revision>20</cp:revision>
  <cp:lastPrinted>2024-07-03T16:19:00Z</cp:lastPrinted>
  <dcterms:created xsi:type="dcterms:W3CDTF">2022-05-18T20:58:00Z</dcterms:created>
  <dcterms:modified xsi:type="dcterms:W3CDTF">2024-07-04T20:29:00Z</dcterms:modified>
</cp:coreProperties>
</file>