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8240" w14:textId="44BE4B63" w:rsidR="00020441" w:rsidRPr="005F29E7" w:rsidRDefault="00020441" w:rsidP="00A55A31">
      <w:pPr>
        <w:pStyle w:val="TDC1"/>
        <w:spacing w:before="0" w:line="360" w:lineRule="auto"/>
        <w:rPr>
          <w:sz w:val="22"/>
          <w:szCs w:val="22"/>
        </w:rPr>
      </w:pPr>
    </w:p>
    <w:p w14:paraId="5DDAA11F" w14:textId="535EFC84" w:rsidR="00020441" w:rsidRPr="005F29E7" w:rsidRDefault="00020441" w:rsidP="00A55A31">
      <w:pPr>
        <w:spacing w:line="360" w:lineRule="auto"/>
        <w:rPr>
          <w:sz w:val="22"/>
          <w:szCs w:val="22"/>
        </w:rPr>
      </w:pPr>
      <w:r w:rsidRPr="005F29E7">
        <w:rPr>
          <w:sz w:val="22"/>
          <w:szCs w:val="22"/>
        </w:rPr>
        <w:tab/>
      </w:r>
      <w:r w:rsidRPr="005F29E7">
        <w:rPr>
          <w:sz w:val="22"/>
          <w:szCs w:val="22"/>
        </w:rPr>
        <w:tab/>
      </w:r>
      <w:r w:rsidRPr="005F29E7">
        <w:rPr>
          <w:sz w:val="22"/>
          <w:szCs w:val="22"/>
        </w:rPr>
        <w:tab/>
      </w:r>
      <w:r w:rsidRPr="005F29E7">
        <w:rPr>
          <w:sz w:val="22"/>
          <w:szCs w:val="22"/>
        </w:rPr>
        <w:tab/>
      </w:r>
      <w:r w:rsidRPr="005F29E7">
        <w:rPr>
          <w:sz w:val="22"/>
          <w:szCs w:val="22"/>
        </w:rPr>
        <w:tab/>
      </w:r>
      <w:r w:rsidRPr="005F29E7">
        <w:rPr>
          <w:sz w:val="22"/>
          <w:szCs w:val="22"/>
        </w:rPr>
        <w:tab/>
      </w:r>
    </w:p>
    <w:p w14:paraId="2764143B" w14:textId="77777777" w:rsidR="00020441" w:rsidRPr="005F29E7" w:rsidRDefault="00000520" w:rsidP="00A55A31">
      <w:pPr>
        <w:spacing w:line="360" w:lineRule="auto"/>
        <w:rPr>
          <w:sz w:val="22"/>
          <w:szCs w:val="22"/>
        </w:rPr>
      </w:pPr>
      <w:r w:rsidRPr="005F29E7">
        <w:rPr>
          <w:noProof/>
          <w:sz w:val="22"/>
          <w:szCs w:val="22"/>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5F29E7" w:rsidRDefault="00020441" w:rsidP="00A55A31">
      <w:pPr>
        <w:spacing w:line="360" w:lineRule="auto"/>
        <w:rPr>
          <w:sz w:val="22"/>
          <w:szCs w:val="22"/>
        </w:rPr>
      </w:pPr>
    </w:p>
    <w:p w14:paraId="626BE014" w14:textId="77777777" w:rsidR="00020441" w:rsidRPr="005F29E7" w:rsidRDefault="00020441" w:rsidP="00A55A31">
      <w:pPr>
        <w:pStyle w:val="TDC1"/>
        <w:spacing w:before="0" w:line="360" w:lineRule="auto"/>
        <w:rPr>
          <w:sz w:val="22"/>
          <w:szCs w:val="22"/>
        </w:rPr>
      </w:pPr>
    </w:p>
    <w:p w14:paraId="59F27ABD" w14:textId="77777777" w:rsidR="00020441" w:rsidRPr="005F29E7" w:rsidRDefault="00020441" w:rsidP="00A55A31">
      <w:pPr>
        <w:pStyle w:val="TDC1"/>
        <w:spacing w:before="0" w:line="360" w:lineRule="auto"/>
        <w:rPr>
          <w:sz w:val="22"/>
          <w:szCs w:val="22"/>
        </w:rPr>
      </w:pPr>
    </w:p>
    <w:p w14:paraId="465B98F3" w14:textId="77777777" w:rsidR="00020441" w:rsidRPr="005F29E7" w:rsidRDefault="00020441" w:rsidP="00A55A31">
      <w:pPr>
        <w:spacing w:line="360" w:lineRule="auto"/>
        <w:rPr>
          <w:sz w:val="22"/>
          <w:szCs w:val="22"/>
        </w:rPr>
      </w:pPr>
    </w:p>
    <w:p w14:paraId="43077885" w14:textId="77777777" w:rsidR="00020441" w:rsidRPr="005F29E7" w:rsidRDefault="00020441" w:rsidP="00A55A31">
      <w:pPr>
        <w:spacing w:line="360" w:lineRule="auto"/>
        <w:rPr>
          <w:sz w:val="22"/>
          <w:szCs w:val="22"/>
        </w:rPr>
      </w:pPr>
    </w:p>
    <w:p w14:paraId="10A762C8" w14:textId="77777777" w:rsidR="00020441" w:rsidRPr="005F29E7" w:rsidRDefault="00020441" w:rsidP="00A55A31">
      <w:pPr>
        <w:spacing w:line="360" w:lineRule="auto"/>
        <w:rPr>
          <w:sz w:val="22"/>
          <w:szCs w:val="22"/>
        </w:rPr>
      </w:pPr>
    </w:p>
    <w:p w14:paraId="00854BAE" w14:textId="22BC25BF" w:rsidR="00020441" w:rsidRPr="000B429C" w:rsidRDefault="00075861" w:rsidP="00A55A31">
      <w:pPr>
        <w:pStyle w:val="Textoindependiente"/>
        <w:spacing w:line="360" w:lineRule="auto"/>
        <w:jc w:val="both"/>
        <w:rPr>
          <w:bCs/>
          <w:sz w:val="40"/>
          <w:szCs w:val="40"/>
        </w:rPr>
      </w:pPr>
      <w:bookmarkStart w:id="0" w:name="_Hlk138420645"/>
      <w:r w:rsidRPr="000B429C">
        <w:rPr>
          <w:sz w:val="40"/>
          <w:szCs w:val="40"/>
        </w:rPr>
        <w:t>CREACIÓN DE NUEVAS ACTIVIDADES PARA LA PRESTACIÓN DEL SERVICIO PÚBLICO DOMICILIARIO DE ENERGÍA ELÉCTRICA</w:t>
      </w:r>
      <w:bookmarkEnd w:id="0"/>
    </w:p>
    <w:p w14:paraId="14B50E75" w14:textId="77777777" w:rsidR="00020441" w:rsidRPr="005F29E7" w:rsidRDefault="00020441" w:rsidP="00A55A31">
      <w:pPr>
        <w:pStyle w:val="TDC1"/>
        <w:spacing w:before="0" w:line="360" w:lineRule="auto"/>
        <w:rPr>
          <w:sz w:val="22"/>
          <w:szCs w:val="22"/>
        </w:rPr>
      </w:pPr>
    </w:p>
    <w:p w14:paraId="00F8537C" w14:textId="77777777" w:rsidR="00020441" w:rsidRPr="005F29E7" w:rsidRDefault="00020441" w:rsidP="00A55A31">
      <w:pPr>
        <w:spacing w:line="360" w:lineRule="auto"/>
        <w:rPr>
          <w:sz w:val="22"/>
          <w:szCs w:val="22"/>
        </w:rPr>
      </w:pPr>
    </w:p>
    <w:p w14:paraId="51A764C5" w14:textId="77777777" w:rsidR="00020441" w:rsidRPr="005F29E7" w:rsidRDefault="00020441" w:rsidP="00A55A31">
      <w:pPr>
        <w:spacing w:line="360" w:lineRule="auto"/>
        <w:rPr>
          <w:sz w:val="22"/>
          <w:szCs w:val="22"/>
        </w:rPr>
      </w:pPr>
    </w:p>
    <w:p w14:paraId="1222BB47" w14:textId="77777777" w:rsidR="00020441" w:rsidRPr="005F29E7" w:rsidRDefault="00020441" w:rsidP="00A55A31">
      <w:pPr>
        <w:spacing w:line="360" w:lineRule="auto"/>
        <w:rPr>
          <w:sz w:val="22"/>
          <w:szCs w:val="22"/>
        </w:rPr>
      </w:pPr>
    </w:p>
    <w:p w14:paraId="53B509DC" w14:textId="60B79B63" w:rsidR="00020441" w:rsidRPr="005F29E7" w:rsidRDefault="00020441" w:rsidP="00A55A31">
      <w:pPr>
        <w:spacing w:line="360" w:lineRule="auto"/>
        <w:rPr>
          <w:b/>
          <w:caps/>
          <w:sz w:val="22"/>
          <w:szCs w:val="22"/>
          <w:lang w:val="es-ES"/>
        </w:rPr>
      </w:pPr>
      <w:r w:rsidRPr="005F29E7">
        <w:rPr>
          <w:b/>
          <w:caps/>
          <w:sz w:val="22"/>
          <w:szCs w:val="22"/>
          <w:lang w:val="es-ES"/>
        </w:rPr>
        <w:t xml:space="preserve">DOCUMENTO </w:t>
      </w:r>
      <w:r w:rsidRPr="000B429C">
        <w:rPr>
          <w:b/>
          <w:caps/>
          <w:sz w:val="40"/>
          <w:szCs w:val="40"/>
          <w:lang w:val="es-ES"/>
        </w:rPr>
        <w:t>CREG-</w:t>
      </w:r>
      <w:r w:rsidR="008E185C">
        <w:rPr>
          <w:rFonts w:cs="Arial"/>
          <w:b/>
          <w:bCs/>
          <w:sz w:val="40"/>
          <w:szCs w:val="40"/>
          <w:lang w:val="es-MX"/>
        </w:rPr>
        <w:t>901 104</w:t>
      </w:r>
    </w:p>
    <w:p w14:paraId="44F07507" w14:textId="6DB73A81" w:rsidR="000B5AD2" w:rsidRPr="005F29E7" w:rsidRDefault="008E185C" w:rsidP="00A55A31">
      <w:pPr>
        <w:tabs>
          <w:tab w:val="left" w:pos="9142"/>
        </w:tabs>
        <w:spacing w:line="360" w:lineRule="auto"/>
        <w:ind w:left="9142" w:hanging="9142"/>
        <w:jc w:val="left"/>
        <w:rPr>
          <w:rFonts w:cs="Arial"/>
          <w:b/>
          <w:bCs/>
          <w:sz w:val="22"/>
          <w:szCs w:val="22"/>
          <w:lang w:val="es-MX"/>
        </w:rPr>
      </w:pPr>
      <w:r w:rsidRPr="008E185C">
        <w:rPr>
          <w:rFonts w:cs="Arial"/>
          <w:b/>
          <w:bCs/>
          <w:sz w:val="22"/>
          <w:szCs w:val="22"/>
          <w:lang w:val="es-MX"/>
        </w:rPr>
        <w:t>24 jun.2024</w:t>
      </w:r>
      <w:r w:rsidR="002F080E">
        <w:rPr>
          <w:rFonts w:cs="Arial"/>
          <w:b/>
          <w:bCs/>
          <w:sz w:val="22"/>
          <w:szCs w:val="22"/>
          <w:lang w:val="es-MX"/>
        </w:rPr>
        <w:t xml:space="preserve">  </w:t>
      </w:r>
      <w:r w:rsidR="009C08C1" w:rsidRPr="005F29E7">
        <w:rPr>
          <w:rFonts w:cs="Arial"/>
          <w:b/>
          <w:bCs/>
          <w:sz w:val="22"/>
          <w:szCs w:val="22"/>
          <w:lang w:val="es-MX"/>
        </w:rPr>
        <w:tab/>
      </w:r>
    </w:p>
    <w:p w14:paraId="63B7394E" w14:textId="53875074" w:rsidR="00020441" w:rsidRPr="005F29E7" w:rsidRDefault="00020441" w:rsidP="00A55A31">
      <w:pPr>
        <w:pStyle w:val="TDC1"/>
        <w:spacing w:before="0" w:line="360" w:lineRule="auto"/>
        <w:rPr>
          <w:sz w:val="22"/>
          <w:szCs w:val="22"/>
        </w:rPr>
      </w:pPr>
    </w:p>
    <w:p w14:paraId="32E55F6B" w14:textId="77777777" w:rsidR="00020441" w:rsidRPr="005F29E7" w:rsidRDefault="00020441" w:rsidP="00A55A31">
      <w:pPr>
        <w:spacing w:line="360" w:lineRule="auto"/>
        <w:ind w:left="4956"/>
        <w:jc w:val="left"/>
        <w:rPr>
          <w:b/>
          <w:sz w:val="22"/>
          <w:szCs w:val="22"/>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rsidRPr="005F29E7" w14:paraId="5FB9C57C" w14:textId="77777777">
        <w:tc>
          <w:tcPr>
            <w:tcW w:w="4024" w:type="dxa"/>
          </w:tcPr>
          <w:p w14:paraId="248A6A95" w14:textId="77777777" w:rsidR="0077100C" w:rsidRPr="005F29E7" w:rsidRDefault="0077100C" w:rsidP="00A55A31">
            <w:pPr>
              <w:spacing w:line="360" w:lineRule="auto"/>
              <w:ind w:left="708" w:hanging="708"/>
              <w:jc w:val="left"/>
              <w:rPr>
                <w:b/>
                <w:bCs/>
                <w:sz w:val="22"/>
                <w:szCs w:val="22"/>
              </w:rPr>
            </w:pPr>
          </w:p>
          <w:p w14:paraId="6D27A061" w14:textId="77777777" w:rsidR="0077100C" w:rsidRPr="005F29E7" w:rsidRDefault="0077100C" w:rsidP="00A55A31">
            <w:pPr>
              <w:spacing w:line="360" w:lineRule="auto"/>
              <w:ind w:left="708" w:hanging="708"/>
              <w:jc w:val="left"/>
              <w:rPr>
                <w:b/>
                <w:bCs/>
                <w:sz w:val="22"/>
                <w:szCs w:val="22"/>
              </w:rPr>
            </w:pPr>
          </w:p>
          <w:p w14:paraId="2440A9AB" w14:textId="77777777" w:rsidR="00020441" w:rsidRPr="005F29E7" w:rsidRDefault="00020441" w:rsidP="00A55A31">
            <w:pPr>
              <w:spacing w:line="360" w:lineRule="auto"/>
              <w:ind w:left="708" w:hanging="708"/>
              <w:jc w:val="left"/>
              <w:rPr>
                <w:b/>
                <w:bCs/>
                <w:sz w:val="22"/>
                <w:szCs w:val="22"/>
              </w:rPr>
            </w:pPr>
            <w:r w:rsidRPr="005F29E7">
              <w:rPr>
                <w:b/>
                <w:bCs/>
                <w:sz w:val="22"/>
                <w:szCs w:val="22"/>
              </w:rPr>
              <w:t>CIRCULACIÓN:</w:t>
            </w:r>
          </w:p>
        </w:tc>
      </w:tr>
      <w:tr w:rsidR="00020441" w:rsidRPr="005F29E7" w14:paraId="6A659732" w14:textId="77777777">
        <w:tc>
          <w:tcPr>
            <w:tcW w:w="4024" w:type="dxa"/>
          </w:tcPr>
          <w:p w14:paraId="74DA0102" w14:textId="77777777" w:rsidR="00020441" w:rsidRPr="005F29E7" w:rsidRDefault="00020441" w:rsidP="00A55A31">
            <w:pPr>
              <w:spacing w:line="360" w:lineRule="auto"/>
              <w:ind w:left="708" w:hanging="708"/>
              <w:jc w:val="left"/>
              <w:rPr>
                <w:b/>
                <w:bCs/>
                <w:sz w:val="22"/>
                <w:szCs w:val="22"/>
              </w:rPr>
            </w:pPr>
            <w:r w:rsidRPr="005F29E7">
              <w:rPr>
                <w:b/>
                <w:bCs/>
                <w:sz w:val="22"/>
                <w:szCs w:val="22"/>
              </w:rPr>
              <w:t>MIEMBROS DE LA COMISIÓN DE</w:t>
            </w:r>
          </w:p>
        </w:tc>
      </w:tr>
      <w:tr w:rsidR="00020441" w:rsidRPr="005F29E7" w14:paraId="2BED25F3" w14:textId="77777777">
        <w:tc>
          <w:tcPr>
            <w:tcW w:w="4024" w:type="dxa"/>
          </w:tcPr>
          <w:p w14:paraId="5666418A" w14:textId="1E6B8047" w:rsidR="00020441" w:rsidRPr="005F29E7" w:rsidRDefault="00020441" w:rsidP="00A55A31">
            <w:pPr>
              <w:tabs>
                <w:tab w:val="left" w:pos="4606"/>
                <w:tab w:val="left" w:pos="9142"/>
              </w:tabs>
              <w:spacing w:line="360" w:lineRule="auto"/>
              <w:ind w:left="708" w:hanging="708"/>
              <w:jc w:val="left"/>
              <w:rPr>
                <w:b/>
                <w:bCs/>
                <w:sz w:val="22"/>
                <w:szCs w:val="22"/>
              </w:rPr>
            </w:pPr>
            <w:r w:rsidRPr="005F29E7">
              <w:rPr>
                <w:b/>
                <w:bCs/>
                <w:sz w:val="22"/>
                <w:szCs w:val="22"/>
              </w:rPr>
              <w:t>REGULACIÓN DE ENERGÍA Y GAS</w:t>
            </w:r>
          </w:p>
        </w:tc>
      </w:tr>
    </w:tbl>
    <w:p w14:paraId="73ACC9F4" w14:textId="77777777" w:rsidR="00E7209B" w:rsidRPr="005F29E7" w:rsidRDefault="00020441" w:rsidP="00A55A31">
      <w:pPr>
        <w:pStyle w:val="Ttulo1"/>
        <w:numPr>
          <w:ilvl w:val="0"/>
          <w:numId w:val="0"/>
        </w:numPr>
        <w:spacing w:after="0" w:line="360" w:lineRule="auto"/>
        <w:ind w:left="432" w:hanging="432"/>
        <w:jc w:val="center"/>
        <w:rPr>
          <w:sz w:val="22"/>
          <w:szCs w:val="22"/>
        </w:rPr>
      </w:pPr>
      <w:r w:rsidRPr="005F29E7">
        <w:rPr>
          <w:sz w:val="22"/>
          <w:szCs w:val="22"/>
        </w:rPr>
        <w:br w:type="page"/>
      </w:r>
      <w:bookmarkStart w:id="1" w:name="_Toc417034533"/>
      <w:bookmarkStart w:id="2" w:name="_Toc429486657"/>
    </w:p>
    <w:bookmarkEnd w:id="2" w:displacedByCustomXml="next"/>
    <w:bookmarkEnd w:id="1" w:displacedByCustomXml="next"/>
    <w:sdt>
      <w:sdtPr>
        <w:rPr>
          <w:rFonts w:ascii="Arial" w:eastAsia="Times New Roman" w:hAnsi="Arial" w:cs="Times New Roman"/>
          <w:color w:val="auto"/>
          <w:sz w:val="24"/>
          <w:szCs w:val="24"/>
          <w:lang w:val="es-ES"/>
        </w:rPr>
        <w:id w:val="182637809"/>
        <w:docPartObj>
          <w:docPartGallery w:val="Table of Contents"/>
          <w:docPartUnique/>
        </w:docPartObj>
      </w:sdtPr>
      <w:sdtEndPr>
        <w:rPr>
          <w:b/>
          <w:bCs/>
        </w:rPr>
      </w:sdtEndPr>
      <w:sdtContent>
        <w:p w14:paraId="31AD72D2" w14:textId="61A1BF52" w:rsidR="00075861" w:rsidRPr="003E5C6D" w:rsidRDefault="003E5C6D" w:rsidP="007D5A12">
          <w:pPr>
            <w:pStyle w:val="TtuloTDC"/>
            <w:spacing w:before="0" w:line="360" w:lineRule="auto"/>
            <w:ind w:left="708" w:hanging="708"/>
            <w:jc w:val="center"/>
            <w:rPr>
              <w:rFonts w:ascii="Arial" w:hAnsi="Arial" w:cs="Arial"/>
              <w:b/>
              <w:bCs/>
              <w:color w:val="auto"/>
              <w:sz w:val="24"/>
              <w:szCs w:val="24"/>
              <w:lang w:val="es-ES"/>
            </w:rPr>
          </w:pPr>
          <w:r w:rsidRPr="003E5C6D">
            <w:rPr>
              <w:rFonts w:ascii="Arial" w:hAnsi="Arial" w:cs="Arial"/>
              <w:b/>
              <w:bCs/>
              <w:color w:val="auto"/>
              <w:sz w:val="24"/>
              <w:szCs w:val="24"/>
              <w:lang w:val="es-ES"/>
            </w:rPr>
            <w:t>CONTENIDO</w:t>
          </w:r>
        </w:p>
        <w:p w14:paraId="661AA067" w14:textId="77777777" w:rsidR="00075861" w:rsidRPr="003E5C6D" w:rsidRDefault="00075861" w:rsidP="007D5A12">
          <w:pPr>
            <w:spacing w:line="360" w:lineRule="auto"/>
            <w:jc w:val="left"/>
            <w:rPr>
              <w:szCs w:val="24"/>
              <w:lang w:val="es-ES" w:eastAsia="es-CO"/>
            </w:rPr>
          </w:pPr>
        </w:p>
        <w:p w14:paraId="6C940A06" w14:textId="60F90E06" w:rsidR="00805AAB" w:rsidRDefault="00075861" w:rsidP="00805AAB">
          <w:pPr>
            <w:pStyle w:val="TDC1"/>
            <w:spacing w:before="240" w:after="240" w:line="360" w:lineRule="auto"/>
            <w:rPr>
              <w:rFonts w:asciiTheme="minorHAnsi" w:eastAsiaTheme="minorEastAsia" w:hAnsiTheme="minorHAnsi" w:cstheme="minorBidi"/>
              <w:kern w:val="2"/>
              <w:lang w:val="es-CO" w:eastAsia="es-CO"/>
              <w14:ligatures w14:val="standardContextual"/>
            </w:rPr>
          </w:pPr>
          <w:r w:rsidRPr="003E5C6D">
            <w:fldChar w:fldCharType="begin"/>
          </w:r>
          <w:r w:rsidRPr="003E5C6D">
            <w:instrText xml:space="preserve"> TOC \o "1-3" \h \z \u </w:instrText>
          </w:r>
          <w:r w:rsidRPr="003E5C6D">
            <w:fldChar w:fldCharType="separate"/>
          </w:r>
          <w:hyperlink w:anchor="_Toc169098466" w:history="1">
            <w:r w:rsidR="00805AAB" w:rsidRPr="00322DD3">
              <w:rPr>
                <w:rStyle w:val="Hipervnculo"/>
              </w:rPr>
              <w:t>1.</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ANTECEDENTES Y NECESIDAD REGULATORIA IDENTIFICADA</w:t>
            </w:r>
            <w:r w:rsidR="00805AAB">
              <w:rPr>
                <w:webHidden/>
              </w:rPr>
              <w:tab/>
            </w:r>
            <w:r w:rsidR="00805AAB">
              <w:rPr>
                <w:webHidden/>
              </w:rPr>
              <w:fldChar w:fldCharType="begin"/>
            </w:r>
            <w:r w:rsidR="00805AAB">
              <w:rPr>
                <w:webHidden/>
              </w:rPr>
              <w:instrText xml:space="preserve"> PAGEREF _Toc169098466 \h </w:instrText>
            </w:r>
            <w:r w:rsidR="00805AAB">
              <w:rPr>
                <w:webHidden/>
              </w:rPr>
            </w:r>
            <w:r w:rsidR="00805AAB">
              <w:rPr>
                <w:webHidden/>
              </w:rPr>
              <w:fldChar w:fldCharType="separate"/>
            </w:r>
            <w:r w:rsidR="006263E3">
              <w:rPr>
                <w:webHidden/>
              </w:rPr>
              <w:t>3</w:t>
            </w:r>
            <w:r w:rsidR="00805AAB">
              <w:rPr>
                <w:webHidden/>
              </w:rPr>
              <w:fldChar w:fldCharType="end"/>
            </w:r>
          </w:hyperlink>
        </w:p>
        <w:p w14:paraId="06518324" w14:textId="3EE7D775" w:rsidR="00805AAB" w:rsidRDefault="00000000" w:rsidP="00805AAB">
          <w:pPr>
            <w:pStyle w:val="TDC2"/>
            <w:spacing w:before="240" w:after="240" w:line="360" w:lineRule="auto"/>
            <w:rPr>
              <w:rFonts w:asciiTheme="minorHAnsi" w:eastAsiaTheme="minorEastAsia" w:hAnsiTheme="minorHAnsi" w:cstheme="minorBidi"/>
              <w:kern w:val="2"/>
              <w:lang w:val="es-CO" w:eastAsia="es-CO"/>
              <w14:ligatures w14:val="standardContextual"/>
            </w:rPr>
          </w:pPr>
          <w:hyperlink w:anchor="_Toc169098467" w:history="1">
            <w:r w:rsidR="00805AAB" w:rsidRPr="00322DD3">
              <w:rPr>
                <w:rStyle w:val="Hipervnculo"/>
                <w:b/>
                <w:bCs/>
              </w:rPr>
              <w:t>1.1.</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b/>
                <w:bCs/>
              </w:rPr>
              <w:t>Plan Nacional de Desarrollo 2018 – 2022</w:t>
            </w:r>
            <w:r w:rsidR="00805AAB">
              <w:rPr>
                <w:webHidden/>
              </w:rPr>
              <w:tab/>
            </w:r>
            <w:r w:rsidR="00805AAB">
              <w:rPr>
                <w:webHidden/>
              </w:rPr>
              <w:fldChar w:fldCharType="begin"/>
            </w:r>
            <w:r w:rsidR="00805AAB">
              <w:rPr>
                <w:webHidden/>
              </w:rPr>
              <w:instrText xml:space="preserve"> PAGEREF _Toc169098467 \h </w:instrText>
            </w:r>
            <w:r w:rsidR="00805AAB">
              <w:rPr>
                <w:webHidden/>
              </w:rPr>
            </w:r>
            <w:r w:rsidR="00805AAB">
              <w:rPr>
                <w:webHidden/>
              </w:rPr>
              <w:fldChar w:fldCharType="separate"/>
            </w:r>
            <w:r w:rsidR="006263E3">
              <w:rPr>
                <w:webHidden/>
              </w:rPr>
              <w:t>3</w:t>
            </w:r>
            <w:r w:rsidR="00805AAB">
              <w:rPr>
                <w:webHidden/>
              </w:rPr>
              <w:fldChar w:fldCharType="end"/>
            </w:r>
          </w:hyperlink>
        </w:p>
        <w:p w14:paraId="0020BDF2" w14:textId="706C53E0" w:rsidR="00805AAB" w:rsidRDefault="00000000" w:rsidP="00805AAB">
          <w:pPr>
            <w:pStyle w:val="TDC2"/>
            <w:spacing w:before="240" w:after="240" w:line="360" w:lineRule="auto"/>
            <w:rPr>
              <w:rFonts w:asciiTheme="minorHAnsi" w:eastAsiaTheme="minorEastAsia" w:hAnsiTheme="minorHAnsi" w:cstheme="minorBidi"/>
              <w:kern w:val="2"/>
              <w:lang w:val="es-CO" w:eastAsia="es-CO"/>
              <w14:ligatures w14:val="standardContextual"/>
            </w:rPr>
          </w:pPr>
          <w:hyperlink w:anchor="_Toc169098468" w:history="1">
            <w:r w:rsidR="00805AAB" w:rsidRPr="00322DD3">
              <w:rPr>
                <w:rStyle w:val="Hipervnculo"/>
                <w:b/>
                <w:bCs/>
              </w:rPr>
              <w:t>1.2.</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b/>
                <w:bCs/>
              </w:rPr>
              <w:t>Resolución CREG 114 de 2018</w:t>
            </w:r>
            <w:r w:rsidR="00805AAB">
              <w:rPr>
                <w:webHidden/>
              </w:rPr>
              <w:tab/>
            </w:r>
            <w:r w:rsidR="00805AAB">
              <w:rPr>
                <w:webHidden/>
              </w:rPr>
              <w:fldChar w:fldCharType="begin"/>
            </w:r>
            <w:r w:rsidR="00805AAB">
              <w:rPr>
                <w:webHidden/>
              </w:rPr>
              <w:instrText xml:space="preserve"> PAGEREF _Toc169098468 \h </w:instrText>
            </w:r>
            <w:r w:rsidR="00805AAB">
              <w:rPr>
                <w:webHidden/>
              </w:rPr>
            </w:r>
            <w:r w:rsidR="00805AAB">
              <w:rPr>
                <w:webHidden/>
              </w:rPr>
              <w:fldChar w:fldCharType="separate"/>
            </w:r>
            <w:r w:rsidR="006263E3">
              <w:rPr>
                <w:webHidden/>
              </w:rPr>
              <w:t>5</w:t>
            </w:r>
            <w:r w:rsidR="00805AAB">
              <w:rPr>
                <w:webHidden/>
              </w:rPr>
              <w:fldChar w:fldCharType="end"/>
            </w:r>
          </w:hyperlink>
        </w:p>
        <w:p w14:paraId="0323936E" w14:textId="10609215" w:rsidR="00805AAB" w:rsidRDefault="00000000" w:rsidP="00805AAB">
          <w:pPr>
            <w:pStyle w:val="TDC2"/>
            <w:spacing w:before="240" w:after="240" w:line="360" w:lineRule="auto"/>
            <w:rPr>
              <w:rFonts w:asciiTheme="minorHAnsi" w:eastAsiaTheme="minorEastAsia" w:hAnsiTheme="minorHAnsi" w:cstheme="minorBidi"/>
              <w:kern w:val="2"/>
              <w:lang w:val="es-CO" w:eastAsia="es-CO"/>
              <w14:ligatures w14:val="standardContextual"/>
            </w:rPr>
          </w:pPr>
          <w:hyperlink w:anchor="_Toc169098469" w:history="1">
            <w:r w:rsidR="00805AAB" w:rsidRPr="00322DD3">
              <w:rPr>
                <w:rStyle w:val="Hipervnculo"/>
                <w:b/>
                <w:bCs/>
              </w:rPr>
              <w:t>1.3.</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b/>
                <w:bCs/>
              </w:rPr>
              <w:t>Proyecto de Resolución CREG 701-028 de 2022</w:t>
            </w:r>
            <w:r w:rsidR="00805AAB">
              <w:rPr>
                <w:webHidden/>
              </w:rPr>
              <w:tab/>
            </w:r>
            <w:r w:rsidR="00805AAB">
              <w:rPr>
                <w:webHidden/>
              </w:rPr>
              <w:fldChar w:fldCharType="begin"/>
            </w:r>
            <w:r w:rsidR="00805AAB">
              <w:rPr>
                <w:webHidden/>
              </w:rPr>
              <w:instrText xml:space="preserve"> PAGEREF _Toc169098469 \h </w:instrText>
            </w:r>
            <w:r w:rsidR="00805AAB">
              <w:rPr>
                <w:webHidden/>
              </w:rPr>
            </w:r>
            <w:r w:rsidR="00805AAB">
              <w:rPr>
                <w:webHidden/>
              </w:rPr>
              <w:fldChar w:fldCharType="separate"/>
            </w:r>
            <w:r w:rsidR="006263E3">
              <w:rPr>
                <w:webHidden/>
              </w:rPr>
              <w:t>6</w:t>
            </w:r>
            <w:r w:rsidR="00805AAB">
              <w:rPr>
                <w:webHidden/>
              </w:rPr>
              <w:fldChar w:fldCharType="end"/>
            </w:r>
          </w:hyperlink>
        </w:p>
        <w:p w14:paraId="06DBA461" w14:textId="636E08E5" w:rsidR="00805AAB" w:rsidRDefault="00000000" w:rsidP="00805AAB">
          <w:pPr>
            <w:pStyle w:val="TDC1"/>
            <w:spacing w:before="240" w:after="240" w:line="360" w:lineRule="auto"/>
            <w:rPr>
              <w:rFonts w:asciiTheme="minorHAnsi" w:eastAsiaTheme="minorEastAsia" w:hAnsiTheme="minorHAnsi" w:cstheme="minorBidi"/>
              <w:kern w:val="2"/>
              <w:lang w:val="es-CO" w:eastAsia="es-CO"/>
              <w14:ligatures w14:val="standardContextual"/>
            </w:rPr>
          </w:pPr>
          <w:hyperlink w:anchor="_Toc169098470" w:history="1">
            <w:r w:rsidR="00805AAB" w:rsidRPr="00322DD3">
              <w:rPr>
                <w:rStyle w:val="Hipervnculo"/>
              </w:rPr>
              <w:t>2.</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PROPUESTA REGULATORIA 701 022 de 2023</w:t>
            </w:r>
            <w:r w:rsidR="00805AAB">
              <w:rPr>
                <w:webHidden/>
              </w:rPr>
              <w:tab/>
            </w:r>
            <w:r w:rsidR="00805AAB">
              <w:rPr>
                <w:webHidden/>
              </w:rPr>
              <w:fldChar w:fldCharType="begin"/>
            </w:r>
            <w:r w:rsidR="00805AAB">
              <w:rPr>
                <w:webHidden/>
              </w:rPr>
              <w:instrText xml:space="preserve"> PAGEREF _Toc169098470 \h </w:instrText>
            </w:r>
            <w:r w:rsidR="00805AAB">
              <w:rPr>
                <w:webHidden/>
              </w:rPr>
            </w:r>
            <w:r w:rsidR="00805AAB">
              <w:rPr>
                <w:webHidden/>
              </w:rPr>
              <w:fldChar w:fldCharType="separate"/>
            </w:r>
            <w:r w:rsidR="006263E3">
              <w:rPr>
                <w:webHidden/>
              </w:rPr>
              <w:t>8</w:t>
            </w:r>
            <w:r w:rsidR="00805AAB">
              <w:rPr>
                <w:webHidden/>
              </w:rPr>
              <w:fldChar w:fldCharType="end"/>
            </w:r>
          </w:hyperlink>
        </w:p>
        <w:p w14:paraId="333DCEAE" w14:textId="45655776" w:rsidR="00805AAB" w:rsidRDefault="00000000" w:rsidP="00805AAB">
          <w:pPr>
            <w:pStyle w:val="TDC1"/>
            <w:spacing w:before="240" w:after="240" w:line="360" w:lineRule="auto"/>
            <w:rPr>
              <w:rFonts w:asciiTheme="minorHAnsi" w:eastAsiaTheme="minorEastAsia" w:hAnsiTheme="minorHAnsi" w:cstheme="minorBidi"/>
              <w:kern w:val="2"/>
              <w:lang w:val="es-CO" w:eastAsia="es-CO"/>
              <w14:ligatures w14:val="standardContextual"/>
            </w:rPr>
          </w:pPr>
          <w:hyperlink w:anchor="_Toc169098471" w:history="1">
            <w:r w:rsidR="00805AAB" w:rsidRPr="00322DD3">
              <w:rPr>
                <w:rStyle w:val="Hipervnculo"/>
              </w:rPr>
              <w:t>3.</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COMENTARIOS PROPUESTA REGULATORIA 701 022 de 2023</w:t>
            </w:r>
            <w:r w:rsidR="00805AAB">
              <w:rPr>
                <w:webHidden/>
              </w:rPr>
              <w:tab/>
            </w:r>
            <w:r w:rsidR="00805AAB">
              <w:rPr>
                <w:webHidden/>
              </w:rPr>
              <w:fldChar w:fldCharType="begin"/>
            </w:r>
            <w:r w:rsidR="00805AAB">
              <w:rPr>
                <w:webHidden/>
              </w:rPr>
              <w:instrText xml:space="preserve"> PAGEREF _Toc169098471 \h </w:instrText>
            </w:r>
            <w:r w:rsidR="00805AAB">
              <w:rPr>
                <w:webHidden/>
              </w:rPr>
            </w:r>
            <w:r w:rsidR="00805AAB">
              <w:rPr>
                <w:webHidden/>
              </w:rPr>
              <w:fldChar w:fldCharType="separate"/>
            </w:r>
            <w:r w:rsidR="006263E3">
              <w:rPr>
                <w:webHidden/>
              </w:rPr>
              <w:t>8</w:t>
            </w:r>
            <w:r w:rsidR="00805AAB">
              <w:rPr>
                <w:webHidden/>
              </w:rPr>
              <w:fldChar w:fldCharType="end"/>
            </w:r>
          </w:hyperlink>
        </w:p>
        <w:p w14:paraId="652EBEAA" w14:textId="327E1C79" w:rsidR="00805AAB" w:rsidRDefault="00000000" w:rsidP="00805AAB">
          <w:pPr>
            <w:pStyle w:val="TDC2"/>
            <w:spacing w:before="240" w:after="240" w:line="360" w:lineRule="auto"/>
            <w:rPr>
              <w:rFonts w:asciiTheme="minorHAnsi" w:eastAsiaTheme="minorEastAsia" w:hAnsiTheme="minorHAnsi" w:cstheme="minorBidi"/>
              <w:kern w:val="2"/>
              <w:lang w:val="es-CO" w:eastAsia="es-CO"/>
              <w14:ligatures w14:val="standardContextual"/>
            </w:rPr>
          </w:pPr>
          <w:hyperlink w:anchor="_Toc169098472" w:history="1">
            <w:r w:rsidR="00805AAB" w:rsidRPr="00322DD3">
              <w:rPr>
                <w:rStyle w:val="Hipervnculo"/>
              </w:rPr>
              <w:t>3.1</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Reglas de integración vertical y conflictos de intereses aplicables a estas actividades</w:t>
            </w:r>
            <w:r w:rsidR="00805AAB">
              <w:rPr>
                <w:webHidden/>
              </w:rPr>
              <w:tab/>
            </w:r>
            <w:r w:rsidR="00805AAB">
              <w:rPr>
                <w:webHidden/>
              </w:rPr>
              <w:fldChar w:fldCharType="begin"/>
            </w:r>
            <w:r w:rsidR="00805AAB">
              <w:rPr>
                <w:webHidden/>
              </w:rPr>
              <w:instrText xml:space="preserve"> PAGEREF _Toc169098472 \h </w:instrText>
            </w:r>
            <w:r w:rsidR="00805AAB">
              <w:rPr>
                <w:webHidden/>
              </w:rPr>
            </w:r>
            <w:r w:rsidR="00805AAB">
              <w:rPr>
                <w:webHidden/>
              </w:rPr>
              <w:fldChar w:fldCharType="separate"/>
            </w:r>
            <w:r w:rsidR="006263E3">
              <w:rPr>
                <w:webHidden/>
              </w:rPr>
              <w:t>8</w:t>
            </w:r>
            <w:r w:rsidR="00805AAB">
              <w:rPr>
                <w:webHidden/>
              </w:rPr>
              <w:fldChar w:fldCharType="end"/>
            </w:r>
          </w:hyperlink>
        </w:p>
        <w:p w14:paraId="4D5572F6" w14:textId="304AC6B5" w:rsidR="00805AAB" w:rsidRDefault="00000000" w:rsidP="00805AAB">
          <w:pPr>
            <w:pStyle w:val="TDC2"/>
            <w:spacing w:before="240" w:after="240" w:line="360" w:lineRule="auto"/>
            <w:rPr>
              <w:rFonts w:asciiTheme="minorHAnsi" w:eastAsiaTheme="minorEastAsia" w:hAnsiTheme="minorHAnsi" w:cstheme="minorBidi"/>
              <w:kern w:val="2"/>
              <w:lang w:val="es-CO" w:eastAsia="es-CO"/>
              <w14:ligatures w14:val="standardContextual"/>
            </w:rPr>
          </w:pPr>
          <w:hyperlink w:anchor="_Toc169098473" w:history="1">
            <w:r w:rsidR="00805AAB" w:rsidRPr="00322DD3">
              <w:rPr>
                <w:rStyle w:val="Hipervnculo"/>
              </w:rPr>
              <w:t>3.2</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Remuneración de estas actividades</w:t>
            </w:r>
            <w:r w:rsidR="00805AAB">
              <w:rPr>
                <w:webHidden/>
              </w:rPr>
              <w:tab/>
            </w:r>
            <w:r w:rsidR="00805AAB">
              <w:rPr>
                <w:webHidden/>
              </w:rPr>
              <w:fldChar w:fldCharType="begin"/>
            </w:r>
            <w:r w:rsidR="00805AAB">
              <w:rPr>
                <w:webHidden/>
              </w:rPr>
              <w:instrText xml:space="preserve"> PAGEREF _Toc169098473 \h </w:instrText>
            </w:r>
            <w:r w:rsidR="00805AAB">
              <w:rPr>
                <w:webHidden/>
              </w:rPr>
            </w:r>
            <w:r w:rsidR="00805AAB">
              <w:rPr>
                <w:webHidden/>
              </w:rPr>
              <w:fldChar w:fldCharType="separate"/>
            </w:r>
            <w:r w:rsidR="006263E3">
              <w:rPr>
                <w:webHidden/>
              </w:rPr>
              <w:t>11</w:t>
            </w:r>
            <w:r w:rsidR="00805AAB">
              <w:rPr>
                <w:webHidden/>
              </w:rPr>
              <w:fldChar w:fldCharType="end"/>
            </w:r>
          </w:hyperlink>
        </w:p>
        <w:p w14:paraId="62281870" w14:textId="3FB66D13" w:rsidR="00805AAB" w:rsidRDefault="00000000" w:rsidP="00805AAB">
          <w:pPr>
            <w:pStyle w:val="TDC1"/>
            <w:spacing w:before="240" w:after="240" w:line="360" w:lineRule="auto"/>
            <w:rPr>
              <w:rFonts w:asciiTheme="minorHAnsi" w:eastAsiaTheme="minorEastAsia" w:hAnsiTheme="minorHAnsi" w:cstheme="minorBidi"/>
              <w:kern w:val="2"/>
              <w:lang w:val="es-CO" w:eastAsia="es-CO"/>
              <w14:ligatures w14:val="standardContextual"/>
            </w:rPr>
          </w:pPr>
          <w:hyperlink w:anchor="_Toc169098474" w:history="1">
            <w:r w:rsidR="00805AAB" w:rsidRPr="00322DD3">
              <w:rPr>
                <w:rStyle w:val="Hipervnculo"/>
              </w:rPr>
              <w:t>4.</w:t>
            </w:r>
            <w:r w:rsidR="00805AAB">
              <w:rPr>
                <w:rFonts w:asciiTheme="minorHAnsi" w:eastAsiaTheme="minorEastAsia" w:hAnsiTheme="minorHAnsi" w:cstheme="minorBidi"/>
                <w:kern w:val="2"/>
                <w:lang w:val="es-CO" w:eastAsia="es-CO"/>
                <w14:ligatures w14:val="standardContextual"/>
              </w:rPr>
              <w:tab/>
            </w:r>
            <w:r w:rsidR="00805AAB" w:rsidRPr="00322DD3">
              <w:rPr>
                <w:rStyle w:val="Hipervnculo"/>
              </w:rPr>
              <w:t>AJUSTES SOBRE LA PROPUESTA CONSULTADA</w:t>
            </w:r>
            <w:r w:rsidR="00805AAB">
              <w:rPr>
                <w:webHidden/>
              </w:rPr>
              <w:tab/>
            </w:r>
            <w:r w:rsidR="00805AAB">
              <w:rPr>
                <w:webHidden/>
              </w:rPr>
              <w:fldChar w:fldCharType="begin"/>
            </w:r>
            <w:r w:rsidR="00805AAB">
              <w:rPr>
                <w:webHidden/>
              </w:rPr>
              <w:instrText xml:space="preserve"> PAGEREF _Toc169098474 \h </w:instrText>
            </w:r>
            <w:r w:rsidR="00805AAB">
              <w:rPr>
                <w:webHidden/>
              </w:rPr>
            </w:r>
            <w:r w:rsidR="00805AAB">
              <w:rPr>
                <w:webHidden/>
              </w:rPr>
              <w:fldChar w:fldCharType="separate"/>
            </w:r>
            <w:r w:rsidR="006263E3">
              <w:rPr>
                <w:webHidden/>
              </w:rPr>
              <w:t>11</w:t>
            </w:r>
            <w:r w:rsidR="00805AAB">
              <w:rPr>
                <w:webHidden/>
              </w:rPr>
              <w:fldChar w:fldCharType="end"/>
            </w:r>
          </w:hyperlink>
        </w:p>
        <w:p w14:paraId="373E6F0F" w14:textId="49C7432C" w:rsidR="00805AAB" w:rsidRDefault="00000000" w:rsidP="00805AAB">
          <w:pPr>
            <w:pStyle w:val="TDC1"/>
            <w:spacing w:before="240" w:after="240" w:line="360" w:lineRule="auto"/>
            <w:rPr>
              <w:rFonts w:asciiTheme="minorHAnsi" w:eastAsiaTheme="minorEastAsia" w:hAnsiTheme="minorHAnsi" w:cstheme="minorBidi"/>
              <w:kern w:val="2"/>
              <w:lang w:val="es-CO" w:eastAsia="es-CO"/>
              <w14:ligatures w14:val="standardContextual"/>
            </w:rPr>
          </w:pPr>
          <w:hyperlink w:anchor="_Toc169098475" w:history="1">
            <w:r w:rsidR="00805AAB" w:rsidRPr="00322DD3">
              <w:rPr>
                <w:rStyle w:val="Hipervnculo"/>
                <w:rFonts w:cs="Arial"/>
                <w:bCs/>
              </w:rPr>
              <w:t>ANEXO. MATRIZ DE COMENTARIOS</w:t>
            </w:r>
            <w:r w:rsidR="00805AAB">
              <w:rPr>
                <w:webHidden/>
              </w:rPr>
              <w:tab/>
            </w:r>
            <w:r w:rsidR="00805AAB">
              <w:rPr>
                <w:webHidden/>
              </w:rPr>
              <w:fldChar w:fldCharType="begin"/>
            </w:r>
            <w:r w:rsidR="00805AAB">
              <w:rPr>
                <w:webHidden/>
              </w:rPr>
              <w:instrText xml:space="preserve"> PAGEREF _Toc169098475 \h </w:instrText>
            </w:r>
            <w:r w:rsidR="00805AAB">
              <w:rPr>
                <w:webHidden/>
              </w:rPr>
            </w:r>
            <w:r w:rsidR="00805AAB">
              <w:rPr>
                <w:webHidden/>
              </w:rPr>
              <w:fldChar w:fldCharType="separate"/>
            </w:r>
            <w:r w:rsidR="006263E3">
              <w:rPr>
                <w:webHidden/>
              </w:rPr>
              <w:t>13</w:t>
            </w:r>
            <w:r w:rsidR="00805AAB">
              <w:rPr>
                <w:webHidden/>
              </w:rPr>
              <w:fldChar w:fldCharType="end"/>
            </w:r>
          </w:hyperlink>
        </w:p>
        <w:p w14:paraId="5601E61C" w14:textId="71375B47" w:rsidR="00075861" w:rsidRPr="003E5C6D" w:rsidRDefault="00075861" w:rsidP="007D5A12">
          <w:pPr>
            <w:spacing w:line="360" w:lineRule="auto"/>
            <w:jc w:val="left"/>
            <w:rPr>
              <w:szCs w:val="24"/>
            </w:rPr>
          </w:pPr>
          <w:r w:rsidRPr="003E5C6D">
            <w:rPr>
              <w:b/>
              <w:bCs/>
              <w:szCs w:val="24"/>
              <w:lang w:val="es-ES"/>
            </w:rPr>
            <w:fldChar w:fldCharType="end"/>
          </w:r>
        </w:p>
      </w:sdtContent>
    </w:sdt>
    <w:p w14:paraId="4BDF7302" w14:textId="77777777" w:rsidR="00075861" w:rsidRPr="005F29E7" w:rsidRDefault="00075861" w:rsidP="00A55A31">
      <w:pPr>
        <w:spacing w:line="360" w:lineRule="auto"/>
        <w:jc w:val="left"/>
        <w:rPr>
          <w:b/>
          <w:sz w:val="22"/>
          <w:szCs w:val="22"/>
        </w:rPr>
      </w:pPr>
      <w:r w:rsidRPr="005F29E7">
        <w:rPr>
          <w:sz w:val="22"/>
          <w:szCs w:val="22"/>
        </w:rPr>
        <w:br w:type="page"/>
      </w:r>
    </w:p>
    <w:p w14:paraId="564BE519" w14:textId="77777777" w:rsidR="00075861" w:rsidRPr="00F033E3" w:rsidRDefault="00075861" w:rsidP="00A55A31">
      <w:pPr>
        <w:pStyle w:val="Ttulo"/>
        <w:spacing w:line="360" w:lineRule="auto"/>
        <w:rPr>
          <w:szCs w:val="24"/>
        </w:rPr>
      </w:pPr>
      <w:r w:rsidRPr="00F033E3">
        <w:rPr>
          <w:szCs w:val="24"/>
        </w:rPr>
        <w:lastRenderedPageBreak/>
        <w:t>CREACIÓN DE NUEVAS ACTIVIDADES PARA LA PRESTACIÓN DEL SERVICIO PÚBLICO DOMICILIARIO DE ENERGÍA ELÉCTRICA</w:t>
      </w:r>
    </w:p>
    <w:p w14:paraId="0CF06314" w14:textId="77777777" w:rsidR="00075861" w:rsidRPr="00F033E3" w:rsidRDefault="00075861" w:rsidP="00A55A31">
      <w:pPr>
        <w:spacing w:line="360" w:lineRule="auto"/>
        <w:jc w:val="left"/>
        <w:rPr>
          <w:szCs w:val="24"/>
        </w:rPr>
      </w:pPr>
    </w:p>
    <w:p w14:paraId="7D15C084" w14:textId="77777777" w:rsidR="00075861" w:rsidRPr="00F033E3" w:rsidRDefault="00075861" w:rsidP="00A55A31">
      <w:pPr>
        <w:pStyle w:val="Ttulo1"/>
        <w:numPr>
          <w:ilvl w:val="0"/>
          <w:numId w:val="1"/>
        </w:numPr>
        <w:spacing w:after="0" w:line="360" w:lineRule="auto"/>
        <w:ind w:left="431" w:hanging="431"/>
        <w:jc w:val="left"/>
        <w:rPr>
          <w:szCs w:val="24"/>
        </w:rPr>
      </w:pPr>
      <w:bookmarkStart w:id="3" w:name="_Toc169098466"/>
      <w:r w:rsidRPr="00F033E3">
        <w:rPr>
          <w:szCs w:val="24"/>
        </w:rPr>
        <w:t>ANTECEDENTES Y NECESIDAD REGULATORIA IDENTIFICADA</w:t>
      </w:r>
      <w:bookmarkEnd w:id="3"/>
    </w:p>
    <w:p w14:paraId="46878861" w14:textId="77777777" w:rsidR="00075861" w:rsidRPr="00F033E3" w:rsidRDefault="00075861" w:rsidP="00A55A31">
      <w:pPr>
        <w:spacing w:line="360" w:lineRule="auto"/>
        <w:jc w:val="left"/>
        <w:rPr>
          <w:szCs w:val="24"/>
        </w:rPr>
      </w:pPr>
    </w:p>
    <w:p w14:paraId="4427B856" w14:textId="04354818" w:rsidR="00F033E3" w:rsidRPr="00697B68" w:rsidRDefault="00F033E3" w:rsidP="00A55A31">
      <w:pPr>
        <w:pStyle w:val="Prrafodelista"/>
        <w:numPr>
          <w:ilvl w:val="1"/>
          <w:numId w:val="19"/>
        </w:numPr>
        <w:spacing w:line="360" w:lineRule="auto"/>
        <w:jc w:val="left"/>
        <w:outlineLvl w:val="1"/>
        <w:rPr>
          <w:b/>
          <w:bCs/>
          <w:szCs w:val="24"/>
        </w:rPr>
      </w:pPr>
      <w:bookmarkStart w:id="4" w:name="_Toc169098467"/>
      <w:r w:rsidRPr="00697B68">
        <w:rPr>
          <w:b/>
          <w:bCs/>
          <w:szCs w:val="24"/>
        </w:rPr>
        <w:t>Plan Nacional de Desarrollo 2018 – 2022</w:t>
      </w:r>
      <w:bookmarkEnd w:id="4"/>
    </w:p>
    <w:p w14:paraId="655C42D5" w14:textId="77777777" w:rsidR="00F033E3" w:rsidRPr="00F033E3" w:rsidRDefault="00F033E3" w:rsidP="00A55A31">
      <w:pPr>
        <w:spacing w:line="360" w:lineRule="auto"/>
        <w:jc w:val="left"/>
        <w:rPr>
          <w:szCs w:val="24"/>
        </w:rPr>
      </w:pPr>
    </w:p>
    <w:p w14:paraId="2244DC17" w14:textId="42D7A185" w:rsidR="008A421E" w:rsidRPr="00F033E3" w:rsidRDefault="008A421E" w:rsidP="00A55A31">
      <w:pPr>
        <w:spacing w:line="360" w:lineRule="auto"/>
        <w:jc w:val="left"/>
        <w:rPr>
          <w:szCs w:val="24"/>
        </w:rPr>
      </w:pPr>
      <w:r w:rsidRPr="00F033E3">
        <w:rPr>
          <w:szCs w:val="24"/>
        </w:rPr>
        <w:t xml:space="preserve">El artículo 290 de Ley 1955 de 2019 “Plan Nacional de Desarrollo 2018 – 2022”, vigente de conformidad con el artículo 372 de la Ley 2294 de 2023 “Plan Nacional de Desarrollo 2022-2026”, asignó la siguiente función a la </w:t>
      </w:r>
      <w:r w:rsidR="00F033E3" w:rsidRPr="00F033E3">
        <w:rPr>
          <w:szCs w:val="24"/>
        </w:rPr>
        <w:t>Comisión de Regulación de Energía y Gas (</w:t>
      </w:r>
      <w:r w:rsidRPr="00F033E3">
        <w:rPr>
          <w:szCs w:val="24"/>
        </w:rPr>
        <w:t>CREG</w:t>
      </w:r>
      <w:r w:rsidR="00F033E3" w:rsidRPr="00F033E3">
        <w:rPr>
          <w:szCs w:val="24"/>
        </w:rPr>
        <w:t>)</w:t>
      </w:r>
      <w:r w:rsidRPr="00F033E3">
        <w:rPr>
          <w:szCs w:val="24"/>
        </w:rPr>
        <w:t>:</w:t>
      </w:r>
    </w:p>
    <w:p w14:paraId="46BC1414" w14:textId="77777777" w:rsidR="008A421E" w:rsidRPr="00F033E3" w:rsidRDefault="008A421E" w:rsidP="00A55A31">
      <w:pPr>
        <w:spacing w:line="360" w:lineRule="auto"/>
        <w:jc w:val="left"/>
        <w:rPr>
          <w:szCs w:val="24"/>
        </w:rPr>
      </w:pPr>
    </w:p>
    <w:p w14:paraId="385B262C" w14:textId="12F81F17" w:rsidR="008A421E" w:rsidRPr="00F033E3" w:rsidRDefault="008A421E" w:rsidP="00A55A31">
      <w:pPr>
        <w:spacing w:line="360" w:lineRule="auto"/>
        <w:ind w:left="567" w:right="617"/>
        <w:jc w:val="left"/>
        <w:rPr>
          <w:i/>
          <w:iCs/>
          <w:szCs w:val="24"/>
        </w:rPr>
      </w:pPr>
      <w:r w:rsidRPr="00F033E3">
        <w:rPr>
          <w:i/>
          <w:iCs/>
          <w:szCs w:val="24"/>
        </w:rPr>
        <w:t>“</w:t>
      </w:r>
      <w:r w:rsidR="00F033E3" w:rsidRPr="00F033E3">
        <w:rPr>
          <w:b/>
          <w:bCs/>
          <w:i/>
          <w:iCs/>
          <w:szCs w:val="24"/>
        </w:rPr>
        <w:t>Artículo 290. Nuevos Agentes</w:t>
      </w:r>
      <w:r w:rsidRPr="00F033E3">
        <w:rPr>
          <w:b/>
          <w:bCs/>
          <w:i/>
          <w:iCs/>
          <w:szCs w:val="24"/>
        </w:rPr>
        <w:t>.</w:t>
      </w:r>
      <w:r w:rsidRPr="00F033E3">
        <w:rPr>
          <w:i/>
          <w:iCs/>
          <w:szCs w:val="24"/>
        </w:rPr>
        <w:t xml:space="preserve"> La Comisión de Regulación de Energía y Gas - CREG, en el marco de la función de garantizar la prestación eficiente del servicio público, de promover la competencia, evitar los abusos de posición dominante y garantizar los derechos de los usuarios, dentro de la regulación sobre servicios de gas combustible, energía eléctrica y alumbrado público, incluirá:</w:t>
      </w:r>
    </w:p>
    <w:p w14:paraId="1BD436D6" w14:textId="77777777" w:rsidR="008A421E" w:rsidRPr="00F033E3" w:rsidRDefault="008A421E" w:rsidP="00A55A31">
      <w:pPr>
        <w:spacing w:line="360" w:lineRule="auto"/>
        <w:ind w:left="567" w:right="617"/>
        <w:jc w:val="left"/>
        <w:rPr>
          <w:i/>
          <w:iCs/>
          <w:szCs w:val="24"/>
        </w:rPr>
      </w:pPr>
    </w:p>
    <w:p w14:paraId="374862D8" w14:textId="77777777" w:rsidR="008A421E" w:rsidRPr="00F033E3" w:rsidRDefault="008A421E" w:rsidP="00A55A31">
      <w:pPr>
        <w:spacing w:line="360" w:lineRule="auto"/>
        <w:ind w:left="567" w:right="617"/>
        <w:jc w:val="left"/>
        <w:rPr>
          <w:i/>
          <w:iCs/>
          <w:szCs w:val="24"/>
        </w:rPr>
      </w:pPr>
      <w:r w:rsidRPr="00F033E3">
        <w:rPr>
          <w:i/>
          <w:iCs/>
          <w:szCs w:val="24"/>
        </w:rPr>
        <w:t>1. Definición de nuevas actividades o eslabones en la cadena de prestación del servicio, las cuales estarán sujetas a la regulación vigente.</w:t>
      </w:r>
    </w:p>
    <w:p w14:paraId="6F04CDA9" w14:textId="77777777" w:rsidR="008A421E" w:rsidRPr="00F033E3" w:rsidRDefault="008A421E" w:rsidP="00A55A31">
      <w:pPr>
        <w:spacing w:line="360" w:lineRule="auto"/>
        <w:ind w:left="567" w:right="617"/>
        <w:jc w:val="left"/>
        <w:rPr>
          <w:i/>
          <w:iCs/>
          <w:szCs w:val="24"/>
        </w:rPr>
      </w:pPr>
    </w:p>
    <w:p w14:paraId="2652BA64" w14:textId="77777777" w:rsidR="008A421E" w:rsidRPr="00F033E3" w:rsidRDefault="008A421E" w:rsidP="00A55A31">
      <w:pPr>
        <w:spacing w:line="360" w:lineRule="auto"/>
        <w:ind w:left="567" w:right="617"/>
        <w:jc w:val="left"/>
        <w:rPr>
          <w:i/>
          <w:iCs/>
          <w:szCs w:val="24"/>
        </w:rPr>
      </w:pPr>
      <w:r w:rsidRPr="00F033E3">
        <w:rPr>
          <w:i/>
          <w:iCs/>
          <w:szCs w:val="24"/>
        </w:rPr>
        <w:t>2. Definición de la regulación aplicable a los agentes que desarrollen tales nuevas actividades, los cuales estarán sujetos a la regulación vigente.</w:t>
      </w:r>
    </w:p>
    <w:p w14:paraId="4EC55AAE" w14:textId="77777777" w:rsidR="008A421E" w:rsidRPr="00F033E3" w:rsidRDefault="008A421E" w:rsidP="00A55A31">
      <w:pPr>
        <w:spacing w:line="360" w:lineRule="auto"/>
        <w:ind w:left="567" w:right="617"/>
        <w:jc w:val="left"/>
        <w:rPr>
          <w:i/>
          <w:iCs/>
          <w:szCs w:val="24"/>
        </w:rPr>
      </w:pPr>
    </w:p>
    <w:p w14:paraId="0434A293" w14:textId="77777777" w:rsidR="008A421E" w:rsidRPr="00F033E3" w:rsidRDefault="008A421E" w:rsidP="00A55A31">
      <w:pPr>
        <w:spacing w:line="360" w:lineRule="auto"/>
        <w:ind w:left="567" w:right="617"/>
        <w:jc w:val="left"/>
        <w:rPr>
          <w:i/>
          <w:iCs/>
          <w:szCs w:val="24"/>
        </w:rPr>
      </w:pPr>
      <w:r w:rsidRPr="00F033E3">
        <w:rPr>
          <w:i/>
          <w:iCs/>
          <w:szCs w:val="24"/>
        </w:rPr>
        <w:t>3. Determinación de la actividad o actividades en que cada agente de la cadena puede participar.</w:t>
      </w:r>
    </w:p>
    <w:p w14:paraId="724DA150" w14:textId="77777777" w:rsidR="008A421E" w:rsidRPr="00F033E3" w:rsidRDefault="008A421E" w:rsidP="00A55A31">
      <w:pPr>
        <w:spacing w:line="360" w:lineRule="auto"/>
        <w:ind w:left="567" w:right="617"/>
        <w:jc w:val="left"/>
        <w:rPr>
          <w:i/>
          <w:iCs/>
          <w:szCs w:val="24"/>
        </w:rPr>
      </w:pPr>
    </w:p>
    <w:p w14:paraId="273277F2" w14:textId="77777777" w:rsidR="008A421E" w:rsidRPr="00F033E3" w:rsidRDefault="008A421E" w:rsidP="00A55A31">
      <w:pPr>
        <w:spacing w:line="360" w:lineRule="auto"/>
        <w:ind w:left="567" w:right="617"/>
        <w:jc w:val="left"/>
        <w:rPr>
          <w:i/>
          <w:iCs/>
          <w:szCs w:val="24"/>
        </w:rPr>
      </w:pPr>
      <w:r w:rsidRPr="00F033E3">
        <w:rPr>
          <w:i/>
          <w:iCs/>
          <w:szCs w:val="24"/>
        </w:rPr>
        <w:lastRenderedPageBreak/>
        <w:t>4. Definición de las reglas sobre la gobernanza de datos e información que se produzca como resultado del ejercicio de las actividades de los agentes que interactúan en los servicios públicos.</w:t>
      </w:r>
    </w:p>
    <w:p w14:paraId="56303862" w14:textId="77777777" w:rsidR="008A421E" w:rsidRPr="00F033E3" w:rsidRDefault="008A421E" w:rsidP="00A55A31">
      <w:pPr>
        <w:spacing w:line="360" w:lineRule="auto"/>
        <w:ind w:left="567" w:right="617"/>
        <w:jc w:val="left"/>
        <w:rPr>
          <w:i/>
          <w:iCs/>
          <w:szCs w:val="24"/>
        </w:rPr>
      </w:pPr>
    </w:p>
    <w:p w14:paraId="6741EBC6" w14:textId="12EFEDA8" w:rsidR="008A421E" w:rsidRPr="00F033E3" w:rsidRDefault="008A421E" w:rsidP="00A55A31">
      <w:pPr>
        <w:spacing w:line="360" w:lineRule="auto"/>
        <w:ind w:left="567" w:right="617"/>
        <w:jc w:val="left"/>
        <w:rPr>
          <w:i/>
          <w:iCs/>
          <w:szCs w:val="24"/>
        </w:rPr>
      </w:pPr>
      <w:r w:rsidRPr="00F033E3">
        <w:rPr>
          <w:i/>
          <w:iCs/>
          <w:szCs w:val="24"/>
        </w:rPr>
        <w:t>5. Optimización de los requerimientos de información y su validación a los agentes de los sectores regulados”.</w:t>
      </w:r>
    </w:p>
    <w:p w14:paraId="4C64D2B1" w14:textId="77777777" w:rsidR="006A723E" w:rsidRPr="00F033E3" w:rsidRDefault="006A723E" w:rsidP="00A55A31">
      <w:pPr>
        <w:spacing w:line="360" w:lineRule="auto"/>
        <w:jc w:val="left"/>
        <w:rPr>
          <w:szCs w:val="24"/>
        </w:rPr>
      </w:pPr>
    </w:p>
    <w:p w14:paraId="24E82FF2" w14:textId="7F1489A1" w:rsidR="006A723E" w:rsidRPr="00F033E3" w:rsidRDefault="006A723E" w:rsidP="00A55A31">
      <w:pPr>
        <w:spacing w:line="360" w:lineRule="auto"/>
        <w:jc w:val="left"/>
        <w:rPr>
          <w:szCs w:val="24"/>
        </w:rPr>
      </w:pPr>
      <w:r w:rsidRPr="00F033E3">
        <w:rPr>
          <w:szCs w:val="24"/>
        </w:rPr>
        <w:t xml:space="preserve">Asimismo, en las Bases del Plan Nacional de Desarrollo 2018 – 2022 se indicó lo siguiente frente a </w:t>
      </w:r>
      <w:r w:rsidR="00F033E3" w:rsidRPr="00F033E3">
        <w:rPr>
          <w:szCs w:val="24"/>
        </w:rPr>
        <w:t>esta</w:t>
      </w:r>
      <w:r w:rsidRPr="00F033E3">
        <w:rPr>
          <w:szCs w:val="24"/>
        </w:rPr>
        <w:t xml:space="preserve"> </w:t>
      </w:r>
      <w:r w:rsidR="00F033E3" w:rsidRPr="00F033E3">
        <w:rPr>
          <w:szCs w:val="24"/>
        </w:rPr>
        <w:t>función</w:t>
      </w:r>
      <w:r w:rsidRPr="00F033E3">
        <w:rPr>
          <w:szCs w:val="24"/>
        </w:rPr>
        <w:t xml:space="preserve"> otorgada a </w:t>
      </w:r>
      <w:r w:rsidR="00F033E3" w:rsidRPr="00F033E3">
        <w:rPr>
          <w:szCs w:val="24"/>
        </w:rPr>
        <w:t>la CREG</w:t>
      </w:r>
      <w:r w:rsidRPr="00F033E3">
        <w:rPr>
          <w:szCs w:val="24"/>
        </w:rPr>
        <w:t>:</w:t>
      </w:r>
    </w:p>
    <w:p w14:paraId="002AFF85" w14:textId="77777777" w:rsidR="006A723E" w:rsidRPr="00F033E3" w:rsidRDefault="006A723E" w:rsidP="00A55A31">
      <w:pPr>
        <w:spacing w:line="360" w:lineRule="auto"/>
        <w:jc w:val="left"/>
        <w:rPr>
          <w:szCs w:val="24"/>
        </w:rPr>
      </w:pPr>
    </w:p>
    <w:p w14:paraId="6FCB6797" w14:textId="533A9D24" w:rsidR="006A723E" w:rsidRPr="00F033E3" w:rsidRDefault="006A723E" w:rsidP="00A55A31">
      <w:pPr>
        <w:spacing w:line="360" w:lineRule="auto"/>
        <w:ind w:left="567" w:right="617"/>
        <w:jc w:val="left"/>
        <w:rPr>
          <w:i/>
          <w:iCs/>
          <w:szCs w:val="24"/>
        </w:rPr>
      </w:pPr>
      <w:r w:rsidRPr="00F033E3">
        <w:rPr>
          <w:i/>
          <w:iCs/>
          <w:szCs w:val="24"/>
        </w:rPr>
        <w:t>“La CREG hará una revisión de la cadena de la prestación de los servicios públicos de energía y gas combustible, con el fin de que exista la posibilidad de la inclusión de nuevas actividades y agentes, y promover la ampliación del ámbito de los usuarios no regulados y la liberalización de los regulados. Se evaluará el modelo de prestación del servicio de energía eléctrica y gas combustible, para determinar si es necesario adaptarlo a los nuevos participantes del mercado y su incorporación en la nueva estructuración de la cadena”</w:t>
      </w:r>
      <w:r w:rsidR="0069574B" w:rsidRPr="00F033E3">
        <w:rPr>
          <w:rStyle w:val="Refdenotaalpie"/>
          <w:szCs w:val="24"/>
        </w:rPr>
        <w:t xml:space="preserve"> </w:t>
      </w:r>
      <w:r w:rsidR="0069574B" w:rsidRPr="00F033E3">
        <w:rPr>
          <w:rStyle w:val="Refdenotaalpie"/>
          <w:szCs w:val="24"/>
        </w:rPr>
        <w:footnoteReference w:id="1"/>
      </w:r>
      <w:r w:rsidRPr="00F033E3">
        <w:rPr>
          <w:i/>
          <w:iCs/>
          <w:szCs w:val="24"/>
        </w:rPr>
        <w:t>.</w:t>
      </w:r>
    </w:p>
    <w:p w14:paraId="38EDF4B7" w14:textId="77777777" w:rsidR="006A723E" w:rsidRPr="00F033E3" w:rsidRDefault="006A723E" w:rsidP="00A55A31">
      <w:pPr>
        <w:spacing w:line="360" w:lineRule="auto"/>
        <w:jc w:val="left"/>
        <w:rPr>
          <w:szCs w:val="24"/>
        </w:rPr>
      </w:pPr>
    </w:p>
    <w:p w14:paraId="7E6B3695" w14:textId="247AB3AB" w:rsidR="008A421E" w:rsidRPr="00F033E3" w:rsidRDefault="006A723E" w:rsidP="00A55A31">
      <w:pPr>
        <w:spacing w:line="360" w:lineRule="auto"/>
        <w:jc w:val="left"/>
        <w:rPr>
          <w:szCs w:val="24"/>
        </w:rPr>
      </w:pPr>
      <w:r w:rsidRPr="00F033E3">
        <w:rPr>
          <w:szCs w:val="24"/>
        </w:rPr>
        <w:t>En concordancia con la anterior disposición y t</w:t>
      </w:r>
      <w:r w:rsidR="008A421E" w:rsidRPr="00F033E3">
        <w:rPr>
          <w:szCs w:val="24"/>
        </w:rPr>
        <w:t xml:space="preserve">eniendo en cuenta la dinámica del mercado de energía eléctrica, </w:t>
      </w:r>
      <w:r w:rsidRPr="00F033E3">
        <w:rPr>
          <w:szCs w:val="24"/>
        </w:rPr>
        <w:t>esta Comisión</w:t>
      </w:r>
      <w:r w:rsidR="008A421E" w:rsidRPr="00F033E3">
        <w:rPr>
          <w:szCs w:val="24"/>
        </w:rPr>
        <w:t xml:space="preserve"> debe considerar la entrada de diferentes actividades y agentes que hacen parte de</w:t>
      </w:r>
      <w:r w:rsidRPr="00F033E3">
        <w:rPr>
          <w:szCs w:val="24"/>
        </w:rPr>
        <w:t>l modelo de</w:t>
      </w:r>
      <w:r w:rsidR="008A421E" w:rsidRPr="00F033E3">
        <w:rPr>
          <w:szCs w:val="24"/>
        </w:rPr>
        <w:t xml:space="preserve"> prestación de</w:t>
      </w:r>
      <w:r w:rsidRPr="00F033E3">
        <w:rPr>
          <w:szCs w:val="24"/>
        </w:rPr>
        <w:t>l</w:t>
      </w:r>
      <w:r w:rsidR="008A421E" w:rsidRPr="00F033E3">
        <w:rPr>
          <w:szCs w:val="24"/>
        </w:rPr>
        <w:t xml:space="preserve"> servicio público domiciliario</w:t>
      </w:r>
      <w:r w:rsidRPr="00F033E3">
        <w:rPr>
          <w:szCs w:val="24"/>
        </w:rPr>
        <w:t xml:space="preserve"> de energía eléctrica</w:t>
      </w:r>
      <w:r w:rsidR="008A421E" w:rsidRPr="00F033E3">
        <w:rPr>
          <w:szCs w:val="24"/>
        </w:rPr>
        <w:t>.</w:t>
      </w:r>
    </w:p>
    <w:p w14:paraId="69A32AEA" w14:textId="77777777" w:rsidR="008A421E" w:rsidRPr="00F033E3" w:rsidRDefault="008A421E" w:rsidP="00A55A31">
      <w:pPr>
        <w:spacing w:line="360" w:lineRule="auto"/>
        <w:jc w:val="left"/>
        <w:rPr>
          <w:szCs w:val="24"/>
        </w:rPr>
      </w:pPr>
    </w:p>
    <w:p w14:paraId="5B512977" w14:textId="04D6BFF8" w:rsidR="006A723E" w:rsidRDefault="006A723E" w:rsidP="00A55A31">
      <w:pPr>
        <w:spacing w:line="360" w:lineRule="auto"/>
        <w:jc w:val="left"/>
        <w:rPr>
          <w:i/>
          <w:iCs/>
          <w:szCs w:val="24"/>
        </w:rPr>
      </w:pPr>
      <w:r w:rsidRPr="00F033E3">
        <w:rPr>
          <w:szCs w:val="24"/>
        </w:rPr>
        <w:lastRenderedPageBreak/>
        <w:t>Se dispuso también en las Bases del Plan Nacional de Desarrollo 2018 – 2022</w:t>
      </w:r>
      <w:r w:rsidR="0069574B" w:rsidRPr="00F033E3">
        <w:rPr>
          <w:szCs w:val="24"/>
        </w:rPr>
        <w:t xml:space="preserve"> que, </w:t>
      </w:r>
      <w:r w:rsidR="0069574B" w:rsidRPr="00F033E3">
        <w:rPr>
          <w:i/>
          <w:iCs/>
          <w:szCs w:val="24"/>
        </w:rPr>
        <w:t>“f</w:t>
      </w:r>
      <w:r w:rsidRPr="00F033E3">
        <w:rPr>
          <w:i/>
          <w:iCs/>
          <w:szCs w:val="24"/>
        </w:rPr>
        <w:t>rente a los cambios en las actividades y roles de agentes en las cadenas de prestación, es preciso extender el ámbito de aplicación de regulación, vigilancia y control a aquellos nuevos agentes que inciden en la prestación de los servicios</w:t>
      </w:r>
      <w:r w:rsidR="0069574B" w:rsidRPr="00F033E3">
        <w:rPr>
          <w:i/>
          <w:iCs/>
          <w:szCs w:val="24"/>
        </w:rPr>
        <w:t>”</w:t>
      </w:r>
      <w:r w:rsidR="0069574B" w:rsidRPr="00F033E3">
        <w:rPr>
          <w:rStyle w:val="Refdenotaalpie"/>
          <w:szCs w:val="24"/>
        </w:rPr>
        <w:footnoteReference w:id="2"/>
      </w:r>
      <w:r w:rsidR="0069574B" w:rsidRPr="00F033E3">
        <w:rPr>
          <w:i/>
          <w:iCs/>
          <w:szCs w:val="24"/>
        </w:rPr>
        <w:t>.</w:t>
      </w:r>
    </w:p>
    <w:p w14:paraId="64FD2683" w14:textId="77777777" w:rsidR="003E5C6D" w:rsidRPr="00F033E3" w:rsidRDefault="003E5C6D" w:rsidP="00A55A31">
      <w:pPr>
        <w:spacing w:line="360" w:lineRule="auto"/>
        <w:jc w:val="left"/>
        <w:rPr>
          <w:szCs w:val="24"/>
        </w:rPr>
      </w:pPr>
    </w:p>
    <w:p w14:paraId="37B00D88" w14:textId="662AEAD7" w:rsidR="00697B68" w:rsidRPr="00697B68" w:rsidRDefault="00697B68" w:rsidP="00A55A31">
      <w:pPr>
        <w:pStyle w:val="Prrafodelista"/>
        <w:numPr>
          <w:ilvl w:val="1"/>
          <w:numId w:val="19"/>
        </w:numPr>
        <w:spacing w:line="360" w:lineRule="auto"/>
        <w:jc w:val="left"/>
        <w:outlineLvl w:val="1"/>
        <w:rPr>
          <w:b/>
          <w:bCs/>
          <w:szCs w:val="24"/>
        </w:rPr>
      </w:pPr>
      <w:bookmarkStart w:id="5" w:name="_Toc169098468"/>
      <w:r w:rsidRPr="00697B68">
        <w:rPr>
          <w:b/>
          <w:bCs/>
          <w:szCs w:val="24"/>
        </w:rPr>
        <w:t>Resolución CREG 114 de 2018</w:t>
      </w:r>
      <w:bookmarkEnd w:id="5"/>
    </w:p>
    <w:p w14:paraId="4881E04B" w14:textId="77777777" w:rsidR="00697B68" w:rsidRPr="00F033E3" w:rsidRDefault="00697B68" w:rsidP="00A55A31">
      <w:pPr>
        <w:spacing w:line="360" w:lineRule="auto"/>
        <w:jc w:val="left"/>
        <w:rPr>
          <w:szCs w:val="24"/>
        </w:rPr>
      </w:pPr>
    </w:p>
    <w:p w14:paraId="66707710" w14:textId="432BC45B" w:rsidR="008A421E" w:rsidRPr="00F033E3" w:rsidRDefault="008A421E" w:rsidP="00A55A31">
      <w:pPr>
        <w:spacing w:line="360" w:lineRule="auto"/>
        <w:jc w:val="left"/>
        <w:rPr>
          <w:szCs w:val="24"/>
        </w:rPr>
      </w:pPr>
      <w:r w:rsidRPr="00F033E3">
        <w:rPr>
          <w:szCs w:val="24"/>
        </w:rPr>
        <w:t xml:space="preserve">La Resolución CREG 114 de 2018 se constituye como una herramienta regulatoria que permite el desarrollo de diferentes mecanismos de comercialización de energía eléctrica, propendiendo por consolidar un escenario competitivo para la compra de energía que a su vez permita </w:t>
      </w:r>
      <w:r w:rsidR="0008583D">
        <w:rPr>
          <w:szCs w:val="24"/>
        </w:rPr>
        <w:t>una</w:t>
      </w:r>
      <w:r w:rsidRPr="00F033E3">
        <w:rPr>
          <w:szCs w:val="24"/>
        </w:rPr>
        <w:t xml:space="preserve"> formación eficiente de precios.</w:t>
      </w:r>
    </w:p>
    <w:p w14:paraId="3AE7B751" w14:textId="77777777" w:rsidR="008A421E" w:rsidRPr="00F033E3" w:rsidRDefault="008A421E" w:rsidP="00A55A31">
      <w:pPr>
        <w:spacing w:line="360" w:lineRule="auto"/>
        <w:jc w:val="left"/>
        <w:rPr>
          <w:szCs w:val="24"/>
        </w:rPr>
      </w:pPr>
    </w:p>
    <w:p w14:paraId="189BE8C6" w14:textId="503817DF" w:rsidR="00075861" w:rsidRPr="00F033E3" w:rsidRDefault="00075861" w:rsidP="00A55A31">
      <w:pPr>
        <w:spacing w:line="360" w:lineRule="auto"/>
        <w:jc w:val="left"/>
        <w:rPr>
          <w:szCs w:val="24"/>
        </w:rPr>
      </w:pPr>
      <w:r w:rsidRPr="00F033E3">
        <w:rPr>
          <w:szCs w:val="24"/>
        </w:rPr>
        <w:t>La Resolución CREG 114 de 2018 busca incentivar el desarrollo de diferentes mecanismos de comercialización de energía eléctrica, derivados de la iniciativa privada, con el fin de fomentar mayor competencia y eficiencia en la compra de energía destinada a la atención de usuarios regulados. Con este propósito, en dicha resolución se definen los principios y las condiciones generales que deben cumplir aquellos mecanismos que aspiren ser reconocidos dentro de las alternativas de compra que pueden ser trasladadas en las tarifas a los usuarios finales regulados.</w:t>
      </w:r>
    </w:p>
    <w:p w14:paraId="37E80831" w14:textId="77777777" w:rsidR="00075861" w:rsidRPr="00F033E3" w:rsidRDefault="00075861" w:rsidP="00A55A31">
      <w:pPr>
        <w:spacing w:line="360" w:lineRule="auto"/>
        <w:jc w:val="left"/>
        <w:rPr>
          <w:szCs w:val="24"/>
        </w:rPr>
      </w:pPr>
    </w:p>
    <w:p w14:paraId="5B8F0422" w14:textId="73E47ADB" w:rsidR="00075861" w:rsidRPr="00F033E3" w:rsidRDefault="00075861" w:rsidP="00A55A31">
      <w:pPr>
        <w:spacing w:line="360" w:lineRule="auto"/>
        <w:jc w:val="left"/>
        <w:rPr>
          <w:szCs w:val="24"/>
        </w:rPr>
      </w:pPr>
      <w:r w:rsidRPr="00F033E3">
        <w:rPr>
          <w:szCs w:val="24"/>
        </w:rPr>
        <w:t xml:space="preserve">No obstante, los roles </w:t>
      </w:r>
      <w:r w:rsidR="0008583D">
        <w:rPr>
          <w:szCs w:val="24"/>
        </w:rPr>
        <w:t xml:space="preserve">de </w:t>
      </w:r>
      <w:r w:rsidR="0008583D" w:rsidRPr="0008583D">
        <w:rPr>
          <w:i/>
          <w:iCs/>
          <w:szCs w:val="24"/>
        </w:rPr>
        <w:t>ejecutor del mecanismo, administrador del mecanismo y administrador de riesgo</w:t>
      </w:r>
      <w:r w:rsidR="0008583D">
        <w:rPr>
          <w:i/>
          <w:iCs/>
          <w:szCs w:val="24"/>
        </w:rPr>
        <w:t>,</w:t>
      </w:r>
      <w:r w:rsidR="0008583D">
        <w:rPr>
          <w:szCs w:val="24"/>
        </w:rPr>
        <w:t xml:space="preserve"> establecidos en la Resolución CREG 114 de 2018, </w:t>
      </w:r>
      <w:r w:rsidRPr="00F033E3">
        <w:rPr>
          <w:szCs w:val="24"/>
        </w:rPr>
        <w:t>no están definidos en la regulación como actividades de la cadena de prestación del servicio público de energía eléctrica</w:t>
      </w:r>
      <w:r w:rsidR="0008583D">
        <w:rPr>
          <w:szCs w:val="24"/>
        </w:rPr>
        <w:t>.</w:t>
      </w:r>
    </w:p>
    <w:p w14:paraId="189E7F5F" w14:textId="77777777" w:rsidR="00075861" w:rsidRPr="00F033E3" w:rsidRDefault="00075861" w:rsidP="00A55A31">
      <w:pPr>
        <w:spacing w:line="360" w:lineRule="auto"/>
        <w:jc w:val="left"/>
        <w:rPr>
          <w:szCs w:val="24"/>
        </w:rPr>
      </w:pPr>
    </w:p>
    <w:p w14:paraId="13890C06" w14:textId="77777777" w:rsidR="00075861" w:rsidRPr="00F033E3" w:rsidRDefault="00075861" w:rsidP="00A55A31">
      <w:pPr>
        <w:spacing w:line="360" w:lineRule="auto"/>
        <w:jc w:val="left"/>
        <w:rPr>
          <w:szCs w:val="24"/>
        </w:rPr>
      </w:pPr>
      <w:r w:rsidRPr="00F033E3">
        <w:rPr>
          <w:szCs w:val="24"/>
        </w:rPr>
        <w:lastRenderedPageBreak/>
        <w:t xml:space="preserve">Así, esta Comisión consideró necesario hacer ajustes en la regulación para asegurar que quienes desarrollen las actividades asociadas a los roles señalados en el numeral 3 del Anexo 3 de la Resolución CREG 114 de 2108, estuvieran sujetos a la inspección, control y vigilancia de la SSPD teniendo en cuenta su incidencia en la prestación del servicio público domiciliario, sin que con ello se afectara la vigilancia por parte de la SFC en los casos que así corresponda. </w:t>
      </w:r>
    </w:p>
    <w:p w14:paraId="0B9EF19D" w14:textId="77777777" w:rsidR="00075861" w:rsidRDefault="00075861" w:rsidP="00A55A31">
      <w:pPr>
        <w:spacing w:line="360" w:lineRule="auto"/>
        <w:jc w:val="left"/>
        <w:rPr>
          <w:szCs w:val="24"/>
        </w:rPr>
      </w:pPr>
    </w:p>
    <w:p w14:paraId="148ACF6F" w14:textId="050E005A" w:rsidR="0008583D" w:rsidRPr="00697B68" w:rsidRDefault="0008583D" w:rsidP="00A55A31">
      <w:pPr>
        <w:pStyle w:val="Prrafodelista"/>
        <w:numPr>
          <w:ilvl w:val="1"/>
          <w:numId w:val="19"/>
        </w:numPr>
        <w:spacing w:line="360" w:lineRule="auto"/>
        <w:jc w:val="left"/>
        <w:outlineLvl w:val="1"/>
        <w:rPr>
          <w:b/>
          <w:bCs/>
          <w:szCs w:val="24"/>
        </w:rPr>
      </w:pPr>
      <w:bookmarkStart w:id="6" w:name="_Toc169098469"/>
      <w:r w:rsidRPr="0008583D">
        <w:rPr>
          <w:b/>
          <w:bCs/>
          <w:szCs w:val="24"/>
        </w:rPr>
        <w:t>Proyecto de Resolución CREG 701-028 de 2022</w:t>
      </w:r>
      <w:bookmarkEnd w:id="6"/>
    </w:p>
    <w:p w14:paraId="4B4E43C6" w14:textId="77777777" w:rsidR="0008583D" w:rsidRDefault="0008583D" w:rsidP="00A55A31">
      <w:pPr>
        <w:spacing w:line="360" w:lineRule="auto"/>
        <w:jc w:val="left"/>
        <w:rPr>
          <w:szCs w:val="24"/>
        </w:rPr>
      </w:pPr>
    </w:p>
    <w:p w14:paraId="49D6D954" w14:textId="44CEC451" w:rsidR="0008583D" w:rsidRPr="00F033E3" w:rsidRDefault="0008583D" w:rsidP="00A55A31">
      <w:pPr>
        <w:spacing w:line="360" w:lineRule="auto"/>
        <w:jc w:val="left"/>
        <w:rPr>
          <w:szCs w:val="24"/>
        </w:rPr>
      </w:pPr>
      <w:r w:rsidRPr="00F033E3">
        <w:rPr>
          <w:szCs w:val="24"/>
        </w:rPr>
        <w:t>Así, mediante el Proyecto de Resolución CREG 701-028 de 2022, esta Comisión presentó para consulta pública una propuesta regulatoria que busca crear tres (3) nuevas actividades para la prestación del servicio público domiciliario de energía eléctrica. Estas actividades corresponden a tres (3) de los roles establecidos en la Resolución CREG 114 de 2018 para los mecanismos de comercialización de energía eléctrica que son puestos en consideración de esta Comisión, para su respectivo reconocimiento en el costo unitario de prestación del servicio del usuario regulado.</w:t>
      </w:r>
    </w:p>
    <w:p w14:paraId="525C4DBF" w14:textId="77777777" w:rsidR="0008583D" w:rsidRPr="00F033E3" w:rsidRDefault="0008583D" w:rsidP="00A55A31">
      <w:pPr>
        <w:spacing w:line="360" w:lineRule="auto"/>
        <w:jc w:val="left"/>
        <w:rPr>
          <w:szCs w:val="24"/>
        </w:rPr>
      </w:pPr>
    </w:p>
    <w:p w14:paraId="0C37E610" w14:textId="27837954" w:rsidR="00075861" w:rsidRPr="00F033E3" w:rsidRDefault="00075861" w:rsidP="00A55A31">
      <w:pPr>
        <w:spacing w:line="360" w:lineRule="auto"/>
        <w:jc w:val="left"/>
        <w:rPr>
          <w:i/>
          <w:iCs/>
          <w:szCs w:val="24"/>
        </w:rPr>
      </w:pPr>
      <w:r w:rsidRPr="00F033E3">
        <w:rPr>
          <w:szCs w:val="24"/>
        </w:rPr>
        <w:t>La iniciativa regulatoria contenida en el Proyecto de Resolución</w:t>
      </w:r>
      <w:r w:rsidR="002F080E" w:rsidRPr="00F033E3">
        <w:rPr>
          <w:szCs w:val="24"/>
        </w:rPr>
        <w:t xml:space="preserve"> </w:t>
      </w:r>
      <w:r w:rsidRPr="00F033E3">
        <w:rPr>
          <w:szCs w:val="24"/>
        </w:rPr>
        <w:t>701 028 de 2022 fue desarrollada haciendo uso de las facultades del artículo 290 de la Ley 1955 de 2019 (Plan Nacional de Desarrollo 2018 – 2022)</w:t>
      </w:r>
      <w:r w:rsidR="0008583D">
        <w:rPr>
          <w:szCs w:val="24"/>
        </w:rPr>
        <w:t>.</w:t>
      </w:r>
    </w:p>
    <w:p w14:paraId="5781A4AA" w14:textId="77777777" w:rsidR="00075861" w:rsidRPr="00F033E3" w:rsidRDefault="00075861" w:rsidP="00A55A31">
      <w:pPr>
        <w:spacing w:line="360" w:lineRule="auto"/>
        <w:jc w:val="left"/>
        <w:rPr>
          <w:szCs w:val="24"/>
        </w:rPr>
      </w:pPr>
    </w:p>
    <w:p w14:paraId="2396F815" w14:textId="08658EB7" w:rsidR="00075861" w:rsidRPr="00F033E3" w:rsidRDefault="00075861" w:rsidP="00A55A31">
      <w:pPr>
        <w:spacing w:line="360" w:lineRule="auto"/>
        <w:jc w:val="left"/>
        <w:rPr>
          <w:szCs w:val="24"/>
        </w:rPr>
      </w:pPr>
      <w:r w:rsidRPr="00F033E3">
        <w:rPr>
          <w:szCs w:val="24"/>
        </w:rPr>
        <w:t xml:space="preserve">En concreto, en el </w:t>
      </w:r>
      <w:r w:rsidR="0008583D">
        <w:rPr>
          <w:szCs w:val="24"/>
        </w:rPr>
        <w:t xml:space="preserve">proyecto regulatorio en mención </w:t>
      </w:r>
      <w:r w:rsidRPr="00F033E3">
        <w:rPr>
          <w:szCs w:val="24"/>
        </w:rPr>
        <w:t>se propuso crear como actividades de la cadena de prestación del servicio público domiciliario de energía eléctrica la administración, la administración de riesgo y la ejecución de mecanismos de comercialización de energía eléctrica, que son puestos en consideración de esta Comisión para su respectivo reconocimiento en el costo unitario de prestación del servicio del usuario regulado. Asimismo, se dispuso que estas actividades quedarían sujetas a las disposiciones regulatorias contenidas en la Resolución CREG 114 de 2018 o aquella que la modifique o sustituya.</w:t>
      </w:r>
    </w:p>
    <w:p w14:paraId="71B80DCD" w14:textId="77777777" w:rsidR="00075861" w:rsidRPr="00F033E3" w:rsidRDefault="00075861" w:rsidP="00A55A31">
      <w:pPr>
        <w:spacing w:line="360" w:lineRule="auto"/>
        <w:jc w:val="left"/>
        <w:rPr>
          <w:szCs w:val="24"/>
        </w:rPr>
      </w:pPr>
    </w:p>
    <w:p w14:paraId="3CF658F3" w14:textId="77777777" w:rsidR="00075861" w:rsidRPr="00F033E3" w:rsidRDefault="00075861" w:rsidP="00A55A31">
      <w:pPr>
        <w:spacing w:line="360" w:lineRule="auto"/>
        <w:jc w:val="left"/>
        <w:rPr>
          <w:szCs w:val="24"/>
        </w:rPr>
      </w:pPr>
      <w:r w:rsidRPr="00F033E3">
        <w:rPr>
          <w:szCs w:val="24"/>
        </w:rPr>
        <w:lastRenderedPageBreak/>
        <w:t>Por último, se señaló en el proyecto consultado que estas nuevas actividades podrán ser desarrolladas por las personas señaladas en el artículo 15 de la Ley 142 de 1994, el cual dispone lo siguiente:</w:t>
      </w:r>
    </w:p>
    <w:p w14:paraId="51BF3645" w14:textId="77777777" w:rsidR="00075861" w:rsidRPr="00F033E3" w:rsidRDefault="00075861" w:rsidP="00A55A31">
      <w:pPr>
        <w:spacing w:line="360" w:lineRule="auto"/>
        <w:jc w:val="left"/>
        <w:rPr>
          <w:szCs w:val="24"/>
        </w:rPr>
      </w:pPr>
    </w:p>
    <w:p w14:paraId="2F91E6A9" w14:textId="77777777" w:rsidR="00075861" w:rsidRPr="00F033E3" w:rsidRDefault="00075861" w:rsidP="00A55A31">
      <w:pPr>
        <w:spacing w:line="360" w:lineRule="auto"/>
        <w:ind w:left="567" w:right="618"/>
        <w:jc w:val="left"/>
        <w:rPr>
          <w:i/>
          <w:iCs/>
          <w:szCs w:val="24"/>
        </w:rPr>
      </w:pPr>
      <w:r w:rsidRPr="00F033E3">
        <w:rPr>
          <w:i/>
          <w:iCs/>
          <w:szCs w:val="24"/>
        </w:rPr>
        <w:t>“ARTÍCULO 15. PERSONAS QUE PRESTAN SERVICIOS PÚBLICOS. Pueden prestar los servicios públicos:</w:t>
      </w:r>
    </w:p>
    <w:p w14:paraId="0B4AA2F6" w14:textId="77777777" w:rsidR="00075861" w:rsidRPr="00F033E3" w:rsidRDefault="00075861" w:rsidP="00A55A31">
      <w:pPr>
        <w:spacing w:line="360" w:lineRule="auto"/>
        <w:ind w:left="567" w:right="618"/>
        <w:jc w:val="left"/>
        <w:rPr>
          <w:i/>
          <w:iCs/>
          <w:szCs w:val="24"/>
        </w:rPr>
      </w:pPr>
    </w:p>
    <w:p w14:paraId="495A685F" w14:textId="77777777" w:rsidR="00075861" w:rsidRPr="00F033E3" w:rsidRDefault="00075861" w:rsidP="00A55A31">
      <w:pPr>
        <w:spacing w:line="360" w:lineRule="auto"/>
        <w:ind w:left="567" w:right="618"/>
        <w:jc w:val="left"/>
        <w:rPr>
          <w:i/>
          <w:iCs/>
          <w:szCs w:val="24"/>
        </w:rPr>
      </w:pPr>
      <w:r w:rsidRPr="00F033E3">
        <w:rPr>
          <w:i/>
          <w:iCs/>
          <w:szCs w:val="24"/>
        </w:rPr>
        <w:t>15.1. Las empresas de servicios públicos.</w:t>
      </w:r>
    </w:p>
    <w:p w14:paraId="2C62D669" w14:textId="77777777" w:rsidR="00075861" w:rsidRPr="00F033E3" w:rsidRDefault="00075861" w:rsidP="00A55A31">
      <w:pPr>
        <w:spacing w:line="360" w:lineRule="auto"/>
        <w:ind w:left="567" w:right="618"/>
        <w:jc w:val="left"/>
        <w:rPr>
          <w:i/>
          <w:iCs/>
          <w:szCs w:val="24"/>
        </w:rPr>
      </w:pPr>
    </w:p>
    <w:p w14:paraId="66C84213" w14:textId="77777777" w:rsidR="00075861" w:rsidRPr="00F033E3" w:rsidRDefault="00075861" w:rsidP="00A55A31">
      <w:pPr>
        <w:spacing w:line="360" w:lineRule="auto"/>
        <w:ind w:left="567" w:right="618"/>
        <w:jc w:val="left"/>
        <w:rPr>
          <w:i/>
          <w:iCs/>
          <w:szCs w:val="24"/>
        </w:rPr>
      </w:pPr>
      <w:r w:rsidRPr="00F033E3">
        <w:rPr>
          <w:i/>
          <w:iCs/>
          <w:szCs w:val="24"/>
        </w:rPr>
        <w:t>15.2. Las personas naturales o jurídicas que produzcan para ellas mismas, o como consecuencia o complemento de su actividad principal, los bienes y servicios propios del objeto de las empresas de servicios públicos.</w:t>
      </w:r>
    </w:p>
    <w:p w14:paraId="2B9BBB21" w14:textId="77777777" w:rsidR="00075861" w:rsidRPr="00F033E3" w:rsidRDefault="00075861" w:rsidP="00A55A31">
      <w:pPr>
        <w:spacing w:line="360" w:lineRule="auto"/>
        <w:ind w:left="567" w:right="618"/>
        <w:jc w:val="left"/>
        <w:rPr>
          <w:i/>
          <w:iCs/>
          <w:szCs w:val="24"/>
        </w:rPr>
      </w:pPr>
    </w:p>
    <w:p w14:paraId="1066ADDE" w14:textId="77777777" w:rsidR="00075861" w:rsidRPr="00F033E3" w:rsidRDefault="00075861" w:rsidP="00A55A31">
      <w:pPr>
        <w:spacing w:line="360" w:lineRule="auto"/>
        <w:ind w:left="567" w:right="618"/>
        <w:jc w:val="left"/>
        <w:rPr>
          <w:i/>
          <w:iCs/>
          <w:szCs w:val="24"/>
        </w:rPr>
      </w:pPr>
      <w:r w:rsidRPr="00F033E3">
        <w:rPr>
          <w:i/>
          <w:iCs/>
          <w:szCs w:val="24"/>
        </w:rPr>
        <w:t>15.3. Los municipios cuando asuman en forma directa, a través de su administración central, la prestación de los servicios públicos, conforme a lo dispuesto en esta Ley.</w:t>
      </w:r>
    </w:p>
    <w:p w14:paraId="4E28DF0F" w14:textId="77777777" w:rsidR="00075861" w:rsidRPr="00F033E3" w:rsidRDefault="00075861" w:rsidP="00A55A31">
      <w:pPr>
        <w:spacing w:line="360" w:lineRule="auto"/>
        <w:ind w:left="567" w:right="618"/>
        <w:jc w:val="left"/>
        <w:rPr>
          <w:i/>
          <w:iCs/>
          <w:szCs w:val="24"/>
        </w:rPr>
      </w:pPr>
    </w:p>
    <w:p w14:paraId="1102323F" w14:textId="77777777" w:rsidR="00075861" w:rsidRPr="00F033E3" w:rsidRDefault="00075861" w:rsidP="00A55A31">
      <w:pPr>
        <w:spacing w:line="360" w:lineRule="auto"/>
        <w:ind w:left="567" w:right="618"/>
        <w:jc w:val="left"/>
        <w:rPr>
          <w:i/>
          <w:iCs/>
          <w:szCs w:val="24"/>
        </w:rPr>
      </w:pPr>
      <w:r w:rsidRPr="00F033E3">
        <w:rPr>
          <w:i/>
          <w:iCs/>
          <w:szCs w:val="24"/>
        </w:rPr>
        <w:t>15.4. Las organizaciones autorizadas conforme a esta Ley para prestar servicios públicos en municipios menores en zonas rurales y en áreas o zonas urbanas específicas.</w:t>
      </w:r>
    </w:p>
    <w:p w14:paraId="1C4E4EAA" w14:textId="77777777" w:rsidR="00075861" w:rsidRPr="00F033E3" w:rsidRDefault="00075861" w:rsidP="00A55A31">
      <w:pPr>
        <w:spacing w:line="360" w:lineRule="auto"/>
        <w:ind w:left="567" w:right="618"/>
        <w:jc w:val="left"/>
        <w:rPr>
          <w:i/>
          <w:iCs/>
          <w:szCs w:val="24"/>
        </w:rPr>
      </w:pPr>
    </w:p>
    <w:p w14:paraId="032C96F2" w14:textId="77777777" w:rsidR="00075861" w:rsidRPr="00F033E3" w:rsidRDefault="00075861" w:rsidP="00A55A31">
      <w:pPr>
        <w:spacing w:line="360" w:lineRule="auto"/>
        <w:ind w:left="567" w:right="618"/>
        <w:jc w:val="left"/>
        <w:rPr>
          <w:i/>
          <w:iCs/>
          <w:szCs w:val="24"/>
        </w:rPr>
      </w:pPr>
      <w:r w:rsidRPr="00F033E3">
        <w:rPr>
          <w:i/>
          <w:iCs/>
          <w:szCs w:val="24"/>
        </w:rPr>
        <w:t>15.5. Las entidades autorizadas para prestar servicios públicos durante los períodos de transición previstos en esta Ley.</w:t>
      </w:r>
    </w:p>
    <w:p w14:paraId="60A76474" w14:textId="77777777" w:rsidR="00075861" w:rsidRPr="00F033E3" w:rsidRDefault="00075861" w:rsidP="00A55A31">
      <w:pPr>
        <w:spacing w:line="360" w:lineRule="auto"/>
        <w:ind w:left="567" w:right="618"/>
        <w:jc w:val="left"/>
        <w:rPr>
          <w:i/>
          <w:iCs/>
          <w:szCs w:val="24"/>
        </w:rPr>
      </w:pPr>
    </w:p>
    <w:p w14:paraId="10C5AC3C" w14:textId="77777777" w:rsidR="00075861" w:rsidRPr="00F033E3" w:rsidRDefault="00075861" w:rsidP="00A55A31">
      <w:pPr>
        <w:spacing w:line="360" w:lineRule="auto"/>
        <w:ind w:left="567" w:right="618"/>
        <w:jc w:val="left"/>
        <w:rPr>
          <w:i/>
          <w:iCs/>
          <w:szCs w:val="24"/>
        </w:rPr>
      </w:pPr>
      <w:r w:rsidRPr="00F033E3">
        <w:rPr>
          <w:i/>
          <w:iCs/>
          <w:szCs w:val="24"/>
        </w:rPr>
        <w:t>15.6. Las entidades descentralizadas de cualquier orden territorial o nacional que al momento de expedirse esta Ley estén prestando cualquiera de los servicios públicos y se ajusten a lo establecido en el parágrafo del artículo 17”.</w:t>
      </w:r>
    </w:p>
    <w:p w14:paraId="0A6D281B" w14:textId="77777777" w:rsidR="00075861" w:rsidRDefault="00075861" w:rsidP="00A55A31">
      <w:pPr>
        <w:spacing w:line="360" w:lineRule="auto"/>
        <w:jc w:val="left"/>
        <w:rPr>
          <w:szCs w:val="24"/>
        </w:rPr>
      </w:pPr>
    </w:p>
    <w:p w14:paraId="7A939249" w14:textId="04DB2313" w:rsidR="001D076A" w:rsidRDefault="001D076A" w:rsidP="00A55A31">
      <w:pPr>
        <w:spacing w:line="360" w:lineRule="auto"/>
        <w:jc w:val="left"/>
        <w:rPr>
          <w:szCs w:val="24"/>
        </w:rPr>
      </w:pPr>
      <w:r w:rsidRPr="00F033E3">
        <w:rPr>
          <w:szCs w:val="24"/>
        </w:rPr>
        <w:lastRenderedPageBreak/>
        <w:t>Como resultado del análisis de los comentarios</w:t>
      </w:r>
      <w:r>
        <w:rPr>
          <w:szCs w:val="24"/>
        </w:rPr>
        <w:t xml:space="preserve"> recibidos frente al Proyecto de Resolución 701-028 de 2022</w:t>
      </w:r>
      <w:r w:rsidRPr="00F033E3">
        <w:rPr>
          <w:szCs w:val="24"/>
        </w:rPr>
        <w:t xml:space="preserve"> y</w:t>
      </w:r>
      <w:r>
        <w:rPr>
          <w:szCs w:val="24"/>
        </w:rPr>
        <w:t xml:space="preserve"> con</w:t>
      </w:r>
      <w:r w:rsidRPr="00F033E3">
        <w:rPr>
          <w:szCs w:val="24"/>
        </w:rPr>
        <w:t xml:space="preserve"> consideraciones adicionales de la CREG, se presentó una nueva propuesta para la creación de nuevas actividades de la cadena de prestación del servicio de energía. </w:t>
      </w:r>
    </w:p>
    <w:p w14:paraId="74E76C7A" w14:textId="77777777" w:rsidR="001D076A" w:rsidRPr="00F033E3" w:rsidRDefault="001D076A" w:rsidP="00A55A31">
      <w:pPr>
        <w:spacing w:line="360" w:lineRule="auto"/>
        <w:jc w:val="left"/>
        <w:rPr>
          <w:szCs w:val="24"/>
        </w:rPr>
      </w:pPr>
    </w:p>
    <w:p w14:paraId="393B77BC" w14:textId="745B055D" w:rsidR="00075861" w:rsidRPr="00F033E3" w:rsidRDefault="00075861" w:rsidP="00A55A31">
      <w:pPr>
        <w:pStyle w:val="Ttulo1"/>
        <w:numPr>
          <w:ilvl w:val="0"/>
          <w:numId w:val="1"/>
        </w:numPr>
        <w:spacing w:after="0" w:line="360" w:lineRule="auto"/>
        <w:jc w:val="left"/>
        <w:rPr>
          <w:szCs w:val="24"/>
        </w:rPr>
      </w:pPr>
      <w:bookmarkStart w:id="7" w:name="_Toc169098470"/>
      <w:r w:rsidRPr="00F033E3">
        <w:rPr>
          <w:szCs w:val="24"/>
        </w:rPr>
        <w:t>PROPUESTA REGULATORIA</w:t>
      </w:r>
      <w:r w:rsidR="00E9587D">
        <w:rPr>
          <w:szCs w:val="24"/>
        </w:rPr>
        <w:t xml:space="preserve"> </w:t>
      </w:r>
      <w:r w:rsidR="00E9587D" w:rsidRPr="00F033E3">
        <w:rPr>
          <w:szCs w:val="24"/>
        </w:rPr>
        <w:t>701 022 de 2023</w:t>
      </w:r>
      <w:bookmarkEnd w:id="7"/>
    </w:p>
    <w:p w14:paraId="396D3705" w14:textId="77777777" w:rsidR="00075861" w:rsidRPr="00F033E3" w:rsidRDefault="00075861" w:rsidP="00A55A31">
      <w:pPr>
        <w:spacing w:line="360" w:lineRule="auto"/>
        <w:jc w:val="left"/>
        <w:rPr>
          <w:szCs w:val="24"/>
          <w:highlight w:val="yellow"/>
        </w:rPr>
      </w:pPr>
    </w:p>
    <w:p w14:paraId="36AEB11E" w14:textId="4E3C3E92" w:rsidR="00075861" w:rsidRDefault="00075861" w:rsidP="00A55A31">
      <w:pPr>
        <w:spacing w:line="360" w:lineRule="auto"/>
        <w:jc w:val="left"/>
        <w:rPr>
          <w:szCs w:val="24"/>
        </w:rPr>
      </w:pPr>
      <w:r w:rsidRPr="00F033E3">
        <w:rPr>
          <w:szCs w:val="24"/>
        </w:rPr>
        <w:t>Las nuevas actividades se definieron en función de los roles establecidos en la Resolución CREG 114 de 2018 siempre que estos se orienten al desarrollo de un mecanismo de comercialización en el cual se negocien contratos de compra de energía de largo plazo que se registren y liquiden en el MEM por parte del Administrador del Sistema de Intercambios Comerciales - ASIC.</w:t>
      </w:r>
    </w:p>
    <w:p w14:paraId="6CBD5AE1" w14:textId="77777777" w:rsidR="008D7F78" w:rsidRPr="00F033E3" w:rsidRDefault="008D7F78" w:rsidP="00A55A31">
      <w:pPr>
        <w:spacing w:line="360" w:lineRule="auto"/>
        <w:jc w:val="left"/>
        <w:rPr>
          <w:szCs w:val="24"/>
        </w:rPr>
      </w:pPr>
    </w:p>
    <w:p w14:paraId="66CD8DE9" w14:textId="14BB6BE2" w:rsidR="00075861" w:rsidRDefault="00075861" w:rsidP="00A55A31">
      <w:pPr>
        <w:spacing w:line="360" w:lineRule="auto"/>
        <w:jc w:val="left"/>
        <w:rPr>
          <w:szCs w:val="24"/>
        </w:rPr>
      </w:pPr>
      <w:r w:rsidRPr="00F033E3">
        <w:rPr>
          <w:szCs w:val="24"/>
        </w:rPr>
        <w:t>En consecuencia, quienes administren, ejecuten o administren el riesgo de mecanismos de mercados cuyo objeto sea la celebración de contratos de compra de energía propios del intercambio comercial que hace parte del mercado mayorista de energía,</w:t>
      </w:r>
      <w:r w:rsidR="008D7F78">
        <w:rPr>
          <w:szCs w:val="24"/>
        </w:rPr>
        <w:t xml:space="preserve"> directamente</w:t>
      </w:r>
      <w:r w:rsidRPr="00F033E3">
        <w:rPr>
          <w:szCs w:val="24"/>
        </w:rPr>
        <w:t xml:space="preserve"> </w:t>
      </w:r>
      <w:bookmarkStart w:id="8" w:name="_Hlk169098051"/>
      <w:r w:rsidRPr="00F033E3">
        <w:rPr>
          <w:szCs w:val="24"/>
        </w:rPr>
        <w:t>asociados</w:t>
      </w:r>
      <w:r w:rsidR="008D7F78">
        <w:rPr>
          <w:szCs w:val="24"/>
        </w:rPr>
        <w:t>,</w:t>
      </w:r>
      <w:r w:rsidRPr="00F033E3">
        <w:rPr>
          <w:szCs w:val="24"/>
        </w:rPr>
        <w:t xml:space="preserve"> por lo tanto</w:t>
      </w:r>
      <w:r w:rsidR="008D7F78">
        <w:rPr>
          <w:szCs w:val="24"/>
        </w:rPr>
        <w:t>,</w:t>
      </w:r>
      <w:r w:rsidRPr="00F033E3">
        <w:rPr>
          <w:szCs w:val="24"/>
        </w:rPr>
        <w:t xml:space="preserve"> a la cadena prestación del servicio a usuarios finales, </w:t>
      </w:r>
      <w:bookmarkEnd w:id="8"/>
      <w:r w:rsidRPr="00F033E3">
        <w:rPr>
          <w:szCs w:val="24"/>
        </w:rPr>
        <w:t xml:space="preserve">deberán constituirse en alguna de las figuras previstas en el artículo 15 de la Ley 142 de 1994, se regirán por lo dispuesto en la regulación y estarán sujetos al control y vigilancia de la Superintendencia de Servicios Públicos Domiciliarios. </w:t>
      </w:r>
    </w:p>
    <w:p w14:paraId="46FCC54E" w14:textId="77777777" w:rsidR="008D7F78" w:rsidRPr="00F033E3" w:rsidRDefault="008D7F78" w:rsidP="00A55A31">
      <w:pPr>
        <w:spacing w:line="360" w:lineRule="auto"/>
        <w:jc w:val="left"/>
        <w:rPr>
          <w:szCs w:val="24"/>
        </w:rPr>
      </w:pPr>
    </w:p>
    <w:p w14:paraId="489D1C59" w14:textId="71252245" w:rsidR="00075861" w:rsidRPr="00F033E3" w:rsidRDefault="00075861" w:rsidP="00A55A31">
      <w:pPr>
        <w:pStyle w:val="Ttulo1"/>
        <w:numPr>
          <w:ilvl w:val="0"/>
          <w:numId w:val="1"/>
        </w:numPr>
        <w:spacing w:after="0" w:line="360" w:lineRule="auto"/>
        <w:jc w:val="left"/>
        <w:rPr>
          <w:szCs w:val="24"/>
        </w:rPr>
      </w:pPr>
      <w:bookmarkStart w:id="9" w:name="_Toc169098471"/>
      <w:r w:rsidRPr="00F033E3">
        <w:rPr>
          <w:szCs w:val="24"/>
        </w:rPr>
        <w:t>COMENTARIOS PROPUESTA REGULATORIA 701 022 de 2023</w:t>
      </w:r>
      <w:bookmarkEnd w:id="9"/>
    </w:p>
    <w:p w14:paraId="76C9FE74" w14:textId="77777777" w:rsidR="00075861" w:rsidRPr="00F033E3" w:rsidRDefault="00075861" w:rsidP="00A55A31">
      <w:pPr>
        <w:spacing w:line="360" w:lineRule="auto"/>
        <w:jc w:val="left"/>
        <w:rPr>
          <w:szCs w:val="24"/>
        </w:rPr>
      </w:pPr>
    </w:p>
    <w:p w14:paraId="3E33AE0A" w14:textId="4CD4EF62" w:rsidR="00075861" w:rsidRPr="00F033E3" w:rsidRDefault="00C87B42" w:rsidP="00A55A31">
      <w:pPr>
        <w:spacing w:line="360" w:lineRule="auto"/>
        <w:jc w:val="left"/>
        <w:rPr>
          <w:szCs w:val="24"/>
        </w:rPr>
      </w:pPr>
      <w:r>
        <w:rPr>
          <w:szCs w:val="24"/>
        </w:rPr>
        <w:t xml:space="preserve">En el Anexo 1 del presente documento se presenta la matriz detallada de comentarios recibidos y las correspondientes respuestas por parte de esta Comisión. </w:t>
      </w:r>
      <w:r w:rsidR="00A551E7" w:rsidRPr="00F033E3">
        <w:rPr>
          <w:szCs w:val="24"/>
        </w:rPr>
        <w:t>De acuerdo con l</w:t>
      </w:r>
      <w:r>
        <w:rPr>
          <w:szCs w:val="24"/>
        </w:rPr>
        <w:t>as inquietudes y observaciones presentadas por el público</w:t>
      </w:r>
      <w:r w:rsidR="00A551E7" w:rsidRPr="00F033E3">
        <w:rPr>
          <w:szCs w:val="24"/>
        </w:rPr>
        <w:t xml:space="preserve">, </w:t>
      </w:r>
      <w:r>
        <w:rPr>
          <w:szCs w:val="24"/>
        </w:rPr>
        <w:t>se</w:t>
      </w:r>
      <w:r w:rsidR="00A551E7" w:rsidRPr="00F033E3">
        <w:rPr>
          <w:szCs w:val="24"/>
        </w:rPr>
        <w:t xml:space="preserve"> encuentra pertinente presentar las siguientes aclaraciones</w:t>
      </w:r>
      <w:r>
        <w:rPr>
          <w:szCs w:val="24"/>
        </w:rPr>
        <w:t xml:space="preserve"> generales</w:t>
      </w:r>
      <w:r w:rsidR="00A551E7" w:rsidRPr="00F033E3">
        <w:rPr>
          <w:szCs w:val="24"/>
        </w:rPr>
        <w:t xml:space="preserve"> </w:t>
      </w:r>
      <w:r>
        <w:rPr>
          <w:szCs w:val="24"/>
        </w:rPr>
        <w:t>sobre</w:t>
      </w:r>
      <w:r w:rsidR="00A551E7" w:rsidRPr="00F033E3">
        <w:rPr>
          <w:szCs w:val="24"/>
        </w:rPr>
        <w:t xml:space="preserve"> </w:t>
      </w:r>
      <w:r>
        <w:rPr>
          <w:szCs w:val="24"/>
        </w:rPr>
        <w:t>e</w:t>
      </w:r>
      <w:r w:rsidR="00A551E7" w:rsidRPr="00F033E3">
        <w:rPr>
          <w:szCs w:val="24"/>
        </w:rPr>
        <w:t xml:space="preserve">l proyecto </w:t>
      </w:r>
      <w:r>
        <w:rPr>
          <w:szCs w:val="24"/>
        </w:rPr>
        <w:t>regulatorio</w:t>
      </w:r>
      <w:r w:rsidR="00A551E7" w:rsidRPr="00F033E3">
        <w:rPr>
          <w:szCs w:val="24"/>
        </w:rPr>
        <w:t>.</w:t>
      </w:r>
    </w:p>
    <w:p w14:paraId="5D100296" w14:textId="77777777" w:rsidR="00A551E7" w:rsidRPr="00F033E3" w:rsidRDefault="00A551E7" w:rsidP="00A55A31">
      <w:pPr>
        <w:spacing w:line="360" w:lineRule="auto"/>
        <w:jc w:val="left"/>
        <w:rPr>
          <w:szCs w:val="24"/>
        </w:rPr>
      </w:pPr>
    </w:p>
    <w:p w14:paraId="1710BD71" w14:textId="5AC0792C" w:rsidR="00A551E7" w:rsidRPr="00A55A31" w:rsidRDefault="007D5A12" w:rsidP="00A55A31">
      <w:pPr>
        <w:pStyle w:val="Ttulo2"/>
      </w:pPr>
      <w:bookmarkStart w:id="10" w:name="_Toc169098472"/>
      <w:r>
        <w:lastRenderedPageBreak/>
        <w:t>R</w:t>
      </w:r>
      <w:r w:rsidR="00A551E7" w:rsidRPr="00A55A31">
        <w:t>eglas de integración vertical y conflictos de intereses aplicables a estas actividades</w:t>
      </w:r>
      <w:bookmarkEnd w:id="10"/>
    </w:p>
    <w:p w14:paraId="5E2A048F" w14:textId="77777777" w:rsidR="005F29E7" w:rsidRPr="00F033E3" w:rsidRDefault="005F29E7" w:rsidP="00A55A31">
      <w:pPr>
        <w:spacing w:line="360" w:lineRule="auto"/>
        <w:jc w:val="left"/>
        <w:rPr>
          <w:szCs w:val="24"/>
        </w:rPr>
      </w:pPr>
    </w:p>
    <w:p w14:paraId="2B130C79" w14:textId="2D24219B" w:rsidR="00A551E7" w:rsidRPr="00F033E3" w:rsidRDefault="00A551E7" w:rsidP="00A55A31">
      <w:pPr>
        <w:spacing w:line="360" w:lineRule="auto"/>
        <w:jc w:val="left"/>
        <w:rPr>
          <w:szCs w:val="24"/>
        </w:rPr>
      </w:pPr>
      <w:r w:rsidRPr="00F033E3">
        <w:rPr>
          <w:szCs w:val="24"/>
        </w:rPr>
        <w:t>En el artículo 4 del proyecto regulatorio se señala que estas actividades están sujetas a las disposiciones contenidas en la Resolución CREG 114 de 2018 o aquella que la modifique o sustituya. En particular, se resaltan los criterios de independencia establecidos en el numeral 2 del Anexo 3 de dicho acto administrativo:</w:t>
      </w:r>
    </w:p>
    <w:p w14:paraId="79FFD5CE" w14:textId="77777777" w:rsidR="00A551E7" w:rsidRPr="00F033E3" w:rsidRDefault="00A551E7" w:rsidP="00A55A31">
      <w:pPr>
        <w:spacing w:line="360" w:lineRule="auto"/>
        <w:jc w:val="left"/>
        <w:rPr>
          <w:szCs w:val="24"/>
        </w:rPr>
      </w:pPr>
    </w:p>
    <w:p w14:paraId="2474CDB5" w14:textId="7A3E343A" w:rsidR="00A551E7" w:rsidRPr="00F033E3" w:rsidRDefault="00A551E7" w:rsidP="00A55A31">
      <w:pPr>
        <w:spacing w:line="360" w:lineRule="auto"/>
        <w:ind w:left="567" w:right="617"/>
        <w:jc w:val="left"/>
        <w:rPr>
          <w:i/>
          <w:iCs/>
          <w:szCs w:val="24"/>
        </w:rPr>
      </w:pPr>
      <w:r w:rsidRPr="00F033E3">
        <w:rPr>
          <w:i/>
          <w:iCs/>
          <w:szCs w:val="24"/>
        </w:rPr>
        <w:t>“</w:t>
      </w:r>
      <w:r w:rsidRPr="00F033E3">
        <w:rPr>
          <w:b/>
          <w:bCs/>
          <w:i/>
          <w:iCs/>
          <w:szCs w:val="24"/>
        </w:rPr>
        <w:t xml:space="preserve">1. Declaraciones de situaciones de control y conflictos de interés. </w:t>
      </w:r>
      <w:r w:rsidRPr="00F033E3">
        <w:rPr>
          <w:i/>
          <w:iCs/>
          <w:szCs w:val="24"/>
        </w:rPr>
        <w:t>Quienes compongan el Promotor, independiente del rol que tengan, deberán presentar respectivas declaraciones escritas, dirigidas a la CREG, en las que identifiquen si se encuentran en situación de control, en los términos definidos en los artículos 261 y 262 del Código de Comercio y el numeral 4 del artículo 45 del Decreto 2153 de 1992, con participantes del mercado de energía eléctrica o conflictos de interés, en cuyo caso se deberá establecer en un documento cómo se administran dichas situaciones de control y conflictos de interés.</w:t>
      </w:r>
    </w:p>
    <w:p w14:paraId="30045BD1" w14:textId="77777777" w:rsidR="00A551E7" w:rsidRPr="00F033E3" w:rsidRDefault="00A551E7" w:rsidP="00A55A31">
      <w:pPr>
        <w:spacing w:line="360" w:lineRule="auto"/>
        <w:ind w:left="567" w:right="617"/>
        <w:jc w:val="left"/>
        <w:rPr>
          <w:i/>
          <w:iCs/>
          <w:szCs w:val="24"/>
        </w:rPr>
      </w:pPr>
    </w:p>
    <w:p w14:paraId="32432A35" w14:textId="77777777" w:rsidR="00A551E7" w:rsidRPr="00F033E3" w:rsidRDefault="00A551E7" w:rsidP="00A55A31">
      <w:pPr>
        <w:spacing w:line="360" w:lineRule="auto"/>
        <w:ind w:left="567" w:right="617"/>
        <w:jc w:val="left"/>
        <w:rPr>
          <w:i/>
          <w:iCs/>
          <w:szCs w:val="24"/>
        </w:rPr>
      </w:pPr>
      <w:r w:rsidRPr="00F033E3">
        <w:rPr>
          <w:i/>
          <w:iCs/>
          <w:szCs w:val="24"/>
        </w:rPr>
        <w:t>La situación de control debe ser declarada tanto en los casos donde se tiene el rol de controlante como en los casos donde se tiene el rol de controlado.</w:t>
      </w:r>
    </w:p>
    <w:p w14:paraId="55B6FF74" w14:textId="77777777" w:rsidR="00A551E7" w:rsidRPr="00F033E3" w:rsidRDefault="00A551E7" w:rsidP="00A55A31">
      <w:pPr>
        <w:spacing w:line="360" w:lineRule="auto"/>
        <w:ind w:left="567" w:right="617"/>
        <w:jc w:val="left"/>
        <w:rPr>
          <w:i/>
          <w:iCs/>
          <w:szCs w:val="24"/>
        </w:rPr>
      </w:pPr>
    </w:p>
    <w:p w14:paraId="6872FAED" w14:textId="77777777" w:rsidR="00A551E7" w:rsidRPr="00F033E3" w:rsidRDefault="00A551E7" w:rsidP="00A55A31">
      <w:pPr>
        <w:spacing w:line="360" w:lineRule="auto"/>
        <w:ind w:left="567" w:right="617"/>
        <w:jc w:val="left"/>
        <w:rPr>
          <w:i/>
          <w:iCs/>
          <w:szCs w:val="24"/>
        </w:rPr>
      </w:pPr>
      <w:r w:rsidRPr="00F033E3">
        <w:rPr>
          <w:i/>
          <w:iCs/>
          <w:szCs w:val="24"/>
        </w:rPr>
        <w:t>El Promotor, independientemente del rol que desempeñe, que sea conformado por diferentes sociedades debe presentar dichas declaraciones de manera individual por todas las personas que conformen la estructura plural.</w:t>
      </w:r>
    </w:p>
    <w:p w14:paraId="1E11449F" w14:textId="77777777" w:rsidR="00A551E7" w:rsidRPr="00F033E3" w:rsidRDefault="00A551E7" w:rsidP="00A55A31">
      <w:pPr>
        <w:spacing w:line="360" w:lineRule="auto"/>
        <w:ind w:left="567" w:right="617"/>
        <w:jc w:val="left"/>
        <w:rPr>
          <w:i/>
          <w:iCs/>
          <w:szCs w:val="24"/>
        </w:rPr>
      </w:pPr>
    </w:p>
    <w:p w14:paraId="1782382B" w14:textId="77777777" w:rsidR="00A551E7" w:rsidRPr="00F033E3" w:rsidRDefault="00A551E7" w:rsidP="00A55A31">
      <w:pPr>
        <w:spacing w:line="360" w:lineRule="auto"/>
        <w:ind w:left="567" w:right="617"/>
        <w:jc w:val="left"/>
        <w:rPr>
          <w:i/>
          <w:iCs/>
          <w:szCs w:val="24"/>
        </w:rPr>
      </w:pPr>
      <w:r w:rsidRPr="00F033E3">
        <w:rPr>
          <w:i/>
          <w:iCs/>
          <w:szCs w:val="24"/>
        </w:rPr>
        <w:t xml:space="preserve">Por conflicto de interés se entiende la existencia de situaciones que puedan o resulten obstaculizando o imposibilitando su independencia e imparcialidad en la realización de esta gestión o con respecto de los participantes del </w:t>
      </w:r>
      <w:r w:rsidRPr="00F033E3">
        <w:rPr>
          <w:i/>
          <w:iCs/>
          <w:szCs w:val="24"/>
        </w:rPr>
        <w:lastRenderedPageBreak/>
        <w:t>mercado de energía mayorista que tengan participación directa o indirecta en el Promotor.</w:t>
      </w:r>
    </w:p>
    <w:p w14:paraId="79B18A22" w14:textId="77777777" w:rsidR="00A551E7" w:rsidRPr="00F033E3" w:rsidRDefault="00A551E7" w:rsidP="00A55A31">
      <w:pPr>
        <w:spacing w:line="360" w:lineRule="auto"/>
        <w:ind w:left="567" w:right="617"/>
        <w:jc w:val="left"/>
        <w:rPr>
          <w:i/>
          <w:iCs/>
          <w:szCs w:val="24"/>
        </w:rPr>
      </w:pPr>
    </w:p>
    <w:p w14:paraId="2B0D2341" w14:textId="77777777" w:rsidR="00A551E7" w:rsidRPr="00F033E3" w:rsidRDefault="00A551E7" w:rsidP="00A55A31">
      <w:pPr>
        <w:spacing w:line="360" w:lineRule="auto"/>
        <w:ind w:left="567" w:right="617"/>
        <w:jc w:val="left"/>
        <w:rPr>
          <w:i/>
          <w:iCs/>
          <w:szCs w:val="24"/>
        </w:rPr>
      </w:pPr>
      <w:r w:rsidRPr="00F033E3">
        <w:rPr>
          <w:i/>
          <w:iCs/>
          <w:szCs w:val="24"/>
        </w:rPr>
        <w:t>La CREG determinará si la situación de control o el conflicto de interés inhibe al Promotor o a alguno de sus integrantes para poder llevar a cabo el diseño, la ejecución y administración del mecanismo propuesto.</w:t>
      </w:r>
    </w:p>
    <w:p w14:paraId="320E337B" w14:textId="77777777" w:rsidR="00A551E7" w:rsidRPr="00F033E3" w:rsidRDefault="00A551E7" w:rsidP="00A55A31">
      <w:pPr>
        <w:spacing w:line="360" w:lineRule="auto"/>
        <w:ind w:left="567" w:right="617"/>
        <w:jc w:val="left"/>
        <w:rPr>
          <w:i/>
          <w:iCs/>
          <w:szCs w:val="24"/>
        </w:rPr>
      </w:pPr>
    </w:p>
    <w:p w14:paraId="65D9B85E" w14:textId="77777777" w:rsidR="00A551E7" w:rsidRPr="00F033E3" w:rsidRDefault="00A551E7" w:rsidP="00A55A31">
      <w:pPr>
        <w:spacing w:line="360" w:lineRule="auto"/>
        <w:ind w:left="567" w:right="617"/>
        <w:jc w:val="left"/>
        <w:rPr>
          <w:i/>
          <w:iCs/>
          <w:szCs w:val="24"/>
        </w:rPr>
      </w:pPr>
      <w:r w:rsidRPr="00F033E3">
        <w:rPr>
          <w:b/>
          <w:bCs/>
          <w:i/>
          <w:iCs/>
          <w:szCs w:val="24"/>
        </w:rPr>
        <w:t>2. Restricciones de participación.</w:t>
      </w:r>
      <w:r w:rsidRPr="00F033E3">
        <w:rPr>
          <w:i/>
          <w:iCs/>
          <w:szCs w:val="24"/>
        </w:rPr>
        <w:t xml:space="preserve"> En todo caso, para los roles de administrador, ejecutor o administrador de riesgo se deben cumplir las siguientes condiciones:</w:t>
      </w:r>
    </w:p>
    <w:p w14:paraId="6C82E150" w14:textId="77777777" w:rsidR="00A551E7" w:rsidRPr="00F033E3" w:rsidRDefault="00A551E7" w:rsidP="00A55A31">
      <w:pPr>
        <w:spacing w:line="360" w:lineRule="auto"/>
        <w:ind w:left="567" w:right="617"/>
        <w:jc w:val="left"/>
        <w:rPr>
          <w:i/>
          <w:iCs/>
          <w:szCs w:val="24"/>
        </w:rPr>
      </w:pPr>
    </w:p>
    <w:p w14:paraId="740A9ADE" w14:textId="77777777" w:rsidR="00A551E7" w:rsidRPr="00F033E3" w:rsidRDefault="00A551E7" w:rsidP="00A55A31">
      <w:pPr>
        <w:spacing w:line="360" w:lineRule="auto"/>
        <w:ind w:left="567" w:right="617"/>
        <w:jc w:val="left"/>
        <w:rPr>
          <w:i/>
          <w:iCs/>
          <w:szCs w:val="24"/>
        </w:rPr>
      </w:pPr>
      <w:r w:rsidRPr="00F033E3">
        <w:rPr>
          <w:i/>
          <w:iCs/>
          <w:szCs w:val="24"/>
        </w:rPr>
        <w:t>a) Ningún participante del mercado de energía mayorista podrá tener una participación directa o indirecta en el capital o en la propiedad del administrador, o del ejecutor o del administrador de riesgo que exceda el 5%.</w:t>
      </w:r>
    </w:p>
    <w:p w14:paraId="55E42A90" w14:textId="77777777" w:rsidR="00A551E7" w:rsidRPr="00F033E3" w:rsidRDefault="00A551E7" w:rsidP="00A55A31">
      <w:pPr>
        <w:spacing w:line="360" w:lineRule="auto"/>
        <w:ind w:left="567" w:right="617"/>
        <w:jc w:val="left"/>
        <w:rPr>
          <w:i/>
          <w:iCs/>
          <w:szCs w:val="24"/>
        </w:rPr>
      </w:pPr>
    </w:p>
    <w:p w14:paraId="2D41B027" w14:textId="77777777" w:rsidR="00A551E7" w:rsidRPr="00F033E3" w:rsidRDefault="00A551E7" w:rsidP="00A55A31">
      <w:pPr>
        <w:spacing w:line="360" w:lineRule="auto"/>
        <w:ind w:left="567" w:right="617"/>
        <w:jc w:val="left"/>
        <w:rPr>
          <w:i/>
          <w:iCs/>
          <w:szCs w:val="24"/>
        </w:rPr>
      </w:pPr>
      <w:r w:rsidRPr="00F033E3">
        <w:rPr>
          <w:i/>
          <w:iCs/>
          <w:szCs w:val="24"/>
        </w:rPr>
        <w:t>b) El administrador del mecanismo, el ejecutor o el administrador de riesgo no pueden tener participación directa o indirecta en el capital o en la propiedad de alguno de los participantes del mercado de energía mayorista.</w:t>
      </w:r>
    </w:p>
    <w:p w14:paraId="4C0F99D7" w14:textId="77777777" w:rsidR="00A551E7" w:rsidRPr="00F033E3" w:rsidRDefault="00A551E7" w:rsidP="00A55A31">
      <w:pPr>
        <w:spacing w:line="360" w:lineRule="auto"/>
        <w:ind w:left="567" w:right="617"/>
        <w:jc w:val="left"/>
        <w:rPr>
          <w:i/>
          <w:iCs/>
          <w:szCs w:val="24"/>
        </w:rPr>
      </w:pPr>
    </w:p>
    <w:p w14:paraId="0D8DA680" w14:textId="77777777" w:rsidR="00A551E7" w:rsidRPr="00F033E3" w:rsidRDefault="00A551E7" w:rsidP="00A55A31">
      <w:pPr>
        <w:spacing w:line="360" w:lineRule="auto"/>
        <w:ind w:left="567" w:right="617"/>
        <w:jc w:val="left"/>
        <w:rPr>
          <w:i/>
          <w:iCs/>
          <w:szCs w:val="24"/>
        </w:rPr>
      </w:pPr>
      <w:r w:rsidRPr="00F033E3">
        <w:rPr>
          <w:i/>
          <w:iCs/>
          <w:szCs w:val="24"/>
        </w:rPr>
        <w:t>El ejecutor y el administrador del mecanismo no pueden participar como comprador ni como vendedor de forma directa o indirecta en el mecanismo para la comercialización del cual hacen parte, ni podrá ser contraparte de ninguna transacción realizada en el mecanismo del cual hace parte.</w:t>
      </w:r>
    </w:p>
    <w:p w14:paraId="0E39245D" w14:textId="77777777" w:rsidR="00A551E7" w:rsidRPr="00F033E3" w:rsidRDefault="00A551E7" w:rsidP="00A55A31">
      <w:pPr>
        <w:spacing w:line="360" w:lineRule="auto"/>
        <w:ind w:left="567" w:right="617"/>
        <w:jc w:val="left"/>
        <w:rPr>
          <w:i/>
          <w:iCs/>
          <w:szCs w:val="24"/>
        </w:rPr>
      </w:pPr>
    </w:p>
    <w:p w14:paraId="6E5B3716" w14:textId="3C5D30DE" w:rsidR="00526A0B" w:rsidRPr="00F033E3" w:rsidRDefault="00A551E7" w:rsidP="00A55A31">
      <w:pPr>
        <w:spacing w:line="360" w:lineRule="auto"/>
        <w:ind w:left="567" w:right="617"/>
        <w:jc w:val="left"/>
        <w:rPr>
          <w:i/>
          <w:iCs/>
          <w:szCs w:val="24"/>
        </w:rPr>
      </w:pPr>
      <w:r w:rsidRPr="00F033E3">
        <w:rPr>
          <w:i/>
          <w:iCs/>
          <w:szCs w:val="24"/>
        </w:rPr>
        <w:t xml:space="preserve">Sin perjuicio del cumplimiento de las disposiciones anteriores, ninguno de los participantes del mercado de energía mayorista que conformen el administrador, el ejecutor o el administrador de riesgos podrán tener pactos, acuerdos, o cualquier tipo de documento que tenga por objeto o como efecto </w:t>
      </w:r>
      <w:r w:rsidRPr="00F033E3">
        <w:rPr>
          <w:i/>
          <w:iCs/>
          <w:szCs w:val="24"/>
        </w:rPr>
        <w:lastRenderedPageBreak/>
        <w:t>la constitución de una situación de control, como controlantes o como controlados”.</w:t>
      </w:r>
    </w:p>
    <w:p w14:paraId="278B22F3" w14:textId="77777777" w:rsidR="00526A0B" w:rsidRPr="00F033E3" w:rsidRDefault="00526A0B" w:rsidP="00A55A31">
      <w:pPr>
        <w:spacing w:line="360" w:lineRule="auto"/>
        <w:jc w:val="left"/>
        <w:rPr>
          <w:szCs w:val="24"/>
        </w:rPr>
      </w:pPr>
    </w:p>
    <w:p w14:paraId="761F0994" w14:textId="78144030" w:rsidR="00A551E7" w:rsidRPr="00A55A31" w:rsidRDefault="007D5A12" w:rsidP="00A55A31">
      <w:pPr>
        <w:pStyle w:val="Ttulo2"/>
        <w:ind w:left="578" w:hanging="578"/>
      </w:pPr>
      <w:bookmarkStart w:id="11" w:name="_Toc169098473"/>
      <w:r>
        <w:t>R</w:t>
      </w:r>
      <w:r w:rsidR="00A551E7" w:rsidRPr="00A55A31">
        <w:t>emuneración de</w:t>
      </w:r>
      <w:r w:rsidR="005F29E7" w:rsidRPr="00A55A31">
        <w:t xml:space="preserve"> estas</w:t>
      </w:r>
      <w:r w:rsidR="00A551E7" w:rsidRPr="00A55A31">
        <w:t xml:space="preserve"> actividades</w:t>
      </w:r>
      <w:bookmarkEnd w:id="11"/>
    </w:p>
    <w:p w14:paraId="5E3F0187" w14:textId="77777777" w:rsidR="00075861" w:rsidRPr="00F033E3" w:rsidRDefault="00075861" w:rsidP="00A55A31">
      <w:pPr>
        <w:pStyle w:val="Prrafodelista"/>
        <w:spacing w:line="360" w:lineRule="auto"/>
        <w:ind w:left="1134"/>
        <w:jc w:val="left"/>
        <w:rPr>
          <w:b/>
          <w:bCs/>
          <w:szCs w:val="24"/>
        </w:rPr>
      </w:pPr>
    </w:p>
    <w:p w14:paraId="35C39069" w14:textId="22F188B7" w:rsidR="00A551E7" w:rsidRPr="00F033E3" w:rsidRDefault="00A551E7" w:rsidP="00A55A31">
      <w:pPr>
        <w:spacing w:line="360" w:lineRule="auto"/>
        <w:ind w:right="51"/>
        <w:jc w:val="left"/>
        <w:rPr>
          <w:rFonts w:cs="Arial"/>
          <w:szCs w:val="24"/>
        </w:rPr>
      </w:pPr>
      <w:r w:rsidRPr="00F033E3">
        <w:rPr>
          <w:rFonts w:cs="Arial"/>
          <w:szCs w:val="24"/>
        </w:rPr>
        <w:t>Se aclara que no toda actividad de la cadena debe tener una remuneración explícita en la tarifa. Esta puede ser producto de las fuerzas del mercado, cuando la Comisión no encuentra razones para intervenir en la formación del precio.</w:t>
      </w:r>
    </w:p>
    <w:p w14:paraId="36A3935B" w14:textId="77777777" w:rsidR="00A551E7" w:rsidRPr="00F033E3" w:rsidRDefault="00A551E7" w:rsidP="00A55A31">
      <w:pPr>
        <w:spacing w:line="360" w:lineRule="auto"/>
        <w:ind w:right="51"/>
        <w:jc w:val="left"/>
        <w:rPr>
          <w:rFonts w:cs="Arial"/>
          <w:szCs w:val="24"/>
        </w:rPr>
      </w:pPr>
    </w:p>
    <w:p w14:paraId="39440B6C" w14:textId="7765F76C" w:rsidR="005F29E7" w:rsidRPr="00F033E3" w:rsidRDefault="00A551E7" w:rsidP="00A55A31">
      <w:pPr>
        <w:spacing w:line="360" w:lineRule="auto"/>
        <w:ind w:right="51"/>
        <w:jc w:val="left"/>
        <w:rPr>
          <w:rFonts w:cs="Arial"/>
          <w:szCs w:val="24"/>
        </w:rPr>
      </w:pPr>
      <w:r w:rsidRPr="00F033E3">
        <w:rPr>
          <w:rFonts w:cs="Arial"/>
          <w:szCs w:val="24"/>
        </w:rPr>
        <w:t xml:space="preserve">Tal es el caso de la actividad de generación. El componente </w:t>
      </w:r>
      <w:r w:rsidR="005F29E7" w:rsidRPr="00F033E3">
        <w:rPr>
          <w:rFonts w:cs="Arial"/>
          <w:szCs w:val="24"/>
        </w:rPr>
        <w:t>“</w:t>
      </w:r>
      <w:r w:rsidRPr="00F033E3">
        <w:rPr>
          <w:rFonts w:cs="Arial"/>
          <w:szCs w:val="24"/>
        </w:rPr>
        <w:t>G</w:t>
      </w:r>
      <w:r w:rsidR="005F29E7" w:rsidRPr="00F033E3">
        <w:rPr>
          <w:rFonts w:cs="Arial"/>
          <w:szCs w:val="24"/>
        </w:rPr>
        <w:t>” de la tarifa de usuarios regulados</w:t>
      </w:r>
      <w:r w:rsidRPr="00F033E3">
        <w:rPr>
          <w:rFonts w:cs="Arial"/>
          <w:szCs w:val="24"/>
        </w:rPr>
        <w:t xml:space="preserve"> recoge los costos asociados a las compras de energía realizadas por comercializador, pero no establece una regla de remuneración directa para el generador.</w:t>
      </w:r>
    </w:p>
    <w:p w14:paraId="2CD962ED" w14:textId="77777777" w:rsidR="005F29E7" w:rsidRPr="00F033E3" w:rsidRDefault="005F29E7" w:rsidP="00A55A31">
      <w:pPr>
        <w:spacing w:line="360" w:lineRule="auto"/>
        <w:ind w:right="51"/>
        <w:jc w:val="left"/>
        <w:rPr>
          <w:rFonts w:cs="Arial"/>
          <w:szCs w:val="24"/>
        </w:rPr>
      </w:pPr>
    </w:p>
    <w:p w14:paraId="322A7E9F" w14:textId="7560A846" w:rsidR="00075861" w:rsidRPr="00F033E3" w:rsidRDefault="00A551E7" w:rsidP="00A55A31">
      <w:pPr>
        <w:spacing w:line="360" w:lineRule="auto"/>
        <w:ind w:right="51"/>
        <w:jc w:val="left"/>
        <w:rPr>
          <w:rFonts w:cs="Arial"/>
          <w:szCs w:val="24"/>
        </w:rPr>
      </w:pPr>
      <w:r w:rsidRPr="00F033E3">
        <w:rPr>
          <w:rFonts w:cs="Arial"/>
          <w:szCs w:val="24"/>
        </w:rPr>
        <w:t xml:space="preserve">De manea análoga, los costos asociados a la participación en estos mecanismos son asumidos por el comercializador y recogidos en </w:t>
      </w:r>
      <w:proofErr w:type="gramStart"/>
      <w:r w:rsidRPr="00F033E3">
        <w:rPr>
          <w:rFonts w:cs="Arial"/>
          <w:szCs w:val="24"/>
        </w:rPr>
        <w:t>la condiciones</w:t>
      </w:r>
      <w:proofErr w:type="gramEnd"/>
      <w:r w:rsidRPr="00F033E3">
        <w:rPr>
          <w:rFonts w:cs="Arial"/>
          <w:szCs w:val="24"/>
        </w:rPr>
        <w:t xml:space="preserve"> de traslado que define la Comisión para cada mecanismo que cumple los principios y condiciones establecidos en la Resolución CREG 114 de 2018. </w:t>
      </w:r>
      <w:r w:rsidR="005F29E7" w:rsidRPr="00F033E3">
        <w:rPr>
          <w:rFonts w:cs="Arial"/>
          <w:szCs w:val="24"/>
        </w:rPr>
        <w:t>Por ejemplo, l</w:t>
      </w:r>
      <w:r w:rsidRPr="00F033E3">
        <w:rPr>
          <w:rFonts w:cs="Arial"/>
          <w:szCs w:val="24"/>
        </w:rPr>
        <w:t xml:space="preserve">as condiciones de traslado de los costos de participación y compras en el mecanismo </w:t>
      </w:r>
      <w:proofErr w:type="spellStart"/>
      <w:r w:rsidRPr="00F033E3">
        <w:rPr>
          <w:rFonts w:cs="Arial"/>
          <w:szCs w:val="24"/>
        </w:rPr>
        <w:t>Derivex</w:t>
      </w:r>
      <w:proofErr w:type="spellEnd"/>
      <w:r w:rsidRPr="00F033E3">
        <w:rPr>
          <w:rFonts w:cs="Arial"/>
          <w:szCs w:val="24"/>
        </w:rPr>
        <w:t>-CRCC fueron establecidos en la Resolución CREG 101 020 de 2023.</w:t>
      </w:r>
    </w:p>
    <w:p w14:paraId="28D5DC4D" w14:textId="77777777" w:rsidR="005F29E7" w:rsidRPr="00F033E3" w:rsidRDefault="005F29E7" w:rsidP="00A55A31">
      <w:pPr>
        <w:spacing w:line="360" w:lineRule="auto"/>
        <w:ind w:right="51"/>
        <w:jc w:val="left"/>
        <w:rPr>
          <w:rFonts w:cs="Arial"/>
          <w:szCs w:val="24"/>
        </w:rPr>
      </w:pPr>
    </w:p>
    <w:p w14:paraId="289135ED" w14:textId="32D0A54A" w:rsidR="005F29E7" w:rsidRPr="00F033E3" w:rsidRDefault="00526A0B" w:rsidP="00A55A31">
      <w:pPr>
        <w:spacing w:line="360" w:lineRule="auto"/>
        <w:ind w:right="51"/>
        <w:jc w:val="left"/>
        <w:rPr>
          <w:rFonts w:cs="Arial"/>
          <w:szCs w:val="24"/>
        </w:rPr>
      </w:pPr>
      <w:r w:rsidRPr="00F033E3">
        <w:rPr>
          <w:rFonts w:cs="Arial"/>
          <w:szCs w:val="24"/>
        </w:rPr>
        <w:t xml:space="preserve">Al final del presente documento se anexa la matriz con </w:t>
      </w:r>
      <w:proofErr w:type="spellStart"/>
      <w:r w:rsidRPr="00F033E3">
        <w:rPr>
          <w:rFonts w:cs="Arial"/>
          <w:szCs w:val="24"/>
        </w:rPr>
        <w:t>del</w:t>
      </w:r>
      <w:proofErr w:type="spellEnd"/>
      <w:r w:rsidRPr="00F033E3">
        <w:rPr>
          <w:rFonts w:cs="Arial"/>
          <w:szCs w:val="24"/>
        </w:rPr>
        <w:t xml:space="preserve"> detalle de comentarios recibidos y su correspondiente respuesta por parte de esta Comisión.</w:t>
      </w:r>
    </w:p>
    <w:p w14:paraId="09CA1725" w14:textId="77777777" w:rsidR="00526A0B" w:rsidRPr="00F033E3" w:rsidRDefault="00526A0B" w:rsidP="00A55A31">
      <w:pPr>
        <w:spacing w:line="360" w:lineRule="auto"/>
        <w:ind w:right="51"/>
        <w:jc w:val="left"/>
        <w:rPr>
          <w:rFonts w:cs="Arial"/>
          <w:szCs w:val="24"/>
        </w:rPr>
      </w:pPr>
    </w:p>
    <w:p w14:paraId="7458F250" w14:textId="24AB215E" w:rsidR="00526A0B" w:rsidRPr="00F033E3" w:rsidRDefault="00526A0B" w:rsidP="00A55A31">
      <w:pPr>
        <w:pStyle w:val="Ttulo1"/>
        <w:numPr>
          <w:ilvl w:val="0"/>
          <w:numId w:val="1"/>
        </w:numPr>
        <w:spacing w:after="0" w:line="360" w:lineRule="auto"/>
        <w:jc w:val="left"/>
        <w:rPr>
          <w:szCs w:val="24"/>
        </w:rPr>
      </w:pPr>
      <w:bookmarkStart w:id="12" w:name="_Toc169098474"/>
      <w:r w:rsidRPr="00F033E3">
        <w:rPr>
          <w:szCs w:val="24"/>
        </w:rPr>
        <w:t>AJUSTES SOBRE LA PROPUESTA CONSULTADA</w:t>
      </w:r>
      <w:bookmarkEnd w:id="12"/>
    </w:p>
    <w:p w14:paraId="088BC032" w14:textId="77777777" w:rsidR="00526A0B" w:rsidRPr="00F033E3" w:rsidRDefault="00526A0B" w:rsidP="00A55A31">
      <w:pPr>
        <w:spacing w:line="360" w:lineRule="auto"/>
        <w:ind w:right="51"/>
        <w:jc w:val="left"/>
        <w:rPr>
          <w:rFonts w:cs="Arial"/>
          <w:szCs w:val="24"/>
        </w:rPr>
      </w:pPr>
    </w:p>
    <w:p w14:paraId="52FAF995" w14:textId="2D436528" w:rsidR="00526A0B" w:rsidRPr="00F033E3" w:rsidRDefault="00526A0B" w:rsidP="00A55A31">
      <w:pPr>
        <w:spacing w:line="360" w:lineRule="auto"/>
        <w:ind w:right="51"/>
        <w:jc w:val="left"/>
        <w:rPr>
          <w:rFonts w:cs="Arial"/>
          <w:szCs w:val="24"/>
        </w:rPr>
      </w:pPr>
      <w:r w:rsidRPr="00F033E3">
        <w:rPr>
          <w:rFonts w:cs="Arial"/>
          <w:szCs w:val="24"/>
        </w:rPr>
        <w:t xml:space="preserve">Con base en los comentarios recibidos, esta Comisión encuentra necesario aclarar en el parágrafo del artículo 2 de la resolución que acompaña este documento, que no se entienden como actividades de la cadena de prestación del servicio público domiciliario </w:t>
      </w:r>
      <w:r w:rsidRPr="00F033E3">
        <w:rPr>
          <w:rFonts w:cs="Arial"/>
          <w:szCs w:val="24"/>
        </w:rPr>
        <w:lastRenderedPageBreak/>
        <w:t xml:space="preserve">de energía eléctrica, aquellas desarrolladas por administradores y ejecutores de mecanismos </w:t>
      </w:r>
      <w:r w:rsidRPr="00F033E3">
        <w:rPr>
          <w:rFonts w:cs="Arial"/>
          <w:szCs w:val="24"/>
          <w:u w:val="single"/>
        </w:rPr>
        <w:t>presentados en el marco de lo dispuesto en la Resolución CREG 114 de 2018</w:t>
      </w:r>
      <w:r w:rsidRPr="00F033E3">
        <w:rPr>
          <w:rFonts w:cs="Arial"/>
          <w:szCs w:val="24"/>
        </w:rPr>
        <w:t xml:space="preserve"> y cuyas transacciones resulten en contratos que por su naturaleza no requieran, para su ejecución, del registro y asignación por parte del ASIC.</w:t>
      </w:r>
    </w:p>
    <w:p w14:paraId="60D2BD77" w14:textId="77777777" w:rsidR="00526A0B" w:rsidRPr="00F033E3" w:rsidRDefault="00526A0B" w:rsidP="00A55A31">
      <w:pPr>
        <w:spacing w:line="360" w:lineRule="auto"/>
        <w:ind w:right="51"/>
        <w:jc w:val="left"/>
        <w:rPr>
          <w:rFonts w:cs="Arial"/>
          <w:szCs w:val="24"/>
        </w:rPr>
      </w:pPr>
    </w:p>
    <w:p w14:paraId="20D11074" w14:textId="2AA0F913" w:rsidR="00526A0B" w:rsidRPr="00F033E3" w:rsidRDefault="00526A0B" w:rsidP="00A55A31">
      <w:pPr>
        <w:spacing w:line="360" w:lineRule="auto"/>
        <w:ind w:right="51"/>
        <w:jc w:val="left"/>
        <w:rPr>
          <w:rFonts w:cs="Arial"/>
          <w:szCs w:val="24"/>
        </w:rPr>
      </w:pPr>
      <w:r w:rsidRPr="00F033E3">
        <w:rPr>
          <w:rFonts w:cs="Arial"/>
          <w:szCs w:val="24"/>
        </w:rPr>
        <w:t>Lo anterior, toda vez que la omisión de la Resolución CREG 114 de 2018 en el texto del parágrafo, habría llevado a alg</w:t>
      </w:r>
      <w:r w:rsidR="006A723E" w:rsidRPr="00F033E3">
        <w:rPr>
          <w:rFonts w:cs="Arial"/>
          <w:szCs w:val="24"/>
        </w:rPr>
        <w:t>unos</w:t>
      </w:r>
      <w:r w:rsidRPr="00F033E3">
        <w:rPr>
          <w:rFonts w:cs="Arial"/>
          <w:szCs w:val="24"/>
        </w:rPr>
        <w:t xml:space="preserve"> agente</w:t>
      </w:r>
      <w:r w:rsidR="006A723E" w:rsidRPr="00F033E3">
        <w:rPr>
          <w:rFonts w:cs="Arial"/>
          <w:szCs w:val="24"/>
        </w:rPr>
        <w:t>s</w:t>
      </w:r>
      <w:r w:rsidRPr="00F033E3">
        <w:rPr>
          <w:rFonts w:cs="Arial"/>
          <w:szCs w:val="24"/>
        </w:rPr>
        <w:t xml:space="preserve"> a interpretar que esta referencia también incluía, por ejemplo, contratos suscritos con </w:t>
      </w:r>
      <w:proofErr w:type="spellStart"/>
      <w:r w:rsidRPr="00F033E3">
        <w:rPr>
          <w:rFonts w:cs="Arial"/>
          <w:szCs w:val="24"/>
        </w:rPr>
        <w:t>autogenera</w:t>
      </w:r>
      <w:r w:rsidR="006A723E" w:rsidRPr="00F033E3">
        <w:rPr>
          <w:rFonts w:cs="Arial"/>
          <w:szCs w:val="24"/>
        </w:rPr>
        <w:t>d</w:t>
      </w:r>
      <w:r w:rsidRPr="00F033E3">
        <w:rPr>
          <w:rFonts w:cs="Arial"/>
          <w:szCs w:val="24"/>
        </w:rPr>
        <w:t>ores</w:t>
      </w:r>
      <w:proofErr w:type="spellEnd"/>
      <w:r w:rsidRPr="00F033E3">
        <w:rPr>
          <w:rFonts w:cs="Arial"/>
          <w:szCs w:val="24"/>
        </w:rPr>
        <w:t>, los cuales a la fecha no se encuentran enmarcados en la Resolución CREG 114 de 2018.</w:t>
      </w:r>
    </w:p>
    <w:p w14:paraId="79D7D810" w14:textId="77777777" w:rsidR="00526A0B" w:rsidRPr="00F033E3" w:rsidRDefault="00526A0B" w:rsidP="00A55A31">
      <w:pPr>
        <w:spacing w:line="360" w:lineRule="auto"/>
        <w:ind w:right="51"/>
        <w:jc w:val="left"/>
        <w:rPr>
          <w:rFonts w:cs="Arial"/>
          <w:szCs w:val="24"/>
        </w:rPr>
      </w:pPr>
    </w:p>
    <w:p w14:paraId="698052E7" w14:textId="77777777" w:rsidR="002F080E" w:rsidRDefault="00526A0B" w:rsidP="00A55A31">
      <w:pPr>
        <w:spacing w:line="360" w:lineRule="auto"/>
        <w:ind w:right="51"/>
        <w:jc w:val="left"/>
        <w:rPr>
          <w:rFonts w:cs="Arial"/>
          <w:szCs w:val="24"/>
        </w:rPr>
      </w:pPr>
      <w:r w:rsidRPr="00F033E3">
        <w:rPr>
          <w:rFonts w:cs="Arial"/>
          <w:szCs w:val="24"/>
        </w:rPr>
        <w:t>Asimismo, se encuentra pertinente la sugerencia de incluir en el marco regulatorio aplicable, señalado en el artículo 4 de la resolución que acompaña este documento, la Ley 142 de 1994.</w:t>
      </w:r>
    </w:p>
    <w:p w14:paraId="5D48E0AA" w14:textId="77777777" w:rsidR="00C87B42" w:rsidRDefault="00C87B42" w:rsidP="00A55A31">
      <w:pPr>
        <w:spacing w:line="360" w:lineRule="auto"/>
        <w:ind w:right="51"/>
        <w:jc w:val="left"/>
        <w:rPr>
          <w:rFonts w:cs="Arial"/>
          <w:szCs w:val="24"/>
        </w:rPr>
      </w:pPr>
    </w:p>
    <w:p w14:paraId="67F55A1A" w14:textId="731AA025" w:rsidR="00C87B42" w:rsidRDefault="00C87B42" w:rsidP="00C87B42">
      <w:pPr>
        <w:pStyle w:val="Ttulo1"/>
        <w:numPr>
          <w:ilvl w:val="0"/>
          <w:numId w:val="1"/>
        </w:numPr>
        <w:spacing w:after="0" w:line="360" w:lineRule="auto"/>
        <w:jc w:val="left"/>
        <w:rPr>
          <w:szCs w:val="24"/>
        </w:rPr>
      </w:pPr>
      <w:r>
        <w:rPr>
          <w:szCs w:val="24"/>
        </w:rPr>
        <w:t>ABOGACÍA DE LA COMPETENCIA</w:t>
      </w:r>
    </w:p>
    <w:p w14:paraId="59A4C0C3" w14:textId="77777777" w:rsidR="00C87B42" w:rsidRDefault="00C87B42" w:rsidP="00C87B42"/>
    <w:p w14:paraId="163E90B6" w14:textId="6B848357" w:rsidR="00C87B42" w:rsidRDefault="00C87B42" w:rsidP="00C87B42">
      <w:pPr>
        <w:spacing w:line="360" w:lineRule="auto"/>
        <w:ind w:right="51"/>
        <w:jc w:val="left"/>
        <w:rPr>
          <w:rFonts w:cs="Arial"/>
          <w:szCs w:val="24"/>
        </w:rPr>
      </w:pPr>
      <w:r w:rsidRPr="00C87B42">
        <w:rPr>
          <w:rFonts w:cs="Arial"/>
          <w:szCs w:val="24"/>
        </w:rPr>
        <w:t>En cumplimiento de lo establecido en el Decreto número 1074 de 2015 y como resultado del diligenciamiento del formulario sobre abogacía de la competencia, se concluyó que esta normativa no requiere concepto previo de la Superintendencia de Industria y Comercio.</w:t>
      </w:r>
    </w:p>
    <w:p w14:paraId="3B60BB19" w14:textId="77777777" w:rsidR="00C87B42" w:rsidRDefault="00C87B42" w:rsidP="00C87B42">
      <w:pPr>
        <w:spacing w:line="360" w:lineRule="auto"/>
        <w:ind w:right="51"/>
        <w:jc w:val="left"/>
        <w:rPr>
          <w:rFonts w:cs="Arial"/>
          <w:szCs w:val="24"/>
        </w:rPr>
      </w:pPr>
    </w:p>
    <w:p w14:paraId="746A5EAC" w14:textId="66F26ABA" w:rsidR="00C87B42" w:rsidRPr="00C87B42" w:rsidRDefault="00C87B42" w:rsidP="00C87B42">
      <w:pPr>
        <w:spacing w:line="360" w:lineRule="auto"/>
        <w:ind w:right="51"/>
        <w:jc w:val="left"/>
        <w:rPr>
          <w:rFonts w:cs="Arial"/>
          <w:szCs w:val="24"/>
        </w:rPr>
      </w:pPr>
      <w:r>
        <w:rPr>
          <w:rFonts w:cs="Arial"/>
          <w:szCs w:val="24"/>
        </w:rPr>
        <w:t>En el Anexo 2 del presente documento se encuentra el formulario diligenciado con la respectiva conclusión por parte de esta Comisión.</w:t>
      </w:r>
    </w:p>
    <w:p w14:paraId="332C01A1" w14:textId="77777777" w:rsidR="00C87B42" w:rsidRDefault="00C87B42" w:rsidP="00C87B42">
      <w:pPr>
        <w:spacing w:line="360" w:lineRule="auto"/>
        <w:ind w:right="51"/>
        <w:jc w:val="left"/>
        <w:rPr>
          <w:rFonts w:cs="Arial"/>
          <w:szCs w:val="24"/>
        </w:rPr>
      </w:pPr>
    </w:p>
    <w:p w14:paraId="5A19CF49" w14:textId="77777777" w:rsidR="00C87B42" w:rsidRDefault="00C87B42" w:rsidP="00C87B42">
      <w:pPr>
        <w:spacing w:line="360" w:lineRule="auto"/>
        <w:ind w:right="51"/>
        <w:jc w:val="left"/>
        <w:rPr>
          <w:rFonts w:cs="Arial"/>
          <w:szCs w:val="24"/>
        </w:rPr>
      </w:pPr>
    </w:p>
    <w:p w14:paraId="6A8F04B1" w14:textId="6E249DF1" w:rsidR="00C87B42" w:rsidRPr="00C87B42" w:rsidRDefault="00C87B42" w:rsidP="00C87B42">
      <w:pPr>
        <w:spacing w:line="360" w:lineRule="auto"/>
        <w:ind w:right="51"/>
        <w:jc w:val="left"/>
        <w:rPr>
          <w:rFonts w:cs="Arial"/>
          <w:szCs w:val="24"/>
        </w:rPr>
        <w:sectPr w:rsidR="00C87B42" w:rsidRPr="00C87B42" w:rsidSect="00DD7346">
          <w:headerReference w:type="default" r:id="rId9"/>
          <w:footerReference w:type="default" r:id="rId10"/>
          <w:pgSz w:w="12242" w:h="15842" w:code="1"/>
          <w:pgMar w:top="1418" w:right="1418" w:bottom="1418" w:left="1418" w:header="851" w:footer="567" w:gutter="0"/>
          <w:cols w:space="720"/>
          <w:titlePg/>
          <w:docGrid w:linePitch="326"/>
        </w:sectPr>
      </w:pPr>
    </w:p>
    <w:p w14:paraId="0A55B765" w14:textId="42D6AA9A" w:rsidR="002F080E" w:rsidRPr="00F033E3" w:rsidRDefault="002F080E" w:rsidP="00A55A31">
      <w:pPr>
        <w:pStyle w:val="Ttulo1"/>
        <w:numPr>
          <w:ilvl w:val="0"/>
          <w:numId w:val="0"/>
        </w:numPr>
        <w:spacing w:after="0" w:line="360" w:lineRule="auto"/>
        <w:jc w:val="center"/>
        <w:rPr>
          <w:rFonts w:cs="Arial"/>
          <w:b w:val="0"/>
          <w:bCs/>
          <w:szCs w:val="24"/>
        </w:rPr>
      </w:pPr>
      <w:bookmarkStart w:id="13" w:name="_Toc169098475"/>
      <w:r w:rsidRPr="00F033E3">
        <w:rPr>
          <w:rFonts w:cs="Arial"/>
          <w:bCs/>
          <w:szCs w:val="24"/>
        </w:rPr>
        <w:lastRenderedPageBreak/>
        <w:t>ANEXO</w:t>
      </w:r>
      <w:r w:rsidR="00C87B42">
        <w:rPr>
          <w:rFonts w:cs="Arial"/>
          <w:bCs/>
          <w:szCs w:val="24"/>
        </w:rPr>
        <w:t xml:space="preserve"> 1</w:t>
      </w:r>
      <w:r w:rsidR="00376357" w:rsidRPr="00F033E3">
        <w:rPr>
          <w:rFonts w:cs="Arial"/>
          <w:bCs/>
          <w:szCs w:val="24"/>
        </w:rPr>
        <w:t xml:space="preserve">. </w:t>
      </w:r>
      <w:r w:rsidRPr="00F033E3">
        <w:rPr>
          <w:rFonts w:cs="Arial"/>
          <w:bCs/>
          <w:szCs w:val="24"/>
        </w:rPr>
        <w:t>MATRIZ DE COMENTARIOS</w:t>
      </w:r>
      <w:bookmarkEnd w:id="13"/>
    </w:p>
    <w:tbl>
      <w:tblPr>
        <w:tblW w:w="13606" w:type="dxa"/>
        <w:tblCellMar>
          <w:left w:w="70" w:type="dxa"/>
          <w:right w:w="70" w:type="dxa"/>
        </w:tblCellMar>
        <w:tblLook w:val="04A0" w:firstRow="1" w:lastRow="0" w:firstColumn="1" w:lastColumn="0" w:noHBand="0" w:noVBand="1"/>
      </w:tblPr>
      <w:tblGrid>
        <w:gridCol w:w="1134"/>
        <w:gridCol w:w="1134"/>
        <w:gridCol w:w="5669"/>
        <w:gridCol w:w="5669"/>
      </w:tblGrid>
      <w:tr w:rsidR="006D6816" w:rsidRPr="002F080E" w14:paraId="0FB3D3B7" w14:textId="77777777" w:rsidTr="006D6816">
        <w:trPr>
          <w:trHeight w:val="288"/>
        </w:trPr>
        <w:tc>
          <w:tcPr>
            <w:tcW w:w="1134" w:type="dxa"/>
            <w:tcBorders>
              <w:top w:val="single" w:sz="4" w:space="0" w:color="000000"/>
              <w:left w:val="nil"/>
              <w:bottom w:val="single" w:sz="4" w:space="0" w:color="000000"/>
              <w:right w:val="nil"/>
            </w:tcBorders>
            <w:shd w:val="clear" w:color="auto" w:fill="auto"/>
            <w:vAlign w:val="center"/>
            <w:hideMark/>
          </w:tcPr>
          <w:p w14:paraId="574EE6B0" w14:textId="404C6B1A" w:rsidR="006D6816" w:rsidRPr="002F080E" w:rsidRDefault="006D6816" w:rsidP="00A55A31">
            <w:pPr>
              <w:spacing w:line="360" w:lineRule="auto"/>
              <w:jc w:val="center"/>
              <w:rPr>
                <w:rFonts w:ascii="Calibri" w:hAnsi="Calibri" w:cs="Calibri"/>
                <w:b/>
                <w:bCs/>
                <w:color w:val="000000"/>
                <w:sz w:val="22"/>
                <w:szCs w:val="22"/>
                <w:lang w:val="es-CO" w:eastAsia="es-CO"/>
              </w:rPr>
            </w:pPr>
            <w:r w:rsidRPr="002F080E">
              <w:rPr>
                <w:rFonts w:ascii="Calibri" w:hAnsi="Calibri" w:cs="Calibri"/>
                <w:b/>
                <w:bCs/>
                <w:color w:val="000000"/>
                <w:sz w:val="22"/>
                <w:szCs w:val="22"/>
                <w:lang w:val="es-CO" w:eastAsia="es-CO"/>
              </w:rPr>
              <w:t>RADICADO</w:t>
            </w:r>
            <w:r>
              <w:rPr>
                <w:rFonts w:ascii="Calibri" w:hAnsi="Calibri" w:cs="Calibri"/>
                <w:b/>
                <w:bCs/>
                <w:color w:val="000000"/>
                <w:sz w:val="22"/>
                <w:szCs w:val="22"/>
                <w:lang w:val="es-CO" w:eastAsia="es-CO"/>
              </w:rPr>
              <w:t xml:space="preserve"> CREG</w:t>
            </w:r>
          </w:p>
        </w:tc>
        <w:tc>
          <w:tcPr>
            <w:tcW w:w="1134" w:type="dxa"/>
            <w:tcBorders>
              <w:top w:val="single" w:sz="4" w:space="0" w:color="000000"/>
              <w:left w:val="nil"/>
              <w:bottom w:val="single" w:sz="4" w:space="0" w:color="000000"/>
              <w:right w:val="nil"/>
            </w:tcBorders>
            <w:shd w:val="clear" w:color="auto" w:fill="auto"/>
            <w:vAlign w:val="center"/>
            <w:hideMark/>
          </w:tcPr>
          <w:p w14:paraId="08F4DC63" w14:textId="77777777" w:rsidR="006D6816" w:rsidRPr="002F080E" w:rsidRDefault="006D6816" w:rsidP="00A55A31">
            <w:pPr>
              <w:spacing w:line="360" w:lineRule="auto"/>
              <w:jc w:val="center"/>
              <w:rPr>
                <w:rFonts w:ascii="Calibri" w:hAnsi="Calibri" w:cs="Calibri"/>
                <w:b/>
                <w:bCs/>
                <w:color w:val="000000"/>
                <w:sz w:val="22"/>
                <w:szCs w:val="22"/>
                <w:lang w:val="es-CO" w:eastAsia="es-CO"/>
              </w:rPr>
            </w:pPr>
            <w:r w:rsidRPr="002F080E">
              <w:rPr>
                <w:rFonts w:ascii="Calibri" w:hAnsi="Calibri" w:cs="Calibri"/>
                <w:b/>
                <w:bCs/>
                <w:color w:val="000000"/>
                <w:sz w:val="22"/>
                <w:szCs w:val="22"/>
                <w:lang w:val="es-CO" w:eastAsia="es-CO"/>
              </w:rPr>
              <w:t>AGENTE</w:t>
            </w:r>
          </w:p>
        </w:tc>
        <w:tc>
          <w:tcPr>
            <w:tcW w:w="5669" w:type="dxa"/>
            <w:tcBorders>
              <w:top w:val="single" w:sz="4" w:space="0" w:color="000000"/>
              <w:left w:val="nil"/>
              <w:bottom w:val="single" w:sz="4" w:space="0" w:color="000000"/>
              <w:right w:val="nil"/>
            </w:tcBorders>
            <w:shd w:val="clear" w:color="auto" w:fill="auto"/>
            <w:vAlign w:val="center"/>
            <w:hideMark/>
          </w:tcPr>
          <w:p w14:paraId="7BA0130D" w14:textId="77777777" w:rsidR="006D6816" w:rsidRPr="002F080E" w:rsidRDefault="006D6816" w:rsidP="00A55A31">
            <w:pPr>
              <w:spacing w:line="360" w:lineRule="auto"/>
              <w:jc w:val="center"/>
              <w:rPr>
                <w:rFonts w:ascii="Calibri" w:hAnsi="Calibri" w:cs="Calibri"/>
                <w:b/>
                <w:bCs/>
                <w:color w:val="000000"/>
                <w:sz w:val="22"/>
                <w:szCs w:val="22"/>
                <w:lang w:val="es-CO" w:eastAsia="es-CO"/>
              </w:rPr>
            </w:pPr>
            <w:r w:rsidRPr="002F080E">
              <w:rPr>
                <w:rFonts w:ascii="Calibri" w:hAnsi="Calibri" w:cs="Calibri"/>
                <w:b/>
                <w:bCs/>
                <w:color w:val="000000"/>
                <w:sz w:val="22"/>
                <w:szCs w:val="22"/>
                <w:lang w:val="es-CO" w:eastAsia="es-CO"/>
              </w:rPr>
              <w:t>COMENTARIO</w:t>
            </w:r>
          </w:p>
        </w:tc>
        <w:tc>
          <w:tcPr>
            <w:tcW w:w="5669" w:type="dxa"/>
            <w:tcBorders>
              <w:top w:val="single" w:sz="4" w:space="0" w:color="000000"/>
              <w:left w:val="nil"/>
              <w:bottom w:val="single" w:sz="4" w:space="0" w:color="000000"/>
              <w:right w:val="nil"/>
            </w:tcBorders>
            <w:shd w:val="clear" w:color="auto" w:fill="auto"/>
            <w:vAlign w:val="center"/>
            <w:hideMark/>
          </w:tcPr>
          <w:p w14:paraId="4707C23F" w14:textId="77777777" w:rsidR="006D6816" w:rsidRPr="002F080E" w:rsidRDefault="006D6816" w:rsidP="00A55A31">
            <w:pPr>
              <w:spacing w:line="360" w:lineRule="auto"/>
              <w:jc w:val="center"/>
              <w:rPr>
                <w:rFonts w:ascii="Calibri" w:hAnsi="Calibri" w:cs="Calibri"/>
                <w:b/>
                <w:bCs/>
                <w:color w:val="000000"/>
                <w:sz w:val="22"/>
                <w:szCs w:val="22"/>
                <w:lang w:val="es-CO" w:eastAsia="es-CO"/>
              </w:rPr>
            </w:pPr>
            <w:r w:rsidRPr="002F080E">
              <w:rPr>
                <w:rFonts w:ascii="Calibri" w:hAnsi="Calibri" w:cs="Calibri"/>
                <w:b/>
                <w:bCs/>
                <w:color w:val="000000"/>
                <w:sz w:val="22"/>
                <w:szCs w:val="22"/>
                <w:lang w:val="es-CO" w:eastAsia="es-CO"/>
              </w:rPr>
              <w:t>RESPUESTA CREG</w:t>
            </w:r>
          </w:p>
        </w:tc>
      </w:tr>
      <w:tr w:rsidR="006D6816" w:rsidRPr="002F080E" w14:paraId="2F6C3077" w14:textId="77777777" w:rsidTr="006D6816">
        <w:trPr>
          <w:trHeight w:val="2592"/>
        </w:trPr>
        <w:tc>
          <w:tcPr>
            <w:tcW w:w="1134" w:type="dxa"/>
            <w:tcBorders>
              <w:top w:val="nil"/>
              <w:left w:val="nil"/>
              <w:bottom w:val="nil"/>
              <w:right w:val="nil"/>
            </w:tcBorders>
            <w:shd w:val="clear" w:color="D9D9D9" w:fill="D9D9D9"/>
            <w:vAlign w:val="center"/>
            <w:hideMark/>
          </w:tcPr>
          <w:p w14:paraId="00CDCB62" w14:textId="0AB3C644"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017455</w:t>
            </w:r>
          </w:p>
        </w:tc>
        <w:tc>
          <w:tcPr>
            <w:tcW w:w="1134" w:type="dxa"/>
            <w:tcBorders>
              <w:top w:val="nil"/>
              <w:left w:val="nil"/>
              <w:bottom w:val="nil"/>
              <w:right w:val="nil"/>
            </w:tcBorders>
            <w:shd w:val="clear" w:color="D9D9D9" w:fill="D9D9D9"/>
            <w:vAlign w:val="center"/>
            <w:hideMark/>
          </w:tcPr>
          <w:p w14:paraId="72000F0B"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ENEL</w:t>
            </w:r>
          </w:p>
        </w:tc>
        <w:tc>
          <w:tcPr>
            <w:tcW w:w="5669" w:type="dxa"/>
            <w:tcBorders>
              <w:top w:val="nil"/>
              <w:left w:val="nil"/>
              <w:bottom w:val="nil"/>
              <w:right w:val="nil"/>
            </w:tcBorders>
            <w:shd w:val="clear" w:color="D9D9D9" w:fill="D9D9D9"/>
            <w:vAlign w:val="center"/>
            <w:hideMark/>
          </w:tcPr>
          <w:p w14:paraId="58270DE3" w14:textId="7AC2D56E"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 xml:space="preserve">Art. 3: </w:t>
            </w:r>
            <w:r w:rsidRPr="002F080E">
              <w:rPr>
                <w:rFonts w:ascii="Calibri" w:hAnsi="Calibri" w:cs="Calibri"/>
                <w:color w:val="000000"/>
                <w:sz w:val="22"/>
                <w:szCs w:val="22"/>
                <w:lang w:val="es-CO" w:eastAsia="es-CO"/>
              </w:rPr>
              <w:t>Se dice ahí que las actividades definidas pueden ser desarrolladas por los prestadores del servicio previstos en el artículo 15 de la Ley 142. Sin embargo, desde nuestra perspectiva, esto flexibiliza más allá de lo necesario la señal que pretende dar la Comisión;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nuestro</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juicio</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es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más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deseable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propender</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por</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que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se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haga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través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una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persona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que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tenga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capacidad financiera y técnica. Hacemos esta advertencia, ya que la premisa de una saludable capacidad técnica y financiera se podría ver afectada en el caso de productores marginales, municipios, organizaciones autorizadas, y entidades descentralizadas de forma general</w:t>
            </w:r>
          </w:p>
        </w:tc>
        <w:tc>
          <w:tcPr>
            <w:tcW w:w="5669" w:type="dxa"/>
            <w:tcBorders>
              <w:top w:val="nil"/>
              <w:left w:val="nil"/>
              <w:bottom w:val="nil"/>
              <w:right w:val="nil"/>
            </w:tcBorders>
            <w:shd w:val="clear" w:color="D9D9D9" w:fill="D9D9D9"/>
            <w:vAlign w:val="center"/>
            <w:hideMark/>
          </w:tcPr>
          <w:p w14:paraId="6D4C9E92"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En el artículo 4 del proyecto regulatorio se señala que estas actividades están sujetas a las disposiciones contenidas en la Resolución CREG 114 de 2018 o aquella que la modifique o sustituya. Allí se encuentran los principios y condiciones que deben acreditar los administradores y ejecutores, en el marco de la evaluación que adelanta esta Comisión sobre los mecanismos de comercialización que sean propuestos.</w:t>
            </w:r>
          </w:p>
        </w:tc>
      </w:tr>
      <w:tr w:rsidR="006D6816" w:rsidRPr="002F080E" w14:paraId="4089BB03" w14:textId="77777777" w:rsidTr="006D6816">
        <w:trPr>
          <w:trHeight w:val="2016"/>
        </w:trPr>
        <w:tc>
          <w:tcPr>
            <w:tcW w:w="1134" w:type="dxa"/>
            <w:tcBorders>
              <w:top w:val="nil"/>
              <w:left w:val="nil"/>
              <w:bottom w:val="nil"/>
              <w:right w:val="nil"/>
            </w:tcBorders>
            <w:shd w:val="clear" w:color="auto" w:fill="auto"/>
            <w:vAlign w:val="center"/>
            <w:hideMark/>
          </w:tcPr>
          <w:p w14:paraId="648C0E95" w14:textId="31159174"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017476</w:t>
            </w:r>
          </w:p>
        </w:tc>
        <w:tc>
          <w:tcPr>
            <w:tcW w:w="1134" w:type="dxa"/>
            <w:tcBorders>
              <w:top w:val="nil"/>
              <w:left w:val="nil"/>
              <w:bottom w:val="nil"/>
              <w:right w:val="nil"/>
            </w:tcBorders>
            <w:shd w:val="clear" w:color="auto" w:fill="auto"/>
            <w:vAlign w:val="center"/>
            <w:hideMark/>
          </w:tcPr>
          <w:p w14:paraId="6C1863A9" w14:textId="62EB5749"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BMC / Conexión Energética</w:t>
            </w:r>
          </w:p>
        </w:tc>
        <w:tc>
          <w:tcPr>
            <w:tcW w:w="5669" w:type="dxa"/>
            <w:tcBorders>
              <w:top w:val="nil"/>
              <w:left w:val="nil"/>
              <w:bottom w:val="nil"/>
              <w:right w:val="nil"/>
            </w:tcBorders>
            <w:shd w:val="clear" w:color="auto" w:fill="auto"/>
            <w:vAlign w:val="center"/>
            <w:hideMark/>
          </w:tcPr>
          <w:p w14:paraId="6370FA6B" w14:textId="64A7BB2C"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 xml:space="preserve">Art. 4: </w:t>
            </w:r>
            <w:r w:rsidRPr="002F080E">
              <w:rPr>
                <w:rFonts w:ascii="Calibri" w:hAnsi="Calibri" w:cs="Calibri"/>
                <w:color w:val="000000"/>
                <w:sz w:val="22"/>
                <w:szCs w:val="22"/>
                <w:lang w:val="es-CO" w:eastAsia="es-CO"/>
              </w:rPr>
              <w:t>Sugerimos establecer que el registro en el SUI se habilite una vez quede en firme la Resolución por la cual se crean las nuevas actividades para la prestación del servicio público domiciliario de energía eléctrica, de tal manera que los promotores de mecanismos de comercialización de energía eléctrica en el marco de la resolución 114 de 2018 no tengan que esperar la emisión de la resolución específica que apruebe el traslado de los precios que se formen en el mecanismo a los usuarios del mercado regulado.</w:t>
            </w:r>
          </w:p>
        </w:tc>
        <w:tc>
          <w:tcPr>
            <w:tcW w:w="5669" w:type="dxa"/>
            <w:tcBorders>
              <w:top w:val="nil"/>
              <w:left w:val="nil"/>
              <w:bottom w:val="nil"/>
              <w:right w:val="nil"/>
            </w:tcBorders>
            <w:shd w:val="clear" w:color="auto" w:fill="auto"/>
            <w:vAlign w:val="center"/>
            <w:hideMark/>
          </w:tcPr>
          <w:p w14:paraId="0043B52A"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Las disposiciones sobre el registro de agentes en el SUI son competencia de la Superintendencia de Servicios Públicos Domiciliarios.</w:t>
            </w:r>
          </w:p>
        </w:tc>
      </w:tr>
      <w:tr w:rsidR="006D6816" w:rsidRPr="002F080E" w14:paraId="06DA5F21" w14:textId="77777777" w:rsidTr="006D6816">
        <w:trPr>
          <w:trHeight w:val="2016"/>
        </w:trPr>
        <w:tc>
          <w:tcPr>
            <w:tcW w:w="1134" w:type="dxa"/>
            <w:tcBorders>
              <w:top w:val="nil"/>
              <w:left w:val="nil"/>
              <w:bottom w:val="nil"/>
              <w:right w:val="nil"/>
            </w:tcBorders>
            <w:shd w:val="clear" w:color="D9D9D9" w:fill="D9D9D9"/>
            <w:vAlign w:val="center"/>
            <w:hideMark/>
          </w:tcPr>
          <w:p w14:paraId="7ED8491D" w14:textId="17E2EBBC"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lastRenderedPageBreak/>
              <w:t>E-2023-</w:t>
            </w:r>
            <w:r w:rsidRPr="002F080E">
              <w:rPr>
                <w:rFonts w:ascii="Calibri" w:hAnsi="Calibri" w:cs="Calibri"/>
                <w:color w:val="000000"/>
                <w:sz w:val="22"/>
                <w:szCs w:val="22"/>
                <w:lang w:val="es-CO" w:eastAsia="es-CO"/>
              </w:rPr>
              <w:t>017550</w:t>
            </w:r>
          </w:p>
        </w:tc>
        <w:tc>
          <w:tcPr>
            <w:tcW w:w="1134" w:type="dxa"/>
            <w:tcBorders>
              <w:top w:val="nil"/>
              <w:left w:val="nil"/>
              <w:bottom w:val="nil"/>
              <w:right w:val="nil"/>
            </w:tcBorders>
            <w:shd w:val="clear" w:color="D9D9D9" w:fill="D9D9D9"/>
            <w:vAlign w:val="center"/>
            <w:hideMark/>
          </w:tcPr>
          <w:p w14:paraId="4A79E2C2"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TEBSA</w:t>
            </w:r>
          </w:p>
        </w:tc>
        <w:tc>
          <w:tcPr>
            <w:tcW w:w="5669" w:type="dxa"/>
            <w:tcBorders>
              <w:top w:val="nil"/>
              <w:left w:val="nil"/>
              <w:bottom w:val="nil"/>
              <w:right w:val="nil"/>
            </w:tcBorders>
            <w:shd w:val="clear" w:color="D9D9D9" w:fill="D9D9D9"/>
            <w:vAlign w:val="center"/>
            <w:hideMark/>
          </w:tcPr>
          <w:p w14:paraId="45AEA5AF" w14:textId="6DD08827"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 xml:space="preserve">Art. 2: </w:t>
            </w:r>
            <w:r w:rsidRPr="002F080E">
              <w:rPr>
                <w:rFonts w:ascii="Calibri" w:hAnsi="Calibri" w:cs="Calibri"/>
                <w:color w:val="000000"/>
                <w:sz w:val="22"/>
                <w:szCs w:val="22"/>
                <w:lang w:val="es-CO" w:eastAsia="es-CO"/>
              </w:rPr>
              <w:t>Entendemos los argumentos para la creación de las nuevas actividades de administración, administración de riesgos y ejecución de mecanismos de comercialización; sin embargo, no es claro ¿cómo se integra la prestación de estas actividades a la cadena de valor del servicio público de energía?</w:t>
            </w:r>
          </w:p>
        </w:tc>
        <w:tc>
          <w:tcPr>
            <w:tcW w:w="5669" w:type="dxa"/>
            <w:tcBorders>
              <w:top w:val="nil"/>
              <w:left w:val="nil"/>
              <w:bottom w:val="nil"/>
              <w:right w:val="nil"/>
            </w:tcBorders>
            <w:shd w:val="clear" w:color="D9D9D9" w:fill="D9D9D9"/>
            <w:vAlign w:val="center"/>
            <w:hideMark/>
          </w:tcPr>
          <w:p w14:paraId="581709A8" w14:textId="7A2B34CA"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Los mecanismos de comercialización regulados por la Resolución CREG 114 de 2018 son una instancia de mercado en la cual pueden realizarse transacciones para la prestación del servicio de energía eléctrica. En tal sentido, las actividades de administración y ejecución de estos permiten la participación de compradores y vendedores</w:t>
            </w:r>
            <w:r>
              <w:rPr>
                <w:rFonts w:ascii="Calibri" w:hAnsi="Calibri" w:cs="Calibri"/>
                <w:color w:val="000000"/>
                <w:sz w:val="22"/>
                <w:szCs w:val="22"/>
                <w:lang w:val="es-CO" w:eastAsia="es-CO"/>
              </w:rPr>
              <w:t xml:space="preserve"> interesados en acudir a</w:t>
            </w:r>
            <w:r w:rsidRPr="002F080E">
              <w:rPr>
                <w:rFonts w:ascii="Calibri" w:hAnsi="Calibri" w:cs="Calibri"/>
                <w:color w:val="000000"/>
                <w:sz w:val="22"/>
                <w:szCs w:val="22"/>
                <w:lang w:val="es-CO" w:eastAsia="es-CO"/>
              </w:rPr>
              <w:t xml:space="preserve"> tales instancias de mercado.</w:t>
            </w:r>
          </w:p>
        </w:tc>
      </w:tr>
      <w:tr w:rsidR="006D6816" w:rsidRPr="002F080E" w14:paraId="1420A3F8" w14:textId="77777777" w:rsidTr="006D6816">
        <w:trPr>
          <w:trHeight w:val="3168"/>
        </w:trPr>
        <w:tc>
          <w:tcPr>
            <w:tcW w:w="1134" w:type="dxa"/>
            <w:tcBorders>
              <w:top w:val="nil"/>
              <w:left w:val="nil"/>
              <w:bottom w:val="nil"/>
              <w:right w:val="nil"/>
            </w:tcBorders>
            <w:shd w:val="clear" w:color="auto" w:fill="auto"/>
            <w:vAlign w:val="center"/>
            <w:hideMark/>
          </w:tcPr>
          <w:p w14:paraId="02803A73" w14:textId="2C16D1F1"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017550</w:t>
            </w:r>
          </w:p>
        </w:tc>
        <w:tc>
          <w:tcPr>
            <w:tcW w:w="1134" w:type="dxa"/>
            <w:tcBorders>
              <w:top w:val="nil"/>
              <w:left w:val="nil"/>
              <w:bottom w:val="nil"/>
              <w:right w:val="nil"/>
            </w:tcBorders>
            <w:shd w:val="clear" w:color="auto" w:fill="auto"/>
            <w:vAlign w:val="center"/>
            <w:hideMark/>
          </w:tcPr>
          <w:p w14:paraId="0C4F0FDE"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TEBSA</w:t>
            </w:r>
          </w:p>
        </w:tc>
        <w:tc>
          <w:tcPr>
            <w:tcW w:w="5669" w:type="dxa"/>
            <w:tcBorders>
              <w:top w:val="nil"/>
              <w:left w:val="nil"/>
              <w:bottom w:val="nil"/>
              <w:right w:val="nil"/>
            </w:tcBorders>
            <w:shd w:val="clear" w:color="auto" w:fill="auto"/>
            <w:vAlign w:val="center"/>
            <w:hideMark/>
          </w:tcPr>
          <w:p w14:paraId="5440E822" w14:textId="31856B24" w:rsidR="006D6816"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C</w:t>
            </w:r>
            <w:r w:rsidRPr="002F080E">
              <w:rPr>
                <w:rFonts w:ascii="Calibri" w:hAnsi="Calibri" w:cs="Calibri"/>
                <w:color w:val="000000"/>
                <w:sz w:val="22"/>
                <w:szCs w:val="22"/>
                <w:lang w:val="es-CO" w:eastAsia="es-CO"/>
              </w:rPr>
              <w:t>onsideramos pertinente aclarar en el Proyecto de Resolución las siguientes inquietudes:</w:t>
            </w:r>
          </w:p>
          <w:p w14:paraId="38CDD726" w14:textId="77777777" w:rsidR="006D6816"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I. ¿Cuáles son los costos asociados a remunerar, según el valor agregado que prestaría esta actividad?</w:t>
            </w:r>
          </w:p>
          <w:p w14:paraId="07EB4596" w14:textId="53E5FAA8"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II. ¿Se trasladaría el costo vía tarifa de energía a través de un nuevo componente en la formula tarifaria o inmerso dentro de un eslabón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existente que se identifique?</w:t>
            </w:r>
          </w:p>
        </w:tc>
        <w:tc>
          <w:tcPr>
            <w:tcW w:w="5669" w:type="dxa"/>
            <w:tcBorders>
              <w:top w:val="nil"/>
              <w:left w:val="nil"/>
              <w:bottom w:val="nil"/>
              <w:right w:val="nil"/>
            </w:tcBorders>
            <w:shd w:val="clear" w:color="auto" w:fill="auto"/>
            <w:vAlign w:val="center"/>
            <w:hideMark/>
          </w:tcPr>
          <w:p w14:paraId="59DD1286" w14:textId="77777777" w:rsidR="006D6816"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No toda actividad de la cadena debe tener una remuneración explícita en la tarifa. </w:t>
            </w:r>
          </w:p>
          <w:p w14:paraId="67D93DB1" w14:textId="0D2E4DA5"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Para los mecanismos de comercialización resultantes de la aplicación de la Resolución CREG 114 de 2018, a l</w:t>
            </w:r>
            <w:r w:rsidRPr="006D6816">
              <w:rPr>
                <w:rFonts w:ascii="Calibri" w:hAnsi="Calibri" w:cs="Calibri"/>
                <w:color w:val="000000"/>
                <w:sz w:val="22"/>
                <w:szCs w:val="22"/>
                <w:lang w:val="es-CO" w:eastAsia="es-CO"/>
              </w:rPr>
              <w:t xml:space="preserve">a CREG </w:t>
            </w:r>
            <w:r>
              <w:rPr>
                <w:rFonts w:ascii="Calibri" w:hAnsi="Calibri" w:cs="Calibri"/>
                <w:color w:val="000000"/>
                <w:sz w:val="22"/>
                <w:szCs w:val="22"/>
                <w:lang w:val="es-CO" w:eastAsia="es-CO"/>
              </w:rPr>
              <w:t>le</w:t>
            </w:r>
            <w:r w:rsidRPr="006D6816">
              <w:rPr>
                <w:rFonts w:ascii="Calibri" w:hAnsi="Calibri" w:cs="Calibri"/>
                <w:color w:val="000000"/>
                <w:sz w:val="22"/>
                <w:szCs w:val="22"/>
                <w:lang w:val="es-CO" w:eastAsia="es-CO"/>
              </w:rPr>
              <w:t xml:space="preserve"> </w:t>
            </w:r>
            <w:r>
              <w:rPr>
                <w:rFonts w:ascii="Calibri" w:hAnsi="Calibri" w:cs="Calibri"/>
                <w:color w:val="000000"/>
                <w:sz w:val="22"/>
                <w:szCs w:val="22"/>
                <w:lang w:val="es-CO" w:eastAsia="es-CO"/>
              </w:rPr>
              <w:t>corresponde</w:t>
            </w:r>
            <w:r w:rsidRPr="006D6816">
              <w:rPr>
                <w:rFonts w:ascii="Calibri" w:hAnsi="Calibri" w:cs="Calibri"/>
                <w:color w:val="000000"/>
                <w:sz w:val="22"/>
                <w:szCs w:val="22"/>
                <w:lang w:val="es-CO" w:eastAsia="es-CO"/>
              </w:rPr>
              <w:t xml:space="preserve"> evaluar el cumplimiento de los principios y condiciones establecidos en la Resolución 114 de 2018 y, en </w:t>
            </w:r>
            <w:r>
              <w:rPr>
                <w:rFonts w:ascii="Calibri" w:hAnsi="Calibri" w:cs="Calibri"/>
                <w:color w:val="000000"/>
                <w:sz w:val="22"/>
                <w:szCs w:val="22"/>
                <w:lang w:val="es-CO" w:eastAsia="es-CO"/>
              </w:rPr>
              <w:t>caso de verificarlos</w:t>
            </w:r>
            <w:r w:rsidRPr="006D6816">
              <w:rPr>
                <w:rFonts w:ascii="Calibri" w:hAnsi="Calibri" w:cs="Calibri"/>
                <w:color w:val="000000"/>
                <w:sz w:val="22"/>
                <w:szCs w:val="22"/>
                <w:lang w:val="es-CO" w:eastAsia="es-CO"/>
              </w:rPr>
              <w:t>, autoriza y establece las condiciones de traslado.</w:t>
            </w:r>
          </w:p>
        </w:tc>
      </w:tr>
      <w:tr w:rsidR="006D6816" w:rsidRPr="002F080E" w14:paraId="212943EE" w14:textId="77777777" w:rsidTr="006D6816">
        <w:trPr>
          <w:trHeight w:val="1440"/>
        </w:trPr>
        <w:tc>
          <w:tcPr>
            <w:tcW w:w="1134" w:type="dxa"/>
            <w:tcBorders>
              <w:top w:val="nil"/>
              <w:left w:val="nil"/>
              <w:bottom w:val="nil"/>
              <w:right w:val="nil"/>
            </w:tcBorders>
            <w:shd w:val="clear" w:color="D9D9D9" w:fill="D9D9D9"/>
            <w:vAlign w:val="center"/>
            <w:hideMark/>
          </w:tcPr>
          <w:p w14:paraId="433F0D74" w14:textId="244B3313"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017550</w:t>
            </w:r>
          </w:p>
        </w:tc>
        <w:tc>
          <w:tcPr>
            <w:tcW w:w="1134" w:type="dxa"/>
            <w:tcBorders>
              <w:top w:val="nil"/>
              <w:left w:val="nil"/>
              <w:bottom w:val="nil"/>
              <w:right w:val="nil"/>
            </w:tcBorders>
            <w:shd w:val="clear" w:color="D9D9D9" w:fill="D9D9D9"/>
            <w:vAlign w:val="center"/>
            <w:hideMark/>
          </w:tcPr>
          <w:p w14:paraId="64F3E2FF"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TEBSA</w:t>
            </w:r>
          </w:p>
        </w:tc>
        <w:tc>
          <w:tcPr>
            <w:tcW w:w="5669" w:type="dxa"/>
            <w:tcBorders>
              <w:top w:val="nil"/>
              <w:left w:val="nil"/>
              <w:bottom w:val="nil"/>
              <w:right w:val="nil"/>
            </w:tcBorders>
            <w:shd w:val="clear" w:color="D9D9D9" w:fill="D9D9D9"/>
            <w:vAlign w:val="center"/>
            <w:hideMark/>
          </w:tcPr>
          <w:p w14:paraId="017EEF31" w14:textId="5B648A2C"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 xml:space="preserve">Art. 2: </w:t>
            </w:r>
            <w:r w:rsidRPr="002F080E">
              <w:rPr>
                <w:rFonts w:ascii="Calibri" w:hAnsi="Calibri" w:cs="Calibri"/>
                <w:color w:val="000000"/>
                <w:sz w:val="22"/>
                <w:szCs w:val="22"/>
                <w:lang w:val="es-CO" w:eastAsia="es-CO"/>
              </w:rPr>
              <w:t>Al tener los mismos requisitos de participación que las demás actividades de la cadena, agradecemos a la comisión nos indique, ¿Cómo aplica la restricción de integración vertical a esta nueva actividad? Lo anterior a fin de propender por la prestación transparente del servicio y sin barreras de entrada o salida, permitiendo a su vez competencia en el mismo.</w:t>
            </w:r>
          </w:p>
        </w:tc>
        <w:tc>
          <w:tcPr>
            <w:tcW w:w="5669" w:type="dxa"/>
            <w:tcBorders>
              <w:top w:val="nil"/>
              <w:left w:val="nil"/>
              <w:bottom w:val="nil"/>
              <w:right w:val="nil"/>
            </w:tcBorders>
            <w:shd w:val="clear" w:color="D9D9D9" w:fill="D9D9D9"/>
            <w:vAlign w:val="center"/>
            <w:hideMark/>
          </w:tcPr>
          <w:p w14:paraId="7DAAEBE9"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En el artículo 4 del proyecto regulatorio se señala que estas actividades están sujetas a las disposiciones contenidas en la Resolución CREG 114 de 2018 o aquella que la modifique o sustituya. Allí se encuentran las restricciones aplicables sobre integración vertical y conflicto de intereses.</w:t>
            </w:r>
          </w:p>
        </w:tc>
      </w:tr>
      <w:tr w:rsidR="006D6816" w:rsidRPr="002F080E" w14:paraId="50B581D3" w14:textId="77777777" w:rsidTr="006D6816">
        <w:trPr>
          <w:trHeight w:val="2304"/>
        </w:trPr>
        <w:tc>
          <w:tcPr>
            <w:tcW w:w="1134" w:type="dxa"/>
            <w:tcBorders>
              <w:top w:val="nil"/>
              <w:left w:val="nil"/>
              <w:bottom w:val="nil"/>
              <w:right w:val="nil"/>
            </w:tcBorders>
            <w:shd w:val="clear" w:color="auto" w:fill="auto"/>
            <w:vAlign w:val="center"/>
            <w:hideMark/>
          </w:tcPr>
          <w:p w14:paraId="471FD142" w14:textId="50328DCA"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lastRenderedPageBreak/>
              <w:t>E-2023-</w:t>
            </w:r>
            <w:r w:rsidRPr="002F080E">
              <w:rPr>
                <w:rFonts w:ascii="Calibri" w:hAnsi="Calibri" w:cs="Calibri"/>
                <w:color w:val="000000"/>
                <w:sz w:val="22"/>
                <w:szCs w:val="22"/>
                <w:lang w:val="es-CO" w:eastAsia="es-CO"/>
              </w:rPr>
              <w:t>017566</w:t>
            </w:r>
          </w:p>
        </w:tc>
        <w:tc>
          <w:tcPr>
            <w:tcW w:w="1134" w:type="dxa"/>
            <w:tcBorders>
              <w:top w:val="nil"/>
              <w:left w:val="nil"/>
              <w:bottom w:val="nil"/>
              <w:right w:val="nil"/>
            </w:tcBorders>
            <w:shd w:val="clear" w:color="auto" w:fill="auto"/>
            <w:vAlign w:val="center"/>
            <w:hideMark/>
          </w:tcPr>
          <w:p w14:paraId="2AABBBFA"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ACCE</w:t>
            </w:r>
          </w:p>
        </w:tc>
        <w:tc>
          <w:tcPr>
            <w:tcW w:w="5669" w:type="dxa"/>
            <w:tcBorders>
              <w:top w:val="nil"/>
              <w:left w:val="nil"/>
              <w:bottom w:val="nil"/>
              <w:right w:val="nil"/>
            </w:tcBorders>
            <w:shd w:val="clear" w:color="auto" w:fill="auto"/>
            <w:vAlign w:val="center"/>
            <w:hideMark/>
          </w:tcPr>
          <w:p w14:paraId="3FA5B0EF" w14:textId="5D024338"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No entendemos la prioridad que se le está dando a la reglamentación de este tema de nuevos agentes “Administradores de Mecanismos de Comercialización, toda vez que ello, no aportará en el corto plazo 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solucionar</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los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problemas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desabastecimiento</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y</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falta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disponibilidad de energía para las Comercializadoras cubrir su demanda de energía y por ende, tener que asumir los usuarios tarifas al Precio de bolsa, que obviamente ante la posibilidad de ocurrencia de este fenómeno del Niño en Colombia, para el último trimestre de 2023 y el primero de 2024, implica escases y precios altos.</w:t>
            </w:r>
          </w:p>
        </w:tc>
        <w:tc>
          <w:tcPr>
            <w:tcW w:w="5669" w:type="dxa"/>
            <w:tcBorders>
              <w:top w:val="nil"/>
              <w:left w:val="nil"/>
              <w:bottom w:val="nil"/>
              <w:right w:val="nil"/>
            </w:tcBorders>
            <w:shd w:val="clear" w:color="auto" w:fill="auto"/>
            <w:vAlign w:val="center"/>
            <w:hideMark/>
          </w:tcPr>
          <w:p w14:paraId="5281981D"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Esta Comisión no encuentra incompatible la priorización de las medidas relacionadas con la posibilidad de ocurrencia del Fenómeno del Niño, con la expedición de esta propuesta regulatoria. Responde a la necesidad de promover la presentación de nuevas propuestas de mercado, que cumplan los principios y condiciones que promueven la eficiencia en las compras de energía por parte de quienes atienden a los usuarios finales del servicio.</w:t>
            </w:r>
          </w:p>
        </w:tc>
      </w:tr>
      <w:tr w:rsidR="006D6816" w:rsidRPr="002F080E" w14:paraId="34375BF7" w14:textId="77777777" w:rsidTr="006D6816">
        <w:trPr>
          <w:trHeight w:val="3744"/>
        </w:trPr>
        <w:tc>
          <w:tcPr>
            <w:tcW w:w="1134" w:type="dxa"/>
            <w:tcBorders>
              <w:top w:val="nil"/>
              <w:left w:val="nil"/>
              <w:bottom w:val="nil"/>
              <w:right w:val="nil"/>
            </w:tcBorders>
            <w:shd w:val="clear" w:color="D9D9D9" w:fill="D9D9D9"/>
            <w:vAlign w:val="center"/>
            <w:hideMark/>
          </w:tcPr>
          <w:p w14:paraId="5E426E11" w14:textId="601A323C"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017567</w:t>
            </w:r>
          </w:p>
        </w:tc>
        <w:tc>
          <w:tcPr>
            <w:tcW w:w="1134" w:type="dxa"/>
            <w:tcBorders>
              <w:top w:val="nil"/>
              <w:left w:val="nil"/>
              <w:bottom w:val="nil"/>
              <w:right w:val="nil"/>
            </w:tcBorders>
            <w:shd w:val="clear" w:color="D9D9D9" w:fill="D9D9D9"/>
            <w:vAlign w:val="center"/>
            <w:hideMark/>
          </w:tcPr>
          <w:p w14:paraId="35856A07"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ACCE</w:t>
            </w:r>
          </w:p>
        </w:tc>
        <w:tc>
          <w:tcPr>
            <w:tcW w:w="5669" w:type="dxa"/>
            <w:tcBorders>
              <w:top w:val="nil"/>
              <w:left w:val="nil"/>
              <w:bottom w:val="nil"/>
              <w:right w:val="nil"/>
            </w:tcBorders>
            <w:shd w:val="clear" w:color="D9D9D9" w:fill="D9D9D9"/>
            <w:vAlign w:val="center"/>
            <w:hideMark/>
          </w:tcPr>
          <w:p w14:paraId="18E41992" w14:textId="108AB3AB"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De aprobarse en este preciso momento, el traslado de las comisiones de dichos Administradores (</w:t>
            </w:r>
            <w:proofErr w:type="spellStart"/>
            <w:r w:rsidRPr="002F080E">
              <w:rPr>
                <w:rFonts w:ascii="Calibri" w:hAnsi="Calibri" w:cs="Calibri"/>
                <w:color w:val="000000"/>
                <w:sz w:val="22"/>
                <w:szCs w:val="22"/>
                <w:lang w:val="es-CO" w:eastAsia="es-CO"/>
              </w:rPr>
              <w:t>Derivex</w:t>
            </w:r>
            <w:proofErr w:type="spellEnd"/>
            <w:r w:rsidRPr="002F080E">
              <w:rPr>
                <w:rFonts w:ascii="Calibri" w:hAnsi="Calibri" w:cs="Calibri"/>
                <w:color w:val="000000"/>
                <w:sz w:val="22"/>
                <w:szCs w:val="22"/>
                <w:lang w:val="es-CO" w:eastAsia="es-CO"/>
              </w:rPr>
              <w:t xml:space="preserve"> y la BMC) a los usuarios vía tarifa, el impacto inicial será un incremento más en la tarifa al usuario final, situación que entendemos todos, es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contraria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los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objetivos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del</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gran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esfuerzo</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que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se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está</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adelantando para sobrellevar la situación por la que atraviesa el mercado eléctrico en estos días.</w:t>
            </w:r>
          </w:p>
        </w:tc>
        <w:tc>
          <w:tcPr>
            <w:tcW w:w="5669" w:type="dxa"/>
            <w:tcBorders>
              <w:top w:val="nil"/>
              <w:left w:val="nil"/>
              <w:bottom w:val="nil"/>
              <w:right w:val="nil"/>
            </w:tcBorders>
            <w:shd w:val="clear" w:color="D9D9D9" w:fill="D9D9D9"/>
            <w:vAlign w:val="center"/>
            <w:hideMark/>
          </w:tcPr>
          <w:p w14:paraId="3738FF83" w14:textId="29A9759C" w:rsidR="006D6816"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No toda actividad de la cadena debe tener una remuneración explícita en la tarifa. </w:t>
            </w:r>
          </w:p>
          <w:p w14:paraId="01B5BD9A" w14:textId="437B0EFF"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Para los mecanismos de comercialización resultantes de la aplicación de la Resolución CREG 114 de 2018, a l</w:t>
            </w:r>
            <w:r w:rsidRPr="006D6816">
              <w:rPr>
                <w:rFonts w:ascii="Calibri" w:hAnsi="Calibri" w:cs="Calibri"/>
                <w:color w:val="000000"/>
                <w:sz w:val="22"/>
                <w:szCs w:val="22"/>
                <w:lang w:val="es-CO" w:eastAsia="es-CO"/>
              </w:rPr>
              <w:t xml:space="preserve">a CREG </w:t>
            </w:r>
            <w:r>
              <w:rPr>
                <w:rFonts w:ascii="Calibri" w:hAnsi="Calibri" w:cs="Calibri"/>
                <w:color w:val="000000"/>
                <w:sz w:val="22"/>
                <w:szCs w:val="22"/>
                <w:lang w:val="es-CO" w:eastAsia="es-CO"/>
              </w:rPr>
              <w:t>le</w:t>
            </w:r>
            <w:r w:rsidRPr="006D6816">
              <w:rPr>
                <w:rFonts w:ascii="Calibri" w:hAnsi="Calibri" w:cs="Calibri"/>
                <w:color w:val="000000"/>
                <w:sz w:val="22"/>
                <w:szCs w:val="22"/>
                <w:lang w:val="es-CO" w:eastAsia="es-CO"/>
              </w:rPr>
              <w:t xml:space="preserve"> </w:t>
            </w:r>
            <w:r>
              <w:rPr>
                <w:rFonts w:ascii="Calibri" w:hAnsi="Calibri" w:cs="Calibri"/>
                <w:color w:val="000000"/>
                <w:sz w:val="22"/>
                <w:szCs w:val="22"/>
                <w:lang w:val="es-CO" w:eastAsia="es-CO"/>
              </w:rPr>
              <w:t>corresponde</w:t>
            </w:r>
            <w:r w:rsidRPr="006D6816">
              <w:rPr>
                <w:rFonts w:ascii="Calibri" w:hAnsi="Calibri" w:cs="Calibri"/>
                <w:color w:val="000000"/>
                <w:sz w:val="22"/>
                <w:szCs w:val="22"/>
                <w:lang w:val="es-CO" w:eastAsia="es-CO"/>
              </w:rPr>
              <w:t xml:space="preserve"> evaluar el cumplimiento de los principios y condiciones establecidos en la Resolución 114 de 2018 y, en </w:t>
            </w:r>
            <w:r>
              <w:rPr>
                <w:rFonts w:ascii="Calibri" w:hAnsi="Calibri" w:cs="Calibri"/>
                <w:color w:val="000000"/>
                <w:sz w:val="22"/>
                <w:szCs w:val="22"/>
                <w:lang w:val="es-CO" w:eastAsia="es-CO"/>
              </w:rPr>
              <w:t>caso de verificarlos</w:t>
            </w:r>
            <w:r w:rsidRPr="006D6816">
              <w:rPr>
                <w:rFonts w:ascii="Calibri" w:hAnsi="Calibri" w:cs="Calibri"/>
                <w:color w:val="000000"/>
                <w:sz w:val="22"/>
                <w:szCs w:val="22"/>
                <w:lang w:val="es-CO" w:eastAsia="es-CO"/>
              </w:rPr>
              <w:t>, autoriza y establece las condiciones de traslado.</w:t>
            </w:r>
          </w:p>
        </w:tc>
      </w:tr>
      <w:tr w:rsidR="006D6816" w:rsidRPr="002F080E" w14:paraId="7A721EE7" w14:textId="77777777" w:rsidTr="006D6816">
        <w:trPr>
          <w:trHeight w:val="1728"/>
        </w:trPr>
        <w:tc>
          <w:tcPr>
            <w:tcW w:w="1134" w:type="dxa"/>
            <w:tcBorders>
              <w:top w:val="nil"/>
              <w:left w:val="nil"/>
              <w:bottom w:val="nil"/>
              <w:right w:val="nil"/>
            </w:tcBorders>
            <w:shd w:val="clear" w:color="auto" w:fill="auto"/>
            <w:vAlign w:val="center"/>
            <w:hideMark/>
          </w:tcPr>
          <w:p w14:paraId="4ACFF437" w14:textId="4D17323E"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lastRenderedPageBreak/>
              <w:t>E-2023-</w:t>
            </w:r>
            <w:r w:rsidRPr="002F080E">
              <w:rPr>
                <w:rFonts w:ascii="Calibri" w:hAnsi="Calibri" w:cs="Calibri"/>
                <w:color w:val="000000"/>
                <w:sz w:val="22"/>
                <w:szCs w:val="22"/>
                <w:lang w:val="es-CO" w:eastAsia="es-CO"/>
              </w:rPr>
              <w:t>017581</w:t>
            </w:r>
          </w:p>
        </w:tc>
        <w:tc>
          <w:tcPr>
            <w:tcW w:w="1134" w:type="dxa"/>
            <w:tcBorders>
              <w:top w:val="nil"/>
              <w:left w:val="nil"/>
              <w:bottom w:val="nil"/>
              <w:right w:val="nil"/>
            </w:tcBorders>
            <w:shd w:val="clear" w:color="auto" w:fill="auto"/>
            <w:vAlign w:val="center"/>
            <w:hideMark/>
          </w:tcPr>
          <w:p w14:paraId="26D8B886"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EPM</w:t>
            </w:r>
          </w:p>
        </w:tc>
        <w:tc>
          <w:tcPr>
            <w:tcW w:w="5669" w:type="dxa"/>
            <w:tcBorders>
              <w:top w:val="nil"/>
              <w:left w:val="nil"/>
              <w:bottom w:val="nil"/>
              <w:right w:val="nil"/>
            </w:tcBorders>
            <w:shd w:val="clear" w:color="auto" w:fill="auto"/>
            <w:vAlign w:val="center"/>
            <w:hideMark/>
          </w:tcPr>
          <w:p w14:paraId="203DDB92" w14:textId="266AE9B1"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Con ocasión de la disminución del límite de compras entre empresas integradas dispuesto en la Resolución CREG 130 de 2019, las empresas comercializadoras integradas se han visto limitadas para realizar su cobertura de contratación, toda vez que la oferta en contratos se les ha visto disminuida en aplicación de estas medidas, lo cual se une en la actualidad a la difícil situación producto del Fenómeno de El Niño</w:t>
            </w:r>
          </w:p>
        </w:tc>
        <w:tc>
          <w:tcPr>
            <w:tcW w:w="5669" w:type="dxa"/>
            <w:tcBorders>
              <w:top w:val="nil"/>
              <w:left w:val="nil"/>
              <w:bottom w:val="nil"/>
              <w:right w:val="nil"/>
            </w:tcBorders>
            <w:shd w:val="clear" w:color="auto" w:fill="auto"/>
            <w:vAlign w:val="center"/>
            <w:hideMark/>
          </w:tcPr>
          <w:p w14:paraId="001D2DC9"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Este comentario no corresponde al alcance de la presente resolución, sin embargo, fue considerado en el análisis de las reglas propuestas en el Proyecto Regulatorio CREG 701 021 de 2023</w:t>
            </w:r>
          </w:p>
        </w:tc>
      </w:tr>
      <w:tr w:rsidR="006D6816" w:rsidRPr="002F080E" w14:paraId="644EE4B2" w14:textId="77777777" w:rsidTr="006D6816">
        <w:trPr>
          <w:trHeight w:val="2304"/>
        </w:trPr>
        <w:tc>
          <w:tcPr>
            <w:tcW w:w="1134" w:type="dxa"/>
            <w:tcBorders>
              <w:top w:val="nil"/>
              <w:left w:val="nil"/>
              <w:bottom w:val="nil"/>
              <w:right w:val="nil"/>
            </w:tcBorders>
            <w:shd w:val="clear" w:color="D9D9D9" w:fill="D9D9D9"/>
            <w:vAlign w:val="center"/>
            <w:hideMark/>
          </w:tcPr>
          <w:p w14:paraId="07188E8A" w14:textId="32E87D13"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017591</w:t>
            </w:r>
          </w:p>
        </w:tc>
        <w:tc>
          <w:tcPr>
            <w:tcW w:w="1134" w:type="dxa"/>
            <w:tcBorders>
              <w:top w:val="nil"/>
              <w:left w:val="nil"/>
              <w:bottom w:val="nil"/>
              <w:right w:val="nil"/>
            </w:tcBorders>
            <w:shd w:val="clear" w:color="D9D9D9" w:fill="D9D9D9"/>
            <w:vAlign w:val="center"/>
            <w:hideMark/>
          </w:tcPr>
          <w:p w14:paraId="54210758"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DERIVEX</w:t>
            </w:r>
          </w:p>
        </w:tc>
        <w:tc>
          <w:tcPr>
            <w:tcW w:w="5669" w:type="dxa"/>
            <w:tcBorders>
              <w:top w:val="nil"/>
              <w:left w:val="nil"/>
              <w:bottom w:val="nil"/>
              <w:right w:val="nil"/>
            </w:tcBorders>
            <w:shd w:val="clear" w:color="D9D9D9" w:fill="D9D9D9"/>
            <w:vAlign w:val="center"/>
            <w:hideMark/>
          </w:tcPr>
          <w:p w14:paraId="79ABFF65" w14:textId="6077FE24"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La Comisión debe propender por la igualdad de condiciones e incentivar la participación de los agentes en Convocatorias Públicas de compra de energía que resulten en contratos que por su naturaleza no requieran, para su ejecución, del registro y asignación por parte del ASIC.</w:t>
            </w:r>
          </w:p>
        </w:tc>
        <w:tc>
          <w:tcPr>
            <w:tcW w:w="5669" w:type="dxa"/>
            <w:tcBorders>
              <w:top w:val="nil"/>
              <w:left w:val="nil"/>
              <w:bottom w:val="nil"/>
              <w:right w:val="nil"/>
            </w:tcBorders>
            <w:shd w:val="clear" w:color="D9D9D9" w:fill="D9D9D9"/>
            <w:vAlign w:val="center"/>
            <w:hideMark/>
          </w:tcPr>
          <w:p w14:paraId="5671BC3A" w14:textId="4E58A0B5"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Los agentes deciden libremente si participan o no en los mecanismos que sean presentados en el marco de la Resolución CREG 114 de 2018. La promoción de este tipo de mecanismos es responsabilidad exclusiva de sus promotores, administradores y ejecutores. La CREG </w:t>
            </w:r>
            <w:r>
              <w:rPr>
                <w:rFonts w:ascii="Calibri" w:hAnsi="Calibri" w:cs="Calibri"/>
                <w:color w:val="000000"/>
                <w:sz w:val="22"/>
                <w:szCs w:val="22"/>
                <w:lang w:val="es-CO" w:eastAsia="es-CO"/>
              </w:rPr>
              <w:t>se limita en estos casos a</w:t>
            </w:r>
            <w:r w:rsidRPr="002F080E">
              <w:rPr>
                <w:rFonts w:ascii="Calibri" w:hAnsi="Calibri" w:cs="Calibri"/>
                <w:color w:val="000000"/>
                <w:sz w:val="22"/>
                <w:szCs w:val="22"/>
                <w:lang w:val="es-CO" w:eastAsia="es-CO"/>
              </w:rPr>
              <w:t xml:space="preserve"> eval</w:t>
            </w:r>
            <w:r>
              <w:rPr>
                <w:rFonts w:ascii="Calibri" w:hAnsi="Calibri" w:cs="Calibri"/>
                <w:color w:val="000000"/>
                <w:sz w:val="22"/>
                <w:szCs w:val="22"/>
                <w:lang w:val="es-CO" w:eastAsia="es-CO"/>
              </w:rPr>
              <w:t>uar</w:t>
            </w:r>
            <w:r w:rsidRPr="002F080E">
              <w:rPr>
                <w:rFonts w:ascii="Calibri" w:hAnsi="Calibri" w:cs="Calibri"/>
                <w:color w:val="000000"/>
                <w:sz w:val="22"/>
                <w:szCs w:val="22"/>
                <w:lang w:val="es-CO" w:eastAsia="es-CO"/>
              </w:rPr>
              <w:t xml:space="preserve"> el cumplimiento de los principios y condiciones establecidos</w:t>
            </w:r>
            <w:r>
              <w:rPr>
                <w:rFonts w:ascii="Calibri" w:hAnsi="Calibri" w:cs="Calibri"/>
                <w:color w:val="000000"/>
                <w:sz w:val="22"/>
                <w:szCs w:val="22"/>
                <w:lang w:val="es-CO" w:eastAsia="es-CO"/>
              </w:rPr>
              <w:t xml:space="preserve"> en </w:t>
            </w:r>
            <w:proofErr w:type="spellStart"/>
            <w:r>
              <w:rPr>
                <w:rFonts w:ascii="Calibri" w:hAnsi="Calibri" w:cs="Calibri"/>
                <w:color w:val="000000"/>
                <w:sz w:val="22"/>
                <w:szCs w:val="22"/>
                <w:lang w:val="es-CO" w:eastAsia="es-CO"/>
              </w:rPr>
              <w:t>al</w:t>
            </w:r>
            <w:proofErr w:type="spellEnd"/>
            <w:r>
              <w:rPr>
                <w:rFonts w:ascii="Calibri" w:hAnsi="Calibri" w:cs="Calibri"/>
                <w:color w:val="000000"/>
                <w:sz w:val="22"/>
                <w:szCs w:val="22"/>
                <w:lang w:val="es-CO" w:eastAsia="es-CO"/>
              </w:rPr>
              <w:t xml:space="preserve"> Resolución 114 de 2018</w:t>
            </w:r>
            <w:r w:rsidRPr="002F080E">
              <w:rPr>
                <w:rFonts w:ascii="Calibri" w:hAnsi="Calibri" w:cs="Calibri"/>
                <w:color w:val="000000"/>
                <w:sz w:val="22"/>
                <w:szCs w:val="22"/>
                <w:lang w:val="es-CO" w:eastAsia="es-CO"/>
              </w:rPr>
              <w:t xml:space="preserve"> </w:t>
            </w:r>
            <w:r w:rsidRPr="006D6816">
              <w:rPr>
                <w:rFonts w:ascii="Calibri" w:hAnsi="Calibri" w:cs="Calibri"/>
                <w:color w:val="000000"/>
                <w:sz w:val="22"/>
                <w:szCs w:val="22"/>
                <w:lang w:val="es-CO" w:eastAsia="es-CO"/>
              </w:rPr>
              <w:t xml:space="preserve">y, en </w:t>
            </w:r>
            <w:r>
              <w:rPr>
                <w:rFonts w:ascii="Calibri" w:hAnsi="Calibri" w:cs="Calibri"/>
                <w:color w:val="000000"/>
                <w:sz w:val="22"/>
                <w:szCs w:val="22"/>
                <w:lang w:val="es-CO" w:eastAsia="es-CO"/>
              </w:rPr>
              <w:t>caso de verificarlos</w:t>
            </w:r>
            <w:r w:rsidRPr="006D6816">
              <w:rPr>
                <w:rFonts w:ascii="Calibri" w:hAnsi="Calibri" w:cs="Calibri"/>
                <w:color w:val="000000"/>
                <w:sz w:val="22"/>
                <w:szCs w:val="22"/>
                <w:lang w:val="es-CO" w:eastAsia="es-CO"/>
              </w:rPr>
              <w:t>, autoriza y establece las condiciones de traslado.</w:t>
            </w:r>
          </w:p>
        </w:tc>
      </w:tr>
      <w:tr w:rsidR="006D6816" w:rsidRPr="002F080E" w14:paraId="501A716B" w14:textId="77777777" w:rsidTr="006D6816">
        <w:trPr>
          <w:trHeight w:val="2016"/>
        </w:trPr>
        <w:tc>
          <w:tcPr>
            <w:tcW w:w="1134" w:type="dxa"/>
            <w:tcBorders>
              <w:top w:val="nil"/>
              <w:left w:val="nil"/>
              <w:bottom w:val="nil"/>
              <w:right w:val="nil"/>
            </w:tcBorders>
            <w:shd w:val="clear" w:color="auto" w:fill="auto"/>
            <w:vAlign w:val="center"/>
            <w:hideMark/>
          </w:tcPr>
          <w:p w14:paraId="41A86285" w14:textId="248954C8"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017591</w:t>
            </w:r>
          </w:p>
        </w:tc>
        <w:tc>
          <w:tcPr>
            <w:tcW w:w="1134" w:type="dxa"/>
            <w:tcBorders>
              <w:top w:val="nil"/>
              <w:left w:val="nil"/>
              <w:bottom w:val="nil"/>
              <w:right w:val="nil"/>
            </w:tcBorders>
            <w:shd w:val="clear" w:color="auto" w:fill="auto"/>
            <w:vAlign w:val="center"/>
            <w:hideMark/>
          </w:tcPr>
          <w:p w14:paraId="73D86AB2"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DERIVEX</w:t>
            </w:r>
          </w:p>
        </w:tc>
        <w:tc>
          <w:tcPr>
            <w:tcW w:w="5669" w:type="dxa"/>
            <w:tcBorders>
              <w:top w:val="nil"/>
              <w:left w:val="nil"/>
              <w:bottom w:val="nil"/>
              <w:right w:val="nil"/>
            </w:tcBorders>
            <w:shd w:val="clear" w:color="auto" w:fill="auto"/>
            <w:vAlign w:val="center"/>
            <w:hideMark/>
          </w:tcPr>
          <w:p w14:paraId="2A644DD1" w14:textId="7ECED96C"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 xml:space="preserve">Para el caso particular de los agentes del sector eléctrico inscritos en el mecanismo </w:t>
            </w:r>
            <w:proofErr w:type="spellStart"/>
            <w:r>
              <w:rPr>
                <w:rFonts w:ascii="Calibri" w:hAnsi="Calibri" w:cs="Calibri"/>
                <w:color w:val="000000"/>
                <w:sz w:val="22"/>
                <w:szCs w:val="22"/>
                <w:lang w:val="es-CO" w:eastAsia="es-CO"/>
              </w:rPr>
              <w:t>Derivex</w:t>
            </w:r>
            <w:proofErr w:type="spellEnd"/>
            <w:r>
              <w:rPr>
                <w:rFonts w:ascii="Calibri" w:hAnsi="Calibri" w:cs="Calibri"/>
                <w:color w:val="000000"/>
                <w:sz w:val="22"/>
                <w:szCs w:val="22"/>
                <w:lang w:val="es-CO" w:eastAsia="es-CO"/>
              </w:rPr>
              <w:t>-CRC, los valores base de cumplimiento de los indicadores de la Resolución 101 020 de 2022 genera un desincentivo y dificulta su cumplimiento ante los inconvenientes de contratación de energía por la disminución de la oferta.</w:t>
            </w:r>
          </w:p>
        </w:tc>
        <w:tc>
          <w:tcPr>
            <w:tcW w:w="5669" w:type="dxa"/>
            <w:tcBorders>
              <w:top w:val="nil"/>
              <w:left w:val="nil"/>
              <w:bottom w:val="nil"/>
              <w:right w:val="nil"/>
            </w:tcBorders>
            <w:shd w:val="clear" w:color="auto" w:fill="auto"/>
            <w:vAlign w:val="center"/>
            <w:hideMark/>
          </w:tcPr>
          <w:p w14:paraId="650A1D7F"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El establecimiento de los indicadores de cumplimiento es resultado de lo dispuesto en la R. 114 de 2018 y son necesarios para realizar el seguimiento del desempeño de estos mecanismos. En todo caso, para el caso particular referido, se estableció un periodo de transición en el cual la </w:t>
            </w:r>
            <w:r w:rsidRPr="002F080E">
              <w:rPr>
                <w:rFonts w:ascii="Calibri" w:hAnsi="Calibri" w:cs="Calibri"/>
                <w:color w:val="000000"/>
                <w:sz w:val="22"/>
                <w:szCs w:val="22"/>
                <w:lang w:val="es-CO" w:eastAsia="es-CO"/>
              </w:rPr>
              <w:lastRenderedPageBreak/>
              <w:t>evaluación de indicadores durante los primeros años sería indicativa.</w:t>
            </w:r>
          </w:p>
        </w:tc>
      </w:tr>
      <w:tr w:rsidR="006D6816" w:rsidRPr="002F080E" w14:paraId="76B9FBB9" w14:textId="77777777" w:rsidTr="006D6816">
        <w:trPr>
          <w:trHeight w:val="1440"/>
        </w:trPr>
        <w:tc>
          <w:tcPr>
            <w:tcW w:w="1134" w:type="dxa"/>
            <w:tcBorders>
              <w:top w:val="nil"/>
              <w:left w:val="nil"/>
              <w:bottom w:val="nil"/>
              <w:right w:val="nil"/>
            </w:tcBorders>
            <w:shd w:val="clear" w:color="D9D9D9" w:fill="D9D9D9"/>
            <w:vAlign w:val="center"/>
            <w:hideMark/>
          </w:tcPr>
          <w:p w14:paraId="217DFF5F" w14:textId="13271E05"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lastRenderedPageBreak/>
              <w:t>E-2023-</w:t>
            </w:r>
            <w:r w:rsidRPr="002F080E">
              <w:rPr>
                <w:rFonts w:ascii="Calibri" w:hAnsi="Calibri" w:cs="Calibri"/>
                <w:color w:val="000000"/>
                <w:sz w:val="22"/>
                <w:szCs w:val="22"/>
                <w:lang w:val="es-CO" w:eastAsia="es-CO"/>
              </w:rPr>
              <w:t>017594</w:t>
            </w:r>
          </w:p>
        </w:tc>
        <w:tc>
          <w:tcPr>
            <w:tcW w:w="1134" w:type="dxa"/>
            <w:tcBorders>
              <w:top w:val="nil"/>
              <w:left w:val="nil"/>
              <w:bottom w:val="nil"/>
              <w:right w:val="nil"/>
            </w:tcBorders>
            <w:shd w:val="clear" w:color="D9D9D9" w:fill="D9D9D9"/>
            <w:vAlign w:val="center"/>
            <w:hideMark/>
          </w:tcPr>
          <w:p w14:paraId="79BAAFC2"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OGE Legal </w:t>
            </w:r>
            <w:proofErr w:type="spellStart"/>
            <w:r w:rsidRPr="002F080E">
              <w:rPr>
                <w:rFonts w:ascii="Calibri" w:hAnsi="Calibri" w:cs="Calibri"/>
                <w:color w:val="000000"/>
                <w:sz w:val="22"/>
                <w:szCs w:val="22"/>
                <w:lang w:val="es-CO" w:eastAsia="es-CO"/>
              </w:rPr>
              <w:t>Services</w:t>
            </w:r>
            <w:proofErr w:type="spellEnd"/>
          </w:p>
        </w:tc>
        <w:tc>
          <w:tcPr>
            <w:tcW w:w="5669" w:type="dxa"/>
            <w:tcBorders>
              <w:top w:val="nil"/>
              <w:left w:val="nil"/>
              <w:bottom w:val="nil"/>
              <w:right w:val="nil"/>
            </w:tcBorders>
            <w:shd w:val="clear" w:color="D9D9D9" w:fill="D9D9D9"/>
            <w:vAlign w:val="center"/>
            <w:hideMark/>
          </w:tcPr>
          <w:p w14:paraId="2D3894AF"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El parágrafo del artículo 2 establece que artículo no aplica a aquellos mecanismos que resulten en contratos que por su naturaleza no requieran, para su ejecución, del registro y asignación por parte del ASIC. En tal sentido se pregunta: ¿No aplica a los contratos de suministro de energía que se celebran con </w:t>
            </w:r>
            <w:proofErr w:type="spellStart"/>
            <w:r w:rsidRPr="002F080E">
              <w:rPr>
                <w:rFonts w:ascii="Calibri" w:hAnsi="Calibri" w:cs="Calibri"/>
                <w:color w:val="000000"/>
                <w:sz w:val="22"/>
                <w:szCs w:val="22"/>
                <w:lang w:val="es-CO" w:eastAsia="es-CO"/>
              </w:rPr>
              <w:t>Autogeneradores</w:t>
            </w:r>
            <w:proofErr w:type="spellEnd"/>
            <w:r w:rsidRPr="002F080E">
              <w:rPr>
                <w:rFonts w:ascii="Calibri" w:hAnsi="Calibri" w:cs="Calibri"/>
                <w:color w:val="000000"/>
                <w:sz w:val="22"/>
                <w:szCs w:val="22"/>
                <w:lang w:val="es-CO" w:eastAsia="es-CO"/>
              </w:rPr>
              <w:t xml:space="preserve">? </w:t>
            </w:r>
          </w:p>
        </w:tc>
        <w:tc>
          <w:tcPr>
            <w:tcW w:w="5669" w:type="dxa"/>
            <w:tcBorders>
              <w:top w:val="nil"/>
              <w:left w:val="nil"/>
              <w:bottom w:val="nil"/>
              <w:right w:val="nil"/>
            </w:tcBorders>
            <w:shd w:val="clear" w:color="D9D9D9" w:fill="D9D9D9"/>
            <w:vAlign w:val="center"/>
            <w:hideMark/>
          </w:tcPr>
          <w:p w14:paraId="6EACD025"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Se aclara en el parágrafo del artículo referido que estas actividades únicamente hacen referencia a mecanismos de comercialización resultantes de la aplicación de la Resolución CREG 114 de 2018.</w:t>
            </w:r>
          </w:p>
        </w:tc>
      </w:tr>
      <w:tr w:rsidR="006D6816" w:rsidRPr="002F080E" w14:paraId="51AE23D6" w14:textId="77777777" w:rsidTr="006D6816">
        <w:trPr>
          <w:trHeight w:val="1152"/>
        </w:trPr>
        <w:tc>
          <w:tcPr>
            <w:tcW w:w="1134" w:type="dxa"/>
            <w:tcBorders>
              <w:top w:val="nil"/>
              <w:left w:val="nil"/>
              <w:bottom w:val="nil"/>
              <w:right w:val="nil"/>
            </w:tcBorders>
            <w:shd w:val="clear" w:color="auto" w:fill="auto"/>
            <w:vAlign w:val="center"/>
            <w:hideMark/>
          </w:tcPr>
          <w:p w14:paraId="57FAD1C8" w14:textId="3BBE1A59"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017594</w:t>
            </w:r>
          </w:p>
        </w:tc>
        <w:tc>
          <w:tcPr>
            <w:tcW w:w="1134" w:type="dxa"/>
            <w:tcBorders>
              <w:top w:val="nil"/>
              <w:left w:val="nil"/>
              <w:bottom w:val="nil"/>
              <w:right w:val="nil"/>
            </w:tcBorders>
            <w:shd w:val="clear" w:color="auto" w:fill="auto"/>
            <w:vAlign w:val="center"/>
            <w:hideMark/>
          </w:tcPr>
          <w:p w14:paraId="4C4EBCF3"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OGE Legal </w:t>
            </w:r>
            <w:proofErr w:type="spellStart"/>
            <w:r w:rsidRPr="002F080E">
              <w:rPr>
                <w:rFonts w:ascii="Calibri" w:hAnsi="Calibri" w:cs="Calibri"/>
                <w:color w:val="000000"/>
                <w:sz w:val="22"/>
                <w:szCs w:val="22"/>
                <w:lang w:val="es-CO" w:eastAsia="es-CO"/>
              </w:rPr>
              <w:t>Services</w:t>
            </w:r>
            <w:proofErr w:type="spellEnd"/>
          </w:p>
        </w:tc>
        <w:tc>
          <w:tcPr>
            <w:tcW w:w="5669" w:type="dxa"/>
            <w:tcBorders>
              <w:top w:val="nil"/>
              <w:left w:val="nil"/>
              <w:bottom w:val="nil"/>
              <w:right w:val="nil"/>
            </w:tcBorders>
            <w:shd w:val="clear" w:color="auto" w:fill="auto"/>
            <w:vAlign w:val="center"/>
            <w:hideMark/>
          </w:tcPr>
          <w:p w14:paraId="18709A4F"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Se sugiere incluir en el artículo 4 que las actividades señaladas en el artículo 2, están sujetas a las disposiciones contenidas en la ley 142 de 1994 y la Resolución CREG 114 de 2018 o aquella que la modifique o sustituya. Se sugiere adicionar la referencia a la ley 142 de 1994. </w:t>
            </w:r>
          </w:p>
        </w:tc>
        <w:tc>
          <w:tcPr>
            <w:tcW w:w="5669" w:type="dxa"/>
            <w:tcBorders>
              <w:top w:val="nil"/>
              <w:left w:val="nil"/>
              <w:bottom w:val="nil"/>
              <w:right w:val="nil"/>
            </w:tcBorders>
            <w:shd w:val="clear" w:color="auto" w:fill="auto"/>
            <w:vAlign w:val="center"/>
            <w:hideMark/>
          </w:tcPr>
          <w:p w14:paraId="32DC8A30"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Se acoge el comentario.</w:t>
            </w:r>
          </w:p>
        </w:tc>
      </w:tr>
      <w:tr w:rsidR="006D6816" w:rsidRPr="002F080E" w14:paraId="0CD86481" w14:textId="77777777" w:rsidTr="006D6816">
        <w:trPr>
          <w:trHeight w:val="1728"/>
        </w:trPr>
        <w:tc>
          <w:tcPr>
            <w:tcW w:w="1134" w:type="dxa"/>
            <w:tcBorders>
              <w:top w:val="nil"/>
              <w:left w:val="nil"/>
              <w:bottom w:val="nil"/>
              <w:right w:val="nil"/>
            </w:tcBorders>
            <w:shd w:val="clear" w:color="D9D9D9" w:fill="D9D9D9"/>
            <w:vAlign w:val="center"/>
            <w:hideMark/>
          </w:tcPr>
          <w:p w14:paraId="20A19EC3" w14:textId="7E64C111"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017594</w:t>
            </w:r>
          </w:p>
        </w:tc>
        <w:tc>
          <w:tcPr>
            <w:tcW w:w="1134" w:type="dxa"/>
            <w:tcBorders>
              <w:top w:val="nil"/>
              <w:left w:val="nil"/>
              <w:bottom w:val="nil"/>
              <w:right w:val="nil"/>
            </w:tcBorders>
            <w:shd w:val="clear" w:color="D9D9D9" w:fill="D9D9D9"/>
            <w:vAlign w:val="center"/>
            <w:hideMark/>
          </w:tcPr>
          <w:p w14:paraId="73546665"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OGE Legal </w:t>
            </w:r>
            <w:proofErr w:type="spellStart"/>
            <w:r w:rsidRPr="002F080E">
              <w:rPr>
                <w:rFonts w:ascii="Calibri" w:hAnsi="Calibri" w:cs="Calibri"/>
                <w:color w:val="000000"/>
                <w:sz w:val="22"/>
                <w:szCs w:val="22"/>
                <w:lang w:val="es-CO" w:eastAsia="es-CO"/>
              </w:rPr>
              <w:t>Services</w:t>
            </w:r>
            <w:proofErr w:type="spellEnd"/>
          </w:p>
        </w:tc>
        <w:tc>
          <w:tcPr>
            <w:tcW w:w="5669" w:type="dxa"/>
            <w:tcBorders>
              <w:top w:val="nil"/>
              <w:left w:val="nil"/>
              <w:bottom w:val="nil"/>
              <w:right w:val="nil"/>
            </w:tcBorders>
            <w:shd w:val="clear" w:color="D9D9D9" w:fill="D9D9D9"/>
            <w:vAlign w:val="center"/>
            <w:hideMark/>
          </w:tcPr>
          <w:p w14:paraId="14F4D652" w14:textId="74F8E062"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¿El</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prestador</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las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actividades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Administración,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la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Administración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Riesgo</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y</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la</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Ejecución</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de mecanismos de comercialización realizada sobre contratos a ser registrados deben ser independientes a los</w:t>
            </w:r>
            <w:r>
              <w:rPr>
                <w:rFonts w:ascii="Calibri" w:hAnsi="Calibri" w:cs="Calibri"/>
                <w:color w:val="000000"/>
                <w:sz w:val="22"/>
                <w:szCs w:val="22"/>
                <w:lang w:val="es-CO" w:eastAsia="es-CO"/>
              </w:rPr>
              <w:t xml:space="preserve"> </w:t>
            </w:r>
            <w:r w:rsidRPr="002F080E">
              <w:rPr>
                <w:rFonts w:ascii="Calibri" w:hAnsi="Calibri" w:cs="Calibri"/>
                <w:color w:val="000000"/>
                <w:sz w:val="22"/>
                <w:szCs w:val="22"/>
                <w:lang w:val="es-CO" w:eastAsia="es-CO"/>
              </w:rPr>
              <w:t xml:space="preserve">agentes del mercado de energía? ¿Pueden tener participación de algún participante </w:t>
            </w:r>
            <w:r w:rsidRPr="002F080E">
              <w:rPr>
                <w:rFonts w:ascii="Calibri" w:hAnsi="Calibri" w:cs="Calibri"/>
                <w:color w:val="000000"/>
                <w:sz w:val="22"/>
                <w:szCs w:val="22"/>
                <w:lang w:val="es-CO" w:eastAsia="es-CO"/>
              </w:rPr>
              <w:lastRenderedPageBreak/>
              <w:t>del mercado de energía? En ese caso, ¿Qué porcentaje puede tener para no afectar la independencia y autonomía?</w:t>
            </w:r>
          </w:p>
        </w:tc>
        <w:tc>
          <w:tcPr>
            <w:tcW w:w="5669" w:type="dxa"/>
            <w:tcBorders>
              <w:top w:val="nil"/>
              <w:left w:val="nil"/>
              <w:bottom w:val="nil"/>
              <w:right w:val="nil"/>
            </w:tcBorders>
            <w:shd w:val="clear" w:color="D9D9D9" w:fill="D9D9D9"/>
            <w:vAlign w:val="center"/>
            <w:hideMark/>
          </w:tcPr>
          <w:p w14:paraId="0FCED545"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lastRenderedPageBreak/>
              <w:t>En el artículo 4 del proyecto regulatorio se señala que estas actividades están sujetas a las disposiciones contenidas en la Resolución CREG 114 de 2018 o aquella que la modifique o sustituya. Allí se encuentran las restricciones aplicables sobre integración vertical y conflicto de intereses.</w:t>
            </w:r>
          </w:p>
        </w:tc>
      </w:tr>
      <w:tr w:rsidR="006D6816" w:rsidRPr="002F080E" w14:paraId="35EEEA4E" w14:textId="77777777" w:rsidTr="006D6816">
        <w:trPr>
          <w:trHeight w:val="2592"/>
        </w:trPr>
        <w:tc>
          <w:tcPr>
            <w:tcW w:w="1134" w:type="dxa"/>
            <w:tcBorders>
              <w:top w:val="nil"/>
              <w:left w:val="nil"/>
              <w:bottom w:val="single" w:sz="4" w:space="0" w:color="000000"/>
              <w:right w:val="nil"/>
            </w:tcBorders>
            <w:shd w:val="clear" w:color="auto" w:fill="auto"/>
            <w:vAlign w:val="center"/>
            <w:hideMark/>
          </w:tcPr>
          <w:p w14:paraId="64945153" w14:textId="5C360A97" w:rsidR="006D6816" w:rsidRPr="002F080E" w:rsidRDefault="006D6816" w:rsidP="00A55A31">
            <w:pPr>
              <w:spacing w:line="360" w:lineRule="auto"/>
              <w:jc w:val="left"/>
              <w:rPr>
                <w:rFonts w:ascii="Calibri" w:hAnsi="Calibri" w:cs="Calibri"/>
                <w:color w:val="000000"/>
                <w:sz w:val="22"/>
                <w:szCs w:val="22"/>
                <w:lang w:val="es-CO" w:eastAsia="es-CO"/>
              </w:rPr>
            </w:pPr>
            <w:r>
              <w:rPr>
                <w:rFonts w:ascii="Calibri" w:hAnsi="Calibri" w:cs="Calibri"/>
                <w:color w:val="000000"/>
                <w:sz w:val="22"/>
                <w:szCs w:val="22"/>
                <w:lang w:val="es-CO" w:eastAsia="es-CO"/>
              </w:rPr>
              <w:t>E-2023-</w:t>
            </w:r>
            <w:r w:rsidRPr="002F080E">
              <w:rPr>
                <w:rFonts w:ascii="Calibri" w:hAnsi="Calibri" w:cs="Calibri"/>
                <w:color w:val="000000"/>
                <w:sz w:val="22"/>
                <w:szCs w:val="22"/>
                <w:lang w:val="es-CO" w:eastAsia="es-CO"/>
              </w:rPr>
              <w:t>017615</w:t>
            </w:r>
          </w:p>
        </w:tc>
        <w:tc>
          <w:tcPr>
            <w:tcW w:w="1134" w:type="dxa"/>
            <w:tcBorders>
              <w:top w:val="nil"/>
              <w:left w:val="nil"/>
              <w:bottom w:val="single" w:sz="4" w:space="0" w:color="000000"/>
              <w:right w:val="nil"/>
            </w:tcBorders>
            <w:shd w:val="clear" w:color="auto" w:fill="auto"/>
            <w:vAlign w:val="center"/>
            <w:hideMark/>
          </w:tcPr>
          <w:p w14:paraId="2900BA4A" w14:textId="77777777" w:rsidR="006D6816" w:rsidRPr="002F080E" w:rsidRDefault="006D6816" w:rsidP="00A55A31">
            <w:pPr>
              <w:spacing w:line="360" w:lineRule="auto"/>
              <w:jc w:val="center"/>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ACOLGEN</w:t>
            </w:r>
          </w:p>
        </w:tc>
        <w:tc>
          <w:tcPr>
            <w:tcW w:w="5669" w:type="dxa"/>
            <w:tcBorders>
              <w:top w:val="nil"/>
              <w:left w:val="nil"/>
              <w:bottom w:val="single" w:sz="4" w:space="0" w:color="000000"/>
              <w:right w:val="nil"/>
            </w:tcBorders>
            <w:shd w:val="clear" w:color="auto" w:fill="auto"/>
            <w:vAlign w:val="center"/>
            <w:hideMark/>
          </w:tcPr>
          <w:p w14:paraId="0019F37F" w14:textId="77777777"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 xml:space="preserve">Hacemos el llamado a que estas disposiciones sean resueltas en el </w:t>
            </w:r>
            <w:r w:rsidRPr="002F080E">
              <w:rPr>
                <w:rFonts w:ascii="Calibri" w:hAnsi="Calibri" w:cs="Calibri"/>
                <w:color w:val="000000"/>
                <w:sz w:val="22"/>
                <w:szCs w:val="22"/>
                <w:lang w:val="es-CO" w:eastAsia="es-CO"/>
              </w:rPr>
              <w:br/>
              <w:t>menor tiempo posible, de suerte que los nuevos mecanismos que se propongan en el marco de la Resolución CREG 114 de 2018 puedan ser operables en el corto plazo, favoreciendo a los distintos actores del mercado, al cubrimiento de la demanda regulada que se encuentra más expuesta en bolsa, y a la formación de precios eficientes.</w:t>
            </w:r>
          </w:p>
        </w:tc>
        <w:tc>
          <w:tcPr>
            <w:tcW w:w="5669" w:type="dxa"/>
            <w:tcBorders>
              <w:top w:val="nil"/>
              <w:left w:val="nil"/>
              <w:bottom w:val="single" w:sz="4" w:space="0" w:color="000000"/>
              <w:right w:val="nil"/>
            </w:tcBorders>
            <w:shd w:val="clear" w:color="auto" w:fill="auto"/>
            <w:vAlign w:val="center"/>
            <w:hideMark/>
          </w:tcPr>
          <w:p w14:paraId="7E9F077B" w14:textId="30E2BC8D" w:rsidR="006D6816" w:rsidRPr="002F080E" w:rsidRDefault="006D6816" w:rsidP="00A55A31">
            <w:pPr>
              <w:spacing w:line="360" w:lineRule="auto"/>
              <w:jc w:val="left"/>
              <w:rPr>
                <w:rFonts w:ascii="Calibri" w:hAnsi="Calibri" w:cs="Calibri"/>
                <w:color w:val="000000"/>
                <w:sz w:val="22"/>
                <w:szCs w:val="22"/>
                <w:lang w:val="es-CO" w:eastAsia="es-CO"/>
              </w:rPr>
            </w:pPr>
            <w:r w:rsidRPr="002F080E">
              <w:rPr>
                <w:rFonts w:ascii="Calibri" w:hAnsi="Calibri" w:cs="Calibri"/>
                <w:color w:val="000000"/>
                <w:sz w:val="22"/>
                <w:szCs w:val="22"/>
                <w:lang w:val="es-CO" w:eastAsia="es-CO"/>
              </w:rPr>
              <w:t>Se aclara que a la fecha esta Comisión no tiene propuesta alguna para ser evaluada en el marco de la Resolución CREG 114. La última propuesta presentada por Conexión Energética</w:t>
            </w:r>
            <w:r>
              <w:rPr>
                <w:rFonts w:ascii="Calibri" w:hAnsi="Calibri" w:cs="Calibri"/>
                <w:color w:val="000000"/>
                <w:sz w:val="22"/>
                <w:szCs w:val="22"/>
                <w:lang w:val="es-CO" w:eastAsia="es-CO"/>
              </w:rPr>
              <w:t xml:space="preserve"> (filial de BMC) </w:t>
            </w:r>
            <w:r w:rsidRPr="002F080E">
              <w:rPr>
                <w:rFonts w:ascii="Calibri" w:hAnsi="Calibri" w:cs="Calibri"/>
                <w:color w:val="000000"/>
                <w:sz w:val="22"/>
                <w:szCs w:val="22"/>
                <w:lang w:val="es-CO" w:eastAsia="es-CO"/>
              </w:rPr>
              <w:t>fue archivada por el no cumplimiento de la condición de supervisión. Esto no obsta para que este agente pueda volver a presentar una nueva propuesta que cumpla con todos los principios y condiciones establecidos en la Resolución CREG 114 de 2018, para ser evaluada por esta Comisión.</w:t>
            </w:r>
          </w:p>
        </w:tc>
      </w:tr>
    </w:tbl>
    <w:p w14:paraId="06B19566" w14:textId="1CC1DC1F" w:rsidR="00633B7B" w:rsidRDefault="00633B7B" w:rsidP="00A55A31">
      <w:pPr>
        <w:spacing w:line="360" w:lineRule="auto"/>
        <w:ind w:right="51"/>
        <w:jc w:val="center"/>
        <w:rPr>
          <w:rFonts w:cs="Arial"/>
          <w:b/>
          <w:bCs/>
          <w:sz w:val="22"/>
          <w:szCs w:val="22"/>
        </w:rPr>
      </w:pPr>
    </w:p>
    <w:p w14:paraId="542650E0" w14:textId="77777777" w:rsidR="00633B7B" w:rsidRDefault="00633B7B">
      <w:pPr>
        <w:jc w:val="left"/>
        <w:rPr>
          <w:rFonts w:cs="Arial"/>
          <w:b/>
          <w:bCs/>
          <w:sz w:val="22"/>
          <w:szCs w:val="22"/>
        </w:rPr>
      </w:pPr>
      <w:r>
        <w:rPr>
          <w:rFonts w:cs="Arial"/>
          <w:b/>
          <w:bCs/>
          <w:sz w:val="22"/>
          <w:szCs w:val="22"/>
        </w:rPr>
        <w:br w:type="page"/>
      </w:r>
    </w:p>
    <w:p w14:paraId="1D8312AD" w14:textId="77777777" w:rsidR="00633B7B" w:rsidRDefault="00633B7B" w:rsidP="00633B7B">
      <w:pPr>
        <w:pStyle w:val="Ttulo1"/>
        <w:numPr>
          <w:ilvl w:val="0"/>
          <w:numId w:val="0"/>
        </w:numPr>
        <w:spacing w:after="0" w:line="360" w:lineRule="auto"/>
        <w:jc w:val="center"/>
        <w:rPr>
          <w:rFonts w:cs="Arial"/>
          <w:bCs/>
          <w:szCs w:val="24"/>
        </w:rPr>
      </w:pPr>
      <w:r w:rsidRPr="00F033E3">
        <w:rPr>
          <w:rFonts w:cs="Arial"/>
          <w:bCs/>
          <w:szCs w:val="24"/>
        </w:rPr>
        <w:lastRenderedPageBreak/>
        <w:t>ANEXO</w:t>
      </w:r>
      <w:r>
        <w:rPr>
          <w:rFonts w:cs="Arial"/>
          <w:bCs/>
          <w:szCs w:val="24"/>
        </w:rPr>
        <w:t xml:space="preserve"> 2</w:t>
      </w:r>
      <w:r w:rsidRPr="00F033E3">
        <w:rPr>
          <w:rFonts w:cs="Arial"/>
          <w:bCs/>
          <w:szCs w:val="24"/>
        </w:rPr>
        <w:t xml:space="preserve">. </w:t>
      </w:r>
      <w:r>
        <w:rPr>
          <w:rFonts w:cs="Arial"/>
          <w:bCs/>
          <w:szCs w:val="24"/>
        </w:rPr>
        <w:t>FORMULARIO DE ABOGACÍA DE LA COMPETENCIA</w:t>
      </w:r>
    </w:p>
    <w:p w14:paraId="77AFA354" w14:textId="77777777" w:rsidR="006C2348" w:rsidRPr="00E54559" w:rsidRDefault="006C2348" w:rsidP="006C2348">
      <w:pPr>
        <w:rPr>
          <w:rFonts w:cs="Arial"/>
          <w:sz w:val="22"/>
          <w:szCs w:val="22"/>
        </w:rPr>
      </w:pPr>
    </w:p>
    <w:tbl>
      <w:tblPr>
        <w:tblW w:w="5000" w:type="pct"/>
        <w:tblLayout w:type="fixed"/>
        <w:tblCellMar>
          <w:left w:w="70" w:type="dxa"/>
          <w:right w:w="70" w:type="dxa"/>
        </w:tblCellMar>
        <w:tblLook w:val="04A0" w:firstRow="1" w:lastRow="0" w:firstColumn="1" w:lastColumn="0" w:noHBand="0" w:noVBand="1"/>
      </w:tblPr>
      <w:tblGrid>
        <w:gridCol w:w="525"/>
        <w:gridCol w:w="364"/>
        <w:gridCol w:w="5206"/>
        <w:gridCol w:w="564"/>
        <w:gridCol w:w="567"/>
        <w:gridCol w:w="2973"/>
        <w:gridCol w:w="2610"/>
        <w:gridCol w:w="187"/>
      </w:tblGrid>
      <w:tr w:rsidR="00077D8F" w:rsidRPr="0051729A" w14:paraId="196071FA" w14:textId="77777777" w:rsidTr="003151C5">
        <w:trPr>
          <w:gridAfter w:val="1"/>
          <w:wAfter w:w="72" w:type="pct"/>
          <w:trHeight w:val="397"/>
        </w:trPr>
        <w:tc>
          <w:tcPr>
            <w:tcW w:w="492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A82D7" w14:textId="77777777" w:rsidR="00077D8F" w:rsidRPr="0051729A" w:rsidRDefault="00077D8F" w:rsidP="0051729A">
            <w:pPr>
              <w:spacing w:line="276" w:lineRule="auto"/>
              <w:jc w:val="left"/>
              <w:rPr>
                <w:rFonts w:ascii="Calibri" w:hAnsi="Calibri" w:cs="Calibri"/>
                <w:color w:val="000000"/>
                <w:sz w:val="20"/>
                <w:lang w:val="es-CO" w:eastAsia="es-CO"/>
              </w:rPr>
            </w:pPr>
          </w:p>
          <w:p w14:paraId="43B888AF" w14:textId="77777777" w:rsidR="00077D8F" w:rsidRPr="0051729A" w:rsidRDefault="00077D8F"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8"/>
                <w:szCs w:val="28"/>
                <w:lang w:val="es-CO" w:eastAsia="es-CO"/>
              </w:rPr>
              <w:t>CUESTIONARIO DE ABOGACÍA DE LA COMPETENCIA - ACTOS ADMINISTRATIVOS EXPEDIDOS CON FINES REGULATORIOS</w:t>
            </w:r>
          </w:p>
        </w:tc>
      </w:tr>
      <w:tr w:rsidR="006C2348" w:rsidRPr="0051729A" w14:paraId="7212DCAC" w14:textId="77777777" w:rsidTr="003151C5">
        <w:trPr>
          <w:gridAfter w:val="1"/>
          <w:wAfter w:w="72" w:type="pct"/>
          <w:trHeight w:val="300"/>
        </w:trPr>
        <w:tc>
          <w:tcPr>
            <w:tcW w:w="23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0141DD" w14:textId="218AD420"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OBJETO DEL PROYECTO DE REGULACIÓN:</w:t>
            </w:r>
          </w:p>
        </w:tc>
        <w:tc>
          <w:tcPr>
            <w:tcW w:w="1579" w:type="pct"/>
            <w:gridSpan w:val="3"/>
            <w:tcBorders>
              <w:top w:val="single" w:sz="4" w:space="0" w:color="auto"/>
              <w:left w:val="nil"/>
              <w:bottom w:val="single" w:sz="4" w:space="0" w:color="auto"/>
              <w:right w:val="single" w:sz="4" w:space="0" w:color="auto"/>
            </w:tcBorders>
            <w:shd w:val="clear" w:color="auto" w:fill="auto"/>
            <w:noWrap/>
            <w:vAlign w:val="center"/>
            <w:hideMark/>
          </w:tcPr>
          <w:p w14:paraId="5F487E0B" w14:textId="49A1A919"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Creación de nuevas actividades del servicio público de energía eléctrica</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39A1156F" w14:textId="77777777"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 xml:space="preserve">No. DE RESOLUCIÓN O ACTO: </w:t>
            </w:r>
          </w:p>
          <w:p w14:paraId="7B186620" w14:textId="6981F501"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color w:val="000000"/>
                <w:sz w:val="20"/>
                <w:lang w:val="es-CO" w:eastAsia="es-CO"/>
              </w:rPr>
              <w:t>101-045 de 2024</w:t>
            </w:r>
          </w:p>
        </w:tc>
      </w:tr>
      <w:tr w:rsidR="006C2348" w:rsidRPr="0051729A" w14:paraId="494F22E4" w14:textId="77777777" w:rsidTr="003151C5">
        <w:trPr>
          <w:gridAfter w:val="1"/>
          <w:wAfter w:w="72" w:type="pct"/>
          <w:trHeight w:val="300"/>
        </w:trPr>
        <w:tc>
          <w:tcPr>
            <w:tcW w:w="23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8A6D9" w14:textId="7D7C5423"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ENTIDAD QUE REMITE:</w:t>
            </w:r>
          </w:p>
        </w:tc>
        <w:tc>
          <w:tcPr>
            <w:tcW w:w="1579"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15B01E"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COMISIÓN DE REGULACIÓN DE ENERGÍA Y GAS</w:t>
            </w:r>
          </w:p>
        </w:tc>
        <w:tc>
          <w:tcPr>
            <w:tcW w:w="1004" w:type="pct"/>
            <w:tcBorders>
              <w:top w:val="nil"/>
              <w:left w:val="nil"/>
              <w:bottom w:val="single" w:sz="4" w:space="0" w:color="auto"/>
              <w:right w:val="single" w:sz="4" w:space="0" w:color="auto"/>
            </w:tcBorders>
            <w:shd w:val="clear" w:color="auto" w:fill="auto"/>
            <w:noWrap/>
            <w:vAlign w:val="center"/>
            <w:hideMark/>
          </w:tcPr>
          <w:p w14:paraId="30124E35" w14:textId="450C6967"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 xml:space="preserve">FECHA: </w:t>
            </w:r>
            <w:r w:rsidRPr="0051729A">
              <w:rPr>
                <w:rFonts w:ascii="Calibri" w:hAnsi="Calibri" w:cs="Calibri"/>
                <w:color w:val="000000"/>
                <w:sz w:val="20"/>
                <w:lang w:val="es-CO" w:eastAsia="es-CO"/>
              </w:rPr>
              <w:t>24/jun/2024</w:t>
            </w:r>
          </w:p>
        </w:tc>
      </w:tr>
      <w:tr w:rsidR="006C2348" w:rsidRPr="0051729A" w14:paraId="4FE62E18" w14:textId="77777777" w:rsidTr="003151C5">
        <w:trPr>
          <w:gridAfter w:val="1"/>
          <w:wAfter w:w="72" w:type="pct"/>
          <w:trHeight w:val="300"/>
        </w:trPr>
        <w:tc>
          <w:tcPr>
            <w:tcW w:w="492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A6449" w14:textId="6616F382"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CUESTIONARIO</w:t>
            </w:r>
          </w:p>
        </w:tc>
      </w:tr>
      <w:tr w:rsidR="006C2348" w:rsidRPr="0051729A" w14:paraId="472EA2A6" w14:textId="77777777" w:rsidTr="003151C5">
        <w:trPr>
          <w:gridAfter w:val="1"/>
          <w:wAfter w:w="72" w:type="pct"/>
          <w:trHeight w:val="300"/>
        </w:trPr>
        <w:tc>
          <w:tcPr>
            <w:tcW w:w="234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2603"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PREGUNTA</w:t>
            </w:r>
          </w:p>
        </w:tc>
        <w:tc>
          <w:tcPr>
            <w:tcW w:w="217" w:type="pct"/>
            <w:tcBorders>
              <w:top w:val="nil"/>
              <w:left w:val="nil"/>
              <w:bottom w:val="single" w:sz="4" w:space="0" w:color="auto"/>
              <w:right w:val="single" w:sz="4" w:space="0" w:color="auto"/>
            </w:tcBorders>
            <w:shd w:val="clear" w:color="auto" w:fill="auto"/>
            <w:noWrap/>
            <w:vAlign w:val="center"/>
            <w:hideMark/>
          </w:tcPr>
          <w:p w14:paraId="5E560C04"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SI</w:t>
            </w:r>
          </w:p>
        </w:tc>
        <w:tc>
          <w:tcPr>
            <w:tcW w:w="218" w:type="pct"/>
            <w:tcBorders>
              <w:top w:val="nil"/>
              <w:left w:val="nil"/>
              <w:bottom w:val="single" w:sz="4" w:space="0" w:color="auto"/>
              <w:right w:val="single" w:sz="4" w:space="0" w:color="auto"/>
            </w:tcBorders>
            <w:shd w:val="clear" w:color="auto" w:fill="auto"/>
            <w:noWrap/>
            <w:vAlign w:val="center"/>
            <w:hideMark/>
          </w:tcPr>
          <w:p w14:paraId="2617E7DF"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NO</w:t>
            </w:r>
          </w:p>
        </w:tc>
        <w:tc>
          <w:tcPr>
            <w:tcW w:w="1144" w:type="pct"/>
            <w:tcBorders>
              <w:top w:val="nil"/>
              <w:left w:val="nil"/>
              <w:bottom w:val="single" w:sz="4" w:space="0" w:color="auto"/>
              <w:right w:val="single" w:sz="4" w:space="0" w:color="auto"/>
            </w:tcBorders>
            <w:shd w:val="clear" w:color="auto" w:fill="auto"/>
            <w:noWrap/>
            <w:vAlign w:val="center"/>
            <w:hideMark/>
          </w:tcPr>
          <w:p w14:paraId="7E27177F"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 xml:space="preserve">EXPLICACIÓN </w:t>
            </w:r>
          </w:p>
        </w:tc>
        <w:tc>
          <w:tcPr>
            <w:tcW w:w="1004" w:type="pct"/>
            <w:tcBorders>
              <w:top w:val="nil"/>
              <w:left w:val="nil"/>
              <w:bottom w:val="single" w:sz="4" w:space="0" w:color="auto"/>
              <w:right w:val="single" w:sz="4" w:space="0" w:color="auto"/>
            </w:tcBorders>
            <w:shd w:val="clear" w:color="auto" w:fill="auto"/>
            <w:noWrap/>
            <w:vAlign w:val="center"/>
            <w:hideMark/>
          </w:tcPr>
          <w:p w14:paraId="3CBD59E6"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OBSERVACIONES</w:t>
            </w:r>
          </w:p>
        </w:tc>
      </w:tr>
      <w:tr w:rsidR="006C2348" w:rsidRPr="0051729A" w14:paraId="686CB96F"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2288D4"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1.</w:t>
            </w:r>
          </w:p>
        </w:tc>
        <w:tc>
          <w:tcPr>
            <w:tcW w:w="4586" w:type="pct"/>
            <w:gridSpan w:val="5"/>
            <w:tcBorders>
              <w:top w:val="single" w:sz="4" w:space="0" w:color="auto"/>
              <w:left w:val="nil"/>
              <w:bottom w:val="single" w:sz="4" w:space="0" w:color="auto"/>
              <w:right w:val="single" w:sz="4" w:space="0" w:color="auto"/>
            </w:tcBorders>
            <w:shd w:val="clear" w:color="auto" w:fill="auto"/>
            <w:vAlign w:val="center"/>
            <w:hideMark/>
          </w:tcPr>
          <w:p w14:paraId="3EE814A4" w14:textId="6BD8FA7B"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¿La regulación limita el número o la variedad de las empresas en uno o varios mercados relevantes relacionados?</w:t>
            </w:r>
            <w:r w:rsidRPr="0051729A">
              <w:rPr>
                <w:rFonts w:ascii="Calibri" w:hAnsi="Calibri" w:cs="Calibri"/>
                <w:b/>
                <w:bCs/>
                <w:color w:val="000000"/>
                <w:sz w:val="20"/>
                <w:lang w:val="es-CO" w:eastAsia="es-CO"/>
              </w:rPr>
              <w:br/>
              <w:t>Es posible que esto suceda, entre otros eventos, cuando el proyecto de acto:</w:t>
            </w:r>
          </w:p>
        </w:tc>
      </w:tr>
      <w:tr w:rsidR="004F2FD6" w:rsidRPr="0051729A" w14:paraId="0A34DABD"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12B9B5"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a)</w:t>
            </w:r>
          </w:p>
        </w:tc>
        <w:tc>
          <w:tcPr>
            <w:tcW w:w="2003" w:type="pct"/>
            <w:tcBorders>
              <w:top w:val="nil"/>
              <w:left w:val="nil"/>
              <w:bottom w:val="single" w:sz="4" w:space="0" w:color="auto"/>
              <w:right w:val="single" w:sz="4" w:space="0" w:color="auto"/>
            </w:tcBorders>
            <w:shd w:val="clear" w:color="auto" w:fill="auto"/>
            <w:hideMark/>
          </w:tcPr>
          <w:p w14:paraId="1F6B1B30" w14:textId="5CC1A5D8"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Otorga derechos exclusivos a una empresa para prestar servicios o para ofrecer bienes.    </w:t>
            </w:r>
          </w:p>
        </w:tc>
        <w:tc>
          <w:tcPr>
            <w:tcW w:w="217" w:type="pct"/>
            <w:tcBorders>
              <w:top w:val="nil"/>
              <w:left w:val="nil"/>
              <w:bottom w:val="single" w:sz="4" w:space="0" w:color="auto"/>
              <w:right w:val="single" w:sz="4" w:space="0" w:color="auto"/>
            </w:tcBorders>
            <w:shd w:val="clear" w:color="auto" w:fill="auto"/>
            <w:noWrap/>
            <w:vAlign w:val="bottom"/>
            <w:hideMark/>
          </w:tcPr>
          <w:p w14:paraId="6AFED06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4C8D3889"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tcPr>
          <w:p w14:paraId="60BEC033" w14:textId="08346A4A"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10E05BF7"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67B5DFAF"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B84D7E"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b)</w:t>
            </w:r>
          </w:p>
        </w:tc>
        <w:tc>
          <w:tcPr>
            <w:tcW w:w="2003" w:type="pct"/>
            <w:tcBorders>
              <w:top w:val="nil"/>
              <w:left w:val="nil"/>
              <w:bottom w:val="single" w:sz="4" w:space="0" w:color="auto"/>
              <w:right w:val="single" w:sz="4" w:space="0" w:color="auto"/>
            </w:tcBorders>
            <w:shd w:val="clear" w:color="auto" w:fill="auto"/>
            <w:hideMark/>
          </w:tcPr>
          <w:p w14:paraId="4181A387" w14:textId="59BA227B"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Establece licencias, permisos, autorizaciones para operar o cuotas de producción o de venta.</w:t>
            </w:r>
          </w:p>
        </w:tc>
        <w:tc>
          <w:tcPr>
            <w:tcW w:w="217" w:type="pct"/>
            <w:tcBorders>
              <w:top w:val="nil"/>
              <w:left w:val="nil"/>
              <w:bottom w:val="single" w:sz="4" w:space="0" w:color="auto"/>
              <w:right w:val="single" w:sz="4" w:space="0" w:color="auto"/>
            </w:tcBorders>
            <w:shd w:val="clear" w:color="auto" w:fill="auto"/>
            <w:noWrap/>
            <w:vAlign w:val="bottom"/>
            <w:hideMark/>
          </w:tcPr>
          <w:p w14:paraId="256B5A3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226FF613"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tcPr>
          <w:p w14:paraId="3C3FFC70" w14:textId="5DDE5280"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7DC41DBD"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38803CDE"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531883"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c)</w:t>
            </w:r>
          </w:p>
        </w:tc>
        <w:tc>
          <w:tcPr>
            <w:tcW w:w="2003" w:type="pct"/>
            <w:tcBorders>
              <w:top w:val="nil"/>
              <w:left w:val="nil"/>
              <w:bottom w:val="single" w:sz="4" w:space="0" w:color="auto"/>
              <w:right w:val="single" w:sz="4" w:space="0" w:color="auto"/>
            </w:tcBorders>
            <w:shd w:val="clear" w:color="auto" w:fill="auto"/>
            <w:hideMark/>
          </w:tcPr>
          <w:p w14:paraId="59E02E8F" w14:textId="7E5C61E8"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Limita la capacidad de cierto tipo de empresas para ofrecer un bien o prestar un servicio.</w:t>
            </w:r>
          </w:p>
        </w:tc>
        <w:tc>
          <w:tcPr>
            <w:tcW w:w="217" w:type="pct"/>
            <w:tcBorders>
              <w:top w:val="nil"/>
              <w:left w:val="nil"/>
              <w:bottom w:val="single" w:sz="4" w:space="0" w:color="auto"/>
              <w:right w:val="single" w:sz="4" w:space="0" w:color="auto"/>
            </w:tcBorders>
            <w:shd w:val="clear" w:color="auto" w:fill="auto"/>
            <w:noWrap/>
            <w:vAlign w:val="bottom"/>
            <w:hideMark/>
          </w:tcPr>
          <w:p w14:paraId="0866FD0B"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72064158"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tcPr>
          <w:p w14:paraId="7505CF91" w14:textId="350FEC7D"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7AF8DE97"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1BA48540"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ABEDC9"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d)</w:t>
            </w:r>
          </w:p>
        </w:tc>
        <w:tc>
          <w:tcPr>
            <w:tcW w:w="2003" w:type="pct"/>
            <w:tcBorders>
              <w:top w:val="nil"/>
              <w:left w:val="nil"/>
              <w:bottom w:val="single" w:sz="4" w:space="0" w:color="auto"/>
              <w:right w:val="single" w:sz="4" w:space="0" w:color="auto"/>
            </w:tcBorders>
            <w:shd w:val="clear" w:color="auto" w:fill="auto"/>
            <w:hideMark/>
          </w:tcPr>
          <w:p w14:paraId="20CE0965"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Eleva de manera significativa los costos de entrada o salida del mercado para las empresas.</w:t>
            </w:r>
          </w:p>
        </w:tc>
        <w:tc>
          <w:tcPr>
            <w:tcW w:w="217" w:type="pct"/>
            <w:tcBorders>
              <w:top w:val="nil"/>
              <w:left w:val="nil"/>
              <w:bottom w:val="single" w:sz="4" w:space="0" w:color="auto"/>
              <w:right w:val="single" w:sz="4" w:space="0" w:color="auto"/>
            </w:tcBorders>
            <w:shd w:val="clear" w:color="auto" w:fill="auto"/>
            <w:noWrap/>
            <w:vAlign w:val="bottom"/>
            <w:hideMark/>
          </w:tcPr>
          <w:p w14:paraId="1B4B2536"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2CDF40F7"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0BCC0DFD" w14:textId="3EF05825"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2E41569D"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74875227"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98B548"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e)</w:t>
            </w:r>
          </w:p>
        </w:tc>
        <w:tc>
          <w:tcPr>
            <w:tcW w:w="2003" w:type="pct"/>
            <w:tcBorders>
              <w:top w:val="nil"/>
              <w:left w:val="nil"/>
              <w:bottom w:val="single" w:sz="4" w:space="0" w:color="auto"/>
              <w:right w:val="single" w:sz="4" w:space="0" w:color="auto"/>
            </w:tcBorders>
            <w:shd w:val="clear" w:color="auto" w:fill="auto"/>
            <w:hideMark/>
          </w:tcPr>
          <w:p w14:paraId="2A6F3425"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Crea una barrera geográfica a la libre circulación de bienes o servicios o a la inversión.</w:t>
            </w:r>
          </w:p>
        </w:tc>
        <w:tc>
          <w:tcPr>
            <w:tcW w:w="217" w:type="pct"/>
            <w:tcBorders>
              <w:top w:val="nil"/>
              <w:left w:val="nil"/>
              <w:bottom w:val="single" w:sz="4" w:space="0" w:color="auto"/>
              <w:right w:val="single" w:sz="4" w:space="0" w:color="auto"/>
            </w:tcBorders>
            <w:shd w:val="clear" w:color="auto" w:fill="auto"/>
            <w:noWrap/>
            <w:vAlign w:val="bottom"/>
            <w:hideMark/>
          </w:tcPr>
          <w:p w14:paraId="073030A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5EC66B6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7D122860" w14:textId="25724A07"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3CA3D74C"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0E73860B" w14:textId="77777777" w:rsidTr="003151C5">
        <w:trPr>
          <w:gridAfter w:val="1"/>
          <w:wAfter w:w="72" w:type="pct"/>
          <w:trHeight w:val="340"/>
        </w:trPr>
        <w:tc>
          <w:tcPr>
            <w:tcW w:w="20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679051"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f)</w:t>
            </w:r>
          </w:p>
        </w:tc>
        <w:tc>
          <w:tcPr>
            <w:tcW w:w="140" w:type="pct"/>
            <w:tcBorders>
              <w:top w:val="nil"/>
              <w:left w:val="nil"/>
              <w:bottom w:val="single" w:sz="4" w:space="0" w:color="auto"/>
              <w:right w:val="nil"/>
            </w:tcBorders>
            <w:shd w:val="clear" w:color="auto" w:fill="auto"/>
            <w:hideMark/>
          </w:tcPr>
          <w:p w14:paraId="4E182780"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003" w:type="pct"/>
            <w:tcBorders>
              <w:top w:val="nil"/>
              <w:left w:val="single" w:sz="4" w:space="0" w:color="auto"/>
              <w:bottom w:val="single" w:sz="4" w:space="0" w:color="auto"/>
              <w:right w:val="nil"/>
            </w:tcBorders>
            <w:shd w:val="clear" w:color="auto" w:fill="auto"/>
            <w:hideMark/>
          </w:tcPr>
          <w:p w14:paraId="0FB03C8F"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Incrementa de manera significativa los costos:</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0FF25E"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39D1F7BC"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1144" w:type="pct"/>
            <w:tcBorders>
              <w:top w:val="nil"/>
              <w:left w:val="nil"/>
              <w:bottom w:val="single" w:sz="4" w:space="0" w:color="auto"/>
              <w:right w:val="single" w:sz="4" w:space="0" w:color="auto"/>
            </w:tcBorders>
            <w:shd w:val="clear" w:color="auto" w:fill="auto"/>
            <w:vAlign w:val="bottom"/>
          </w:tcPr>
          <w:p w14:paraId="4719BD3D" w14:textId="2C8EA611"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bottom"/>
            <w:hideMark/>
          </w:tcPr>
          <w:p w14:paraId="417DB41D"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762F9524" w14:textId="77777777" w:rsidTr="003151C5">
        <w:trPr>
          <w:gridAfter w:val="1"/>
          <w:wAfter w:w="72" w:type="pct"/>
          <w:trHeight w:val="567"/>
        </w:trPr>
        <w:tc>
          <w:tcPr>
            <w:tcW w:w="202" w:type="pct"/>
            <w:vMerge/>
            <w:tcBorders>
              <w:top w:val="nil"/>
              <w:left w:val="single" w:sz="4" w:space="0" w:color="auto"/>
              <w:bottom w:val="single" w:sz="4" w:space="0" w:color="000000"/>
              <w:right w:val="single" w:sz="4" w:space="0" w:color="auto"/>
            </w:tcBorders>
            <w:vAlign w:val="center"/>
            <w:hideMark/>
          </w:tcPr>
          <w:p w14:paraId="00EA0EBE" w14:textId="77777777" w:rsidR="006C2348" w:rsidRPr="0051729A" w:rsidRDefault="006C2348" w:rsidP="0051729A">
            <w:pPr>
              <w:spacing w:line="276" w:lineRule="auto"/>
              <w:jc w:val="left"/>
              <w:rPr>
                <w:rFonts w:ascii="Calibri" w:hAnsi="Calibri" w:cs="Calibri"/>
                <w:color w:val="000000"/>
                <w:sz w:val="20"/>
                <w:lang w:val="es-CO" w:eastAsia="es-CO"/>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5216"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i)</w:t>
            </w:r>
          </w:p>
        </w:tc>
        <w:tc>
          <w:tcPr>
            <w:tcW w:w="2003" w:type="pct"/>
            <w:tcBorders>
              <w:top w:val="single" w:sz="4" w:space="0" w:color="auto"/>
              <w:left w:val="single" w:sz="4" w:space="0" w:color="auto"/>
              <w:bottom w:val="single" w:sz="4" w:space="0" w:color="auto"/>
              <w:right w:val="single" w:sz="4" w:space="0" w:color="auto"/>
            </w:tcBorders>
            <w:shd w:val="clear" w:color="auto" w:fill="auto"/>
            <w:hideMark/>
          </w:tcPr>
          <w:p w14:paraId="0E0DDF47"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Para nuevas empresas en relación con las empresas que ya operan en un mercado o mercados relevantes relacionados, o</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582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EE6D"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bottom"/>
          </w:tcPr>
          <w:p w14:paraId="6EB79420" w14:textId="7785A480"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BA893D"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11B08B77" w14:textId="77777777" w:rsidTr="003151C5">
        <w:trPr>
          <w:gridAfter w:val="1"/>
          <w:wAfter w:w="72" w:type="pct"/>
          <w:trHeight w:val="567"/>
        </w:trPr>
        <w:tc>
          <w:tcPr>
            <w:tcW w:w="202" w:type="pct"/>
            <w:vMerge/>
            <w:tcBorders>
              <w:top w:val="nil"/>
              <w:left w:val="single" w:sz="4" w:space="0" w:color="auto"/>
              <w:bottom w:val="single" w:sz="4" w:space="0" w:color="000000"/>
              <w:right w:val="single" w:sz="4" w:space="0" w:color="auto"/>
            </w:tcBorders>
            <w:vAlign w:val="center"/>
            <w:hideMark/>
          </w:tcPr>
          <w:p w14:paraId="1A7977D2" w14:textId="77777777" w:rsidR="006C2348" w:rsidRPr="0051729A" w:rsidRDefault="006C2348" w:rsidP="0051729A">
            <w:pPr>
              <w:spacing w:line="276" w:lineRule="auto"/>
              <w:jc w:val="left"/>
              <w:rPr>
                <w:rFonts w:ascii="Calibri" w:hAnsi="Calibri" w:cs="Calibri"/>
                <w:color w:val="000000"/>
                <w:sz w:val="20"/>
                <w:lang w:val="es-CO" w:eastAsia="es-CO"/>
              </w:rPr>
            </w:pP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F682F0" w14:textId="77777777" w:rsidR="006C2348" w:rsidRPr="0051729A" w:rsidRDefault="006C2348" w:rsidP="0051729A">
            <w:pPr>
              <w:spacing w:line="276" w:lineRule="auto"/>
              <w:jc w:val="center"/>
              <w:rPr>
                <w:rFonts w:ascii="Calibri" w:hAnsi="Calibri" w:cs="Calibri"/>
                <w:color w:val="000000"/>
                <w:sz w:val="20"/>
                <w:lang w:val="es-CO" w:eastAsia="es-CO"/>
              </w:rPr>
            </w:pPr>
            <w:proofErr w:type="spellStart"/>
            <w:r w:rsidRPr="0051729A">
              <w:rPr>
                <w:rFonts w:ascii="Calibri" w:hAnsi="Calibri" w:cs="Calibri"/>
                <w:color w:val="000000"/>
                <w:sz w:val="20"/>
                <w:lang w:val="es-CO" w:eastAsia="es-CO"/>
              </w:rPr>
              <w:t>ii</w:t>
            </w:r>
            <w:proofErr w:type="spellEnd"/>
            <w:r w:rsidRPr="0051729A">
              <w:rPr>
                <w:rFonts w:ascii="Calibri" w:hAnsi="Calibri" w:cs="Calibri"/>
                <w:color w:val="000000"/>
                <w:sz w:val="20"/>
                <w:lang w:val="es-CO" w:eastAsia="es-CO"/>
              </w:rPr>
              <w:t>)</w:t>
            </w:r>
          </w:p>
        </w:tc>
        <w:tc>
          <w:tcPr>
            <w:tcW w:w="2003" w:type="pct"/>
            <w:tcBorders>
              <w:top w:val="single" w:sz="4" w:space="0" w:color="auto"/>
              <w:left w:val="nil"/>
              <w:bottom w:val="single" w:sz="4" w:space="0" w:color="auto"/>
              <w:right w:val="single" w:sz="4" w:space="0" w:color="auto"/>
            </w:tcBorders>
            <w:shd w:val="clear" w:color="auto" w:fill="auto"/>
            <w:hideMark/>
          </w:tcPr>
          <w:p w14:paraId="4C0A0E3F"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Para unas empresas en relación con otras cuando el conjunto ya opera en uno o varios mercados relevantes relacionados.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14:paraId="38D177A8"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56E829AB"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single" w:sz="4" w:space="0" w:color="auto"/>
              <w:left w:val="nil"/>
              <w:bottom w:val="single" w:sz="4" w:space="0" w:color="auto"/>
              <w:right w:val="single" w:sz="4" w:space="0" w:color="auto"/>
            </w:tcBorders>
            <w:shd w:val="clear" w:color="auto" w:fill="auto"/>
            <w:vAlign w:val="bottom"/>
          </w:tcPr>
          <w:p w14:paraId="23936375" w14:textId="5D04C9E5"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single" w:sz="4" w:space="0" w:color="auto"/>
              <w:left w:val="nil"/>
              <w:bottom w:val="single" w:sz="4" w:space="0" w:color="auto"/>
              <w:right w:val="single" w:sz="4" w:space="0" w:color="auto"/>
            </w:tcBorders>
            <w:shd w:val="clear" w:color="auto" w:fill="auto"/>
            <w:vAlign w:val="bottom"/>
            <w:hideMark/>
          </w:tcPr>
          <w:p w14:paraId="685B4D47"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6C2348" w:rsidRPr="0051729A" w14:paraId="7FB33521"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E31292"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2.</w:t>
            </w:r>
          </w:p>
        </w:tc>
        <w:tc>
          <w:tcPr>
            <w:tcW w:w="4586" w:type="pct"/>
            <w:gridSpan w:val="5"/>
            <w:tcBorders>
              <w:top w:val="single" w:sz="4" w:space="0" w:color="auto"/>
              <w:left w:val="nil"/>
              <w:bottom w:val="single" w:sz="4" w:space="0" w:color="auto"/>
              <w:right w:val="single" w:sz="4" w:space="0" w:color="000000"/>
            </w:tcBorders>
            <w:shd w:val="clear" w:color="auto" w:fill="auto"/>
            <w:hideMark/>
          </w:tcPr>
          <w:p w14:paraId="6E4C49AC" w14:textId="77777777"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¿La regulación limita la capacidad de las empresas para competir en uno o varios mercados relevantes relacionados?</w:t>
            </w:r>
            <w:r w:rsidRPr="0051729A">
              <w:rPr>
                <w:rFonts w:ascii="Calibri" w:hAnsi="Calibri" w:cs="Calibri"/>
                <w:b/>
                <w:bCs/>
                <w:color w:val="000000"/>
                <w:sz w:val="20"/>
                <w:lang w:val="es-CO" w:eastAsia="es-CO"/>
              </w:rPr>
              <w:br/>
              <w:t>Es posible que esto suceda, entre otros eventos, cuando el proyecto de acto:</w:t>
            </w:r>
          </w:p>
        </w:tc>
      </w:tr>
      <w:tr w:rsidR="004F2FD6" w:rsidRPr="0051729A" w14:paraId="2D222435"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0A37B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lastRenderedPageBreak/>
              <w:t>a)</w:t>
            </w:r>
          </w:p>
        </w:tc>
        <w:tc>
          <w:tcPr>
            <w:tcW w:w="2003" w:type="pct"/>
            <w:tcBorders>
              <w:top w:val="nil"/>
              <w:left w:val="nil"/>
              <w:bottom w:val="single" w:sz="4" w:space="0" w:color="auto"/>
              <w:right w:val="single" w:sz="4" w:space="0" w:color="auto"/>
            </w:tcBorders>
            <w:shd w:val="clear" w:color="auto" w:fill="auto"/>
            <w:hideMark/>
          </w:tcPr>
          <w:p w14:paraId="380728CA"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Controla o influye sustancialmente sobre los precios de los bienes o servicios o el nivel de producción.</w:t>
            </w:r>
          </w:p>
        </w:tc>
        <w:tc>
          <w:tcPr>
            <w:tcW w:w="217" w:type="pct"/>
            <w:tcBorders>
              <w:top w:val="nil"/>
              <w:left w:val="nil"/>
              <w:bottom w:val="single" w:sz="4" w:space="0" w:color="auto"/>
              <w:right w:val="single" w:sz="4" w:space="0" w:color="auto"/>
            </w:tcBorders>
            <w:shd w:val="clear" w:color="auto" w:fill="auto"/>
            <w:noWrap/>
            <w:vAlign w:val="center"/>
            <w:hideMark/>
          </w:tcPr>
          <w:p w14:paraId="05B49CA9"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7CEAB99C"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center"/>
          </w:tcPr>
          <w:p w14:paraId="53DF9B0B" w14:textId="1BC238BA"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vAlign w:val="center"/>
            <w:hideMark/>
          </w:tcPr>
          <w:p w14:paraId="444BDB20"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22B273A3"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3C6F8"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b)</w:t>
            </w:r>
          </w:p>
        </w:tc>
        <w:tc>
          <w:tcPr>
            <w:tcW w:w="2003" w:type="pct"/>
            <w:tcBorders>
              <w:top w:val="nil"/>
              <w:left w:val="nil"/>
              <w:bottom w:val="single" w:sz="4" w:space="0" w:color="auto"/>
              <w:right w:val="single" w:sz="4" w:space="0" w:color="auto"/>
            </w:tcBorders>
            <w:shd w:val="clear" w:color="auto" w:fill="auto"/>
            <w:hideMark/>
          </w:tcPr>
          <w:p w14:paraId="0484D70A"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Limita a las empresas la posibilidad de distribuir o comercializar sus productos.  </w:t>
            </w:r>
          </w:p>
        </w:tc>
        <w:tc>
          <w:tcPr>
            <w:tcW w:w="217" w:type="pct"/>
            <w:tcBorders>
              <w:top w:val="nil"/>
              <w:left w:val="nil"/>
              <w:bottom w:val="single" w:sz="4" w:space="0" w:color="auto"/>
              <w:right w:val="single" w:sz="4" w:space="0" w:color="auto"/>
            </w:tcBorders>
            <w:shd w:val="clear" w:color="auto" w:fill="auto"/>
            <w:noWrap/>
            <w:vAlign w:val="center"/>
            <w:hideMark/>
          </w:tcPr>
          <w:p w14:paraId="773A3DEC"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106675C8"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45C134A0" w14:textId="0506E595"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200CB618"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4E0F6DD1"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0B018B"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c)</w:t>
            </w:r>
          </w:p>
        </w:tc>
        <w:tc>
          <w:tcPr>
            <w:tcW w:w="2003" w:type="pct"/>
            <w:tcBorders>
              <w:top w:val="nil"/>
              <w:left w:val="nil"/>
              <w:bottom w:val="single" w:sz="4" w:space="0" w:color="auto"/>
              <w:right w:val="single" w:sz="4" w:space="0" w:color="auto"/>
            </w:tcBorders>
            <w:shd w:val="clear" w:color="auto" w:fill="auto"/>
            <w:hideMark/>
          </w:tcPr>
          <w:p w14:paraId="4846F65B"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Limita la libertad de las empresas para promocionar sus productos.</w:t>
            </w:r>
          </w:p>
        </w:tc>
        <w:tc>
          <w:tcPr>
            <w:tcW w:w="217" w:type="pct"/>
            <w:tcBorders>
              <w:top w:val="nil"/>
              <w:left w:val="nil"/>
              <w:bottom w:val="single" w:sz="4" w:space="0" w:color="auto"/>
              <w:right w:val="single" w:sz="4" w:space="0" w:color="auto"/>
            </w:tcBorders>
            <w:shd w:val="clear" w:color="auto" w:fill="auto"/>
            <w:noWrap/>
            <w:vAlign w:val="center"/>
            <w:hideMark/>
          </w:tcPr>
          <w:p w14:paraId="6565D82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0F212004"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04D5EB82" w14:textId="74A22678"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1DB89A98"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44AA27DB"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4D865"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d)</w:t>
            </w:r>
          </w:p>
        </w:tc>
        <w:tc>
          <w:tcPr>
            <w:tcW w:w="2003" w:type="pct"/>
            <w:tcBorders>
              <w:top w:val="nil"/>
              <w:left w:val="nil"/>
              <w:bottom w:val="single" w:sz="4" w:space="0" w:color="auto"/>
              <w:right w:val="single" w:sz="4" w:space="0" w:color="auto"/>
            </w:tcBorders>
            <w:shd w:val="clear" w:color="auto" w:fill="auto"/>
            <w:hideMark/>
          </w:tcPr>
          <w:p w14:paraId="0C1E82FF"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Otorga a los operadores actuales en el mercado un trato diferenciado con respecto a las empresas entrantes.</w:t>
            </w:r>
          </w:p>
        </w:tc>
        <w:tc>
          <w:tcPr>
            <w:tcW w:w="217" w:type="pct"/>
            <w:tcBorders>
              <w:top w:val="nil"/>
              <w:left w:val="nil"/>
              <w:bottom w:val="single" w:sz="4" w:space="0" w:color="auto"/>
              <w:right w:val="single" w:sz="4" w:space="0" w:color="auto"/>
            </w:tcBorders>
            <w:shd w:val="clear" w:color="auto" w:fill="auto"/>
            <w:noWrap/>
            <w:vAlign w:val="center"/>
            <w:hideMark/>
          </w:tcPr>
          <w:p w14:paraId="09941E1F"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1254488E"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46703964" w14:textId="0BAAC348"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5A5687F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433CF929"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C7C756"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e)</w:t>
            </w:r>
          </w:p>
        </w:tc>
        <w:tc>
          <w:tcPr>
            <w:tcW w:w="2003" w:type="pct"/>
            <w:tcBorders>
              <w:top w:val="nil"/>
              <w:left w:val="nil"/>
              <w:bottom w:val="single" w:sz="4" w:space="0" w:color="auto"/>
              <w:right w:val="single" w:sz="4" w:space="0" w:color="auto"/>
            </w:tcBorders>
            <w:shd w:val="clear" w:color="auto" w:fill="auto"/>
            <w:hideMark/>
          </w:tcPr>
          <w:p w14:paraId="613712B8"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Otorga trato diferenciado a unas empresas con respecto a otras. </w:t>
            </w:r>
          </w:p>
        </w:tc>
        <w:tc>
          <w:tcPr>
            <w:tcW w:w="217" w:type="pct"/>
            <w:tcBorders>
              <w:top w:val="nil"/>
              <w:left w:val="nil"/>
              <w:bottom w:val="single" w:sz="4" w:space="0" w:color="auto"/>
              <w:right w:val="single" w:sz="4" w:space="0" w:color="auto"/>
            </w:tcBorders>
            <w:shd w:val="clear" w:color="auto" w:fill="auto"/>
            <w:noWrap/>
            <w:vAlign w:val="center"/>
            <w:hideMark/>
          </w:tcPr>
          <w:p w14:paraId="18D60CF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66BB22D6"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343448CE" w14:textId="31125409"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54D9D13D"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15071EE0"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2F783B"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f)</w:t>
            </w:r>
          </w:p>
        </w:tc>
        <w:tc>
          <w:tcPr>
            <w:tcW w:w="2003" w:type="pct"/>
            <w:tcBorders>
              <w:top w:val="nil"/>
              <w:left w:val="nil"/>
              <w:bottom w:val="single" w:sz="4" w:space="0" w:color="auto"/>
              <w:right w:val="single" w:sz="4" w:space="0" w:color="auto"/>
            </w:tcBorders>
            <w:shd w:val="clear" w:color="auto" w:fill="auto"/>
            <w:hideMark/>
          </w:tcPr>
          <w:p w14:paraId="59243D35"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Limita la libertad de las empresas para elegir sus procesos de producción o su forma de organización industrial.</w:t>
            </w:r>
          </w:p>
        </w:tc>
        <w:tc>
          <w:tcPr>
            <w:tcW w:w="217" w:type="pct"/>
            <w:tcBorders>
              <w:top w:val="nil"/>
              <w:left w:val="nil"/>
              <w:bottom w:val="single" w:sz="4" w:space="0" w:color="auto"/>
              <w:right w:val="single" w:sz="4" w:space="0" w:color="auto"/>
            </w:tcBorders>
            <w:shd w:val="clear" w:color="auto" w:fill="auto"/>
            <w:noWrap/>
            <w:vAlign w:val="center"/>
            <w:hideMark/>
          </w:tcPr>
          <w:p w14:paraId="5E4D08EC"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4C5C2A7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06D4E953" w14:textId="272E9D8F"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3107D870"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4F2FD6" w:rsidRPr="0051729A" w14:paraId="10D77A4B"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83737"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g)</w:t>
            </w:r>
          </w:p>
        </w:tc>
        <w:tc>
          <w:tcPr>
            <w:tcW w:w="2003" w:type="pct"/>
            <w:tcBorders>
              <w:top w:val="nil"/>
              <w:left w:val="nil"/>
              <w:bottom w:val="single" w:sz="4" w:space="0" w:color="auto"/>
              <w:right w:val="single" w:sz="4" w:space="0" w:color="auto"/>
            </w:tcBorders>
            <w:shd w:val="clear" w:color="auto" w:fill="auto"/>
            <w:hideMark/>
          </w:tcPr>
          <w:p w14:paraId="00AB0988"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Limita la innovación para ofrecer nuevos productos o productos existentes, pero bajo nuevas formas.   </w:t>
            </w:r>
          </w:p>
        </w:tc>
        <w:tc>
          <w:tcPr>
            <w:tcW w:w="217" w:type="pct"/>
            <w:tcBorders>
              <w:top w:val="nil"/>
              <w:left w:val="nil"/>
              <w:bottom w:val="single" w:sz="4" w:space="0" w:color="auto"/>
              <w:right w:val="single" w:sz="4" w:space="0" w:color="auto"/>
            </w:tcBorders>
            <w:shd w:val="clear" w:color="auto" w:fill="auto"/>
            <w:noWrap/>
            <w:vAlign w:val="center"/>
            <w:hideMark/>
          </w:tcPr>
          <w:p w14:paraId="3C9963FF"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639E1350"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4257DC06" w14:textId="425F4AF2"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hideMark/>
          </w:tcPr>
          <w:p w14:paraId="3FA0A49A"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r>
      <w:tr w:rsidR="006C2348" w:rsidRPr="0051729A" w14:paraId="22A37840" w14:textId="77777777" w:rsidTr="003151C5">
        <w:trPr>
          <w:gridAfter w:val="1"/>
          <w:wAfter w:w="72" w:type="pct"/>
          <w:trHeight w:val="567"/>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7B5AA0"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3.</w:t>
            </w:r>
          </w:p>
        </w:tc>
        <w:tc>
          <w:tcPr>
            <w:tcW w:w="4586" w:type="pct"/>
            <w:gridSpan w:val="5"/>
            <w:tcBorders>
              <w:top w:val="single" w:sz="4" w:space="0" w:color="auto"/>
              <w:left w:val="nil"/>
              <w:bottom w:val="single" w:sz="4" w:space="0" w:color="auto"/>
              <w:right w:val="single" w:sz="4" w:space="0" w:color="000000"/>
            </w:tcBorders>
            <w:shd w:val="clear" w:color="auto" w:fill="auto"/>
            <w:hideMark/>
          </w:tcPr>
          <w:p w14:paraId="58507B9F" w14:textId="77777777" w:rsidR="006C2348" w:rsidRPr="0051729A" w:rsidRDefault="006C2348" w:rsidP="0051729A">
            <w:pPr>
              <w:spacing w:line="276" w:lineRule="auto"/>
              <w:jc w:val="left"/>
              <w:rPr>
                <w:rFonts w:ascii="Calibri" w:hAnsi="Calibri" w:cs="Calibri"/>
                <w:b/>
                <w:bCs/>
                <w:color w:val="000000"/>
                <w:sz w:val="20"/>
                <w:lang w:val="es-CO" w:eastAsia="es-CO"/>
              </w:rPr>
            </w:pPr>
            <w:r w:rsidRPr="0051729A">
              <w:rPr>
                <w:rFonts w:ascii="Calibri" w:hAnsi="Calibri" w:cs="Calibri"/>
                <w:b/>
                <w:bCs/>
                <w:color w:val="000000"/>
                <w:sz w:val="20"/>
                <w:lang w:val="es-CO" w:eastAsia="es-CO"/>
              </w:rPr>
              <w:t xml:space="preserve">¿La regulación implica reducir los incentivos de las empresas para competir en uno o varios mercados relevantes relacionados? </w:t>
            </w:r>
            <w:r w:rsidRPr="0051729A">
              <w:rPr>
                <w:rFonts w:ascii="Calibri" w:hAnsi="Calibri" w:cs="Calibri"/>
                <w:b/>
                <w:bCs/>
                <w:color w:val="000000"/>
                <w:sz w:val="20"/>
                <w:lang w:val="es-CO" w:eastAsia="es-CO"/>
              </w:rPr>
              <w:br/>
              <w:t>Es posible que esto suceda, entre otros eventos, cuando el proyecto de acto:</w:t>
            </w:r>
          </w:p>
        </w:tc>
      </w:tr>
      <w:tr w:rsidR="004F2FD6" w:rsidRPr="0051729A" w14:paraId="2D511CD2" w14:textId="77777777" w:rsidTr="003151C5">
        <w:trPr>
          <w:gridAfter w:val="1"/>
          <w:wAfter w:w="72" w:type="pct"/>
          <w:trHeight w:val="283"/>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4901E5"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a)</w:t>
            </w:r>
          </w:p>
        </w:tc>
        <w:tc>
          <w:tcPr>
            <w:tcW w:w="2003" w:type="pct"/>
            <w:tcBorders>
              <w:top w:val="nil"/>
              <w:left w:val="nil"/>
              <w:bottom w:val="single" w:sz="4" w:space="0" w:color="auto"/>
              <w:right w:val="single" w:sz="4" w:space="0" w:color="auto"/>
            </w:tcBorders>
            <w:shd w:val="clear" w:color="auto" w:fill="auto"/>
            <w:hideMark/>
          </w:tcPr>
          <w:p w14:paraId="2FDA9572"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xml:space="preserve">Genera un régimen de autorregulación o </w:t>
            </w:r>
            <w:proofErr w:type="spellStart"/>
            <w:r w:rsidRPr="0051729A">
              <w:rPr>
                <w:rFonts w:ascii="Calibri" w:hAnsi="Calibri" w:cs="Calibri"/>
                <w:color w:val="000000"/>
                <w:sz w:val="20"/>
                <w:lang w:val="es-CO" w:eastAsia="es-CO"/>
              </w:rPr>
              <w:t>corregulación</w:t>
            </w:r>
            <w:proofErr w:type="spellEnd"/>
            <w:r w:rsidRPr="0051729A">
              <w:rPr>
                <w:rFonts w:ascii="Calibri" w:hAnsi="Calibri" w:cs="Calibri"/>
                <w:color w:val="000000"/>
                <w:sz w:val="20"/>
                <w:lang w:val="es-CO" w:eastAsia="es-CO"/>
              </w:rPr>
              <w:t>.</w:t>
            </w:r>
          </w:p>
        </w:tc>
        <w:tc>
          <w:tcPr>
            <w:tcW w:w="217" w:type="pct"/>
            <w:tcBorders>
              <w:top w:val="nil"/>
              <w:left w:val="nil"/>
              <w:bottom w:val="single" w:sz="4" w:space="0" w:color="auto"/>
              <w:right w:val="single" w:sz="4" w:space="0" w:color="auto"/>
            </w:tcBorders>
            <w:shd w:val="clear" w:color="auto" w:fill="auto"/>
            <w:noWrap/>
            <w:vAlign w:val="bottom"/>
            <w:hideMark/>
          </w:tcPr>
          <w:p w14:paraId="6FA3F593"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00110D54"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29390BFC" w14:textId="7091DA00"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tcPr>
          <w:p w14:paraId="0C8D8C6E" w14:textId="5CCAF124" w:rsidR="006C2348" w:rsidRPr="0051729A" w:rsidRDefault="006C2348" w:rsidP="0051729A">
            <w:pPr>
              <w:spacing w:line="276" w:lineRule="auto"/>
              <w:jc w:val="left"/>
              <w:rPr>
                <w:rFonts w:ascii="Calibri" w:hAnsi="Calibri" w:cs="Calibri"/>
                <w:color w:val="000000"/>
                <w:sz w:val="20"/>
                <w:lang w:val="es-CO" w:eastAsia="es-CO"/>
              </w:rPr>
            </w:pPr>
          </w:p>
        </w:tc>
      </w:tr>
      <w:tr w:rsidR="004F2FD6" w:rsidRPr="0051729A" w14:paraId="425263C1" w14:textId="77777777" w:rsidTr="003151C5">
        <w:trPr>
          <w:gridAfter w:val="1"/>
          <w:wAfter w:w="72" w:type="pct"/>
          <w:trHeight w:val="850"/>
        </w:trPr>
        <w:tc>
          <w:tcPr>
            <w:tcW w:w="3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CB7B5C"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b)</w:t>
            </w:r>
          </w:p>
        </w:tc>
        <w:tc>
          <w:tcPr>
            <w:tcW w:w="2003" w:type="pct"/>
            <w:tcBorders>
              <w:top w:val="nil"/>
              <w:left w:val="nil"/>
              <w:bottom w:val="single" w:sz="4" w:space="0" w:color="auto"/>
              <w:right w:val="single" w:sz="4" w:space="0" w:color="auto"/>
            </w:tcBorders>
            <w:shd w:val="clear" w:color="auto" w:fill="auto"/>
            <w:hideMark/>
          </w:tcPr>
          <w:p w14:paraId="68482E71" w14:textId="1940C1B4"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Impone la obligación de dar publicidad sobre información sensible para una empresa que podría ser conocida por sus competidores (p. ej. precios, nivel de ventas, costos, etc.)</w:t>
            </w:r>
          </w:p>
        </w:tc>
        <w:tc>
          <w:tcPr>
            <w:tcW w:w="217" w:type="pct"/>
            <w:tcBorders>
              <w:top w:val="nil"/>
              <w:left w:val="nil"/>
              <w:bottom w:val="single" w:sz="4" w:space="0" w:color="auto"/>
              <w:right w:val="single" w:sz="4" w:space="0" w:color="auto"/>
            </w:tcBorders>
            <w:shd w:val="clear" w:color="auto" w:fill="auto"/>
            <w:noWrap/>
            <w:vAlign w:val="bottom"/>
            <w:hideMark/>
          </w:tcPr>
          <w:p w14:paraId="342AA3D5" w14:textId="77777777" w:rsidR="006C2348" w:rsidRPr="0051729A" w:rsidRDefault="006C2348"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 </w:t>
            </w:r>
          </w:p>
        </w:tc>
        <w:tc>
          <w:tcPr>
            <w:tcW w:w="218" w:type="pct"/>
            <w:tcBorders>
              <w:top w:val="nil"/>
              <w:left w:val="nil"/>
              <w:bottom w:val="single" w:sz="4" w:space="0" w:color="auto"/>
              <w:right w:val="single" w:sz="4" w:space="0" w:color="auto"/>
            </w:tcBorders>
            <w:shd w:val="clear" w:color="auto" w:fill="auto"/>
            <w:noWrap/>
            <w:vAlign w:val="center"/>
            <w:hideMark/>
          </w:tcPr>
          <w:p w14:paraId="62DBE2BE" w14:textId="77777777" w:rsidR="006C2348" w:rsidRPr="0051729A" w:rsidRDefault="006C2348" w:rsidP="0051729A">
            <w:pPr>
              <w:spacing w:line="276" w:lineRule="auto"/>
              <w:jc w:val="center"/>
              <w:rPr>
                <w:rFonts w:ascii="Calibri" w:hAnsi="Calibri" w:cs="Calibri"/>
                <w:color w:val="000000"/>
                <w:sz w:val="20"/>
                <w:lang w:val="es-CO" w:eastAsia="es-CO"/>
              </w:rPr>
            </w:pPr>
            <w:r w:rsidRPr="0051729A">
              <w:rPr>
                <w:rFonts w:ascii="Calibri" w:hAnsi="Calibri" w:cs="Calibri"/>
                <w:color w:val="000000"/>
                <w:sz w:val="20"/>
                <w:lang w:val="es-CO" w:eastAsia="es-CO"/>
              </w:rPr>
              <w:t>X</w:t>
            </w:r>
          </w:p>
        </w:tc>
        <w:tc>
          <w:tcPr>
            <w:tcW w:w="1144" w:type="pct"/>
            <w:tcBorders>
              <w:top w:val="nil"/>
              <w:left w:val="nil"/>
              <w:bottom w:val="single" w:sz="4" w:space="0" w:color="auto"/>
              <w:right w:val="single" w:sz="4" w:space="0" w:color="auto"/>
            </w:tcBorders>
            <w:shd w:val="clear" w:color="auto" w:fill="auto"/>
            <w:vAlign w:val="bottom"/>
          </w:tcPr>
          <w:p w14:paraId="28966DFD" w14:textId="12E4EAFC" w:rsidR="006C2348" w:rsidRPr="0051729A" w:rsidRDefault="006C2348" w:rsidP="0051729A">
            <w:pPr>
              <w:spacing w:line="276" w:lineRule="auto"/>
              <w:jc w:val="left"/>
              <w:rPr>
                <w:rFonts w:ascii="Calibri" w:hAnsi="Calibri" w:cs="Calibri"/>
                <w:color w:val="000000"/>
                <w:sz w:val="20"/>
                <w:lang w:val="es-CO" w:eastAsia="es-CO"/>
              </w:rPr>
            </w:pPr>
          </w:p>
        </w:tc>
        <w:tc>
          <w:tcPr>
            <w:tcW w:w="1004" w:type="pct"/>
            <w:tcBorders>
              <w:top w:val="nil"/>
              <w:left w:val="nil"/>
              <w:bottom w:val="single" w:sz="4" w:space="0" w:color="auto"/>
              <w:right w:val="single" w:sz="4" w:space="0" w:color="auto"/>
            </w:tcBorders>
            <w:shd w:val="clear" w:color="auto" w:fill="auto"/>
            <w:noWrap/>
            <w:vAlign w:val="bottom"/>
          </w:tcPr>
          <w:p w14:paraId="2E064A05" w14:textId="26652FBB" w:rsidR="006C2348" w:rsidRPr="0051729A" w:rsidRDefault="006C2348" w:rsidP="0051729A">
            <w:pPr>
              <w:spacing w:line="276" w:lineRule="auto"/>
              <w:jc w:val="left"/>
              <w:rPr>
                <w:rFonts w:ascii="Calibri" w:hAnsi="Calibri" w:cs="Calibri"/>
                <w:color w:val="000000"/>
                <w:sz w:val="20"/>
                <w:lang w:val="es-CO" w:eastAsia="es-CO"/>
              </w:rPr>
            </w:pPr>
          </w:p>
        </w:tc>
      </w:tr>
      <w:tr w:rsidR="006C2348" w:rsidRPr="0051729A" w14:paraId="6E7CB8A8" w14:textId="77777777" w:rsidTr="003151C5">
        <w:trPr>
          <w:gridAfter w:val="1"/>
          <w:wAfter w:w="72" w:type="pct"/>
          <w:trHeight w:val="290"/>
        </w:trPr>
        <w:tc>
          <w:tcPr>
            <w:tcW w:w="492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9B6F5" w14:textId="77777777" w:rsidR="006C2348" w:rsidRPr="0051729A" w:rsidRDefault="006C2348" w:rsidP="0051729A">
            <w:pPr>
              <w:spacing w:line="276" w:lineRule="auto"/>
              <w:jc w:val="center"/>
              <w:rPr>
                <w:rFonts w:ascii="Calibri" w:hAnsi="Calibri" w:cs="Calibri"/>
                <w:b/>
                <w:bCs/>
                <w:color w:val="000000"/>
                <w:sz w:val="20"/>
                <w:lang w:val="es-CO" w:eastAsia="es-CO"/>
              </w:rPr>
            </w:pPr>
            <w:r w:rsidRPr="0051729A">
              <w:rPr>
                <w:rFonts w:ascii="Calibri" w:hAnsi="Calibri" w:cs="Calibri"/>
                <w:b/>
                <w:bCs/>
                <w:color w:val="000000"/>
                <w:sz w:val="20"/>
                <w:lang w:val="es-CO" w:eastAsia="es-CO"/>
              </w:rPr>
              <w:t>CONCLUSIONES</w:t>
            </w:r>
          </w:p>
        </w:tc>
      </w:tr>
      <w:tr w:rsidR="006C2348" w:rsidRPr="0051729A" w14:paraId="3C053BF6" w14:textId="77777777" w:rsidTr="003151C5">
        <w:trPr>
          <w:gridAfter w:val="1"/>
          <w:wAfter w:w="72" w:type="pct"/>
          <w:trHeight w:val="680"/>
        </w:trPr>
        <w:tc>
          <w:tcPr>
            <w:tcW w:w="492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BE553" w14:textId="77777777" w:rsidR="006C2348" w:rsidRPr="0051729A" w:rsidRDefault="00A96F51"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Esta resolución tiene como único propósito reconocer las actividades desarrolladas por administradores, administradores de riesgo y ejecutores de mecanismos de comercialización que se enmarcan en la Resolución CREG 114 de 2018, como actividades de la prestación del servicio público de energía. Toda la regulación aplicable ya se encuentra desarrollada e incorporada en la mencionada resolución. No se están incluyendo reglas ni requisitos adicionales a los ya existentes para el desarrollo de estas actividades.</w:t>
            </w:r>
          </w:p>
          <w:p w14:paraId="5CAA2355" w14:textId="77777777" w:rsidR="00A96F51" w:rsidRPr="0051729A" w:rsidRDefault="00A96F51" w:rsidP="0051729A">
            <w:pPr>
              <w:spacing w:line="276" w:lineRule="auto"/>
              <w:jc w:val="left"/>
              <w:rPr>
                <w:rFonts w:ascii="Calibri" w:hAnsi="Calibri" w:cs="Calibri"/>
                <w:color w:val="000000"/>
                <w:sz w:val="20"/>
                <w:lang w:val="es-CO" w:eastAsia="es-CO"/>
              </w:rPr>
            </w:pPr>
          </w:p>
          <w:p w14:paraId="41C4F559" w14:textId="04EC8006" w:rsidR="00A96F51" w:rsidRPr="0051729A" w:rsidRDefault="00A96F51" w:rsidP="0051729A">
            <w:pPr>
              <w:spacing w:line="276" w:lineRule="auto"/>
              <w:jc w:val="left"/>
              <w:rPr>
                <w:rFonts w:ascii="Calibri" w:hAnsi="Calibri" w:cs="Calibri"/>
                <w:color w:val="000000"/>
                <w:sz w:val="20"/>
                <w:lang w:val="es-CO" w:eastAsia="es-CO"/>
              </w:rPr>
            </w:pPr>
            <w:r w:rsidRPr="0051729A">
              <w:rPr>
                <w:rFonts w:ascii="Calibri" w:hAnsi="Calibri" w:cs="Calibri"/>
                <w:color w:val="000000"/>
                <w:sz w:val="20"/>
                <w:lang w:val="es-CO" w:eastAsia="es-CO"/>
              </w:rPr>
              <w:t>Por lo anterior y considerando que no se dio respuesta afirmativa a ninguna de las preguntas del presente formulario, esta regulación no requiere concepto previo de la Superintendencia de Industria y Comercio.</w:t>
            </w:r>
          </w:p>
        </w:tc>
      </w:tr>
      <w:tr w:rsidR="006C2348" w:rsidRPr="0051729A" w14:paraId="02E2AEA9" w14:textId="77777777" w:rsidTr="003151C5">
        <w:trPr>
          <w:trHeight w:val="960"/>
        </w:trPr>
        <w:tc>
          <w:tcPr>
            <w:tcW w:w="4928" w:type="pct"/>
            <w:gridSpan w:val="7"/>
            <w:vMerge/>
            <w:tcBorders>
              <w:top w:val="single" w:sz="4" w:space="0" w:color="auto"/>
              <w:left w:val="single" w:sz="4" w:space="0" w:color="auto"/>
              <w:bottom w:val="single" w:sz="4" w:space="0" w:color="auto"/>
              <w:right w:val="single" w:sz="4" w:space="0" w:color="auto"/>
            </w:tcBorders>
            <w:vAlign w:val="center"/>
            <w:hideMark/>
          </w:tcPr>
          <w:p w14:paraId="2FDA2409" w14:textId="77777777" w:rsidR="006C2348" w:rsidRPr="0051729A" w:rsidRDefault="006C2348" w:rsidP="0051729A">
            <w:pPr>
              <w:spacing w:line="276" w:lineRule="auto"/>
              <w:jc w:val="left"/>
              <w:rPr>
                <w:rFonts w:ascii="Calibri" w:hAnsi="Calibri" w:cs="Calibri"/>
                <w:color w:val="000000"/>
                <w:sz w:val="20"/>
                <w:lang w:val="es-CO" w:eastAsia="es-CO"/>
              </w:rPr>
            </w:pPr>
          </w:p>
        </w:tc>
        <w:tc>
          <w:tcPr>
            <w:tcW w:w="72" w:type="pct"/>
            <w:tcBorders>
              <w:top w:val="nil"/>
              <w:left w:val="nil"/>
              <w:bottom w:val="nil"/>
              <w:right w:val="nil"/>
            </w:tcBorders>
            <w:shd w:val="clear" w:color="auto" w:fill="auto"/>
            <w:noWrap/>
            <w:vAlign w:val="bottom"/>
            <w:hideMark/>
          </w:tcPr>
          <w:p w14:paraId="5EA534AD" w14:textId="77777777" w:rsidR="006C2348" w:rsidRPr="0051729A" w:rsidRDefault="006C2348" w:rsidP="0051729A">
            <w:pPr>
              <w:spacing w:line="276" w:lineRule="auto"/>
              <w:jc w:val="center"/>
              <w:rPr>
                <w:rFonts w:ascii="Calibri" w:hAnsi="Calibri" w:cs="Calibri"/>
                <w:color w:val="000000"/>
                <w:sz w:val="20"/>
                <w:lang w:val="es-CO" w:eastAsia="es-CO"/>
              </w:rPr>
            </w:pPr>
          </w:p>
        </w:tc>
      </w:tr>
    </w:tbl>
    <w:p w14:paraId="1EDBF76C" w14:textId="77777777" w:rsidR="006C2348" w:rsidRPr="006C2348" w:rsidRDefault="006C2348" w:rsidP="00A96F51"/>
    <w:sectPr w:rsidR="006C2348" w:rsidRPr="006C2348" w:rsidSect="002F080E">
      <w:pgSz w:w="15842" w:h="12242" w:orient="landscape"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829B" w14:textId="77777777" w:rsidR="00B31E92" w:rsidRDefault="00B31E92">
      <w:r>
        <w:separator/>
      </w:r>
    </w:p>
  </w:endnote>
  <w:endnote w:type="continuationSeparator" w:id="0">
    <w:p w14:paraId="24328793" w14:textId="77777777" w:rsidR="00B31E92" w:rsidRDefault="00B3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A663" w14:textId="77777777" w:rsidR="0069574B" w:rsidRDefault="0069574B" w:rsidP="0077100C">
    <w:pPr>
      <w:pStyle w:val="Piedepgina"/>
      <w:rPr>
        <w:sz w:val="16"/>
        <w:lang w:val="es-CO"/>
      </w:rPr>
    </w:pPr>
  </w:p>
  <w:p w14:paraId="381FC4E1" w14:textId="1B96FE45" w:rsidR="001700C2" w:rsidRDefault="008E185C" w:rsidP="0077100C">
    <w:pPr>
      <w:pStyle w:val="Piedepgina"/>
      <w:rPr>
        <w:sz w:val="16"/>
        <w:lang w:val="es-CO"/>
      </w:rPr>
    </w:pPr>
    <w:r>
      <w:rPr>
        <w:sz w:val="16"/>
        <w:lang w:val="es-CO"/>
      </w:rPr>
      <w:t xml:space="preserve">D-901 104 DE 2024 - </w:t>
    </w:r>
    <w:r w:rsidR="00734189" w:rsidRPr="00734189">
      <w:rPr>
        <w:sz w:val="16"/>
        <w:lang w:val="es-CO"/>
      </w:rPr>
      <w:t>CREACIÓN DE NUEVAS ACTIVIDADES PARA LA PRESTACIÓN DEL SERVICIO PÚBLICO DOMICILIARIO DE ENERGÍA ELÉCTRICA</w:t>
    </w:r>
  </w:p>
  <w:p w14:paraId="5DD032EE" w14:textId="77777777" w:rsidR="00734189" w:rsidRDefault="00734189"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D576" w14:textId="77777777" w:rsidR="00B31E92" w:rsidRDefault="00B31E92">
      <w:r>
        <w:separator/>
      </w:r>
    </w:p>
  </w:footnote>
  <w:footnote w:type="continuationSeparator" w:id="0">
    <w:p w14:paraId="4F36F4A2" w14:textId="77777777" w:rsidR="00B31E92" w:rsidRDefault="00B31E92">
      <w:r>
        <w:continuationSeparator/>
      </w:r>
    </w:p>
  </w:footnote>
  <w:footnote w:id="1">
    <w:p w14:paraId="6977B298" w14:textId="1FA26220" w:rsidR="0069574B" w:rsidRDefault="0069574B" w:rsidP="0069574B">
      <w:pPr>
        <w:pStyle w:val="Textonotapie"/>
      </w:pPr>
      <w:r>
        <w:rPr>
          <w:rStyle w:val="Refdenotaalpie"/>
        </w:rPr>
        <w:footnoteRef/>
      </w:r>
      <w:r>
        <w:t xml:space="preserve"> Ver Bases del Plan Nacional de Desarrollo 2018 – 2022 “Pacto Por Colombia, Pacto Por La Equidad”, Pág. 668. Disponible en línea en el siguiente enlace: </w:t>
      </w:r>
    </w:p>
    <w:p w14:paraId="300B51CD" w14:textId="77777777" w:rsidR="0069574B" w:rsidRDefault="0069574B" w:rsidP="0069574B">
      <w:pPr>
        <w:pStyle w:val="Textonotapie"/>
      </w:pPr>
    </w:p>
    <w:p w14:paraId="3D4E047B" w14:textId="77777777" w:rsidR="0069574B" w:rsidRDefault="00000000" w:rsidP="0069574B">
      <w:pPr>
        <w:pStyle w:val="Textonotapie"/>
      </w:pPr>
      <w:hyperlink r:id="rId1" w:history="1">
        <w:r w:rsidR="0069574B" w:rsidRPr="00E37E86">
          <w:rPr>
            <w:rStyle w:val="Hipervnculo"/>
          </w:rPr>
          <w:t>https://colaboracion.dnp.gov.co/CDT/portalDNP/PND-2023/PND_2018-2022/pdf/bases-pnd-2018-2022.pdf</w:t>
        </w:r>
      </w:hyperlink>
    </w:p>
    <w:p w14:paraId="750EC8CF" w14:textId="77777777" w:rsidR="0069574B" w:rsidRPr="0069574B" w:rsidRDefault="0069574B" w:rsidP="0069574B">
      <w:pPr>
        <w:pStyle w:val="Textonotapie"/>
        <w:rPr>
          <w:lang w:val="es-MX"/>
        </w:rPr>
      </w:pPr>
    </w:p>
  </w:footnote>
  <w:footnote w:id="2">
    <w:p w14:paraId="75FFF5D5" w14:textId="77777777" w:rsidR="0069574B" w:rsidRDefault="0069574B" w:rsidP="0069574B">
      <w:pPr>
        <w:pStyle w:val="Textonotapie"/>
      </w:pPr>
      <w:r>
        <w:rPr>
          <w:rStyle w:val="Refdenotaalpie"/>
        </w:rPr>
        <w:footnoteRef/>
      </w:r>
      <w:r>
        <w:t xml:space="preserve"> Ver Bases del Plan Nacional de Desarrollo 2018 – 2022 “Pacto Por Colombia, Pacto Por La Equidad”, Pág. 672. Disponible en línea en el siguiente enlace: </w:t>
      </w:r>
    </w:p>
    <w:p w14:paraId="0BB0BE97" w14:textId="77777777" w:rsidR="0069574B" w:rsidRDefault="0069574B" w:rsidP="0069574B">
      <w:pPr>
        <w:pStyle w:val="Textonotapie"/>
      </w:pPr>
    </w:p>
    <w:p w14:paraId="3D8F4870" w14:textId="40864CB8" w:rsidR="0069574B" w:rsidRDefault="00000000" w:rsidP="0069574B">
      <w:pPr>
        <w:pStyle w:val="Textonotapie"/>
      </w:pPr>
      <w:hyperlink r:id="rId2" w:history="1">
        <w:r w:rsidR="0069574B" w:rsidRPr="00E37E86">
          <w:rPr>
            <w:rStyle w:val="Hipervnculo"/>
          </w:rPr>
          <w:t>https://colaboracion.dnp.gov.co/CDT/portalDNP/PND-2023/PND_2018-2022/pdf/bases-pnd-2018-2022.pdf</w:t>
        </w:r>
      </w:hyperlink>
    </w:p>
    <w:p w14:paraId="218EFF42" w14:textId="77777777" w:rsidR="0069574B" w:rsidRPr="0069574B" w:rsidRDefault="0069574B" w:rsidP="0069574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51787171" w:rsidR="00020441" w:rsidRDefault="00020441">
    <w:pPr>
      <w:pStyle w:val="Encabezado"/>
    </w:pPr>
    <w:r>
      <w:rPr>
        <w:rFonts w:cs="Arial"/>
        <w:b/>
        <w:i/>
        <w:color w:val="808080"/>
        <w:sz w:val="16"/>
      </w:rPr>
      <w:t>Sesión No.</w:t>
    </w:r>
    <w:r w:rsidR="008E185C">
      <w:rPr>
        <w:rFonts w:cs="Arial"/>
        <w:b/>
        <w:i/>
        <w:color w:val="808080"/>
        <w:sz w:val="16"/>
      </w:rPr>
      <w:t xml:space="preserve">1323 </w:t>
    </w:r>
    <w:r w:rsidR="008E185C" w:rsidRPr="008E185C">
      <w:rPr>
        <w:rFonts w:cs="Arial"/>
        <w:b/>
        <w:i/>
        <w:color w:val="808080"/>
        <w:sz w:val="16"/>
      </w:rPr>
      <w:t>24 jun.2024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2078B0"/>
    <w:multiLevelType w:val="multilevel"/>
    <w:tmpl w:val="B108F6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360F1002"/>
    <w:multiLevelType w:val="hybridMultilevel"/>
    <w:tmpl w:val="02C0004C"/>
    <w:lvl w:ilvl="0" w:tplc="FFFFFFFF">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093740"/>
    <w:multiLevelType w:val="hybridMultilevel"/>
    <w:tmpl w:val="6B9A73B4"/>
    <w:lvl w:ilvl="0" w:tplc="0FA211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0"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A30F25"/>
    <w:multiLevelType w:val="multilevel"/>
    <w:tmpl w:val="507ABF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1872976">
    <w:abstractNumId w:val="2"/>
  </w:num>
  <w:num w:numId="2" w16cid:durableId="801968684">
    <w:abstractNumId w:val="2"/>
  </w:num>
  <w:num w:numId="3" w16cid:durableId="2073001526">
    <w:abstractNumId w:val="2"/>
  </w:num>
  <w:num w:numId="4" w16cid:durableId="780993275">
    <w:abstractNumId w:val="2"/>
  </w:num>
  <w:num w:numId="5" w16cid:durableId="493184022">
    <w:abstractNumId w:val="2"/>
  </w:num>
  <w:num w:numId="6" w16cid:durableId="449592109">
    <w:abstractNumId w:val="2"/>
  </w:num>
  <w:num w:numId="7" w16cid:durableId="1909227231">
    <w:abstractNumId w:val="9"/>
  </w:num>
  <w:num w:numId="8" w16cid:durableId="467629627">
    <w:abstractNumId w:val="6"/>
  </w:num>
  <w:num w:numId="9" w16cid:durableId="959071692">
    <w:abstractNumId w:val="10"/>
  </w:num>
  <w:num w:numId="10" w16cid:durableId="2118718905">
    <w:abstractNumId w:val="11"/>
  </w:num>
  <w:num w:numId="11" w16cid:durableId="811794889">
    <w:abstractNumId w:val="7"/>
  </w:num>
  <w:num w:numId="12" w16cid:durableId="196089711">
    <w:abstractNumId w:val="5"/>
  </w:num>
  <w:num w:numId="13" w16cid:durableId="983437049">
    <w:abstractNumId w:val="0"/>
  </w:num>
  <w:num w:numId="14" w16cid:durableId="1867281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4"/>
  </w:num>
  <w:num w:numId="16" w16cid:durableId="1410997846">
    <w:abstractNumId w:val="3"/>
  </w:num>
  <w:num w:numId="17" w16cid:durableId="29842247">
    <w:abstractNumId w:val="8"/>
  </w:num>
  <w:num w:numId="18" w16cid:durableId="1616212288">
    <w:abstractNumId w:val="1"/>
  </w:num>
  <w:num w:numId="19" w16cid:durableId="1943493631">
    <w:abstractNumId w:val="12"/>
  </w:num>
  <w:num w:numId="20" w16cid:durableId="21034538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458F"/>
    <w:rsid w:val="00012759"/>
    <w:rsid w:val="00020441"/>
    <w:rsid w:val="00041B12"/>
    <w:rsid w:val="00052C88"/>
    <w:rsid w:val="00056DFC"/>
    <w:rsid w:val="00066421"/>
    <w:rsid w:val="00075861"/>
    <w:rsid w:val="00077D8F"/>
    <w:rsid w:val="0008583D"/>
    <w:rsid w:val="000B429C"/>
    <w:rsid w:val="000B5AD2"/>
    <w:rsid w:val="000E6A9D"/>
    <w:rsid w:val="0010544E"/>
    <w:rsid w:val="0015231C"/>
    <w:rsid w:val="001700C2"/>
    <w:rsid w:val="00172DD4"/>
    <w:rsid w:val="00186477"/>
    <w:rsid w:val="00194F02"/>
    <w:rsid w:val="001D076A"/>
    <w:rsid w:val="00220D0D"/>
    <w:rsid w:val="00242826"/>
    <w:rsid w:val="00253EC8"/>
    <w:rsid w:val="00277DD8"/>
    <w:rsid w:val="0028466C"/>
    <w:rsid w:val="002C362D"/>
    <w:rsid w:val="002E19C4"/>
    <w:rsid w:val="002E361C"/>
    <w:rsid w:val="002F080E"/>
    <w:rsid w:val="00314756"/>
    <w:rsid w:val="003151C5"/>
    <w:rsid w:val="003320D3"/>
    <w:rsid w:val="00342D19"/>
    <w:rsid w:val="00346BC3"/>
    <w:rsid w:val="00361AD0"/>
    <w:rsid w:val="003642B0"/>
    <w:rsid w:val="00376357"/>
    <w:rsid w:val="0038050C"/>
    <w:rsid w:val="003C55ED"/>
    <w:rsid w:val="003E5C6D"/>
    <w:rsid w:val="0040539F"/>
    <w:rsid w:val="00410771"/>
    <w:rsid w:val="00420F87"/>
    <w:rsid w:val="004408DF"/>
    <w:rsid w:val="00446983"/>
    <w:rsid w:val="00456730"/>
    <w:rsid w:val="004914CA"/>
    <w:rsid w:val="004A733B"/>
    <w:rsid w:val="004B0F92"/>
    <w:rsid w:val="004E3965"/>
    <w:rsid w:val="004E4022"/>
    <w:rsid w:val="004F0E6A"/>
    <w:rsid w:val="004F2FD6"/>
    <w:rsid w:val="005042D3"/>
    <w:rsid w:val="005074C3"/>
    <w:rsid w:val="00517002"/>
    <w:rsid w:val="0051729A"/>
    <w:rsid w:val="00526A0B"/>
    <w:rsid w:val="0054039F"/>
    <w:rsid w:val="005506F4"/>
    <w:rsid w:val="00587047"/>
    <w:rsid w:val="005A4F42"/>
    <w:rsid w:val="005D26BC"/>
    <w:rsid w:val="005E21FD"/>
    <w:rsid w:val="005F29E7"/>
    <w:rsid w:val="0060207B"/>
    <w:rsid w:val="006263E3"/>
    <w:rsid w:val="00633B7B"/>
    <w:rsid w:val="00640798"/>
    <w:rsid w:val="00650478"/>
    <w:rsid w:val="0065699E"/>
    <w:rsid w:val="0066453F"/>
    <w:rsid w:val="006864FD"/>
    <w:rsid w:val="0069574B"/>
    <w:rsid w:val="00697B68"/>
    <w:rsid w:val="006A723E"/>
    <w:rsid w:val="006B2F18"/>
    <w:rsid w:val="006C2348"/>
    <w:rsid w:val="006D6816"/>
    <w:rsid w:val="006E1029"/>
    <w:rsid w:val="006E1AB3"/>
    <w:rsid w:val="006F6017"/>
    <w:rsid w:val="00713D75"/>
    <w:rsid w:val="00717554"/>
    <w:rsid w:val="007319DB"/>
    <w:rsid w:val="00734189"/>
    <w:rsid w:val="00735132"/>
    <w:rsid w:val="0074297C"/>
    <w:rsid w:val="00765B90"/>
    <w:rsid w:val="0077100C"/>
    <w:rsid w:val="00774338"/>
    <w:rsid w:val="007864F4"/>
    <w:rsid w:val="007D5A12"/>
    <w:rsid w:val="007E0711"/>
    <w:rsid w:val="00805AAB"/>
    <w:rsid w:val="00836DB7"/>
    <w:rsid w:val="00841F2F"/>
    <w:rsid w:val="00842447"/>
    <w:rsid w:val="00844067"/>
    <w:rsid w:val="00845D98"/>
    <w:rsid w:val="008A3820"/>
    <w:rsid w:val="008A421E"/>
    <w:rsid w:val="008B734F"/>
    <w:rsid w:val="008D7F78"/>
    <w:rsid w:val="008E185C"/>
    <w:rsid w:val="008E4B18"/>
    <w:rsid w:val="008F5A0E"/>
    <w:rsid w:val="008F7D49"/>
    <w:rsid w:val="00933069"/>
    <w:rsid w:val="00935705"/>
    <w:rsid w:val="00954B4E"/>
    <w:rsid w:val="00956F71"/>
    <w:rsid w:val="009640AD"/>
    <w:rsid w:val="0098175C"/>
    <w:rsid w:val="009C08C1"/>
    <w:rsid w:val="009F44D1"/>
    <w:rsid w:val="00A15852"/>
    <w:rsid w:val="00A2276C"/>
    <w:rsid w:val="00A30D43"/>
    <w:rsid w:val="00A551E7"/>
    <w:rsid w:val="00A55A31"/>
    <w:rsid w:val="00A75117"/>
    <w:rsid w:val="00A92530"/>
    <w:rsid w:val="00A96F51"/>
    <w:rsid w:val="00AC6BAE"/>
    <w:rsid w:val="00AD41A0"/>
    <w:rsid w:val="00AE45D8"/>
    <w:rsid w:val="00AE4628"/>
    <w:rsid w:val="00B31E92"/>
    <w:rsid w:val="00B425AB"/>
    <w:rsid w:val="00B465B5"/>
    <w:rsid w:val="00B60742"/>
    <w:rsid w:val="00B60C56"/>
    <w:rsid w:val="00B81BF9"/>
    <w:rsid w:val="00B94CF0"/>
    <w:rsid w:val="00BC7A1A"/>
    <w:rsid w:val="00BE2C84"/>
    <w:rsid w:val="00C40736"/>
    <w:rsid w:val="00C87B42"/>
    <w:rsid w:val="00CA5CE2"/>
    <w:rsid w:val="00CB67B8"/>
    <w:rsid w:val="00CB7AD8"/>
    <w:rsid w:val="00CD3AA7"/>
    <w:rsid w:val="00CE1F58"/>
    <w:rsid w:val="00D15CD1"/>
    <w:rsid w:val="00D16CD3"/>
    <w:rsid w:val="00D3123C"/>
    <w:rsid w:val="00D45984"/>
    <w:rsid w:val="00D70E20"/>
    <w:rsid w:val="00D902FC"/>
    <w:rsid w:val="00DB5FB9"/>
    <w:rsid w:val="00DB6372"/>
    <w:rsid w:val="00DC4CA3"/>
    <w:rsid w:val="00DD12AF"/>
    <w:rsid w:val="00DD7346"/>
    <w:rsid w:val="00DF25B4"/>
    <w:rsid w:val="00E166D7"/>
    <w:rsid w:val="00E255E6"/>
    <w:rsid w:val="00E47A91"/>
    <w:rsid w:val="00E528E4"/>
    <w:rsid w:val="00E5451A"/>
    <w:rsid w:val="00E7209B"/>
    <w:rsid w:val="00E9587D"/>
    <w:rsid w:val="00EA424C"/>
    <w:rsid w:val="00EA6A61"/>
    <w:rsid w:val="00EA6C1E"/>
    <w:rsid w:val="00EB5413"/>
    <w:rsid w:val="00EF7184"/>
    <w:rsid w:val="00F033E3"/>
    <w:rsid w:val="00F03A5A"/>
    <w:rsid w:val="00F12D6B"/>
    <w:rsid w:val="00F24455"/>
    <w:rsid w:val="00F40D91"/>
    <w:rsid w:val="00F42FDC"/>
    <w:rsid w:val="00F57719"/>
    <w:rsid w:val="00F83DE5"/>
    <w:rsid w:val="00FA61B5"/>
    <w:rsid w:val="00FD3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075861"/>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styleId="Mencinsinresolver">
    <w:name w:val="Unresolved Mention"/>
    <w:basedOn w:val="Fuentedeprrafopredeter"/>
    <w:uiPriority w:val="99"/>
    <w:semiHidden/>
    <w:unhideWhenUsed/>
    <w:rsid w:val="00695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867639176">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0007548">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portalDNP/PND-2023/PND_2018-2022/pdf/bases-pnd-2018-2022.pdf" TargetMode="External"/><Relationship Id="rId1" Type="http://schemas.openxmlformats.org/officeDocument/2006/relationships/hyperlink" Target="https://colaboracion.dnp.gov.co/CDT/portalDNP/PND-2023/PND_2018-2022/pdf/bases-pnd-2018-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4641</Words>
  <Characters>25530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Liliana Cruz Pinzon</cp:lastModifiedBy>
  <cp:revision>26</cp:revision>
  <cp:lastPrinted>2024-07-03T16:24:00Z</cp:lastPrinted>
  <dcterms:created xsi:type="dcterms:W3CDTF">2023-10-25T19:33:00Z</dcterms:created>
  <dcterms:modified xsi:type="dcterms:W3CDTF">2024-07-04T20:32:00Z</dcterms:modified>
</cp:coreProperties>
</file>