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F451" w14:textId="0912436E" w:rsidR="009A3617" w:rsidRDefault="009A3617" w:rsidP="009A3617">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sidR="00A67475">
        <w:rPr>
          <w:rFonts w:ascii="Arial" w:hAnsi="Arial" w:cs="Arial"/>
          <w:noProof/>
          <w:sz w:val="22"/>
          <w:szCs w:val="22"/>
          <w:lang w:val="es-MX"/>
        </w:rPr>
        <w:t>31</w:t>
      </w:r>
      <w:r w:rsidR="0013581C">
        <w:rPr>
          <w:rFonts w:ascii="Arial" w:hAnsi="Arial" w:cs="Arial"/>
          <w:noProof/>
          <w:sz w:val="22"/>
          <w:szCs w:val="22"/>
          <w:lang w:val="es-MX"/>
        </w:rPr>
        <w:t xml:space="preserve"> de octubre de 2023</w:t>
      </w:r>
      <w:r>
        <w:rPr>
          <w:rFonts w:ascii="Arial" w:hAnsi="Arial" w:cs="Arial"/>
          <w:sz w:val="22"/>
          <w:szCs w:val="22"/>
          <w:lang w:val="es-MX"/>
        </w:rPr>
        <w:fldChar w:fldCharType="end"/>
      </w:r>
    </w:p>
    <w:p w14:paraId="5EADA06C" w14:textId="77777777" w:rsidR="00A454CE" w:rsidRPr="009A3617" w:rsidRDefault="00A454CE" w:rsidP="00A454CE">
      <w:pPr>
        <w:pStyle w:val="Encabezado"/>
        <w:rPr>
          <w:rFonts w:ascii="Arial" w:hAnsi="Arial" w:cs="Arial"/>
          <w:lang w:val="es-MX"/>
        </w:rPr>
      </w:pPr>
    </w:p>
    <w:p w14:paraId="42EF5971" w14:textId="77777777" w:rsidR="00C51B40" w:rsidRDefault="00C51B40" w:rsidP="00C51B40">
      <w:pPr>
        <w:rPr>
          <w:rFonts w:ascii="Arial" w:hAnsi="Arial" w:cs="Arial"/>
          <w:sz w:val="22"/>
          <w:szCs w:val="22"/>
          <w:lang w:val="es-MX"/>
        </w:rPr>
      </w:pPr>
    </w:p>
    <w:p w14:paraId="4E30B1F2" w14:textId="36B875D2" w:rsidR="00A454CE" w:rsidRPr="00F751B1" w:rsidRDefault="00E17CF0" w:rsidP="00F751B1">
      <w:pPr>
        <w:jc w:val="center"/>
        <w:rPr>
          <w:rFonts w:ascii="Arial" w:hAnsi="Arial" w:cs="Arial"/>
          <w:b/>
          <w:bCs/>
          <w:lang w:val="es-MX"/>
        </w:rPr>
      </w:pPr>
      <w:r w:rsidRPr="00ED211B">
        <w:rPr>
          <w:rFonts w:ascii="Arial" w:hAnsi="Arial" w:cs="Arial"/>
          <w:b/>
          <w:bCs/>
          <w:lang w:val="es-MX"/>
        </w:rPr>
        <w:t xml:space="preserve">AUTO </w:t>
      </w:r>
      <w:r w:rsidR="00C104A4" w:rsidRPr="00ED211B">
        <w:rPr>
          <w:rFonts w:ascii="Arial" w:hAnsi="Arial" w:cs="Arial"/>
          <w:b/>
          <w:bCs/>
          <w:lang w:val="es-MX"/>
        </w:rPr>
        <w:fldChar w:fldCharType="begin"/>
      </w:r>
      <w:r w:rsidR="00C104A4" w:rsidRPr="00ED211B">
        <w:rPr>
          <w:rFonts w:ascii="Arial" w:hAnsi="Arial" w:cs="Arial"/>
          <w:b/>
          <w:bCs/>
          <w:lang w:val="es-MX"/>
        </w:rPr>
        <w:instrText xml:space="preserve"> MERGEFIELD  Fecha  \* MERGEFORMAT </w:instrText>
      </w:r>
      <w:r w:rsidR="00C104A4" w:rsidRPr="00ED211B">
        <w:rPr>
          <w:rFonts w:ascii="Arial" w:hAnsi="Arial" w:cs="Arial"/>
          <w:b/>
          <w:bCs/>
          <w:lang w:val="es-MX"/>
        </w:rPr>
        <w:fldChar w:fldCharType="separate"/>
      </w:r>
      <w:r w:rsidR="00C104A4" w:rsidRPr="00ED211B">
        <w:rPr>
          <w:rFonts w:ascii="Arial" w:hAnsi="Arial" w:cs="Arial"/>
          <w:b/>
          <w:bCs/>
          <w:noProof/>
          <w:lang w:val="es-MX"/>
        </w:rPr>
        <w:t>0000165 del 2023</w:t>
      </w:r>
      <w:r w:rsidR="00C104A4" w:rsidRPr="00ED211B">
        <w:rPr>
          <w:rFonts w:ascii="Arial" w:hAnsi="Arial" w:cs="Arial"/>
          <w:b/>
          <w:bCs/>
          <w:lang w:val="es-MX"/>
        </w:rPr>
        <w:fldChar w:fldCharType="end"/>
      </w:r>
    </w:p>
    <w:p w14:paraId="2EF45FB4" w14:textId="77777777" w:rsidR="006B770B" w:rsidRPr="000350D8" w:rsidRDefault="006B770B" w:rsidP="006B770B">
      <w:pPr>
        <w:pStyle w:val="Encabezado"/>
        <w:jc w:val="center"/>
        <w:rPr>
          <w:rFonts w:ascii="Arial" w:hAnsi="Arial" w:cs="Arial"/>
          <w:b/>
          <w:bCs/>
          <w:lang w:val="es-ES"/>
        </w:rPr>
      </w:pPr>
      <w:r w:rsidRPr="000350D8">
        <w:rPr>
          <w:rFonts w:ascii="Arial" w:hAnsi="Arial" w:cs="Arial"/>
          <w:b/>
          <w:bCs/>
          <w:lang w:val="es-ES"/>
        </w:rPr>
        <w:t>LA COMISIÓN DE REGULACIÓN DE ENERGÍA Y GAS</w:t>
      </w:r>
    </w:p>
    <w:p w14:paraId="0765CF33" w14:textId="77777777" w:rsidR="006B770B" w:rsidRPr="000350D8" w:rsidRDefault="006B770B" w:rsidP="006B770B">
      <w:pPr>
        <w:pStyle w:val="Encabezado"/>
        <w:jc w:val="center"/>
        <w:rPr>
          <w:rFonts w:ascii="Arial" w:hAnsi="Arial" w:cs="Arial"/>
          <w:b/>
          <w:bCs/>
          <w:lang w:val="es-ES"/>
        </w:rPr>
      </w:pPr>
      <w:r>
        <w:rPr>
          <w:rFonts w:ascii="Arial" w:hAnsi="Arial" w:cs="Arial"/>
          <w:b/>
          <w:bCs/>
          <w:lang w:val="es-ES"/>
        </w:rPr>
        <w:t>Dirección Ejecutiva</w:t>
      </w:r>
    </w:p>
    <w:p w14:paraId="67CA9617" w14:textId="77777777" w:rsidR="006B770B" w:rsidRPr="000350D8" w:rsidRDefault="006B770B" w:rsidP="006B770B">
      <w:pPr>
        <w:pStyle w:val="Encabezado"/>
        <w:jc w:val="center"/>
        <w:rPr>
          <w:rFonts w:ascii="Arial" w:hAnsi="Arial" w:cs="Arial"/>
          <w:b/>
          <w:bCs/>
          <w:lang w:val="es-ES"/>
        </w:rPr>
      </w:pPr>
    </w:p>
    <w:p w14:paraId="61ECE3E5" w14:textId="77777777" w:rsidR="006B770B" w:rsidRPr="000350D8" w:rsidRDefault="006B770B" w:rsidP="006B770B">
      <w:pPr>
        <w:pStyle w:val="Encabezado"/>
        <w:jc w:val="center"/>
        <w:rPr>
          <w:rFonts w:ascii="Arial" w:hAnsi="Arial" w:cs="Arial"/>
          <w:b/>
          <w:bCs/>
          <w:lang w:val="es-ES"/>
        </w:rPr>
      </w:pPr>
    </w:p>
    <w:p w14:paraId="1FAC18A2" w14:textId="32A89DE9" w:rsidR="006B770B" w:rsidRDefault="006B770B" w:rsidP="006B770B">
      <w:pPr>
        <w:spacing w:line="360" w:lineRule="auto"/>
        <w:ind w:left="1134" w:hanging="1134"/>
        <w:rPr>
          <w:rFonts w:ascii="Helvetica" w:hAnsi="Helvetica" w:cs="Helvetica"/>
          <w:b/>
          <w:bCs/>
          <w:sz w:val="22"/>
          <w:szCs w:val="22"/>
          <w:lang w:val="es-MX"/>
        </w:rPr>
      </w:pPr>
      <w:r w:rsidRPr="00511928">
        <w:rPr>
          <w:rFonts w:ascii="Helvetica" w:eastAsia="Calibri" w:hAnsi="Helvetica" w:cs="Helvetica"/>
          <w:b/>
          <w:bCs/>
          <w:kern w:val="2"/>
          <w:sz w:val="22"/>
          <w:szCs w:val="22"/>
          <w:lang w:val="es-MX"/>
          <w14:ligatures w14:val="standardContextual"/>
        </w:rPr>
        <w:t>Asunto:</w:t>
      </w:r>
      <w:r w:rsidRPr="00511928">
        <w:rPr>
          <w:rFonts w:ascii="Helvetica" w:eastAsia="Calibri" w:hAnsi="Helvetica" w:cs="Helvetica"/>
          <w:b/>
          <w:bCs/>
          <w:kern w:val="2"/>
          <w:sz w:val="22"/>
          <w:szCs w:val="22"/>
          <w:lang w:val="es-MX"/>
          <w14:ligatures w14:val="standardContextual"/>
        </w:rPr>
        <w:tab/>
      </w:r>
      <w:r w:rsidRPr="00511928">
        <w:rPr>
          <w:rFonts w:ascii="Helvetica" w:eastAsia="Calibri" w:hAnsi="Helvetica" w:cs="Helvetica"/>
          <w:kern w:val="2"/>
          <w:sz w:val="22"/>
          <w:szCs w:val="22"/>
          <w:lang w:val="es-MX"/>
          <w14:ligatures w14:val="standardContextual"/>
        </w:rPr>
        <w:t xml:space="preserve">Inicio de Actuación Administrativa para la Aprobación del Mercado </w:t>
      </w:r>
      <w:r>
        <w:rPr>
          <w:rFonts w:ascii="Helvetica" w:eastAsia="Calibri" w:hAnsi="Helvetica" w:cs="Helvetica"/>
          <w:kern w:val="2"/>
          <w:sz w:val="22"/>
          <w:szCs w:val="22"/>
          <w:lang w:val="es-MX"/>
          <w14:ligatures w14:val="standardContextual"/>
        </w:rPr>
        <w:t>Relevante</w:t>
      </w:r>
      <w:r w:rsidR="00B33476">
        <w:rPr>
          <w:rFonts w:ascii="Helvetica" w:eastAsia="Calibri" w:hAnsi="Helvetica" w:cs="Helvetica"/>
          <w:kern w:val="2"/>
          <w:sz w:val="22"/>
          <w:szCs w:val="22"/>
          <w:lang w:val="es-MX"/>
          <w14:ligatures w14:val="standardContextual"/>
        </w:rPr>
        <w:t xml:space="preserve"> de Distribución</w:t>
      </w:r>
      <w:r w:rsidRPr="00511928">
        <w:rPr>
          <w:rFonts w:ascii="Helvetica" w:eastAsia="Calibri" w:hAnsi="Helvetica" w:cs="Helvetica"/>
          <w:kern w:val="2"/>
          <w:sz w:val="22"/>
          <w:szCs w:val="22"/>
          <w:lang w:val="es-MX"/>
          <w14:ligatures w14:val="standardContextual"/>
        </w:rPr>
        <w:t xml:space="preserve"> Especial conformado por </w:t>
      </w:r>
      <w:r>
        <w:rPr>
          <w:rFonts w:ascii="Helvetica" w:eastAsia="Calibri" w:hAnsi="Helvetica" w:cs="Helvetica"/>
          <w:kern w:val="2"/>
          <w:sz w:val="22"/>
          <w:szCs w:val="22"/>
          <w:lang w:val="es-MX"/>
          <w14:ligatures w14:val="standardContextual"/>
        </w:rPr>
        <w:t>los centros</w:t>
      </w:r>
      <w:r w:rsidRPr="00511928">
        <w:rPr>
          <w:rFonts w:ascii="Helvetica" w:eastAsia="Calibri" w:hAnsi="Helvetica" w:cs="Helvetica"/>
          <w:kern w:val="2"/>
          <w:sz w:val="22"/>
          <w:szCs w:val="22"/>
          <w:lang w:val="es-MX"/>
          <w14:ligatures w14:val="standardContextual"/>
        </w:rPr>
        <w:t xml:space="preserve"> poblado</w:t>
      </w:r>
      <w:r>
        <w:rPr>
          <w:rFonts w:ascii="Helvetica" w:eastAsia="Calibri" w:hAnsi="Helvetica" w:cs="Helvetica"/>
          <w:kern w:val="2"/>
          <w:sz w:val="22"/>
          <w:szCs w:val="22"/>
          <w:lang w:val="es-MX"/>
          <w14:ligatures w14:val="standardContextual"/>
        </w:rPr>
        <w:t>s</w:t>
      </w:r>
      <w:r w:rsidRPr="00511928">
        <w:rPr>
          <w:rFonts w:ascii="Helvetica" w:eastAsia="Calibri" w:hAnsi="Helvetica" w:cs="Helvetica"/>
          <w:kern w:val="2"/>
          <w:sz w:val="22"/>
          <w:szCs w:val="22"/>
          <w:lang w:val="es-MX"/>
          <w14:ligatures w14:val="standardContextual"/>
        </w:rPr>
        <w:t xml:space="preserve"> de </w:t>
      </w:r>
      <w:r>
        <w:rPr>
          <w:rFonts w:ascii="Helvetica" w:eastAsia="Calibri" w:hAnsi="Helvetica" w:cs="Helvetica"/>
          <w:kern w:val="2"/>
          <w:sz w:val="22"/>
          <w:szCs w:val="22"/>
          <w:lang w:val="es-MX"/>
          <w14:ligatures w14:val="standardContextual"/>
        </w:rPr>
        <w:t>La Doctrina y Santa Lucía</w:t>
      </w:r>
      <w:r w:rsidRPr="00511928">
        <w:rPr>
          <w:rFonts w:ascii="Helvetica" w:eastAsia="Calibri" w:hAnsi="Helvetica" w:cs="Helvetica"/>
          <w:kern w:val="2"/>
          <w:sz w:val="22"/>
          <w:szCs w:val="22"/>
          <w:lang w:val="es-MX"/>
          <w14:ligatures w14:val="standardContextual"/>
        </w:rPr>
        <w:t xml:space="preserve"> en el municipio de </w:t>
      </w:r>
      <w:r>
        <w:rPr>
          <w:rFonts w:ascii="Helvetica" w:eastAsia="Calibri" w:hAnsi="Helvetica" w:cs="Helvetica"/>
          <w:kern w:val="2"/>
          <w:sz w:val="22"/>
          <w:szCs w:val="22"/>
          <w:lang w:val="es-MX"/>
          <w14:ligatures w14:val="standardContextual"/>
        </w:rPr>
        <w:t>Lorica</w:t>
      </w:r>
      <w:r w:rsidRPr="00511928">
        <w:rPr>
          <w:rFonts w:ascii="Helvetica" w:eastAsia="Calibri" w:hAnsi="Helvetica" w:cs="Helvetica"/>
          <w:kern w:val="2"/>
          <w:sz w:val="22"/>
          <w:szCs w:val="22"/>
          <w:lang w:val="es-MX"/>
          <w14:ligatures w14:val="standardContextual"/>
        </w:rPr>
        <w:t xml:space="preserve"> del departamento de </w:t>
      </w:r>
      <w:r>
        <w:rPr>
          <w:rFonts w:ascii="Helvetica" w:eastAsia="Calibri" w:hAnsi="Helvetica" w:cs="Helvetica"/>
          <w:kern w:val="2"/>
          <w:sz w:val="22"/>
          <w:szCs w:val="22"/>
          <w:lang w:val="es-MX"/>
          <w14:ligatures w14:val="standardContextual"/>
        </w:rPr>
        <w:t>Córdoba</w:t>
      </w:r>
      <w:r w:rsidRPr="00511928">
        <w:rPr>
          <w:rFonts w:ascii="Helvetica" w:eastAsia="Calibri" w:hAnsi="Helvetica" w:cs="Helvetica"/>
          <w:kern w:val="2"/>
          <w:sz w:val="22"/>
          <w:szCs w:val="22"/>
          <w:lang w:val="es-MX"/>
          <w14:ligatures w14:val="standardContextual"/>
        </w:rPr>
        <w:t xml:space="preserve">, así como del Cargo de Distribución y el Componente Fijo del Costo de Comercialización de Gas Licuado de Petróleo por redes de tubería </w:t>
      </w:r>
      <w:proofErr w:type="gramStart"/>
      <w:r w:rsidRPr="00511928">
        <w:rPr>
          <w:rFonts w:ascii="Helvetica" w:eastAsia="Calibri" w:hAnsi="Helvetica" w:cs="Helvetica"/>
          <w:kern w:val="2"/>
          <w:sz w:val="22"/>
          <w:szCs w:val="22"/>
          <w:lang w:val="es-MX"/>
          <w14:ligatures w14:val="standardContextual"/>
        </w:rPr>
        <w:t>del mismo</w:t>
      </w:r>
      <w:proofErr w:type="gramEnd"/>
      <w:r w:rsidR="00B33476">
        <w:rPr>
          <w:rFonts w:ascii="Helvetica" w:eastAsia="Calibri" w:hAnsi="Helvetica" w:cs="Helvetica"/>
          <w:kern w:val="2"/>
          <w:sz w:val="22"/>
          <w:szCs w:val="22"/>
          <w:lang w:val="es-MX"/>
          <w14:ligatures w14:val="standardContextual"/>
        </w:rPr>
        <w:t xml:space="preserve">, solicitado por la Empresa </w:t>
      </w:r>
      <w:r w:rsidR="00B33476">
        <w:rPr>
          <w:rFonts w:ascii="Helvetica" w:hAnsi="Helvetica" w:cs="Helvetica"/>
          <w:b/>
          <w:bCs/>
          <w:sz w:val="22"/>
          <w:szCs w:val="22"/>
          <w:lang w:val="es-MX"/>
        </w:rPr>
        <w:t xml:space="preserve">GEAS GROUP </w:t>
      </w:r>
      <w:r w:rsidR="00B33476" w:rsidRPr="005D4843">
        <w:rPr>
          <w:rFonts w:ascii="Helvetica" w:hAnsi="Helvetica" w:cs="Helvetica"/>
          <w:b/>
          <w:bCs/>
          <w:sz w:val="22"/>
          <w:szCs w:val="22"/>
          <w:lang w:val="es-MX"/>
        </w:rPr>
        <w:t>S.A.</w:t>
      </w:r>
      <w:r w:rsidR="00B33476">
        <w:rPr>
          <w:rFonts w:ascii="Helvetica" w:hAnsi="Helvetica" w:cs="Helvetica"/>
          <w:b/>
          <w:bCs/>
          <w:sz w:val="22"/>
          <w:szCs w:val="22"/>
          <w:lang w:val="es-MX"/>
        </w:rPr>
        <w:t>S.</w:t>
      </w:r>
      <w:r w:rsidR="00B33476" w:rsidRPr="005D4843">
        <w:rPr>
          <w:rFonts w:ascii="Helvetica" w:hAnsi="Helvetica" w:cs="Helvetica"/>
          <w:b/>
          <w:bCs/>
          <w:sz w:val="22"/>
          <w:szCs w:val="22"/>
          <w:lang w:val="es-MX"/>
        </w:rPr>
        <w:t xml:space="preserve"> E.S.P.</w:t>
      </w:r>
    </w:p>
    <w:p w14:paraId="53E07074" w14:textId="77777777" w:rsidR="00B33476" w:rsidRPr="00511928" w:rsidRDefault="00B33476" w:rsidP="006B770B">
      <w:pPr>
        <w:spacing w:line="360" w:lineRule="auto"/>
        <w:ind w:left="1134" w:hanging="1134"/>
        <w:rPr>
          <w:rFonts w:ascii="Helvetica" w:eastAsia="Calibri" w:hAnsi="Helvetica" w:cs="Helvetica"/>
          <w:kern w:val="2"/>
          <w:sz w:val="22"/>
          <w:szCs w:val="22"/>
          <w:lang w:val="es-MX"/>
          <w14:ligatures w14:val="standardContextual"/>
        </w:rPr>
      </w:pPr>
    </w:p>
    <w:p w14:paraId="2839B421" w14:textId="5EAC156E" w:rsidR="006B770B" w:rsidRPr="00511928" w:rsidRDefault="006B770B" w:rsidP="006B770B">
      <w:pPr>
        <w:spacing w:line="360" w:lineRule="auto"/>
        <w:ind w:left="1134" w:hanging="1134"/>
        <w:rPr>
          <w:rFonts w:ascii="Helvetica" w:eastAsia="Calibri" w:hAnsi="Helvetica" w:cs="Helvetica"/>
          <w:b/>
          <w:bCs/>
          <w:kern w:val="2"/>
          <w:sz w:val="22"/>
          <w:szCs w:val="22"/>
          <w:lang w:val="es-MX"/>
          <w14:ligatures w14:val="standardContextual"/>
        </w:rPr>
      </w:pPr>
      <w:r w:rsidRPr="00B33476">
        <w:rPr>
          <w:rFonts w:ascii="Helvetica" w:eastAsia="Calibri" w:hAnsi="Helvetica" w:cs="Helvetica"/>
          <w:kern w:val="2"/>
          <w:sz w:val="22"/>
          <w:szCs w:val="22"/>
          <w:lang w:val="es-MX"/>
          <w14:ligatures w14:val="standardContextual"/>
        </w:rPr>
        <w:tab/>
      </w:r>
      <w:r w:rsidR="00B33476" w:rsidRPr="00B33476">
        <w:rPr>
          <w:rFonts w:ascii="Helvetica" w:eastAsia="Calibri" w:hAnsi="Helvetica" w:cs="Helvetica"/>
          <w:kern w:val="2"/>
          <w:sz w:val="22"/>
          <w:szCs w:val="22"/>
          <w:lang w:val="es-MX"/>
          <w14:ligatures w14:val="standardContextual"/>
        </w:rPr>
        <w:t>Radicado CREG:</w:t>
      </w:r>
      <w:r w:rsidR="00B33476">
        <w:rPr>
          <w:rFonts w:ascii="Helvetica" w:eastAsia="Calibri" w:hAnsi="Helvetica" w:cs="Helvetica"/>
          <w:b/>
          <w:bCs/>
          <w:kern w:val="2"/>
          <w:sz w:val="22"/>
          <w:szCs w:val="22"/>
          <w:lang w:val="es-MX"/>
          <w14:ligatures w14:val="standardContextual"/>
        </w:rPr>
        <w:t xml:space="preserve"> </w:t>
      </w:r>
      <w:r w:rsidR="00B33476" w:rsidRPr="00B601F6">
        <w:rPr>
          <w:rFonts w:ascii="Helvetica" w:eastAsia="Calibri" w:hAnsi="Helvetica" w:cs="Helvetica"/>
          <w:kern w:val="2"/>
          <w:sz w:val="22"/>
          <w:szCs w:val="22"/>
          <w:lang w:val="es-CO"/>
          <w14:ligatures w14:val="standardContextual"/>
        </w:rPr>
        <w:t>E2023004759</w:t>
      </w:r>
    </w:p>
    <w:p w14:paraId="48C00F15" w14:textId="77777777" w:rsidR="006B770B" w:rsidRPr="00511928" w:rsidRDefault="006B770B" w:rsidP="006B770B">
      <w:pPr>
        <w:spacing w:line="360" w:lineRule="auto"/>
        <w:ind w:left="1134" w:hanging="1134"/>
        <w:rPr>
          <w:rFonts w:ascii="Helvetica" w:eastAsia="Calibri" w:hAnsi="Helvetica" w:cs="Times New Roman"/>
          <w:kern w:val="2"/>
          <w:sz w:val="22"/>
          <w:szCs w:val="22"/>
          <w:lang w:val="es-CO"/>
          <w14:ligatures w14:val="standardContextual"/>
        </w:rPr>
      </w:pPr>
      <w:r w:rsidRPr="00511928">
        <w:rPr>
          <w:rFonts w:ascii="Arial" w:eastAsia="Calibri" w:hAnsi="Arial" w:cs="Arial"/>
          <w:b/>
          <w:bCs/>
          <w:kern w:val="2"/>
          <w:sz w:val="22"/>
          <w:szCs w:val="22"/>
          <w:lang w:val="es-MX"/>
          <w14:ligatures w14:val="standardContextual"/>
        </w:rPr>
        <w:tab/>
      </w:r>
      <w:r w:rsidRPr="00511928">
        <w:rPr>
          <w:rFonts w:ascii="Helvetica" w:eastAsia="Calibri" w:hAnsi="Helvetica" w:cs="Times New Roman"/>
          <w:kern w:val="2"/>
          <w:sz w:val="22"/>
          <w:szCs w:val="22"/>
          <w:lang w:val="es-CO"/>
          <w14:ligatures w14:val="standardContextual"/>
        </w:rPr>
        <w:t xml:space="preserve">Número de solicitud en Apligas: </w:t>
      </w:r>
      <w:r>
        <w:rPr>
          <w:rFonts w:ascii="Helvetica" w:eastAsia="Calibri" w:hAnsi="Helvetica" w:cs="Times New Roman"/>
          <w:kern w:val="2"/>
          <w:sz w:val="22"/>
          <w:szCs w:val="22"/>
          <w:lang w:val="es-CO"/>
          <w14:ligatures w14:val="standardContextual"/>
        </w:rPr>
        <w:t>2938</w:t>
      </w:r>
    </w:p>
    <w:p w14:paraId="0B0F8235" w14:textId="77777777" w:rsidR="006B770B" w:rsidRPr="00511928" w:rsidRDefault="006B770B" w:rsidP="006B770B">
      <w:pPr>
        <w:spacing w:line="360" w:lineRule="auto"/>
        <w:ind w:left="1134" w:hanging="1134"/>
        <w:rPr>
          <w:rFonts w:ascii="Helvetica" w:eastAsia="Calibri" w:hAnsi="Helvetica" w:cs="Times New Roman"/>
          <w:kern w:val="2"/>
          <w:sz w:val="22"/>
          <w:szCs w:val="22"/>
          <w:lang w:val="es-CO"/>
          <w14:ligatures w14:val="standardContextual"/>
        </w:rPr>
      </w:pPr>
    </w:p>
    <w:p w14:paraId="6D02DC1B" w14:textId="77777777" w:rsidR="006B770B" w:rsidRPr="00511928" w:rsidRDefault="006B770B" w:rsidP="006B770B">
      <w:pPr>
        <w:spacing w:line="360" w:lineRule="auto"/>
        <w:ind w:left="1134" w:hanging="1134"/>
        <w:rPr>
          <w:rFonts w:ascii="Helvetica" w:eastAsia="Calibri" w:hAnsi="Helvetica" w:cs="Times New Roman"/>
          <w:kern w:val="2"/>
          <w:sz w:val="22"/>
          <w:szCs w:val="22"/>
          <w:lang w:val="es-CO"/>
          <w14:ligatures w14:val="standardContextual"/>
        </w:rPr>
      </w:pPr>
    </w:p>
    <w:p w14:paraId="21C2E222" w14:textId="77777777" w:rsidR="006B770B" w:rsidRPr="00511928" w:rsidRDefault="006B770B" w:rsidP="006B770B">
      <w:pPr>
        <w:spacing w:line="360" w:lineRule="auto"/>
        <w:ind w:left="1134" w:hanging="1134"/>
        <w:jc w:val="center"/>
        <w:rPr>
          <w:rFonts w:ascii="Helvetica" w:eastAsia="Calibri" w:hAnsi="Helvetica" w:cs="Times New Roman"/>
          <w:b/>
          <w:bCs/>
          <w:kern w:val="2"/>
          <w:sz w:val="22"/>
          <w:szCs w:val="22"/>
          <w:lang w:val="es-CO"/>
          <w14:ligatures w14:val="standardContextual"/>
        </w:rPr>
      </w:pPr>
      <w:r w:rsidRPr="00511928">
        <w:rPr>
          <w:rFonts w:ascii="Helvetica" w:eastAsia="Calibri" w:hAnsi="Helvetica" w:cs="Times New Roman"/>
          <w:b/>
          <w:bCs/>
          <w:kern w:val="2"/>
          <w:sz w:val="22"/>
          <w:szCs w:val="22"/>
          <w:lang w:val="es-CO"/>
          <w14:ligatures w14:val="standardContextual"/>
        </w:rPr>
        <w:t>CONSIDERANDO QUE:</w:t>
      </w:r>
    </w:p>
    <w:p w14:paraId="4C6A0299" w14:textId="77777777" w:rsidR="006B770B" w:rsidRPr="00511928" w:rsidRDefault="006B770B" w:rsidP="006B770B">
      <w:pPr>
        <w:spacing w:line="360" w:lineRule="auto"/>
        <w:ind w:left="1134" w:hanging="1134"/>
        <w:jc w:val="center"/>
        <w:rPr>
          <w:rFonts w:ascii="Arial" w:eastAsia="Calibri" w:hAnsi="Arial" w:cs="Arial"/>
          <w:b/>
          <w:bCs/>
          <w:kern w:val="2"/>
          <w:sz w:val="22"/>
          <w:szCs w:val="22"/>
          <w:lang w:val="es-MX"/>
          <w14:ligatures w14:val="standardContextual"/>
        </w:rPr>
      </w:pPr>
    </w:p>
    <w:p w14:paraId="19F29607"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Pr>
          <w:rFonts w:ascii="Helvetica" w:eastAsia="Calibri" w:hAnsi="Helvetica" w:cs="Helvetica"/>
          <w:kern w:val="2"/>
          <w:sz w:val="22"/>
          <w:szCs w:val="22"/>
          <w:lang w:val="es-CO"/>
          <w14:ligatures w14:val="standardContextual"/>
        </w:rPr>
        <w:t>Según</w:t>
      </w:r>
      <w:r w:rsidRPr="00511928">
        <w:rPr>
          <w:rFonts w:ascii="Helvetica" w:eastAsia="Calibri" w:hAnsi="Helvetica" w:cs="Helvetica"/>
          <w:kern w:val="2"/>
          <w:sz w:val="22"/>
          <w:szCs w:val="22"/>
          <w:lang w:val="es-CO"/>
          <w14:ligatures w14:val="standardContextual"/>
        </w:rPr>
        <w:t xml:space="preserve">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0A725A58" w14:textId="77777777" w:rsidR="006B770B" w:rsidRPr="00511928" w:rsidRDefault="006B770B" w:rsidP="00A67475">
      <w:pPr>
        <w:rPr>
          <w:rFonts w:ascii="Helvetica" w:eastAsia="Calibri" w:hAnsi="Helvetica" w:cs="Helvetica"/>
          <w:kern w:val="2"/>
          <w:sz w:val="22"/>
          <w:szCs w:val="22"/>
          <w:lang w:val="es-CO"/>
          <w14:ligatures w14:val="standardContextual"/>
        </w:rPr>
      </w:pPr>
    </w:p>
    <w:p w14:paraId="6000A69A"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3473CC">
        <w:rPr>
          <w:rFonts w:ascii="Helvetica" w:eastAsia="Calibri" w:hAnsi="Helvetica" w:cs="Helvetica"/>
          <w:kern w:val="2"/>
          <w:sz w:val="22"/>
          <w:szCs w:val="22"/>
          <w:lang w:val="es-CO"/>
          <w14:ligatures w14:val="standardContextual"/>
        </w:rPr>
        <w:t>En cumplimiento de sus funciones, la Comisión expidió tanto la Metodología para la remuneración de la actividad de distribución de gas combustible por redes de tubería, la cual está contenida en la Resoluciones CREG 202 de 2013 en concordancia con las resoluciones CREG 138 de 2014, 090 de 2018 y 132 de 2018 y 011 de 2020, en adelante la Metodología de Distribución</w:t>
      </w:r>
      <w:r>
        <w:rPr>
          <w:rFonts w:ascii="Helvetica" w:eastAsia="Calibri" w:hAnsi="Helvetica" w:cs="Helvetica"/>
          <w:kern w:val="2"/>
          <w:sz w:val="22"/>
          <w:szCs w:val="22"/>
          <w:lang w:val="es-CO"/>
          <w14:ligatures w14:val="standardContextual"/>
        </w:rPr>
        <w:t xml:space="preserve">. Así </w:t>
      </w:r>
      <w:r w:rsidRPr="003473CC">
        <w:rPr>
          <w:rFonts w:ascii="Helvetica" w:eastAsia="Calibri" w:hAnsi="Helvetica" w:cs="Helvetica"/>
          <w:kern w:val="2"/>
          <w:sz w:val="22"/>
          <w:szCs w:val="22"/>
          <w:lang w:val="es-CO"/>
          <w14:ligatures w14:val="standardContextual"/>
        </w:rPr>
        <w:t>como</w:t>
      </w:r>
      <w:r>
        <w:rPr>
          <w:rFonts w:ascii="Helvetica" w:eastAsia="Calibri" w:hAnsi="Helvetica" w:cs="Helvetica"/>
          <w:kern w:val="2"/>
          <w:sz w:val="22"/>
          <w:szCs w:val="22"/>
          <w:lang w:val="es-CO"/>
          <w14:ligatures w14:val="standardContextual"/>
        </w:rPr>
        <w:t xml:space="preserve"> también,</w:t>
      </w:r>
      <w:r w:rsidRPr="003473CC">
        <w:rPr>
          <w:rFonts w:ascii="Helvetica" w:eastAsia="Calibri" w:hAnsi="Helvetica" w:cs="Helvetica"/>
          <w:kern w:val="2"/>
          <w:sz w:val="22"/>
          <w:szCs w:val="22"/>
          <w:lang w:val="es-CO"/>
          <w14:ligatures w14:val="standardContextual"/>
        </w:rPr>
        <w:t xml:space="preserve"> los criterios generales para remunerar la actividad de comercialización minorista de gas combustible a usuarios regulados y las </w:t>
      </w:r>
      <w:r w:rsidRPr="003473CC">
        <w:rPr>
          <w:rFonts w:ascii="Helvetica" w:eastAsia="Calibri" w:hAnsi="Helvetica" w:cs="Helvetica"/>
          <w:kern w:val="2"/>
          <w:sz w:val="22"/>
          <w:szCs w:val="22"/>
          <w:lang w:val="es-CO"/>
          <w14:ligatures w14:val="standardContextual"/>
        </w:rPr>
        <w:lastRenderedPageBreak/>
        <w:t>reglas para la aprobación de los cargos tarifarios correspondientes, en adelante la Metodología de Comercialización, contenida en la Resolución CREG 102 003 de 2022.</w:t>
      </w:r>
    </w:p>
    <w:p w14:paraId="14044A79" w14:textId="77777777" w:rsidR="006B770B" w:rsidRDefault="006B770B" w:rsidP="006B770B">
      <w:pPr>
        <w:spacing w:line="360" w:lineRule="auto"/>
        <w:rPr>
          <w:rFonts w:ascii="Helvetica" w:eastAsia="Calibri" w:hAnsi="Helvetica" w:cs="Helvetica"/>
          <w:kern w:val="2"/>
          <w:sz w:val="22"/>
          <w:szCs w:val="22"/>
          <w:lang w:val="es-CO"/>
          <w14:ligatures w14:val="standardContextual"/>
        </w:rPr>
      </w:pPr>
    </w:p>
    <w:p w14:paraId="03A9C659"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Mediante la Circular CREG 030 del 10 de abril de 2019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la Metodología de Distribución.</w:t>
      </w:r>
    </w:p>
    <w:p w14:paraId="232AF543"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420FD645" w14:textId="38D32911"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De acuerdo con lo establecido en las Metodologías de Distribución</w:t>
      </w:r>
      <w:r w:rsidR="00B33476" w:rsidRPr="00511928">
        <w:rPr>
          <w:rFonts w:ascii="Helvetica" w:eastAsia="Calibri" w:hAnsi="Helvetica" w:cs="Helvetica"/>
          <w:kern w:val="2"/>
          <w:sz w:val="22"/>
          <w:szCs w:val="22"/>
          <w:vertAlign w:val="superscript"/>
          <w:lang w:val="es-CO"/>
          <w14:ligatures w14:val="standardContextual"/>
        </w:rPr>
        <w:footnoteReference w:id="1"/>
      </w:r>
      <w:r w:rsidR="00B33476" w:rsidRPr="00511928">
        <w:rPr>
          <w:rFonts w:ascii="Helvetica" w:eastAsia="Calibri" w:hAnsi="Helvetica" w:cs="Helvetica"/>
          <w:kern w:val="2"/>
          <w:sz w:val="22"/>
          <w:szCs w:val="22"/>
          <w:lang w:val="es-CO"/>
          <w14:ligatures w14:val="standardContextual"/>
        </w:rPr>
        <w:t>,</w:t>
      </w:r>
      <w:r w:rsidRPr="00511928">
        <w:rPr>
          <w:rFonts w:ascii="Helvetica" w:eastAsia="Calibri" w:hAnsi="Helvetica" w:cs="Helvetica"/>
          <w:kern w:val="2"/>
          <w:sz w:val="22"/>
          <w:szCs w:val="22"/>
          <w:lang w:val="es-CO"/>
          <w14:ligatures w14:val="standardContextual"/>
        </w:rPr>
        <w:t xml:space="preserve">y Comercialización tanto para efectos de aprobación de cargos de distribución como del componente fijo del cargo de comercialización para los Mercados Relevantes de su interés, las empresas que desarrollen dichas actividades deben hacer uso del aplicativo </w:t>
      </w:r>
      <w:r>
        <w:rPr>
          <w:rFonts w:ascii="Helvetica" w:eastAsia="Calibri" w:hAnsi="Helvetica" w:cs="Helvetica"/>
          <w:kern w:val="2"/>
          <w:sz w:val="22"/>
          <w:szCs w:val="22"/>
          <w:lang w:val="es-CO"/>
          <w14:ligatures w14:val="standardContextual"/>
        </w:rPr>
        <w:t>APLIGAS</w:t>
      </w:r>
      <w:r w:rsidRPr="00511928">
        <w:rPr>
          <w:rFonts w:ascii="Helvetica" w:eastAsia="Calibri" w:hAnsi="Helvetica" w:cs="Helvetica"/>
          <w:kern w:val="2"/>
          <w:sz w:val="22"/>
          <w:szCs w:val="22"/>
          <w:lang w:val="es-CO"/>
          <w14:ligatures w14:val="standardContextual"/>
        </w:rPr>
        <w:t xml:space="preserve"> para efectuar el cargue de la información para la presentación de las solicitudes tarifarias de su interés.</w:t>
      </w:r>
    </w:p>
    <w:p w14:paraId="749BE11E"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1B1823C0" w14:textId="54B7C6B7" w:rsidR="006B770B"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sidRPr="00511928">
        <w:rPr>
          <w:rFonts w:ascii="Helvetica" w:eastAsia="Calibri" w:hAnsi="Helvetica" w:cs="Helvetica"/>
          <w:kern w:val="2"/>
          <w:sz w:val="22"/>
          <w:szCs w:val="22"/>
          <w:lang w:val="es-CO"/>
          <w14:ligatures w14:val="standardContextual"/>
        </w:rPr>
        <w:t xml:space="preserve"> a través de comunicación radicada en la CREG bajo el número </w:t>
      </w:r>
      <w:r w:rsidRPr="00B601F6">
        <w:rPr>
          <w:rFonts w:ascii="Helvetica" w:eastAsia="Calibri" w:hAnsi="Helvetica" w:cs="Helvetica"/>
          <w:kern w:val="2"/>
          <w:sz w:val="22"/>
          <w:szCs w:val="22"/>
          <w:lang w:val="es-CO"/>
          <w14:ligatures w14:val="standardContextual"/>
        </w:rPr>
        <w:t>E2023004759</w:t>
      </w:r>
      <w:r>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del </w:t>
      </w:r>
      <w:r>
        <w:rPr>
          <w:rFonts w:ascii="Helvetica" w:eastAsia="Calibri" w:hAnsi="Helvetica" w:cs="Helvetica"/>
          <w:kern w:val="2"/>
          <w:sz w:val="22"/>
          <w:szCs w:val="22"/>
          <w:lang w:val="es-CO"/>
          <w14:ligatures w14:val="standardContextual"/>
        </w:rPr>
        <w:t>21</w:t>
      </w:r>
      <w:r w:rsidRPr="00511928">
        <w:rPr>
          <w:rFonts w:ascii="Helvetica" w:eastAsia="Calibri" w:hAnsi="Helvetica" w:cs="Helvetica"/>
          <w:kern w:val="2"/>
          <w:sz w:val="22"/>
          <w:szCs w:val="22"/>
          <w:lang w:val="es-CO"/>
          <w14:ligatures w14:val="standardContextual"/>
        </w:rPr>
        <w:t xml:space="preserve"> de marzo de 2023 solicitó la aprobación de </w:t>
      </w:r>
      <w:r w:rsidR="00B33476">
        <w:rPr>
          <w:rFonts w:ascii="Helvetica" w:eastAsia="Calibri" w:hAnsi="Helvetica" w:cs="Helvetica"/>
          <w:kern w:val="2"/>
          <w:sz w:val="22"/>
          <w:szCs w:val="22"/>
          <w:lang w:val="es-CO"/>
          <w14:ligatures w14:val="standardContextual"/>
        </w:rPr>
        <w:t>c</w:t>
      </w:r>
      <w:r w:rsidRPr="00511928">
        <w:rPr>
          <w:rFonts w:ascii="Helvetica" w:eastAsia="Calibri" w:hAnsi="Helvetica" w:cs="Helvetica"/>
          <w:kern w:val="2"/>
          <w:sz w:val="22"/>
          <w:szCs w:val="22"/>
          <w:lang w:val="es-CO"/>
          <w14:ligatures w14:val="standardContextual"/>
        </w:rPr>
        <w:t xml:space="preserve">argos de </w:t>
      </w:r>
      <w:r w:rsidR="00B33476">
        <w:rPr>
          <w:rFonts w:ascii="Helvetica" w:eastAsia="Calibri" w:hAnsi="Helvetica" w:cs="Helvetica"/>
          <w:kern w:val="2"/>
          <w:sz w:val="22"/>
          <w:szCs w:val="22"/>
          <w:lang w:val="es-CO"/>
          <w14:ligatures w14:val="standardContextual"/>
        </w:rPr>
        <w:t>D</w:t>
      </w:r>
      <w:r w:rsidRPr="00511928">
        <w:rPr>
          <w:rFonts w:ascii="Helvetica" w:eastAsia="Calibri" w:hAnsi="Helvetica" w:cs="Helvetica"/>
          <w:kern w:val="2"/>
          <w:sz w:val="22"/>
          <w:szCs w:val="22"/>
          <w:lang w:val="es-CO"/>
          <w14:ligatures w14:val="standardContextual"/>
        </w:rPr>
        <w:t xml:space="preserve">istribución de Gas Licuado de Petróleo por redes y la aprobación del Componente Fijo del Costo de Comercialización de Gas Licuado de Petróleo para el </w:t>
      </w:r>
      <w:r>
        <w:rPr>
          <w:rFonts w:ascii="Helvetica" w:eastAsia="Calibri" w:hAnsi="Helvetica" w:cs="Helvetica"/>
          <w:kern w:val="2"/>
          <w:sz w:val="22"/>
          <w:szCs w:val="22"/>
          <w:lang w:val="es-CO"/>
          <w14:ligatures w14:val="standardContextual"/>
        </w:rPr>
        <w:t>M</w:t>
      </w:r>
      <w:r w:rsidRPr="00511928">
        <w:rPr>
          <w:rFonts w:ascii="Helvetica" w:eastAsia="Calibri" w:hAnsi="Helvetica" w:cs="Helvetica"/>
          <w:kern w:val="2"/>
          <w:sz w:val="22"/>
          <w:szCs w:val="22"/>
          <w:lang w:val="es-CO"/>
          <w14:ligatures w14:val="standardContextual"/>
        </w:rPr>
        <w:t xml:space="preserve">ercado </w:t>
      </w:r>
      <w:r>
        <w:rPr>
          <w:rFonts w:ascii="Helvetica" w:eastAsia="Calibri" w:hAnsi="Helvetica" w:cs="Helvetica"/>
          <w:kern w:val="2"/>
          <w:sz w:val="22"/>
          <w:szCs w:val="22"/>
          <w:lang w:val="es-CO"/>
          <w14:ligatures w14:val="standardContextual"/>
        </w:rPr>
        <w:t>Relevante</w:t>
      </w:r>
      <w:r w:rsidRPr="00511928">
        <w:rPr>
          <w:rFonts w:ascii="Helvetica" w:eastAsia="Calibri" w:hAnsi="Helvetica" w:cs="Helvetica"/>
          <w:kern w:val="2"/>
          <w:sz w:val="22"/>
          <w:szCs w:val="22"/>
          <w:lang w:val="es-CO"/>
          <w14:ligatures w14:val="standardContextual"/>
        </w:rPr>
        <w:t xml:space="preserve"> </w:t>
      </w:r>
      <w:r w:rsidR="00B33476">
        <w:rPr>
          <w:rFonts w:ascii="Helvetica" w:eastAsia="Calibri" w:hAnsi="Helvetica" w:cs="Helvetica"/>
          <w:kern w:val="2"/>
          <w:sz w:val="22"/>
          <w:szCs w:val="22"/>
          <w:lang w:val="es-CO"/>
          <w14:ligatures w14:val="standardContextual"/>
        </w:rPr>
        <w:t xml:space="preserve">de Distribución </w:t>
      </w:r>
      <w:r>
        <w:rPr>
          <w:rFonts w:ascii="Helvetica" w:eastAsia="Calibri" w:hAnsi="Helvetica" w:cs="Helvetica"/>
          <w:kern w:val="2"/>
          <w:sz w:val="22"/>
          <w:szCs w:val="22"/>
          <w:lang w:val="es-CO"/>
          <w14:ligatures w14:val="standardContextual"/>
        </w:rPr>
        <w:t>E</w:t>
      </w:r>
      <w:r w:rsidRPr="00511928">
        <w:rPr>
          <w:rFonts w:ascii="Helvetica" w:eastAsia="Calibri" w:hAnsi="Helvetica" w:cs="Helvetica"/>
          <w:kern w:val="2"/>
          <w:sz w:val="22"/>
          <w:szCs w:val="22"/>
          <w:lang w:val="es-CO"/>
          <w14:ligatures w14:val="standardContextual"/>
        </w:rPr>
        <w:t xml:space="preserve">special conformado como </w:t>
      </w:r>
      <w:r>
        <w:rPr>
          <w:rFonts w:ascii="Helvetica" w:eastAsia="Calibri" w:hAnsi="Helvetica" w:cs="Helvetica"/>
          <w:kern w:val="2"/>
          <w:sz w:val="22"/>
          <w:szCs w:val="22"/>
          <w:lang w:val="es-CO"/>
          <w14:ligatures w14:val="standardContextual"/>
        </w:rPr>
        <w:t>se muestra en el Cuadro 1.</w:t>
      </w:r>
    </w:p>
    <w:p w14:paraId="08204D4D" w14:textId="77777777" w:rsidR="006B770B" w:rsidRPr="00B33476" w:rsidRDefault="006B770B" w:rsidP="006B770B">
      <w:pPr>
        <w:spacing w:line="360" w:lineRule="auto"/>
        <w:rPr>
          <w:rFonts w:ascii="Helvetica" w:eastAsia="Calibri" w:hAnsi="Helvetica" w:cs="Helvetica"/>
          <w:b/>
          <w:bCs/>
          <w:kern w:val="2"/>
          <w:sz w:val="22"/>
          <w:szCs w:val="22"/>
          <w:lang w:val="es-CO"/>
          <w14:ligatures w14:val="standardContextual"/>
        </w:rPr>
      </w:pPr>
    </w:p>
    <w:p w14:paraId="5A424090" w14:textId="48FCA0EE" w:rsidR="006B770B" w:rsidRPr="00B33476" w:rsidRDefault="006B770B" w:rsidP="006B770B">
      <w:pPr>
        <w:spacing w:line="360" w:lineRule="auto"/>
        <w:jc w:val="center"/>
        <w:rPr>
          <w:rFonts w:ascii="Helvetica" w:eastAsia="Calibri" w:hAnsi="Helvetica" w:cs="Helvetica"/>
          <w:b/>
          <w:bCs/>
          <w:kern w:val="2"/>
          <w:sz w:val="22"/>
          <w:szCs w:val="22"/>
          <w:lang w:val="es-CO"/>
          <w14:ligatures w14:val="standardContextual"/>
        </w:rPr>
      </w:pPr>
      <w:r w:rsidRPr="00B33476">
        <w:rPr>
          <w:rFonts w:ascii="Helvetica" w:eastAsia="Calibri" w:hAnsi="Helvetica" w:cs="Helvetica"/>
          <w:b/>
          <w:bCs/>
          <w:kern w:val="2"/>
          <w:sz w:val="22"/>
          <w:szCs w:val="22"/>
          <w:lang w:val="es-CO"/>
          <w14:ligatures w14:val="standardContextual"/>
        </w:rPr>
        <w:t>Cuadro 1.</w:t>
      </w:r>
      <w:r>
        <w:rPr>
          <w:rFonts w:ascii="Helvetica" w:eastAsia="Calibri" w:hAnsi="Helvetica" w:cs="Helvetica"/>
          <w:kern w:val="2"/>
          <w:sz w:val="22"/>
          <w:szCs w:val="22"/>
          <w:lang w:val="es-CO"/>
          <w14:ligatures w14:val="standardContextual"/>
        </w:rPr>
        <w:t xml:space="preserve"> Conformación del mercado </w:t>
      </w:r>
      <w:r w:rsidR="00B33476">
        <w:rPr>
          <w:rFonts w:ascii="Helvetica" w:eastAsia="Calibri" w:hAnsi="Helvetica" w:cs="Helvetica"/>
          <w:kern w:val="2"/>
          <w:sz w:val="22"/>
          <w:szCs w:val="22"/>
          <w:lang w:val="es-CO"/>
          <w14:ligatures w14:val="standardContextual"/>
        </w:rPr>
        <w:t xml:space="preserve">relevante de distribución </w:t>
      </w:r>
      <w:r>
        <w:rPr>
          <w:rFonts w:ascii="Helvetica" w:eastAsia="Calibri" w:hAnsi="Helvetica" w:cs="Helvetica"/>
          <w:kern w:val="2"/>
          <w:sz w:val="22"/>
          <w:szCs w:val="22"/>
          <w:lang w:val="es-CO"/>
          <w14:ligatures w14:val="standardContextual"/>
        </w:rPr>
        <w:t xml:space="preserve">especial para el siguiente período tarifario solicitado por </w:t>
      </w:r>
      <w:r w:rsidRPr="00B33476">
        <w:rPr>
          <w:rFonts w:ascii="Helvetica" w:eastAsia="Calibri" w:hAnsi="Helvetica" w:cs="Helvetica"/>
          <w:b/>
          <w:bCs/>
          <w:kern w:val="2"/>
          <w:sz w:val="22"/>
          <w:szCs w:val="22"/>
          <w:lang w:val="es-CO"/>
          <w14:ligatures w14:val="standardContextual"/>
        </w:rPr>
        <w:t>GEAS GROUP S.A.S. E.S.P.</w:t>
      </w:r>
    </w:p>
    <w:tbl>
      <w:tblPr>
        <w:tblStyle w:val="Tablaconcuadrcula"/>
        <w:tblW w:w="4610" w:type="pct"/>
        <w:jc w:val="center"/>
        <w:tblLook w:val="04A0" w:firstRow="1" w:lastRow="0" w:firstColumn="1" w:lastColumn="0" w:noHBand="0" w:noVBand="1"/>
      </w:tblPr>
      <w:tblGrid>
        <w:gridCol w:w="1546"/>
        <w:gridCol w:w="1973"/>
        <w:gridCol w:w="2113"/>
        <w:gridCol w:w="2507"/>
      </w:tblGrid>
      <w:tr w:rsidR="006B770B" w:rsidRPr="00511928" w14:paraId="6FBC19D6" w14:textId="77777777" w:rsidTr="00A67475">
        <w:trPr>
          <w:trHeight w:val="432"/>
          <w:jc w:val="center"/>
        </w:trPr>
        <w:tc>
          <w:tcPr>
            <w:tcW w:w="950" w:type="pct"/>
            <w:shd w:val="clear" w:color="auto" w:fill="D9D9D9"/>
            <w:vAlign w:val="center"/>
          </w:tcPr>
          <w:p w14:paraId="3AB3B9FE" w14:textId="77777777" w:rsidR="006B770B" w:rsidRPr="00A67475" w:rsidRDefault="006B770B" w:rsidP="00D54914">
            <w:pPr>
              <w:spacing w:line="360" w:lineRule="auto"/>
              <w:jc w:val="center"/>
              <w:rPr>
                <w:rFonts w:ascii="Helvetica" w:eastAsia="Calibri" w:hAnsi="Helvetica" w:cs="Helvetica"/>
                <w:b/>
                <w:bCs/>
                <w:sz w:val="18"/>
                <w:szCs w:val="18"/>
                <w:lang w:val="es-CO"/>
              </w:rPr>
            </w:pPr>
            <w:r w:rsidRPr="00A67475">
              <w:rPr>
                <w:rFonts w:ascii="Helvetica" w:eastAsia="Calibri" w:hAnsi="Helvetica" w:cs="Helvetica"/>
                <w:b/>
                <w:bCs/>
                <w:sz w:val="18"/>
                <w:szCs w:val="18"/>
                <w:lang w:val="es-CO"/>
              </w:rPr>
              <w:t>MUNICIPIO</w:t>
            </w:r>
          </w:p>
        </w:tc>
        <w:tc>
          <w:tcPr>
            <w:tcW w:w="1212" w:type="pct"/>
            <w:shd w:val="clear" w:color="auto" w:fill="D9D9D9"/>
            <w:vAlign w:val="center"/>
          </w:tcPr>
          <w:p w14:paraId="1BF30B69" w14:textId="77777777" w:rsidR="006B770B" w:rsidRPr="00A67475" w:rsidRDefault="006B770B" w:rsidP="00D54914">
            <w:pPr>
              <w:spacing w:line="360" w:lineRule="auto"/>
              <w:jc w:val="center"/>
              <w:rPr>
                <w:rFonts w:ascii="Helvetica" w:eastAsia="Calibri" w:hAnsi="Helvetica" w:cs="Helvetica"/>
                <w:b/>
                <w:bCs/>
                <w:sz w:val="18"/>
                <w:szCs w:val="18"/>
                <w:lang w:val="es-CO"/>
              </w:rPr>
            </w:pPr>
            <w:r w:rsidRPr="00A67475">
              <w:rPr>
                <w:rFonts w:ascii="Helvetica" w:eastAsia="Calibri" w:hAnsi="Helvetica" w:cs="Helvetica"/>
                <w:b/>
                <w:bCs/>
                <w:sz w:val="18"/>
                <w:szCs w:val="18"/>
                <w:lang w:val="es-CO"/>
              </w:rPr>
              <w:t>CÓDIDO DANE MUNICIPIO</w:t>
            </w:r>
          </w:p>
        </w:tc>
        <w:tc>
          <w:tcPr>
            <w:tcW w:w="1298" w:type="pct"/>
            <w:shd w:val="clear" w:color="auto" w:fill="D9D9D9"/>
            <w:vAlign w:val="center"/>
          </w:tcPr>
          <w:p w14:paraId="56096F38" w14:textId="77777777" w:rsidR="006B770B" w:rsidRPr="00A67475" w:rsidRDefault="006B770B" w:rsidP="00D54914">
            <w:pPr>
              <w:spacing w:line="360" w:lineRule="auto"/>
              <w:jc w:val="center"/>
              <w:rPr>
                <w:rFonts w:ascii="Helvetica" w:eastAsia="Calibri" w:hAnsi="Helvetica" w:cs="Helvetica"/>
                <w:b/>
                <w:bCs/>
                <w:sz w:val="18"/>
                <w:szCs w:val="18"/>
                <w:lang w:val="es-CO"/>
              </w:rPr>
            </w:pPr>
            <w:r w:rsidRPr="00A67475">
              <w:rPr>
                <w:rFonts w:ascii="Helvetica" w:eastAsia="Calibri" w:hAnsi="Helvetica" w:cs="Helvetica"/>
                <w:b/>
                <w:bCs/>
                <w:sz w:val="18"/>
                <w:szCs w:val="18"/>
                <w:lang w:val="es-CO"/>
              </w:rPr>
              <w:t>CENTRO POBLADO</w:t>
            </w:r>
          </w:p>
        </w:tc>
        <w:tc>
          <w:tcPr>
            <w:tcW w:w="1540" w:type="pct"/>
            <w:shd w:val="clear" w:color="auto" w:fill="D9D9D9"/>
            <w:vAlign w:val="center"/>
          </w:tcPr>
          <w:p w14:paraId="42FC9A66" w14:textId="77777777" w:rsidR="006B770B" w:rsidRPr="00A67475" w:rsidRDefault="006B770B" w:rsidP="00D54914">
            <w:pPr>
              <w:spacing w:line="360" w:lineRule="auto"/>
              <w:jc w:val="center"/>
              <w:rPr>
                <w:rFonts w:ascii="Helvetica" w:eastAsia="Calibri" w:hAnsi="Helvetica" w:cs="Helvetica"/>
                <w:b/>
                <w:bCs/>
                <w:sz w:val="18"/>
                <w:szCs w:val="18"/>
                <w:lang w:val="es-CO"/>
              </w:rPr>
            </w:pPr>
            <w:r w:rsidRPr="00A67475">
              <w:rPr>
                <w:rFonts w:ascii="Helvetica" w:eastAsia="Calibri" w:hAnsi="Helvetica" w:cs="Helvetica"/>
                <w:b/>
                <w:bCs/>
                <w:sz w:val="18"/>
                <w:szCs w:val="18"/>
                <w:lang w:val="es-CO"/>
              </w:rPr>
              <w:t>CÓDIGO DANE CENTRO POBLADO</w:t>
            </w:r>
          </w:p>
        </w:tc>
      </w:tr>
      <w:tr w:rsidR="006B770B" w:rsidRPr="00511928" w14:paraId="70D6B8D5" w14:textId="77777777" w:rsidTr="00A67475">
        <w:trPr>
          <w:trHeight w:val="489"/>
          <w:jc w:val="center"/>
        </w:trPr>
        <w:tc>
          <w:tcPr>
            <w:tcW w:w="950" w:type="pct"/>
            <w:vAlign w:val="center"/>
          </w:tcPr>
          <w:p w14:paraId="1E381E55" w14:textId="77777777" w:rsidR="006B770B" w:rsidRPr="00A67475" w:rsidRDefault="006B770B" w:rsidP="00D54914">
            <w:pPr>
              <w:spacing w:line="360" w:lineRule="auto"/>
              <w:jc w:val="center"/>
              <w:rPr>
                <w:rFonts w:ascii="Helvetica" w:eastAsia="Calibri" w:hAnsi="Helvetica" w:cs="Helvetica"/>
                <w:sz w:val="18"/>
                <w:szCs w:val="18"/>
                <w:lang w:val="es-CO"/>
              </w:rPr>
            </w:pPr>
            <w:r w:rsidRPr="00A67475">
              <w:rPr>
                <w:rFonts w:ascii="Helvetica" w:eastAsia="Calibri" w:hAnsi="Helvetica" w:cs="Helvetica"/>
                <w:sz w:val="18"/>
                <w:szCs w:val="18"/>
                <w:lang w:val="es-CO"/>
              </w:rPr>
              <w:t>Lorica</w:t>
            </w:r>
          </w:p>
        </w:tc>
        <w:tc>
          <w:tcPr>
            <w:tcW w:w="1212" w:type="pct"/>
            <w:vAlign w:val="center"/>
          </w:tcPr>
          <w:p w14:paraId="69F05275" w14:textId="77777777" w:rsidR="006B770B" w:rsidRPr="00A67475" w:rsidRDefault="006B770B" w:rsidP="00D54914">
            <w:pPr>
              <w:spacing w:line="360" w:lineRule="auto"/>
              <w:jc w:val="center"/>
              <w:rPr>
                <w:rFonts w:ascii="Helvetica" w:eastAsia="Calibri" w:hAnsi="Helvetica" w:cs="Helvetica"/>
                <w:sz w:val="18"/>
                <w:szCs w:val="18"/>
                <w:lang w:val="es-CO"/>
              </w:rPr>
            </w:pPr>
            <w:r w:rsidRPr="00A67475">
              <w:rPr>
                <w:rFonts w:ascii="Helvetica" w:eastAsia="Calibri" w:hAnsi="Helvetica" w:cs="Helvetica"/>
                <w:sz w:val="18"/>
                <w:szCs w:val="18"/>
                <w:lang w:val="es-CO"/>
              </w:rPr>
              <w:t>23417</w:t>
            </w:r>
          </w:p>
        </w:tc>
        <w:tc>
          <w:tcPr>
            <w:tcW w:w="1298" w:type="pct"/>
            <w:vAlign w:val="center"/>
          </w:tcPr>
          <w:p w14:paraId="43983975" w14:textId="77777777" w:rsidR="006B770B" w:rsidRPr="00A67475" w:rsidRDefault="006B770B" w:rsidP="00D54914">
            <w:pPr>
              <w:spacing w:line="360" w:lineRule="auto"/>
              <w:jc w:val="center"/>
              <w:rPr>
                <w:rFonts w:ascii="Helvetica" w:eastAsia="Calibri" w:hAnsi="Helvetica" w:cs="Helvetica"/>
                <w:sz w:val="18"/>
                <w:szCs w:val="18"/>
                <w:lang w:val="es-CO"/>
              </w:rPr>
            </w:pPr>
            <w:r w:rsidRPr="00A67475">
              <w:rPr>
                <w:rFonts w:ascii="Helvetica" w:eastAsia="Calibri" w:hAnsi="Helvetica" w:cs="Helvetica"/>
                <w:sz w:val="18"/>
                <w:szCs w:val="18"/>
                <w:lang w:val="es-CO"/>
              </w:rPr>
              <w:t>La Doctrina</w:t>
            </w:r>
          </w:p>
        </w:tc>
        <w:tc>
          <w:tcPr>
            <w:tcW w:w="1540" w:type="pct"/>
            <w:vAlign w:val="center"/>
          </w:tcPr>
          <w:p w14:paraId="41E10702" w14:textId="77777777" w:rsidR="006B770B" w:rsidRPr="00A67475" w:rsidRDefault="006B770B" w:rsidP="00D54914">
            <w:pPr>
              <w:spacing w:line="360" w:lineRule="auto"/>
              <w:jc w:val="center"/>
              <w:rPr>
                <w:rFonts w:ascii="Helvetica" w:eastAsia="Calibri" w:hAnsi="Helvetica" w:cs="Helvetica"/>
                <w:sz w:val="18"/>
                <w:szCs w:val="18"/>
                <w:lang w:val="es-CO"/>
              </w:rPr>
            </w:pPr>
            <w:r w:rsidRPr="00A67475">
              <w:rPr>
                <w:rFonts w:ascii="Helvetica" w:eastAsia="Calibri" w:hAnsi="Helvetica" w:cs="Helvetica"/>
                <w:sz w:val="18"/>
                <w:szCs w:val="18"/>
                <w:lang w:val="es-CO"/>
              </w:rPr>
              <w:t>23417003</w:t>
            </w:r>
          </w:p>
        </w:tc>
      </w:tr>
      <w:tr w:rsidR="006B770B" w:rsidRPr="00511928" w14:paraId="6064E842" w14:textId="77777777" w:rsidTr="00A67475">
        <w:trPr>
          <w:trHeight w:val="489"/>
          <w:jc w:val="center"/>
        </w:trPr>
        <w:tc>
          <w:tcPr>
            <w:tcW w:w="950" w:type="pct"/>
            <w:vAlign w:val="center"/>
          </w:tcPr>
          <w:p w14:paraId="787DACCD" w14:textId="77777777" w:rsidR="006B770B" w:rsidRPr="00A67475" w:rsidRDefault="006B770B" w:rsidP="00D54914">
            <w:pPr>
              <w:spacing w:line="360" w:lineRule="auto"/>
              <w:jc w:val="center"/>
              <w:rPr>
                <w:rFonts w:ascii="Helvetica" w:eastAsia="Calibri" w:hAnsi="Helvetica" w:cs="Helvetica"/>
                <w:sz w:val="18"/>
                <w:szCs w:val="18"/>
                <w:lang w:val="es-CO"/>
              </w:rPr>
            </w:pPr>
            <w:r w:rsidRPr="00A67475">
              <w:rPr>
                <w:rFonts w:ascii="Helvetica" w:eastAsia="Calibri" w:hAnsi="Helvetica" w:cs="Helvetica"/>
                <w:sz w:val="18"/>
                <w:szCs w:val="18"/>
                <w:lang w:val="es-CO"/>
              </w:rPr>
              <w:t>Lorica</w:t>
            </w:r>
          </w:p>
        </w:tc>
        <w:tc>
          <w:tcPr>
            <w:tcW w:w="1212" w:type="pct"/>
            <w:vAlign w:val="center"/>
          </w:tcPr>
          <w:p w14:paraId="085B2432" w14:textId="77777777" w:rsidR="006B770B" w:rsidRPr="00A67475" w:rsidRDefault="006B770B" w:rsidP="00D54914">
            <w:pPr>
              <w:spacing w:line="360" w:lineRule="auto"/>
              <w:jc w:val="center"/>
              <w:rPr>
                <w:rFonts w:ascii="Helvetica" w:eastAsia="Calibri" w:hAnsi="Helvetica" w:cs="Helvetica"/>
                <w:sz w:val="18"/>
                <w:szCs w:val="18"/>
                <w:lang w:val="es-CO"/>
              </w:rPr>
            </w:pPr>
            <w:r w:rsidRPr="00A67475">
              <w:rPr>
                <w:rFonts w:ascii="Helvetica" w:eastAsia="Calibri" w:hAnsi="Helvetica" w:cs="Helvetica"/>
                <w:sz w:val="18"/>
                <w:szCs w:val="18"/>
                <w:lang w:val="es-CO"/>
              </w:rPr>
              <w:t>23417</w:t>
            </w:r>
          </w:p>
        </w:tc>
        <w:tc>
          <w:tcPr>
            <w:tcW w:w="1298" w:type="pct"/>
            <w:vAlign w:val="center"/>
          </w:tcPr>
          <w:p w14:paraId="2B883F0C" w14:textId="77777777" w:rsidR="006B770B" w:rsidRPr="00A67475" w:rsidRDefault="006B770B" w:rsidP="00D54914">
            <w:pPr>
              <w:spacing w:line="360" w:lineRule="auto"/>
              <w:jc w:val="center"/>
              <w:rPr>
                <w:rFonts w:ascii="Helvetica" w:eastAsia="Calibri" w:hAnsi="Helvetica" w:cs="Helvetica"/>
                <w:sz w:val="18"/>
                <w:szCs w:val="18"/>
                <w:lang w:val="es-CO"/>
              </w:rPr>
            </w:pPr>
            <w:r w:rsidRPr="00A67475">
              <w:rPr>
                <w:rFonts w:ascii="Helvetica" w:eastAsia="Calibri" w:hAnsi="Helvetica" w:cs="Helvetica"/>
                <w:sz w:val="18"/>
                <w:szCs w:val="18"/>
                <w:lang w:val="es-CO"/>
              </w:rPr>
              <w:t>Santa Lucía</w:t>
            </w:r>
          </w:p>
        </w:tc>
        <w:tc>
          <w:tcPr>
            <w:tcW w:w="1540" w:type="pct"/>
            <w:vAlign w:val="center"/>
          </w:tcPr>
          <w:p w14:paraId="24E781A2" w14:textId="77777777" w:rsidR="006B770B" w:rsidRPr="00A67475" w:rsidRDefault="006B770B" w:rsidP="00D54914">
            <w:pPr>
              <w:spacing w:line="360" w:lineRule="auto"/>
              <w:jc w:val="center"/>
              <w:rPr>
                <w:rFonts w:ascii="Helvetica" w:eastAsia="Calibri" w:hAnsi="Helvetica" w:cs="Helvetica"/>
                <w:sz w:val="18"/>
                <w:szCs w:val="18"/>
                <w:lang w:val="es-CO"/>
              </w:rPr>
            </w:pPr>
            <w:r w:rsidRPr="00A67475">
              <w:rPr>
                <w:rFonts w:ascii="Helvetica" w:eastAsia="Calibri" w:hAnsi="Helvetica" w:cs="Helvetica"/>
                <w:sz w:val="18"/>
                <w:szCs w:val="18"/>
                <w:lang w:val="es-CO"/>
              </w:rPr>
              <w:t>23417034</w:t>
            </w:r>
          </w:p>
        </w:tc>
      </w:tr>
    </w:tbl>
    <w:p w14:paraId="1DD01D1F" w14:textId="77777777" w:rsidR="006B770B" w:rsidRPr="00511928" w:rsidRDefault="006B770B" w:rsidP="006B770B">
      <w:pPr>
        <w:spacing w:line="360" w:lineRule="auto"/>
        <w:jc w:val="center"/>
        <w:rPr>
          <w:rFonts w:ascii="Helvetica" w:eastAsia="Calibri" w:hAnsi="Helvetica" w:cs="Helvetica"/>
          <w:kern w:val="2"/>
          <w:sz w:val="22"/>
          <w:szCs w:val="22"/>
          <w:lang w:val="es-CO"/>
          <w14:ligatures w14:val="standardContextual"/>
        </w:rPr>
      </w:pPr>
    </w:p>
    <w:p w14:paraId="53F9DE11"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sidRPr="00511928">
        <w:rPr>
          <w:rFonts w:ascii="Helvetica" w:eastAsia="Calibri" w:hAnsi="Helvetica" w:cs="Helvetica"/>
          <w:kern w:val="2"/>
          <w:sz w:val="22"/>
          <w:szCs w:val="22"/>
          <w:lang w:val="es-CO"/>
          <w14:ligatures w14:val="standardContextual"/>
        </w:rPr>
        <w:t xml:space="preserve"> efectuó el reporte de información de la solicitud tarifaria en cuestión en el aplicativo APLIGAS, y la confirmó bajo el número 2</w:t>
      </w:r>
      <w:r>
        <w:rPr>
          <w:rFonts w:ascii="Helvetica" w:eastAsia="Calibri" w:hAnsi="Helvetica" w:cs="Helvetica"/>
          <w:kern w:val="2"/>
          <w:sz w:val="22"/>
          <w:szCs w:val="22"/>
          <w:lang w:val="es-CO"/>
          <w14:ligatures w14:val="standardContextual"/>
        </w:rPr>
        <w:t>938</w:t>
      </w:r>
      <w:r w:rsidRPr="00511928">
        <w:rPr>
          <w:rFonts w:ascii="Helvetica" w:eastAsia="Calibri" w:hAnsi="Helvetica" w:cs="Helvetica"/>
          <w:kern w:val="2"/>
          <w:sz w:val="22"/>
          <w:szCs w:val="22"/>
          <w:lang w:val="es-CO"/>
          <w14:ligatures w14:val="standardContextual"/>
        </w:rPr>
        <w:t xml:space="preserve"> asignado por el Aplicativo para las actividades de distribución y comercialización.</w:t>
      </w:r>
    </w:p>
    <w:p w14:paraId="33C907AC"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42380EA0" w14:textId="486C84B1"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lastRenderedPageBreak/>
        <w:t xml:space="preserve">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sidRPr="00511928">
        <w:rPr>
          <w:rFonts w:ascii="Helvetica" w:eastAsia="Calibri" w:hAnsi="Helvetica" w:cs="Helvetica"/>
          <w:kern w:val="2"/>
          <w:sz w:val="22"/>
          <w:szCs w:val="22"/>
          <w:lang w:val="es-CO"/>
          <w14:ligatures w14:val="standardContextual"/>
        </w:rPr>
        <w:t xml:space="preserve"> informó que</w:t>
      </w:r>
      <w:r>
        <w:rPr>
          <w:rFonts w:ascii="Helvetica" w:eastAsia="Calibri" w:hAnsi="Helvetica" w:cs="Helvetica"/>
          <w:kern w:val="2"/>
          <w:sz w:val="22"/>
          <w:szCs w:val="22"/>
          <w:lang w:val="es-CO"/>
          <w14:ligatures w14:val="standardContextual"/>
        </w:rPr>
        <w:t xml:space="preserve"> la financiación de </w:t>
      </w:r>
      <w:r w:rsidRPr="00511928">
        <w:rPr>
          <w:rFonts w:ascii="Helvetica" w:eastAsia="Calibri" w:hAnsi="Helvetica" w:cs="Helvetica"/>
          <w:kern w:val="2"/>
          <w:sz w:val="22"/>
          <w:szCs w:val="22"/>
          <w:lang w:val="es-CO"/>
          <w14:ligatures w14:val="standardContextual"/>
        </w:rPr>
        <w:t xml:space="preserve">la infraestructura de distribución del </w:t>
      </w:r>
      <w:r>
        <w:rPr>
          <w:rFonts w:ascii="Helvetica" w:eastAsia="Calibri" w:hAnsi="Helvetica" w:cs="Helvetica"/>
          <w:kern w:val="2"/>
          <w:sz w:val="22"/>
          <w:szCs w:val="22"/>
          <w:lang w:val="es-CO"/>
          <w14:ligatures w14:val="standardContextual"/>
        </w:rPr>
        <w:t>M</w:t>
      </w:r>
      <w:r w:rsidRPr="00511928">
        <w:rPr>
          <w:rFonts w:ascii="Helvetica" w:eastAsia="Calibri" w:hAnsi="Helvetica" w:cs="Helvetica"/>
          <w:kern w:val="2"/>
          <w:sz w:val="22"/>
          <w:szCs w:val="22"/>
          <w:lang w:val="es-CO"/>
          <w14:ligatures w14:val="standardContextual"/>
        </w:rPr>
        <w:t xml:space="preserve">ercado </w:t>
      </w:r>
      <w:r>
        <w:rPr>
          <w:rFonts w:ascii="Helvetica" w:eastAsia="Calibri" w:hAnsi="Helvetica" w:cs="Helvetica"/>
          <w:kern w:val="2"/>
          <w:sz w:val="22"/>
          <w:szCs w:val="22"/>
          <w:lang w:val="es-CO"/>
          <w14:ligatures w14:val="standardContextual"/>
        </w:rPr>
        <w:t>Relevante</w:t>
      </w:r>
      <w:r w:rsidR="00B33476">
        <w:rPr>
          <w:rFonts w:ascii="Helvetica" w:eastAsia="Calibri" w:hAnsi="Helvetica" w:cs="Helvetica"/>
          <w:kern w:val="2"/>
          <w:sz w:val="22"/>
          <w:szCs w:val="22"/>
          <w:lang w:val="es-CO"/>
          <w14:ligatures w14:val="standardContextual"/>
        </w:rPr>
        <w:t xml:space="preserve"> de Distribución</w:t>
      </w:r>
      <w:r>
        <w:rPr>
          <w:rFonts w:ascii="Helvetica" w:eastAsia="Calibri" w:hAnsi="Helvetica" w:cs="Helvetica"/>
          <w:kern w:val="2"/>
          <w:sz w:val="22"/>
          <w:szCs w:val="22"/>
          <w:lang w:val="es-CO"/>
          <w14:ligatures w14:val="standardContextual"/>
        </w:rPr>
        <w:t xml:space="preserve"> E</w:t>
      </w:r>
      <w:r w:rsidRPr="00511928">
        <w:rPr>
          <w:rFonts w:ascii="Helvetica" w:eastAsia="Calibri" w:hAnsi="Helvetica" w:cs="Helvetica"/>
          <w:kern w:val="2"/>
          <w:sz w:val="22"/>
          <w:szCs w:val="22"/>
          <w:lang w:val="es-CO"/>
          <w14:ligatures w14:val="standardContextual"/>
        </w:rPr>
        <w:t>special solicitado no contará con aportes provenientes de recursos públicos.</w:t>
      </w:r>
    </w:p>
    <w:p w14:paraId="7B95F25A"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427F6BEB"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sidRPr="00511928">
        <w:rPr>
          <w:rFonts w:ascii="Helvetica" w:eastAsia="Calibri" w:hAnsi="Helvetica" w:cs="Helvetica"/>
          <w:kern w:val="2"/>
          <w:sz w:val="22"/>
          <w:szCs w:val="22"/>
          <w:lang w:val="es-CO"/>
          <w14:ligatures w14:val="standardContextual"/>
        </w:rPr>
        <w:t xml:space="preserve"> remitió a la </w:t>
      </w:r>
      <w:r>
        <w:rPr>
          <w:rFonts w:ascii="Helvetica" w:eastAsia="Calibri" w:hAnsi="Helvetica" w:cs="Helvetica"/>
          <w:kern w:val="2"/>
          <w:sz w:val="22"/>
          <w:szCs w:val="22"/>
          <w:lang w:val="es-CO"/>
          <w14:ligatures w14:val="standardContextual"/>
        </w:rPr>
        <w:t>Unidad de Planeación Minero Energética</w:t>
      </w:r>
      <w:r w:rsidRPr="00511928">
        <w:rPr>
          <w:rFonts w:ascii="Helvetica" w:eastAsia="Calibri" w:hAnsi="Helvetica" w:cs="Helvetica"/>
          <w:kern w:val="2"/>
          <w:sz w:val="22"/>
          <w:szCs w:val="22"/>
          <w:lang w:val="es-CO"/>
          <w14:ligatures w14:val="standardContextual"/>
        </w:rPr>
        <w:t xml:space="preserve"> - UPME mediante comunicación de radicado UPME</w:t>
      </w:r>
      <w:r>
        <w:rPr>
          <w:rFonts w:ascii="Helvetica" w:eastAsia="Calibri" w:hAnsi="Helvetica" w:cs="Helvetica"/>
          <w:kern w:val="2"/>
          <w:sz w:val="22"/>
          <w:szCs w:val="22"/>
          <w:lang w:val="es-CO"/>
          <w14:ligatures w14:val="standardContextual"/>
        </w:rPr>
        <w:t xml:space="preserve"> </w:t>
      </w:r>
      <w:r w:rsidRPr="00B601F6">
        <w:rPr>
          <w:rFonts w:ascii="Helvetica" w:eastAsia="Calibri" w:hAnsi="Helvetica" w:cs="Helvetica"/>
          <w:kern w:val="2"/>
          <w:sz w:val="22"/>
          <w:szCs w:val="22"/>
          <w:lang w:val="es-CO"/>
          <w14:ligatures w14:val="standardContextual"/>
        </w:rPr>
        <w:t>20231100038192</w:t>
      </w:r>
      <w:r>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del 1</w:t>
      </w:r>
      <w:r>
        <w:rPr>
          <w:rFonts w:ascii="Helvetica" w:eastAsia="Calibri" w:hAnsi="Helvetica" w:cs="Helvetica"/>
          <w:kern w:val="2"/>
          <w:sz w:val="22"/>
          <w:szCs w:val="22"/>
          <w:lang w:val="es-CO"/>
          <w14:ligatures w14:val="standardContextual"/>
        </w:rPr>
        <w:t>4</w:t>
      </w:r>
      <w:r w:rsidRPr="00511928">
        <w:rPr>
          <w:rFonts w:ascii="Helvetica" w:eastAsia="Calibri" w:hAnsi="Helvetica" w:cs="Helvetica"/>
          <w:kern w:val="2"/>
          <w:sz w:val="22"/>
          <w:szCs w:val="22"/>
          <w:lang w:val="es-CO"/>
          <w14:ligatures w14:val="standardContextual"/>
        </w:rPr>
        <w:t xml:space="preserve"> de marzo de 2023, la solicitud de evaluación metodológica</w:t>
      </w:r>
      <w:r>
        <w:rPr>
          <w:rFonts w:ascii="Helvetica" w:eastAsia="Calibri" w:hAnsi="Helvetica" w:cs="Helvetica"/>
          <w:kern w:val="2"/>
          <w:sz w:val="22"/>
          <w:szCs w:val="22"/>
          <w:lang w:val="es-CO"/>
          <w14:ligatures w14:val="standardContextual"/>
        </w:rPr>
        <w:t xml:space="preserve"> d</w:t>
      </w:r>
      <w:r w:rsidRPr="00511928">
        <w:rPr>
          <w:rFonts w:ascii="Helvetica" w:eastAsia="Calibri" w:hAnsi="Helvetica" w:cs="Helvetica"/>
          <w:kern w:val="2"/>
          <w:sz w:val="22"/>
          <w:szCs w:val="22"/>
          <w:lang w:val="es-CO"/>
          <w14:ligatures w14:val="standardContextual"/>
        </w:rPr>
        <w:t>e las proyecciones de demanda para el mercado propuesto, conforme a lo establecido en la Metodología de Distribución.</w:t>
      </w:r>
    </w:p>
    <w:p w14:paraId="2D5BEEB7"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3AE19BE0"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Revisada la solicitud tarifaria se encontró que ésta no cumplía con los requisitos exigidos en las Metodologías de Distribución y de Comercialización y, en consecuencia, mediante comunicación con radicado </w:t>
      </w:r>
      <w:r w:rsidRPr="003A3BCE">
        <w:rPr>
          <w:rFonts w:ascii="Helvetica" w:eastAsia="Calibri" w:hAnsi="Helvetica" w:cs="Helvetica"/>
          <w:kern w:val="2"/>
          <w:sz w:val="22"/>
          <w:szCs w:val="22"/>
          <w:lang w:val="es-CO"/>
          <w14:ligatures w14:val="standardContextual"/>
        </w:rPr>
        <w:t>S2023003357</w:t>
      </w:r>
      <w:r>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del </w:t>
      </w:r>
      <w:r>
        <w:rPr>
          <w:rFonts w:ascii="Helvetica" w:eastAsia="Calibri" w:hAnsi="Helvetica" w:cs="Helvetica"/>
          <w:kern w:val="2"/>
          <w:sz w:val="22"/>
          <w:szCs w:val="22"/>
          <w:lang w:val="es-CO"/>
          <w14:ligatures w14:val="standardContextual"/>
        </w:rPr>
        <w:t>17</w:t>
      </w:r>
      <w:r w:rsidRPr="00511928">
        <w:rPr>
          <w:rFonts w:ascii="Helvetica" w:eastAsia="Calibri" w:hAnsi="Helvetica" w:cs="Helvetica"/>
          <w:kern w:val="2"/>
          <w:sz w:val="22"/>
          <w:szCs w:val="22"/>
          <w:lang w:val="es-CO"/>
          <w14:ligatures w14:val="standardContextual"/>
        </w:rPr>
        <w:t xml:space="preserve"> de </w:t>
      </w:r>
      <w:r>
        <w:rPr>
          <w:rFonts w:ascii="Helvetica" w:eastAsia="Calibri" w:hAnsi="Helvetica" w:cs="Helvetica"/>
          <w:kern w:val="2"/>
          <w:sz w:val="22"/>
          <w:szCs w:val="22"/>
          <w:lang w:val="es-CO"/>
          <w14:ligatures w14:val="standardContextual"/>
        </w:rPr>
        <w:t xml:space="preserve">julio </w:t>
      </w:r>
      <w:r w:rsidRPr="00511928">
        <w:rPr>
          <w:rFonts w:ascii="Helvetica" w:eastAsia="Calibri" w:hAnsi="Helvetica" w:cs="Helvetica"/>
          <w:kern w:val="2"/>
          <w:sz w:val="22"/>
          <w:szCs w:val="22"/>
          <w:lang w:val="es-CO"/>
          <w14:ligatures w14:val="standardContextual"/>
        </w:rPr>
        <w:t xml:space="preserve">de 2023, la Comisión requirió a 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sidRPr="00511928">
        <w:rPr>
          <w:rFonts w:ascii="Helvetica" w:eastAsia="Calibri" w:hAnsi="Helvetica" w:cs="Helvetica"/>
          <w:kern w:val="2"/>
          <w:sz w:val="22"/>
          <w:szCs w:val="22"/>
          <w:lang w:val="es-CO"/>
          <w14:ligatures w14:val="standardContextual"/>
        </w:rPr>
        <w:t xml:space="preserve"> para que completara la solicitud tarifaria allegando</w:t>
      </w:r>
      <w:r>
        <w:rPr>
          <w:rFonts w:ascii="Helvetica" w:eastAsia="Calibri" w:hAnsi="Helvetica" w:cs="Helvetica"/>
          <w:kern w:val="2"/>
          <w:sz w:val="22"/>
          <w:szCs w:val="22"/>
          <w:lang w:val="es-CO"/>
          <w14:ligatures w14:val="standardContextual"/>
        </w:rPr>
        <w:t>, en un plazo quince (15) días,</w:t>
      </w:r>
      <w:r w:rsidRPr="00511928">
        <w:rPr>
          <w:rFonts w:ascii="Helvetica" w:eastAsia="Calibri" w:hAnsi="Helvetica" w:cs="Helvetica"/>
          <w:kern w:val="2"/>
          <w:sz w:val="22"/>
          <w:szCs w:val="22"/>
          <w:lang w:val="es-CO"/>
          <w14:ligatures w14:val="standardContextual"/>
        </w:rPr>
        <w:t xml:space="preserve"> la siguiente información y documentación:</w:t>
      </w:r>
    </w:p>
    <w:p w14:paraId="7C25BF75" w14:textId="77777777" w:rsidR="006B770B" w:rsidRPr="00511928" w:rsidRDefault="006B770B" w:rsidP="006B770B">
      <w:pPr>
        <w:spacing w:line="360" w:lineRule="auto"/>
        <w:ind w:left="708"/>
        <w:rPr>
          <w:rFonts w:ascii="Helvetica" w:eastAsia="Calibri" w:hAnsi="Helvetica" w:cs="Helvetica"/>
          <w:kern w:val="2"/>
          <w:sz w:val="22"/>
          <w:szCs w:val="22"/>
          <w:lang w:val="es-CO"/>
          <w14:ligatures w14:val="standardContextual"/>
        </w:rPr>
      </w:pPr>
    </w:p>
    <w:p w14:paraId="4F2ED899" w14:textId="77777777" w:rsidR="006B770B" w:rsidRPr="00511928" w:rsidRDefault="006B770B" w:rsidP="006B770B">
      <w:pPr>
        <w:spacing w:after="120" w:line="360" w:lineRule="auto"/>
        <w:ind w:left="708"/>
        <w:rPr>
          <w:rFonts w:ascii="Helvetica" w:eastAsia="Calibri" w:hAnsi="Helvetica" w:cs="Helvetica"/>
          <w:i/>
          <w:iCs/>
          <w:kern w:val="2"/>
          <w:sz w:val="22"/>
          <w:szCs w:val="22"/>
          <w:u w:val="single"/>
          <w:lang w:val="es-CO"/>
          <w14:ligatures w14:val="standardContextual"/>
        </w:rPr>
      </w:pPr>
      <w:r w:rsidRPr="00511928">
        <w:rPr>
          <w:rFonts w:ascii="Helvetica" w:eastAsia="Calibri" w:hAnsi="Helvetica" w:cs="Helvetica"/>
          <w:i/>
          <w:iCs/>
          <w:kern w:val="2"/>
          <w:sz w:val="22"/>
          <w:szCs w:val="22"/>
          <w:u w:val="single"/>
          <w:lang w:val="es-CO"/>
          <w14:ligatures w14:val="standardContextual"/>
        </w:rPr>
        <w:t>Respecto a la aprobación del Cargo de Distribución:</w:t>
      </w:r>
    </w:p>
    <w:p w14:paraId="53385167" w14:textId="77777777" w:rsidR="006B770B" w:rsidRPr="003A3BCE" w:rsidRDefault="006B770B" w:rsidP="006B770B">
      <w:pPr>
        <w:numPr>
          <w:ilvl w:val="0"/>
          <w:numId w:val="1"/>
        </w:numPr>
        <w:spacing w:after="160" w:line="360" w:lineRule="auto"/>
        <w:ind w:left="1066" w:hanging="357"/>
        <w:contextualSpacing/>
        <w:rPr>
          <w:rFonts w:ascii="Helvetica" w:eastAsia="Times New Roman" w:hAnsi="Helvetica" w:cs="Helvetica"/>
          <w:i/>
          <w:iCs/>
          <w:sz w:val="22"/>
          <w:szCs w:val="22"/>
        </w:rPr>
      </w:pPr>
      <w:r w:rsidRPr="003A3BCE">
        <w:rPr>
          <w:rFonts w:ascii="Helvetica" w:eastAsia="Times New Roman" w:hAnsi="Helvetica" w:cs="Helvetica"/>
          <w:i/>
          <w:iCs/>
          <w:sz w:val="22"/>
          <w:szCs w:val="22"/>
        </w:rPr>
        <w:t>Razones en las que se fundamenta la petición, según lo establecido en el literal a) del Numeral 6.1 del Artículo 6 de la resolución CREG 202 de 2013, en concordancia con la Metodología de Distribución.</w:t>
      </w:r>
    </w:p>
    <w:p w14:paraId="3297C4DF" w14:textId="77777777" w:rsidR="006B770B" w:rsidRPr="003A3BCE" w:rsidRDefault="006B770B" w:rsidP="006B770B">
      <w:pPr>
        <w:numPr>
          <w:ilvl w:val="0"/>
          <w:numId w:val="1"/>
        </w:numPr>
        <w:spacing w:after="160" w:line="360" w:lineRule="auto"/>
        <w:ind w:left="1066" w:hanging="357"/>
        <w:contextualSpacing/>
        <w:rPr>
          <w:rFonts w:ascii="Helvetica" w:eastAsia="Times New Roman" w:hAnsi="Helvetica" w:cs="Helvetica"/>
          <w:i/>
          <w:iCs/>
          <w:sz w:val="22"/>
          <w:szCs w:val="22"/>
        </w:rPr>
      </w:pPr>
      <w:r w:rsidRPr="003A3BCE">
        <w:rPr>
          <w:rFonts w:ascii="Helvetica" w:eastAsia="Times New Roman" w:hAnsi="Helvetica" w:cs="Helvetica"/>
          <w:i/>
          <w:iCs/>
          <w:sz w:val="22"/>
          <w:szCs w:val="22"/>
        </w:rPr>
        <w:t>Justificación de la conformación del mercado relevante especial que se propone señalando los beneficios derivados de la solicitud tarifaria, de conformidad con lo establecido en la Metodología de Distribución.</w:t>
      </w:r>
    </w:p>
    <w:p w14:paraId="03685A6F" w14:textId="77777777" w:rsidR="006B770B" w:rsidRDefault="006B770B" w:rsidP="006B770B">
      <w:pPr>
        <w:numPr>
          <w:ilvl w:val="0"/>
          <w:numId w:val="1"/>
        </w:numPr>
        <w:spacing w:after="160" w:line="360" w:lineRule="auto"/>
        <w:ind w:left="1066" w:hanging="357"/>
        <w:contextualSpacing/>
        <w:rPr>
          <w:rFonts w:ascii="Helvetica" w:eastAsia="Times New Roman" w:hAnsi="Helvetica" w:cs="Helvetica"/>
          <w:i/>
          <w:iCs/>
          <w:sz w:val="22"/>
          <w:szCs w:val="22"/>
        </w:rPr>
      </w:pPr>
      <w:r w:rsidRPr="003A3BCE">
        <w:rPr>
          <w:rFonts w:ascii="Helvetica" w:eastAsia="Times New Roman" w:hAnsi="Helvetica" w:cs="Helvetica"/>
          <w:i/>
          <w:iCs/>
          <w:sz w:val="22"/>
          <w:szCs w:val="22"/>
        </w:rPr>
        <w:t>Reporte de la proyección de conexión de usuarios por tipo de red, según el formato establecido en el Anexo 15 de la resolución CREG 202 de 2013, de conformidad con lo establecido en la Metodología de Distribución.</w:t>
      </w:r>
    </w:p>
    <w:p w14:paraId="5562095F" w14:textId="77777777" w:rsidR="006B770B" w:rsidRDefault="006B770B" w:rsidP="006B770B">
      <w:pPr>
        <w:spacing w:after="160" w:line="360" w:lineRule="auto"/>
        <w:ind w:left="1066"/>
        <w:contextualSpacing/>
        <w:rPr>
          <w:rFonts w:ascii="Helvetica" w:eastAsia="Times New Roman" w:hAnsi="Helvetica" w:cs="Helvetica"/>
          <w:i/>
          <w:iCs/>
          <w:sz w:val="22"/>
          <w:szCs w:val="22"/>
        </w:rPr>
      </w:pPr>
    </w:p>
    <w:p w14:paraId="66691EDC" w14:textId="77777777" w:rsidR="006B770B" w:rsidRPr="00511928" w:rsidRDefault="006B770B" w:rsidP="006B770B">
      <w:pPr>
        <w:spacing w:after="120" w:line="360" w:lineRule="auto"/>
        <w:ind w:left="708"/>
        <w:rPr>
          <w:rFonts w:ascii="Helvetica" w:eastAsia="Calibri" w:hAnsi="Helvetica" w:cs="Helvetica"/>
          <w:i/>
          <w:iCs/>
          <w:kern w:val="2"/>
          <w:sz w:val="22"/>
          <w:szCs w:val="22"/>
          <w:u w:val="single"/>
          <w:lang w:val="es-CO"/>
          <w14:ligatures w14:val="standardContextual"/>
        </w:rPr>
      </w:pPr>
      <w:r w:rsidRPr="00511928">
        <w:rPr>
          <w:rFonts w:ascii="Helvetica" w:eastAsia="Calibri" w:hAnsi="Helvetica" w:cs="Helvetica"/>
          <w:i/>
          <w:iCs/>
          <w:kern w:val="2"/>
          <w:sz w:val="22"/>
          <w:szCs w:val="22"/>
          <w:u w:val="single"/>
          <w:lang w:val="es-CO"/>
          <w14:ligatures w14:val="standardContextual"/>
        </w:rPr>
        <w:t>Respecto a la aprobación del Componente Fijo del Cargo de Comercialización:</w:t>
      </w:r>
    </w:p>
    <w:p w14:paraId="69D1D2CF" w14:textId="77777777" w:rsidR="006B770B" w:rsidRPr="003A3BCE" w:rsidRDefault="006B770B" w:rsidP="006B770B">
      <w:pPr>
        <w:numPr>
          <w:ilvl w:val="0"/>
          <w:numId w:val="2"/>
        </w:numPr>
        <w:spacing w:after="160" w:line="360" w:lineRule="auto"/>
        <w:ind w:left="993"/>
        <w:contextualSpacing/>
        <w:rPr>
          <w:rFonts w:ascii="Helvetica" w:eastAsia="Times New Roman" w:hAnsi="Helvetica" w:cs="Helvetica"/>
          <w:i/>
          <w:iCs/>
          <w:sz w:val="22"/>
          <w:szCs w:val="22"/>
        </w:rPr>
      </w:pPr>
      <w:r w:rsidRPr="003A3BCE">
        <w:rPr>
          <w:rFonts w:ascii="Helvetica" w:eastAsia="Times New Roman" w:hAnsi="Helvetica" w:cs="Helvetica"/>
          <w:i/>
          <w:iCs/>
          <w:sz w:val="22"/>
          <w:szCs w:val="22"/>
        </w:rPr>
        <w:t>Número de usuarios y volúmenes proyectados para los Municipios Nuevos que van a conformar el Mercado Relevante de Comercialización para el Siguiente Período Tarifario.</w:t>
      </w:r>
    </w:p>
    <w:p w14:paraId="2AF11E83" w14:textId="5D134765" w:rsidR="006B770B" w:rsidRPr="00B33476" w:rsidRDefault="006B770B" w:rsidP="00B33476">
      <w:pPr>
        <w:numPr>
          <w:ilvl w:val="0"/>
          <w:numId w:val="2"/>
        </w:numPr>
        <w:spacing w:after="160" w:line="360" w:lineRule="auto"/>
        <w:ind w:left="993"/>
        <w:contextualSpacing/>
        <w:rPr>
          <w:rFonts w:ascii="Helvetica" w:eastAsia="Times New Roman" w:hAnsi="Helvetica" w:cs="Helvetica"/>
          <w:i/>
          <w:iCs/>
          <w:sz w:val="22"/>
          <w:szCs w:val="22"/>
        </w:rPr>
      </w:pPr>
      <w:r w:rsidRPr="003A3BCE">
        <w:rPr>
          <w:rFonts w:ascii="Helvetica" w:eastAsia="Times New Roman" w:hAnsi="Helvetica" w:cs="Helvetica"/>
          <w:i/>
          <w:iCs/>
          <w:sz w:val="22"/>
          <w:szCs w:val="22"/>
        </w:rPr>
        <w:t xml:space="preserve">Proyección de gastos de AOM de comercialización durante un horizonte de veinte (20) años y que sean concordantes con los costos que se remuneran </w:t>
      </w:r>
      <w:r w:rsidRPr="003A3BCE">
        <w:rPr>
          <w:rFonts w:ascii="Helvetica" w:eastAsia="Times New Roman" w:hAnsi="Helvetica" w:cs="Helvetica"/>
          <w:i/>
          <w:iCs/>
          <w:sz w:val="22"/>
          <w:szCs w:val="22"/>
        </w:rPr>
        <w:lastRenderedPageBreak/>
        <w:t>dentro de la actividad de comercialización, conforme a los dispuesto en el Anexo 1 de la resolución CREG 102 003 de 2022.</w:t>
      </w:r>
    </w:p>
    <w:p w14:paraId="7F2C439B" w14:textId="77777777" w:rsidR="006B770B" w:rsidRPr="00511928" w:rsidRDefault="006B770B" w:rsidP="006B770B">
      <w:pPr>
        <w:ind w:left="1428"/>
        <w:contextualSpacing/>
        <w:rPr>
          <w:rFonts w:ascii="Helvetica" w:eastAsia="Times New Roman" w:hAnsi="Helvetica" w:cs="Helvetica"/>
          <w:i/>
          <w:iCs/>
          <w:u w:val="single"/>
        </w:rPr>
      </w:pPr>
    </w:p>
    <w:p w14:paraId="602A7E1A" w14:textId="2F952D23" w:rsidR="006B770B" w:rsidRPr="004C0012" w:rsidRDefault="006B770B" w:rsidP="006B770B">
      <w:pPr>
        <w:spacing w:line="360" w:lineRule="auto"/>
        <w:rPr>
          <w:rFonts w:ascii="Helvetica" w:eastAsia="Calibri" w:hAnsi="Helvetica" w:cs="Helvetica"/>
          <w:kern w:val="2"/>
          <w:sz w:val="22"/>
          <w:szCs w:val="22"/>
          <w:lang w:val="es-CO"/>
          <w14:ligatures w14:val="standardContextual"/>
        </w:rPr>
      </w:pPr>
      <w:r>
        <w:rPr>
          <w:rFonts w:ascii="Helvetica" w:eastAsia="Calibri" w:hAnsi="Helvetica" w:cs="Helvetica"/>
          <w:kern w:val="2"/>
          <w:sz w:val="22"/>
          <w:szCs w:val="22"/>
          <w:lang w:val="es-CO"/>
          <w14:ligatures w14:val="standardContextual"/>
        </w:rPr>
        <w:t xml:space="preserve">Una vez cumplido el plazo para que 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Pr>
          <w:rFonts w:ascii="Helvetica" w:eastAsia="Calibri" w:hAnsi="Helvetica" w:cs="Helvetica"/>
          <w:kern w:val="2"/>
          <w:sz w:val="22"/>
          <w:szCs w:val="22"/>
          <w:lang w:val="es-CO"/>
          <w14:ligatures w14:val="standardContextual"/>
        </w:rPr>
        <w:t xml:space="preserve"> allegara la información antes mencionada, la Comisión no encontró oficio de respuesta por parte de la </w:t>
      </w:r>
      <w:r w:rsidR="00B33476">
        <w:rPr>
          <w:rFonts w:ascii="Helvetica" w:eastAsia="Calibri" w:hAnsi="Helvetica" w:cs="Helvetica"/>
          <w:kern w:val="2"/>
          <w:sz w:val="22"/>
          <w:szCs w:val="22"/>
          <w:lang w:val="es-CO"/>
          <w14:ligatures w14:val="standardContextual"/>
        </w:rPr>
        <w:t>E</w:t>
      </w:r>
      <w:r>
        <w:rPr>
          <w:rFonts w:ascii="Helvetica" w:eastAsia="Calibri" w:hAnsi="Helvetica" w:cs="Helvetica"/>
          <w:kern w:val="2"/>
          <w:sz w:val="22"/>
          <w:szCs w:val="22"/>
          <w:lang w:val="es-CO"/>
          <w14:ligatures w14:val="standardContextual"/>
        </w:rPr>
        <w:t xml:space="preserve">mpresa, por lo que, mediante comunicación con radicado </w:t>
      </w:r>
      <w:r w:rsidRPr="004C0012">
        <w:rPr>
          <w:rFonts w:ascii="Helvetica" w:eastAsia="Calibri" w:hAnsi="Helvetica" w:cs="Helvetica"/>
          <w:kern w:val="2"/>
          <w:sz w:val="22"/>
          <w:szCs w:val="22"/>
          <w:lang w:val="es-CO"/>
          <w14:ligatures w14:val="standardContextual"/>
        </w:rPr>
        <w:t>S2023003947</w:t>
      </w:r>
      <w:r>
        <w:rPr>
          <w:rFonts w:ascii="Helvetica" w:eastAsia="Calibri" w:hAnsi="Helvetica" w:cs="Helvetica"/>
          <w:kern w:val="2"/>
          <w:sz w:val="22"/>
          <w:szCs w:val="22"/>
          <w:lang w:val="es-CO"/>
          <w14:ligatures w14:val="standardContextual"/>
        </w:rPr>
        <w:t xml:space="preserve"> del 31 de agosto de 2023, se reiteró la solicitud </w:t>
      </w:r>
      <w:r w:rsidR="00B33476">
        <w:rPr>
          <w:rFonts w:ascii="Helvetica" w:eastAsia="Calibri" w:hAnsi="Helvetica" w:cs="Helvetica"/>
          <w:kern w:val="2"/>
          <w:sz w:val="22"/>
          <w:szCs w:val="22"/>
          <w:lang w:val="es-CO"/>
          <w14:ligatures w14:val="standardContextual"/>
        </w:rPr>
        <w:t>para que se completara la</w:t>
      </w:r>
      <w:r>
        <w:rPr>
          <w:rFonts w:ascii="Helvetica" w:eastAsia="Calibri" w:hAnsi="Helvetica" w:cs="Helvetica"/>
          <w:kern w:val="2"/>
          <w:sz w:val="22"/>
          <w:szCs w:val="22"/>
          <w:lang w:val="es-CO"/>
          <w14:ligatures w14:val="standardContextual"/>
        </w:rPr>
        <w:t xml:space="preserve"> información faltante necesaria para la solicitud tarifaria.</w:t>
      </w:r>
    </w:p>
    <w:p w14:paraId="5934A1C2" w14:textId="77777777" w:rsidR="006B770B" w:rsidRDefault="006B770B" w:rsidP="006B770B">
      <w:pPr>
        <w:spacing w:line="360" w:lineRule="auto"/>
        <w:rPr>
          <w:rFonts w:ascii="Helvetica" w:eastAsia="Calibri" w:hAnsi="Helvetica" w:cs="Helvetica"/>
          <w:kern w:val="2"/>
          <w:sz w:val="22"/>
          <w:szCs w:val="22"/>
          <w:lang w:val="es-CO"/>
          <w14:ligatures w14:val="standardContextual"/>
        </w:rPr>
      </w:pPr>
    </w:p>
    <w:p w14:paraId="532E620C"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 xml:space="preserve">Mediante radicado CREG </w:t>
      </w:r>
      <w:r w:rsidRPr="00F272ED">
        <w:rPr>
          <w:rFonts w:ascii="Helvetica" w:eastAsia="Calibri" w:hAnsi="Helvetica" w:cs="Helvetica"/>
          <w:kern w:val="2"/>
          <w:sz w:val="22"/>
          <w:szCs w:val="22"/>
          <w:lang w:val="es-CO"/>
          <w14:ligatures w14:val="standardContextual"/>
        </w:rPr>
        <w:t>E2023016102</w:t>
      </w:r>
      <w:r>
        <w:rPr>
          <w:rFonts w:ascii="Helvetica" w:eastAsia="Calibri" w:hAnsi="Helvetica" w:cs="Helvetica"/>
          <w:kern w:val="2"/>
          <w:sz w:val="22"/>
          <w:szCs w:val="22"/>
          <w:lang w:val="es-CO"/>
          <w14:ligatures w14:val="standardContextual"/>
        </w:rPr>
        <w:t xml:space="preserve"> </w:t>
      </w:r>
      <w:r w:rsidRPr="00511928">
        <w:rPr>
          <w:rFonts w:ascii="Helvetica" w:eastAsia="Calibri" w:hAnsi="Helvetica" w:cs="Helvetica"/>
          <w:kern w:val="2"/>
          <w:sz w:val="22"/>
          <w:szCs w:val="22"/>
          <w:lang w:val="es-CO"/>
          <w14:ligatures w14:val="standardContextual"/>
        </w:rPr>
        <w:t xml:space="preserve">del </w:t>
      </w:r>
      <w:r>
        <w:rPr>
          <w:rFonts w:ascii="Helvetica" w:eastAsia="Calibri" w:hAnsi="Helvetica" w:cs="Helvetica"/>
          <w:kern w:val="2"/>
          <w:sz w:val="22"/>
          <w:szCs w:val="22"/>
          <w:lang w:val="es-CO"/>
          <w14:ligatures w14:val="standardContextual"/>
        </w:rPr>
        <w:t>5</w:t>
      </w:r>
      <w:r w:rsidRPr="00511928">
        <w:rPr>
          <w:rFonts w:ascii="Helvetica" w:eastAsia="Calibri" w:hAnsi="Helvetica" w:cs="Helvetica"/>
          <w:kern w:val="2"/>
          <w:sz w:val="22"/>
          <w:szCs w:val="22"/>
          <w:lang w:val="es-CO"/>
          <w14:ligatures w14:val="standardContextual"/>
        </w:rPr>
        <w:t xml:space="preserve"> de </w:t>
      </w:r>
      <w:r>
        <w:rPr>
          <w:rFonts w:ascii="Helvetica" w:eastAsia="Calibri" w:hAnsi="Helvetica" w:cs="Helvetica"/>
          <w:kern w:val="2"/>
          <w:sz w:val="22"/>
          <w:szCs w:val="22"/>
          <w:lang w:val="es-CO"/>
          <w14:ligatures w14:val="standardContextual"/>
        </w:rPr>
        <w:t>septiembre</w:t>
      </w:r>
      <w:r w:rsidRPr="00511928">
        <w:rPr>
          <w:rFonts w:ascii="Helvetica" w:eastAsia="Calibri" w:hAnsi="Helvetica" w:cs="Helvetica"/>
          <w:kern w:val="2"/>
          <w:sz w:val="22"/>
          <w:szCs w:val="22"/>
          <w:lang w:val="es-CO"/>
          <w14:ligatures w14:val="standardContextual"/>
        </w:rPr>
        <w:t xml:space="preserve"> de 2023,</w:t>
      </w:r>
      <w:r>
        <w:rPr>
          <w:rFonts w:ascii="Helvetica" w:eastAsia="Calibri" w:hAnsi="Helvetica" w:cs="Helvetica"/>
          <w:kern w:val="2"/>
          <w:sz w:val="22"/>
          <w:szCs w:val="22"/>
          <w:lang w:val="es-CO"/>
          <w14:ligatures w14:val="standardContextual"/>
        </w:rPr>
        <w:t xml:space="preserve"> conforme a lo solicitado por la Comisión,</w:t>
      </w:r>
      <w:r w:rsidRPr="00511928">
        <w:rPr>
          <w:rFonts w:ascii="Helvetica" w:eastAsia="Calibri" w:hAnsi="Helvetica" w:cs="Helvetica"/>
          <w:kern w:val="2"/>
          <w:sz w:val="22"/>
          <w:szCs w:val="22"/>
          <w:lang w:val="es-CO"/>
          <w14:ligatures w14:val="standardContextual"/>
        </w:rPr>
        <w:t xml:space="preserve"> 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sidRPr="00511928">
        <w:rPr>
          <w:rFonts w:ascii="Helvetica" w:eastAsia="Calibri" w:hAnsi="Helvetica" w:cs="Helvetica"/>
          <w:kern w:val="2"/>
          <w:sz w:val="22"/>
          <w:szCs w:val="22"/>
          <w:lang w:val="es-CO"/>
          <w14:ligatures w14:val="standardContextual"/>
        </w:rPr>
        <w:t xml:space="preserve"> allegó la información y documentación requerida. </w:t>
      </w:r>
    </w:p>
    <w:p w14:paraId="357446A5"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48C6EB14" w14:textId="77777777" w:rsidR="006B770B" w:rsidRDefault="006B770B" w:rsidP="006B770B">
      <w:pPr>
        <w:spacing w:line="360" w:lineRule="auto"/>
        <w:rPr>
          <w:rFonts w:ascii="Helvetica" w:eastAsia="Calibri" w:hAnsi="Helvetica" w:cs="Helvetica"/>
          <w:kern w:val="2"/>
          <w:sz w:val="22"/>
          <w:szCs w:val="22"/>
          <w:lang w:val="es-CO"/>
          <w14:ligatures w14:val="standardContextual"/>
        </w:rPr>
      </w:pPr>
      <w:r w:rsidRPr="00D84000">
        <w:rPr>
          <w:rFonts w:ascii="Helvetica" w:eastAsia="Calibri" w:hAnsi="Helvetica" w:cs="Helvetica"/>
          <w:kern w:val="2"/>
          <w:sz w:val="22"/>
          <w:szCs w:val="22"/>
          <w:lang w:val="es-CO"/>
          <w14:ligatures w14:val="standardContextual"/>
        </w:rPr>
        <w:t xml:space="preserve">Verificado el cumplimento de los requisitos exigidos en las Metodologías vigentes para aprobación de cargos de Distribución y del Componente Fijo del Costo de Comercialización de </w:t>
      </w:r>
      <w:r>
        <w:rPr>
          <w:rFonts w:ascii="Helvetica" w:eastAsia="Calibri" w:hAnsi="Helvetica" w:cs="Helvetica"/>
          <w:kern w:val="2"/>
          <w:sz w:val="22"/>
          <w:szCs w:val="22"/>
          <w:lang w:val="es-CO"/>
          <w14:ligatures w14:val="standardContextual"/>
        </w:rPr>
        <w:t>Gas Licuado de Petróleo</w:t>
      </w:r>
      <w:r w:rsidRPr="00D84000">
        <w:rPr>
          <w:rFonts w:ascii="Helvetica" w:eastAsia="Calibri" w:hAnsi="Helvetica" w:cs="Helvetica"/>
          <w:kern w:val="2"/>
          <w:sz w:val="22"/>
          <w:szCs w:val="22"/>
          <w:lang w:val="es-CO"/>
          <w14:ligatures w14:val="standardContextual"/>
        </w:rPr>
        <w:t xml:space="preserve"> por redes de tubería, se encuentra procedente adelantar</w:t>
      </w:r>
      <w:r>
        <w:rPr>
          <w:rFonts w:ascii="Helvetica" w:eastAsia="Calibri" w:hAnsi="Helvetica" w:cs="Helvetica"/>
          <w:kern w:val="2"/>
          <w:sz w:val="22"/>
          <w:szCs w:val="22"/>
          <w:lang w:val="es-CO"/>
          <w14:ligatures w14:val="standardContextual"/>
        </w:rPr>
        <w:t xml:space="preserve"> </w:t>
      </w:r>
      <w:r w:rsidRPr="00D84000">
        <w:rPr>
          <w:rFonts w:ascii="Helvetica" w:eastAsia="Calibri" w:hAnsi="Helvetica" w:cs="Helvetica"/>
          <w:kern w:val="2"/>
          <w:sz w:val="22"/>
          <w:szCs w:val="22"/>
          <w:lang w:val="es-CO"/>
          <w14:ligatures w14:val="standardContextual"/>
        </w:rPr>
        <w:t xml:space="preserve">el análisis del estudio tarifario presentado por 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sidRPr="00D84000">
        <w:rPr>
          <w:rFonts w:ascii="Helvetica" w:eastAsia="Calibri" w:hAnsi="Helvetica" w:cs="Helvetica"/>
          <w:kern w:val="2"/>
          <w:sz w:val="22"/>
          <w:szCs w:val="22"/>
          <w:lang w:val="es-CO"/>
          <w14:ligatures w14:val="standardContextual"/>
        </w:rPr>
        <w:t>, para efectos de la aprobación del Nuevo Mercado</w:t>
      </w:r>
      <w:r>
        <w:rPr>
          <w:rFonts w:ascii="Helvetica" w:eastAsia="Calibri" w:hAnsi="Helvetica" w:cs="Helvetica"/>
          <w:kern w:val="2"/>
          <w:sz w:val="22"/>
          <w:szCs w:val="22"/>
          <w:lang w:val="es-CO"/>
          <w14:ligatures w14:val="standardContextual"/>
        </w:rPr>
        <w:t xml:space="preserve"> Relevante</w:t>
      </w:r>
      <w:r w:rsidRPr="00D84000">
        <w:rPr>
          <w:rFonts w:ascii="Helvetica" w:eastAsia="Calibri" w:hAnsi="Helvetica" w:cs="Helvetica"/>
          <w:kern w:val="2"/>
          <w:sz w:val="22"/>
          <w:szCs w:val="22"/>
          <w:lang w:val="es-CO"/>
          <w14:ligatures w14:val="standardContextual"/>
        </w:rPr>
        <w:t xml:space="preserve"> </w:t>
      </w:r>
      <w:r>
        <w:rPr>
          <w:rFonts w:ascii="Helvetica" w:eastAsia="Calibri" w:hAnsi="Helvetica" w:cs="Helvetica"/>
          <w:kern w:val="2"/>
          <w:sz w:val="22"/>
          <w:szCs w:val="22"/>
          <w:lang w:val="es-CO"/>
          <w14:ligatures w14:val="standardContextual"/>
        </w:rPr>
        <w:t>Especial</w:t>
      </w:r>
      <w:r w:rsidRPr="00D84000">
        <w:rPr>
          <w:rFonts w:ascii="Helvetica" w:eastAsia="Calibri" w:hAnsi="Helvetica" w:cs="Helvetica"/>
          <w:kern w:val="2"/>
          <w:sz w:val="22"/>
          <w:szCs w:val="22"/>
          <w:lang w:val="es-CO"/>
          <w14:ligatures w14:val="standardContextual"/>
        </w:rPr>
        <w:t xml:space="preserve"> de Distribución para el Siguiente período Tarifario, los Cargos de Distribución por redes de tubería y del Componente Fijo del Costo de Comercialización de</w:t>
      </w:r>
      <w:r>
        <w:rPr>
          <w:rFonts w:ascii="Helvetica" w:eastAsia="Calibri" w:hAnsi="Helvetica" w:cs="Helvetica"/>
          <w:kern w:val="2"/>
          <w:sz w:val="22"/>
          <w:szCs w:val="22"/>
          <w:lang w:val="es-CO"/>
          <w14:ligatures w14:val="standardContextual"/>
        </w:rPr>
        <w:t xml:space="preserve"> Gas Licuado de Petróleo </w:t>
      </w:r>
      <w:r w:rsidRPr="00D84000">
        <w:rPr>
          <w:rFonts w:ascii="Helvetica" w:eastAsia="Calibri" w:hAnsi="Helvetica" w:cs="Helvetica"/>
          <w:kern w:val="2"/>
          <w:sz w:val="22"/>
          <w:szCs w:val="22"/>
          <w:lang w:val="es-CO"/>
          <w14:ligatures w14:val="standardContextual"/>
        </w:rPr>
        <w:t>por redes para el mercado relevante descrito en el Cuadro 1.</w:t>
      </w:r>
    </w:p>
    <w:p w14:paraId="12352E84"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1D464609"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La presente actuación administrativa está sujeta, en lo pertinente, a lo establecido en el Artículo 106 y siguientes del Capítulo II del Título VII de la Ley 142 de 1994 y, en lo no previsto en ellos, a las normas de la Parte Primera del Código de Procedimiento Administrativo y de lo Contencioso Administrativo, Ley 1437 de 2011.</w:t>
      </w:r>
    </w:p>
    <w:p w14:paraId="2BF99712"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2125522D"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kern w:val="2"/>
          <w:sz w:val="22"/>
          <w:szCs w:val="22"/>
          <w:lang w:val="es-CO"/>
          <w14:ligatures w14:val="standardContextual"/>
        </w:rPr>
        <w:t>En mérito de lo expuesto,</w:t>
      </w:r>
    </w:p>
    <w:p w14:paraId="2FCE4A83"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180D45FB" w14:textId="77777777" w:rsidR="006B770B" w:rsidRPr="00511928" w:rsidRDefault="006B770B" w:rsidP="006B770B">
      <w:pPr>
        <w:spacing w:line="360" w:lineRule="auto"/>
        <w:jc w:val="center"/>
        <w:rPr>
          <w:rFonts w:ascii="Helvetica" w:eastAsia="Calibri" w:hAnsi="Helvetica" w:cs="Helvetica"/>
          <w:b/>
          <w:bCs/>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RESUELVE</w:t>
      </w:r>
    </w:p>
    <w:p w14:paraId="50425F1C" w14:textId="77777777" w:rsidR="006B770B" w:rsidRPr="00511928" w:rsidRDefault="006B770B" w:rsidP="006B770B">
      <w:pPr>
        <w:spacing w:line="360" w:lineRule="auto"/>
        <w:jc w:val="center"/>
        <w:rPr>
          <w:rFonts w:ascii="Helvetica" w:eastAsia="Calibri" w:hAnsi="Helvetica" w:cs="Helvetica"/>
          <w:b/>
          <w:bCs/>
          <w:kern w:val="2"/>
          <w:sz w:val="22"/>
          <w:szCs w:val="22"/>
          <w:lang w:val="es-CO"/>
          <w14:ligatures w14:val="standardContextual"/>
        </w:rPr>
      </w:pPr>
    </w:p>
    <w:p w14:paraId="60C9EF48" w14:textId="26F90D28" w:rsidR="006B770B" w:rsidRDefault="006B770B" w:rsidP="006B770B">
      <w:pPr>
        <w:spacing w:after="120"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 xml:space="preserve">ARTÍCULO PRIMERO. </w:t>
      </w:r>
      <w:r w:rsidRPr="00511928">
        <w:rPr>
          <w:rFonts w:ascii="Helvetica" w:eastAsia="Calibri" w:hAnsi="Helvetica" w:cs="Helvetica"/>
          <w:kern w:val="2"/>
          <w:sz w:val="22"/>
          <w:szCs w:val="22"/>
          <w:lang w:val="es-CO"/>
          <w14:ligatures w14:val="standardContextual"/>
        </w:rPr>
        <w:t xml:space="preserve">Dar inicio a la Actuación Administrativa de Aprobación de Cargos de Distribución y del Componente Fijo del Costo de Comercialización de Gas Licuado de Petróleo por redes presentada por 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sidRPr="00511928">
        <w:rPr>
          <w:rFonts w:ascii="Helvetica" w:eastAsia="Calibri" w:hAnsi="Helvetica" w:cs="Helvetica"/>
          <w:kern w:val="2"/>
          <w:sz w:val="22"/>
          <w:szCs w:val="22"/>
          <w:lang w:val="es-CO"/>
          <w14:ligatures w14:val="standardContextual"/>
        </w:rPr>
        <w:t xml:space="preserve">, para el </w:t>
      </w:r>
      <w:r w:rsidRPr="00511928">
        <w:rPr>
          <w:rFonts w:ascii="Helvetica" w:eastAsia="Calibri" w:hAnsi="Helvetica" w:cs="Helvetica"/>
          <w:kern w:val="2"/>
          <w:sz w:val="22"/>
          <w:szCs w:val="22"/>
          <w:lang w:val="es-CO"/>
          <w14:ligatures w14:val="standardContextual"/>
        </w:rPr>
        <w:lastRenderedPageBreak/>
        <w:t xml:space="preserve">siguiente período tarifario, de conformidad con las Metodologías de Distribución y Comercialización, para el Mercado </w:t>
      </w:r>
      <w:r w:rsidR="00B33476">
        <w:rPr>
          <w:rFonts w:ascii="Helvetica" w:eastAsia="Calibri" w:hAnsi="Helvetica" w:cs="Helvetica"/>
          <w:kern w:val="2"/>
          <w:sz w:val="22"/>
          <w:szCs w:val="22"/>
          <w:lang w:val="es-CO"/>
          <w14:ligatures w14:val="standardContextual"/>
        </w:rPr>
        <w:t>Relevante de Distribución</w:t>
      </w:r>
      <w:r>
        <w:rPr>
          <w:rFonts w:ascii="Helvetica" w:eastAsia="Calibri" w:hAnsi="Helvetica" w:cs="Helvetica"/>
          <w:kern w:val="2"/>
          <w:sz w:val="22"/>
          <w:szCs w:val="22"/>
          <w:lang w:val="es-CO"/>
          <w14:ligatures w14:val="standardContextual"/>
        </w:rPr>
        <w:t xml:space="preserve"> Especial</w:t>
      </w:r>
      <w:r w:rsidRPr="00511928">
        <w:rPr>
          <w:rFonts w:ascii="Helvetica" w:eastAsia="Calibri" w:hAnsi="Helvetica" w:cs="Helvetica"/>
          <w:kern w:val="2"/>
          <w:sz w:val="22"/>
          <w:szCs w:val="22"/>
          <w:lang w:val="es-CO"/>
          <w14:ligatures w14:val="standardContextual"/>
        </w:rPr>
        <w:t xml:space="preserve"> </w:t>
      </w:r>
      <w:r>
        <w:rPr>
          <w:rFonts w:ascii="Helvetica" w:eastAsia="Calibri" w:hAnsi="Helvetica" w:cs="Helvetica"/>
          <w:kern w:val="2"/>
          <w:sz w:val="22"/>
          <w:szCs w:val="22"/>
          <w:lang w:val="es-CO"/>
          <w14:ligatures w14:val="standardContextual"/>
        </w:rPr>
        <w:t>que se muestra en el Cuadro 2.</w:t>
      </w:r>
    </w:p>
    <w:p w14:paraId="3DED8502" w14:textId="77777777" w:rsidR="006B770B" w:rsidRPr="00511928" w:rsidRDefault="006B770B" w:rsidP="006B770B">
      <w:pPr>
        <w:spacing w:after="120" w:line="360" w:lineRule="auto"/>
        <w:jc w:val="center"/>
        <w:rPr>
          <w:rFonts w:ascii="Helvetica" w:eastAsia="Calibri" w:hAnsi="Helvetica" w:cs="Helvetica"/>
          <w:kern w:val="2"/>
          <w:sz w:val="22"/>
          <w:szCs w:val="22"/>
          <w:lang w:val="es-CO"/>
          <w14:ligatures w14:val="standardContextual"/>
        </w:rPr>
      </w:pPr>
      <w:r w:rsidRPr="00B33476">
        <w:rPr>
          <w:rFonts w:ascii="Helvetica" w:eastAsia="Calibri" w:hAnsi="Helvetica" w:cs="Helvetica"/>
          <w:b/>
          <w:bCs/>
          <w:kern w:val="2"/>
          <w:sz w:val="22"/>
          <w:szCs w:val="22"/>
          <w:lang w:val="es-CO"/>
          <w14:ligatures w14:val="standardContextual"/>
        </w:rPr>
        <w:t>Cuadro 2.</w:t>
      </w:r>
      <w:r w:rsidRPr="005976D8">
        <w:rPr>
          <w:rFonts w:ascii="Helvetica" w:eastAsia="Calibri" w:hAnsi="Helvetica" w:cs="Helvetica"/>
          <w:kern w:val="2"/>
          <w:sz w:val="22"/>
          <w:szCs w:val="22"/>
          <w:lang w:val="es-CO"/>
          <w14:ligatures w14:val="standardContextual"/>
        </w:rPr>
        <w:t xml:space="preserve"> Conformación del mercado</w:t>
      </w:r>
      <w:r>
        <w:rPr>
          <w:rFonts w:ascii="Helvetica" w:eastAsia="Calibri" w:hAnsi="Helvetica" w:cs="Helvetica"/>
          <w:kern w:val="2"/>
          <w:sz w:val="22"/>
          <w:szCs w:val="22"/>
          <w:lang w:val="es-CO"/>
          <w14:ligatures w14:val="standardContextual"/>
        </w:rPr>
        <w:t xml:space="preserve"> relevante</w:t>
      </w:r>
      <w:r w:rsidRPr="005976D8">
        <w:rPr>
          <w:rFonts w:ascii="Helvetica" w:eastAsia="Calibri" w:hAnsi="Helvetica" w:cs="Helvetica"/>
          <w:kern w:val="2"/>
          <w:sz w:val="22"/>
          <w:szCs w:val="22"/>
          <w:lang w:val="es-CO"/>
          <w14:ligatures w14:val="standardContextual"/>
        </w:rPr>
        <w:t xml:space="preserve"> </w:t>
      </w:r>
      <w:r>
        <w:rPr>
          <w:rFonts w:ascii="Helvetica" w:eastAsia="Calibri" w:hAnsi="Helvetica" w:cs="Helvetica"/>
          <w:kern w:val="2"/>
          <w:sz w:val="22"/>
          <w:szCs w:val="22"/>
          <w:lang w:val="es-CO"/>
          <w14:ligatures w14:val="standardContextual"/>
        </w:rPr>
        <w:t>especial</w:t>
      </w:r>
      <w:r w:rsidRPr="005976D8">
        <w:rPr>
          <w:rFonts w:ascii="Helvetica" w:eastAsia="Calibri" w:hAnsi="Helvetica" w:cs="Helvetica"/>
          <w:kern w:val="2"/>
          <w:sz w:val="22"/>
          <w:szCs w:val="22"/>
          <w:lang w:val="es-CO"/>
          <w14:ligatures w14:val="standardContextual"/>
        </w:rPr>
        <w:t xml:space="preserve"> para el siguiente período tarifario que será analizado por la Comisión en la presente actuación administrativa.</w:t>
      </w:r>
    </w:p>
    <w:tbl>
      <w:tblPr>
        <w:tblStyle w:val="Tablaconcuadrcula"/>
        <w:tblW w:w="4543" w:type="pct"/>
        <w:jc w:val="center"/>
        <w:tblLook w:val="04A0" w:firstRow="1" w:lastRow="0" w:firstColumn="1" w:lastColumn="0" w:noHBand="0" w:noVBand="1"/>
      </w:tblPr>
      <w:tblGrid>
        <w:gridCol w:w="1525"/>
        <w:gridCol w:w="1944"/>
        <w:gridCol w:w="2082"/>
        <w:gridCol w:w="2470"/>
      </w:tblGrid>
      <w:tr w:rsidR="006B770B" w:rsidRPr="00511928" w14:paraId="189B4297" w14:textId="77777777" w:rsidTr="00D54914">
        <w:trPr>
          <w:trHeight w:val="555"/>
          <w:jc w:val="center"/>
        </w:trPr>
        <w:tc>
          <w:tcPr>
            <w:tcW w:w="950" w:type="pct"/>
            <w:shd w:val="clear" w:color="auto" w:fill="D9D9D9"/>
            <w:vAlign w:val="center"/>
          </w:tcPr>
          <w:p w14:paraId="5C146E20" w14:textId="77777777" w:rsidR="006B770B" w:rsidRPr="00B33476" w:rsidRDefault="006B770B" w:rsidP="00D54914">
            <w:pPr>
              <w:spacing w:line="360" w:lineRule="auto"/>
              <w:jc w:val="center"/>
              <w:rPr>
                <w:rFonts w:ascii="Helvetica" w:eastAsia="Calibri" w:hAnsi="Helvetica" w:cs="Helvetica"/>
                <w:b/>
                <w:bCs/>
                <w:sz w:val="22"/>
                <w:szCs w:val="22"/>
                <w:lang w:val="es-CO"/>
              </w:rPr>
            </w:pPr>
            <w:r w:rsidRPr="00B33476">
              <w:rPr>
                <w:rFonts w:ascii="Helvetica" w:eastAsia="Calibri" w:hAnsi="Helvetica" w:cs="Helvetica"/>
                <w:b/>
                <w:bCs/>
                <w:sz w:val="22"/>
                <w:szCs w:val="22"/>
                <w:lang w:val="es-CO"/>
              </w:rPr>
              <w:t>MUNICIPIO</w:t>
            </w:r>
          </w:p>
        </w:tc>
        <w:tc>
          <w:tcPr>
            <w:tcW w:w="1212" w:type="pct"/>
            <w:shd w:val="clear" w:color="auto" w:fill="D9D9D9"/>
            <w:vAlign w:val="center"/>
          </w:tcPr>
          <w:p w14:paraId="16D197A5" w14:textId="77777777" w:rsidR="006B770B" w:rsidRPr="00B33476" w:rsidRDefault="006B770B" w:rsidP="00D54914">
            <w:pPr>
              <w:spacing w:line="360" w:lineRule="auto"/>
              <w:jc w:val="center"/>
              <w:rPr>
                <w:rFonts w:ascii="Helvetica" w:eastAsia="Calibri" w:hAnsi="Helvetica" w:cs="Helvetica"/>
                <w:b/>
                <w:bCs/>
                <w:sz w:val="22"/>
                <w:szCs w:val="22"/>
                <w:lang w:val="es-CO"/>
              </w:rPr>
            </w:pPr>
            <w:r w:rsidRPr="00B33476">
              <w:rPr>
                <w:rFonts w:ascii="Helvetica" w:eastAsia="Calibri" w:hAnsi="Helvetica" w:cs="Helvetica"/>
                <w:b/>
                <w:bCs/>
                <w:sz w:val="22"/>
                <w:szCs w:val="22"/>
                <w:lang w:val="es-CO"/>
              </w:rPr>
              <w:t>CÓDIDO DANE MUNICIPIO</w:t>
            </w:r>
          </w:p>
        </w:tc>
        <w:tc>
          <w:tcPr>
            <w:tcW w:w="1298" w:type="pct"/>
            <w:shd w:val="clear" w:color="auto" w:fill="D9D9D9"/>
            <w:vAlign w:val="center"/>
          </w:tcPr>
          <w:p w14:paraId="01B35C81" w14:textId="77777777" w:rsidR="006B770B" w:rsidRPr="00B33476" w:rsidRDefault="006B770B" w:rsidP="00D54914">
            <w:pPr>
              <w:spacing w:line="360" w:lineRule="auto"/>
              <w:jc w:val="center"/>
              <w:rPr>
                <w:rFonts w:ascii="Helvetica" w:eastAsia="Calibri" w:hAnsi="Helvetica" w:cs="Helvetica"/>
                <w:b/>
                <w:bCs/>
                <w:sz w:val="22"/>
                <w:szCs w:val="22"/>
                <w:lang w:val="es-CO"/>
              </w:rPr>
            </w:pPr>
            <w:r w:rsidRPr="00B33476">
              <w:rPr>
                <w:rFonts w:ascii="Helvetica" w:eastAsia="Calibri" w:hAnsi="Helvetica" w:cs="Helvetica"/>
                <w:b/>
                <w:bCs/>
                <w:sz w:val="22"/>
                <w:szCs w:val="22"/>
                <w:lang w:val="es-CO"/>
              </w:rPr>
              <w:t>CENTRO POBLADO</w:t>
            </w:r>
          </w:p>
        </w:tc>
        <w:tc>
          <w:tcPr>
            <w:tcW w:w="1540" w:type="pct"/>
            <w:shd w:val="clear" w:color="auto" w:fill="D9D9D9"/>
            <w:vAlign w:val="center"/>
          </w:tcPr>
          <w:p w14:paraId="58F05FE2" w14:textId="77777777" w:rsidR="006B770B" w:rsidRPr="00B33476" w:rsidRDefault="006B770B" w:rsidP="00D54914">
            <w:pPr>
              <w:spacing w:line="360" w:lineRule="auto"/>
              <w:jc w:val="center"/>
              <w:rPr>
                <w:rFonts w:ascii="Helvetica" w:eastAsia="Calibri" w:hAnsi="Helvetica" w:cs="Helvetica"/>
                <w:b/>
                <w:bCs/>
                <w:sz w:val="22"/>
                <w:szCs w:val="22"/>
                <w:lang w:val="es-CO"/>
              </w:rPr>
            </w:pPr>
            <w:r w:rsidRPr="00B33476">
              <w:rPr>
                <w:rFonts w:ascii="Helvetica" w:eastAsia="Calibri" w:hAnsi="Helvetica" w:cs="Helvetica"/>
                <w:b/>
                <w:bCs/>
                <w:sz w:val="22"/>
                <w:szCs w:val="22"/>
                <w:lang w:val="es-CO"/>
              </w:rPr>
              <w:t>CÓDIGO DANE CENTRO POBLADO</w:t>
            </w:r>
          </w:p>
        </w:tc>
      </w:tr>
      <w:tr w:rsidR="006B770B" w:rsidRPr="00511928" w14:paraId="30C970DC" w14:textId="77777777" w:rsidTr="00D54914">
        <w:trPr>
          <w:trHeight w:val="628"/>
          <w:jc w:val="center"/>
        </w:trPr>
        <w:tc>
          <w:tcPr>
            <w:tcW w:w="950" w:type="pct"/>
            <w:vAlign w:val="center"/>
          </w:tcPr>
          <w:p w14:paraId="17564B0A" w14:textId="77777777" w:rsidR="006B770B" w:rsidRPr="00511928" w:rsidRDefault="006B770B" w:rsidP="00D54914">
            <w:pPr>
              <w:spacing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Lorica</w:t>
            </w:r>
          </w:p>
        </w:tc>
        <w:tc>
          <w:tcPr>
            <w:tcW w:w="1212" w:type="pct"/>
            <w:vAlign w:val="center"/>
          </w:tcPr>
          <w:p w14:paraId="64896A3D" w14:textId="77777777" w:rsidR="006B770B" w:rsidRPr="00511928" w:rsidRDefault="006B770B" w:rsidP="00D54914">
            <w:pPr>
              <w:spacing w:line="360" w:lineRule="auto"/>
              <w:jc w:val="center"/>
              <w:rPr>
                <w:rFonts w:ascii="Helvetica" w:eastAsia="Calibri" w:hAnsi="Helvetica" w:cs="Helvetica"/>
                <w:sz w:val="22"/>
                <w:szCs w:val="22"/>
                <w:lang w:val="es-CO"/>
              </w:rPr>
            </w:pPr>
            <w:r w:rsidRPr="00B601F6">
              <w:rPr>
                <w:rFonts w:ascii="Helvetica" w:eastAsia="Calibri" w:hAnsi="Helvetica" w:cs="Helvetica"/>
                <w:sz w:val="22"/>
                <w:szCs w:val="22"/>
                <w:lang w:val="es-CO"/>
              </w:rPr>
              <w:t>23417</w:t>
            </w:r>
          </w:p>
        </w:tc>
        <w:tc>
          <w:tcPr>
            <w:tcW w:w="1298" w:type="pct"/>
            <w:vAlign w:val="center"/>
          </w:tcPr>
          <w:p w14:paraId="06BD9B6D" w14:textId="77777777" w:rsidR="006B770B" w:rsidRPr="00511928" w:rsidRDefault="006B770B" w:rsidP="00D54914">
            <w:pPr>
              <w:spacing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La Doctrina</w:t>
            </w:r>
          </w:p>
        </w:tc>
        <w:tc>
          <w:tcPr>
            <w:tcW w:w="1540" w:type="pct"/>
            <w:vAlign w:val="center"/>
          </w:tcPr>
          <w:p w14:paraId="33006257" w14:textId="77777777" w:rsidR="006B770B" w:rsidRPr="00511928" w:rsidRDefault="006B770B" w:rsidP="00D54914">
            <w:pPr>
              <w:spacing w:line="360" w:lineRule="auto"/>
              <w:jc w:val="center"/>
              <w:rPr>
                <w:rFonts w:ascii="Helvetica" w:eastAsia="Calibri" w:hAnsi="Helvetica" w:cs="Helvetica"/>
                <w:sz w:val="22"/>
                <w:szCs w:val="22"/>
                <w:lang w:val="es-CO"/>
              </w:rPr>
            </w:pPr>
            <w:r w:rsidRPr="00B601F6">
              <w:rPr>
                <w:rFonts w:ascii="Helvetica" w:eastAsia="Calibri" w:hAnsi="Helvetica" w:cs="Helvetica"/>
                <w:sz w:val="22"/>
                <w:szCs w:val="22"/>
                <w:lang w:val="es-CO"/>
              </w:rPr>
              <w:t>23417003</w:t>
            </w:r>
          </w:p>
        </w:tc>
      </w:tr>
      <w:tr w:rsidR="006B770B" w:rsidRPr="00511928" w14:paraId="3264E743" w14:textId="77777777" w:rsidTr="00D54914">
        <w:trPr>
          <w:trHeight w:val="628"/>
          <w:jc w:val="center"/>
        </w:trPr>
        <w:tc>
          <w:tcPr>
            <w:tcW w:w="950" w:type="pct"/>
            <w:vAlign w:val="center"/>
          </w:tcPr>
          <w:p w14:paraId="3AFB65D0" w14:textId="77777777" w:rsidR="006B770B" w:rsidRDefault="006B770B" w:rsidP="00D54914">
            <w:pPr>
              <w:spacing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Lorica</w:t>
            </w:r>
          </w:p>
        </w:tc>
        <w:tc>
          <w:tcPr>
            <w:tcW w:w="1212" w:type="pct"/>
            <w:vAlign w:val="center"/>
          </w:tcPr>
          <w:p w14:paraId="597DB7C0" w14:textId="77777777" w:rsidR="006B770B" w:rsidRPr="00B601F6" w:rsidRDefault="006B770B" w:rsidP="00D54914">
            <w:pPr>
              <w:spacing w:line="360" w:lineRule="auto"/>
              <w:jc w:val="center"/>
              <w:rPr>
                <w:rFonts w:ascii="Helvetica" w:eastAsia="Calibri" w:hAnsi="Helvetica" w:cs="Helvetica"/>
                <w:sz w:val="22"/>
                <w:szCs w:val="22"/>
                <w:lang w:val="es-CO"/>
              </w:rPr>
            </w:pPr>
            <w:r w:rsidRPr="00B601F6">
              <w:rPr>
                <w:rFonts w:ascii="Helvetica" w:eastAsia="Calibri" w:hAnsi="Helvetica" w:cs="Helvetica"/>
                <w:sz w:val="22"/>
                <w:szCs w:val="22"/>
                <w:lang w:val="es-CO"/>
              </w:rPr>
              <w:t>23417</w:t>
            </w:r>
          </w:p>
        </w:tc>
        <w:tc>
          <w:tcPr>
            <w:tcW w:w="1298" w:type="pct"/>
            <w:vAlign w:val="center"/>
          </w:tcPr>
          <w:p w14:paraId="46FF1CC3" w14:textId="77777777" w:rsidR="006B770B" w:rsidRDefault="006B770B" w:rsidP="00D54914">
            <w:pPr>
              <w:spacing w:line="360" w:lineRule="auto"/>
              <w:jc w:val="center"/>
              <w:rPr>
                <w:rFonts w:ascii="Helvetica" w:eastAsia="Calibri" w:hAnsi="Helvetica" w:cs="Helvetica"/>
                <w:sz w:val="22"/>
                <w:szCs w:val="22"/>
                <w:lang w:val="es-CO"/>
              </w:rPr>
            </w:pPr>
            <w:r>
              <w:rPr>
                <w:rFonts w:ascii="Helvetica" w:eastAsia="Calibri" w:hAnsi="Helvetica" w:cs="Helvetica"/>
                <w:sz w:val="22"/>
                <w:szCs w:val="22"/>
                <w:lang w:val="es-CO"/>
              </w:rPr>
              <w:t>Santa Lucía</w:t>
            </w:r>
          </w:p>
        </w:tc>
        <w:tc>
          <w:tcPr>
            <w:tcW w:w="1540" w:type="pct"/>
            <w:vAlign w:val="center"/>
          </w:tcPr>
          <w:p w14:paraId="43FF40C7" w14:textId="77777777" w:rsidR="006B770B" w:rsidRPr="00B601F6" w:rsidRDefault="006B770B" w:rsidP="00D54914">
            <w:pPr>
              <w:spacing w:line="360" w:lineRule="auto"/>
              <w:jc w:val="center"/>
              <w:rPr>
                <w:rFonts w:ascii="Helvetica" w:eastAsia="Calibri" w:hAnsi="Helvetica" w:cs="Helvetica"/>
                <w:sz w:val="22"/>
                <w:szCs w:val="22"/>
                <w:lang w:val="es-CO"/>
              </w:rPr>
            </w:pPr>
            <w:r w:rsidRPr="00B601F6">
              <w:rPr>
                <w:rFonts w:ascii="Helvetica" w:eastAsia="Calibri" w:hAnsi="Helvetica" w:cs="Helvetica"/>
                <w:sz w:val="22"/>
                <w:szCs w:val="22"/>
                <w:lang w:val="es-CO"/>
              </w:rPr>
              <w:t>23417034</w:t>
            </w:r>
          </w:p>
        </w:tc>
      </w:tr>
    </w:tbl>
    <w:p w14:paraId="6408CE6D" w14:textId="77777777" w:rsidR="006B770B" w:rsidRPr="00511928" w:rsidRDefault="006B770B" w:rsidP="006B770B">
      <w:pPr>
        <w:spacing w:line="360" w:lineRule="auto"/>
        <w:jc w:val="center"/>
        <w:rPr>
          <w:rFonts w:ascii="Helvetica" w:eastAsia="Calibri" w:hAnsi="Helvetica" w:cs="Helvetica"/>
          <w:kern w:val="2"/>
          <w:sz w:val="22"/>
          <w:szCs w:val="22"/>
          <w:lang w:val="es-CO"/>
          <w14:ligatures w14:val="standardContextual"/>
        </w:rPr>
      </w:pPr>
    </w:p>
    <w:p w14:paraId="0C460B16"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ARTÍCULO SEGUNDO.</w:t>
      </w:r>
      <w:r w:rsidRPr="00511928">
        <w:rPr>
          <w:rFonts w:ascii="Helvetica" w:eastAsia="Calibri" w:hAnsi="Helvetica" w:cs="Helvetica"/>
          <w:kern w:val="2"/>
          <w:sz w:val="22"/>
          <w:szCs w:val="22"/>
          <w:lang w:val="es-CO"/>
          <w14:ligatures w14:val="standardContextual"/>
        </w:rPr>
        <w:t xml:space="preserve"> </w:t>
      </w:r>
      <w:r w:rsidRPr="00414728">
        <w:rPr>
          <w:rFonts w:ascii="Helvetica" w:eastAsia="Calibri" w:hAnsi="Helvetica" w:cs="Helvetica"/>
          <w:kern w:val="2"/>
          <w:sz w:val="22"/>
          <w:szCs w:val="22"/>
          <w:lang w:val="es-CO"/>
          <w14:ligatures w14:val="standardContextual"/>
        </w:rPr>
        <w:t xml:space="preserve">Ordenar la incorporación de todos los documentos, información y comunicaciones relacionadas con la actuación administrativa iniciada de conformidad con el Artículo </w:t>
      </w:r>
      <w:r>
        <w:rPr>
          <w:rFonts w:ascii="Helvetica" w:eastAsia="Calibri" w:hAnsi="Helvetica" w:cs="Helvetica"/>
          <w:kern w:val="2"/>
          <w:sz w:val="22"/>
          <w:szCs w:val="22"/>
          <w:lang w:val="es-CO"/>
          <w14:ligatures w14:val="standardContextual"/>
        </w:rPr>
        <w:t>Primero</w:t>
      </w:r>
      <w:r w:rsidRPr="00414728">
        <w:rPr>
          <w:rFonts w:ascii="Helvetica" w:eastAsia="Calibri" w:hAnsi="Helvetica" w:cs="Helvetica"/>
          <w:kern w:val="2"/>
          <w:sz w:val="22"/>
          <w:szCs w:val="22"/>
          <w:lang w:val="es-CO"/>
          <w14:ligatures w14:val="standardContextual"/>
        </w:rPr>
        <w:t>, en el expediente administrativo número 2023</w:t>
      </w:r>
      <w:r>
        <w:rPr>
          <w:rFonts w:ascii="Helvetica" w:eastAsia="Calibri" w:hAnsi="Helvetica" w:cs="Helvetica"/>
          <w:kern w:val="2"/>
          <w:sz w:val="22"/>
          <w:szCs w:val="22"/>
          <w:lang w:val="es-CO"/>
          <w14:ligatures w14:val="standardContextual"/>
        </w:rPr>
        <w:t>0065.</w:t>
      </w:r>
    </w:p>
    <w:p w14:paraId="76241578"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61588B90"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ARTÍCULO TERCERO.</w:t>
      </w:r>
      <w:r w:rsidRPr="00511928">
        <w:rPr>
          <w:rFonts w:ascii="Helvetica" w:eastAsia="Calibri" w:hAnsi="Helvetica" w:cs="Helvetica"/>
          <w:kern w:val="2"/>
          <w:sz w:val="22"/>
          <w:szCs w:val="22"/>
          <w:lang w:val="es-CO"/>
          <w14:ligatures w14:val="standardContextual"/>
        </w:rPr>
        <w:t xml:space="preserve"> Ordenar la publicación en la página Web de la CREG y en el Diario Oficial el resumen de la Solicitud Tarifaria objeto de la presente Actuación Administrativa, que se anexa al presente Auto, para los efectos del artículo 37 del Código de Procedimiento Administrativo y de lo Contencioso Administrativo.</w:t>
      </w:r>
    </w:p>
    <w:p w14:paraId="1CEEED9B"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151E0211" w14:textId="77777777" w:rsidR="006B770B" w:rsidRPr="008018AB" w:rsidRDefault="006B770B" w:rsidP="006B770B">
      <w:pPr>
        <w:spacing w:line="360" w:lineRule="auto"/>
        <w:rPr>
          <w:rFonts w:ascii="Helvetica" w:eastAsia="Calibri" w:hAnsi="Helvetica" w:cs="Helvetica"/>
          <w:kern w:val="2"/>
          <w:sz w:val="22"/>
          <w:szCs w:val="22"/>
          <w14:ligatures w14:val="standardContextual"/>
        </w:rPr>
      </w:pPr>
      <w:r w:rsidRPr="00511928">
        <w:rPr>
          <w:rFonts w:ascii="Helvetica" w:eastAsia="Calibri" w:hAnsi="Helvetica" w:cs="Helvetica"/>
          <w:b/>
          <w:bCs/>
          <w:kern w:val="2"/>
          <w:sz w:val="22"/>
          <w:szCs w:val="22"/>
          <w:lang w:val="es-CO"/>
          <w14:ligatures w14:val="standardContextual"/>
        </w:rPr>
        <w:t xml:space="preserve">ARTÍCULO CUARTO. </w:t>
      </w:r>
      <w:r w:rsidRPr="00511928">
        <w:rPr>
          <w:rFonts w:ascii="Helvetica" w:eastAsia="Calibri" w:hAnsi="Helvetica" w:cs="Helvetica"/>
          <w:kern w:val="2"/>
          <w:sz w:val="22"/>
          <w:szCs w:val="22"/>
          <w:lang w:val="es-CO"/>
          <w14:ligatures w14:val="standardContextual"/>
        </w:rPr>
        <w:t xml:space="preserve">Comunicar el contenido del presente Auto a la empresa </w:t>
      </w:r>
      <w:r>
        <w:rPr>
          <w:rFonts w:ascii="Helvetica" w:eastAsia="Calibri" w:hAnsi="Helvetica" w:cs="Helvetica"/>
          <w:b/>
          <w:bCs/>
          <w:kern w:val="2"/>
          <w:sz w:val="22"/>
          <w:szCs w:val="22"/>
          <w:lang w:val="es-CO"/>
          <w14:ligatures w14:val="standardContextual"/>
        </w:rPr>
        <w:t>GEAS GROUP</w:t>
      </w:r>
      <w:r w:rsidRPr="00511928">
        <w:rPr>
          <w:rFonts w:ascii="Helvetica" w:eastAsia="Calibri" w:hAnsi="Helvetica" w:cs="Helvetica"/>
          <w:b/>
          <w:bCs/>
          <w:kern w:val="2"/>
          <w:sz w:val="22"/>
          <w:szCs w:val="22"/>
          <w:lang w:val="es-CO"/>
          <w14:ligatures w14:val="standardContextual"/>
        </w:rPr>
        <w:t xml:space="preserve"> S.A.S. E.S.P.</w:t>
      </w:r>
      <w:r w:rsidRPr="00511928">
        <w:rPr>
          <w:rFonts w:ascii="Helvetica" w:eastAsia="Calibri" w:hAnsi="Helvetica" w:cs="Helvetica"/>
          <w:kern w:val="2"/>
          <w:sz w:val="22"/>
          <w:szCs w:val="22"/>
          <w:lang w:val="es-CO"/>
          <w14:ligatures w14:val="standardContextual"/>
        </w:rPr>
        <w:t xml:space="preserve">, a través del correo electrónico </w:t>
      </w:r>
      <w:hyperlink r:id="rId8" w:history="1">
        <w:r w:rsidRPr="00303132">
          <w:rPr>
            <w:rStyle w:val="Hipervnculo"/>
            <w:rFonts w:ascii="Helvetica" w:eastAsia="Calibri" w:hAnsi="Helvetica" w:cs="Helvetica"/>
            <w:kern w:val="2"/>
            <w:sz w:val="22"/>
            <w:szCs w:val="22"/>
            <w:lang w:val="es-CO"/>
            <w14:ligatures w14:val="standardContextual"/>
          </w:rPr>
          <w:t>geas.esp@gmail.com</w:t>
        </w:r>
      </w:hyperlink>
    </w:p>
    <w:p w14:paraId="3B4206D7"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68F3A8C0" w14:textId="77777777" w:rsidR="006B770B" w:rsidRPr="00511928" w:rsidRDefault="006B770B" w:rsidP="006B770B">
      <w:pPr>
        <w:spacing w:line="360" w:lineRule="auto"/>
        <w:rPr>
          <w:rFonts w:ascii="Helvetica" w:eastAsia="Calibri" w:hAnsi="Helvetica" w:cs="Helvetica"/>
          <w:kern w:val="2"/>
          <w:sz w:val="22"/>
          <w:szCs w:val="22"/>
          <w:lang w:val="es-CO"/>
          <w14:ligatures w14:val="standardContextual"/>
        </w:rPr>
      </w:pPr>
    </w:p>
    <w:p w14:paraId="669DB79F" w14:textId="77777777" w:rsidR="006B770B" w:rsidRPr="00511928" w:rsidRDefault="006B770B" w:rsidP="006B770B">
      <w:pPr>
        <w:spacing w:line="360" w:lineRule="auto"/>
        <w:jc w:val="center"/>
        <w:rPr>
          <w:rFonts w:ascii="Helvetica" w:eastAsia="Calibri" w:hAnsi="Helvetica" w:cs="Helvetica"/>
          <w:b/>
          <w:bCs/>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PUBLÍQUESE, COMUNÍQUESE Y CÚMPLASE</w:t>
      </w:r>
    </w:p>
    <w:p w14:paraId="4B9A41DA" w14:textId="77777777" w:rsidR="006B770B" w:rsidRPr="00511928" w:rsidRDefault="006B770B" w:rsidP="006B770B">
      <w:pPr>
        <w:spacing w:line="360" w:lineRule="auto"/>
        <w:jc w:val="center"/>
        <w:rPr>
          <w:rFonts w:ascii="Helvetica" w:eastAsia="Calibri" w:hAnsi="Helvetica" w:cs="Helvetica"/>
          <w:b/>
          <w:bCs/>
          <w:kern w:val="2"/>
          <w:sz w:val="22"/>
          <w:szCs w:val="22"/>
          <w:lang w:val="es-CO"/>
          <w14:ligatures w14:val="standardContextual"/>
        </w:rPr>
      </w:pPr>
    </w:p>
    <w:p w14:paraId="796F84F0" w14:textId="77777777" w:rsidR="006B770B" w:rsidRPr="00511928" w:rsidRDefault="006B770B" w:rsidP="006B770B">
      <w:pPr>
        <w:spacing w:line="360" w:lineRule="auto"/>
        <w:jc w:val="center"/>
        <w:rPr>
          <w:rFonts w:ascii="Helvetica" w:eastAsia="Calibri" w:hAnsi="Helvetica" w:cs="Helvetica"/>
          <w:b/>
          <w:bCs/>
          <w:kern w:val="2"/>
          <w:sz w:val="22"/>
          <w:szCs w:val="22"/>
          <w:lang w:val="es-CO"/>
          <w14:ligatures w14:val="standardContextual"/>
        </w:rPr>
      </w:pPr>
    </w:p>
    <w:p w14:paraId="464BEB17" w14:textId="77777777" w:rsidR="006B770B" w:rsidRPr="00511928" w:rsidRDefault="006B770B" w:rsidP="006B770B">
      <w:pPr>
        <w:spacing w:line="360" w:lineRule="auto"/>
        <w:jc w:val="center"/>
        <w:rPr>
          <w:rFonts w:ascii="Helvetica" w:eastAsia="Calibri" w:hAnsi="Helvetica" w:cs="Helvetica"/>
          <w:b/>
          <w:bCs/>
          <w:kern w:val="2"/>
          <w:sz w:val="22"/>
          <w:szCs w:val="22"/>
          <w:lang w:val="es-CO"/>
          <w14:ligatures w14:val="standardContextual"/>
        </w:rPr>
      </w:pPr>
      <w:r w:rsidRPr="00511928">
        <w:rPr>
          <w:rFonts w:ascii="Helvetica" w:eastAsia="Calibri" w:hAnsi="Helvetica" w:cs="Helvetica"/>
          <w:b/>
          <w:bCs/>
          <w:kern w:val="2"/>
          <w:sz w:val="22"/>
          <w:szCs w:val="22"/>
          <w:lang w:val="es-CO"/>
          <w14:ligatures w14:val="standardContextual"/>
        </w:rPr>
        <w:t>JOSÉ FERNANDO PRADA RÍOS</w:t>
      </w:r>
    </w:p>
    <w:p w14:paraId="1970F40F" w14:textId="38C5FAC3" w:rsidR="00162BBC" w:rsidRDefault="006B770B" w:rsidP="00A67475">
      <w:pPr>
        <w:spacing w:line="360" w:lineRule="auto"/>
        <w:jc w:val="center"/>
        <w:rPr>
          <w:rFonts w:ascii="Arial" w:hAnsi="Arial" w:cs="Arial"/>
        </w:rPr>
      </w:pPr>
      <w:r w:rsidRPr="00511928">
        <w:rPr>
          <w:rFonts w:ascii="Helvetica" w:eastAsia="Calibri" w:hAnsi="Helvetica" w:cs="Helvetica"/>
          <w:kern w:val="2"/>
          <w:sz w:val="22"/>
          <w:szCs w:val="22"/>
          <w:lang w:val="es-CO"/>
          <w14:ligatures w14:val="standardContextual"/>
        </w:rPr>
        <w:t>Director Ejecutivo</w:t>
      </w:r>
    </w:p>
    <w:p w14:paraId="13A83964" w14:textId="77777777" w:rsidR="00162BBC" w:rsidRDefault="00162BBC" w:rsidP="00A454CE">
      <w:pPr>
        <w:jc w:val="center"/>
        <w:rPr>
          <w:rFonts w:ascii="Arial" w:hAnsi="Arial" w:cs="Arial"/>
        </w:rPr>
      </w:pPr>
    </w:p>
    <w:p w14:paraId="38CB3F98" w14:textId="77777777" w:rsidR="00162BBC" w:rsidRDefault="00162BBC" w:rsidP="00A454CE">
      <w:pPr>
        <w:jc w:val="center"/>
        <w:rPr>
          <w:rFonts w:ascii="Arial" w:hAnsi="Arial" w:cs="Arial"/>
        </w:rPr>
      </w:pPr>
    </w:p>
    <w:p w14:paraId="66740B54" w14:textId="77777777" w:rsidR="00162BBC" w:rsidRPr="000350D8" w:rsidRDefault="00162BBC" w:rsidP="00A454CE">
      <w:pPr>
        <w:jc w:val="center"/>
        <w:rPr>
          <w:rFonts w:ascii="Arial" w:hAnsi="Arial" w:cs="Arial"/>
          <w:b/>
          <w:bCs/>
        </w:rPr>
      </w:pPr>
    </w:p>
    <w:p w14:paraId="1A192A2A" w14:textId="77777777" w:rsidR="007E16DF" w:rsidRPr="00A454CE" w:rsidRDefault="007E16DF" w:rsidP="00A454CE"/>
    <w:sectPr w:rsidR="007E16DF" w:rsidRPr="00A454CE" w:rsidSect="00162BBC">
      <w:headerReference w:type="default" r:id="rId9"/>
      <w:footerReference w:type="default" r:id="rId10"/>
      <w:headerReference w:type="first" r:id="rId11"/>
      <w:footerReference w:type="first" r:id="rId12"/>
      <w:pgSz w:w="12240" w:h="15840"/>
      <w:pgMar w:top="1417" w:right="1701" w:bottom="1417"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488E" w14:textId="77777777" w:rsidR="00494A6E" w:rsidRDefault="00494A6E" w:rsidP="00AA0519">
      <w:r>
        <w:separator/>
      </w:r>
    </w:p>
  </w:endnote>
  <w:endnote w:type="continuationSeparator" w:id="0">
    <w:p w14:paraId="1EED0FC3" w14:textId="77777777" w:rsidR="00494A6E" w:rsidRDefault="00494A6E"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Rounded">
    <w:altName w:val="Arial"/>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3CBB" w14:textId="77777777" w:rsidR="00162BBC" w:rsidRDefault="00162BBC" w:rsidP="00162BBC">
    <w:pPr>
      <w:pBdr>
        <w:bottom w:val="single" w:sz="12" w:space="1" w:color="auto"/>
      </w:pBdr>
      <w:spacing w:line="276" w:lineRule="auto"/>
      <w:jc w:val="both"/>
      <w:rPr>
        <w:b/>
        <w:bCs/>
        <w:sz w:val="20"/>
        <w:szCs w:val="20"/>
      </w:rPr>
    </w:pPr>
  </w:p>
  <w:p w14:paraId="7BA491D8" w14:textId="77777777" w:rsidR="00162BBC" w:rsidRPr="008144AC" w:rsidRDefault="00162BBC" w:rsidP="00162BBC">
    <w:pPr>
      <w:spacing w:line="276" w:lineRule="auto"/>
      <w:jc w:val="both"/>
      <w:rPr>
        <w:rFonts w:ascii="Helvetica Rounded" w:hAnsi="Helvetica Rounded"/>
        <w:b/>
        <w:bCs/>
        <w:sz w:val="20"/>
        <w:szCs w:val="20"/>
      </w:rPr>
    </w:pPr>
    <w:r w:rsidRPr="008144AC">
      <w:rPr>
        <w:rFonts w:ascii="Helvetica Rounded" w:hAnsi="Helvetica Rounded"/>
        <w:b/>
        <w:bCs/>
        <w:sz w:val="20"/>
        <w:szCs w:val="20"/>
      </w:rPr>
      <w:t>Comisión de Regulación de Energía y Gas</w:t>
    </w:r>
  </w:p>
  <w:p w14:paraId="737C0959" w14:textId="77777777" w:rsidR="00162BBC" w:rsidRPr="008144AC" w:rsidRDefault="00162BBC" w:rsidP="00162BBC">
    <w:pPr>
      <w:spacing w:line="276" w:lineRule="auto"/>
      <w:jc w:val="both"/>
      <w:rPr>
        <w:rFonts w:ascii="Helvetica Rounded" w:hAnsi="Helvetica Rounded"/>
        <w:b/>
        <w:bCs/>
        <w:sz w:val="20"/>
        <w:szCs w:val="20"/>
      </w:rPr>
    </w:pPr>
    <w:r w:rsidRPr="008144AC">
      <w:rPr>
        <w:rFonts w:ascii="Helvetica Rounded" w:hAnsi="Helvetica Rounded"/>
        <w:b/>
        <w:bCs/>
        <w:sz w:val="20"/>
        <w:szCs w:val="20"/>
      </w:rPr>
      <w:t xml:space="preserve">Dirección: </w:t>
    </w:r>
    <w:r>
      <w:rPr>
        <w:rFonts w:ascii="Helvetica Rounded" w:hAnsi="Helvetica Rounded"/>
        <w:b/>
        <w:bCs/>
        <w:sz w:val="20"/>
        <w:szCs w:val="20"/>
      </w:rPr>
      <w:t xml:space="preserve">Av. </w:t>
    </w:r>
    <w:r w:rsidRPr="008144AC">
      <w:rPr>
        <w:rFonts w:ascii="Helvetica Rounded" w:hAnsi="Helvetica Rounded"/>
        <w:b/>
        <w:bCs/>
        <w:sz w:val="20"/>
        <w:szCs w:val="20"/>
      </w:rPr>
      <w:t>Calle 116 No.</w:t>
    </w:r>
    <w:r>
      <w:rPr>
        <w:rFonts w:ascii="Helvetica Rounded" w:hAnsi="Helvetica Rounded"/>
        <w:b/>
        <w:bCs/>
        <w:sz w:val="20"/>
        <w:szCs w:val="20"/>
      </w:rPr>
      <w:t xml:space="preserve"> </w:t>
    </w:r>
    <w:r w:rsidRPr="008144AC">
      <w:rPr>
        <w:rFonts w:ascii="Helvetica Rounded" w:hAnsi="Helvetica Rounded"/>
        <w:b/>
        <w:bCs/>
        <w:sz w:val="20"/>
        <w:szCs w:val="20"/>
      </w:rPr>
      <w:t>7 - 15, Bogotá D.C., Colombia</w:t>
    </w:r>
  </w:p>
  <w:p w14:paraId="787F86B3" w14:textId="77777777" w:rsidR="00162BBC" w:rsidRPr="008144AC" w:rsidRDefault="00162BBC" w:rsidP="00162BBC">
    <w:pPr>
      <w:spacing w:line="276" w:lineRule="auto"/>
      <w:jc w:val="both"/>
      <w:rPr>
        <w:rFonts w:ascii="Helvetica Rounded" w:hAnsi="Helvetica Rounded"/>
        <w:b/>
        <w:bCs/>
        <w:sz w:val="20"/>
        <w:szCs w:val="20"/>
      </w:rPr>
    </w:pPr>
    <w:r w:rsidRPr="008144AC">
      <w:rPr>
        <w:rFonts w:ascii="Helvetica Rounded" w:hAnsi="Helvetica Rounded"/>
        <w:b/>
        <w:bCs/>
        <w:sz w:val="20"/>
        <w:szCs w:val="20"/>
      </w:rPr>
      <w:t>Conmutador: (+57) 601 603 2020</w:t>
    </w:r>
  </w:p>
  <w:p w14:paraId="4F5F8C78" w14:textId="77777777" w:rsidR="00162BBC" w:rsidRDefault="00162BBC" w:rsidP="00162BBC">
    <w:pPr>
      <w:spacing w:line="276" w:lineRule="auto"/>
      <w:jc w:val="both"/>
    </w:pPr>
    <w:r w:rsidRPr="008144AC">
      <w:rPr>
        <w:rFonts w:ascii="Helvetica Rounded" w:hAnsi="Helvetica Rounded"/>
        <w:b/>
        <w:bCs/>
        <w:sz w:val="20"/>
        <w:szCs w:val="20"/>
      </w:rPr>
      <w:t>Línea Gratuita: (+57) 01 8000 512734</w:t>
    </w:r>
  </w:p>
  <w:p w14:paraId="7ECD45ED" w14:textId="2FAFFC18" w:rsidR="00735E1F" w:rsidRDefault="00735E1F" w:rsidP="00162B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BA48" w14:textId="77777777" w:rsidR="00162BBC" w:rsidRDefault="00162BBC" w:rsidP="00162BBC">
    <w:pPr>
      <w:pBdr>
        <w:bottom w:val="single" w:sz="12" w:space="1" w:color="auto"/>
      </w:pBdr>
      <w:spacing w:line="276" w:lineRule="auto"/>
      <w:jc w:val="both"/>
      <w:rPr>
        <w:b/>
        <w:bCs/>
        <w:sz w:val="20"/>
        <w:szCs w:val="20"/>
      </w:rPr>
    </w:pPr>
  </w:p>
  <w:p w14:paraId="51042729" w14:textId="77777777" w:rsidR="00162BBC" w:rsidRPr="008144AC" w:rsidRDefault="00162BBC" w:rsidP="00162BBC">
    <w:pPr>
      <w:spacing w:line="276" w:lineRule="auto"/>
      <w:jc w:val="both"/>
      <w:rPr>
        <w:rFonts w:ascii="Helvetica Rounded" w:hAnsi="Helvetica Rounded"/>
        <w:b/>
        <w:bCs/>
        <w:sz w:val="20"/>
        <w:szCs w:val="20"/>
      </w:rPr>
    </w:pPr>
    <w:r w:rsidRPr="008144AC">
      <w:rPr>
        <w:rFonts w:ascii="Helvetica Rounded" w:hAnsi="Helvetica Rounded"/>
        <w:b/>
        <w:bCs/>
        <w:sz w:val="20"/>
        <w:szCs w:val="20"/>
      </w:rPr>
      <w:t>Comisión de Regulación de Energía y Gas</w:t>
    </w:r>
  </w:p>
  <w:p w14:paraId="275F22EB" w14:textId="77777777" w:rsidR="00162BBC" w:rsidRPr="008144AC" w:rsidRDefault="00162BBC" w:rsidP="00162BBC">
    <w:pPr>
      <w:spacing w:line="276" w:lineRule="auto"/>
      <w:jc w:val="both"/>
      <w:rPr>
        <w:rFonts w:ascii="Helvetica Rounded" w:hAnsi="Helvetica Rounded"/>
        <w:b/>
        <w:bCs/>
        <w:sz w:val="20"/>
        <w:szCs w:val="20"/>
      </w:rPr>
    </w:pPr>
    <w:r w:rsidRPr="008144AC">
      <w:rPr>
        <w:rFonts w:ascii="Helvetica Rounded" w:hAnsi="Helvetica Rounded"/>
        <w:b/>
        <w:bCs/>
        <w:sz w:val="20"/>
        <w:szCs w:val="20"/>
      </w:rPr>
      <w:t xml:space="preserve">Dirección: </w:t>
    </w:r>
    <w:r>
      <w:rPr>
        <w:rFonts w:ascii="Helvetica Rounded" w:hAnsi="Helvetica Rounded"/>
        <w:b/>
        <w:bCs/>
        <w:sz w:val="20"/>
        <w:szCs w:val="20"/>
      </w:rPr>
      <w:t xml:space="preserve">Av. </w:t>
    </w:r>
    <w:r w:rsidRPr="008144AC">
      <w:rPr>
        <w:rFonts w:ascii="Helvetica Rounded" w:hAnsi="Helvetica Rounded"/>
        <w:b/>
        <w:bCs/>
        <w:sz w:val="20"/>
        <w:szCs w:val="20"/>
      </w:rPr>
      <w:t>Calle 116 No.</w:t>
    </w:r>
    <w:r>
      <w:rPr>
        <w:rFonts w:ascii="Helvetica Rounded" w:hAnsi="Helvetica Rounded"/>
        <w:b/>
        <w:bCs/>
        <w:sz w:val="20"/>
        <w:szCs w:val="20"/>
      </w:rPr>
      <w:t xml:space="preserve"> </w:t>
    </w:r>
    <w:r w:rsidRPr="008144AC">
      <w:rPr>
        <w:rFonts w:ascii="Helvetica Rounded" w:hAnsi="Helvetica Rounded"/>
        <w:b/>
        <w:bCs/>
        <w:sz w:val="20"/>
        <w:szCs w:val="20"/>
      </w:rPr>
      <w:t>7 - 15, Bogotá D.C., Colombia</w:t>
    </w:r>
  </w:p>
  <w:p w14:paraId="07CB4EBE" w14:textId="77777777" w:rsidR="00162BBC" w:rsidRPr="008144AC" w:rsidRDefault="00162BBC" w:rsidP="00162BBC">
    <w:pPr>
      <w:spacing w:line="276" w:lineRule="auto"/>
      <w:jc w:val="both"/>
      <w:rPr>
        <w:rFonts w:ascii="Helvetica Rounded" w:hAnsi="Helvetica Rounded"/>
        <w:b/>
        <w:bCs/>
        <w:sz w:val="20"/>
        <w:szCs w:val="20"/>
      </w:rPr>
    </w:pPr>
    <w:r w:rsidRPr="008144AC">
      <w:rPr>
        <w:rFonts w:ascii="Helvetica Rounded" w:hAnsi="Helvetica Rounded"/>
        <w:b/>
        <w:bCs/>
        <w:sz w:val="20"/>
        <w:szCs w:val="20"/>
      </w:rPr>
      <w:t>Conmutador: (+57) 601 603 2020</w:t>
    </w:r>
  </w:p>
  <w:p w14:paraId="68821222" w14:textId="14528D8D" w:rsidR="00A017FD" w:rsidRDefault="00162BBC" w:rsidP="00162BBC">
    <w:pPr>
      <w:spacing w:line="276" w:lineRule="auto"/>
      <w:jc w:val="both"/>
    </w:pPr>
    <w:r w:rsidRPr="008144AC">
      <w:rPr>
        <w:rFonts w:ascii="Helvetica Rounded" w:hAnsi="Helvetica Rounded"/>
        <w:b/>
        <w:bCs/>
        <w:sz w:val="20"/>
        <w:szCs w:val="20"/>
      </w:rPr>
      <w:t>Línea Gratuita: (+57) 01 8000 512734</w:t>
    </w:r>
  </w:p>
  <w:p w14:paraId="1EEC2A18" w14:textId="77777777" w:rsidR="00A017FD" w:rsidRDefault="00A017FD" w:rsidP="003F2F4B">
    <w:pPr>
      <w:pStyle w:val="Piedepgina"/>
      <w:jc w:val="center"/>
    </w:pPr>
  </w:p>
  <w:p w14:paraId="56CA8266" w14:textId="77777777" w:rsidR="00A017FD" w:rsidRDefault="00A017FD" w:rsidP="003F2F4B">
    <w:pPr>
      <w:pStyle w:val="Piedepgina"/>
      <w:jc w:val="center"/>
    </w:pPr>
  </w:p>
  <w:p w14:paraId="5002DCCF" w14:textId="4BF34D5A" w:rsidR="003F2F4B" w:rsidRDefault="003F2F4B" w:rsidP="003F2F4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23FA" w14:textId="77777777" w:rsidR="00494A6E" w:rsidRDefault="00494A6E" w:rsidP="00AA0519">
      <w:r>
        <w:separator/>
      </w:r>
    </w:p>
  </w:footnote>
  <w:footnote w:type="continuationSeparator" w:id="0">
    <w:p w14:paraId="23C3D85D" w14:textId="77777777" w:rsidR="00494A6E" w:rsidRDefault="00494A6E" w:rsidP="00AA0519">
      <w:r>
        <w:continuationSeparator/>
      </w:r>
    </w:p>
  </w:footnote>
  <w:footnote w:id="1">
    <w:p w14:paraId="0C01B6EC" w14:textId="77777777" w:rsidR="00B33476" w:rsidRPr="00E7675C" w:rsidRDefault="00B33476" w:rsidP="00B33476">
      <w:pPr>
        <w:pStyle w:val="Textonotapie"/>
        <w:rPr>
          <w:sz w:val="16"/>
          <w:szCs w:val="16"/>
        </w:rPr>
      </w:pPr>
      <w:r w:rsidRPr="00E7675C">
        <w:rPr>
          <w:rStyle w:val="Refdenotaalpie"/>
          <w:sz w:val="16"/>
          <w:szCs w:val="16"/>
        </w:rPr>
        <w:footnoteRef/>
      </w:r>
      <w:r w:rsidRPr="00E7675C">
        <w:rPr>
          <w:sz w:val="16"/>
          <w:szCs w:val="16"/>
        </w:rPr>
        <w:t xml:space="preserve"> Literal b) del Numeral 6.1 del Artículo 6 de la Resolución CREG 202 de 2013 y el Numeral 19.1 del Artículo 19 de la Resolución CREG 102 003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CFF5" w14:textId="13710CC4" w:rsidR="00AA0519" w:rsidRDefault="00162BBC">
    <w:pPr>
      <w:pStyle w:val="Encabezado"/>
    </w:pPr>
    <w:r>
      <w:rPr>
        <w:noProof/>
      </w:rPr>
      <w:drawing>
        <wp:anchor distT="0" distB="0" distL="114300" distR="114300" simplePos="0" relativeHeight="251664384" behindDoc="0" locked="0" layoutInCell="1" allowOverlap="1" wp14:anchorId="7C3B8BE1" wp14:editId="0219B7E2">
          <wp:simplePos x="0" y="0"/>
          <wp:positionH relativeFrom="margin">
            <wp:align>right</wp:align>
          </wp:positionH>
          <wp:positionV relativeFrom="topMargin">
            <wp:posOffset>172720</wp:posOffset>
          </wp:positionV>
          <wp:extent cx="1125220" cy="567055"/>
          <wp:effectExtent l="0" t="0" r="0" b="4445"/>
          <wp:wrapSquare wrapText="bothSides"/>
          <wp:docPr id="1625087560" name="Imagen 162508756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1C377564" wp14:editId="7C8526D8">
          <wp:simplePos x="0" y="0"/>
          <wp:positionH relativeFrom="margin">
            <wp:posOffset>0</wp:posOffset>
          </wp:positionH>
          <wp:positionV relativeFrom="margin">
            <wp:posOffset>-665480</wp:posOffset>
          </wp:positionV>
          <wp:extent cx="1366520" cy="474980"/>
          <wp:effectExtent l="0" t="0" r="5080" b="1270"/>
          <wp:wrapSquare wrapText="bothSides"/>
          <wp:docPr id="1812221616" name="Imagen 1812221616"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p>
  <w:p w14:paraId="1E69D29B" w14:textId="77777777" w:rsidR="00AA0519" w:rsidRDefault="00AA05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D5CF" w14:textId="40FCAEC6" w:rsidR="003F2F4B" w:rsidRDefault="00162BBC" w:rsidP="003F2F4B">
    <w:pPr>
      <w:pStyle w:val="Encabezado"/>
    </w:pPr>
    <w:r>
      <w:rPr>
        <w:noProof/>
      </w:rPr>
      <w:drawing>
        <wp:anchor distT="0" distB="0" distL="114300" distR="114300" simplePos="0" relativeHeight="251661312" behindDoc="0" locked="0" layoutInCell="1" allowOverlap="1" wp14:anchorId="0D34734C" wp14:editId="38C9AA9D">
          <wp:simplePos x="0" y="0"/>
          <wp:positionH relativeFrom="margin">
            <wp:align>right</wp:align>
          </wp:positionH>
          <wp:positionV relativeFrom="topMargin">
            <wp:posOffset>221615</wp:posOffset>
          </wp:positionV>
          <wp:extent cx="1125220" cy="567055"/>
          <wp:effectExtent l="0" t="0" r="0" b="4445"/>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25220" cy="5670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AEAFCAE" wp14:editId="6465AE2A">
          <wp:simplePos x="0" y="0"/>
          <wp:positionH relativeFrom="margin">
            <wp:align>left</wp:align>
          </wp:positionH>
          <wp:positionV relativeFrom="margin">
            <wp:posOffset>-1055370</wp:posOffset>
          </wp:positionV>
          <wp:extent cx="1366520" cy="474980"/>
          <wp:effectExtent l="0" t="0" r="5080" b="127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366520" cy="474980"/>
                  </a:xfrm>
                  <a:prstGeom prst="rect">
                    <a:avLst/>
                  </a:prstGeom>
                </pic:spPr>
              </pic:pic>
            </a:graphicData>
          </a:graphic>
          <wp14:sizeRelH relativeFrom="margin">
            <wp14:pctWidth>0</wp14:pctWidth>
          </wp14:sizeRelH>
          <wp14:sizeRelV relativeFrom="margin">
            <wp14:pctHeight>0</wp14:pctHeight>
          </wp14:sizeRelV>
        </wp:anchor>
      </w:drawing>
    </w:r>
  </w:p>
  <w:p w14:paraId="5C9D4069" w14:textId="7F865208" w:rsidR="003F2F4B" w:rsidRDefault="003F2F4B" w:rsidP="003F2F4B">
    <w:pPr>
      <w:pStyle w:val="Encabezado"/>
    </w:pPr>
  </w:p>
  <w:p w14:paraId="17BCF0A9" w14:textId="77777777" w:rsidR="003F2F4B" w:rsidRDefault="003F2F4B" w:rsidP="003F2F4B">
    <w:pPr>
      <w:pStyle w:val="Encabezado"/>
    </w:pPr>
  </w:p>
  <w:p w14:paraId="07F4F1F5" w14:textId="77777777" w:rsidR="00A017FD" w:rsidRDefault="00A017FD" w:rsidP="003F2F4B">
    <w:pPr>
      <w:pStyle w:val="Encabezado"/>
    </w:pPr>
  </w:p>
  <w:p w14:paraId="7555712A" w14:textId="77777777" w:rsidR="00A017FD" w:rsidRDefault="00A017FD" w:rsidP="003F2F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1B06"/>
    <w:multiLevelType w:val="multilevel"/>
    <w:tmpl w:val="2286C1B2"/>
    <w:lvl w:ilvl="0">
      <w:start w:val="1"/>
      <w:numFmt w:val="decimal"/>
      <w:lvlText w:val="%1."/>
      <w:lvlJc w:val="left"/>
      <w:pPr>
        <w:ind w:left="360" w:hanging="360"/>
      </w:pPr>
    </w:lvl>
    <w:lvl w:ilvl="1">
      <w:start w:val="1"/>
      <w:numFmt w:val="decimal"/>
      <w:lvlText w:val="%1.%2."/>
      <w:lvlJc w:val="left"/>
      <w:pPr>
        <w:ind w:left="792" w:hanging="432"/>
      </w:pPr>
      <w:rPr>
        <w:rFonts w:ascii="Helvetica" w:hAnsi="Helvetica" w:cs="Helvetica"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F4392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0464426">
    <w:abstractNumId w:val="0"/>
  </w:num>
  <w:num w:numId="2" w16cid:durableId="903375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33576"/>
    <w:rsid w:val="00106923"/>
    <w:rsid w:val="0013581C"/>
    <w:rsid w:val="00162BBC"/>
    <w:rsid w:val="001722F3"/>
    <w:rsid w:val="00310E18"/>
    <w:rsid w:val="0036566D"/>
    <w:rsid w:val="003C5972"/>
    <w:rsid w:val="003C7E1C"/>
    <w:rsid w:val="003F2F4B"/>
    <w:rsid w:val="00413ED4"/>
    <w:rsid w:val="00466B70"/>
    <w:rsid w:val="00494A6E"/>
    <w:rsid w:val="004A75D1"/>
    <w:rsid w:val="005B38E7"/>
    <w:rsid w:val="005C3A9B"/>
    <w:rsid w:val="005E47DE"/>
    <w:rsid w:val="006378F9"/>
    <w:rsid w:val="0065448E"/>
    <w:rsid w:val="006B770B"/>
    <w:rsid w:val="006C5968"/>
    <w:rsid w:val="00724A70"/>
    <w:rsid w:val="00735E1F"/>
    <w:rsid w:val="007832E1"/>
    <w:rsid w:val="007E16DF"/>
    <w:rsid w:val="00816448"/>
    <w:rsid w:val="008B2567"/>
    <w:rsid w:val="00903C18"/>
    <w:rsid w:val="009A3312"/>
    <w:rsid w:val="009A3617"/>
    <w:rsid w:val="009F293F"/>
    <w:rsid w:val="00A017FD"/>
    <w:rsid w:val="00A15CDD"/>
    <w:rsid w:val="00A36C84"/>
    <w:rsid w:val="00A454CE"/>
    <w:rsid w:val="00A67475"/>
    <w:rsid w:val="00AA0519"/>
    <w:rsid w:val="00B038A8"/>
    <w:rsid w:val="00B33476"/>
    <w:rsid w:val="00B55355"/>
    <w:rsid w:val="00C104A4"/>
    <w:rsid w:val="00C51B40"/>
    <w:rsid w:val="00CB572C"/>
    <w:rsid w:val="00E17CF0"/>
    <w:rsid w:val="00E80275"/>
    <w:rsid w:val="00ED211B"/>
    <w:rsid w:val="00F751B1"/>
    <w:rsid w:val="00FA7C51"/>
    <w:rsid w:val="00FD2A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A5DA5"/>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1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454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Textoindependiente"/>
    <w:link w:val="Ttulo5Car"/>
    <w:semiHidden/>
    <w:unhideWhenUsed/>
    <w:qFormat/>
    <w:rsid w:val="007E16DF"/>
    <w:pPr>
      <w:keepNext/>
      <w:keepLines/>
      <w:spacing w:line="220" w:lineRule="atLeast"/>
      <w:ind w:left="720"/>
      <w:jc w:val="both"/>
      <w:outlineLvl w:val="4"/>
    </w:pPr>
    <w:rPr>
      <w:rFonts w:ascii="Arial Black" w:eastAsia="Times New Roman" w:hAnsi="Arial Black" w:cs="Times New Roman"/>
      <w:spacing w:val="-5"/>
      <w:kern w:val="20"/>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lang w:val="es-CO"/>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AA0519"/>
    <w:pPr>
      <w:tabs>
        <w:tab w:val="center" w:pos="4419"/>
        <w:tab w:val="right" w:pos="8838"/>
      </w:tabs>
    </w:pPr>
  </w:style>
  <w:style w:type="character" w:customStyle="1" w:styleId="PiedepginaCar">
    <w:name w:val="Pie de página Car"/>
    <w:basedOn w:val="Fuentedeprrafopredeter"/>
    <w:link w:val="Piedepgina"/>
    <w:uiPriority w:val="99"/>
    <w:rsid w:val="00AA0519"/>
    <w:rPr>
      <w:rFonts w:eastAsiaTheme="minorEastAsia"/>
      <w:sz w:val="24"/>
      <w:szCs w:val="24"/>
      <w:lang w:val="es-ES_tradnl"/>
    </w:rPr>
  </w:style>
  <w:style w:type="character" w:customStyle="1" w:styleId="Ttulo5Car">
    <w:name w:val="Título 5 Car"/>
    <w:basedOn w:val="Fuentedeprrafopredeter"/>
    <w:link w:val="Ttulo5"/>
    <w:semiHidden/>
    <w:rsid w:val="007E16DF"/>
    <w:rPr>
      <w:rFonts w:ascii="Arial Black" w:eastAsia="Times New Roman" w:hAnsi="Arial Black" w:cs="Times New Roman"/>
      <w:spacing w:val="-5"/>
      <w:kern w:val="20"/>
      <w:sz w:val="18"/>
      <w:szCs w:val="20"/>
    </w:rPr>
  </w:style>
  <w:style w:type="paragraph" w:styleId="Sangradetextonormal">
    <w:name w:val="Body Text Indent"/>
    <w:basedOn w:val="Normal"/>
    <w:link w:val="SangradetextonormalCar"/>
    <w:uiPriority w:val="99"/>
    <w:semiHidden/>
    <w:unhideWhenUsed/>
    <w:rsid w:val="007E16DF"/>
    <w:pPr>
      <w:spacing w:after="120"/>
      <w:ind w:left="283"/>
    </w:pPr>
  </w:style>
  <w:style w:type="character" w:customStyle="1" w:styleId="SangradetextonormalCar">
    <w:name w:val="Sangría de texto normal Car"/>
    <w:basedOn w:val="Fuentedeprrafopredeter"/>
    <w:link w:val="Sangradetextonormal"/>
    <w:uiPriority w:val="99"/>
    <w:semiHidden/>
    <w:rsid w:val="007E16DF"/>
    <w:rPr>
      <w:rFonts w:eastAsiaTheme="minorEastAsia"/>
      <w:sz w:val="24"/>
      <w:szCs w:val="24"/>
      <w:lang w:val="es-ES_tradnl"/>
    </w:rPr>
  </w:style>
  <w:style w:type="character" w:customStyle="1" w:styleId="Ttulo1Car">
    <w:name w:val="Título 1 Car"/>
    <w:basedOn w:val="Fuentedeprrafopredeter"/>
    <w:link w:val="Ttulo1"/>
    <w:uiPriority w:val="9"/>
    <w:rsid w:val="00A454CE"/>
    <w:rPr>
      <w:rFonts w:asciiTheme="majorHAnsi" w:eastAsiaTheme="majorEastAsia" w:hAnsiTheme="majorHAnsi" w:cstheme="majorBidi"/>
      <w:color w:val="2E74B5" w:themeColor="accent1" w:themeShade="BF"/>
      <w:sz w:val="32"/>
      <w:szCs w:val="32"/>
      <w:lang w:val="es-ES_tradnl"/>
    </w:rPr>
  </w:style>
  <w:style w:type="paragraph" w:styleId="Textonotapie">
    <w:name w:val="footnote text"/>
    <w:basedOn w:val="Normal"/>
    <w:link w:val="TextonotapieCar"/>
    <w:uiPriority w:val="99"/>
    <w:semiHidden/>
    <w:unhideWhenUsed/>
    <w:rsid w:val="006B770B"/>
    <w:rPr>
      <w:rFonts w:ascii="Helvetica" w:eastAsia="Calibri" w:hAnsi="Helvetica"/>
      <w:kern w:val="2"/>
      <w:sz w:val="20"/>
      <w:szCs w:val="20"/>
      <w:lang w:val="es-CO"/>
      <w14:ligatures w14:val="standardContextual"/>
    </w:rPr>
  </w:style>
  <w:style w:type="character" w:customStyle="1" w:styleId="TextonotapieCar">
    <w:name w:val="Texto nota pie Car"/>
    <w:basedOn w:val="Fuentedeprrafopredeter"/>
    <w:link w:val="Textonotapie"/>
    <w:uiPriority w:val="99"/>
    <w:semiHidden/>
    <w:rsid w:val="006B770B"/>
    <w:rPr>
      <w:rFonts w:ascii="Helvetica" w:eastAsia="Calibri" w:hAnsi="Helvetica"/>
      <w:kern w:val="2"/>
      <w:sz w:val="20"/>
      <w:szCs w:val="20"/>
      <w14:ligatures w14:val="standardContextual"/>
    </w:rPr>
  </w:style>
  <w:style w:type="character" w:styleId="Refdenotaalpie">
    <w:name w:val="footnote reference"/>
    <w:basedOn w:val="Fuentedeprrafopredeter"/>
    <w:uiPriority w:val="99"/>
    <w:semiHidden/>
    <w:unhideWhenUsed/>
    <w:rsid w:val="006B770B"/>
    <w:rPr>
      <w:vertAlign w:val="superscript"/>
    </w:rPr>
  </w:style>
  <w:style w:type="table" w:styleId="Tablaconcuadrcula">
    <w:name w:val="Table Grid"/>
    <w:basedOn w:val="Tablanormal"/>
    <w:uiPriority w:val="39"/>
    <w:rsid w:val="006B770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7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as.es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3041B-2558-431D-BAE0-4C49D72D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1350</Words>
  <Characters>7429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Santamaria Daza</dc:creator>
  <cp:keywords/>
  <dc:description/>
  <cp:lastModifiedBy>Diana Patino</cp:lastModifiedBy>
  <cp:revision>4</cp:revision>
  <cp:lastPrinted>2023-10-31T15:36:00Z</cp:lastPrinted>
  <dcterms:created xsi:type="dcterms:W3CDTF">2023-10-12T19:24:00Z</dcterms:created>
  <dcterms:modified xsi:type="dcterms:W3CDTF">2023-10-31T15:39:00Z</dcterms:modified>
</cp:coreProperties>
</file>