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43EEB" w14:textId="77777777" w:rsidR="00625DC6" w:rsidRPr="00BC77F6" w:rsidRDefault="003D49BA" w:rsidP="003D49BA">
      <w:pPr>
        <w:pStyle w:val="Ttulo4"/>
        <w:tabs>
          <w:tab w:val="left" w:pos="0"/>
          <w:tab w:val="right" w:pos="9356"/>
        </w:tabs>
        <w:ind w:left="0"/>
        <w:jc w:val="left"/>
        <w:rPr>
          <w:rFonts w:ascii="Bookman Old Style" w:hAnsi="Bookman Old Style"/>
          <w:b w:val="0"/>
          <w:bCs/>
          <w:sz w:val="24"/>
          <w:szCs w:val="24"/>
        </w:rPr>
      </w:pPr>
      <w:r>
        <w:rPr>
          <w:rFonts w:ascii="Bookman Old Style" w:hAnsi="Bookman Old Style"/>
          <w:b w:val="0"/>
          <w:bCs/>
          <w:sz w:val="24"/>
          <w:szCs w:val="24"/>
        </w:rPr>
        <w:object w:dxaOrig="1440" w:dyaOrig="1440" w14:anchorId="22F2C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5.6pt;margin-top:-49.15pt;width:38.9pt;height:39.05pt;z-index:251658240" fillcolor="#0c9">
            <v:imagedata r:id="rId11" o:title=""/>
          </v:shape>
          <o:OLEObject Type="Embed" ProgID="PBrush" ShapeID="_x0000_s2050" DrawAspect="Content" ObjectID="_1758350651" r:id="rId12"/>
        </w:object>
      </w:r>
    </w:p>
    <w:p w14:paraId="05D4A61F" w14:textId="77777777" w:rsidR="00CA77FB" w:rsidRPr="0024494C" w:rsidRDefault="00CA77FB" w:rsidP="000E5253">
      <w:pPr>
        <w:pStyle w:val="Ttulo4"/>
        <w:tabs>
          <w:tab w:val="left" w:pos="0"/>
          <w:tab w:val="right" w:pos="9356"/>
        </w:tabs>
        <w:ind w:left="0"/>
        <w:rPr>
          <w:rFonts w:ascii="Bookman Old Style" w:hAnsi="Bookman Old Style"/>
          <w:b w:val="0"/>
          <w:bCs/>
          <w:noProof/>
          <w:sz w:val="24"/>
          <w:szCs w:val="24"/>
          <w:lang w:val="es-ES"/>
        </w:rPr>
      </w:pPr>
      <w:r w:rsidRPr="0024494C">
        <w:rPr>
          <w:rFonts w:ascii="Bookman Old Style" w:hAnsi="Bookman Old Style"/>
          <w:b w:val="0"/>
          <w:bCs/>
          <w:sz w:val="24"/>
          <w:szCs w:val="24"/>
        </w:rPr>
        <w:t>Ministerio de Minas y Energía</w:t>
      </w:r>
    </w:p>
    <w:p w14:paraId="49F599ED" w14:textId="77777777" w:rsidR="00CA77FB" w:rsidRPr="0024494C" w:rsidRDefault="00CA77FB" w:rsidP="000E5253">
      <w:pPr>
        <w:pStyle w:val="Ttulo4"/>
        <w:tabs>
          <w:tab w:val="left" w:pos="0"/>
          <w:tab w:val="right" w:pos="9356"/>
        </w:tabs>
        <w:ind w:left="0"/>
        <w:rPr>
          <w:rFonts w:ascii="Bookman Old Style" w:hAnsi="Bookman Old Style"/>
          <w:b w:val="0"/>
          <w:bCs/>
          <w:sz w:val="24"/>
          <w:szCs w:val="24"/>
        </w:rPr>
      </w:pPr>
    </w:p>
    <w:p w14:paraId="6E1EE872" w14:textId="6E8235B3" w:rsidR="00CA77FB" w:rsidRPr="0024494C" w:rsidRDefault="00CA77FB" w:rsidP="000E5253">
      <w:pPr>
        <w:pStyle w:val="Ttulo3"/>
        <w:tabs>
          <w:tab w:val="left" w:pos="0"/>
          <w:tab w:val="right" w:pos="9356"/>
        </w:tabs>
        <w:ind w:left="0"/>
        <w:rPr>
          <w:rFonts w:ascii="Bookman Old Style" w:hAnsi="Bookman Old Style" w:cs="Arial"/>
          <w:spacing w:val="20"/>
          <w:szCs w:val="24"/>
        </w:rPr>
      </w:pPr>
      <w:r w:rsidRPr="0024494C">
        <w:rPr>
          <w:rFonts w:ascii="Bookman Old Style" w:hAnsi="Bookman Old Style" w:cs="Arial"/>
          <w:spacing w:val="20"/>
          <w:szCs w:val="24"/>
        </w:rPr>
        <w:t>COMISIÓN DE REGULACIÓN DE ENERGÍA Y GAS</w:t>
      </w:r>
    </w:p>
    <w:p w14:paraId="7FEA7C5F" w14:textId="77777777" w:rsidR="00794A58" w:rsidRPr="00794A58" w:rsidRDefault="00794A58" w:rsidP="003D49BA">
      <w:pPr>
        <w:ind w:left="0"/>
        <w:rPr>
          <w:lang w:val="es-ES_tradnl"/>
        </w:rPr>
      </w:pPr>
    </w:p>
    <w:p w14:paraId="58AD5DA4" w14:textId="46AC413D" w:rsidR="00CA77FB" w:rsidRPr="0024494C" w:rsidRDefault="00E44E72" w:rsidP="000E5253">
      <w:pPr>
        <w:pStyle w:val="Ttulo3"/>
        <w:tabs>
          <w:tab w:val="left" w:pos="0"/>
          <w:tab w:val="right" w:pos="9356"/>
        </w:tabs>
        <w:ind w:left="0"/>
        <w:rPr>
          <w:rFonts w:ascii="Bookman Old Style" w:hAnsi="Bookman Old Style" w:cs="Arial"/>
          <w:spacing w:val="20"/>
          <w:szCs w:val="24"/>
        </w:rPr>
      </w:pPr>
      <w:r w:rsidRPr="0024494C">
        <w:rPr>
          <w:rFonts w:ascii="Bookman Old Style" w:hAnsi="Bookman Old Style" w:cs="Arial"/>
          <w:spacing w:val="20"/>
          <w:szCs w:val="24"/>
        </w:rPr>
        <w:t xml:space="preserve">PROYECTO DE </w:t>
      </w:r>
      <w:r w:rsidR="00CA77FB" w:rsidRPr="0024494C">
        <w:rPr>
          <w:rFonts w:ascii="Bookman Old Style" w:hAnsi="Bookman Old Style" w:cs="Arial"/>
          <w:spacing w:val="20"/>
          <w:szCs w:val="24"/>
        </w:rPr>
        <w:t>RESOLUCIÓN N</w:t>
      </w:r>
      <w:r w:rsidR="00591856" w:rsidRPr="007E04D7">
        <w:rPr>
          <w:rFonts w:ascii="Bookman Old Style" w:hAnsi="Bookman Old Style" w:cs="Arial"/>
          <w:color w:val="auto"/>
          <w:spacing w:val="20"/>
          <w:szCs w:val="24"/>
        </w:rPr>
        <w:t xml:space="preserve">° </w:t>
      </w:r>
      <w:r w:rsidR="00727915" w:rsidRPr="003D49BA">
        <w:rPr>
          <w:rFonts w:ascii="Bookman Old Style" w:hAnsi="Bookman Old Style" w:cs="Arial"/>
          <w:color w:val="auto"/>
          <w:spacing w:val="20"/>
          <w:sz w:val="32"/>
          <w:szCs w:val="32"/>
        </w:rPr>
        <w:t>7</w:t>
      </w:r>
      <w:r w:rsidR="007E04D7" w:rsidRPr="003D49BA">
        <w:rPr>
          <w:rFonts w:ascii="Bookman Old Style" w:hAnsi="Bookman Old Style" w:cs="Arial"/>
          <w:color w:val="auto"/>
          <w:spacing w:val="20"/>
          <w:sz w:val="32"/>
          <w:szCs w:val="32"/>
        </w:rPr>
        <w:t xml:space="preserve">05 </w:t>
      </w:r>
      <w:r w:rsidR="00232159" w:rsidRPr="003D49BA">
        <w:rPr>
          <w:rFonts w:ascii="Bookman Old Style" w:hAnsi="Bookman Old Style" w:cs="Arial"/>
          <w:color w:val="auto"/>
          <w:spacing w:val="20"/>
          <w:sz w:val="32"/>
          <w:szCs w:val="32"/>
        </w:rPr>
        <w:t>0</w:t>
      </w:r>
      <w:r w:rsidR="001D0CCC" w:rsidRPr="003D49BA">
        <w:rPr>
          <w:rFonts w:ascii="Bookman Old Style" w:hAnsi="Bookman Old Style" w:cs="Arial"/>
          <w:color w:val="auto"/>
          <w:spacing w:val="20"/>
          <w:sz w:val="32"/>
          <w:szCs w:val="32"/>
        </w:rPr>
        <w:t>0</w:t>
      </w:r>
      <w:r w:rsidR="007E04D7" w:rsidRPr="003D49BA">
        <w:rPr>
          <w:rFonts w:ascii="Bookman Old Style" w:hAnsi="Bookman Old Style" w:cs="Arial"/>
          <w:color w:val="auto"/>
          <w:spacing w:val="20"/>
          <w:sz w:val="32"/>
          <w:szCs w:val="32"/>
        </w:rPr>
        <w:t>4</w:t>
      </w:r>
      <w:r w:rsidR="00093AE3" w:rsidRPr="0024494C">
        <w:rPr>
          <w:rFonts w:ascii="Bookman Old Style" w:hAnsi="Bookman Old Style" w:cs="Arial"/>
          <w:spacing w:val="20"/>
          <w:szCs w:val="24"/>
        </w:rPr>
        <w:t xml:space="preserve"> </w:t>
      </w:r>
    </w:p>
    <w:p w14:paraId="0DEE40C3" w14:textId="77777777" w:rsidR="00CA77FB" w:rsidRPr="0024494C" w:rsidRDefault="00CA77FB" w:rsidP="000E5253">
      <w:pPr>
        <w:tabs>
          <w:tab w:val="left" w:pos="0"/>
          <w:tab w:val="right" w:pos="9356"/>
        </w:tabs>
        <w:ind w:left="0"/>
        <w:jc w:val="center"/>
        <w:rPr>
          <w:rFonts w:ascii="Bookman Old Style" w:hAnsi="Bookman Old Style" w:cs="Arial"/>
          <w:b/>
          <w:snapToGrid w:val="0"/>
          <w:color w:val="000000"/>
          <w:lang w:val="es-ES_tradnl"/>
        </w:rPr>
      </w:pPr>
    </w:p>
    <w:p w14:paraId="46D45ACC" w14:textId="6B545FA8" w:rsidR="00CA77FB" w:rsidRPr="003D49BA" w:rsidRDefault="00CA77FB" w:rsidP="003D49BA">
      <w:pPr>
        <w:pStyle w:val="Ttulo3"/>
        <w:tabs>
          <w:tab w:val="left" w:pos="0"/>
          <w:tab w:val="right" w:pos="9356"/>
        </w:tabs>
        <w:ind w:left="0"/>
        <w:rPr>
          <w:rFonts w:ascii="Bookman Old Style" w:hAnsi="Bookman Old Style"/>
          <w:b w:val="0"/>
          <w:sz w:val="28"/>
          <w:szCs w:val="28"/>
        </w:rPr>
      </w:pPr>
      <w:r w:rsidRPr="00363C41">
        <w:rPr>
          <w:rFonts w:ascii="Bookman Old Style" w:hAnsi="Bookman Old Style"/>
          <w:b w:val="0"/>
          <w:sz w:val="28"/>
          <w:szCs w:val="28"/>
        </w:rPr>
        <w:t>(</w:t>
      </w:r>
      <w:r w:rsidR="008B3088" w:rsidRPr="00363C41">
        <w:rPr>
          <w:rFonts w:ascii="Bookman Old Style" w:hAnsi="Bookman Old Style"/>
          <w:bCs/>
          <w:color w:val="auto"/>
          <w:sz w:val="28"/>
          <w:szCs w:val="28"/>
        </w:rPr>
        <w:t>22 SEP. 2023</w:t>
      </w:r>
      <w:r w:rsidRPr="00363C41">
        <w:rPr>
          <w:rFonts w:ascii="Bookman Old Style" w:hAnsi="Bookman Old Style"/>
          <w:b w:val="0"/>
          <w:sz w:val="28"/>
          <w:szCs w:val="28"/>
        </w:rPr>
        <w:t>)</w:t>
      </w:r>
    </w:p>
    <w:p w14:paraId="0AEB051C" w14:textId="77777777" w:rsidR="001E4A38" w:rsidRPr="0024494C" w:rsidRDefault="001E4A38" w:rsidP="000E5253">
      <w:pPr>
        <w:ind w:left="0"/>
        <w:jc w:val="center"/>
        <w:rPr>
          <w:rFonts w:ascii="Bookman Old Style" w:hAnsi="Bookman Old Style"/>
        </w:rPr>
      </w:pPr>
    </w:p>
    <w:p w14:paraId="77C87D2B" w14:textId="0AFEE19E" w:rsidR="002D54FD" w:rsidRPr="0024494C" w:rsidRDefault="00931A20" w:rsidP="000E5253">
      <w:pPr>
        <w:ind w:left="0"/>
        <w:jc w:val="both"/>
        <w:rPr>
          <w:rFonts w:ascii="Bookman Old Style" w:hAnsi="Bookman Old Style"/>
        </w:rPr>
      </w:pPr>
      <w:r w:rsidRPr="00827C23">
        <w:rPr>
          <w:rFonts w:ascii="Bookman Old Style" w:hAnsi="Bookman Old Style"/>
        </w:rPr>
        <w:t>La Comisión de Regulación de Energía y Gas</w:t>
      </w:r>
      <w:r w:rsidR="00CB0FE8" w:rsidRPr="00827C23">
        <w:rPr>
          <w:rFonts w:ascii="Bookman Old Style" w:hAnsi="Bookman Old Style"/>
        </w:rPr>
        <w:t>,</w:t>
      </w:r>
      <w:r w:rsidRPr="00827C23">
        <w:rPr>
          <w:rFonts w:ascii="Bookman Old Style" w:hAnsi="Bookman Old Style"/>
        </w:rPr>
        <w:t xml:space="preserve"> CREG</w:t>
      </w:r>
      <w:r w:rsidR="002D54FD" w:rsidRPr="00827C23">
        <w:rPr>
          <w:rFonts w:ascii="Bookman Old Style" w:hAnsi="Bookman Old Style"/>
        </w:rPr>
        <w:t>, en su sesión No.</w:t>
      </w:r>
      <w:r w:rsidR="00F061B1" w:rsidRPr="00827C23">
        <w:rPr>
          <w:rFonts w:ascii="Bookman Old Style" w:hAnsi="Bookman Old Style"/>
        </w:rPr>
        <w:t xml:space="preserve"> </w:t>
      </w:r>
      <w:r w:rsidR="004F648A" w:rsidRPr="00827C23">
        <w:rPr>
          <w:rFonts w:ascii="Bookman Old Style" w:hAnsi="Bookman Old Style"/>
        </w:rPr>
        <w:t>12</w:t>
      </w:r>
      <w:r w:rsidR="00CB0FE8" w:rsidRPr="00827C23">
        <w:rPr>
          <w:rFonts w:ascii="Bookman Old Style" w:hAnsi="Bookman Old Style"/>
        </w:rPr>
        <w:t>88</w:t>
      </w:r>
      <w:r w:rsidR="002D54FD" w:rsidRPr="00827C23">
        <w:rPr>
          <w:rFonts w:ascii="Bookman Old Style" w:hAnsi="Bookman Old Style"/>
        </w:rPr>
        <w:t xml:space="preserve"> del </w:t>
      </w:r>
      <w:r w:rsidR="00CB0FE8" w:rsidRPr="00827C23">
        <w:rPr>
          <w:rFonts w:ascii="Bookman Old Style" w:hAnsi="Bookman Old Style"/>
        </w:rPr>
        <w:t>22</w:t>
      </w:r>
      <w:r w:rsidR="00D43976" w:rsidRPr="00827C23">
        <w:rPr>
          <w:rFonts w:ascii="Bookman Old Style" w:hAnsi="Bookman Old Style"/>
        </w:rPr>
        <w:t xml:space="preserve"> </w:t>
      </w:r>
      <w:r w:rsidR="00320D87" w:rsidRPr="00827C23">
        <w:rPr>
          <w:rFonts w:ascii="Bookman Old Style" w:hAnsi="Bookman Old Style"/>
        </w:rPr>
        <w:t>de</w:t>
      </w:r>
      <w:r w:rsidR="001D62CA" w:rsidRPr="00827C23">
        <w:rPr>
          <w:rFonts w:ascii="Bookman Old Style" w:hAnsi="Bookman Old Style"/>
        </w:rPr>
        <w:t xml:space="preserve"> </w:t>
      </w:r>
      <w:r w:rsidR="006D611D" w:rsidRPr="00827C23">
        <w:rPr>
          <w:rFonts w:ascii="Bookman Old Style" w:hAnsi="Bookman Old Style"/>
        </w:rPr>
        <w:t>septiembre</w:t>
      </w:r>
      <w:r w:rsidR="00320D87" w:rsidRPr="00827C23">
        <w:rPr>
          <w:rFonts w:ascii="Bookman Old Style" w:hAnsi="Bookman Old Style"/>
        </w:rPr>
        <w:t xml:space="preserve"> </w:t>
      </w:r>
      <w:r w:rsidR="002D54FD" w:rsidRPr="00827C23">
        <w:rPr>
          <w:rFonts w:ascii="Bookman Old Style" w:hAnsi="Bookman Old Style"/>
        </w:rPr>
        <w:t>de</w:t>
      </w:r>
      <w:r w:rsidR="00320D87" w:rsidRPr="00827C23">
        <w:rPr>
          <w:rFonts w:ascii="Bookman Old Style" w:hAnsi="Bookman Old Style"/>
        </w:rPr>
        <w:t>l</w:t>
      </w:r>
      <w:r w:rsidR="002D54FD" w:rsidRPr="00827C23">
        <w:rPr>
          <w:rFonts w:ascii="Bookman Old Style" w:hAnsi="Bookman Old Style"/>
        </w:rPr>
        <w:t xml:space="preserve"> 202</w:t>
      </w:r>
      <w:r w:rsidR="004A3999" w:rsidRPr="00827C23">
        <w:rPr>
          <w:rFonts w:ascii="Bookman Old Style" w:hAnsi="Bookman Old Style"/>
        </w:rPr>
        <w:t>3</w:t>
      </w:r>
      <w:r w:rsidR="002D54FD" w:rsidRPr="00827C23">
        <w:rPr>
          <w:rFonts w:ascii="Bookman Old Style" w:hAnsi="Bookman Old Style"/>
        </w:rPr>
        <w:t xml:space="preserve">, </w:t>
      </w:r>
      <w:r w:rsidR="002D54FD" w:rsidRPr="0024494C">
        <w:rPr>
          <w:rFonts w:ascii="Bookman Old Style" w:hAnsi="Bookman Old Style"/>
        </w:rPr>
        <w:t xml:space="preserve">aprobó someter a consulta pública el presente proyecto de resolución por el término de </w:t>
      </w:r>
      <w:r w:rsidR="002D54FD" w:rsidRPr="00F171AE">
        <w:rPr>
          <w:rFonts w:ascii="Bookman Old Style" w:hAnsi="Bookman Old Style"/>
          <w:color w:val="000000" w:themeColor="text1"/>
        </w:rPr>
        <w:t>diez (10) días hábiles</w:t>
      </w:r>
      <w:r w:rsidR="002D54FD" w:rsidRPr="0024494C">
        <w:rPr>
          <w:rFonts w:ascii="Bookman Old Style" w:hAnsi="Bookman Old Style"/>
        </w:rPr>
        <w:t xml:space="preserve">, contados a partir del día siguiente a su publicación en el portal web de la </w:t>
      </w:r>
      <w:r w:rsidR="003720C2" w:rsidRPr="0024494C">
        <w:rPr>
          <w:rFonts w:ascii="Bookman Old Style" w:hAnsi="Bookman Old Style"/>
        </w:rPr>
        <w:t>Entidad</w:t>
      </w:r>
      <w:r w:rsidR="002D54FD" w:rsidRPr="0024494C">
        <w:rPr>
          <w:rFonts w:ascii="Bookman Old Style" w:hAnsi="Bookman Old Style"/>
        </w:rPr>
        <w:t>.</w:t>
      </w:r>
    </w:p>
    <w:p w14:paraId="6176CA56" w14:textId="77777777" w:rsidR="002D54FD" w:rsidRPr="0024494C" w:rsidRDefault="002D54FD" w:rsidP="000E5253">
      <w:pPr>
        <w:ind w:left="0"/>
        <w:jc w:val="both"/>
        <w:rPr>
          <w:rFonts w:ascii="Bookman Old Style" w:hAnsi="Bookman Old Style"/>
        </w:rPr>
      </w:pPr>
    </w:p>
    <w:p w14:paraId="30731567" w14:textId="14A2201D" w:rsidR="00C034CB" w:rsidRPr="0024494C" w:rsidRDefault="00055D69" w:rsidP="000E5253">
      <w:pPr>
        <w:ind w:left="0"/>
        <w:jc w:val="both"/>
        <w:rPr>
          <w:rFonts w:ascii="Bookman Old Style" w:hAnsi="Bookman Old Style"/>
          <w:i/>
        </w:rPr>
      </w:pPr>
      <w:r>
        <w:rPr>
          <w:rFonts w:ascii="Bookman Old Style" w:hAnsi="Bookman Old Style" w:cs="Arial"/>
        </w:rPr>
        <w:t xml:space="preserve">Se invita a los prestadores de los servicios públicos domiciliarios, sujetos a la regulación de la CREG, los usuarios, las autoridades y demás partes interesadas, para que remitan sus observaciones y/o sugerencias sobre el proyecto de resolución mediante comunicación dirigida al </w:t>
      </w:r>
      <w:r w:rsidR="00D924C4" w:rsidRPr="0024494C">
        <w:rPr>
          <w:rFonts w:ascii="Bookman Old Style" w:hAnsi="Bookman Old Style"/>
        </w:rPr>
        <w:t>director ejecutivo</w:t>
      </w:r>
      <w:r w:rsidR="002D54FD" w:rsidRPr="0024494C">
        <w:rPr>
          <w:rFonts w:ascii="Bookman Old Style" w:hAnsi="Bookman Old Style"/>
        </w:rPr>
        <w:t>, al correo electrónico</w:t>
      </w:r>
      <w:r w:rsidR="00C37EC8" w:rsidRPr="0024494C">
        <w:rPr>
          <w:rFonts w:ascii="Bookman Old Style" w:hAnsi="Bookman Old Style"/>
        </w:rPr>
        <w:t>:</w:t>
      </w:r>
      <w:r w:rsidR="002D54FD" w:rsidRPr="0024494C">
        <w:rPr>
          <w:rFonts w:ascii="Bookman Old Style" w:hAnsi="Bookman Old Style"/>
        </w:rPr>
        <w:t xml:space="preserve"> </w:t>
      </w:r>
      <w:r w:rsidR="002D54FD" w:rsidRPr="0024494C">
        <w:rPr>
          <w:rFonts w:ascii="Bookman Old Style" w:hAnsi="Bookman Old Style"/>
          <w:b/>
          <w:bCs/>
        </w:rPr>
        <w:t>creg@creg.gov.co</w:t>
      </w:r>
      <w:r w:rsidR="002D54FD" w:rsidRPr="0024494C">
        <w:rPr>
          <w:rFonts w:ascii="Bookman Old Style" w:hAnsi="Bookman Old Style"/>
        </w:rPr>
        <w:t xml:space="preserve">, </w:t>
      </w:r>
      <w:r w:rsidR="00DE3380" w:rsidRPr="0024494C">
        <w:rPr>
          <w:rFonts w:ascii="Bookman Old Style" w:hAnsi="Bookman Old Style"/>
        </w:rPr>
        <w:t xml:space="preserve">dentro del plazo </w:t>
      </w:r>
      <w:r w:rsidR="494DFC1A" w:rsidRPr="0024494C">
        <w:rPr>
          <w:rFonts w:ascii="Bookman Old Style" w:hAnsi="Bookman Old Style"/>
        </w:rPr>
        <w:t>señalado anterio</w:t>
      </w:r>
      <w:r w:rsidR="00751E9A" w:rsidRPr="0024494C">
        <w:rPr>
          <w:rFonts w:ascii="Bookman Old Style" w:hAnsi="Bookman Old Style"/>
        </w:rPr>
        <w:t>r</w:t>
      </w:r>
      <w:r w:rsidR="494DFC1A" w:rsidRPr="0024494C">
        <w:rPr>
          <w:rFonts w:ascii="Bookman Old Style" w:hAnsi="Bookman Old Style"/>
        </w:rPr>
        <w:t>mente</w:t>
      </w:r>
      <w:r w:rsidR="00DE3380" w:rsidRPr="0024494C">
        <w:rPr>
          <w:rFonts w:ascii="Bookman Old Style" w:hAnsi="Bookman Old Style"/>
        </w:rPr>
        <w:t xml:space="preserve">, </w:t>
      </w:r>
      <w:r w:rsidR="002D54FD" w:rsidRPr="0024494C">
        <w:rPr>
          <w:rFonts w:ascii="Bookman Old Style" w:hAnsi="Bookman Old Style"/>
        </w:rPr>
        <w:t xml:space="preserve">identificando </w:t>
      </w:r>
      <w:r w:rsidR="002B06D3" w:rsidRPr="0024494C">
        <w:rPr>
          <w:rFonts w:ascii="Bookman Old Style" w:hAnsi="Bookman Old Style"/>
        </w:rPr>
        <w:t xml:space="preserve">en </w:t>
      </w:r>
      <w:r w:rsidR="002D54FD" w:rsidRPr="0024494C">
        <w:rPr>
          <w:rFonts w:ascii="Bookman Old Style" w:hAnsi="Bookman Old Style"/>
        </w:rPr>
        <w:t xml:space="preserve">el </w:t>
      </w:r>
      <w:r w:rsidR="00C37EC8" w:rsidRPr="0024494C">
        <w:rPr>
          <w:rFonts w:ascii="Bookman Old Style" w:hAnsi="Bookman Old Style"/>
        </w:rPr>
        <w:t>asunto de</w:t>
      </w:r>
      <w:r w:rsidR="1EA94471" w:rsidRPr="0024494C">
        <w:rPr>
          <w:rFonts w:ascii="Bookman Old Style" w:hAnsi="Bookman Old Style"/>
        </w:rPr>
        <w:t xml:space="preserve"> </w:t>
      </w:r>
      <w:r w:rsidR="4AE9CC7B" w:rsidRPr="0024494C">
        <w:rPr>
          <w:rFonts w:ascii="Bookman Old Style" w:hAnsi="Bookman Old Style"/>
        </w:rPr>
        <w:t>su comunicación</w:t>
      </w:r>
      <w:r w:rsidR="00C37EC8" w:rsidRPr="0024494C">
        <w:rPr>
          <w:rFonts w:ascii="Bookman Old Style" w:hAnsi="Bookman Old Style"/>
        </w:rPr>
        <w:t xml:space="preserve"> </w:t>
      </w:r>
      <w:r w:rsidR="002D54FD" w:rsidRPr="0024494C">
        <w:rPr>
          <w:rFonts w:ascii="Bookman Old Style" w:hAnsi="Bookman Old Style"/>
        </w:rPr>
        <w:t xml:space="preserve">el siguiente </w:t>
      </w:r>
      <w:r w:rsidR="00C37EC8" w:rsidRPr="0024494C">
        <w:rPr>
          <w:rFonts w:ascii="Bookman Old Style" w:hAnsi="Bookman Old Style"/>
        </w:rPr>
        <w:t>mensaje</w:t>
      </w:r>
      <w:r w:rsidR="00DE3380" w:rsidRPr="0024494C">
        <w:rPr>
          <w:rFonts w:ascii="Bookman Old Style" w:hAnsi="Bookman Old Style"/>
        </w:rPr>
        <w:t xml:space="preserve">: </w:t>
      </w:r>
      <w:r w:rsidR="7DFBB709" w:rsidRPr="0024494C">
        <w:rPr>
          <w:rFonts w:ascii="Bookman Old Style" w:hAnsi="Bookman Old Style"/>
          <w:i/>
          <w:iCs/>
        </w:rPr>
        <w:t>“</w:t>
      </w:r>
      <w:r w:rsidR="00C37EC8" w:rsidRPr="0024494C">
        <w:rPr>
          <w:rFonts w:ascii="Bookman Old Style" w:hAnsi="Bookman Old Style"/>
          <w:i/>
        </w:rPr>
        <w:t xml:space="preserve">Proyecto </w:t>
      </w:r>
      <w:r w:rsidR="003657F7" w:rsidRPr="0024494C">
        <w:rPr>
          <w:rFonts w:ascii="Bookman Old Style" w:hAnsi="Bookman Old Style"/>
          <w:i/>
        </w:rPr>
        <w:t xml:space="preserve">de </w:t>
      </w:r>
      <w:r w:rsidR="00C37EC8" w:rsidRPr="0024494C">
        <w:rPr>
          <w:rFonts w:ascii="Bookman Old Style" w:hAnsi="Bookman Old Style"/>
          <w:i/>
        </w:rPr>
        <w:t xml:space="preserve">resolución </w:t>
      </w:r>
      <w:r w:rsidR="003657F7" w:rsidRPr="0024494C">
        <w:rPr>
          <w:rFonts w:ascii="Bookman Old Style" w:hAnsi="Bookman Old Style"/>
          <w:i/>
        </w:rPr>
        <w:t xml:space="preserve">de </w:t>
      </w:r>
      <w:r w:rsidR="00C37EC8" w:rsidRPr="0024494C">
        <w:rPr>
          <w:rFonts w:ascii="Bookman Old Style" w:hAnsi="Bookman Old Style"/>
          <w:i/>
        </w:rPr>
        <w:t>c</w:t>
      </w:r>
      <w:r w:rsidR="00DE3380" w:rsidRPr="0024494C">
        <w:rPr>
          <w:rFonts w:ascii="Bookman Old Style" w:hAnsi="Bookman Old Style"/>
          <w:i/>
        </w:rPr>
        <w:t xml:space="preserve">ontribución especial </w:t>
      </w:r>
      <w:r w:rsidR="00C37EC8" w:rsidRPr="0024494C">
        <w:rPr>
          <w:rFonts w:ascii="Bookman Old Style" w:hAnsi="Bookman Old Style"/>
          <w:i/>
        </w:rPr>
        <w:t xml:space="preserve">de </w:t>
      </w:r>
      <w:r w:rsidR="00DE3380" w:rsidRPr="0024494C">
        <w:rPr>
          <w:rFonts w:ascii="Bookman Old Style" w:hAnsi="Bookman Old Style"/>
          <w:i/>
        </w:rPr>
        <w:t>202</w:t>
      </w:r>
      <w:r w:rsidR="004A3999" w:rsidRPr="0024494C">
        <w:rPr>
          <w:rFonts w:ascii="Bookman Old Style" w:hAnsi="Bookman Old Style"/>
          <w:i/>
        </w:rPr>
        <w:t>3</w:t>
      </w:r>
      <w:r w:rsidR="5BC3108A" w:rsidRPr="0024494C">
        <w:rPr>
          <w:rFonts w:ascii="Bookman Old Style" w:hAnsi="Bookman Old Style"/>
          <w:i/>
          <w:iCs/>
        </w:rPr>
        <w:t>”</w:t>
      </w:r>
      <w:r w:rsidR="00DE3380" w:rsidRPr="0024494C">
        <w:rPr>
          <w:rFonts w:ascii="Bookman Old Style" w:hAnsi="Bookman Old Style"/>
          <w:i/>
          <w:iCs/>
        </w:rPr>
        <w:t>.</w:t>
      </w:r>
    </w:p>
    <w:p w14:paraId="0D4C40DF" w14:textId="77777777" w:rsidR="00794A58" w:rsidRDefault="00794A58" w:rsidP="003D49BA">
      <w:pPr>
        <w:widowControl w:val="0"/>
        <w:adjustRightInd w:val="0"/>
        <w:ind w:left="0" w:right="20"/>
        <w:rPr>
          <w:rFonts w:ascii="Bookman Old Style" w:hAnsi="Bookman Old Style" w:cs="Arial"/>
          <w:b/>
          <w:bCs/>
          <w:lang w:val="es-ES_tradnl"/>
        </w:rPr>
      </w:pPr>
    </w:p>
    <w:p w14:paraId="7A13144B" w14:textId="61B23947" w:rsidR="00C37EC8" w:rsidRPr="0024494C" w:rsidRDefault="00C37EC8" w:rsidP="000E5253">
      <w:pPr>
        <w:widowControl w:val="0"/>
        <w:adjustRightInd w:val="0"/>
        <w:ind w:left="0" w:right="20"/>
        <w:jc w:val="center"/>
        <w:rPr>
          <w:rFonts w:ascii="Bookman Old Style" w:hAnsi="Bookman Old Style" w:cs="Arial"/>
          <w:b/>
          <w:bCs/>
          <w:lang w:val="es-ES_tradnl"/>
        </w:rPr>
      </w:pPr>
      <w:r w:rsidRPr="0024494C">
        <w:rPr>
          <w:rFonts w:ascii="Bookman Old Style" w:hAnsi="Bookman Old Style" w:cs="Arial"/>
          <w:b/>
          <w:bCs/>
          <w:lang w:val="es-ES_tradnl"/>
        </w:rPr>
        <w:t>PROYECTO DE RESOLUCIÓN</w:t>
      </w:r>
    </w:p>
    <w:p w14:paraId="7E40D64B" w14:textId="77777777" w:rsidR="002D54FD" w:rsidRPr="009626ED" w:rsidRDefault="002D54FD" w:rsidP="009626ED">
      <w:pPr>
        <w:ind w:left="0"/>
        <w:jc w:val="both"/>
        <w:rPr>
          <w:rFonts w:ascii="Bookman Old Style" w:hAnsi="Bookman Old Style"/>
        </w:rPr>
      </w:pPr>
    </w:p>
    <w:p w14:paraId="51270DA2" w14:textId="65192EE4" w:rsidR="00A72BBD" w:rsidRPr="0024494C" w:rsidRDefault="00FF601F" w:rsidP="00BA19FD">
      <w:pPr>
        <w:ind w:left="142" w:right="142"/>
        <w:jc w:val="both"/>
        <w:rPr>
          <w:rFonts w:ascii="Bookman Old Style" w:hAnsi="Bookman Old Style"/>
          <w:i/>
          <w:iCs/>
        </w:rPr>
      </w:pPr>
      <w:r w:rsidRPr="0024494C">
        <w:rPr>
          <w:rFonts w:ascii="Bookman Old Style" w:hAnsi="Bookman Old Style"/>
          <w:i/>
          <w:iCs/>
        </w:rPr>
        <w:t xml:space="preserve">Por la cual se señala el porcentaje de la contribución especial </w:t>
      </w:r>
      <w:r w:rsidR="006F4BF1" w:rsidRPr="0024494C">
        <w:rPr>
          <w:rFonts w:ascii="Bookman Old Style" w:hAnsi="Bookman Old Style"/>
          <w:i/>
          <w:iCs/>
        </w:rPr>
        <w:t xml:space="preserve">a favor de la </w:t>
      </w:r>
      <w:r w:rsidR="009F049D" w:rsidRPr="0024494C">
        <w:rPr>
          <w:rFonts w:ascii="Bookman Old Style" w:hAnsi="Bookman Old Style"/>
          <w:i/>
          <w:iCs/>
        </w:rPr>
        <w:t>Comisión de Regulación de Energía y Gas</w:t>
      </w:r>
      <w:r w:rsidR="00310C44">
        <w:rPr>
          <w:rFonts w:ascii="Bookman Old Style" w:hAnsi="Bookman Old Style"/>
          <w:i/>
          <w:iCs/>
        </w:rPr>
        <w:t>,</w:t>
      </w:r>
      <w:r w:rsidR="009F049D" w:rsidRPr="0024494C">
        <w:rPr>
          <w:rFonts w:ascii="Bookman Old Style" w:hAnsi="Bookman Old Style"/>
          <w:i/>
          <w:iCs/>
        </w:rPr>
        <w:t xml:space="preserve"> CREG</w:t>
      </w:r>
      <w:r w:rsidR="00310C44">
        <w:rPr>
          <w:rFonts w:ascii="Bookman Old Style" w:hAnsi="Bookman Old Style"/>
          <w:i/>
          <w:iCs/>
        </w:rPr>
        <w:t>,</w:t>
      </w:r>
      <w:r w:rsidR="009F049D" w:rsidRPr="0024494C">
        <w:rPr>
          <w:rFonts w:ascii="Bookman Old Style" w:hAnsi="Bookman Old Style"/>
          <w:i/>
          <w:iCs/>
        </w:rPr>
        <w:t xml:space="preserve"> </w:t>
      </w:r>
      <w:r w:rsidRPr="0024494C">
        <w:rPr>
          <w:rFonts w:ascii="Bookman Old Style" w:hAnsi="Bookman Old Style"/>
          <w:i/>
          <w:iCs/>
        </w:rPr>
        <w:t xml:space="preserve">que deben pagar </w:t>
      </w:r>
      <w:r w:rsidR="00A37D6E" w:rsidRPr="0024494C">
        <w:rPr>
          <w:rFonts w:ascii="Bookman Old Style" w:hAnsi="Bookman Old Style"/>
          <w:i/>
          <w:iCs/>
        </w:rPr>
        <w:t>l</w:t>
      </w:r>
      <w:r w:rsidR="00A37D6E">
        <w:rPr>
          <w:rFonts w:ascii="Bookman Old Style" w:hAnsi="Bookman Old Style"/>
          <w:i/>
          <w:iCs/>
        </w:rPr>
        <w:t>os</w:t>
      </w:r>
      <w:r w:rsidR="00A37D6E" w:rsidRPr="0024494C">
        <w:rPr>
          <w:rFonts w:ascii="Bookman Old Style" w:hAnsi="Bookman Old Style"/>
          <w:i/>
          <w:iCs/>
        </w:rPr>
        <w:t xml:space="preserve"> prestadores</w:t>
      </w:r>
      <w:r w:rsidRPr="0024494C">
        <w:rPr>
          <w:rFonts w:ascii="Bookman Old Style" w:hAnsi="Bookman Old Style"/>
          <w:i/>
          <w:iCs/>
        </w:rPr>
        <w:t xml:space="preserve"> de</w:t>
      </w:r>
      <w:r w:rsidR="00C26FED">
        <w:rPr>
          <w:rFonts w:ascii="Bookman Old Style" w:hAnsi="Bookman Old Style"/>
          <w:i/>
          <w:iCs/>
        </w:rPr>
        <w:t xml:space="preserve"> </w:t>
      </w:r>
      <w:r w:rsidRPr="0024494C">
        <w:rPr>
          <w:rFonts w:ascii="Bookman Old Style" w:hAnsi="Bookman Old Style"/>
          <w:i/>
          <w:iCs/>
        </w:rPr>
        <w:t>l</w:t>
      </w:r>
      <w:r w:rsidR="00C26FED">
        <w:rPr>
          <w:rFonts w:ascii="Bookman Old Style" w:hAnsi="Bookman Old Style"/>
          <w:i/>
          <w:iCs/>
        </w:rPr>
        <w:t>os</w:t>
      </w:r>
      <w:r w:rsidRPr="0024494C">
        <w:rPr>
          <w:rFonts w:ascii="Bookman Old Style" w:hAnsi="Bookman Old Style"/>
          <w:i/>
          <w:iCs/>
        </w:rPr>
        <w:t xml:space="preserve"> servicio</w:t>
      </w:r>
      <w:r w:rsidR="00C26FED">
        <w:rPr>
          <w:rFonts w:ascii="Bookman Old Style" w:hAnsi="Bookman Old Style"/>
          <w:i/>
          <w:iCs/>
        </w:rPr>
        <w:t>s</w:t>
      </w:r>
      <w:r w:rsidRPr="0024494C">
        <w:rPr>
          <w:rFonts w:ascii="Bookman Old Style" w:hAnsi="Bookman Old Style"/>
          <w:i/>
          <w:iCs/>
        </w:rPr>
        <w:t xml:space="preserve"> </w:t>
      </w:r>
      <w:r w:rsidR="00C26FED">
        <w:rPr>
          <w:rFonts w:ascii="Bookman Old Style" w:hAnsi="Bookman Old Style"/>
          <w:i/>
          <w:iCs/>
        </w:rPr>
        <w:t xml:space="preserve">públicos domiciliarios </w:t>
      </w:r>
      <w:r w:rsidRPr="0024494C">
        <w:rPr>
          <w:rFonts w:ascii="Bookman Old Style" w:hAnsi="Bookman Old Style"/>
          <w:i/>
          <w:iCs/>
        </w:rPr>
        <w:t>de energía eléctrica, gas natural y gas licuado de petróleo (GLP)</w:t>
      </w:r>
      <w:r w:rsidR="00C26FED">
        <w:rPr>
          <w:rFonts w:ascii="Bookman Old Style" w:hAnsi="Bookman Old Style"/>
          <w:i/>
          <w:iCs/>
        </w:rPr>
        <w:t xml:space="preserve"> y sus actividades complementarias</w:t>
      </w:r>
      <w:r w:rsidRPr="0024494C">
        <w:rPr>
          <w:rFonts w:ascii="Bookman Old Style" w:hAnsi="Bookman Old Style"/>
          <w:i/>
          <w:iCs/>
        </w:rPr>
        <w:t>, sometidas a</w:t>
      </w:r>
      <w:r w:rsidR="00C74F02" w:rsidRPr="0024494C">
        <w:rPr>
          <w:rFonts w:ascii="Bookman Old Style" w:hAnsi="Bookman Old Style"/>
          <w:i/>
          <w:iCs/>
        </w:rPr>
        <w:t xml:space="preserve">l ámbito de </w:t>
      </w:r>
      <w:r w:rsidRPr="0024494C">
        <w:rPr>
          <w:rFonts w:ascii="Bookman Old Style" w:hAnsi="Bookman Old Style"/>
          <w:i/>
          <w:iCs/>
        </w:rPr>
        <w:t xml:space="preserve">regulación de la </w:t>
      </w:r>
      <w:r w:rsidR="005C49B2" w:rsidRPr="0024494C">
        <w:rPr>
          <w:rFonts w:ascii="Bookman Old Style" w:hAnsi="Bookman Old Style"/>
          <w:i/>
          <w:iCs/>
        </w:rPr>
        <w:t>Comisión de Regulación de Energía y Gas</w:t>
      </w:r>
      <w:r w:rsidR="00CF356F">
        <w:rPr>
          <w:rFonts w:ascii="Bookman Old Style" w:hAnsi="Bookman Old Style"/>
          <w:i/>
          <w:iCs/>
        </w:rPr>
        <w:t>,</w:t>
      </w:r>
      <w:r w:rsidR="008638F9">
        <w:rPr>
          <w:rFonts w:ascii="Bookman Old Style" w:hAnsi="Bookman Old Style"/>
          <w:i/>
          <w:iCs/>
        </w:rPr>
        <w:t xml:space="preserve"> </w:t>
      </w:r>
      <w:r w:rsidR="005C49B2" w:rsidRPr="0024494C">
        <w:rPr>
          <w:rFonts w:ascii="Bookman Old Style" w:hAnsi="Bookman Old Style"/>
          <w:i/>
          <w:iCs/>
        </w:rPr>
        <w:t>CREG</w:t>
      </w:r>
      <w:r w:rsidR="0062044A" w:rsidRPr="0024494C">
        <w:rPr>
          <w:rFonts w:ascii="Bookman Old Style" w:hAnsi="Bookman Old Style"/>
          <w:i/>
          <w:iCs/>
        </w:rPr>
        <w:t xml:space="preserve"> en el año 202</w:t>
      </w:r>
      <w:r w:rsidR="004A3999" w:rsidRPr="0024494C">
        <w:rPr>
          <w:rFonts w:ascii="Bookman Old Style" w:hAnsi="Bookman Old Style"/>
          <w:i/>
          <w:iCs/>
        </w:rPr>
        <w:t>3</w:t>
      </w:r>
      <w:r w:rsidRPr="0024494C">
        <w:rPr>
          <w:rFonts w:ascii="Bookman Old Style" w:hAnsi="Bookman Old Style"/>
          <w:i/>
          <w:iCs/>
        </w:rPr>
        <w:t xml:space="preserve"> y se dictan otras disposiciones</w:t>
      </w:r>
      <w:r w:rsidR="00C74F02" w:rsidRPr="0024494C">
        <w:rPr>
          <w:rFonts w:ascii="Bookman Old Style" w:hAnsi="Bookman Old Style"/>
          <w:i/>
          <w:iCs/>
        </w:rPr>
        <w:t>.</w:t>
      </w:r>
    </w:p>
    <w:p w14:paraId="33139A06" w14:textId="77777777" w:rsidR="00B33435" w:rsidRPr="0024494C" w:rsidRDefault="00B33435" w:rsidP="000E5253">
      <w:pPr>
        <w:ind w:left="0"/>
        <w:jc w:val="center"/>
        <w:rPr>
          <w:rFonts w:ascii="Bookman Old Style" w:hAnsi="Bookman Old Style"/>
        </w:rPr>
      </w:pPr>
    </w:p>
    <w:p w14:paraId="512A7F4B" w14:textId="77777777" w:rsidR="00794A58" w:rsidRDefault="00794A58" w:rsidP="000E5253">
      <w:pPr>
        <w:ind w:left="0"/>
        <w:jc w:val="center"/>
        <w:rPr>
          <w:rFonts w:ascii="Bookman Old Style" w:hAnsi="Bookman Old Style"/>
          <w:b/>
        </w:rPr>
      </w:pPr>
    </w:p>
    <w:p w14:paraId="6242E348" w14:textId="416169F4" w:rsidR="00A72BBD" w:rsidRPr="0024494C" w:rsidRDefault="00A72BBD" w:rsidP="000E5253">
      <w:pPr>
        <w:ind w:left="0"/>
        <w:jc w:val="center"/>
        <w:rPr>
          <w:rFonts w:ascii="Bookman Old Style" w:hAnsi="Bookman Old Style"/>
          <w:b/>
        </w:rPr>
      </w:pPr>
      <w:r w:rsidRPr="0024494C">
        <w:rPr>
          <w:rFonts w:ascii="Bookman Old Style" w:hAnsi="Bookman Old Style"/>
          <w:b/>
        </w:rPr>
        <w:t>LA COMISIÓN DE REGULACIÓN DE ENERGÍA Y GAS</w:t>
      </w:r>
    </w:p>
    <w:p w14:paraId="1ABB1412" w14:textId="5EDE28A3" w:rsidR="000A0E2C" w:rsidRPr="0024494C" w:rsidRDefault="000A0E2C" w:rsidP="000E5253">
      <w:pPr>
        <w:ind w:left="0"/>
        <w:jc w:val="center"/>
        <w:rPr>
          <w:rFonts w:ascii="Bookman Old Style" w:hAnsi="Bookman Old Style"/>
          <w:b/>
        </w:rPr>
      </w:pPr>
    </w:p>
    <w:p w14:paraId="69A63B02" w14:textId="1A44B198" w:rsidR="00337053" w:rsidRPr="0024494C" w:rsidRDefault="00337053" w:rsidP="000E5253">
      <w:pPr>
        <w:ind w:left="0"/>
        <w:jc w:val="center"/>
        <w:rPr>
          <w:rFonts w:ascii="Bookman Old Style" w:hAnsi="Bookman Old Style"/>
        </w:rPr>
      </w:pPr>
      <w:r w:rsidRPr="0024494C">
        <w:rPr>
          <w:rFonts w:ascii="Bookman Old Style" w:hAnsi="Bookman Old Style"/>
        </w:rPr>
        <w:t xml:space="preserve">En ejercicio de sus atribuciones constitucionales y legales, en especial las conferidas por </w:t>
      </w:r>
      <w:r w:rsidR="00533D9D" w:rsidRPr="0024494C">
        <w:rPr>
          <w:rFonts w:ascii="Bookman Old Style" w:hAnsi="Bookman Old Style"/>
        </w:rPr>
        <w:t>el artículo 85 de la Ley</w:t>
      </w:r>
      <w:r w:rsidRPr="0024494C">
        <w:rPr>
          <w:rFonts w:ascii="Bookman Old Style" w:hAnsi="Bookman Old Style"/>
        </w:rPr>
        <w:t xml:space="preserve"> 142 </w:t>
      </w:r>
      <w:r w:rsidR="002E7996" w:rsidRPr="0024494C">
        <w:rPr>
          <w:rFonts w:ascii="Bookman Old Style" w:hAnsi="Bookman Old Style"/>
        </w:rPr>
        <w:t>de 1994</w:t>
      </w:r>
      <w:r w:rsidR="00622F7B" w:rsidRPr="0024494C">
        <w:rPr>
          <w:rFonts w:ascii="Bookman Old Style" w:hAnsi="Bookman Old Style"/>
        </w:rPr>
        <w:t xml:space="preserve"> y</w:t>
      </w:r>
      <w:r w:rsidR="002E7996" w:rsidRPr="0024494C">
        <w:rPr>
          <w:rFonts w:ascii="Bookman Old Style" w:hAnsi="Bookman Old Style"/>
        </w:rPr>
        <w:t xml:space="preserve"> el artículo 22 </w:t>
      </w:r>
      <w:r w:rsidR="00352D17" w:rsidRPr="0024494C">
        <w:rPr>
          <w:rFonts w:ascii="Bookman Old Style" w:hAnsi="Bookman Old Style"/>
        </w:rPr>
        <w:t>de la Ley</w:t>
      </w:r>
      <w:r w:rsidRPr="0024494C">
        <w:rPr>
          <w:rFonts w:ascii="Bookman Old Style" w:hAnsi="Bookman Old Style"/>
        </w:rPr>
        <w:t xml:space="preserve"> 143 de 1994 </w:t>
      </w:r>
      <w:r w:rsidR="00475D73" w:rsidRPr="0024494C">
        <w:rPr>
          <w:rFonts w:ascii="Bookman Old Style" w:hAnsi="Bookman Old Style"/>
        </w:rPr>
        <w:t>y</w:t>
      </w:r>
    </w:p>
    <w:p w14:paraId="3F1EF484" w14:textId="77777777" w:rsidR="00A95FD5" w:rsidRPr="0024494C" w:rsidRDefault="00A95FD5" w:rsidP="003D49BA">
      <w:pPr>
        <w:ind w:left="0"/>
        <w:rPr>
          <w:rFonts w:ascii="Bookman Old Style" w:hAnsi="Bookman Old Style"/>
        </w:rPr>
      </w:pPr>
    </w:p>
    <w:p w14:paraId="6C4A5404" w14:textId="4D9BE377" w:rsidR="00045D3D" w:rsidRPr="0024494C" w:rsidRDefault="00045D3D" w:rsidP="009225C2">
      <w:pPr>
        <w:ind w:left="0"/>
        <w:jc w:val="center"/>
        <w:rPr>
          <w:rFonts w:ascii="Bookman Old Style" w:hAnsi="Bookman Old Style"/>
          <w:b/>
        </w:rPr>
      </w:pPr>
      <w:r w:rsidRPr="0024494C">
        <w:rPr>
          <w:rFonts w:ascii="Bookman Old Style" w:hAnsi="Bookman Old Style"/>
          <w:b/>
        </w:rPr>
        <w:t xml:space="preserve">C O N S I D E R A N D </w:t>
      </w:r>
      <w:r w:rsidR="00337053" w:rsidRPr="0024494C">
        <w:rPr>
          <w:rFonts w:ascii="Bookman Old Style" w:hAnsi="Bookman Old Style"/>
          <w:b/>
        </w:rPr>
        <w:t>O   Q</w:t>
      </w:r>
      <w:r w:rsidRPr="0024494C">
        <w:rPr>
          <w:rFonts w:ascii="Bookman Old Style" w:hAnsi="Bookman Old Style"/>
          <w:b/>
        </w:rPr>
        <w:t xml:space="preserve"> U E:</w:t>
      </w:r>
    </w:p>
    <w:p w14:paraId="70721881" w14:textId="15014671" w:rsidR="000A0E2C" w:rsidRPr="0024494C" w:rsidRDefault="000A0E2C" w:rsidP="000E5253">
      <w:pPr>
        <w:ind w:right="51"/>
        <w:rPr>
          <w:rFonts w:ascii="Bookman Old Style" w:hAnsi="Bookman Old Style"/>
          <w:b/>
          <w:lang w:val="pt-PT"/>
        </w:rPr>
      </w:pPr>
    </w:p>
    <w:p w14:paraId="78727673" w14:textId="584245F4" w:rsidR="00A95FD5" w:rsidRPr="0024494C" w:rsidRDefault="00A95FD5" w:rsidP="00A95FD5">
      <w:pPr>
        <w:ind w:left="0"/>
        <w:jc w:val="both"/>
        <w:rPr>
          <w:rFonts w:ascii="Bookman Old Style" w:hAnsi="Bookman Old Style" w:cs="Arial"/>
          <w:lang w:val="es-CO"/>
        </w:rPr>
      </w:pPr>
      <w:r w:rsidRPr="0024494C">
        <w:rPr>
          <w:rFonts w:ascii="Bookman Old Style" w:hAnsi="Bookman Old Style" w:cs="Arial"/>
          <w:lang w:val="es-CO"/>
        </w:rPr>
        <w:t>El inciso 2 del artículo 338 de la Constitución Política de Colombia dispone que</w:t>
      </w:r>
      <w:r w:rsidR="009225C2" w:rsidRPr="0024494C">
        <w:rPr>
          <w:rFonts w:ascii="Bookman Old Style" w:hAnsi="Bookman Old Style" w:cs="Arial"/>
          <w:lang w:val="es-CO"/>
        </w:rPr>
        <w:t>:</w:t>
      </w:r>
      <w:r w:rsidRPr="0024494C">
        <w:rPr>
          <w:rFonts w:ascii="Bookman Old Style" w:hAnsi="Bookman Old Style" w:cs="Arial"/>
          <w:lang w:val="es-CO"/>
        </w:rPr>
        <w:t xml:space="preserve"> </w:t>
      </w:r>
      <w:r w:rsidRPr="0024494C">
        <w:rPr>
          <w:rFonts w:ascii="Bookman Old Style" w:hAnsi="Bookman Old Style" w:cs="Arial"/>
          <w:i/>
          <w:iCs/>
          <w:lang w:val="es-CO"/>
        </w:rPr>
        <w:t>“(…) 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 ser fijados por la ley, las ordenanzas o los acuerdos”.</w:t>
      </w:r>
    </w:p>
    <w:p w14:paraId="36C7E4B1" w14:textId="32B8449C" w:rsidR="005311AD" w:rsidRDefault="000A7931" w:rsidP="00524B50">
      <w:pPr>
        <w:ind w:left="0"/>
        <w:jc w:val="both"/>
        <w:rPr>
          <w:rFonts w:ascii="Bookman Old Style" w:hAnsi="Bookman Old Style" w:cs="Arial"/>
          <w:lang w:val="es-CO"/>
        </w:rPr>
      </w:pPr>
      <w:r w:rsidRPr="0024494C">
        <w:rPr>
          <w:rFonts w:ascii="Bookman Old Style" w:hAnsi="Bookman Old Style" w:cs="Arial"/>
          <w:lang w:val="es-CO"/>
        </w:rPr>
        <w:t>E</w:t>
      </w:r>
      <w:r w:rsidR="00FE744A" w:rsidRPr="0024494C">
        <w:rPr>
          <w:rFonts w:ascii="Bookman Old Style" w:hAnsi="Bookman Old Style" w:cs="Arial"/>
          <w:lang w:val="es-CO"/>
        </w:rPr>
        <w:t>l artículo 365 de la Constitución Política establece que</w:t>
      </w:r>
      <w:r w:rsidR="005311AD" w:rsidRPr="0024494C">
        <w:rPr>
          <w:rFonts w:ascii="Bookman Old Style" w:hAnsi="Bookman Old Style" w:cs="Arial"/>
          <w:lang w:val="es-CO"/>
        </w:rPr>
        <w:t xml:space="preserve">: </w:t>
      </w:r>
      <w:r w:rsidR="003D5A9D" w:rsidRPr="0024494C">
        <w:rPr>
          <w:rFonts w:ascii="Bookman Old Style" w:hAnsi="Bookman Old Style" w:cs="Arial"/>
          <w:lang w:val="es-CO"/>
        </w:rPr>
        <w:t>“</w:t>
      </w:r>
      <w:r w:rsidR="00524B50" w:rsidRPr="0024494C">
        <w:rPr>
          <w:rFonts w:ascii="Bookman Old Style" w:hAnsi="Bookman Old Style" w:cs="Arial"/>
          <w:i/>
          <w:iCs/>
          <w:lang w:val="es-CO"/>
        </w:rPr>
        <w:t xml:space="preserve">Los servicios públicos son inherentes a la finalidad social del Estado. Es deber del Estado asegurar su prestación eficiente a todos los habitantes del territorio nacional.  //Los servicios públicos estarán sometidos al régimen jurídico que fije la ley, podrán ser prestados </w:t>
      </w:r>
      <w:r w:rsidR="00524B50" w:rsidRPr="0024494C">
        <w:rPr>
          <w:rFonts w:ascii="Bookman Old Style" w:hAnsi="Bookman Old Style" w:cs="Arial"/>
          <w:i/>
          <w:iCs/>
          <w:lang w:val="es-CO"/>
        </w:rPr>
        <w:lastRenderedPageBreak/>
        <w:t xml:space="preserve">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deberán indemnizar previa y plenamente a las personas </w:t>
      </w:r>
      <w:proofErr w:type="gramStart"/>
      <w:r w:rsidR="00E551B7" w:rsidRPr="0024494C">
        <w:rPr>
          <w:rFonts w:ascii="Bookman Old Style" w:hAnsi="Bookman Old Style" w:cs="Arial"/>
          <w:i/>
          <w:iCs/>
          <w:lang w:val="es-CO"/>
        </w:rPr>
        <w:t>que</w:t>
      </w:r>
      <w:proofErr w:type="gramEnd"/>
      <w:r w:rsidR="00F70D03">
        <w:rPr>
          <w:rFonts w:ascii="Bookman Old Style" w:hAnsi="Bookman Old Style" w:cs="Arial"/>
          <w:i/>
          <w:iCs/>
          <w:lang w:val="es-CO"/>
        </w:rPr>
        <w:t xml:space="preserve"> </w:t>
      </w:r>
      <w:r w:rsidR="00524B50" w:rsidRPr="0024494C">
        <w:rPr>
          <w:rFonts w:ascii="Bookman Old Style" w:hAnsi="Bookman Old Style" w:cs="Arial"/>
          <w:i/>
          <w:iCs/>
          <w:lang w:val="es-CO"/>
        </w:rPr>
        <w:t>en virtud de dicha ley, queden privadas del ejercicio de una actividad lícita</w:t>
      </w:r>
      <w:r w:rsidR="003D5A9D" w:rsidRPr="0024494C">
        <w:rPr>
          <w:rFonts w:ascii="Bookman Old Style" w:hAnsi="Bookman Old Style" w:cs="Arial"/>
          <w:lang w:val="es-CO"/>
        </w:rPr>
        <w:t>”.</w:t>
      </w:r>
    </w:p>
    <w:p w14:paraId="51E58B74" w14:textId="77777777" w:rsidR="0098084D" w:rsidRDefault="0098084D" w:rsidP="00524B50">
      <w:pPr>
        <w:ind w:left="0"/>
        <w:jc w:val="both"/>
        <w:rPr>
          <w:rFonts w:ascii="Bookman Old Style" w:hAnsi="Bookman Old Style" w:cs="Arial"/>
          <w:lang w:val="es-CO"/>
        </w:rPr>
      </w:pPr>
    </w:p>
    <w:p w14:paraId="19E1CAF4" w14:textId="433B760E" w:rsidR="0098084D" w:rsidRPr="0024494C" w:rsidRDefault="0098084D" w:rsidP="00CA40C0">
      <w:pPr>
        <w:ind w:left="0"/>
        <w:jc w:val="both"/>
        <w:rPr>
          <w:rFonts w:ascii="Bookman Old Style" w:hAnsi="Bookman Old Style" w:cs="Arial"/>
          <w:lang w:val="es-CO"/>
        </w:rPr>
      </w:pPr>
      <w:r>
        <w:rPr>
          <w:rFonts w:ascii="Bookman Old Style" w:hAnsi="Bookman Old Style" w:cs="Arial"/>
          <w:lang w:val="es-CO"/>
        </w:rPr>
        <w:t>El artículo 367</w:t>
      </w:r>
      <w:r w:rsidR="00CA40C0">
        <w:rPr>
          <w:rFonts w:ascii="Bookman Old Style" w:hAnsi="Bookman Old Style" w:cs="Arial"/>
          <w:lang w:val="es-CO"/>
        </w:rPr>
        <w:t xml:space="preserve"> de la Constitución Política dispone que </w:t>
      </w:r>
      <w:r w:rsidR="005342E7">
        <w:rPr>
          <w:rFonts w:ascii="Bookman Old Style" w:hAnsi="Bookman Old Style" w:cs="Arial"/>
          <w:lang w:val="es-CO"/>
        </w:rPr>
        <w:t>“</w:t>
      </w:r>
      <w:r w:rsidR="00CA40C0" w:rsidRPr="00D43A7D">
        <w:rPr>
          <w:rFonts w:ascii="Bookman Old Style" w:hAnsi="Bookman Old Style" w:cs="Arial"/>
          <w:i/>
          <w:iCs/>
          <w:lang w:val="es-CO"/>
        </w:rPr>
        <w:t>La ley fijará las competencias y responsabilidades relativas a la prestación de los servicios públicos domiciliarios, su cobertura, calidad y financiación, y el régimen tarifario que tendrá en cuenta además de los criterios de costos, los de solidaridad y redistribución de ingresos</w:t>
      </w:r>
      <w:r w:rsidR="00D43A7D" w:rsidRPr="00D43A7D">
        <w:rPr>
          <w:rFonts w:ascii="Bookman Old Style" w:hAnsi="Bookman Old Style" w:cs="Arial"/>
          <w:i/>
          <w:iCs/>
          <w:lang w:val="es-CO"/>
        </w:rPr>
        <w:t xml:space="preserve"> </w:t>
      </w:r>
      <w:r w:rsidR="00D43A7D">
        <w:rPr>
          <w:rFonts w:ascii="Bookman Old Style" w:hAnsi="Bookman Old Style" w:cs="Arial"/>
          <w:lang w:val="es-CO"/>
        </w:rPr>
        <w:t>(…)</w:t>
      </w:r>
      <w:r w:rsidR="004A6CA0">
        <w:rPr>
          <w:rFonts w:ascii="Bookman Old Style" w:hAnsi="Bookman Old Style" w:cs="Arial"/>
          <w:lang w:val="es-CO"/>
        </w:rPr>
        <w:t>”</w:t>
      </w:r>
      <w:r w:rsidR="00CA40C0" w:rsidRPr="00CA40C0">
        <w:rPr>
          <w:rFonts w:ascii="Bookman Old Style" w:hAnsi="Bookman Old Style" w:cs="Arial"/>
          <w:lang w:val="es-CO"/>
        </w:rPr>
        <w:t>.</w:t>
      </w:r>
    </w:p>
    <w:p w14:paraId="21C7F3D8" w14:textId="77777777" w:rsidR="005311AD" w:rsidRPr="0024494C" w:rsidRDefault="005311AD" w:rsidP="000E5253">
      <w:pPr>
        <w:ind w:left="0"/>
        <w:jc w:val="both"/>
        <w:rPr>
          <w:rFonts w:ascii="Bookman Old Style" w:hAnsi="Bookman Old Style" w:cs="Arial"/>
          <w:lang w:val="es-CO"/>
        </w:rPr>
      </w:pPr>
    </w:p>
    <w:p w14:paraId="30999E1B" w14:textId="04E0FA8A" w:rsidR="006E4B49" w:rsidRPr="0024494C" w:rsidRDefault="000A7931" w:rsidP="000E5253">
      <w:pPr>
        <w:ind w:left="0"/>
        <w:jc w:val="both"/>
        <w:rPr>
          <w:rFonts w:ascii="Bookman Old Style" w:hAnsi="Bookman Old Style" w:cs="Arial"/>
          <w:lang w:val="es-CO"/>
        </w:rPr>
      </w:pPr>
      <w:r w:rsidRPr="0024494C">
        <w:rPr>
          <w:rFonts w:ascii="Bookman Old Style" w:hAnsi="Bookman Old Style" w:cs="Arial"/>
          <w:lang w:val="es-CO"/>
        </w:rPr>
        <w:t>E</w:t>
      </w:r>
      <w:r w:rsidR="00EC6CE6" w:rsidRPr="0024494C">
        <w:rPr>
          <w:rFonts w:ascii="Bookman Old Style" w:hAnsi="Bookman Old Style" w:cs="Arial"/>
          <w:lang w:val="es-CO"/>
        </w:rPr>
        <w:t>l artículo 370</w:t>
      </w:r>
      <w:r w:rsidR="00B841B3" w:rsidRPr="0024494C">
        <w:rPr>
          <w:rFonts w:ascii="Bookman Old Style" w:hAnsi="Bookman Old Style" w:cs="Arial"/>
          <w:lang w:val="es-CO"/>
        </w:rPr>
        <w:t xml:space="preserve"> de la Constitución Política,</w:t>
      </w:r>
      <w:r w:rsidR="00EC6CE6" w:rsidRPr="0024494C">
        <w:rPr>
          <w:rFonts w:ascii="Bookman Old Style" w:hAnsi="Bookman Old Style" w:cs="Arial"/>
          <w:lang w:val="es-CO"/>
        </w:rPr>
        <w:t xml:space="preserve"> dispone que</w:t>
      </w:r>
      <w:r w:rsidR="00A951F9" w:rsidRPr="0024494C">
        <w:rPr>
          <w:rFonts w:ascii="Bookman Old Style" w:hAnsi="Bookman Old Style" w:cs="Arial"/>
          <w:lang w:val="es-CO"/>
        </w:rPr>
        <w:t>:</w:t>
      </w:r>
      <w:r w:rsidR="00EC6CE6" w:rsidRPr="0024494C">
        <w:rPr>
          <w:rFonts w:ascii="Bookman Old Style" w:hAnsi="Bookman Old Style" w:cs="Arial"/>
          <w:lang w:val="es-CO"/>
        </w:rPr>
        <w:t xml:space="preserve"> “</w:t>
      </w:r>
      <w:r w:rsidR="000D5D72" w:rsidRPr="0024494C">
        <w:rPr>
          <w:rFonts w:ascii="Bookman Old Style" w:hAnsi="Bookman Old Style" w:cs="Arial"/>
          <w:i/>
          <w:iCs/>
          <w:lang w:val="es-CO"/>
        </w:rPr>
        <w:t xml:space="preserve">Corresponde al </w:t>
      </w:r>
      <w:proofErr w:type="gramStart"/>
      <w:r w:rsidR="000D5D72" w:rsidRPr="0024494C">
        <w:rPr>
          <w:rFonts w:ascii="Bookman Old Style" w:hAnsi="Bookman Old Style" w:cs="Arial"/>
          <w:i/>
          <w:iCs/>
          <w:lang w:val="es-CO"/>
        </w:rPr>
        <w:t>Presidente</w:t>
      </w:r>
      <w:proofErr w:type="gramEnd"/>
      <w:r w:rsidR="000D5D72" w:rsidRPr="0024494C">
        <w:rPr>
          <w:rFonts w:ascii="Bookman Old Style" w:hAnsi="Bookman Old Style" w:cs="Arial"/>
          <w:i/>
          <w:iCs/>
          <w:lang w:val="es-CO"/>
        </w:rPr>
        <w:t xml:space="preserve"> de la República señalar, con sujeción a la ley, las políticas generales de administración y control de eficiencia de los servicios públicos domiciliarios y ejercer por medio de la Superintendencia de Servicios Públicos Domiciliarios, el control, la inspección y vigilancia de las entidades que los presten.</w:t>
      </w:r>
      <w:r w:rsidR="000D5D72" w:rsidRPr="0024494C">
        <w:rPr>
          <w:rFonts w:ascii="Bookman Old Style" w:hAnsi="Bookman Old Style" w:cs="Arial"/>
          <w:lang w:val="es-CO"/>
        </w:rPr>
        <w:t>”.</w:t>
      </w:r>
    </w:p>
    <w:p w14:paraId="28D65259" w14:textId="77777777" w:rsidR="0099051E" w:rsidRPr="0024494C" w:rsidRDefault="0099051E" w:rsidP="000E5253">
      <w:pPr>
        <w:ind w:left="0"/>
        <w:jc w:val="both"/>
        <w:rPr>
          <w:rFonts w:ascii="Bookman Old Style" w:hAnsi="Bookman Old Style" w:cs="Arial"/>
          <w:lang w:val="es-CO"/>
        </w:rPr>
      </w:pPr>
    </w:p>
    <w:p w14:paraId="43ADA0E8" w14:textId="628D02E6" w:rsidR="007A51C0" w:rsidRPr="0024494C" w:rsidRDefault="00B92D65" w:rsidP="000E5253">
      <w:pPr>
        <w:ind w:left="0"/>
        <w:jc w:val="both"/>
        <w:rPr>
          <w:rFonts w:ascii="Bookman Old Style" w:hAnsi="Bookman Old Style" w:cs="Arial"/>
          <w:lang w:val="es-CO"/>
        </w:rPr>
      </w:pPr>
      <w:r w:rsidRPr="0024494C">
        <w:rPr>
          <w:rFonts w:ascii="Bookman Old Style" w:hAnsi="Bookman Old Style" w:cs="Arial"/>
          <w:lang w:val="es-CO"/>
        </w:rPr>
        <w:t xml:space="preserve">De conformidad con lo dispuesto en </w:t>
      </w:r>
      <w:r w:rsidR="00E71F79" w:rsidRPr="0024494C">
        <w:rPr>
          <w:rFonts w:ascii="Bookman Old Style" w:hAnsi="Bookman Old Style" w:cs="Arial"/>
          <w:lang w:val="es-CO"/>
        </w:rPr>
        <w:t xml:space="preserve">las Leyes 142 de 1994, 143 de 1994, 689 de 2001, </w:t>
      </w:r>
      <w:r w:rsidR="006522A3" w:rsidRPr="0024494C">
        <w:rPr>
          <w:rFonts w:ascii="Bookman Old Style" w:hAnsi="Bookman Old Style" w:cs="Arial"/>
          <w:lang w:val="es-CO"/>
        </w:rPr>
        <w:t xml:space="preserve">las disposiciones aquí descritas son aplicables </w:t>
      </w:r>
      <w:r w:rsidR="007A51C0" w:rsidRPr="0024494C">
        <w:rPr>
          <w:rFonts w:ascii="Bookman Old Style" w:hAnsi="Bookman Old Style" w:cs="Arial"/>
          <w:lang w:val="es-CO"/>
        </w:rPr>
        <w:t xml:space="preserve">a quienes </w:t>
      </w:r>
      <w:r w:rsidR="002A2C4F" w:rsidRPr="0024494C">
        <w:rPr>
          <w:rFonts w:ascii="Bookman Old Style" w:hAnsi="Bookman Old Style" w:cs="Arial"/>
          <w:lang w:val="es-CO"/>
        </w:rPr>
        <w:t>ostenten</w:t>
      </w:r>
      <w:r w:rsidR="007A51C0" w:rsidRPr="0024494C">
        <w:rPr>
          <w:rFonts w:ascii="Bookman Old Style" w:hAnsi="Bookman Old Style" w:cs="Arial"/>
          <w:lang w:val="es-CO"/>
        </w:rPr>
        <w:t xml:space="preserve"> la calidad de personas prestadoras de servicios públicos domiciliarios y aquellas que en general realicen actividades complementarias a los mismos</w:t>
      </w:r>
      <w:r w:rsidR="001D7C88" w:rsidRPr="0024494C">
        <w:rPr>
          <w:rFonts w:ascii="Bookman Old Style" w:hAnsi="Bookman Old Style" w:cs="Arial"/>
          <w:lang w:val="es-CO"/>
        </w:rPr>
        <w:t>.</w:t>
      </w:r>
    </w:p>
    <w:p w14:paraId="3D036251" w14:textId="45DF9551" w:rsidR="005D1DA2" w:rsidRPr="0024494C" w:rsidRDefault="005D1DA2" w:rsidP="000E5253">
      <w:pPr>
        <w:ind w:left="0"/>
        <w:jc w:val="both"/>
        <w:rPr>
          <w:rFonts w:ascii="Bookman Old Style" w:hAnsi="Bookman Old Style" w:cs="Arial"/>
          <w:lang w:val="es-CO"/>
        </w:rPr>
      </w:pPr>
    </w:p>
    <w:p w14:paraId="5B67CFE6" w14:textId="77777777" w:rsidR="00627654" w:rsidRDefault="00B014C5" w:rsidP="00AD15C9">
      <w:pPr>
        <w:ind w:left="0"/>
        <w:jc w:val="both"/>
        <w:rPr>
          <w:rFonts w:ascii="Bookman Old Style" w:hAnsi="Bookman Old Style" w:cs="Arial"/>
          <w:lang w:val="es-CO"/>
        </w:rPr>
      </w:pPr>
      <w:r w:rsidRPr="0024494C">
        <w:rPr>
          <w:rFonts w:ascii="Bookman Old Style" w:hAnsi="Bookman Old Style" w:cs="Arial"/>
          <w:lang w:val="es-CO"/>
        </w:rPr>
        <w:t xml:space="preserve">El </w:t>
      </w:r>
      <w:r w:rsidR="00C5358C" w:rsidRPr="0024494C">
        <w:rPr>
          <w:rFonts w:ascii="Bookman Old Style" w:hAnsi="Bookman Old Style" w:cs="Arial"/>
          <w:lang w:val="es-CO"/>
        </w:rPr>
        <w:t>artículo</w:t>
      </w:r>
      <w:r w:rsidRPr="0024494C">
        <w:rPr>
          <w:rFonts w:ascii="Bookman Old Style" w:hAnsi="Bookman Old Style" w:cs="Arial"/>
          <w:lang w:val="es-CO"/>
        </w:rPr>
        <w:t xml:space="preserve"> </w:t>
      </w:r>
      <w:r w:rsidR="000A7931" w:rsidRPr="0024494C">
        <w:rPr>
          <w:rFonts w:ascii="Bookman Old Style" w:hAnsi="Bookman Old Style" w:cs="Arial"/>
          <w:lang w:val="es-CO"/>
        </w:rPr>
        <w:t>85 de la Ley 142 de 1994</w:t>
      </w:r>
      <w:r w:rsidR="00C5358C" w:rsidRPr="0024494C">
        <w:rPr>
          <w:rFonts w:ascii="Bookman Old Style" w:hAnsi="Bookman Old Style" w:cs="Arial"/>
          <w:lang w:val="es-CO"/>
        </w:rPr>
        <w:t xml:space="preserve">, dispone que: </w:t>
      </w:r>
    </w:p>
    <w:p w14:paraId="11EF21D0" w14:textId="77777777" w:rsidR="00627654" w:rsidRDefault="00627654" w:rsidP="00AD15C9">
      <w:pPr>
        <w:ind w:left="0"/>
        <w:jc w:val="both"/>
        <w:rPr>
          <w:rFonts w:ascii="Bookman Old Style" w:hAnsi="Bookman Old Style" w:cs="Arial"/>
          <w:lang w:val="es-CO"/>
        </w:rPr>
      </w:pPr>
    </w:p>
    <w:p w14:paraId="5FBFE07D" w14:textId="1E85E6AC" w:rsidR="00AD15C9" w:rsidRPr="00F171AE" w:rsidRDefault="00AD15C9" w:rsidP="00055D69">
      <w:pPr>
        <w:ind w:left="142"/>
        <w:jc w:val="both"/>
        <w:rPr>
          <w:rFonts w:ascii="Bookman Old Style" w:hAnsi="Bookman Old Style" w:cs="Arial"/>
          <w:i/>
          <w:iCs/>
          <w:lang w:val="es-CO"/>
        </w:rPr>
      </w:pPr>
      <w:r w:rsidRPr="00F171AE">
        <w:rPr>
          <w:rFonts w:ascii="Bookman Old Style" w:hAnsi="Bookman Old Style" w:cs="Arial"/>
          <w:i/>
          <w:iCs/>
          <w:lang w:val="es-CO"/>
        </w:rPr>
        <w:t xml:space="preserve">ARTICULO 85.- Contribuciones especiales. Con el fin de recuperar los costos del servicio de regulación que preste cada comisión, y los de control y vigilancia que preste el Superintendente, las entidades sometidas a su regulación, control y vigilancia, estarán sujetas a dos contribuciones, que se liquidarán y pagarán cada año conforme a las siguientes reglas: </w:t>
      </w:r>
    </w:p>
    <w:p w14:paraId="5F14013C" w14:textId="77777777" w:rsidR="00AD15C9" w:rsidRPr="00F171AE" w:rsidRDefault="00AD15C9" w:rsidP="00055D69">
      <w:pPr>
        <w:ind w:left="142"/>
        <w:jc w:val="both"/>
        <w:rPr>
          <w:rFonts w:ascii="Bookman Old Style" w:hAnsi="Bookman Old Style" w:cs="Arial"/>
          <w:i/>
          <w:iCs/>
          <w:lang w:val="es-CO"/>
        </w:rPr>
      </w:pPr>
    </w:p>
    <w:p w14:paraId="1D80553B" w14:textId="77777777" w:rsidR="00AD15C9" w:rsidRPr="00F171AE" w:rsidRDefault="00AD15C9" w:rsidP="00055D69">
      <w:pPr>
        <w:ind w:left="142"/>
        <w:jc w:val="both"/>
        <w:rPr>
          <w:rFonts w:ascii="Bookman Old Style" w:hAnsi="Bookman Old Style" w:cs="Arial"/>
          <w:i/>
          <w:iCs/>
          <w:lang w:val="es-CO"/>
        </w:rPr>
      </w:pPr>
      <w:r w:rsidRPr="00F171AE">
        <w:rPr>
          <w:rFonts w:ascii="Bookman Old Style" w:hAnsi="Bookman Old Style" w:cs="Arial"/>
          <w:i/>
          <w:iCs/>
          <w:lang w:val="es-CO"/>
        </w:rPr>
        <w:t>85.1.- Para definir los costos de los servicios que presten las comisiones y la Superintendencia, se tendrán en cuenta todos los gastos de funcionamiento, y la depreciación, amortización u obsolescencia de sus activos, en el período anual respectivo.</w:t>
      </w:r>
    </w:p>
    <w:p w14:paraId="5F528AA1" w14:textId="77777777" w:rsidR="00AD15C9" w:rsidRPr="00F171AE" w:rsidRDefault="00AD15C9" w:rsidP="00055D69">
      <w:pPr>
        <w:ind w:left="142"/>
        <w:jc w:val="both"/>
        <w:rPr>
          <w:rFonts w:ascii="Bookman Old Style" w:hAnsi="Bookman Old Style" w:cs="Arial"/>
          <w:i/>
          <w:iCs/>
          <w:lang w:val="es-CO"/>
        </w:rPr>
      </w:pPr>
    </w:p>
    <w:p w14:paraId="7C9D264A" w14:textId="77777777" w:rsidR="00AD15C9" w:rsidRPr="00F171AE" w:rsidRDefault="00AD15C9" w:rsidP="00055D69">
      <w:pPr>
        <w:ind w:left="142"/>
        <w:jc w:val="both"/>
        <w:rPr>
          <w:rFonts w:ascii="Bookman Old Style" w:hAnsi="Bookman Old Style" w:cs="Arial"/>
          <w:i/>
          <w:iCs/>
          <w:lang w:val="es-CO"/>
        </w:rPr>
      </w:pPr>
      <w:r w:rsidRPr="00F171AE">
        <w:rPr>
          <w:rFonts w:ascii="Bookman Old Style" w:hAnsi="Bookman Old Style" w:cs="Arial"/>
          <w:i/>
          <w:iCs/>
          <w:lang w:val="es-CO"/>
        </w:rPr>
        <w:t xml:space="preserve">85.2.- La superintendencia y las comisiones presupuestarán sus gastos cada año y cobrarán dentro de los límites que enseguida se señalan, solamente la tarifa que arroje el valor necesario para cubrir su presupuesto anual. </w:t>
      </w:r>
    </w:p>
    <w:p w14:paraId="738AF932" w14:textId="77777777" w:rsidR="00003011" w:rsidRDefault="00003011" w:rsidP="00055D69">
      <w:pPr>
        <w:ind w:left="142"/>
        <w:jc w:val="both"/>
        <w:rPr>
          <w:rFonts w:ascii="Bookman Old Style" w:hAnsi="Bookman Old Style" w:cs="Arial"/>
          <w:i/>
          <w:iCs/>
          <w:lang w:val="es-CO"/>
        </w:rPr>
      </w:pPr>
    </w:p>
    <w:p w14:paraId="3C5AD25C" w14:textId="77777777" w:rsidR="00AD15C9" w:rsidRPr="00F171AE" w:rsidRDefault="00AD15C9" w:rsidP="00055D69">
      <w:pPr>
        <w:ind w:left="142"/>
        <w:jc w:val="both"/>
        <w:rPr>
          <w:rFonts w:ascii="Bookman Old Style" w:hAnsi="Bookman Old Style" w:cs="Arial"/>
          <w:i/>
          <w:iCs/>
          <w:lang w:val="es-CO"/>
        </w:rPr>
      </w:pPr>
      <w:r w:rsidRPr="00F171AE">
        <w:rPr>
          <w:rFonts w:ascii="Bookman Old Style" w:hAnsi="Bookman Old Style" w:cs="Arial"/>
          <w:i/>
          <w:iCs/>
          <w:lang w:val="es-CO"/>
        </w:rPr>
        <w:tab/>
        <w:t>La tarifa máxima de cada contribución no podrá ser superior al uno por ciento (1%) del valor de los gastos de funcionamiento, asociados al servicio sometido a regulación, de la entidad contribuyente en el año anterior a aquel en el que se haga el cobro, de acuerdo con los estados financieros puestos a disposición de la Superintendencia y de las comisiones, cada una de las cuales e independientemente y con base en su estudio fijarán la tarifa correspondiente.</w:t>
      </w:r>
    </w:p>
    <w:p w14:paraId="0344F415" w14:textId="77777777" w:rsidR="00AD15C9" w:rsidRPr="00F171AE" w:rsidRDefault="00AD15C9" w:rsidP="00055D69">
      <w:pPr>
        <w:ind w:left="142"/>
        <w:jc w:val="both"/>
        <w:rPr>
          <w:rFonts w:ascii="Bookman Old Style" w:hAnsi="Bookman Old Style" w:cs="Arial"/>
          <w:i/>
          <w:iCs/>
          <w:lang w:val="es-CO"/>
        </w:rPr>
      </w:pPr>
    </w:p>
    <w:p w14:paraId="0754893F" w14:textId="71CBC7BF" w:rsidR="00AD15C9" w:rsidRPr="007D33F6" w:rsidRDefault="00AD15C9" w:rsidP="00055D69">
      <w:pPr>
        <w:ind w:left="142"/>
        <w:jc w:val="both"/>
        <w:rPr>
          <w:rFonts w:ascii="Bookman Old Style" w:hAnsi="Bookman Old Style" w:cs="Arial"/>
          <w:i/>
          <w:iCs/>
          <w:lang w:val="es-CO"/>
        </w:rPr>
      </w:pPr>
      <w:r w:rsidRPr="00F171AE">
        <w:rPr>
          <w:rFonts w:ascii="Bookman Old Style" w:hAnsi="Bookman Old Style" w:cs="Arial"/>
          <w:i/>
          <w:iCs/>
          <w:lang w:val="es-CO"/>
        </w:rPr>
        <w:lastRenderedPageBreak/>
        <w:t xml:space="preserve">85.3.- </w:t>
      </w:r>
      <w:r w:rsidR="005074DB">
        <w:rPr>
          <w:rFonts w:ascii="Bookman Old Style" w:hAnsi="Bookman Old Style" w:cs="Arial"/>
          <w:i/>
          <w:iCs/>
          <w:lang w:val="es-CO"/>
        </w:rPr>
        <w:t>S</w:t>
      </w:r>
      <w:r w:rsidR="00F1343F">
        <w:rPr>
          <w:rFonts w:ascii="Bookman Old Style" w:hAnsi="Bookman Old Style" w:cs="Arial"/>
          <w:i/>
          <w:iCs/>
          <w:lang w:val="es-CO"/>
        </w:rPr>
        <w:t>us</w:t>
      </w:r>
      <w:r w:rsidR="005074DB">
        <w:rPr>
          <w:rFonts w:ascii="Bookman Old Style" w:hAnsi="Bookman Old Style" w:cs="Arial"/>
          <w:i/>
          <w:iCs/>
          <w:lang w:val="es-CO"/>
        </w:rPr>
        <w:t>t</w:t>
      </w:r>
      <w:r w:rsidR="00F1343F">
        <w:rPr>
          <w:rFonts w:ascii="Bookman Old Style" w:hAnsi="Bookman Old Style" w:cs="Arial"/>
          <w:i/>
          <w:iCs/>
          <w:lang w:val="es-CO"/>
        </w:rPr>
        <w:t>ituido</w:t>
      </w:r>
      <w:r w:rsidR="005074DB">
        <w:rPr>
          <w:rFonts w:ascii="Bookman Old Style" w:hAnsi="Bookman Old Style" w:cs="Arial"/>
          <w:i/>
          <w:iCs/>
          <w:lang w:val="es-CO"/>
        </w:rPr>
        <w:t xml:space="preserve"> por los planes </w:t>
      </w:r>
      <w:r w:rsidR="0016330A">
        <w:rPr>
          <w:rFonts w:ascii="Bookman Old Style" w:hAnsi="Bookman Old Style" w:cs="Arial"/>
          <w:i/>
          <w:iCs/>
          <w:lang w:val="es-CO"/>
        </w:rPr>
        <w:t>nacionales</w:t>
      </w:r>
      <w:r w:rsidR="005074DB">
        <w:rPr>
          <w:rFonts w:ascii="Bookman Old Style" w:hAnsi="Bookman Old Style" w:cs="Arial"/>
          <w:i/>
          <w:iCs/>
          <w:lang w:val="es-CO"/>
        </w:rPr>
        <w:t xml:space="preserve"> de desarrollo: leyes 812 </w:t>
      </w:r>
      <w:r w:rsidR="0016330A">
        <w:rPr>
          <w:rFonts w:ascii="Bookman Old Style" w:hAnsi="Bookman Old Style" w:cs="Arial"/>
          <w:i/>
          <w:iCs/>
          <w:lang w:val="es-CO"/>
        </w:rPr>
        <w:t xml:space="preserve">de 2003, </w:t>
      </w:r>
      <w:r w:rsidR="00F1343F">
        <w:rPr>
          <w:rFonts w:ascii="Bookman Old Style" w:hAnsi="Bookman Old Style" w:cs="Arial"/>
          <w:i/>
          <w:iCs/>
          <w:lang w:val="es-CO"/>
        </w:rPr>
        <w:t xml:space="preserve">1151 de 2007, </w:t>
      </w:r>
      <w:r w:rsidR="003E1A5D">
        <w:rPr>
          <w:rFonts w:ascii="Bookman Old Style" w:hAnsi="Bookman Old Style" w:cs="Arial"/>
          <w:i/>
          <w:iCs/>
          <w:lang w:val="es-CO"/>
        </w:rPr>
        <w:t xml:space="preserve">1450 de 2011, </w:t>
      </w:r>
      <w:r w:rsidR="001828B2">
        <w:rPr>
          <w:rFonts w:ascii="Bookman Old Style" w:hAnsi="Bookman Old Style" w:cs="Arial"/>
          <w:i/>
          <w:iCs/>
          <w:lang w:val="es-CO"/>
        </w:rPr>
        <w:t xml:space="preserve">1753 de 2015, </w:t>
      </w:r>
      <w:r w:rsidR="00DA5EFB">
        <w:rPr>
          <w:rFonts w:ascii="Bookman Old Style" w:hAnsi="Bookman Old Style" w:cs="Arial"/>
          <w:i/>
          <w:iCs/>
          <w:lang w:val="es-CO"/>
        </w:rPr>
        <w:t>1955 de 2019.</w:t>
      </w:r>
    </w:p>
    <w:p w14:paraId="5121F188" w14:textId="77777777" w:rsidR="00AD15C9" w:rsidRPr="007D33F6" w:rsidRDefault="00AD15C9" w:rsidP="00055D69">
      <w:pPr>
        <w:ind w:left="142"/>
        <w:jc w:val="both"/>
        <w:rPr>
          <w:rFonts w:ascii="Bookman Old Style" w:hAnsi="Bookman Old Style" w:cs="Arial"/>
          <w:i/>
          <w:iCs/>
          <w:lang w:val="es-CO"/>
        </w:rPr>
      </w:pPr>
    </w:p>
    <w:p w14:paraId="1E3BCF5B" w14:textId="77777777" w:rsidR="00AD15C9" w:rsidRPr="007D33F6" w:rsidRDefault="00AD15C9" w:rsidP="00055D69">
      <w:pPr>
        <w:ind w:left="142"/>
        <w:jc w:val="both"/>
        <w:rPr>
          <w:rFonts w:ascii="Bookman Old Style" w:hAnsi="Bookman Old Style" w:cs="Arial"/>
          <w:i/>
          <w:iCs/>
          <w:lang w:val="es-CO"/>
        </w:rPr>
      </w:pPr>
      <w:r w:rsidRPr="007D33F6">
        <w:rPr>
          <w:rFonts w:ascii="Bookman Old Style" w:hAnsi="Bookman Old Style" w:cs="Arial"/>
          <w:i/>
          <w:iCs/>
          <w:lang w:val="es-CO"/>
        </w:rPr>
        <w:t>85.4.- El cálculo de la suma a cargo de cada contribuyente, en cuanto a los costos de regulación, se hará teniendo en cuenta los costos de la comisión que regula el sector en el cual se desempeña; y el de los costos de vigilancia, atendiendo a los de la Superintendencia.</w:t>
      </w:r>
    </w:p>
    <w:p w14:paraId="778EA242" w14:textId="77777777" w:rsidR="00AD15C9" w:rsidRPr="007D33F6" w:rsidRDefault="00AD15C9" w:rsidP="00055D69">
      <w:pPr>
        <w:ind w:left="142"/>
        <w:jc w:val="both"/>
        <w:rPr>
          <w:rFonts w:ascii="Bookman Old Style" w:hAnsi="Bookman Old Style" w:cs="Arial"/>
          <w:i/>
          <w:iCs/>
          <w:lang w:val="es-CO"/>
        </w:rPr>
      </w:pPr>
    </w:p>
    <w:p w14:paraId="35F3B3C4" w14:textId="77777777" w:rsidR="00AD15C9" w:rsidRPr="007D33F6" w:rsidRDefault="00AD15C9" w:rsidP="00055D69">
      <w:pPr>
        <w:ind w:left="142"/>
        <w:jc w:val="both"/>
        <w:rPr>
          <w:rFonts w:ascii="Bookman Old Style" w:hAnsi="Bookman Old Style" w:cs="Arial"/>
          <w:i/>
          <w:iCs/>
          <w:lang w:val="es-CO"/>
        </w:rPr>
      </w:pPr>
      <w:r w:rsidRPr="007D33F6">
        <w:rPr>
          <w:rFonts w:ascii="Bookman Old Style" w:hAnsi="Bookman Old Style" w:cs="Arial"/>
          <w:i/>
          <w:iCs/>
          <w:lang w:val="es-CO"/>
        </w:rPr>
        <w:t xml:space="preserve">85.5.- La liquidación y recaudo de las contribuciones correspondientes al servicio de regulación se efectuará por las comisiones respectivas y las correspondientes al servicio de inspección, control y vigilancia estarán a cargo de la Superintendencia. </w:t>
      </w:r>
    </w:p>
    <w:p w14:paraId="61442E5B" w14:textId="77777777" w:rsidR="00AD15C9" w:rsidRPr="007D33F6" w:rsidRDefault="00AD15C9" w:rsidP="00055D69">
      <w:pPr>
        <w:ind w:left="142"/>
        <w:jc w:val="both"/>
        <w:rPr>
          <w:rFonts w:ascii="Bookman Old Style" w:hAnsi="Bookman Old Style" w:cs="Arial"/>
          <w:i/>
          <w:iCs/>
          <w:lang w:val="es-CO"/>
        </w:rPr>
      </w:pPr>
    </w:p>
    <w:p w14:paraId="0FB35631" w14:textId="77777777" w:rsidR="00AD15C9" w:rsidRPr="007D33F6" w:rsidRDefault="00AD15C9" w:rsidP="00055D69">
      <w:pPr>
        <w:ind w:left="142"/>
        <w:jc w:val="both"/>
        <w:rPr>
          <w:rFonts w:ascii="Bookman Old Style" w:hAnsi="Bookman Old Style" w:cs="Arial"/>
          <w:i/>
          <w:iCs/>
          <w:lang w:val="es-CO"/>
        </w:rPr>
      </w:pPr>
      <w:r w:rsidRPr="007D33F6">
        <w:rPr>
          <w:rFonts w:ascii="Bookman Old Style" w:hAnsi="Bookman Old Style" w:cs="Arial"/>
          <w:i/>
          <w:iCs/>
          <w:lang w:val="es-CO"/>
        </w:rPr>
        <w:t>85.6.- Una vez en firme las liquidaciones deberán ser canceladas dentro del mes siguiente. Se aplicará el mismo régimen de sanción por mora aplicable al impuesto sobre la renta y complementarios, sin perjuicio de las demás sanciones de que trata esta ley.</w:t>
      </w:r>
    </w:p>
    <w:p w14:paraId="6DFE5650" w14:textId="77777777" w:rsidR="00AD15C9" w:rsidRPr="007D33F6" w:rsidRDefault="00AD15C9" w:rsidP="00055D69">
      <w:pPr>
        <w:ind w:left="142"/>
        <w:jc w:val="both"/>
        <w:rPr>
          <w:rFonts w:ascii="Bookman Old Style" w:hAnsi="Bookman Old Style" w:cs="Arial"/>
          <w:i/>
          <w:iCs/>
          <w:lang w:val="es-CO"/>
        </w:rPr>
      </w:pPr>
    </w:p>
    <w:p w14:paraId="514223F6" w14:textId="273D7D11" w:rsidR="00AD15C9" w:rsidRPr="007D33F6" w:rsidRDefault="006474F3" w:rsidP="00055D69">
      <w:pPr>
        <w:ind w:left="142"/>
        <w:jc w:val="both"/>
        <w:rPr>
          <w:rFonts w:ascii="Bookman Old Style" w:hAnsi="Bookman Old Style" w:cs="Arial"/>
          <w:i/>
          <w:iCs/>
          <w:lang w:val="es-CO"/>
        </w:rPr>
      </w:pPr>
      <w:r w:rsidRPr="007D33F6">
        <w:rPr>
          <w:rFonts w:ascii="Bookman Old Style" w:hAnsi="Bookman Old Style" w:cs="Arial"/>
          <w:i/>
          <w:iCs/>
          <w:lang w:val="es-CO"/>
        </w:rPr>
        <w:t>PARÁGRAFO</w:t>
      </w:r>
      <w:r w:rsidR="00AD15C9" w:rsidRPr="007D33F6">
        <w:rPr>
          <w:rFonts w:ascii="Bookman Old Style" w:hAnsi="Bookman Old Style" w:cs="Arial"/>
          <w:i/>
          <w:iCs/>
          <w:lang w:val="es-CO"/>
        </w:rPr>
        <w:t xml:space="preserve"> 1. Las comisiones y la Superintendencia se </w:t>
      </w:r>
      <w:r w:rsidR="00FD25DE" w:rsidRPr="007D33F6">
        <w:rPr>
          <w:rFonts w:ascii="Bookman Old Style" w:hAnsi="Bookman Old Style" w:cs="Arial"/>
          <w:i/>
          <w:iCs/>
          <w:lang w:val="es-CO"/>
        </w:rPr>
        <w:t>financiarán</w:t>
      </w:r>
      <w:r w:rsidR="00AD15C9" w:rsidRPr="007D33F6">
        <w:rPr>
          <w:rFonts w:ascii="Bookman Old Style" w:hAnsi="Bookman Old Style" w:cs="Arial"/>
          <w:i/>
          <w:iCs/>
          <w:lang w:val="es-CO"/>
        </w:rPr>
        <w:t xml:space="preserve"> exclusivamente con las contribuciones a las que se refiere este artículo y con la venta de sus publicaciones. Sin</w:t>
      </w:r>
      <w:r w:rsidR="004C73E3">
        <w:rPr>
          <w:rFonts w:ascii="Bookman Old Style" w:hAnsi="Bookman Old Style" w:cs="Arial"/>
          <w:i/>
          <w:iCs/>
          <w:lang w:val="es-CO"/>
        </w:rPr>
        <w:t xml:space="preserve"> </w:t>
      </w:r>
      <w:r w:rsidR="00AD15C9" w:rsidRPr="007D33F6">
        <w:rPr>
          <w:rFonts w:ascii="Bookman Old Style" w:hAnsi="Bookman Old Style" w:cs="Arial"/>
          <w:i/>
          <w:iCs/>
          <w:lang w:val="es-CO"/>
        </w:rPr>
        <w:t>embargo, el gobierno incluirá en el presupuesto de la Nación apropiaciones suficientes para el funcionamiento de las comisiones y de la Superintendencia durante los dos primeros años.</w:t>
      </w:r>
    </w:p>
    <w:p w14:paraId="716A7998" w14:textId="77777777" w:rsidR="00AD15C9" w:rsidRPr="00AD15C9" w:rsidRDefault="00AD15C9" w:rsidP="00055D69">
      <w:pPr>
        <w:ind w:left="142"/>
        <w:jc w:val="both"/>
        <w:rPr>
          <w:rFonts w:ascii="Bookman Old Style" w:hAnsi="Bookman Old Style" w:cs="Arial"/>
          <w:lang w:val="es-CO"/>
        </w:rPr>
      </w:pPr>
    </w:p>
    <w:p w14:paraId="5321D334" w14:textId="2EFC31D1" w:rsidR="00AD15C9" w:rsidRPr="007D33F6" w:rsidRDefault="006474F3" w:rsidP="00055D69">
      <w:pPr>
        <w:ind w:left="142"/>
        <w:jc w:val="both"/>
        <w:rPr>
          <w:rFonts w:ascii="Bookman Old Style" w:hAnsi="Bookman Old Style" w:cs="Arial"/>
          <w:i/>
          <w:iCs/>
          <w:lang w:val="es-CO"/>
        </w:rPr>
      </w:pPr>
      <w:r w:rsidRPr="007D33F6">
        <w:rPr>
          <w:rFonts w:ascii="Bookman Old Style" w:hAnsi="Bookman Old Style" w:cs="Arial"/>
          <w:i/>
          <w:iCs/>
          <w:lang w:val="es-CO"/>
        </w:rPr>
        <w:t>PARÁGRAFO</w:t>
      </w:r>
      <w:r w:rsidR="00AD15C9" w:rsidRPr="007D33F6">
        <w:rPr>
          <w:rFonts w:ascii="Bookman Old Style" w:hAnsi="Bookman Old Style" w:cs="Arial"/>
          <w:i/>
          <w:iCs/>
          <w:lang w:val="es-CO"/>
        </w:rPr>
        <w:t xml:space="preserve"> 2. Al fijar las contribuciones especiales se eliminarán, de los gastos de funcionamiento, los gastos operativos; en las empresas del sector eléctrico, las compras de electricidad, las compras de combustibles y los peajes, cuando hubiere lugar a ello; y en las empresas de otros sectores los gastos de</w:t>
      </w:r>
      <w:r w:rsidR="00AD15C9" w:rsidRPr="00AD15C9">
        <w:rPr>
          <w:rFonts w:ascii="Bookman Old Style" w:hAnsi="Bookman Old Style" w:cs="Arial"/>
          <w:lang w:val="es-CO"/>
        </w:rPr>
        <w:t xml:space="preserve"> </w:t>
      </w:r>
      <w:r w:rsidR="00AD15C9" w:rsidRPr="007D33F6">
        <w:rPr>
          <w:rFonts w:ascii="Bookman Old Style" w:hAnsi="Bookman Old Style" w:cs="Arial"/>
          <w:i/>
          <w:iCs/>
          <w:lang w:val="es-CO"/>
        </w:rPr>
        <w:t xml:space="preserve">naturaleza similar a éstos. Estos rubros podrán ser adicionados en la misma </w:t>
      </w:r>
      <w:r w:rsidR="004C73E3" w:rsidRPr="007D33F6">
        <w:rPr>
          <w:rFonts w:ascii="Bookman Old Style" w:hAnsi="Bookman Old Style" w:cs="Arial"/>
          <w:i/>
          <w:iCs/>
          <w:lang w:val="es-CO"/>
        </w:rPr>
        <w:t>proporción</w:t>
      </w:r>
      <w:r w:rsidR="00AD15C9" w:rsidRPr="007D33F6">
        <w:rPr>
          <w:rFonts w:ascii="Bookman Old Style" w:hAnsi="Bookman Old Style" w:cs="Arial"/>
          <w:i/>
          <w:iCs/>
          <w:lang w:val="es-CO"/>
        </w:rPr>
        <w:t xml:space="preserve"> en que sean indispensables para cubrir faltantes presupuestales de las comisiones y la superintendencia.</w:t>
      </w:r>
    </w:p>
    <w:p w14:paraId="311CE1DD" w14:textId="77777777" w:rsidR="00AD15C9" w:rsidRDefault="00AD15C9" w:rsidP="00C5358C">
      <w:pPr>
        <w:ind w:left="0"/>
        <w:jc w:val="both"/>
        <w:rPr>
          <w:rFonts w:ascii="Bookman Old Style" w:hAnsi="Bookman Old Style" w:cs="Arial"/>
          <w:lang w:val="es-CO"/>
        </w:rPr>
      </w:pPr>
    </w:p>
    <w:p w14:paraId="45C04A0C" w14:textId="54F8FBAD" w:rsidR="00627654" w:rsidRDefault="00E7328C" w:rsidP="00D747C8">
      <w:pPr>
        <w:ind w:left="0"/>
        <w:jc w:val="both"/>
        <w:rPr>
          <w:rFonts w:ascii="Bookman Old Style" w:hAnsi="Bookman Old Style" w:cs="Arial"/>
          <w:lang w:val="es-CO"/>
        </w:rPr>
      </w:pPr>
      <w:r w:rsidRPr="0024494C">
        <w:rPr>
          <w:rFonts w:ascii="Bookman Old Style" w:hAnsi="Bookman Old Style" w:cs="Arial"/>
          <w:lang w:val="es-CO"/>
        </w:rPr>
        <w:t xml:space="preserve">El </w:t>
      </w:r>
      <w:r w:rsidR="005C376B" w:rsidRPr="0024494C">
        <w:rPr>
          <w:rFonts w:ascii="Bookman Old Style" w:hAnsi="Bookman Old Style" w:cs="Arial"/>
          <w:lang w:val="es-CO"/>
        </w:rPr>
        <w:t>artículo</w:t>
      </w:r>
      <w:r w:rsidR="006B79CB" w:rsidRPr="0024494C">
        <w:rPr>
          <w:rFonts w:ascii="Bookman Old Style" w:hAnsi="Bookman Old Style" w:cs="Arial"/>
          <w:lang w:val="es-CO"/>
        </w:rPr>
        <w:t xml:space="preserve"> 22 de la ley 143 de 1994, </w:t>
      </w:r>
      <w:r w:rsidR="003B2652">
        <w:rPr>
          <w:rFonts w:ascii="Bookman Old Style" w:hAnsi="Bookman Old Style" w:cs="Arial"/>
          <w:lang w:val="es-CO"/>
        </w:rPr>
        <w:t>ordena</w:t>
      </w:r>
      <w:r w:rsidR="006B79CB" w:rsidRPr="0024494C">
        <w:rPr>
          <w:rFonts w:ascii="Bookman Old Style" w:hAnsi="Bookman Old Style" w:cs="Arial"/>
          <w:lang w:val="es-CO"/>
        </w:rPr>
        <w:t xml:space="preserve">: </w:t>
      </w:r>
    </w:p>
    <w:p w14:paraId="39F2EEB2" w14:textId="77777777" w:rsidR="00627654" w:rsidRDefault="00627654" w:rsidP="00D747C8">
      <w:pPr>
        <w:ind w:left="0"/>
        <w:jc w:val="both"/>
        <w:rPr>
          <w:rFonts w:ascii="Bookman Old Style" w:hAnsi="Bookman Old Style" w:cs="Arial"/>
          <w:lang w:val="es-CO"/>
        </w:rPr>
      </w:pPr>
    </w:p>
    <w:p w14:paraId="0D7139C0" w14:textId="61AF1BE8" w:rsidR="0059022E" w:rsidRDefault="006B79CB" w:rsidP="00055D69">
      <w:pPr>
        <w:ind w:left="142"/>
        <w:jc w:val="both"/>
        <w:rPr>
          <w:rFonts w:ascii="Bookman Old Style" w:hAnsi="Bookman Old Style" w:cs="Arial"/>
          <w:i/>
          <w:iCs/>
          <w:lang w:val="es-CO"/>
        </w:rPr>
      </w:pPr>
      <w:r w:rsidRPr="0024494C">
        <w:rPr>
          <w:rFonts w:ascii="Bookman Old Style" w:hAnsi="Bookman Old Style" w:cs="Arial"/>
          <w:lang w:val="es-CO"/>
        </w:rPr>
        <w:t>“</w:t>
      </w:r>
      <w:r w:rsidR="00D747C8" w:rsidRPr="0024494C">
        <w:rPr>
          <w:rFonts w:ascii="Bookman Old Style" w:hAnsi="Bookman Old Style" w:cs="Arial"/>
          <w:i/>
          <w:iCs/>
          <w:lang w:val="es-CO"/>
        </w:rPr>
        <w:t xml:space="preserve">Los costos del servicio de regulación serán cubiertos por todas las entidades sometidas a su regulación y el monto total de la contribución no podrá ser superior al 1%, del valor de los gastos de funcionamiento excluyendo los gastos operativos, compras de electricidad, compras de combustibles y peajes, cuando hubiere lugar a ello, de la entidad regulada, incurrido el año anterior a aquel en que se haga el cobro, de acuerdo con los estados financieros puestos a disposición de la Superintendencia de Servicios Públicos y de la Comisión de Regulación de Energía y Gas. </w:t>
      </w:r>
    </w:p>
    <w:p w14:paraId="591119D8" w14:textId="5041BACB" w:rsidR="00E7328C" w:rsidRPr="0024494C" w:rsidRDefault="00D747C8" w:rsidP="00055D69">
      <w:pPr>
        <w:ind w:left="142"/>
        <w:jc w:val="both"/>
        <w:rPr>
          <w:rFonts w:ascii="Bookman Old Style" w:hAnsi="Bookman Old Style" w:cs="Arial"/>
          <w:lang w:val="es-CO"/>
        </w:rPr>
      </w:pPr>
      <w:r w:rsidRPr="0024494C">
        <w:rPr>
          <w:rFonts w:ascii="Bookman Old Style" w:hAnsi="Bookman Old Style" w:cs="Arial"/>
          <w:i/>
          <w:iCs/>
          <w:lang w:val="es-CO"/>
        </w:rPr>
        <w:t xml:space="preserve">El monto de la contribución que le corresponde pagar a cada entidad será </w:t>
      </w:r>
      <w:proofErr w:type="gramStart"/>
      <w:r w:rsidR="006474F3" w:rsidRPr="0024494C">
        <w:rPr>
          <w:rFonts w:ascii="Bookman Old Style" w:hAnsi="Bookman Old Style" w:cs="Arial"/>
          <w:i/>
          <w:iCs/>
          <w:lang w:val="es-CO"/>
        </w:rPr>
        <w:t>liquidad</w:t>
      </w:r>
      <w:r w:rsidR="006474F3">
        <w:rPr>
          <w:rFonts w:ascii="Bookman Old Style" w:hAnsi="Bookman Old Style" w:cs="Arial"/>
          <w:i/>
          <w:iCs/>
          <w:lang w:val="es-CO"/>
        </w:rPr>
        <w:t>a</w:t>
      </w:r>
      <w:proofErr w:type="gramEnd"/>
      <w:r w:rsidRPr="0024494C">
        <w:rPr>
          <w:rFonts w:ascii="Bookman Old Style" w:hAnsi="Bookman Old Style" w:cs="Arial"/>
          <w:i/>
          <w:iCs/>
          <w:lang w:val="es-CO"/>
        </w:rPr>
        <w:t xml:space="preserve"> por la Comisión de Regulación de Energía y Gas. Las contribuciones deberán ser pagadas dentro de los primeros treinta (30) días calendario siguientes al respectivo recaudo, en la entidad o entidades financieras señaladas para recibir este recaudo.</w:t>
      </w:r>
      <w:r w:rsidR="006B79CB" w:rsidRPr="0024494C">
        <w:rPr>
          <w:rFonts w:ascii="Bookman Old Style" w:hAnsi="Bookman Old Style" w:cs="Arial"/>
          <w:lang w:val="es-CO"/>
        </w:rPr>
        <w:t>”</w:t>
      </w:r>
    </w:p>
    <w:p w14:paraId="72B0119A" w14:textId="77777777" w:rsidR="00C5358C" w:rsidRPr="0024494C" w:rsidRDefault="00C5358C" w:rsidP="000E5253">
      <w:pPr>
        <w:ind w:left="0"/>
        <w:jc w:val="both"/>
        <w:rPr>
          <w:rFonts w:ascii="Bookman Old Style" w:hAnsi="Bookman Old Style" w:cs="Arial"/>
          <w:lang w:val="es-CO"/>
        </w:rPr>
      </w:pPr>
    </w:p>
    <w:p w14:paraId="0227A0C6" w14:textId="2BA1AB69" w:rsidR="00703534" w:rsidRDefault="00EE77F8" w:rsidP="00E50E1E">
      <w:pPr>
        <w:ind w:left="0"/>
        <w:jc w:val="both"/>
        <w:rPr>
          <w:rFonts w:ascii="Bookman Old Style" w:hAnsi="Bookman Old Style" w:cs="Arial"/>
        </w:rPr>
      </w:pPr>
      <w:r w:rsidRPr="0024494C">
        <w:rPr>
          <w:rFonts w:ascii="Bookman Old Style" w:hAnsi="Bookman Old Style" w:cs="Arial"/>
        </w:rPr>
        <w:t>El artículo 11 de la Ley 142 de 199</w:t>
      </w:r>
      <w:r w:rsidR="00E50E1E" w:rsidRPr="0024494C">
        <w:rPr>
          <w:rFonts w:ascii="Bookman Old Style" w:hAnsi="Bookman Old Style" w:cs="Arial"/>
        </w:rPr>
        <w:t xml:space="preserve">4 </w:t>
      </w:r>
      <w:r w:rsidR="00C41F49" w:rsidRPr="0024494C">
        <w:rPr>
          <w:rFonts w:ascii="Bookman Old Style" w:hAnsi="Bookman Old Style" w:cs="Arial"/>
        </w:rPr>
        <w:t>determina</w:t>
      </w:r>
      <w:r w:rsidR="005F21CA" w:rsidRPr="005F21CA">
        <w:t xml:space="preserve"> </w:t>
      </w:r>
      <w:r w:rsidR="005F21CA" w:rsidRPr="00F171AE">
        <w:rPr>
          <w:rFonts w:ascii="Bookman Old Style" w:hAnsi="Bookman Old Style" w:cs="Arial"/>
        </w:rPr>
        <w:t>que</w:t>
      </w:r>
      <w:r w:rsidR="00087287">
        <w:rPr>
          <w:rFonts w:ascii="Bookman Old Style" w:hAnsi="Bookman Old Style" w:cs="Arial"/>
        </w:rPr>
        <w:t>:</w:t>
      </w:r>
      <w:r w:rsidR="005F21CA" w:rsidRPr="00F171AE">
        <w:rPr>
          <w:rFonts w:ascii="Bookman Old Style" w:hAnsi="Bookman Old Style" w:cs="Arial"/>
        </w:rPr>
        <w:t xml:space="preserve"> </w:t>
      </w:r>
      <w:r w:rsidR="00087287">
        <w:rPr>
          <w:rFonts w:ascii="Bookman Old Style" w:hAnsi="Bookman Old Style" w:cs="Arial"/>
        </w:rPr>
        <w:t>“</w:t>
      </w:r>
      <w:r w:rsidR="005F21CA" w:rsidRPr="00F171AE">
        <w:rPr>
          <w:rFonts w:ascii="Bookman Old Style" w:hAnsi="Bookman Old Style" w:cs="Arial"/>
          <w:i/>
          <w:iCs/>
          <w:lang w:val="es-CO"/>
        </w:rPr>
        <w:t>Para cumplir con la función social de la propiedad, pública o privada, las entidades que presten servicios públicos tienen las siguientes obligaciones</w:t>
      </w:r>
      <w:r w:rsidR="004E27F2" w:rsidRPr="0024494C">
        <w:rPr>
          <w:rFonts w:ascii="Bookman Old Style" w:hAnsi="Bookman Old Style" w:cs="Arial"/>
        </w:rPr>
        <w:t>:</w:t>
      </w:r>
      <w:r w:rsidR="00C41F49" w:rsidRPr="0024494C">
        <w:rPr>
          <w:rFonts w:ascii="Bookman Old Style" w:hAnsi="Bookman Old Style" w:cs="Arial"/>
        </w:rPr>
        <w:t xml:space="preserve"> </w:t>
      </w:r>
    </w:p>
    <w:p w14:paraId="41D27890" w14:textId="77777777" w:rsidR="00703534" w:rsidRDefault="00703534" w:rsidP="00E50E1E">
      <w:pPr>
        <w:ind w:left="0"/>
        <w:jc w:val="both"/>
        <w:rPr>
          <w:rFonts w:ascii="Bookman Old Style" w:hAnsi="Bookman Old Style" w:cs="Arial"/>
        </w:rPr>
      </w:pPr>
    </w:p>
    <w:p w14:paraId="26BC58D2" w14:textId="74399762" w:rsidR="0059022E" w:rsidRDefault="00942D3E" w:rsidP="00E50E1E">
      <w:pPr>
        <w:ind w:left="0"/>
        <w:jc w:val="both"/>
        <w:rPr>
          <w:rFonts w:ascii="Bookman Old Style" w:hAnsi="Bookman Old Style" w:cs="Arial"/>
          <w:i/>
          <w:iCs/>
        </w:rPr>
      </w:pPr>
      <w:r>
        <w:rPr>
          <w:rFonts w:ascii="Bookman Old Style" w:hAnsi="Bookman Old Style" w:cs="Arial"/>
        </w:rPr>
        <w:t xml:space="preserve">11.8. </w:t>
      </w:r>
      <w:r w:rsidR="00E50E1E" w:rsidRPr="0024494C">
        <w:rPr>
          <w:rFonts w:ascii="Bookman Old Style" w:hAnsi="Bookman Old Style" w:cs="Arial"/>
          <w:i/>
          <w:iCs/>
        </w:rPr>
        <w:t xml:space="preserve">Informar el inicio de sus actividades a la respectiva Comisión de Regulación, y a la Superintendencia de Servicios Públicos, para que esas autoridades puedan cumplir sus funciones. </w:t>
      </w:r>
      <w:r w:rsidR="00DB33BE">
        <w:rPr>
          <w:rFonts w:ascii="Bookman Old Style" w:hAnsi="Bookman Old Style" w:cs="Arial"/>
          <w:i/>
          <w:iCs/>
        </w:rPr>
        <w:t>(..)</w:t>
      </w:r>
    </w:p>
    <w:p w14:paraId="7A9E4BB3" w14:textId="4838CECF" w:rsidR="004408A1" w:rsidRPr="0024494C" w:rsidRDefault="004408A1" w:rsidP="000E5253">
      <w:pPr>
        <w:ind w:left="0"/>
        <w:jc w:val="both"/>
        <w:rPr>
          <w:rFonts w:ascii="Bookman Old Style" w:hAnsi="Bookman Old Style" w:cs="Arial"/>
        </w:rPr>
      </w:pPr>
    </w:p>
    <w:p w14:paraId="7B654DB5" w14:textId="1D31E233" w:rsidR="00E2027B" w:rsidRDefault="0040301E" w:rsidP="00786F8E">
      <w:pPr>
        <w:ind w:left="0"/>
        <w:jc w:val="both"/>
        <w:rPr>
          <w:rFonts w:ascii="Bookman Old Style" w:hAnsi="Bookman Old Style" w:cs="Arial"/>
        </w:rPr>
      </w:pPr>
      <w:r w:rsidRPr="0024494C">
        <w:rPr>
          <w:rFonts w:ascii="Bookman Old Style" w:hAnsi="Bookman Old Style" w:cs="Arial"/>
        </w:rPr>
        <w:t>Mediante</w:t>
      </w:r>
      <w:r w:rsidR="00C6730F" w:rsidRPr="0024494C">
        <w:rPr>
          <w:rFonts w:ascii="Bookman Old Style" w:hAnsi="Bookman Old Style" w:cs="Arial"/>
        </w:rPr>
        <w:t xml:space="preserve"> </w:t>
      </w:r>
      <w:r w:rsidR="00634DEB" w:rsidRPr="0024494C">
        <w:rPr>
          <w:rFonts w:ascii="Bookman Old Style" w:hAnsi="Bookman Old Style" w:cs="Arial"/>
        </w:rPr>
        <w:t xml:space="preserve">Resolución SSPD-20231000297335 </w:t>
      </w:r>
      <w:r w:rsidR="00EF0542">
        <w:rPr>
          <w:rFonts w:ascii="Bookman Old Style" w:hAnsi="Bookman Old Style" w:cs="Arial"/>
        </w:rPr>
        <w:t>de</w:t>
      </w:r>
      <w:r w:rsidR="00634DEB" w:rsidRPr="0024494C">
        <w:rPr>
          <w:rFonts w:ascii="Bookman Old Style" w:hAnsi="Bookman Old Style" w:cs="Arial"/>
        </w:rPr>
        <w:t xml:space="preserve"> </w:t>
      </w:r>
      <w:r w:rsidR="0001735E">
        <w:rPr>
          <w:rFonts w:ascii="Bookman Old Style" w:hAnsi="Bookman Old Style" w:cs="Arial"/>
        </w:rPr>
        <w:t xml:space="preserve">31 de mayo de </w:t>
      </w:r>
      <w:r w:rsidR="00634DEB" w:rsidRPr="0024494C">
        <w:rPr>
          <w:rFonts w:ascii="Bookman Old Style" w:hAnsi="Bookman Old Style" w:cs="Arial"/>
        </w:rPr>
        <w:t>2023</w:t>
      </w:r>
      <w:r w:rsidR="00C6730F" w:rsidRPr="0024494C">
        <w:rPr>
          <w:rFonts w:ascii="Bookman Old Style" w:hAnsi="Bookman Old Style" w:cs="Arial"/>
        </w:rPr>
        <w:t>,</w:t>
      </w:r>
      <w:r w:rsidR="00D021F9" w:rsidRPr="0024494C">
        <w:rPr>
          <w:rFonts w:ascii="Bookman Old Style" w:hAnsi="Bookman Old Style" w:cs="Arial"/>
        </w:rPr>
        <w:t xml:space="preserve"> </w:t>
      </w:r>
      <w:r w:rsidR="00AF5667" w:rsidRPr="0024494C">
        <w:rPr>
          <w:rFonts w:ascii="Bookman Old Style" w:hAnsi="Bookman Old Style" w:cs="Arial"/>
        </w:rPr>
        <w:t xml:space="preserve">el Superintendente de Servicios Públicos Domiciliarios, </w:t>
      </w:r>
      <w:r w:rsidR="00DA5236" w:rsidRPr="0024494C">
        <w:rPr>
          <w:rFonts w:ascii="Bookman Old Style" w:hAnsi="Bookman Old Style" w:cs="Arial"/>
        </w:rPr>
        <w:t xml:space="preserve">dispuso: </w:t>
      </w:r>
    </w:p>
    <w:p w14:paraId="3C862F32" w14:textId="77777777" w:rsidR="00E2027B" w:rsidRDefault="00E2027B" w:rsidP="00786F8E">
      <w:pPr>
        <w:ind w:left="0"/>
        <w:jc w:val="both"/>
        <w:rPr>
          <w:rFonts w:ascii="Bookman Old Style" w:hAnsi="Bookman Old Style" w:cs="Arial"/>
        </w:rPr>
      </w:pPr>
    </w:p>
    <w:p w14:paraId="3E892678" w14:textId="77777777" w:rsidR="00E2027B" w:rsidRDefault="00DA5236" w:rsidP="00055D69">
      <w:pPr>
        <w:ind w:left="142"/>
        <w:jc w:val="both"/>
        <w:rPr>
          <w:rFonts w:ascii="Bookman Old Style" w:hAnsi="Bookman Old Style" w:cs="Arial"/>
          <w:i/>
          <w:iCs/>
        </w:rPr>
      </w:pPr>
      <w:r w:rsidRPr="0024494C">
        <w:rPr>
          <w:rFonts w:ascii="Bookman Old Style" w:hAnsi="Bookman Old Style" w:cs="Arial"/>
        </w:rPr>
        <w:t>“</w:t>
      </w:r>
      <w:r w:rsidR="00786F8E" w:rsidRPr="0024494C">
        <w:rPr>
          <w:rFonts w:ascii="Bookman Old Style" w:hAnsi="Bookman Old Style" w:cs="Arial"/>
          <w:i/>
          <w:iCs/>
        </w:rPr>
        <w:t xml:space="preserve">Artículo 1º. Determinación del número de prestadores objeto de contribución especial para la vigencia 2023. Establecer, con base en los soportes anexos a la presente resolución, en tres mil novecientos uno (3901), el número de prestadores que serán objeto de contribución especial para la vigencia 2023. </w:t>
      </w:r>
    </w:p>
    <w:p w14:paraId="7E56EE76" w14:textId="1B29AC8B" w:rsidR="002B447E" w:rsidRDefault="00786F8E" w:rsidP="00055D69">
      <w:pPr>
        <w:ind w:left="142"/>
        <w:jc w:val="both"/>
        <w:rPr>
          <w:rFonts w:ascii="Bookman Old Style" w:hAnsi="Bookman Old Style" w:cs="Arial"/>
          <w:i/>
          <w:iCs/>
        </w:rPr>
      </w:pPr>
      <w:r w:rsidRPr="0024494C">
        <w:rPr>
          <w:rFonts w:ascii="Bookman Old Style" w:hAnsi="Bookman Old Style" w:cs="Arial"/>
          <w:i/>
          <w:iCs/>
        </w:rPr>
        <w:t xml:space="preserve">Artículo 2º. De la tarifa de la contribución especial vigencia 2022. El número determinado en el artículo primero del presente acto </w:t>
      </w:r>
      <w:proofErr w:type="gramStart"/>
      <w:r w:rsidRPr="0024494C">
        <w:rPr>
          <w:rFonts w:ascii="Bookman Old Style" w:hAnsi="Bookman Old Style" w:cs="Arial"/>
          <w:i/>
          <w:iCs/>
        </w:rPr>
        <w:t>administrativo,</w:t>
      </w:r>
      <w:proofErr w:type="gramEnd"/>
      <w:r w:rsidRPr="0024494C">
        <w:rPr>
          <w:rFonts w:ascii="Bookman Old Style" w:hAnsi="Bookman Old Style" w:cs="Arial"/>
          <w:i/>
          <w:iCs/>
        </w:rPr>
        <w:t xml:space="preserve"> será el número total de prestadores que servirá como base para realizar el cálculo de la tarifa de la contribución especial correspondiente a la vigencia 2023. </w:t>
      </w:r>
    </w:p>
    <w:p w14:paraId="7D4EB6EC" w14:textId="419F44C3" w:rsidR="002B447E" w:rsidRDefault="00786F8E" w:rsidP="00055D69">
      <w:pPr>
        <w:ind w:left="142"/>
        <w:jc w:val="both"/>
        <w:rPr>
          <w:rFonts w:ascii="Bookman Old Style" w:hAnsi="Bookman Old Style" w:cs="Arial"/>
          <w:i/>
          <w:iCs/>
        </w:rPr>
      </w:pPr>
      <w:r w:rsidRPr="0024494C">
        <w:rPr>
          <w:rFonts w:ascii="Bookman Old Style" w:hAnsi="Bookman Old Style" w:cs="Arial"/>
          <w:i/>
          <w:iCs/>
        </w:rPr>
        <w:t xml:space="preserve">Parágrafo 1º. Formarán parte integral del presente acto administrativo, los memorandos y reportes realizados por las Superintendencias </w:t>
      </w:r>
      <w:proofErr w:type="gramStart"/>
      <w:r w:rsidRPr="0024494C">
        <w:rPr>
          <w:rFonts w:ascii="Bookman Old Style" w:hAnsi="Bookman Old Style" w:cs="Arial"/>
          <w:i/>
          <w:iCs/>
        </w:rPr>
        <w:t>Delegadas</w:t>
      </w:r>
      <w:proofErr w:type="gramEnd"/>
      <w:r w:rsidRPr="0024494C">
        <w:rPr>
          <w:rFonts w:ascii="Bookman Old Style" w:hAnsi="Bookman Old Style" w:cs="Arial"/>
          <w:i/>
          <w:iCs/>
        </w:rPr>
        <w:t xml:space="preserve"> para Acueducto, Alcantarillado y Aseo y para Energía y Gas Combustible, relacionados en la parte considerativa del presente acto administrativo. </w:t>
      </w:r>
    </w:p>
    <w:p w14:paraId="261631B9" w14:textId="129B27F9" w:rsidR="00DA5236" w:rsidRDefault="00786F8E" w:rsidP="00055D69">
      <w:pPr>
        <w:ind w:left="142"/>
        <w:jc w:val="both"/>
        <w:rPr>
          <w:rFonts w:ascii="Bookman Old Style" w:hAnsi="Bookman Old Style" w:cs="Arial"/>
        </w:rPr>
      </w:pPr>
      <w:r w:rsidRPr="0024494C">
        <w:rPr>
          <w:rFonts w:ascii="Bookman Old Style" w:hAnsi="Bookman Old Style" w:cs="Arial"/>
          <w:i/>
          <w:iCs/>
        </w:rPr>
        <w:t>Parágrafo 2º. En caso de que un prestador de servicios públicos domiciliarios no haya cumplido con la obligación legal de inscribirse en el RUPS, tal omisión no restringe el ejercicio de las funciones de inspección, vigilancia y control por parte de la Superservicios, respecto al mismo, ni el cobro de la contribución especial respectiva.</w:t>
      </w:r>
      <w:r w:rsidR="00DA5236" w:rsidRPr="0024494C">
        <w:rPr>
          <w:rFonts w:ascii="Bookman Old Style" w:hAnsi="Bookman Old Style" w:cs="Arial"/>
        </w:rPr>
        <w:t>”</w:t>
      </w:r>
      <w:r w:rsidRPr="0024494C">
        <w:rPr>
          <w:rFonts w:ascii="Bookman Old Style" w:hAnsi="Bookman Old Style" w:cs="Arial"/>
        </w:rPr>
        <w:t>.</w:t>
      </w:r>
    </w:p>
    <w:p w14:paraId="652C0129" w14:textId="77777777" w:rsidR="003D458E" w:rsidRDefault="003D458E" w:rsidP="00786F8E">
      <w:pPr>
        <w:ind w:left="0"/>
        <w:jc w:val="both"/>
        <w:rPr>
          <w:rFonts w:ascii="Bookman Old Style" w:hAnsi="Bookman Old Style" w:cs="Arial"/>
        </w:rPr>
      </w:pPr>
    </w:p>
    <w:p w14:paraId="422BAB23" w14:textId="4E4A3925" w:rsidR="00C83D5E" w:rsidRPr="0024494C" w:rsidRDefault="0013194C" w:rsidP="000E5253">
      <w:pPr>
        <w:ind w:left="0"/>
        <w:jc w:val="both"/>
        <w:rPr>
          <w:rFonts w:ascii="Bookman Old Style" w:hAnsi="Bookman Old Style" w:cs="Arial"/>
        </w:rPr>
      </w:pPr>
      <w:r w:rsidRPr="0024494C">
        <w:rPr>
          <w:rFonts w:ascii="Bookman Old Style" w:hAnsi="Bookman Old Style" w:cs="Arial"/>
        </w:rPr>
        <w:t xml:space="preserve">El </w:t>
      </w:r>
      <w:r w:rsidR="00FF2F94" w:rsidRPr="0024494C">
        <w:rPr>
          <w:rFonts w:ascii="Bookman Old Style" w:hAnsi="Bookman Old Style" w:cs="Arial"/>
        </w:rPr>
        <w:t xml:space="preserve">artículo 79 </w:t>
      </w:r>
      <w:r w:rsidRPr="0024494C">
        <w:rPr>
          <w:rFonts w:ascii="Bookman Old Style" w:hAnsi="Bookman Old Style" w:cs="Arial"/>
        </w:rPr>
        <w:t>de la</w:t>
      </w:r>
      <w:r w:rsidR="000A0E2C" w:rsidRPr="0024494C">
        <w:rPr>
          <w:rFonts w:ascii="Bookman Old Style" w:hAnsi="Bookman Old Style" w:cs="Arial"/>
        </w:rPr>
        <w:t xml:space="preserve"> Ley 142 de 1994</w:t>
      </w:r>
      <w:r w:rsidR="00F44E1E" w:rsidRPr="0024494C">
        <w:rPr>
          <w:rFonts w:ascii="Bookman Old Style" w:hAnsi="Bookman Old Style" w:cs="Arial"/>
        </w:rPr>
        <w:t xml:space="preserve"> </w:t>
      </w:r>
      <w:r w:rsidR="00105A45">
        <w:rPr>
          <w:rFonts w:ascii="Bookman Old Style" w:hAnsi="Bookman Old Style" w:cs="Arial"/>
        </w:rPr>
        <w:t>le</w:t>
      </w:r>
      <w:r w:rsidR="00A33F2C">
        <w:rPr>
          <w:rFonts w:ascii="Bookman Old Style" w:hAnsi="Bookman Old Style" w:cs="Arial"/>
        </w:rPr>
        <w:t xml:space="preserve"> </w:t>
      </w:r>
      <w:r w:rsidR="002B0933">
        <w:rPr>
          <w:rFonts w:ascii="Bookman Old Style" w:hAnsi="Bookman Old Style" w:cs="Arial"/>
        </w:rPr>
        <w:t xml:space="preserve">asignó a la </w:t>
      </w:r>
      <w:r w:rsidR="00C83D5E" w:rsidRPr="00714678">
        <w:rPr>
          <w:rFonts w:ascii="Bookman Old Style" w:hAnsi="Bookman Old Style" w:cs="Arial"/>
        </w:rPr>
        <w:t>Superintendencia de Servicios Públicos</w:t>
      </w:r>
      <w:r w:rsidR="002B0933" w:rsidRPr="00714678">
        <w:rPr>
          <w:rFonts w:ascii="Bookman Old Style" w:hAnsi="Bookman Old Style" w:cs="Arial"/>
        </w:rPr>
        <w:t xml:space="preserve"> Domiciliarios la función de</w:t>
      </w:r>
      <w:r w:rsidR="00714678">
        <w:rPr>
          <w:rFonts w:ascii="Bookman Old Style" w:hAnsi="Bookman Old Style" w:cs="Arial"/>
        </w:rPr>
        <w:t>:</w:t>
      </w:r>
      <w:r w:rsidR="002B0933">
        <w:rPr>
          <w:rFonts w:ascii="Bookman Old Style" w:hAnsi="Bookman Old Style" w:cs="Arial"/>
          <w:i/>
          <w:iCs/>
        </w:rPr>
        <w:t xml:space="preserve"> </w:t>
      </w:r>
      <w:r w:rsidR="00714678">
        <w:rPr>
          <w:rFonts w:ascii="Bookman Old Style" w:hAnsi="Bookman Old Style" w:cs="Arial"/>
          <w:i/>
          <w:iCs/>
        </w:rPr>
        <w:t>“</w:t>
      </w:r>
      <w:r w:rsidR="00FF2F94" w:rsidRPr="0024494C">
        <w:rPr>
          <w:rFonts w:ascii="Bookman Old Style" w:hAnsi="Bookman Old Style" w:cs="Arial"/>
          <w:i/>
          <w:iCs/>
        </w:rPr>
        <w:t>4</w:t>
      </w:r>
      <w:r w:rsidR="00D62739" w:rsidRPr="0024494C">
        <w:rPr>
          <w:rFonts w:ascii="Bookman Old Style" w:hAnsi="Bookman Old Style" w:cs="Arial"/>
          <w:i/>
          <w:iCs/>
        </w:rPr>
        <w:t>.</w:t>
      </w:r>
      <w:r w:rsidR="00FF2F94" w:rsidRPr="0024494C">
        <w:rPr>
          <w:rFonts w:ascii="Bookman Old Style" w:hAnsi="Bookman Old Style" w:cs="Arial"/>
          <w:i/>
          <w:iCs/>
        </w:rPr>
        <w:t xml:space="preserve"> Establecer los sistemas uniformes de información y contabilidad que deben aplicar quienes presten servicios públicos, según la naturaleza del servicio y el monto de sus activos, y con sujeción siempre a los principios de contabilidad generalmente aceptados.</w:t>
      </w:r>
      <w:r w:rsidR="00D62739" w:rsidRPr="0024494C">
        <w:rPr>
          <w:rFonts w:ascii="Bookman Old Style" w:hAnsi="Bookman Old Style" w:cs="Arial"/>
        </w:rPr>
        <w:t>”.</w:t>
      </w:r>
    </w:p>
    <w:p w14:paraId="6EA64124" w14:textId="77777777" w:rsidR="00CE057C" w:rsidRPr="0024494C" w:rsidRDefault="00CE057C" w:rsidP="000E5253">
      <w:pPr>
        <w:ind w:left="0"/>
        <w:jc w:val="both"/>
        <w:rPr>
          <w:rFonts w:ascii="Bookman Old Style" w:hAnsi="Bookman Old Style" w:cs="Arial"/>
        </w:rPr>
      </w:pPr>
    </w:p>
    <w:p w14:paraId="3BF781DD" w14:textId="1F82A537" w:rsidR="00323EF6" w:rsidRPr="0024494C" w:rsidRDefault="00C37C77" w:rsidP="006911F0">
      <w:pPr>
        <w:ind w:left="0"/>
        <w:jc w:val="both"/>
        <w:rPr>
          <w:rFonts w:ascii="Bookman Old Style" w:hAnsi="Bookman Old Style" w:cs="Arial"/>
        </w:rPr>
      </w:pPr>
      <w:r w:rsidRPr="0024494C">
        <w:rPr>
          <w:rFonts w:ascii="Bookman Old Style" w:hAnsi="Bookman Old Style" w:cs="Arial"/>
        </w:rPr>
        <w:t>E</w:t>
      </w:r>
      <w:r w:rsidR="0060329F" w:rsidRPr="0024494C">
        <w:rPr>
          <w:rFonts w:ascii="Bookman Old Style" w:hAnsi="Bookman Old Style" w:cs="Arial"/>
        </w:rPr>
        <w:t xml:space="preserve">l </w:t>
      </w:r>
      <w:r w:rsidR="000A0E2C" w:rsidRPr="0024494C">
        <w:rPr>
          <w:rFonts w:ascii="Bookman Old Style" w:hAnsi="Bookman Old Style" w:cs="Arial"/>
        </w:rPr>
        <w:t xml:space="preserve">artículo </w:t>
      </w:r>
      <w:r w:rsidR="00A05A5A" w:rsidRPr="0024494C">
        <w:rPr>
          <w:rFonts w:ascii="Bookman Old Style" w:hAnsi="Bookman Old Style" w:cs="Arial"/>
        </w:rPr>
        <w:t>nuevo de la Ley 142 de 1994</w:t>
      </w:r>
      <w:r w:rsidR="00A33F2C">
        <w:rPr>
          <w:rFonts w:ascii="Bookman Old Style" w:hAnsi="Bookman Old Style" w:cs="Arial"/>
        </w:rPr>
        <w:t xml:space="preserve">, </w:t>
      </w:r>
      <w:r w:rsidR="00374B94">
        <w:rPr>
          <w:rFonts w:ascii="Bookman Old Style" w:hAnsi="Bookman Old Style" w:cs="Arial"/>
        </w:rPr>
        <w:t>adicionado</w:t>
      </w:r>
      <w:r w:rsidR="00A33F2C">
        <w:rPr>
          <w:rFonts w:ascii="Bookman Old Style" w:hAnsi="Bookman Old Style" w:cs="Arial"/>
        </w:rPr>
        <w:t xml:space="preserve"> por </w:t>
      </w:r>
      <w:r w:rsidR="002D15C7">
        <w:rPr>
          <w:rFonts w:ascii="Bookman Old Style" w:hAnsi="Bookman Old Style" w:cs="Arial"/>
        </w:rPr>
        <w:t xml:space="preserve">el artículo 14 de </w:t>
      </w:r>
      <w:r w:rsidR="00A33F2C">
        <w:rPr>
          <w:rFonts w:ascii="Bookman Old Style" w:hAnsi="Bookman Old Style" w:cs="Arial"/>
        </w:rPr>
        <w:t xml:space="preserve">la ley 689 de </w:t>
      </w:r>
      <w:r w:rsidR="00961F21">
        <w:rPr>
          <w:rFonts w:ascii="Bookman Old Style" w:hAnsi="Bookman Old Style" w:cs="Arial"/>
        </w:rPr>
        <w:t>200</w:t>
      </w:r>
      <w:r w:rsidR="002D15C7">
        <w:rPr>
          <w:rFonts w:ascii="Bookman Old Style" w:hAnsi="Bookman Old Style" w:cs="Arial"/>
        </w:rPr>
        <w:t xml:space="preserve">1, </w:t>
      </w:r>
      <w:r w:rsidR="005611AD">
        <w:rPr>
          <w:rFonts w:ascii="Bookman Old Style" w:hAnsi="Bookman Old Style" w:cs="Arial"/>
        </w:rPr>
        <w:t>ordena:</w:t>
      </w:r>
      <w:r w:rsidR="00A05A5A" w:rsidRPr="0024494C">
        <w:rPr>
          <w:rFonts w:ascii="Bookman Old Style" w:hAnsi="Bookman Old Style" w:cs="Arial"/>
        </w:rPr>
        <w:t xml:space="preserve"> </w:t>
      </w:r>
      <w:r w:rsidRPr="0024494C">
        <w:rPr>
          <w:rFonts w:ascii="Bookman Old Style" w:hAnsi="Bookman Old Style" w:cs="Arial"/>
        </w:rPr>
        <w:t>“</w:t>
      </w:r>
      <w:r w:rsidRPr="0024494C">
        <w:rPr>
          <w:rFonts w:ascii="Bookman Old Style" w:hAnsi="Bookman Old Style" w:cs="Arial"/>
          <w:i/>
          <w:iCs/>
        </w:rPr>
        <w:t>Del sistema único de información. Corresponde a la Superintendencia de Servicios Públicos Domiciliarios, en desarrollo de sus funciones de inspección y vigilancia, establecer, administrar, mantener y operar un sistema de información que se surtirá de la información proveniente de los prestadores de servicios públicos sujetos a su control, inspección y vigilancia, para que su presentación al público sea confiable, conforme a lo establecido en el artículo 53 de la Ley 142 de 1994</w:t>
      </w:r>
      <w:r w:rsidR="0003490F">
        <w:rPr>
          <w:rFonts w:ascii="Bookman Old Style" w:hAnsi="Bookman Old Style" w:cs="Arial"/>
        </w:rPr>
        <w:t>”</w:t>
      </w:r>
      <w:r w:rsidRPr="0024494C">
        <w:rPr>
          <w:rFonts w:ascii="Bookman Old Style" w:hAnsi="Bookman Old Style" w:cs="Arial"/>
          <w:i/>
          <w:iCs/>
        </w:rPr>
        <w:t>.</w:t>
      </w:r>
      <w:r w:rsidR="006911F0" w:rsidRPr="0024494C">
        <w:rPr>
          <w:rFonts w:ascii="Bookman Old Style" w:hAnsi="Bookman Old Style" w:cs="Arial"/>
          <w:i/>
          <w:iCs/>
        </w:rPr>
        <w:t xml:space="preserve"> </w:t>
      </w:r>
    </w:p>
    <w:p w14:paraId="152FDF54" w14:textId="433430DA" w:rsidR="00AC7F12" w:rsidRPr="0024494C" w:rsidRDefault="00CB2334" w:rsidP="000E5253">
      <w:pPr>
        <w:ind w:left="0"/>
        <w:jc w:val="both"/>
        <w:rPr>
          <w:rFonts w:ascii="Bookman Old Style" w:hAnsi="Bookman Old Style" w:cs="Arial"/>
        </w:rPr>
      </w:pPr>
      <w:r w:rsidRPr="0024494C">
        <w:rPr>
          <w:rFonts w:ascii="Bookman Old Style" w:hAnsi="Bookman Old Style" w:cs="Arial"/>
        </w:rPr>
        <w:t>De acuerdo con el</w:t>
      </w:r>
      <w:r w:rsidR="00FB5C5B" w:rsidRPr="0024494C">
        <w:rPr>
          <w:rFonts w:ascii="Bookman Old Style" w:hAnsi="Bookman Old Style" w:cs="Arial"/>
        </w:rPr>
        <w:t xml:space="preserve"> inciso final del artículo 73 de la Ley 142 de 1994,</w:t>
      </w:r>
      <w:r w:rsidRPr="0024494C">
        <w:rPr>
          <w:rFonts w:ascii="Bookman Old Style" w:hAnsi="Bookman Old Style" w:cs="Arial"/>
        </w:rPr>
        <w:t xml:space="preserve"> “</w:t>
      </w:r>
      <w:r w:rsidRPr="0024494C">
        <w:rPr>
          <w:rFonts w:ascii="Bookman Old Style" w:hAnsi="Bookman Old Style" w:cs="Arial"/>
          <w:i/>
          <w:iCs/>
        </w:rPr>
        <w:t>Salvo cuando esta Ley diga lo contrario en forma explícita, no se requiere autorización previa de las comisiones para adelantar ninguna actividad o contrato relacionado con los servicios públicos; ni el envío rutinario de información. Pero las comisiones, tendrán facultad selectiva de pedir información amplia, exacta, veraz y oportuna a quienes prestan los servicios públicos a los que esta Ley se refiere, inclusive si sus tarifas no están sometidas a regulación. Quienes no la proporcionen, estarán sujetos a todas las sanciones que contempla el artículo 81 de la presente Ley. En todo caso, las comisiones podrán imponer por sí mismas las sanciones del caso, cuando no se atiendan en forma adecuada sus solicitudes de información</w:t>
      </w:r>
      <w:r w:rsidRPr="0024494C">
        <w:rPr>
          <w:rFonts w:ascii="Bookman Old Style" w:hAnsi="Bookman Old Style" w:cs="Arial"/>
        </w:rPr>
        <w:t>.”</w:t>
      </w:r>
      <w:r w:rsidR="003174D0" w:rsidRPr="0024494C">
        <w:rPr>
          <w:rFonts w:ascii="Bookman Old Style" w:hAnsi="Bookman Old Style" w:cs="Arial"/>
        </w:rPr>
        <w:t>.</w:t>
      </w:r>
    </w:p>
    <w:p w14:paraId="1370CFE9" w14:textId="77777777" w:rsidR="00AC7F12" w:rsidRPr="0024494C" w:rsidRDefault="00AC7F12" w:rsidP="000E5253">
      <w:pPr>
        <w:ind w:left="0"/>
        <w:jc w:val="both"/>
        <w:rPr>
          <w:rFonts w:ascii="Bookman Old Style" w:hAnsi="Bookman Old Style" w:cs="Arial"/>
        </w:rPr>
      </w:pPr>
    </w:p>
    <w:p w14:paraId="49F9CBC0" w14:textId="24826634" w:rsidR="000A0E2C" w:rsidRPr="0024494C" w:rsidRDefault="0060329F" w:rsidP="000E5253">
      <w:pPr>
        <w:ind w:left="0"/>
        <w:jc w:val="both"/>
        <w:rPr>
          <w:rFonts w:ascii="Bookman Old Style" w:hAnsi="Bookman Old Style" w:cs="Arial"/>
        </w:rPr>
      </w:pPr>
      <w:r w:rsidRPr="0024494C">
        <w:rPr>
          <w:rFonts w:ascii="Bookman Old Style" w:hAnsi="Bookman Old Style" w:cs="Arial"/>
        </w:rPr>
        <w:lastRenderedPageBreak/>
        <w:t xml:space="preserve">Mediante </w:t>
      </w:r>
      <w:r w:rsidR="000A0E2C" w:rsidRPr="0024494C">
        <w:rPr>
          <w:rFonts w:ascii="Bookman Old Style" w:hAnsi="Bookman Old Style" w:cs="Arial"/>
        </w:rPr>
        <w:t xml:space="preserve">la Resolución SSPD N° 013092 de </w:t>
      </w:r>
      <w:r w:rsidR="007B46BF" w:rsidRPr="0024494C">
        <w:rPr>
          <w:rFonts w:ascii="Bookman Old Style" w:hAnsi="Bookman Old Style" w:cs="Arial"/>
        </w:rPr>
        <w:t>octubre</w:t>
      </w:r>
      <w:r w:rsidR="000A0E2C" w:rsidRPr="0024494C">
        <w:rPr>
          <w:rFonts w:ascii="Bookman Old Style" w:hAnsi="Bookman Old Style" w:cs="Arial"/>
        </w:rPr>
        <w:t xml:space="preserve"> 30 de 2002,</w:t>
      </w:r>
      <w:r w:rsidR="00F54386" w:rsidRPr="0024494C">
        <w:rPr>
          <w:rFonts w:ascii="Bookman Old Style" w:hAnsi="Bookman Old Style" w:cs="Arial"/>
        </w:rPr>
        <w:t xml:space="preserve"> se resolvió “</w:t>
      </w:r>
      <w:r w:rsidR="00341C43" w:rsidRPr="0024494C">
        <w:rPr>
          <w:rFonts w:ascii="Bookman Old Style" w:hAnsi="Bookman Old Style" w:cs="Arial"/>
          <w:i/>
          <w:iCs/>
        </w:rPr>
        <w:t xml:space="preserve">ARTICULO PRIMERO. </w:t>
      </w:r>
      <w:r w:rsidR="007B12DE" w:rsidRPr="0024494C">
        <w:rPr>
          <w:rFonts w:ascii="Bookman Old Style" w:hAnsi="Bookman Old Style" w:cs="Arial"/>
          <w:i/>
          <w:iCs/>
        </w:rPr>
        <w:t>–</w:t>
      </w:r>
      <w:r w:rsidR="00341C43" w:rsidRPr="0024494C">
        <w:rPr>
          <w:rFonts w:ascii="Bookman Old Style" w:hAnsi="Bookman Old Style" w:cs="Arial"/>
          <w:i/>
          <w:iCs/>
        </w:rPr>
        <w:t xml:space="preserve"> </w:t>
      </w:r>
      <w:proofErr w:type="spellStart"/>
      <w:r w:rsidR="00341C43" w:rsidRPr="0024494C">
        <w:rPr>
          <w:rFonts w:ascii="Bookman Old Style" w:hAnsi="Bookman Old Style" w:cs="Arial"/>
          <w:i/>
          <w:iCs/>
        </w:rPr>
        <w:t>Adóptase</w:t>
      </w:r>
      <w:proofErr w:type="spellEnd"/>
      <w:r w:rsidR="007B12DE" w:rsidRPr="0024494C">
        <w:rPr>
          <w:rFonts w:ascii="Bookman Old Style" w:hAnsi="Bookman Old Style" w:cs="Arial"/>
          <w:i/>
          <w:iCs/>
        </w:rPr>
        <w:t xml:space="preserve"> (sic)</w:t>
      </w:r>
      <w:r w:rsidR="00341C43" w:rsidRPr="0024494C">
        <w:rPr>
          <w:rFonts w:ascii="Bookman Old Style" w:hAnsi="Bookman Old Style" w:cs="Arial"/>
          <w:i/>
          <w:iCs/>
        </w:rPr>
        <w:t xml:space="preserve"> el Formato Único de Información para las Empresas de Servicios Públicos, del cual hacen parte los siguientes anexos</w:t>
      </w:r>
      <w:r w:rsidR="00F54386" w:rsidRPr="0024494C">
        <w:rPr>
          <w:rFonts w:ascii="Bookman Old Style" w:hAnsi="Bookman Old Style" w:cs="Arial"/>
        </w:rPr>
        <w:t>”</w:t>
      </w:r>
      <w:r w:rsidR="00BD4E43" w:rsidRPr="0024494C">
        <w:rPr>
          <w:rFonts w:ascii="Bookman Old Style" w:hAnsi="Bookman Old Style" w:cs="Arial"/>
        </w:rPr>
        <w:t>.</w:t>
      </w:r>
      <w:r w:rsidR="000A0E2C" w:rsidRPr="0024494C">
        <w:rPr>
          <w:rFonts w:ascii="Bookman Old Style" w:hAnsi="Bookman Old Style" w:cs="Arial"/>
        </w:rPr>
        <w:t xml:space="preserve"> </w:t>
      </w:r>
    </w:p>
    <w:p w14:paraId="0F0A6290" w14:textId="77777777" w:rsidR="000A0E2C" w:rsidRPr="0024494C" w:rsidRDefault="000A0E2C" w:rsidP="000E5253">
      <w:pPr>
        <w:ind w:left="0"/>
        <w:jc w:val="both"/>
        <w:rPr>
          <w:rFonts w:ascii="Bookman Old Style" w:hAnsi="Bookman Old Style" w:cs="Arial"/>
        </w:rPr>
      </w:pPr>
    </w:p>
    <w:p w14:paraId="7488A74B" w14:textId="11BA8C8B" w:rsidR="005D6DAA" w:rsidRPr="0024494C" w:rsidRDefault="00AC4DD5" w:rsidP="005D6DAA">
      <w:pPr>
        <w:ind w:left="0"/>
        <w:jc w:val="both"/>
        <w:rPr>
          <w:rFonts w:ascii="Bookman Old Style" w:hAnsi="Bookman Old Style" w:cs="Arial"/>
          <w:lang w:val="es-CO"/>
        </w:rPr>
      </w:pPr>
      <w:r w:rsidRPr="0024494C">
        <w:rPr>
          <w:rFonts w:ascii="Bookman Old Style" w:hAnsi="Bookman Old Style" w:cs="Arial"/>
          <w:lang w:val="es-CO"/>
        </w:rPr>
        <w:t>En e</w:t>
      </w:r>
      <w:r w:rsidR="001D25D0" w:rsidRPr="0024494C">
        <w:rPr>
          <w:rFonts w:ascii="Bookman Old Style" w:hAnsi="Bookman Old Style" w:cs="Arial"/>
          <w:lang w:val="es-CO"/>
        </w:rPr>
        <w:t xml:space="preserve">l </w:t>
      </w:r>
      <w:r w:rsidR="00D93EE1" w:rsidRPr="0024494C">
        <w:rPr>
          <w:rFonts w:ascii="Bookman Old Style" w:hAnsi="Bookman Old Style" w:cs="Arial"/>
          <w:lang w:val="es-CO"/>
        </w:rPr>
        <w:t>artículo</w:t>
      </w:r>
      <w:r w:rsidR="001D25D0" w:rsidRPr="0024494C">
        <w:rPr>
          <w:rFonts w:ascii="Bookman Old Style" w:hAnsi="Bookman Old Style" w:cs="Arial"/>
          <w:lang w:val="es-CO"/>
        </w:rPr>
        <w:t xml:space="preserve"> </w:t>
      </w:r>
      <w:r w:rsidR="005D6DAA" w:rsidRPr="0024494C">
        <w:rPr>
          <w:rFonts w:ascii="Bookman Old Style" w:hAnsi="Bookman Old Style" w:cs="Arial"/>
          <w:lang w:val="es-CO"/>
        </w:rPr>
        <w:t xml:space="preserve">2 de la </w:t>
      </w:r>
      <w:r w:rsidR="000A0E2C" w:rsidRPr="0024494C">
        <w:rPr>
          <w:rFonts w:ascii="Bookman Old Style" w:hAnsi="Bookman Old Style" w:cs="Arial"/>
          <w:lang w:val="es-CO"/>
        </w:rPr>
        <w:t xml:space="preserve">Resolución SSPD N° 000321 de 2003, </w:t>
      </w:r>
      <w:r w:rsidR="005D6DAA" w:rsidRPr="0024494C">
        <w:rPr>
          <w:rFonts w:ascii="Bookman Old Style" w:hAnsi="Bookman Old Style" w:cs="Arial"/>
          <w:lang w:val="es-CO"/>
        </w:rPr>
        <w:t>se resolvió: “</w:t>
      </w:r>
      <w:r w:rsidR="005D6DAA" w:rsidRPr="0024494C">
        <w:rPr>
          <w:rFonts w:ascii="Bookman Old Style" w:hAnsi="Bookman Old Style" w:cs="Arial"/>
          <w:i/>
          <w:iCs/>
          <w:lang w:val="es-CO"/>
        </w:rPr>
        <w:t>Una vez hayan vencido los plazos previstos en la normatividad vigente para el reporte de información, ésta se considerará oficial para todos lo</w:t>
      </w:r>
      <w:r w:rsidR="00C1085E" w:rsidRPr="0024494C">
        <w:rPr>
          <w:rFonts w:ascii="Bookman Old Style" w:hAnsi="Bookman Old Style" w:cs="Arial"/>
          <w:i/>
          <w:iCs/>
          <w:lang w:val="es-CO"/>
        </w:rPr>
        <w:t xml:space="preserve"> (sic)</w:t>
      </w:r>
      <w:r w:rsidR="005D6DAA" w:rsidRPr="0024494C">
        <w:rPr>
          <w:rFonts w:ascii="Bookman Old Style" w:hAnsi="Bookman Old Style" w:cs="Arial"/>
          <w:i/>
          <w:iCs/>
          <w:lang w:val="es-CO"/>
        </w:rPr>
        <w:t xml:space="preserve"> efectos previstos en la ley. Las personas prestadoras sólo podrán solicitar modificaciones de la información reportada siempre que dirija petición motivada a la Superintendencia a través del representante legal; la Superintendencia evaluará la petición y adoptará las decisiones a que haya lugar</w:t>
      </w:r>
      <w:r w:rsidR="00D93EE1" w:rsidRPr="0024494C">
        <w:rPr>
          <w:rFonts w:ascii="Bookman Old Style" w:hAnsi="Bookman Old Style" w:cs="Arial"/>
          <w:i/>
          <w:iCs/>
          <w:lang w:val="es-CO"/>
        </w:rPr>
        <w:t>.</w:t>
      </w:r>
      <w:r w:rsidR="005D6DAA" w:rsidRPr="0024494C">
        <w:rPr>
          <w:rFonts w:ascii="Bookman Old Style" w:hAnsi="Bookman Old Style" w:cs="Arial"/>
          <w:lang w:val="es-CO"/>
        </w:rPr>
        <w:t>”.</w:t>
      </w:r>
    </w:p>
    <w:p w14:paraId="5C1C0D23" w14:textId="77777777" w:rsidR="00344B70" w:rsidRPr="0024494C" w:rsidRDefault="00344B70" w:rsidP="000E5253">
      <w:pPr>
        <w:ind w:left="0"/>
        <w:jc w:val="both"/>
        <w:rPr>
          <w:rFonts w:ascii="Bookman Old Style" w:hAnsi="Bookman Old Style" w:cs="Arial"/>
        </w:rPr>
      </w:pPr>
    </w:p>
    <w:p w14:paraId="5A1B5B27" w14:textId="378FA943" w:rsidR="00227605" w:rsidRPr="0024494C" w:rsidRDefault="004C4748" w:rsidP="000E5253">
      <w:pPr>
        <w:ind w:left="0"/>
        <w:jc w:val="both"/>
        <w:rPr>
          <w:rFonts w:ascii="Bookman Old Style" w:hAnsi="Bookman Old Style" w:cs="Arial"/>
        </w:rPr>
      </w:pPr>
      <w:r w:rsidRPr="0024494C">
        <w:rPr>
          <w:rFonts w:ascii="Bookman Old Style" w:hAnsi="Bookman Old Style" w:cs="Arial"/>
        </w:rPr>
        <w:t xml:space="preserve">La </w:t>
      </w:r>
      <w:r w:rsidR="00BE4B96" w:rsidRPr="0024494C">
        <w:rPr>
          <w:rFonts w:ascii="Bookman Old Style" w:hAnsi="Bookman Old Style" w:cs="Arial"/>
        </w:rPr>
        <w:t>Superintendencia de Servicios Públicos Domiciliarios</w:t>
      </w:r>
      <w:r w:rsidRPr="0024494C">
        <w:rPr>
          <w:rFonts w:ascii="Bookman Old Style" w:hAnsi="Bookman Old Style" w:cs="Arial"/>
        </w:rPr>
        <w:t xml:space="preserve"> expidió la Resolución N° 20212200012515 del 26 de marzo de 2021</w:t>
      </w:r>
      <w:r w:rsidR="00231E1E" w:rsidRPr="0024494C">
        <w:rPr>
          <w:rFonts w:ascii="Bookman Old Style" w:hAnsi="Bookman Old Style" w:cs="Arial"/>
        </w:rPr>
        <w:t xml:space="preserve">, </w:t>
      </w:r>
      <w:r w:rsidRPr="0024494C">
        <w:rPr>
          <w:rFonts w:ascii="Bookman Old Style" w:hAnsi="Bookman Old Style" w:cs="Arial"/>
        </w:rPr>
        <w:t>“</w:t>
      </w:r>
      <w:r w:rsidRPr="0024494C">
        <w:rPr>
          <w:rFonts w:ascii="Bookman Old Style" w:hAnsi="Bookman Old Style" w:cs="Arial"/>
          <w:i/>
          <w:iCs/>
        </w:rPr>
        <w:t>Por la cual se expiden los lineamientos para el cargue de información al Sistema Único de Información (SUI) aplicable a los prestadores del servicio público de energía eléctrica del Sistema Interconectado Nacional (SIN</w:t>
      </w:r>
      <w:r w:rsidRPr="0024494C">
        <w:rPr>
          <w:rFonts w:ascii="Bookman Old Style" w:hAnsi="Bookman Old Style" w:cs="Arial"/>
        </w:rPr>
        <w:t>)”</w:t>
      </w:r>
      <w:r w:rsidR="00C74F02" w:rsidRPr="0024494C">
        <w:rPr>
          <w:rFonts w:ascii="Bookman Old Style" w:hAnsi="Bookman Old Style" w:cs="Arial"/>
        </w:rPr>
        <w:t xml:space="preserve"> y deroga el artículo primero de la Resolución SSPD N° 20192000034975 de 2019, la Resolución SSPD N° 20192200020155 de 2019 y la Resolución SSPD N° 20102400008055 de 2010</w:t>
      </w:r>
      <w:r w:rsidR="00227605" w:rsidRPr="0024494C">
        <w:rPr>
          <w:rFonts w:ascii="Bookman Old Style" w:hAnsi="Bookman Old Style" w:cs="Arial"/>
        </w:rPr>
        <w:t>.</w:t>
      </w:r>
    </w:p>
    <w:p w14:paraId="7D70754F" w14:textId="77777777" w:rsidR="00D47F93" w:rsidRPr="0024494C" w:rsidRDefault="00D47F93" w:rsidP="000E5253">
      <w:pPr>
        <w:ind w:left="0"/>
        <w:jc w:val="both"/>
        <w:rPr>
          <w:rFonts w:ascii="Bookman Old Style" w:hAnsi="Bookman Old Style" w:cs="Arial"/>
        </w:rPr>
      </w:pPr>
    </w:p>
    <w:p w14:paraId="7CACAA47" w14:textId="5F0666E1" w:rsidR="00685D35" w:rsidRDefault="000D4034" w:rsidP="000E5253">
      <w:pPr>
        <w:ind w:left="0"/>
        <w:jc w:val="both"/>
        <w:rPr>
          <w:rFonts w:ascii="Bookman Old Style" w:hAnsi="Bookman Old Style" w:cs="Arial"/>
        </w:rPr>
      </w:pPr>
      <w:r w:rsidRPr="0024494C">
        <w:rPr>
          <w:rFonts w:ascii="Bookman Old Style" w:hAnsi="Bookman Old Style" w:cs="Arial"/>
        </w:rPr>
        <w:t>Mediante</w:t>
      </w:r>
      <w:r w:rsidR="00C74F02" w:rsidRPr="0024494C">
        <w:rPr>
          <w:rFonts w:ascii="Bookman Old Style" w:hAnsi="Bookman Old Style" w:cs="Arial"/>
        </w:rPr>
        <w:t xml:space="preserve"> </w:t>
      </w:r>
      <w:r w:rsidR="00B363D0" w:rsidRPr="0024494C">
        <w:rPr>
          <w:rFonts w:ascii="Bookman Old Style" w:hAnsi="Bookman Old Style" w:cs="Arial"/>
        </w:rPr>
        <w:t xml:space="preserve">Resolución </w:t>
      </w:r>
      <w:r w:rsidR="00CB4FB3" w:rsidRPr="0024494C">
        <w:rPr>
          <w:rFonts w:ascii="Bookman Old Style" w:hAnsi="Bookman Old Style" w:cs="Arial"/>
        </w:rPr>
        <w:t xml:space="preserve">N° </w:t>
      </w:r>
      <w:r w:rsidR="00B363D0" w:rsidRPr="0024494C">
        <w:rPr>
          <w:rFonts w:ascii="Bookman Old Style" w:hAnsi="Bookman Old Style" w:cs="Arial"/>
        </w:rPr>
        <w:t xml:space="preserve">20231000215345 del 29 de marzo de 2023, la </w:t>
      </w:r>
      <w:r w:rsidR="00CB4FB3" w:rsidRPr="0024494C">
        <w:rPr>
          <w:rFonts w:ascii="Bookman Old Style" w:hAnsi="Bookman Old Style" w:cs="Arial"/>
        </w:rPr>
        <w:t>Superintendencia de Servicios Públicos Domiciliarios</w:t>
      </w:r>
      <w:r w:rsidR="00B363D0" w:rsidRPr="0024494C">
        <w:rPr>
          <w:rFonts w:ascii="Bookman Old Style" w:hAnsi="Bookman Old Style" w:cs="Arial"/>
        </w:rPr>
        <w:t xml:space="preserve"> estableció los plazos para el cargue de Información Financiera anual, con corte a 31 de diciembre de 2022</w:t>
      </w:r>
      <w:r w:rsidR="00C74F02" w:rsidRPr="0024494C">
        <w:rPr>
          <w:rFonts w:ascii="Bookman Old Style" w:hAnsi="Bookman Old Style" w:cs="Arial"/>
        </w:rPr>
        <w:t>,</w:t>
      </w:r>
      <w:r w:rsidR="00B363D0" w:rsidRPr="0024494C">
        <w:rPr>
          <w:rFonts w:ascii="Bookman Old Style" w:hAnsi="Bookman Old Style" w:cs="Arial"/>
        </w:rPr>
        <w:t xml:space="preserve"> con la </w:t>
      </w:r>
      <w:r w:rsidR="00C74F02" w:rsidRPr="0024494C">
        <w:rPr>
          <w:rFonts w:ascii="Bookman Old Style" w:hAnsi="Bookman Old Style" w:cs="Arial"/>
        </w:rPr>
        <w:t xml:space="preserve">cual </w:t>
      </w:r>
      <w:r w:rsidR="00B363D0" w:rsidRPr="0024494C">
        <w:rPr>
          <w:rFonts w:ascii="Bookman Old Style" w:hAnsi="Bookman Old Style" w:cs="Arial"/>
        </w:rPr>
        <w:t xml:space="preserve">se conforma </w:t>
      </w:r>
      <w:r w:rsidR="00C74F02" w:rsidRPr="0024494C">
        <w:rPr>
          <w:rFonts w:ascii="Bookman Old Style" w:hAnsi="Bookman Old Style" w:cs="Arial"/>
        </w:rPr>
        <w:t xml:space="preserve">la base </w:t>
      </w:r>
      <w:r w:rsidR="00B363D0" w:rsidRPr="0024494C">
        <w:rPr>
          <w:rFonts w:ascii="Bookman Old Style" w:hAnsi="Bookman Old Style" w:cs="Arial"/>
        </w:rPr>
        <w:t xml:space="preserve">gravable para calcular y </w:t>
      </w:r>
      <w:r w:rsidR="00C74F02" w:rsidRPr="0024494C">
        <w:rPr>
          <w:rFonts w:ascii="Bookman Old Style" w:hAnsi="Bookman Old Style" w:cs="Arial"/>
        </w:rPr>
        <w:t>liquidar la contribución especial 202</w:t>
      </w:r>
      <w:r w:rsidRPr="0024494C">
        <w:rPr>
          <w:rFonts w:ascii="Bookman Old Style" w:hAnsi="Bookman Old Style" w:cs="Arial"/>
        </w:rPr>
        <w:t>2</w:t>
      </w:r>
      <w:r w:rsidR="00B363D0" w:rsidRPr="0024494C">
        <w:rPr>
          <w:rFonts w:ascii="Bookman Old Style" w:hAnsi="Bookman Old Style" w:cs="Arial"/>
        </w:rPr>
        <w:t xml:space="preserve"> a favor de la CREG</w:t>
      </w:r>
      <w:r w:rsidR="00C74F02" w:rsidRPr="0024494C">
        <w:rPr>
          <w:rFonts w:ascii="Bookman Old Style" w:hAnsi="Bookman Old Style" w:cs="Arial"/>
        </w:rPr>
        <w:t>, determinada en el artículo 85 de la Ley 142 de 1994</w:t>
      </w:r>
      <w:r w:rsidR="00A71C1D" w:rsidRPr="0024494C">
        <w:rPr>
          <w:rFonts w:ascii="Bookman Old Style" w:hAnsi="Bookman Old Style" w:cs="Arial"/>
        </w:rPr>
        <w:t xml:space="preserve">, con fecha </w:t>
      </w:r>
      <w:r w:rsidRPr="0024494C">
        <w:rPr>
          <w:rFonts w:ascii="Bookman Old Style" w:hAnsi="Bookman Old Style" w:cs="Arial"/>
        </w:rPr>
        <w:t>del 1</w:t>
      </w:r>
      <w:r w:rsidR="00B363D0" w:rsidRPr="0024494C">
        <w:rPr>
          <w:rFonts w:ascii="Bookman Old Style" w:hAnsi="Bookman Old Style" w:cs="Arial"/>
        </w:rPr>
        <w:t>5</w:t>
      </w:r>
      <w:r w:rsidRPr="0024494C">
        <w:rPr>
          <w:rFonts w:ascii="Bookman Old Style" w:hAnsi="Bookman Old Style" w:cs="Arial"/>
        </w:rPr>
        <w:t xml:space="preserve"> al 2</w:t>
      </w:r>
      <w:r w:rsidR="00B363D0" w:rsidRPr="0024494C">
        <w:rPr>
          <w:rFonts w:ascii="Bookman Old Style" w:hAnsi="Bookman Old Style" w:cs="Arial"/>
        </w:rPr>
        <w:t>9</w:t>
      </w:r>
      <w:r w:rsidRPr="0024494C">
        <w:rPr>
          <w:rFonts w:ascii="Bookman Old Style" w:hAnsi="Bookman Old Style" w:cs="Arial"/>
        </w:rPr>
        <w:t xml:space="preserve"> de </w:t>
      </w:r>
      <w:r w:rsidR="00B363D0" w:rsidRPr="0024494C">
        <w:rPr>
          <w:rFonts w:ascii="Bookman Old Style" w:hAnsi="Bookman Old Style" w:cs="Arial"/>
        </w:rPr>
        <w:t>mayo</w:t>
      </w:r>
      <w:r w:rsidRPr="0024494C">
        <w:rPr>
          <w:rFonts w:ascii="Bookman Old Style" w:hAnsi="Bookman Old Style" w:cs="Arial"/>
        </w:rPr>
        <w:t xml:space="preserve"> de 202</w:t>
      </w:r>
      <w:r w:rsidR="00B363D0" w:rsidRPr="0024494C">
        <w:rPr>
          <w:rFonts w:ascii="Bookman Old Style" w:hAnsi="Bookman Old Style" w:cs="Arial"/>
        </w:rPr>
        <w:t>3</w:t>
      </w:r>
      <w:r w:rsidRPr="0024494C">
        <w:rPr>
          <w:rFonts w:ascii="Bookman Old Style" w:hAnsi="Bookman Old Style" w:cs="Arial"/>
        </w:rPr>
        <w:t>, conforme a</w:t>
      </w:r>
      <w:r w:rsidR="00B363D0" w:rsidRPr="0024494C">
        <w:rPr>
          <w:rFonts w:ascii="Bookman Old Style" w:hAnsi="Bookman Old Style" w:cs="Arial"/>
        </w:rPr>
        <w:t xml:space="preserve"> </w:t>
      </w:r>
      <w:r w:rsidRPr="0024494C">
        <w:rPr>
          <w:rFonts w:ascii="Bookman Old Style" w:hAnsi="Bookman Old Style" w:cs="Arial"/>
        </w:rPr>
        <w:t>l</w:t>
      </w:r>
      <w:r w:rsidR="00B363D0" w:rsidRPr="0024494C">
        <w:rPr>
          <w:rFonts w:ascii="Bookman Old Style" w:hAnsi="Bookman Old Style" w:cs="Arial"/>
        </w:rPr>
        <w:t>os dos</w:t>
      </w:r>
      <w:r w:rsidRPr="0024494C">
        <w:rPr>
          <w:rFonts w:ascii="Bookman Old Style" w:hAnsi="Bookman Old Style" w:cs="Arial"/>
        </w:rPr>
        <w:t xml:space="preserve"> último</w:t>
      </w:r>
      <w:r w:rsidR="00B363D0" w:rsidRPr="0024494C">
        <w:rPr>
          <w:rFonts w:ascii="Bookman Old Style" w:hAnsi="Bookman Old Style" w:cs="Arial"/>
        </w:rPr>
        <w:t>s</w:t>
      </w:r>
      <w:r w:rsidRPr="0024494C">
        <w:rPr>
          <w:rFonts w:ascii="Bookman Old Style" w:hAnsi="Bookman Old Style" w:cs="Arial"/>
        </w:rPr>
        <w:t xml:space="preserve"> dígito</w:t>
      </w:r>
      <w:r w:rsidR="00B363D0" w:rsidRPr="0024494C">
        <w:rPr>
          <w:rFonts w:ascii="Bookman Old Style" w:hAnsi="Bookman Old Style" w:cs="Arial"/>
        </w:rPr>
        <w:t>s</w:t>
      </w:r>
      <w:r w:rsidRPr="0024494C">
        <w:rPr>
          <w:rFonts w:ascii="Bookman Old Style" w:hAnsi="Bookman Old Style" w:cs="Arial"/>
        </w:rPr>
        <w:t xml:space="preserve"> ID del RUP</w:t>
      </w:r>
      <w:r w:rsidR="00BA7B76" w:rsidRPr="0024494C">
        <w:rPr>
          <w:rFonts w:ascii="Bookman Old Style" w:hAnsi="Bookman Old Style" w:cs="Arial"/>
        </w:rPr>
        <w:t>S</w:t>
      </w:r>
      <w:r w:rsidR="00636508">
        <w:rPr>
          <w:rFonts w:ascii="Bookman Old Style" w:hAnsi="Bookman Old Style" w:cs="Arial"/>
        </w:rPr>
        <w:t xml:space="preserve">, en la cual se define como </w:t>
      </w:r>
      <w:r w:rsidR="0036737B">
        <w:rPr>
          <w:rFonts w:ascii="Bookman Old Style" w:hAnsi="Bookman Old Style" w:cs="Arial"/>
        </w:rPr>
        <w:t>úl</w:t>
      </w:r>
      <w:r w:rsidR="00636508">
        <w:rPr>
          <w:rFonts w:ascii="Bookman Old Style" w:hAnsi="Bookman Old Style" w:cs="Arial"/>
        </w:rPr>
        <w:t>timo plazo el 31 de mayo de 2023</w:t>
      </w:r>
      <w:r w:rsidRPr="0024494C">
        <w:rPr>
          <w:rFonts w:ascii="Bookman Old Style" w:hAnsi="Bookman Old Style" w:cs="Arial"/>
        </w:rPr>
        <w:t>.</w:t>
      </w:r>
    </w:p>
    <w:p w14:paraId="25EC213E" w14:textId="77777777" w:rsidR="00055D69" w:rsidRPr="0024494C" w:rsidRDefault="00055D69" w:rsidP="000E5253">
      <w:pPr>
        <w:ind w:left="0"/>
        <w:jc w:val="both"/>
        <w:rPr>
          <w:rFonts w:ascii="Bookman Old Style" w:hAnsi="Bookman Old Style" w:cs="Arial"/>
        </w:rPr>
      </w:pPr>
    </w:p>
    <w:p w14:paraId="4DC3E14C" w14:textId="219DAA5C" w:rsidR="00FA674B" w:rsidRPr="0024494C" w:rsidRDefault="00383AF1" w:rsidP="000E5253">
      <w:pPr>
        <w:ind w:left="0"/>
        <w:jc w:val="both"/>
        <w:rPr>
          <w:rFonts w:ascii="Bookman Old Style" w:hAnsi="Bookman Old Style" w:cs="Arial"/>
        </w:rPr>
      </w:pPr>
      <w:r w:rsidRPr="0024494C">
        <w:rPr>
          <w:rFonts w:ascii="Bookman Old Style" w:hAnsi="Bookman Old Style" w:cs="Arial"/>
        </w:rPr>
        <w:t>A</w:t>
      </w:r>
      <w:r w:rsidR="00FA674B" w:rsidRPr="0024494C">
        <w:rPr>
          <w:rFonts w:ascii="Bookman Old Style" w:hAnsi="Bookman Old Style" w:cs="Arial"/>
        </w:rPr>
        <w:t xml:space="preserve"> través de la Resolución </w:t>
      </w:r>
      <w:r w:rsidRPr="0024494C">
        <w:rPr>
          <w:rFonts w:ascii="Bookman Old Style" w:hAnsi="Bookman Old Style" w:cs="Arial"/>
        </w:rPr>
        <w:t xml:space="preserve">SSPD </w:t>
      </w:r>
      <w:r w:rsidR="00FA674B" w:rsidRPr="0024494C">
        <w:rPr>
          <w:rFonts w:ascii="Bookman Old Style" w:hAnsi="Bookman Old Style" w:cs="Arial"/>
        </w:rPr>
        <w:t xml:space="preserve">N° </w:t>
      </w:r>
      <w:r w:rsidR="00C7323A" w:rsidRPr="0024494C">
        <w:rPr>
          <w:rFonts w:ascii="Bookman Old Style" w:hAnsi="Bookman Old Style" w:cs="Arial"/>
        </w:rPr>
        <w:t>20231000297335</w:t>
      </w:r>
      <w:r w:rsidR="00FA674B" w:rsidRPr="0024494C">
        <w:rPr>
          <w:rFonts w:ascii="Bookman Old Style" w:hAnsi="Bookman Old Style" w:cs="Arial"/>
        </w:rPr>
        <w:t xml:space="preserve"> del </w:t>
      </w:r>
      <w:r w:rsidR="00C7323A" w:rsidRPr="0024494C">
        <w:rPr>
          <w:rFonts w:ascii="Bookman Old Style" w:hAnsi="Bookman Old Style" w:cs="Arial"/>
        </w:rPr>
        <w:t>31</w:t>
      </w:r>
      <w:r w:rsidR="00FA674B" w:rsidRPr="0024494C">
        <w:rPr>
          <w:rFonts w:ascii="Bookman Old Style" w:hAnsi="Bookman Old Style" w:cs="Arial"/>
        </w:rPr>
        <w:t xml:space="preserve"> de </w:t>
      </w:r>
      <w:r w:rsidR="00C7323A" w:rsidRPr="0024494C">
        <w:rPr>
          <w:rFonts w:ascii="Bookman Old Style" w:hAnsi="Bookman Old Style" w:cs="Arial"/>
        </w:rPr>
        <w:t>mayo</w:t>
      </w:r>
      <w:r w:rsidR="00FA674B" w:rsidRPr="0024494C">
        <w:rPr>
          <w:rFonts w:ascii="Bookman Old Style" w:hAnsi="Bookman Old Style" w:cs="Arial"/>
        </w:rPr>
        <w:t xml:space="preserve"> de 202</w:t>
      </w:r>
      <w:r w:rsidR="00C7323A" w:rsidRPr="0024494C">
        <w:rPr>
          <w:rFonts w:ascii="Bookman Old Style" w:hAnsi="Bookman Old Style" w:cs="Arial"/>
        </w:rPr>
        <w:t>3</w:t>
      </w:r>
      <w:r w:rsidR="00FA674B" w:rsidRPr="0024494C">
        <w:rPr>
          <w:rFonts w:ascii="Bookman Old Style" w:hAnsi="Bookman Old Style" w:cs="Arial"/>
        </w:rPr>
        <w:t xml:space="preserve"> “</w:t>
      </w:r>
      <w:r w:rsidR="00FA674B" w:rsidRPr="0024494C">
        <w:rPr>
          <w:rFonts w:ascii="Bookman Old Style" w:hAnsi="Bookman Old Style" w:cs="Arial"/>
          <w:i/>
          <w:iCs/>
        </w:rPr>
        <w:t>Por la cual se establece el número de prestadores que servirá como base para liquidar la contribución especial para el año 202</w:t>
      </w:r>
      <w:r w:rsidR="00C7323A" w:rsidRPr="0024494C">
        <w:rPr>
          <w:rFonts w:ascii="Bookman Old Style" w:hAnsi="Bookman Old Style" w:cs="Arial"/>
          <w:i/>
          <w:iCs/>
        </w:rPr>
        <w:t>3</w:t>
      </w:r>
      <w:r w:rsidR="00FA674B" w:rsidRPr="0024494C">
        <w:rPr>
          <w:rFonts w:ascii="Bookman Old Style" w:hAnsi="Bookman Old Style" w:cs="Arial"/>
        </w:rPr>
        <w:t xml:space="preserve">”, </w:t>
      </w:r>
      <w:r w:rsidR="00C7323A" w:rsidRPr="0024494C">
        <w:rPr>
          <w:rFonts w:ascii="Bookman Old Style" w:hAnsi="Bookman Old Style" w:cs="Arial"/>
        </w:rPr>
        <w:t xml:space="preserve">se </w:t>
      </w:r>
      <w:r w:rsidR="00FA674B" w:rsidRPr="0024494C">
        <w:rPr>
          <w:rFonts w:ascii="Bookman Old Style" w:hAnsi="Bookman Old Style" w:cs="Arial"/>
        </w:rPr>
        <w:t xml:space="preserve">determinó el número de prestadores de servicios públicos domiciliarios, los cuales son del ámbito de regulación de la CREG; censo que servirá de base para la CREG </w:t>
      </w:r>
      <w:r w:rsidR="00B45A4E" w:rsidRPr="0024494C">
        <w:rPr>
          <w:rFonts w:ascii="Bookman Old Style" w:hAnsi="Bookman Old Style" w:cs="Arial"/>
        </w:rPr>
        <w:t>establecer la base de contribuyentes de la vigencia 202</w:t>
      </w:r>
      <w:r w:rsidR="00C7323A" w:rsidRPr="0024494C">
        <w:rPr>
          <w:rFonts w:ascii="Bookman Old Style" w:hAnsi="Bookman Old Style" w:cs="Arial"/>
        </w:rPr>
        <w:t>3</w:t>
      </w:r>
      <w:r w:rsidR="00FA674B" w:rsidRPr="0024494C">
        <w:rPr>
          <w:rFonts w:ascii="Bookman Old Style" w:hAnsi="Bookman Old Style" w:cs="Arial"/>
        </w:rPr>
        <w:t>.</w:t>
      </w:r>
    </w:p>
    <w:p w14:paraId="01E2FFD1" w14:textId="77777777" w:rsidR="00FA674B" w:rsidRPr="0024494C" w:rsidRDefault="00FA674B" w:rsidP="000E5253">
      <w:pPr>
        <w:ind w:left="0"/>
        <w:jc w:val="both"/>
        <w:rPr>
          <w:rFonts w:ascii="Bookman Old Style" w:hAnsi="Bookman Old Style" w:cs="Arial"/>
        </w:rPr>
      </w:pPr>
    </w:p>
    <w:p w14:paraId="1223559B" w14:textId="6EC42003" w:rsidR="000A0E2C" w:rsidRPr="0024494C" w:rsidRDefault="000A0E2C" w:rsidP="000E5253">
      <w:pPr>
        <w:ind w:left="0"/>
        <w:jc w:val="both"/>
        <w:rPr>
          <w:rFonts w:ascii="Bookman Old Style" w:hAnsi="Bookman Old Style" w:cs="Arial"/>
        </w:rPr>
      </w:pPr>
      <w:r w:rsidRPr="0024494C">
        <w:rPr>
          <w:rFonts w:ascii="Bookman Old Style" w:hAnsi="Bookman Old Style" w:cs="Arial"/>
        </w:rPr>
        <w:t xml:space="preserve">Cada reporte basado en una taxonomía por grupo y tipo de </w:t>
      </w:r>
      <w:r w:rsidR="00CA30CE" w:rsidRPr="0024494C">
        <w:rPr>
          <w:rFonts w:ascii="Bookman Old Style" w:hAnsi="Bookman Old Style" w:cs="Arial"/>
        </w:rPr>
        <w:t>reporte</w:t>
      </w:r>
      <w:r w:rsidRPr="0024494C">
        <w:rPr>
          <w:rFonts w:ascii="Bookman Old Style" w:hAnsi="Bookman Old Style" w:cs="Arial"/>
        </w:rPr>
        <w:t xml:space="preserve"> permite reflejar los requerimientos de reconocimiento, medición (inicial y posterior), presentación y revelación de cada uno de los marcos normativos</w:t>
      </w:r>
      <w:r w:rsidR="00050EF7" w:rsidRPr="0024494C">
        <w:rPr>
          <w:rFonts w:ascii="Bookman Old Style" w:hAnsi="Bookman Old Style" w:cs="Arial"/>
        </w:rPr>
        <w:t>. E</w:t>
      </w:r>
      <w:r w:rsidRPr="0024494C">
        <w:rPr>
          <w:rFonts w:ascii="Bookman Old Style" w:hAnsi="Bookman Old Style" w:cs="Arial"/>
        </w:rPr>
        <w:t>s así</w:t>
      </w:r>
      <w:r w:rsidR="00926FC1" w:rsidRPr="0024494C">
        <w:rPr>
          <w:rFonts w:ascii="Bookman Old Style" w:hAnsi="Bookman Old Style" w:cs="Arial"/>
        </w:rPr>
        <w:t>,</w:t>
      </w:r>
      <w:r w:rsidRPr="0024494C">
        <w:rPr>
          <w:rFonts w:ascii="Bookman Old Style" w:hAnsi="Bookman Old Style" w:cs="Arial"/>
        </w:rPr>
        <w:t xml:space="preserve"> que cada preparador de información, vigilado </w:t>
      </w:r>
      <w:r w:rsidR="00E02A77" w:rsidRPr="0024494C">
        <w:rPr>
          <w:rFonts w:ascii="Bookman Old Style" w:hAnsi="Bookman Old Style" w:cs="Arial"/>
        </w:rPr>
        <w:t>por la SSPD</w:t>
      </w:r>
      <w:r w:rsidRPr="0024494C">
        <w:rPr>
          <w:rFonts w:ascii="Bookman Old Style" w:hAnsi="Bookman Old Style" w:cs="Arial"/>
        </w:rPr>
        <w:t>, podrá utilizar los mecanismos que considere más fiables y pertinentes para el registro de los hechos económicos en cumplimiento de los objetivos de la información contable, sin que estos sufran una modificación en su naturaleza.</w:t>
      </w:r>
    </w:p>
    <w:p w14:paraId="22EE020E" w14:textId="1FD19001" w:rsidR="00585C3D" w:rsidRPr="0024494C" w:rsidRDefault="00585C3D" w:rsidP="000E5253">
      <w:pPr>
        <w:ind w:left="0"/>
        <w:jc w:val="both"/>
        <w:rPr>
          <w:rFonts w:ascii="Bookman Old Style" w:hAnsi="Bookman Old Style" w:cs="Arial"/>
        </w:rPr>
      </w:pPr>
    </w:p>
    <w:p w14:paraId="458E43B0" w14:textId="14B6B57A" w:rsidR="00585C3D" w:rsidRPr="0024494C" w:rsidRDefault="00B33435" w:rsidP="000E5253">
      <w:pPr>
        <w:ind w:left="0"/>
        <w:jc w:val="both"/>
        <w:rPr>
          <w:rFonts w:ascii="Bookman Old Style" w:hAnsi="Bookman Old Style" w:cs="Arial"/>
        </w:rPr>
      </w:pPr>
      <w:r w:rsidRPr="0024494C">
        <w:rPr>
          <w:rFonts w:ascii="Bookman Old Style" w:hAnsi="Bookman Old Style" w:cs="Arial"/>
        </w:rPr>
        <w:t>E</w:t>
      </w:r>
      <w:r w:rsidR="00585C3D" w:rsidRPr="0024494C">
        <w:rPr>
          <w:rFonts w:ascii="Bookman Old Style" w:hAnsi="Bookman Old Style" w:cs="Arial"/>
        </w:rPr>
        <w:t>l artículo 18 de la Ley 142 de 1994 señala que</w:t>
      </w:r>
      <w:r w:rsidR="00BD4692">
        <w:rPr>
          <w:rFonts w:ascii="Bookman Old Style" w:hAnsi="Bookman Old Style" w:cs="Arial"/>
        </w:rPr>
        <w:t>:</w:t>
      </w:r>
      <w:r w:rsidR="00585C3D" w:rsidRPr="0024494C">
        <w:rPr>
          <w:rFonts w:ascii="Bookman Old Style" w:hAnsi="Bookman Old Style" w:cs="Arial"/>
        </w:rPr>
        <w:t xml:space="preserve"> </w:t>
      </w:r>
      <w:proofErr w:type="gramStart"/>
      <w:r w:rsidR="00585C3D" w:rsidRPr="0024494C">
        <w:rPr>
          <w:rFonts w:ascii="Bookman Old Style" w:hAnsi="Bookman Old Style" w:cs="Arial"/>
          <w:i/>
          <w:iCs/>
        </w:rPr>
        <w:t>“</w:t>
      </w:r>
      <w:r w:rsidR="00754D47">
        <w:rPr>
          <w:rFonts w:ascii="Bookman Old Style" w:hAnsi="Bookman Old Style" w:cs="Arial"/>
          <w:i/>
          <w:iCs/>
        </w:rPr>
        <w:t xml:space="preserve"> (</w:t>
      </w:r>
      <w:proofErr w:type="gramEnd"/>
      <w:r w:rsidR="00754D47">
        <w:rPr>
          <w:rFonts w:ascii="Bookman Old Style" w:hAnsi="Bookman Old Style" w:cs="Arial"/>
          <w:i/>
          <w:iCs/>
        </w:rPr>
        <w:t>…) E</w:t>
      </w:r>
      <w:r w:rsidR="00585C3D" w:rsidRPr="0024494C">
        <w:rPr>
          <w:rFonts w:ascii="Bookman Old Style" w:hAnsi="Bookman Old Style" w:cs="Arial"/>
          <w:i/>
          <w:iCs/>
        </w:rPr>
        <w:t>n todo caso, las empresas de servicios públicos que tengan objeto social múltiple deberán llevar contabilidad separada para cada uno de los servicios que presten; y el costo y la modalidad de las operaciones entre cada servicio deben registrarse de manera explícita (...)”</w:t>
      </w:r>
      <w:r w:rsidR="00C74F02" w:rsidRPr="0024494C">
        <w:rPr>
          <w:rFonts w:ascii="Bookman Old Style" w:hAnsi="Bookman Old Style" w:cs="Arial"/>
          <w:i/>
          <w:iCs/>
        </w:rPr>
        <w:t>.</w:t>
      </w:r>
    </w:p>
    <w:p w14:paraId="4A2AD2BB" w14:textId="67E33695" w:rsidR="00C74F02" w:rsidRPr="0024494C" w:rsidRDefault="00C74F02" w:rsidP="000E5253">
      <w:pPr>
        <w:ind w:left="0"/>
        <w:jc w:val="both"/>
        <w:rPr>
          <w:rFonts w:ascii="Bookman Old Style" w:hAnsi="Bookman Old Style" w:cs="Arial"/>
        </w:rPr>
      </w:pPr>
    </w:p>
    <w:p w14:paraId="01BC5532" w14:textId="511B9BBE" w:rsidR="001C2F6F" w:rsidRPr="0024494C" w:rsidRDefault="001C2F6F" w:rsidP="00D6408E">
      <w:pPr>
        <w:ind w:left="0"/>
        <w:jc w:val="both"/>
        <w:rPr>
          <w:rFonts w:ascii="Bookman Old Style" w:hAnsi="Bookman Old Style" w:cs="Arial"/>
        </w:rPr>
      </w:pPr>
      <w:r w:rsidRPr="0024494C">
        <w:rPr>
          <w:rFonts w:ascii="Bookman Old Style" w:hAnsi="Bookman Old Style" w:cs="Arial"/>
        </w:rPr>
        <w:t xml:space="preserve">Los costos </w:t>
      </w:r>
      <w:r w:rsidR="00ED2606" w:rsidRPr="0024494C">
        <w:rPr>
          <w:rFonts w:ascii="Bookman Old Style" w:hAnsi="Bookman Old Style" w:cs="Arial"/>
        </w:rPr>
        <w:t>de los servicios que presta la</w:t>
      </w:r>
      <w:r w:rsidR="003732C4" w:rsidRPr="0024494C">
        <w:rPr>
          <w:rFonts w:ascii="Bookman Old Style" w:hAnsi="Bookman Old Style"/>
        </w:rPr>
        <w:t xml:space="preserve"> Comisión de Regulación de Energía y Gas – CREG</w:t>
      </w:r>
      <w:r w:rsidR="003732C4" w:rsidRPr="0024494C">
        <w:rPr>
          <w:rFonts w:ascii="Bookman Old Style" w:hAnsi="Bookman Old Style" w:cs="Arial"/>
        </w:rPr>
        <w:t xml:space="preserve"> </w:t>
      </w:r>
      <w:r w:rsidR="00ED2606" w:rsidRPr="0024494C">
        <w:rPr>
          <w:rFonts w:ascii="Bookman Old Style" w:hAnsi="Bookman Old Style" w:cs="Arial"/>
        </w:rPr>
        <w:t xml:space="preserve">están </w:t>
      </w:r>
      <w:r w:rsidR="00D114F7" w:rsidRPr="0024494C">
        <w:rPr>
          <w:rFonts w:ascii="Bookman Old Style" w:hAnsi="Bookman Old Style" w:cs="Arial"/>
        </w:rPr>
        <w:t>conformados</w:t>
      </w:r>
      <w:r w:rsidR="00ED2606" w:rsidRPr="0024494C">
        <w:rPr>
          <w:rFonts w:ascii="Bookman Old Style" w:hAnsi="Bookman Old Style" w:cs="Arial"/>
        </w:rPr>
        <w:t xml:space="preserve"> por los gastos de funcionamiento</w:t>
      </w:r>
      <w:r w:rsidR="00805B5E" w:rsidRPr="0024494C">
        <w:rPr>
          <w:rFonts w:ascii="Bookman Old Style" w:hAnsi="Bookman Old Style" w:cs="Arial"/>
        </w:rPr>
        <w:t>,</w:t>
      </w:r>
      <w:r w:rsidR="00D114F7" w:rsidRPr="0024494C">
        <w:rPr>
          <w:rFonts w:ascii="Bookman Old Style" w:hAnsi="Bookman Old Style" w:cs="Arial"/>
        </w:rPr>
        <w:t xml:space="preserve"> </w:t>
      </w:r>
      <w:r w:rsidR="00ED2606" w:rsidRPr="0024494C">
        <w:rPr>
          <w:rFonts w:ascii="Bookman Old Style" w:hAnsi="Bookman Old Style" w:cs="Arial"/>
        </w:rPr>
        <w:t xml:space="preserve">servicio a la </w:t>
      </w:r>
      <w:r w:rsidR="00ED2606" w:rsidRPr="0024494C">
        <w:rPr>
          <w:rFonts w:ascii="Bookman Old Style" w:hAnsi="Bookman Old Style" w:cs="Arial"/>
        </w:rPr>
        <w:lastRenderedPageBreak/>
        <w:t>deuda p</w:t>
      </w:r>
      <w:r w:rsidR="00D114F7" w:rsidRPr="0024494C">
        <w:rPr>
          <w:rFonts w:ascii="Bookman Old Style" w:hAnsi="Bookman Old Style" w:cs="Arial"/>
        </w:rPr>
        <w:t>ú</w:t>
      </w:r>
      <w:r w:rsidR="00ED2606" w:rsidRPr="0024494C">
        <w:rPr>
          <w:rFonts w:ascii="Bookman Old Style" w:hAnsi="Bookman Old Style" w:cs="Arial"/>
        </w:rPr>
        <w:t xml:space="preserve">blica </w:t>
      </w:r>
      <w:r w:rsidR="00805B5E" w:rsidRPr="0024494C">
        <w:rPr>
          <w:rFonts w:ascii="Bookman Old Style" w:hAnsi="Bookman Old Style" w:cs="Arial"/>
        </w:rPr>
        <w:t xml:space="preserve">e inversión, </w:t>
      </w:r>
      <w:r w:rsidR="00C70171" w:rsidRPr="0024494C">
        <w:rPr>
          <w:rFonts w:ascii="Bookman Old Style" w:hAnsi="Bookman Old Style" w:cs="Arial"/>
        </w:rPr>
        <w:t>de acuerdo con</w:t>
      </w:r>
      <w:r w:rsidR="009B5C8F" w:rsidRPr="0024494C">
        <w:rPr>
          <w:rFonts w:ascii="Bookman Old Style" w:hAnsi="Bookman Old Style" w:cs="Arial"/>
        </w:rPr>
        <w:t xml:space="preserve"> lo establecido</w:t>
      </w:r>
      <w:r w:rsidR="00ED2606" w:rsidRPr="0024494C">
        <w:rPr>
          <w:rFonts w:ascii="Bookman Old Style" w:hAnsi="Bookman Old Style" w:cs="Arial"/>
        </w:rPr>
        <w:t xml:space="preserve"> en el </w:t>
      </w:r>
      <w:r w:rsidR="009B5C8F" w:rsidRPr="0024494C">
        <w:rPr>
          <w:rFonts w:ascii="Bookman Old Style" w:hAnsi="Bookman Old Style" w:cs="Arial"/>
        </w:rPr>
        <w:t>artículo</w:t>
      </w:r>
      <w:r w:rsidR="00ED2606" w:rsidRPr="0024494C">
        <w:rPr>
          <w:rFonts w:ascii="Bookman Old Style" w:hAnsi="Bookman Old Style" w:cs="Arial"/>
        </w:rPr>
        <w:t xml:space="preserve"> 36 </w:t>
      </w:r>
      <w:r w:rsidR="00AE1337" w:rsidRPr="0024494C">
        <w:rPr>
          <w:rFonts w:ascii="Bookman Old Style" w:hAnsi="Bookman Old Style" w:cs="Arial"/>
        </w:rPr>
        <w:t>del Decreto 111 de 1996 “</w:t>
      </w:r>
      <w:r w:rsidR="00AE1337" w:rsidRPr="0024494C">
        <w:rPr>
          <w:rFonts w:ascii="Bookman Old Style" w:hAnsi="Bookman Old Style" w:cs="Arial"/>
          <w:i/>
          <w:iCs/>
        </w:rPr>
        <w:t>por el cual se compilan la Ley 38 de 1989, la Ley 179 de 1994 y la ley 225 de 1995 que conforman el Estatuto Orgánico del Presupuesto</w:t>
      </w:r>
      <w:r w:rsidR="00AE1337" w:rsidRPr="0024494C">
        <w:rPr>
          <w:rFonts w:ascii="Bookman Old Style" w:hAnsi="Bookman Old Style" w:cs="Arial"/>
        </w:rPr>
        <w:t>.” y el artículo 2.8.3.1.2 del Decreto 1068 de 2015, “</w:t>
      </w:r>
      <w:r w:rsidR="00AE1337" w:rsidRPr="0024494C">
        <w:rPr>
          <w:rFonts w:ascii="Bookman Old Style" w:hAnsi="Bookman Old Style" w:cs="Arial"/>
          <w:i/>
          <w:iCs/>
        </w:rPr>
        <w:t>por medio del cual se expide el Decreto Único Reglamentario del Sector Hacienda y Crédito Público</w:t>
      </w:r>
      <w:r w:rsidR="00AE1337" w:rsidRPr="0024494C">
        <w:rPr>
          <w:rFonts w:ascii="Bookman Old Style" w:hAnsi="Bookman Old Style" w:cs="Arial"/>
        </w:rPr>
        <w:t>”.</w:t>
      </w:r>
    </w:p>
    <w:p w14:paraId="41B790C4" w14:textId="77777777" w:rsidR="001C2F6F" w:rsidRPr="0024494C" w:rsidRDefault="001C2F6F" w:rsidP="00D6408E">
      <w:pPr>
        <w:ind w:left="0"/>
        <w:jc w:val="both"/>
        <w:rPr>
          <w:rFonts w:ascii="Bookman Old Style" w:hAnsi="Bookman Old Style" w:cs="Arial"/>
        </w:rPr>
      </w:pPr>
    </w:p>
    <w:p w14:paraId="277A1E3C" w14:textId="4BF70D74" w:rsidR="000E6CEF" w:rsidRPr="0024494C" w:rsidRDefault="007279BD" w:rsidP="000E5253">
      <w:pPr>
        <w:ind w:left="0"/>
        <w:jc w:val="both"/>
        <w:rPr>
          <w:rStyle w:val="xcontentpasted0"/>
          <w:rFonts w:ascii="Bookman Old Style" w:hAnsi="Bookman Old Style"/>
          <w:color w:val="000000"/>
        </w:rPr>
      </w:pPr>
      <w:r w:rsidRPr="0024494C">
        <w:rPr>
          <w:rStyle w:val="xcontentpasted0"/>
          <w:rFonts w:ascii="Bookman Old Style" w:hAnsi="Bookman Old Style"/>
          <w:color w:val="000000"/>
        </w:rPr>
        <w:t xml:space="preserve">Para efectos de la presente resolución y del cálculo de la contribución especial en general, </w:t>
      </w:r>
      <w:r w:rsidR="00876083" w:rsidRPr="0024494C">
        <w:rPr>
          <w:rStyle w:val="xcontentpasted0"/>
          <w:rFonts w:ascii="Bookman Old Style" w:hAnsi="Bookman Old Style"/>
          <w:color w:val="000000"/>
        </w:rPr>
        <w:t>la</w:t>
      </w:r>
      <w:r w:rsidR="00876083" w:rsidRPr="0024494C">
        <w:rPr>
          <w:rFonts w:ascii="Bookman Old Style" w:hAnsi="Bookman Old Style"/>
        </w:rPr>
        <w:t xml:space="preserve"> Comisión de Regulación de Energía y Gas – CREG</w:t>
      </w:r>
      <w:r w:rsidRPr="0024494C">
        <w:rPr>
          <w:rStyle w:val="xcontentpasted0"/>
          <w:rFonts w:ascii="Bookman Old Style" w:hAnsi="Bookman Old Style"/>
          <w:color w:val="000000"/>
        </w:rPr>
        <w:t xml:space="preserve"> ha adoptado la noción de “</w:t>
      </w:r>
      <w:r w:rsidRPr="0024494C">
        <w:rPr>
          <w:rStyle w:val="xcontentpasted0"/>
          <w:rFonts w:ascii="Bookman Old Style" w:hAnsi="Bookman Old Style"/>
          <w:i/>
          <w:iCs/>
          <w:color w:val="000000"/>
        </w:rPr>
        <w:t>gastos de funcionamiento</w:t>
      </w:r>
      <w:r w:rsidRPr="0024494C">
        <w:rPr>
          <w:rStyle w:val="xcontentpasted0"/>
          <w:rFonts w:ascii="Bookman Old Style" w:hAnsi="Bookman Old Style"/>
          <w:color w:val="000000"/>
        </w:rPr>
        <w:t>”, que ha desarrollado la Sección Cuarta del Consejo de Estado, según la cual deben entenderse como tales, únicamente aquellos que están relacionados con la prestación del servicio sujeto a regulación, la cual ha sido sentada en sentencia</w:t>
      </w:r>
      <w:r w:rsidR="00120350">
        <w:rPr>
          <w:rStyle w:val="xcontentpasted0"/>
          <w:rFonts w:ascii="Bookman Old Style" w:hAnsi="Bookman Old Style"/>
          <w:color w:val="000000"/>
        </w:rPr>
        <w:t>s</w:t>
      </w:r>
      <w:r w:rsidRPr="0024494C">
        <w:rPr>
          <w:rStyle w:val="xcontentpasted0"/>
          <w:rFonts w:ascii="Bookman Old Style" w:hAnsi="Bookman Old Style"/>
          <w:color w:val="000000"/>
        </w:rPr>
        <w:t xml:space="preserve"> de la Sección Cuarta, C.P.: Martha Teresa Briceño de Valencia, Rad. 11001-03-27-000-2007-00049-00 (16874) del 23 de septiembre de 2010 y Rad.  25000-23-27-000-2012-00362-01 (20253) del 17 de septiembre de 2014, ratificando posiciones contenidas en fallos emitidos en años anteriores, entre estos: (i) Sentencia del Consejo de Estado, Sección Cuarta, de 9 de abril de 2001, </w:t>
      </w:r>
      <w:proofErr w:type="spellStart"/>
      <w:r w:rsidRPr="0024494C">
        <w:rPr>
          <w:rStyle w:val="xcontentpasted0"/>
          <w:rFonts w:ascii="Bookman Old Style" w:hAnsi="Bookman Old Style"/>
          <w:color w:val="000000"/>
        </w:rPr>
        <w:t>Exp</w:t>
      </w:r>
      <w:proofErr w:type="spellEnd"/>
      <w:r w:rsidRPr="0024494C">
        <w:rPr>
          <w:rStyle w:val="xcontentpasted0"/>
          <w:rFonts w:ascii="Bookman Old Style" w:hAnsi="Bookman Old Style"/>
          <w:color w:val="000000"/>
        </w:rPr>
        <w:t xml:space="preserve">. 11001-03-27-000-2000-1253-01(11790) - Sobre el alcance conceptual de los gastos de funcionamiento-, (ii) Sentencia del Consejo de Estado, Sección Cuarta de 17 de abril de 2008, </w:t>
      </w:r>
      <w:proofErr w:type="spellStart"/>
      <w:r w:rsidRPr="0024494C">
        <w:rPr>
          <w:rStyle w:val="xcontentpasted0"/>
          <w:rFonts w:ascii="Bookman Old Style" w:hAnsi="Bookman Old Style"/>
          <w:color w:val="000000"/>
        </w:rPr>
        <w:t>Exp</w:t>
      </w:r>
      <w:proofErr w:type="spellEnd"/>
      <w:r w:rsidRPr="0024494C">
        <w:rPr>
          <w:rStyle w:val="xcontentpasted0"/>
          <w:rFonts w:ascii="Bookman Old Style" w:hAnsi="Bookman Old Style"/>
          <w:color w:val="000000"/>
        </w:rPr>
        <w:t>. 11001-03-27-000-2005-00061-00(15771), C.P. María Inés Ortiz Barbosa - Sobre el alcance de la expresión funcionamiento y de la definición de gastos de funcionamiento</w:t>
      </w:r>
      <w:r w:rsidR="00ED6BA7" w:rsidRPr="0024494C">
        <w:rPr>
          <w:rStyle w:val="xcontentpasted0"/>
          <w:rFonts w:ascii="Bookman Old Style" w:hAnsi="Bookman Old Style"/>
          <w:color w:val="000000"/>
        </w:rPr>
        <w:t>.</w:t>
      </w:r>
    </w:p>
    <w:p w14:paraId="275E47FD" w14:textId="77777777" w:rsidR="007A4376" w:rsidRPr="0024494C" w:rsidRDefault="007A4376" w:rsidP="000E5253">
      <w:pPr>
        <w:ind w:left="0"/>
        <w:jc w:val="both"/>
        <w:rPr>
          <w:rStyle w:val="xcontentpasted0"/>
          <w:rFonts w:ascii="Bookman Old Style" w:hAnsi="Bookman Old Style"/>
          <w:color w:val="000000"/>
        </w:rPr>
      </w:pPr>
    </w:p>
    <w:p w14:paraId="6DFEEC28" w14:textId="50A52AB2" w:rsidR="007A4376" w:rsidRDefault="007A4376" w:rsidP="007A4376">
      <w:pPr>
        <w:ind w:left="0"/>
        <w:jc w:val="both"/>
        <w:rPr>
          <w:rFonts w:ascii="Bookman Old Style" w:hAnsi="Bookman Old Style" w:cs="Arial"/>
        </w:rPr>
      </w:pPr>
      <w:r w:rsidRPr="0024494C">
        <w:rPr>
          <w:rFonts w:ascii="Bookman Old Style" w:hAnsi="Bookman Old Style" w:cs="Arial"/>
        </w:rPr>
        <w:t>De igual manera, l</w:t>
      </w:r>
      <w:r w:rsidR="00965F86" w:rsidRPr="0024494C">
        <w:rPr>
          <w:rFonts w:ascii="Bookman Old Style" w:hAnsi="Bookman Old Style" w:cs="Arial"/>
        </w:rPr>
        <w:t>a</w:t>
      </w:r>
      <w:r w:rsidR="00965F86" w:rsidRPr="0024494C">
        <w:rPr>
          <w:rFonts w:ascii="Bookman Old Style" w:hAnsi="Bookman Old Style"/>
        </w:rPr>
        <w:t xml:space="preserve"> Comisión de Regulación de Energía y Gas – CREG</w:t>
      </w:r>
      <w:r w:rsidR="00965F86" w:rsidRPr="0024494C">
        <w:rPr>
          <w:rFonts w:ascii="Bookman Old Style" w:hAnsi="Bookman Old Style" w:cs="Arial"/>
        </w:rPr>
        <w:t xml:space="preserve"> </w:t>
      </w:r>
      <w:r w:rsidRPr="0024494C">
        <w:rPr>
          <w:rFonts w:ascii="Bookman Old Style" w:hAnsi="Bookman Old Style" w:cs="Arial"/>
        </w:rPr>
        <w:t>atendiendo la postura unánime del Comité de Conciliación y Defensa Judicial de la entidad, emitida en sesión del 23 de septiembre de 2022</w:t>
      </w:r>
      <w:r w:rsidR="00F90F33">
        <w:rPr>
          <w:rFonts w:ascii="Bookman Old Style" w:hAnsi="Bookman Old Style" w:cs="Arial"/>
        </w:rPr>
        <w:t>,</w:t>
      </w:r>
      <w:r w:rsidRPr="0024494C">
        <w:rPr>
          <w:rFonts w:ascii="Bookman Old Style" w:hAnsi="Bookman Old Style" w:cs="Arial"/>
        </w:rPr>
        <w:t xml:space="preserve"> en la cual acoge el criterio jurisprudencial del Consejo de Estado</w:t>
      </w:r>
      <w:r w:rsidR="002129C4" w:rsidRPr="0024494C">
        <w:rPr>
          <w:rStyle w:val="Refdenotaalpie"/>
          <w:rFonts w:ascii="Bookman Old Style" w:hAnsi="Bookman Old Style" w:cs="Arial"/>
        </w:rPr>
        <w:footnoteReference w:id="2"/>
      </w:r>
      <w:r w:rsidRPr="0024494C">
        <w:rPr>
          <w:rFonts w:ascii="Bookman Old Style" w:hAnsi="Bookman Old Style" w:cs="Arial"/>
        </w:rPr>
        <w:t xml:space="preserve"> sobre los conceptos contables a tener en cuenta al hacer uso de la excepción contenida en el parágrafo 2 del artículo 85 de la Ley 142 de 1994, solo tomará, en el evento de un faltante presupuestal, de la porción de gastos operativos necesarios para cubrir dicho faltante los siguientes conceptos: compras en bloque y/o a largo plazo, compras en bolsa y/o a corto plazo, uso de líneas, redes y ductos, costo de distribución y/o comercialización GN, gas combustible, carbón mineral, ACP, fuel y </w:t>
      </w:r>
      <w:proofErr w:type="spellStart"/>
      <w:r w:rsidRPr="0024494C">
        <w:rPr>
          <w:rFonts w:ascii="Bookman Old Style" w:hAnsi="Bookman Old Style" w:cs="Arial"/>
        </w:rPr>
        <w:t>Oil</w:t>
      </w:r>
      <w:proofErr w:type="spellEnd"/>
      <w:r w:rsidRPr="0024494C">
        <w:rPr>
          <w:rFonts w:ascii="Bookman Old Style" w:hAnsi="Bookman Old Style" w:cs="Arial"/>
        </w:rPr>
        <w:t xml:space="preserve"> y los peajes, y no tendrá en cuenta aquello conceptos que antes de la adopción de las Normas Internacionales de Información Financiera – NIIF- en Colombia, se catalogaban como cuentas del grupo 75, a saber:</w:t>
      </w:r>
    </w:p>
    <w:p w14:paraId="378E93A4" w14:textId="77777777" w:rsidR="00506B2D" w:rsidRPr="0024494C" w:rsidRDefault="00506B2D" w:rsidP="007A4376">
      <w:pPr>
        <w:ind w:left="0"/>
        <w:jc w:val="both"/>
        <w:rPr>
          <w:rFonts w:ascii="Bookman Old Style" w:hAnsi="Bookman Old Style" w:cs="Arial"/>
        </w:rPr>
      </w:pPr>
    </w:p>
    <w:p w14:paraId="6CB9C21C" w14:textId="35F0F0A4" w:rsidR="00794A58" w:rsidRPr="005C691A" w:rsidRDefault="005D5928" w:rsidP="00794A58">
      <w:pPr>
        <w:pStyle w:val="Descripcin"/>
        <w:keepNext/>
        <w:rPr>
          <w:color w:val="auto"/>
          <w:sz w:val="16"/>
          <w:szCs w:val="16"/>
        </w:rPr>
      </w:pPr>
      <w:r w:rsidRPr="005C691A">
        <w:rPr>
          <w:rFonts w:ascii="Bookman Old Style" w:hAnsi="Bookman Old Style"/>
          <w:color w:val="auto"/>
          <w:sz w:val="16"/>
          <w:szCs w:val="16"/>
        </w:rPr>
        <w:t xml:space="preserve">Tabla </w:t>
      </w:r>
      <w:r w:rsidRPr="005C691A">
        <w:rPr>
          <w:rFonts w:ascii="Bookman Old Style" w:hAnsi="Bookman Old Style"/>
          <w:color w:val="auto"/>
          <w:sz w:val="16"/>
          <w:szCs w:val="16"/>
        </w:rPr>
        <w:fldChar w:fldCharType="begin"/>
      </w:r>
      <w:r w:rsidRPr="005C691A">
        <w:rPr>
          <w:rFonts w:ascii="Bookman Old Style" w:hAnsi="Bookman Old Style"/>
          <w:color w:val="auto"/>
          <w:sz w:val="16"/>
          <w:szCs w:val="16"/>
        </w:rPr>
        <w:instrText xml:space="preserve"> SEQ Tabla \* ARABIC </w:instrText>
      </w:r>
      <w:r w:rsidRPr="005C691A">
        <w:rPr>
          <w:rFonts w:ascii="Bookman Old Style" w:hAnsi="Bookman Old Style"/>
          <w:color w:val="auto"/>
          <w:sz w:val="16"/>
          <w:szCs w:val="16"/>
        </w:rPr>
        <w:fldChar w:fldCharType="separate"/>
      </w:r>
      <w:r w:rsidR="00776C08">
        <w:rPr>
          <w:rFonts w:ascii="Bookman Old Style" w:hAnsi="Bookman Old Style"/>
          <w:noProof/>
          <w:color w:val="auto"/>
          <w:sz w:val="16"/>
          <w:szCs w:val="16"/>
        </w:rPr>
        <w:t>1</w:t>
      </w:r>
      <w:r w:rsidRPr="005C691A">
        <w:rPr>
          <w:rFonts w:ascii="Bookman Old Style" w:hAnsi="Bookman Old Style"/>
          <w:color w:val="auto"/>
          <w:sz w:val="16"/>
          <w:szCs w:val="16"/>
        </w:rPr>
        <w:fldChar w:fldCharType="end"/>
      </w:r>
      <w:r w:rsidR="00B047CA">
        <w:rPr>
          <w:rFonts w:ascii="Bookman Old Style" w:hAnsi="Bookman Old Style"/>
          <w:color w:val="auto"/>
          <w:sz w:val="16"/>
          <w:szCs w:val="16"/>
        </w:rPr>
        <w:t xml:space="preserve"> </w:t>
      </w:r>
      <w:r w:rsidRPr="005C691A">
        <w:rPr>
          <w:rFonts w:ascii="Bookman Old Style" w:hAnsi="Bookman Old Style"/>
          <w:color w:val="auto"/>
          <w:sz w:val="16"/>
          <w:szCs w:val="16"/>
        </w:rPr>
        <w:t>Cuentas Grupo 75</w:t>
      </w:r>
    </w:p>
    <w:tbl>
      <w:tblPr>
        <w:tblStyle w:val="Tablaconcuadrcula"/>
        <w:tblW w:w="0" w:type="auto"/>
        <w:jc w:val="center"/>
        <w:tblLook w:val="04A0" w:firstRow="1" w:lastRow="0" w:firstColumn="1" w:lastColumn="0" w:noHBand="0" w:noVBand="1"/>
      </w:tblPr>
      <w:tblGrid>
        <w:gridCol w:w="1001"/>
        <w:gridCol w:w="4523"/>
      </w:tblGrid>
      <w:tr w:rsidR="005D5928" w:rsidRPr="001B6156" w14:paraId="0BCB79A7" w14:textId="77777777" w:rsidTr="001B6156">
        <w:trPr>
          <w:trHeight w:val="256"/>
          <w:jc w:val="center"/>
        </w:trPr>
        <w:tc>
          <w:tcPr>
            <w:tcW w:w="5524" w:type="dxa"/>
            <w:gridSpan w:val="2"/>
          </w:tcPr>
          <w:p w14:paraId="67DFB263" w14:textId="77777777" w:rsidR="005D5928" w:rsidRPr="001B6156" w:rsidRDefault="005D5928" w:rsidP="00BF6408">
            <w:pPr>
              <w:ind w:left="0"/>
              <w:jc w:val="center"/>
              <w:rPr>
                <w:rFonts w:ascii="Bookman Old Style" w:hAnsi="Bookman Old Style" w:cs="Arial"/>
                <w:b/>
                <w:bCs/>
                <w:sz w:val="16"/>
                <w:szCs w:val="16"/>
              </w:rPr>
            </w:pPr>
            <w:r w:rsidRPr="001B6156">
              <w:rPr>
                <w:rFonts w:ascii="Bookman Old Style" w:hAnsi="Bookman Old Style" w:cs="Arial"/>
                <w:b/>
                <w:bCs/>
                <w:sz w:val="16"/>
                <w:szCs w:val="16"/>
              </w:rPr>
              <w:t>CUENTAS GRUPO 75 -GASTOS OPERATIVOS</w:t>
            </w:r>
          </w:p>
        </w:tc>
      </w:tr>
      <w:tr w:rsidR="005D5928" w:rsidRPr="001B6156" w14:paraId="15CA12CD" w14:textId="77777777" w:rsidTr="001B6156">
        <w:trPr>
          <w:trHeight w:val="243"/>
          <w:jc w:val="center"/>
        </w:trPr>
        <w:tc>
          <w:tcPr>
            <w:tcW w:w="1001" w:type="dxa"/>
          </w:tcPr>
          <w:p w14:paraId="1806AE8C" w14:textId="77777777" w:rsidR="005D5928" w:rsidRPr="001B6156" w:rsidRDefault="005D5928" w:rsidP="00BF6408">
            <w:pPr>
              <w:ind w:left="0"/>
              <w:jc w:val="center"/>
              <w:rPr>
                <w:rFonts w:ascii="Bookman Old Style" w:hAnsi="Bookman Old Style" w:cs="Arial"/>
                <w:b/>
                <w:bCs/>
                <w:sz w:val="16"/>
                <w:szCs w:val="16"/>
              </w:rPr>
            </w:pPr>
            <w:r w:rsidRPr="001B6156">
              <w:rPr>
                <w:rFonts w:ascii="Bookman Old Style" w:hAnsi="Bookman Old Style" w:cs="Arial"/>
                <w:b/>
                <w:bCs/>
                <w:sz w:val="16"/>
                <w:szCs w:val="16"/>
              </w:rPr>
              <w:t>CUENTA</w:t>
            </w:r>
          </w:p>
        </w:tc>
        <w:tc>
          <w:tcPr>
            <w:tcW w:w="4523" w:type="dxa"/>
          </w:tcPr>
          <w:p w14:paraId="5362F126" w14:textId="77777777" w:rsidR="005D5928" w:rsidRPr="001B6156" w:rsidRDefault="005D5928" w:rsidP="00BF6408">
            <w:pPr>
              <w:ind w:left="0"/>
              <w:jc w:val="center"/>
              <w:rPr>
                <w:rFonts w:ascii="Bookman Old Style" w:hAnsi="Bookman Old Style" w:cs="Arial"/>
                <w:b/>
                <w:bCs/>
                <w:sz w:val="16"/>
                <w:szCs w:val="16"/>
              </w:rPr>
            </w:pPr>
            <w:r w:rsidRPr="001B6156">
              <w:rPr>
                <w:rFonts w:ascii="Bookman Old Style" w:hAnsi="Bookman Old Style" w:cs="Arial"/>
                <w:b/>
                <w:bCs/>
                <w:sz w:val="16"/>
                <w:szCs w:val="16"/>
              </w:rPr>
              <w:t>CONCEPTO</w:t>
            </w:r>
          </w:p>
        </w:tc>
      </w:tr>
      <w:tr w:rsidR="005D5928" w:rsidRPr="001B6156" w14:paraId="311F2F02" w14:textId="77777777" w:rsidTr="001B6156">
        <w:trPr>
          <w:trHeight w:val="256"/>
          <w:jc w:val="center"/>
        </w:trPr>
        <w:tc>
          <w:tcPr>
            <w:tcW w:w="1001" w:type="dxa"/>
          </w:tcPr>
          <w:p w14:paraId="04400DB4" w14:textId="77777777" w:rsidR="005D5928" w:rsidRPr="001B6156" w:rsidRDefault="005D5928" w:rsidP="00BF6408">
            <w:pPr>
              <w:ind w:left="0"/>
              <w:jc w:val="both"/>
              <w:rPr>
                <w:rFonts w:ascii="Bookman Old Style" w:hAnsi="Bookman Old Style" w:cs="Arial"/>
                <w:sz w:val="16"/>
                <w:szCs w:val="16"/>
              </w:rPr>
            </w:pPr>
            <w:r w:rsidRPr="001B6156">
              <w:rPr>
                <w:rFonts w:ascii="Bookman Old Style" w:hAnsi="Bookman Old Style" w:cs="Arial"/>
                <w:sz w:val="16"/>
                <w:szCs w:val="16"/>
              </w:rPr>
              <w:t>7505</w:t>
            </w:r>
          </w:p>
        </w:tc>
        <w:tc>
          <w:tcPr>
            <w:tcW w:w="4523" w:type="dxa"/>
          </w:tcPr>
          <w:p w14:paraId="285A73F4" w14:textId="77777777" w:rsidR="005D5928" w:rsidRPr="001B6156" w:rsidRDefault="005D5928" w:rsidP="00BF6408">
            <w:pPr>
              <w:ind w:left="0"/>
              <w:jc w:val="both"/>
              <w:rPr>
                <w:rFonts w:ascii="Bookman Old Style" w:hAnsi="Bookman Old Style" w:cs="Arial"/>
                <w:sz w:val="16"/>
                <w:szCs w:val="16"/>
              </w:rPr>
            </w:pPr>
            <w:r w:rsidRPr="001B6156">
              <w:rPr>
                <w:rFonts w:ascii="Bookman Old Style" w:hAnsi="Bookman Old Style" w:cs="Arial"/>
                <w:sz w:val="16"/>
                <w:szCs w:val="16"/>
              </w:rPr>
              <w:t>Servicios personales</w:t>
            </w:r>
          </w:p>
        </w:tc>
      </w:tr>
      <w:tr w:rsidR="005D5928" w:rsidRPr="001B6156" w14:paraId="49FBF450" w14:textId="77777777" w:rsidTr="001B6156">
        <w:trPr>
          <w:trHeight w:val="243"/>
          <w:jc w:val="center"/>
        </w:trPr>
        <w:tc>
          <w:tcPr>
            <w:tcW w:w="1001" w:type="dxa"/>
          </w:tcPr>
          <w:p w14:paraId="145B31A0" w14:textId="77777777" w:rsidR="005D5928" w:rsidRPr="001B6156" w:rsidRDefault="005D5928" w:rsidP="00BF6408">
            <w:pPr>
              <w:ind w:left="0"/>
              <w:jc w:val="both"/>
              <w:rPr>
                <w:rFonts w:ascii="Bookman Old Style" w:hAnsi="Bookman Old Style" w:cs="Arial"/>
                <w:sz w:val="16"/>
                <w:szCs w:val="16"/>
              </w:rPr>
            </w:pPr>
            <w:r w:rsidRPr="001B6156">
              <w:rPr>
                <w:rFonts w:ascii="Bookman Old Style" w:hAnsi="Bookman Old Style" w:cs="Arial"/>
                <w:sz w:val="16"/>
                <w:szCs w:val="16"/>
              </w:rPr>
              <w:t>7510</w:t>
            </w:r>
          </w:p>
        </w:tc>
        <w:tc>
          <w:tcPr>
            <w:tcW w:w="4523" w:type="dxa"/>
          </w:tcPr>
          <w:p w14:paraId="098B8F0F" w14:textId="77777777" w:rsidR="005D5928" w:rsidRPr="001B6156" w:rsidRDefault="005D5928" w:rsidP="00BF6408">
            <w:pPr>
              <w:ind w:left="0"/>
              <w:jc w:val="both"/>
              <w:rPr>
                <w:rFonts w:ascii="Bookman Old Style" w:hAnsi="Bookman Old Style" w:cs="Arial"/>
                <w:sz w:val="16"/>
                <w:szCs w:val="16"/>
              </w:rPr>
            </w:pPr>
            <w:r w:rsidRPr="001B6156">
              <w:rPr>
                <w:rFonts w:ascii="Bookman Old Style" w:hAnsi="Bookman Old Style" w:cs="Arial"/>
                <w:sz w:val="16"/>
                <w:szCs w:val="16"/>
              </w:rPr>
              <w:t>Generales</w:t>
            </w:r>
          </w:p>
        </w:tc>
      </w:tr>
      <w:tr w:rsidR="005D5928" w:rsidRPr="001B6156" w14:paraId="2B4D0829" w14:textId="77777777" w:rsidTr="001B6156">
        <w:trPr>
          <w:trHeight w:val="256"/>
          <w:jc w:val="center"/>
        </w:trPr>
        <w:tc>
          <w:tcPr>
            <w:tcW w:w="1001" w:type="dxa"/>
          </w:tcPr>
          <w:p w14:paraId="61D86DF0" w14:textId="77777777" w:rsidR="005D5928" w:rsidRPr="001B6156" w:rsidRDefault="005D5928" w:rsidP="00BF6408">
            <w:pPr>
              <w:ind w:left="0"/>
              <w:jc w:val="both"/>
              <w:rPr>
                <w:rFonts w:ascii="Bookman Old Style" w:hAnsi="Bookman Old Style" w:cs="Arial"/>
                <w:sz w:val="16"/>
                <w:szCs w:val="16"/>
              </w:rPr>
            </w:pPr>
            <w:r w:rsidRPr="001B6156">
              <w:rPr>
                <w:rFonts w:ascii="Bookman Old Style" w:hAnsi="Bookman Old Style" w:cs="Arial"/>
                <w:sz w:val="16"/>
                <w:szCs w:val="16"/>
              </w:rPr>
              <w:t>7517</w:t>
            </w:r>
          </w:p>
        </w:tc>
        <w:tc>
          <w:tcPr>
            <w:tcW w:w="4523" w:type="dxa"/>
          </w:tcPr>
          <w:p w14:paraId="46FE77F7" w14:textId="77777777" w:rsidR="005D5928" w:rsidRPr="001B6156" w:rsidRDefault="005D5928" w:rsidP="00BF6408">
            <w:pPr>
              <w:ind w:left="0"/>
              <w:jc w:val="both"/>
              <w:rPr>
                <w:rFonts w:ascii="Bookman Old Style" w:hAnsi="Bookman Old Style" w:cs="Arial"/>
                <w:sz w:val="16"/>
                <w:szCs w:val="16"/>
              </w:rPr>
            </w:pPr>
            <w:r w:rsidRPr="001B6156">
              <w:rPr>
                <w:rFonts w:ascii="Bookman Old Style" w:hAnsi="Bookman Old Style" w:cs="Arial"/>
                <w:sz w:val="16"/>
                <w:szCs w:val="16"/>
              </w:rPr>
              <w:t>Arrendamientos</w:t>
            </w:r>
          </w:p>
        </w:tc>
      </w:tr>
      <w:tr w:rsidR="005D5928" w:rsidRPr="001B6156" w14:paraId="2FEE2A0C" w14:textId="77777777" w:rsidTr="001B6156">
        <w:trPr>
          <w:trHeight w:val="256"/>
          <w:jc w:val="center"/>
        </w:trPr>
        <w:tc>
          <w:tcPr>
            <w:tcW w:w="1001" w:type="dxa"/>
          </w:tcPr>
          <w:p w14:paraId="453EE709" w14:textId="77777777" w:rsidR="005D5928" w:rsidRPr="001B6156" w:rsidRDefault="005D5928" w:rsidP="00BF6408">
            <w:pPr>
              <w:ind w:left="0"/>
              <w:jc w:val="both"/>
              <w:rPr>
                <w:rFonts w:ascii="Bookman Old Style" w:hAnsi="Bookman Old Style" w:cs="Arial"/>
                <w:sz w:val="16"/>
                <w:szCs w:val="16"/>
              </w:rPr>
            </w:pPr>
            <w:r w:rsidRPr="001B6156">
              <w:rPr>
                <w:rFonts w:ascii="Bookman Old Style" w:hAnsi="Bookman Old Style" w:cs="Arial"/>
                <w:sz w:val="16"/>
                <w:szCs w:val="16"/>
              </w:rPr>
              <w:t>7537</w:t>
            </w:r>
          </w:p>
        </w:tc>
        <w:tc>
          <w:tcPr>
            <w:tcW w:w="4523" w:type="dxa"/>
          </w:tcPr>
          <w:p w14:paraId="19320B74" w14:textId="77777777" w:rsidR="005D5928" w:rsidRPr="001B6156" w:rsidRDefault="005D5928" w:rsidP="00BF6408">
            <w:pPr>
              <w:ind w:left="0"/>
              <w:jc w:val="both"/>
              <w:rPr>
                <w:rFonts w:ascii="Bookman Old Style" w:hAnsi="Bookman Old Style" w:cs="Arial"/>
                <w:sz w:val="16"/>
                <w:szCs w:val="16"/>
              </w:rPr>
            </w:pPr>
            <w:r w:rsidRPr="001B6156">
              <w:rPr>
                <w:rFonts w:ascii="Bookman Old Style" w:hAnsi="Bookman Old Style" w:cs="Arial"/>
                <w:sz w:val="16"/>
                <w:szCs w:val="16"/>
              </w:rPr>
              <w:t>Licencias, contribuciones y regalías</w:t>
            </w:r>
          </w:p>
        </w:tc>
      </w:tr>
      <w:tr w:rsidR="005D5928" w:rsidRPr="001B6156" w14:paraId="5B6AACAD" w14:textId="77777777" w:rsidTr="001B6156">
        <w:trPr>
          <w:trHeight w:val="243"/>
          <w:jc w:val="center"/>
        </w:trPr>
        <w:tc>
          <w:tcPr>
            <w:tcW w:w="1001" w:type="dxa"/>
          </w:tcPr>
          <w:p w14:paraId="5ECFDE15" w14:textId="77777777" w:rsidR="005D5928" w:rsidRPr="001B6156" w:rsidRDefault="005D5928" w:rsidP="00BF6408">
            <w:pPr>
              <w:ind w:left="0"/>
              <w:jc w:val="both"/>
              <w:rPr>
                <w:rFonts w:ascii="Bookman Old Style" w:hAnsi="Bookman Old Style" w:cs="Arial"/>
                <w:sz w:val="16"/>
                <w:szCs w:val="16"/>
              </w:rPr>
            </w:pPr>
            <w:r w:rsidRPr="001B6156">
              <w:rPr>
                <w:rFonts w:ascii="Bookman Old Style" w:hAnsi="Bookman Old Style" w:cs="Arial"/>
                <w:sz w:val="16"/>
                <w:szCs w:val="16"/>
              </w:rPr>
              <w:t>7540</w:t>
            </w:r>
          </w:p>
        </w:tc>
        <w:tc>
          <w:tcPr>
            <w:tcW w:w="4523" w:type="dxa"/>
          </w:tcPr>
          <w:p w14:paraId="6787AFA8" w14:textId="77777777" w:rsidR="005D5928" w:rsidRPr="001B6156" w:rsidRDefault="005D5928" w:rsidP="00BF6408">
            <w:pPr>
              <w:ind w:left="0"/>
              <w:jc w:val="both"/>
              <w:rPr>
                <w:rFonts w:ascii="Bookman Old Style" w:hAnsi="Bookman Old Style" w:cs="Arial"/>
                <w:sz w:val="16"/>
                <w:szCs w:val="16"/>
              </w:rPr>
            </w:pPr>
            <w:r w:rsidRPr="001B6156">
              <w:rPr>
                <w:rFonts w:ascii="Bookman Old Style" w:hAnsi="Bookman Old Style" w:cs="Arial"/>
                <w:sz w:val="16"/>
                <w:szCs w:val="16"/>
              </w:rPr>
              <w:t>Órdenes y contratos de mantenimiento y reparaciones</w:t>
            </w:r>
          </w:p>
        </w:tc>
      </w:tr>
      <w:tr w:rsidR="005D5928" w:rsidRPr="001B6156" w14:paraId="6A1817D9" w14:textId="77777777" w:rsidTr="001B6156">
        <w:trPr>
          <w:trHeight w:val="256"/>
          <w:jc w:val="center"/>
        </w:trPr>
        <w:tc>
          <w:tcPr>
            <w:tcW w:w="1001" w:type="dxa"/>
          </w:tcPr>
          <w:p w14:paraId="266F513A" w14:textId="77777777" w:rsidR="005D5928" w:rsidRPr="001B6156" w:rsidRDefault="005D5928" w:rsidP="00BF6408">
            <w:pPr>
              <w:ind w:left="0"/>
              <w:jc w:val="both"/>
              <w:rPr>
                <w:rFonts w:ascii="Bookman Old Style" w:hAnsi="Bookman Old Style" w:cs="Arial"/>
                <w:sz w:val="16"/>
                <w:szCs w:val="16"/>
              </w:rPr>
            </w:pPr>
            <w:r w:rsidRPr="001B6156">
              <w:rPr>
                <w:rFonts w:ascii="Bookman Old Style" w:hAnsi="Bookman Old Style" w:cs="Arial"/>
                <w:sz w:val="16"/>
                <w:szCs w:val="16"/>
              </w:rPr>
              <w:t>756510</w:t>
            </w:r>
          </w:p>
        </w:tc>
        <w:tc>
          <w:tcPr>
            <w:tcW w:w="4523" w:type="dxa"/>
          </w:tcPr>
          <w:p w14:paraId="178BD286" w14:textId="77777777" w:rsidR="005D5928" w:rsidRPr="001B6156" w:rsidRDefault="005D5928" w:rsidP="00BF6408">
            <w:pPr>
              <w:ind w:left="0"/>
              <w:jc w:val="both"/>
              <w:rPr>
                <w:rFonts w:ascii="Bookman Old Style" w:hAnsi="Bookman Old Style" w:cs="Arial"/>
                <w:sz w:val="16"/>
                <w:szCs w:val="16"/>
              </w:rPr>
            </w:pPr>
            <w:r w:rsidRPr="001B6156">
              <w:rPr>
                <w:rFonts w:ascii="Bookman Old Style" w:hAnsi="Bookman Old Style" w:cs="Arial"/>
                <w:sz w:val="16"/>
                <w:szCs w:val="16"/>
              </w:rPr>
              <w:t>Peajes terrestres</w:t>
            </w:r>
          </w:p>
        </w:tc>
      </w:tr>
      <w:tr w:rsidR="005D5928" w:rsidRPr="001B6156" w14:paraId="0874A5CC" w14:textId="77777777" w:rsidTr="001B6156">
        <w:trPr>
          <w:trHeight w:val="243"/>
          <w:jc w:val="center"/>
        </w:trPr>
        <w:tc>
          <w:tcPr>
            <w:tcW w:w="1001" w:type="dxa"/>
          </w:tcPr>
          <w:p w14:paraId="3957D060" w14:textId="77777777" w:rsidR="005D5928" w:rsidRPr="001B6156" w:rsidRDefault="005D5928" w:rsidP="00BF6408">
            <w:pPr>
              <w:ind w:left="0"/>
              <w:jc w:val="both"/>
              <w:rPr>
                <w:rFonts w:ascii="Bookman Old Style" w:hAnsi="Bookman Old Style" w:cs="Arial"/>
                <w:sz w:val="16"/>
                <w:szCs w:val="16"/>
              </w:rPr>
            </w:pPr>
            <w:r w:rsidRPr="001B6156">
              <w:rPr>
                <w:rFonts w:ascii="Bookman Old Style" w:hAnsi="Bookman Old Style" w:cs="Arial"/>
                <w:sz w:val="16"/>
                <w:szCs w:val="16"/>
              </w:rPr>
              <w:t>7542</w:t>
            </w:r>
          </w:p>
        </w:tc>
        <w:tc>
          <w:tcPr>
            <w:tcW w:w="4523" w:type="dxa"/>
          </w:tcPr>
          <w:p w14:paraId="78E1C5F8" w14:textId="77777777" w:rsidR="005D5928" w:rsidRPr="001B6156" w:rsidRDefault="005D5928" w:rsidP="00BF6408">
            <w:pPr>
              <w:ind w:left="0"/>
              <w:jc w:val="both"/>
              <w:rPr>
                <w:rFonts w:ascii="Bookman Old Style" w:hAnsi="Bookman Old Style" w:cs="Arial"/>
                <w:sz w:val="16"/>
                <w:szCs w:val="16"/>
              </w:rPr>
            </w:pPr>
            <w:r w:rsidRPr="001B6156">
              <w:rPr>
                <w:rFonts w:ascii="Bookman Old Style" w:hAnsi="Bookman Old Style" w:cs="Arial"/>
                <w:sz w:val="16"/>
                <w:szCs w:val="16"/>
              </w:rPr>
              <w:t>Honorarios</w:t>
            </w:r>
          </w:p>
        </w:tc>
      </w:tr>
      <w:tr w:rsidR="005D5928" w:rsidRPr="001B6156" w14:paraId="6FDE5A0A" w14:textId="77777777" w:rsidTr="001B6156">
        <w:trPr>
          <w:trHeight w:val="256"/>
          <w:jc w:val="center"/>
        </w:trPr>
        <w:tc>
          <w:tcPr>
            <w:tcW w:w="1001" w:type="dxa"/>
          </w:tcPr>
          <w:p w14:paraId="7E092965" w14:textId="77777777" w:rsidR="005D5928" w:rsidRPr="001B6156" w:rsidRDefault="005D5928" w:rsidP="00BF6408">
            <w:pPr>
              <w:ind w:left="0"/>
              <w:jc w:val="both"/>
              <w:rPr>
                <w:rFonts w:ascii="Bookman Old Style" w:hAnsi="Bookman Old Style" w:cs="Arial"/>
                <w:sz w:val="16"/>
                <w:szCs w:val="16"/>
              </w:rPr>
            </w:pPr>
            <w:r w:rsidRPr="001B6156">
              <w:rPr>
                <w:rFonts w:ascii="Bookman Old Style" w:hAnsi="Bookman Old Style" w:cs="Arial"/>
                <w:sz w:val="16"/>
                <w:szCs w:val="16"/>
              </w:rPr>
              <w:t>7545</w:t>
            </w:r>
          </w:p>
        </w:tc>
        <w:tc>
          <w:tcPr>
            <w:tcW w:w="4523" w:type="dxa"/>
          </w:tcPr>
          <w:p w14:paraId="408600ED" w14:textId="77777777" w:rsidR="005D5928" w:rsidRPr="001B6156" w:rsidRDefault="005D5928" w:rsidP="00BF6408">
            <w:pPr>
              <w:ind w:left="0"/>
              <w:jc w:val="both"/>
              <w:rPr>
                <w:rFonts w:ascii="Bookman Old Style" w:hAnsi="Bookman Old Style" w:cs="Arial"/>
                <w:sz w:val="16"/>
                <w:szCs w:val="16"/>
              </w:rPr>
            </w:pPr>
            <w:r w:rsidRPr="001B6156">
              <w:rPr>
                <w:rFonts w:ascii="Bookman Old Style" w:hAnsi="Bookman Old Style" w:cs="Arial"/>
                <w:sz w:val="16"/>
                <w:szCs w:val="16"/>
              </w:rPr>
              <w:t>Servicios públicos</w:t>
            </w:r>
          </w:p>
        </w:tc>
      </w:tr>
      <w:tr w:rsidR="005D5928" w:rsidRPr="001B6156" w14:paraId="403E067C" w14:textId="77777777" w:rsidTr="001B6156">
        <w:trPr>
          <w:trHeight w:val="256"/>
          <w:jc w:val="center"/>
        </w:trPr>
        <w:tc>
          <w:tcPr>
            <w:tcW w:w="1001" w:type="dxa"/>
          </w:tcPr>
          <w:p w14:paraId="40311896" w14:textId="77777777" w:rsidR="005D5928" w:rsidRPr="001B6156" w:rsidRDefault="005D5928" w:rsidP="00BF6408">
            <w:pPr>
              <w:ind w:left="0"/>
              <w:jc w:val="both"/>
              <w:rPr>
                <w:rFonts w:ascii="Bookman Old Style" w:hAnsi="Bookman Old Style" w:cs="Arial"/>
                <w:sz w:val="16"/>
                <w:szCs w:val="16"/>
              </w:rPr>
            </w:pPr>
            <w:r w:rsidRPr="001B6156">
              <w:rPr>
                <w:rFonts w:ascii="Bookman Old Style" w:hAnsi="Bookman Old Style" w:cs="Arial"/>
                <w:sz w:val="16"/>
                <w:szCs w:val="16"/>
              </w:rPr>
              <w:t>7550</w:t>
            </w:r>
          </w:p>
        </w:tc>
        <w:tc>
          <w:tcPr>
            <w:tcW w:w="4523" w:type="dxa"/>
          </w:tcPr>
          <w:p w14:paraId="3688FC26" w14:textId="77777777" w:rsidR="005D5928" w:rsidRPr="001B6156" w:rsidRDefault="005D5928" w:rsidP="00BF6408">
            <w:pPr>
              <w:ind w:left="0"/>
              <w:jc w:val="both"/>
              <w:rPr>
                <w:rFonts w:ascii="Bookman Old Style" w:hAnsi="Bookman Old Style" w:cs="Arial"/>
                <w:sz w:val="16"/>
                <w:szCs w:val="16"/>
              </w:rPr>
            </w:pPr>
            <w:r w:rsidRPr="001B6156">
              <w:rPr>
                <w:rFonts w:ascii="Bookman Old Style" w:hAnsi="Bookman Old Style" w:cs="Arial"/>
                <w:sz w:val="16"/>
                <w:szCs w:val="16"/>
              </w:rPr>
              <w:t>Materiales y otros costos de operación</w:t>
            </w:r>
          </w:p>
        </w:tc>
      </w:tr>
      <w:tr w:rsidR="005D5928" w:rsidRPr="001B6156" w14:paraId="5F97DB63" w14:textId="77777777" w:rsidTr="001B6156">
        <w:trPr>
          <w:trHeight w:val="243"/>
          <w:jc w:val="center"/>
        </w:trPr>
        <w:tc>
          <w:tcPr>
            <w:tcW w:w="1001" w:type="dxa"/>
          </w:tcPr>
          <w:p w14:paraId="268BA43B" w14:textId="77777777" w:rsidR="005D5928" w:rsidRPr="001B6156" w:rsidRDefault="005D5928" w:rsidP="00BF6408">
            <w:pPr>
              <w:ind w:left="0"/>
              <w:jc w:val="both"/>
              <w:rPr>
                <w:rFonts w:ascii="Bookman Old Style" w:hAnsi="Bookman Old Style" w:cs="Arial"/>
                <w:sz w:val="16"/>
                <w:szCs w:val="16"/>
              </w:rPr>
            </w:pPr>
            <w:r w:rsidRPr="001B6156">
              <w:rPr>
                <w:rFonts w:ascii="Bookman Old Style" w:hAnsi="Bookman Old Style" w:cs="Arial"/>
                <w:sz w:val="16"/>
                <w:szCs w:val="16"/>
              </w:rPr>
              <w:lastRenderedPageBreak/>
              <w:t>7560</w:t>
            </w:r>
          </w:p>
        </w:tc>
        <w:tc>
          <w:tcPr>
            <w:tcW w:w="4523" w:type="dxa"/>
          </w:tcPr>
          <w:p w14:paraId="56283576" w14:textId="77777777" w:rsidR="005D5928" w:rsidRPr="001B6156" w:rsidRDefault="005D5928" w:rsidP="00BF6408">
            <w:pPr>
              <w:ind w:left="0"/>
              <w:jc w:val="both"/>
              <w:rPr>
                <w:rFonts w:ascii="Bookman Old Style" w:hAnsi="Bookman Old Style" w:cs="Arial"/>
                <w:sz w:val="16"/>
                <w:szCs w:val="16"/>
              </w:rPr>
            </w:pPr>
            <w:r w:rsidRPr="001B6156">
              <w:rPr>
                <w:rFonts w:ascii="Bookman Old Style" w:hAnsi="Bookman Old Style" w:cs="Arial"/>
                <w:sz w:val="16"/>
                <w:szCs w:val="16"/>
              </w:rPr>
              <w:t>Seguro</w:t>
            </w:r>
          </w:p>
        </w:tc>
      </w:tr>
      <w:tr w:rsidR="005D5928" w:rsidRPr="001B6156" w14:paraId="104283FE" w14:textId="77777777" w:rsidTr="001B6156">
        <w:trPr>
          <w:trHeight w:val="256"/>
          <w:jc w:val="center"/>
        </w:trPr>
        <w:tc>
          <w:tcPr>
            <w:tcW w:w="1001" w:type="dxa"/>
          </w:tcPr>
          <w:p w14:paraId="5FC857E7" w14:textId="77777777" w:rsidR="005D5928" w:rsidRPr="001B6156" w:rsidRDefault="005D5928" w:rsidP="00BF6408">
            <w:pPr>
              <w:ind w:left="0"/>
              <w:jc w:val="both"/>
              <w:rPr>
                <w:rFonts w:ascii="Bookman Old Style" w:hAnsi="Bookman Old Style" w:cs="Arial"/>
                <w:sz w:val="16"/>
                <w:szCs w:val="16"/>
              </w:rPr>
            </w:pPr>
            <w:r w:rsidRPr="001B6156">
              <w:rPr>
                <w:rFonts w:ascii="Bookman Old Style" w:hAnsi="Bookman Old Style" w:cs="Arial"/>
                <w:sz w:val="16"/>
                <w:szCs w:val="16"/>
              </w:rPr>
              <w:t>7570</w:t>
            </w:r>
          </w:p>
        </w:tc>
        <w:tc>
          <w:tcPr>
            <w:tcW w:w="4523" w:type="dxa"/>
          </w:tcPr>
          <w:p w14:paraId="23E12B30" w14:textId="77777777" w:rsidR="005D5928" w:rsidRPr="001B6156" w:rsidRDefault="005D5928" w:rsidP="00BF6408">
            <w:pPr>
              <w:ind w:left="0"/>
              <w:jc w:val="both"/>
              <w:rPr>
                <w:rFonts w:ascii="Bookman Old Style" w:hAnsi="Bookman Old Style" w:cs="Arial"/>
                <w:sz w:val="16"/>
                <w:szCs w:val="16"/>
              </w:rPr>
            </w:pPr>
            <w:r w:rsidRPr="001B6156">
              <w:rPr>
                <w:rFonts w:ascii="Bookman Old Style" w:hAnsi="Bookman Old Style" w:cs="Arial"/>
                <w:sz w:val="16"/>
                <w:szCs w:val="16"/>
              </w:rPr>
              <w:t>Órdenes y contratos por otros servicios</w:t>
            </w:r>
          </w:p>
        </w:tc>
      </w:tr>
    </w:tbl>
    <w:p w14:paraId="5466EE5B" w14:textId="77777777" w:rsidR="00ED6BA7" w:rsidRPr="0024494C" w:rsidRDefault="00ED6BA7" w:rsidP="000E5253">
      <w:pPr>
        <w:ind w:left="0"/>
        <w:jc w:val="both"/>
        <w:rPr>
          <w:rFonts w:ascii="Bookman Old Style" w:hAnsi="Bookman Old Style" w:cs="Arial"/>
          <w:color w:val="7030A0"/>
        </w:rPr>
      </w:pPr>
    </w:p>
    <w:p w14:paraId="1EF4E1CD" w14:textId="58B5D115" w:rsidR="003628A6" w:rsidRPr="0024494C" w:rsidRDefault="00685D35" w:rsidP="000E5253">
      <w:pPr>
        <w:ind w:left="0"/>
        <w:jc w:val="both"/>
        <w:rPr>
          <w:rFonts w:ascii="Bookman Old Style" w:hAnsi="Bookman Old Style" w:cs="Arial"/>
        </w:rPr>
      </w:pPr>
      <w:r w:rsidRPr="0024494C">
        <w:rPr>
          <w:rFonts w:ascii="Bookman Old Style" w:hAnsi="Bookman Old Style" w:cs="Arial"/>
        </w:rPr>
        <w:t>D</w:t>
      </w:r>
      <w:r w:rsidR="003628A6" w:rsidRPr="0024494C">
        <w:rPr>
          <w:rFonts w:ascii="Bookman Old Style" w:hAnsi="Bookman Old Style" w:cs="Arial"/>
        </w:rPr>
        <w:t>e acuerdo con lo anterior</w:t>
      </w:r>
      <w:r w:rsidR="00050EF7" w:rsidRPr="0024494C">
        <w:rPr>
          <w:rFonts w:ascii="Bookman Old Style" w:hAnsi="Bookman Old Style" w:cs="Arial"/>
        </w:rPr>
        <w:t>,</w:t>
      </w:r>
      <w:r w:rsidR="003628A6" w:rsidRPr="0024494C">
        <w:rPr>
          <w:rFonts w:ascii="Bookman Old Style" w:hAnsi="Bookman Old Style" w:cs="Arial"/>
        </w:rPr>
        <w:t xml:space="preserve"> y con el fin de proyectar la tarifa para la liquidación de la contribución especial del año </w:t>
      </w:r>
      <w:r w:rsidR="00F77C04" w:rsidRPr="0024494C">
        <w:rPr>
          <w:rFonts w:ascii="Bookman Old Style" w:hAnsi="Bookman Old Style" w:cs="Arial"/>
        </w:rPr>
        <w:t>2023</w:t>
      </w:r>
      <w:r w:rsidR="003628A6" w:rsidRPr="0024494C">
        <w:rPr>
          <w:rFonts w:ascii="Bookman Old Style" w:hAnsi="Bookman Old Style" w:cs="Arial"/>
        </w:rPr>
        <w:t xml:space="preserve">, se tomó la información financiera reportada y certificada con corte a 31 de diciembre de </w:t>
      </w:r>
      <w:r w:rsidR="00F77C04" w:rsidRPr="0024494C">
        <w:rPr>
          <w:rFonts w:ascii="Bookman Old Style" w:hAnsi="Bookman Old Style" w:cs="Arial"/>
        </w:rPr>
        <w:t xml:space="preserve">2022 </w:t>
      </w:r>
      <w:r w:rsidR="003628A6" w:rsidRPr="0024494C">
        <w:rPr>
          <w:rFonts w:ascii="Bookman Old Style" w:hAnsi="Bookman Old Style" w:cs="Arial"/>
        </w:rPr>
        <w:t>por las entidades sometidas al ámbito de regulación</w:t>
      </w:r>
      <w:r w:rsidR="00572B53" w:rsidRPr="0024494C">
        <w:rPr>
          <w:rFonts w:ascii="Bookman Old Style" w:hAnsi="Bookman Old Style" w:cs="Arial"/>
        </w:rPr>
        <w:t xml:space="preserve"> de la </w:t>
      </w:r>
      <w:r w:rsidR="004668BF" w:rsidRPr="0024494C">
        <w:rPr>
          <w:rFonts w:ascii="Bookman Old Style" w:hAnsi="Bookman Old Style"/>
        </w:rPr>
        <w:t>Comisión de Regulación de Energía y Gas – CREG</w:t>
      </w:r>
      <w:r w:rsidR="003F25E1" w:rsidRPr="0024494C">
        <w:rPr>
          <w:rFonts w:ascii="Bookman Old Style" w:hAnsi="Bookman Old Style" w:cs="Arial"/>
        </w:rPr>
        <w:t>.</w:t>
      </w:r>
    </w:p>
    <w:p w14:paraId="2063853B" w14:textId="0387465D" w:rsidR="003628A6" w:rsidRPr="0024494C" w:rsidRDefault="003628A6" w:rsidP="000E5253">
      <w:pPr>
        <w:ind w:left="0"/>
        <w:jc w:val="both"/>
        <w:rPr>
          <w:rFonts w:ascii="Bookman Old Style" w:hAnsi="Bookman Old Style" w:cs="Arial"/>
          <w:lang w:val="es-CO"/>
        </w:rPr>
      </w:pPr>
    </w:p>
    <w:p w14:paraId="7C8CFB8F" w14:textId="6AA9BBAB" w:rsidR="001A5687" w:rsidRPr="0024494C" w:rsidRDefault="001A5687" w:rsidP="001A5687">
      <w:pPr>
        <w:ind w:left="0"/>
        <w:jc w:val="both"/>
        <w:rPr>
          <w:rFonts w:ascii="Bookman Old Style" w:hAnsi="Bookman Old Style" w:cs="Arial"/>
        </w:rPr>
      </w:pPr>
      <w:r w:rsidRPr="0024494C">
        <w:rPr>
          <w:rFonts w:ascii="Bookman Old Style" w:hAnsi="Bookman Old Style" w:cs="Arial"/>
        </w:rPr>
        <w:t xml:space="preserve">Mediante </w:t>
      </w:r>
      <w:r w:rsidR="00121842">
        <w:rPr>
          <w:rFonts w:ascii="Bookman Old Style" w:hAnsi="Bookman Old Style" w:cs="Arial"/>
        </w:rPr>
        <w:t xml:space="preserve">la </w:t>
      </w:r>
      <w:r w:rsidRPr="0024494C">
        <w:rPr>
          <w:rFonts w:ascii="Bookman Old Style" w:hAnsi="Bookman Old Style" w:cs="Arial"/>
        </w:rPr>
        <w:t>Ley 2276 del 29 de noviembre de 2022, se decreta el presupuesto de Rentas y Recursos de Capital y Ley de Apropiaciones para la vigencia fiscal del 1º de enero al 31 de diciembre de 2023. </w:t>
      </w:r>
    </w:p>
    <w:p w14:paraId="38E5A789" w14:textId="79AC20ED" w:rsidR="001A5687" w:rsidRPr="0024494C" w:rsidRDefault="001A5687" w:rsidP="001A5687">
      <w:pPr>
        <w:ind w:left="0"/>
        <w:jc w:val="both"/>
        <w:rPr>
          <w:rFonts w:ascii="Bookman Old Style" w:hAnsi="Bookman Old Style" w:cs="Arial"/>
        </w:rPr>
      </w:pPr>
    </w:p>
    <w:p w14:paraId="250C8730" w14:textId="147A9A92" w:rsidR="00F67E6D" w:rsidRPr="0024494C" w:rsidRDefault="004777CE" w:rsidP="001A5687">
      <w:pPr>
        <w:ind w:left="0"/>
        <w:jc w:val="both"/>
        <w:rPr>
          <w:rFonts w:ascii="Bookman Old Style" w:hAnsi="Bookman Old Style" w:cs="Arial"/>
        </w:rPr>
      </w:pPr>
      <w:r>
        <w:rPr>
          <w:rFonts w:ascii="Bookman Old Style" w:hAnsi="Bookman Old Style" w:cs="Arial"/>
        </w:rPr>
        <w:t xml:space="preserve">En el </w:t>
      </w:r>
      <w:r w:rsidR="001A5687" w:rsidRPr="0024494C">
        <w:rPr>
          <w:rFonts w:ascii="Bookman Old Style" w:hAnsi="Bookman Old Style" w:cs="Arial"/>
        </w:rPr>
        <w:t>anexo del Decreto 2590 del 23 de diciembre de 2022, "</w:t>
      </w:r>
      <w:r w:rsidR="001A5687" w:rsidRPr="0024494C">
        <w:rPr>
          <w:rFonts w:ascii="Bookman Old Style" w:hAnsi="Bookman Old Style" w:cs="Arial"/>
          <w:i/>
          <w:iCs/>
        </w:rPr>
        <w:t>Por el cual se liquida el Presupuesto General de la Nación para la vigencia fiscal de 2023, se detallan las apropiaciones y se clasifican y definen los gastos</w:t>
      </w:r>
      <w:r w:rsidR="001A5687" w:rsidRPr="0024494C">
        <w:rPr>
          <w:rFonts w:ascii="Bookman Old Style" w:hAnsi="Bookman Old Style" w:cs="Arial"/>
        </w:rPr>
        <w:t>"</w:t>
      </w:r>
      <w:r>
        <w:rPr>
          <w:rFonts w:ascii="Bookman Old Style" w:hAnsi="Bookman Old Style" w:cs="Arial"/>
        </w:rPr>
        <w:t>,</w:t>
      </w:r>
      <w:r w:rsidR="001A5687" w:rsidRPr="0024494C">
        <w:rPr>
          <w:rFonts w:ascii="Bookman Old Style" w:hAnsi="Bookman Old Style" w:cs="Arial"/>
        </w:rPr>
        <w:t xml:space="preserve"> se establecieron las apropiaciones presupuestales para funcionamiento, servicio de la deuda e inversión de la unidad ejecutora 210113 </w:t>
      </w:r>
      <w:r w:rsidR="00E05196">
        <w:rPr>
          <w:rFonts w:ascii="Bookman Old Style" w:hAnsi="Bookman Old Style" w:cs="Arial"/>
        </w:rPr>
        <w:t xml:space="preserve">de la </w:t>
      </w:r>
      <w:r w:rsidR="004668BF" w:rsidRPr="0024494C">
        <w:rPr>
          <w:rFonts w:ascii="Bookman Old Style" w:hAnsi="Bookman Old Style"/>
        </w:rPr>
        <w:t>Comisión de Regulación de Energía y Gas – CREG</w:t>
      </w:r>
      <w:r w:rsidR="001A5687" w:rsidRPr="0024494C">
        <w:rPr>
          <w:rFonts w:ascii="Bookman Old Style" w:hAnsi="Bookman Old Style" w:cs="Arial"/>
        </w:rPr>
        <w:t>. </w:t>
      </w:r>
    </w:p>
    <w:p w14:paraId="23BE3AE6" w14:textId="77777777" w:rsidR="00A31B35" w:rsidRPr="0024494C" w:rsidRDefault="00A31B35" w:rsidP="001A5687">
      <w:pPr>
        <w:ind w:left="0"/>
        <w:jc w:val="both"/>
        <w:rPr>
          <w:rFonts w:ascii="Bookman Old Style" w:hAnsi="Bookman Old Style" w:cs="Arial"/>
        </w:rPr>
      </w:pPr>
    </w:p>
    <w:p w14:paraId="44D115C8" w14:textId="3A0A4C4A" w:rsidR="00A31B35" w:rsidRPr="0024494C" w:rsidRDefault="00A31B35" w:rsidP="001A5687">
      <w:pPr>
        <w:ind w:left="0"/>
        <w:jc w:val="both"/>
        <w:rPr>
          <w:rFonts w:ascii="Bookman Old Style" w:hAnsi="Bookman Old Style" w:cs="Arial"/>
        </w:rPr>
      </w:pPr>
      <w:r w:rsidRPr="0024494C">
        <w:rPr>
          <w:rFonts w:ascii="Bookman Old Style" w:hAnsi="Bookman Old Style" w:cs="Arial"/>
        </w:rPr>
        <w:t>Mediante Ley 2299 de 2023</w:t>
      </w:r>
      <w:r w:rsidR="005C2962" w:rsidRPr="0024494C">
        <w:rPr>
          <w:rFonts w:ascii="Bookman Old Style" w:hAnsi="Bookman Old Style" w:cs="Arial"/>
        </w:rPr>
        <w:t>, “</w:t>
      </w:r>
      <w:r w:rsidR="001C36E9" w:rsidRPr="0024494C">
        <w:rPr>
          <w:rFonts w:ascii="Bookman Old Style" w:hAnsi="Bookman Old Style" w:cs="Arial"/>
          <w:i/>
          <w:iCs/>
        </w:rPr>
        <w:t>por la cual se adiciona y efectúan unas modificaciones al Presupuesto General de la Nación de la vigencia fiscal de 2023</w:t>
      </w:r>
      <w:r w:rsidR="005C2962" w:rsidRPr="0024494C">
        <w:rPr>
          <w:rFonts w:ascii="Bookman Old Style" w:hAnsi="Bookman Old Style" w:cs="Arial"/>
        </w:rPr>
        <w:t>”</w:t>
      </w:r>
      <w:r w:rsidR="000107DB">
        <w:rPr>
          <w:rFonts w:ascii="Bookman Old Style" w:hAnsi="Bookman Old Style" w:cs="Arial"/>
        </w:rPr>
        <w:t xml:space="preserve">, el Congreso de la República </w:t>
      </w:r>
      <w:r w:rsidR="009E11A4">
        <w:rPr>
          <w:rFonts w:ascii="Bookman Old Style" w:hAnsi="Bookman Old Style" w:cs="Arial"/>
        </w:rPr>
        <w:t>modificó e</w:t>
      </w:r>
      <w:r w:rsidR="000107DB" w:rsidRPr="000107DB">
        <w:rPr>
          <w:rFonts w:ascii="Bookman Old Style" w:hAnsi="Bookman Old Style" w:cs="Arial"/>
        </w:rPr>
        <w:t>l Presupuesto de Rentas y Recursos de Capital del Presupuesto General de la Nación de la vigencia fiscal de 2023</w:t>
      </w:r>
      <w:r w:rsidR="00E05196">
        <w:rPr>
          <w:rFonts w:ascii="Bookman Old Style" w:hAnsi="Bookman Old Style" w:cs="Arial"/>
        </w:rPr>
        <w:t>.</w:t>
      </w:r>
    </w:p>
    <w:p w14:paraId="0E4B4BEB" w14:textId="77777777" w:rsidR="001A5687" w:rsidRPr="0024494C" w:rsidRDefault="001A5687" w:rsidP="001A5687">
      <w:pPr>
        <w:ind w:left="0"/>
        <w:jc w:val="both"/>
        <w:rPr>
          <w:rFonts w:ascii="Bookman Old Style" w:hAnsi="Bookman Old Style" w:cs="Arial"/>
        </w:rPr>
      </w:pPr>
    </w:p>
    <w:p w14:paraId="581F0670" w14:textId="3D87E73C" w:rsidR="00D9469E" w:rsidRPr="0024494C" w:rsidRDefault="009E11A4" w:rsidP="000E5253">
      <w:pPr>
        <w:ind w:left="0"/>
        <w:jc w:val="both"/>
        <w:rPr>
          <w:rFonts w:ascii="Bookman Old Style" w:hAnsi="Bookman Old Style" w:cs="Arial"/>
        </w:rPr>
      </w:pPr>
      <w:r>
        <w:rPr>
          <w:rFonts w:ascii="Bookman Old Style" w:hAnsi="Bookman Old Style" w:cs="Arial"/>
        </w:rPr>
        <w:t xml:space="preserve">Mediante el </w:t>
      </w:r>
      <w:r w:rsidR="000E5253" w:rsidRPr="0024494C">
        <w:rPr>
          <w:rFonts w:ascii="Bookman Old Style" w:hAnsi="Bookman Old Style" w:cs="Arial"/>
        </w:rPr>
        <w:t>Decreto N° 1234 de 2023</w:t>
      </w:r>
      <w:r w:rsidR="00D9469E" w:rsidRPr="0024494C">
        <w:rPr>
          <w:rFonts w:ascii="Bookman Old Style" w:hAnsi="Bookman Old Style" w:cs="Arial"/>
        </w:rPr>
        <w:t xml:space="preserve"> “</w:t>
      </w:r>
      <w:r w:rsidR="00D9469E" w:rsidRPr="0024494C">
        <w:rPr>
          <w:rFonts w:ascii="Bookman Old Style" w:hAnsi="Bookman Old Style" w:cs="Arial"/>
          <w:i/>
          <w:iCs/>
        </w:rPr>
        <w:t>por el cual se liquida la Ley 2299 del 10 de julio de 2023 que adiciona y efectúa unas modificaciones al Presupuesto General de la Nación de la vigencia fiscal de 2023</w:t>
      </w:r>
      <w:r w:rsidR="00D9469E" w:rsidRPr="0024494C">
        <w:rPr>
          <w:rFonts w:ascii="Bookman Old Style" w:hAnsi="Bookman Old Style" w:cs="Arial"/>
        </w:rPr>
        <w:t>”</w:t>
      </w:r>
      <w:r w:rsidR="00D5129C">
        <w:rPr>
          <w:rFonts w:ascii="Bookman Old Style" w:hAnsi="Bookman Old Style" w:cs="Arial"/>
        </w:rPr>
        <w:t>, se liquid</w:t>
      </w:r>
      <w:r w:rsidR="00C358A2">
        <w:rPr>
          <w:rFonts w:ascii="Bookman Old Style" w:hAnsi="Bookman Old Style" w:cs="Arial"/>
        </w:rPr>
        <w:t>ó</w:t>
      </w:r>
      <w:r w:rsidR="00D5129C">
        <w:rPr>
          <w:rFonts w:ascii="Bookman Old Style" w:hAnsi="Bookman Old Style" w:cs="Arial"/>
        </w:rPr>
        <w:t xml:space="preserve"> la adición al </w:t>
      </w:r>
      <w:r w:rsidR="00C358A2" w:rsidRPr="00C358A2">
        <w:rPr>
          <w:rFonts w:ascii="Bookman Old Style" w:hAnsi="Bookman Old Style" w:cs="Arial"/>
        </w:rPr>
        <w:t>Presupuesto de Rentas y Recursos de Capital del Presupuesto General de la Nación de la vigencia fiscal de 2023</w:t>
      </w:r>
      <w:r w:rsidR="00C358A2">
        <w:rPr>
          <w:rFonts w:ascii="Bookman Old Style" w:hAnsi="Bookman Old Style" w:cs="Arial"/>
        </w:rPr>
        <w:t>.</w:t>
      </w:r>
    </w:p>
    <w:p w14:paraId="6DD1702B" w14:textId="77777777" w:rsidR="00D9469E" w:rsidRDefault="00D9469E" w:rsidP="000E5253">
      <w:pPr>
        <w:ind w:left="0"/>
        <w:jc w:val="both"/>
        <w:rPr>
          <w:rFonts w:ascii="Bookman Old Style" w:hAnsi="Bookman Old Style" w:cs="Arial"/>
        </w:rPr>
      </w:pPr>
    </w:p>
    <w:p w14:paraId="447643AA" w14:textId="596129DD" w:rsidR="006B0FC6" w:rsidRDefault="00D400FD" w:rsidP="000E5253">
      <w:pPr>
        <w:ind w:left="0"/>
        <w:jc w:val="both"/>
        <w:rPr>
          <w:rFonts w:ascii="Bookman Old Style" w:hAnsi="Bookman Old Style" w:cs="Arial"/>
        </w:rPr>
      </w:pPr>
      <w:r w:rsidRPr="0024494C">
        <w:rPr>
          <w:rFonts w:ascii="Bookman Old Style" w:hAnsi="Bookman Old Style" w:cs="Arial"/>
        </w:rPr>
        <w:t xml:space="preserve">El presupuesto de la </w:t>
      </w:r>
      <w:r w:rsidR="001B6156" w:rsidRPr="0024494C">
        <w:rPr>
          <w:rFonts w:ascii="Bookman Old Style" w:hAnsi="Bookman Old Style"/>
        </w:rPr>
        <w:t>Comisión de Regulación de Energía y Gas – CREG</w:t>
      </w:r>
      <w:r w:rsidR="001B6156" w:rsidRPr="0024494C">
        <w:rPr>
          <w:rFonts w:ascii="Bookman Old Style" w:hAnsi="Bookman Old Style" w:cs="Arial"/>
        </w:rPr>
        <w:t xml:space="preserve"> </w:t>
      </w:r>
      <w:r w:rsidRPr="0024494C">
        <w:rPr>
          <w:rFonts w:ascii="Bookman Old Style" w:hAnsi="Bookman Old Style" w:cs="Arial"/>
        </w:rPr>
        <w:t xml:space="preserve">se </w:t>
      </w:r>
      <w:r w:rsidR="00A907FB" w:rsidRPr="0024494C">
        <w:rPr>
          <w:rFonts w:ascii="Bookman Old Style" w:hAnsi="Bookman Old Style" w:cs="Arial"/>
        </w:rPr>
        <w:t>estableció</w:t>
      </w:r>
      <w:r w:rsidRPr="0024494C">
        <w:rPr>
          <w:rFonts w:ascii="Bookman Old Style" w:hAnsi="Bookman Old Style" w:cs="Arial"/>
        </w:rPr>
        <w:t xml:space="preserve"> por un valor de </w:t>
      </w:r>
      <w:r w:rsidR="000E5253" w:rsidRPr="0024494C">
        <w:rPr>
          <w:rFonts w:ascii="Bookman Old Style" w:hAnsi="Bookman Old Style" w:cs="Arial"/>
        </w:rPr>
        <w:t>CUARENTA Y CINCO MIL CUATROCIENTOS CUARENTA Y CINCO MILLONES CIENTO SETENTA Y CUATRO MIL CUATRO PESOS M/CTE. ($45.445.174.004), como se detalla a continuación:</w:t>
      </w:r>
    </w:p>
    <w:p w14:paraId="32B654CA" w14:textId="77777777" w:rsidR="00C11BC0" w:rsidRPr="0024494C" w:rsidRDefault="00C11BC0" w:rsidP="000E5253">
      <w:pPr>
        <w:ind w:left="0"/>
        <w:jc w:val="both"/>
        <w:rPr>
          <w:rFonts w:ascii="Bookman Old Style" w:hAnsi="Bookman Old Style" w:cs="Arial"/>
        </w:rPr>
      </w:pPr>
    </w:p>
    <w:p w14:paraId="6C1ADDF1" w14:textId="1D722099" w:rsidR="00EA338B" w:rsidRPr="001B6156" w:rsidRDefault="00EA338B" w:rsidP="00EA338B">
      <w:pPr>
        <w:pStyle w:val="Descripcin"/>
        <w:keepNext/>
        <w:rPr>
          <w:rFonts w:ascii="Bookman Old Style" w:hAnsi="Bookman Old Style" w:cs="Arial"/>
          <w:color w:val="auto"/>
          <w:sz w:val="16"/>
          <w:szCs w:val="16"/>
        </w:rPr>
      </w:pPr>
      <w:r w:rsidRPr="001B6156">
        <w:rPr>
          <w:rFonts w:ascii="Bookman Old Style" w:hAnsi="Bookman Old Style"/>
          <w:color w:val="auto"/>
          <w:sz w:val="16"/>
          <w:szCs w:val="16"/>
        </w:rPr>
        <w:t>Tabla 2 Presupuesto CREG 2023</w:t>
      </w:r>
    </w:p>
    <w:tbl>
      <w:tblPr>
        <w:tblW w:w="93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8"/>
        <w:gridCol w:w="679"/>
        <w:gridCol w:w="659"/>
        <w:gridCol w:w="2772"/>
        <w:gridCol w:w="1701"/>
        <w:gridCol w:w="1560"/>
        <w:gridCol w:w="1551"/>
      </w:tblGrid>
      <w:tr w:rsidR="00E31589" w:rsidRPr="001B6156" w14:paraId="178CE149" w14:textId="77777777" w:rsidTr="00E31589">
        <w:trPr>
          <w:trHeight w:val="225"/>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15B579" w14:textId="7E59500A" w:rsidR="00C11BC0" w:rsidRPr="001B6156" w:rsidRDefault="00C11BC0" w:rsidP="00403323">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Tipo</w:t>
            </w:r>
          </w:p>
        </w:tc>
        <w:tc>
          <w:tcPr>
            <w:tcW w:w="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DFBD2D"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Cuenta</w:t>
            </w:r>
            <w:r w:rsidRPr="001B6156">
              <w:rPr>
                <w:rFonts w:ascii="Bookman Old Style" w:hAnsi="Bookman Old Style" w:cs="Calibri Light"/>
                <w:color w:val="000000"/>
                <w:sz w:val="16"/>
                <w:szCs w:val="16"/>
                <w:lang w:val="es-CO" w:eastAsia="es-CO"/>
              </w:rPr>
              <w:t> </w:t>
            </w:r>
          </w:p>
        </w:tc>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690F22"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Sub-Cuenta</w:t>
            </w:r>
            <w:r w:rsidRPr="001B6156">
              <w:rPr>
                <w:rFonts w:ascii="Bookman Old Style" w:hAnsi="Bookman Old Style" w:cs="Calibri Light"/>
                <w:color w:val="000000"/>
                <w:sz w:val="16"/>
                <w:szCs w:val="16"/>
                <w:lang w:val="es-CO" w:eastAsia="es-CO"/>
              </w:rPr>
              <w:t> </w:t>
            </w:r>
          </w:p>
        </w:tc>
        <w:tc>
          <w:tcPr>
            <w:tcW w:w="27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76767F"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Descripción</w:t>
            </w:r>
            <w:r w:rsidRPr="001B6156">
              <w:rPr>
                <w:rFonts w:ascii="Bookman Old Style" w:hAnsi="Bookman Old Style" w:cs="Calibri Light"/>
                <w:color w:val="000000"/>
                <w:sz w:val="16"/>
                <w:szCs w:val="16"/>
                <w:lang w:val="es-CO" w:eastAsia="es-CO"/>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ACF3AD"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Apropiación Vigente</w:t>
            </w:r>
            <w:r w:rsidRPr="001B6156">
              <w:rPr>
                <w:rFonts w:ascii="Bookman Old Style" w:hAnsi="Bookman Old Style" w:cs="Calibri Light"/>
                <w:color w:val="000000"/>
                <w:sz w:val="16"/>
                <w:szCs w:val="16"/>
                <w:lang w:val="es-CO" w:eastAsia="es-CO"/>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0D1254"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Subtotal</w:t>
            </w:r>
            <w:r w:rsidRPr="001B6156">
              <w:rPr>
                <w:rFonts w:ascii="Bookman Old Style" w:hAnsi="Bookman Old Style" w:cs="Calibri Light"/>
                <w:color w:val="000000"/>
                <w:sz w:val="16"/>
                <w:szCs w:val="16"/>
                <w:lang w:val="es-CO" w:eastAsia="es-CO"/>
              </w:rPr>
              <w:t> </w:t>
            </w:r>
            <w:r w:rsidRPr="001B6156">
              <w:rPr>
                <w:rFonts w:ascii="Bookman Old Style" w:hAnsi="Bookman Old Style" w:cs="Calibri Light"/>
                <w:color w:val="000000"/>
                <w:sz w:val="16"/>
                <w:szCs w:val="16"/>
                <w:lang w:val="es-CO" w:eastAsia="es-CO"/>
              </w:rPr>
              <w:br/>
            </w:r>
            <w:r w:rsidRPr="001B6156">
              <w:rPr>
                <w:rFonts w:ascii="Bookman Old Style" w:hAnsi="Bookman Old Style" w:cs="Calibri Light"/>
                <w:b/>
                <w:bCs/>
                <w:color w:val="000000"/>
                <w:sz w:val="16"/>
                <w:szCs w:val="16"/>
                <w:lang w:val="es-CO" w:eastAsia="es-CO"/>
              </w:rPr>
              <w:t>Recurso 16 SSF</w:t>
            </w:r>
            <w:r w:rsidRPr="001B6156">
              <w:rPr>
                <w:rFonts w:ascii="Bookman Old Style" w:hAnsi="Bookman Old Style" w:cs="Calibri Light"/>
                <w:color w:val="000000"/>
                <w:sz w:val="16"/>
                <w:szCs w:val="16"/>
                <w:lang w:val="es-CO" w:eastAsia="es-CO"/>
              </w:rPr>
              <w:t> </w:t>
            </w:r>
            <w:r w:rsidRPr="001B6156">
              <w:rPr>
                <w:rFonts w:ascii="Bookman Old Style" w:hAnsi="Bookman Old Style" w:cs="Calibri Light"/>
                <w:color w:val="000000"/>
                <w:sz w:val="16"/>
                <w:szCs w:val="16"/>
                <w:lang w:val="es-CO" w:eastAsia="es-CO"/>
              </w:rPr>
              <w:br/>
            </w:r>
            <w:r w:rsidRPr="001B6156">
              <w:rPr>
                <w:rFonts w:ascii="Bookman Old Style" w:hAnsi="Bookman Old Style" w:cs="Calibri Light"/>
                <w:b/>
                <w:bCs/>
                <w:color w:val="000000"/>
                <w:sz w:val="16"/>
                <w:szCs w:val="16"/>
                <w:lang w:val="es-CO" w:eastAsia="es-CO"/>
              </w:rPr>
              <w:t>Fondos Especiales </w:t>
            </w:r>
            <w:r w:rsidRPr="001B6156">
              <w:rPr>
                <w:rFonts w:ascii="Bookman Old Style" w:hAnsi="Bookman Old Style" w:cs="Calibri Light"/>
                <w:color w:val="000000"/>
                <w:sz w:val="16"/>
                <w:szCs w:val="16"/>
                <w:lang w:val="es-CO" w:eastAsia="es-CO"/>
              </w:rPr>
              <w:t> </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852298"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MX" w:eastAsia="es-CO"/>
              </w:rPr>
              <w:t>Subtotal</w:t>
            </w:r>
            <w:r w:rsidRPr="001B6156">
              <w:rPr>
                <w:rFonts w:ascii="Bookman Old Style" w:hAnsi="Bookman Old Style" w:cs="Calibri Light"/>
                <w:color w:val="000000"/>
                <w:sz w:val="16"/>
                <w:szCs w:val="16"/>
                <w:lang w:val="es-CO" w:eastAsia="es-CO"/>
              </w:rPr>
              <w:t> </w:t>
            </w:r>
            <w:r w:rsidRPr="001B6156">
              <w:rPr>
                <w:rFonts w:ascii="Bookman Old Style" w:hAnsi="Bookman Old Style" w:cs="Calibri Light"/>
                <w:color w:val="000000"/>
                <w:sz w:val="16"/>
                <w:szCs w:val="16"/>
                <w:lang w:val="es-CO" w:eastAsia="es-CO"/>
              </w:rPr>
              <w:br/>
            </w:r>
            <w:r w:rsidRPr="001B6156">
              <w:rPr>
                <w:rFonts w:ascii="Bookman Old Style" w:hAnsi="Bookman Old Style" w:cs="Calibri Light"/>
                <w:b/>
                <w:bCs/>
                <w:color w:val="000000"/>
                <w:sz w:val="16"/>
                <w:szCs w:val="16"/>
                <w:lang w:val="es-MX" w:eastAsia="es-CO"/>
              </w:rPr>
              <w:t>Recurso 10 CSF</w:t>
            </w:r>
            <w:r w:rsidRPr="001B6156">
              <w:rPr>
                <w:rFonts w:ascii="Bookman Old Style" w:hAnsi="Bookman Old Style" w:cs="Calibri Light"/>
                <w:color w:val="000000"/>
                <w:sz w:val="16"/>
                <w:szCs w:val="16"/>
                <w:lang w:val="es-CO" w:eastAsia="es-CO"/>
              </w:rPr>
              <w:t> </w:t>
            </w:r>
            <w:r w:rsidRPr="001B6156">
              <w:rPr>
                <w:rFonts w:ascii="Bookman Old Style" w:hAnsi="Bookman Old Style" w:cs="Calibri Light"/>
                <w:color w:val="000000"/>
                <w:sz w:val="16"/>
                <w:szCs w:val="16"/>
                <w:lang w:val="es-CO" w:eastAsia="es-CO"/>
              </w:rPr>
              <w:br/>
            </w:r>
            <w:r w:rsidRPr="001B6156">
              <w:rPr>
                <w:rFonts w:ascii="Bookman Old Style" w:hAnsi="Bookman Old Style" w:cs="Calibri Light"/>
                <w:b/>
                <w:bCs/>
                <w:color w:val="000000"/>
                <w:sz w:val="16"/>
                <w:szCs w:val="16"/>
                <w:lang w:val="es-MX" w:eastAsia="es-CO"/>
              </w:rPr>
              <w:t>Recursos Corrientes-MHCP </w:t>
            </w:r>
            <w:r w:rsidRPr="001B6156">
              <w:rPr>
                <w:rFonts w:ascii="Bookman Old Style" w:hAnsi="Bookman Old Style" w:cs="Calibri Light"/>
                <w:color w:val="000000"/>
                <w:sz w:val="16"/>
                <w:szCs w:val="16"/>
                <w:lang w:val="es-CO" w:eastAsia="es-CO"/>
              </w:rPr>
              <w:t> </w:t>
            </w:r>
          </w:p>
        </w:tc>
      </w:tr>
      <w:tr w:rsidR="00E31589" w:rsidRPr="001B6156" w14:paraId="6A785A2F" w14:textId="77777777" w:rsidTr="007D50A6">
        <w:trPr>
          <w:trHeight w:val="270"/>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AB6C9D" w14:textId="330B8F8C" w:rsidR="00C11BC0" w:rsidRPr="001B6156" w:rsidRDefault="00C11BC0" w:rsidP="00403323">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A</w:t>
            </w:r>
          </w:p>
        </w:tc>
        <w:tc>
          <w:tcPr>
            <w:tcW w:w="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727443" w14:textId="77777777" w:rsidR="00C11BC0" w:rsidRPr="001B6156" w:rsidRDefault="00C11BC0" w:rsidP="00C11BC0">
            <w:pPr>
              <w:ind w:left="0"/>
              <w:textAlignment w:val="baseline"/>
              <w:rPr>
                <w:rFonts w:ascii="Bookman Old Style" w:hAnsi="Bookman Old Style" w:cs="Segoe UI"/>
                <w:sz w:val="16"/>
                <w:szCs w:val="16"/>
                <w:lang w:val="es-CO" w:eastAsia="es-CO"/>
              </w:rPr>
            </w:pPr>
            <w:r w:rsidRPr="001B6156">
              <w:rPr>
                <w:b/>
                <w:bCs/>
                <w:color w:val="000000"/>
                <w:sz w:val="16"/>
                <w:szCs w:val="16"/>
                <w:lang w:val="es-CO" w:eastAsia="es-CO"/>
              </w:rPr>
              <w:t> </w:t>
            </w:r>
            <w:r w:rsidRPr="001B6156">
              <w:rPr>
                <w:rFonts w:ascii="Bookman Old Style" w:hAnsi="Bookman Old Style" w:cs="Calibri Light"/>
                <w:color w:val="000000"/>
                <w:sz w:val="16"/>
                <w:szCs w:val="16"/>
                <w:lang w:val="es-CO" w:eastAsia="es-CO"/>
              </w:rPr>
              <w:t> </w:t>
            </w:r>
          </w:p>
        </w:tc>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E31525" w14:textId="77777777" w:rsidR="00C11BC0" w:rsidRPr="001B6156" w:rsidRDefault="00C11BC0" w:rsidP="00C11BC0">
            <w:pPr>
              <w:ind w:left="0"/>
              <w:textAlignment w:val="baseline"/>
              <w:rPr>
                <w:rFonts w:ascii="Bookman Old Style" w:hAnsi="Bookman Old Style" w:cs="Segoe UI"/>
                <w:sz w:val="16"/>
                <w:szCs w:val="16"/>
                <w:lang w:val="es-CO" w:eastAsia="es-CO"/>
              </w:rPr>
            </w:pPr>
            <w:r w:rsidRPr="001B6156">
              <w:rPr>
                <w:b/>
                <w:bCs/>
                <w:color w:val="000000"/>
                <w:sz w:val="16"/>
                <w:szCs w:val="16"/>
                <w:lang w:val="es-CO" w:eastAsia="es-CO"/>
              </w:rPr>
              <w:t> </w:t>
            </w:r>
            <w:r w:rsidRPr="001B6156">
              <w:rPr>
                <w:rFonts w:ascii="Bookman Old Style" w:hAnsi="Bookman Old Style" w:cs="Calibri Light"/>
                <w:color w:val="000000"/>
                <w:sz w:val="16"/>
                <w:szCs w:val="16"/>
                <w:lang w:val="es-CO" w:eastAsia="es-CO"/>
              </w:rPr>
              <w:t> </w:t>
            </w:r>
          </w:p>
        </w:tc>
        <w:tc>
          <w:tcPr>
            <w:tcW w:w="27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AEE802" w14:textId="77777777" w:rsidR="00C11BC0" w:rsidRPr="001B6156" w:rsidRDefault="00C11BC0" w:rsidP="00C11BC0">
            <w:pPr>
              <w:ind w:left="0"/>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FUNCIONAMIENTO </w:t>
            </w:r>
            <w:r w:rsidRPr="001B6156">
              <w:rPr>
                <w:rFonts w:ascii="Bookman Old Style" w:hAnsi="Bookman Old Style" w:cs="Calibri Light"/>
                <w:color w:val="000000"/>
                <w:sz w:val="16"/>
                <w:szCs w:val="16"/>
                <w:lang w:val="es-CO" w:eastAsia="es-CO"/>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077E13"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$ 30.052.253.949</w:t>
            </w:r>
            <w:r w:rsidRPr="001B6156">
              <w:rPr>
                <w:rFonts w:ascii="Bookman Old Style" w:hAnsi="Bookman Old Style" w:cs="Calibri Light"/>
                <w:color w:val="000000"/>
                <w:sz w:val="16"/>
                <w:szCs w:val="16"/>
                <w:lang w:val="es-CO" w:eastAsia="es-CO"/>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7C87BB"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$ 24.801.862.949</w:t>
            </w:r>
            <w:r w:rsidRPr="001B6156">
              <w:rPr>
                <w:rFonts w:ascii="Bookman Old Style" w:hAnsi="Bookman Old Style" w:cs="Calibri Light"/>
                <w:color w:val="000000"/>
                <w:sz w:val="16"/>
                <w:szCs w:val="16"/>
                <w:lang w:val="es-CO" w:eastAsia="es-CO"/>
              </w:rPr>
              <w:t> </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6FC8D4"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$ 5.250.391.000</w:t>
            </w:r>
            <w:r w:rsidRPr="001B6156">
              <w:rPr>
                <w:rFonts w:ascii="Bookman Old Style" w:hAnsi="Bookman Old Style" w:cs="Calibri Light"/>
                <w:color w:val="000000"/>
                <w:sz w:val="16"/>
                <w:szCs w:val="16"/>
                <w:lang w:val="es-CO" w:eastAsia="es-CO"/>
              </w:rPr>
              <w:t> </w:t>
            </w:r>
          </w:p>
        </w:tc>
      </w:tr>
      <w:tr w:rsidR="00C11BC0" w:rsidRPr="001B6156" w14:paraId="77082C01" w14:textId="77777777" w:rsidTr="00E31589">
        <w:trPr>
          <w:trHeight w:val="225"/>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28AFDE" w14:textId="43609C59" w:rsidR="00C11BC0" w:rsidRPr="001B6156" w:rsidRDefault="00C11BC0" w:rsidP="00403323">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A</w:t>
            </w:r>
          </w:p>
        </w:tc>
        <w:tc>
          <w:tcPr>
            <w:tcW w:w="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EF959E"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01 </w:t>
            </w:r>
          </w:p>
        </w:tc>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4B8A31"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01 </w:t>
            </w:r>
          </w:p>
        </w:tc>
        <w:tc>
          <w:tcPr>
            <w:tcW w:w="27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0151B1" w14:textId="77777777" w:rsidR="00C11BC0" w:rsidRPr="001B6156" w:rsidRDefault="00C11BC0" w:rsidP="00C11BC0">
            <w:pPr>
              <w:ind w:left="0"/>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SALARIO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A7E69D"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$ 13.768.571.000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4703DB"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$ 10.492.903.000 </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6BB4EA"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$ 3.275.668.000 </w:t>
            </w:r>
          </w:p>
        </w:tc>
      </w:tr>
      <w:tr w:rsidR="00C11BC0" w:rsidRPr="001B6156" w14:paraId="3793CB10" w14:textId="77777777" w:rsidTr="00E31589">
        <w:trPr>
          <w:trHeight w:val="225"/>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8D08A5" w14:textId="6C5AE0F7" w:rsidR="00C11BC0" w:rsidRPr="001B6156" w:rsidRDefault="00C11BC0" w:rsidP="00403323">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A</w:t>
            </w:r>
          </w:p>
        </w:tc>
        <w:tc>
          <w:tcPr>
            <w:tcW w:w="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91532C"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01 </w:t>
            </w:r>
          </w:p>
        </w:tc>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07F6C"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01 </w:t>
            </w:r>
          </w:p>
        </w:tc>
        <w:tc>
          <w:tcPr>
            <w:tcW w:w="27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95342B" w14:textId="77777777" w:rsidR="00C11BC0" w:rsidRPr="001B6156" w:rsidRDefault="00C11BC0" w:rsidP="00C11BC0">
            <w:pPr>
              <w:ind w:left="0"/>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CONTRIBUCIONES INHERENTES A LA NÓMINA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F189B"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$ 4.439.354.000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5FDAFB"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$ 3.405.069.000 </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60C5DF"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$ 1.034.285.000 </w:t>
            </w:r>
          </w:p>
        </w:tc>
      </w:tr>
      <w:tr w:rsidR="00C11BC0" w:rsidRPr="001B6156" w14:paraId="28FCEFA4" w14:textId="77777777" w:rsidTr="00E31589">
        <w:trPr>
          <w:trHeight w:val="225"/>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E1F07E" w14:textId="75754D60" w:rsidR="00C11BC0" w:rsidRPr="001B6156" w:rsidRDefault="00C11BC0" w:rsidP="00403323">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A</w:t>
            </w:r>
          </w:p>
        </w:tc>
        <w:tc>
          <w:tcPr>
            <w:tcW w:w="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D3D6C8"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01 </w:t>
            </w:r>
          </w:p>
        </w:tc>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E39BAA"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01 </w:t>
            </w:r>
          </w:p>
        </w:tc>
        <w:tc>
          <w:tcPr>
            <w:tcW w:w="27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D7768A" w14:textId="77777777" w:rsidR="00C11BC0" w:rsidRPr="001B6156" w:rsidRDefault="00C11BC0" w:rsidP="00C11BC0">
            <w:pPr>
              <w:ind w:left="0"/>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REMUNERACIONES NO CONSTITUTIVAS DE FACTOR SALARIAL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EB654C"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$ 2.929.768.000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99F44B"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$ 2.401.474.000 </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3DB95D"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$ 528.294.000 </w:t>
            </w:r>
          </w:p>
        </w:tc>
      </w:tr>
      <w:tr w:rsidR="00C11BC0" w:rsidRPr="001B6156" w14:paraId="090A5F7D" w14:textId="77777777" w:rsidTr="00E31589">
        <w:trPr>
          <w:trHeight w:val="225"/>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822BAA" w14:textId="30266093" w:rsidR="00C11BC0" w:rsidRPr="001B6156" w:rsidRDefault="00C11BC0" w:rsidP="00403323">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A</w:t>
            </w:r>
          </w:p>
        </w:tc>
        <w:tc>
          <w:tcPr>
            <w:tcW w:w="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D1DE5E"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01 </w:t>
            </w:r>
          </w:p>
        </w:tc>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4C8C2D"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01 </w:t>
            </w:r>
          </w:p>
        </w:tc>
        <w:tc>
          <w:tcPr>
            <w:tcW w:w="27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AA4D86" w14:textId="77777777" w:rsidR="00C11BC0" w:rsidRPr="001B6156" w:rsidRDefault="00C11BC0" w:rsidP="00C11BC0">
            <w:pPr>
              <w:ind w:left="0"/>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OTROS GASTOS DE PERSONAL - DISTRIBUCIÓN PREVIO CONCEPTO DGPPN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6CE9D8"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$ 2.482.500.000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3C6FA"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$ 2.482.500.000 </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0557EA"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$ 0 </w:t>
            </w:r>
          </w:p>
        </w:tc>
      </w:tr>
      <w:tr w:rsidR="00C11BC0" w:rsidRPr="001B6156" w14:paraId="4AEA1E35" w14:textId="77777777" w:rsidTr="00E31589">
        <w:trPr>
          <w:trHeight w:val="225"/>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FDE9B7" w14:textId="4B53B541" w:rsidR="00C11BC0" w:rsidRPr="001B6156" w:rsidRDefault="00C11BC0" w:rsidP="00403323">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A</w:t>
            </w:r>
          </w:p>
        </w:tc>
        <w:tc>
          <w:tcPr>
            <w:tcW w:w="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FC113C"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02 </w:t>
            </w:r>
          </w:p>
        </w:tc>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2DF919"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color w:val="000000"/>
                <w:sz w:val="16"/>
                <w:szCs w:val="16"/>
                <w:lang w:val="es-CO" w:eastAsia="es-CO"/>
              </w:rPr>
              <w:t> </w:t>
            </w:r>
            <w:r w:rsidRPr="001B6156">
              <w:rPr>
                <w:rFonts w:ascii="Bookman Old Style" w:hAnsi="Bookman Old Style" w:cs="Bookman Old Style"/>
                <w:color w:val="000000"/>
                <w:sz w:val="16"/>
                <w:szCs w:val="16"/>
                <w:lang w:val="es-CO" w:eastAsia="es-CO"/>
              </w:rPr>
              <w:t> </w:t>
            </w:r>
          </w:p>
        </w:tc>
        <w:tc>
          <w:tcPr>
            <w:tcW w:w="27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BA06CD" w14:textId="77777777" w:rsidR="00C11BC0" w:rsidRPr="001B6156" w:rsidRDefault="00C11BC0" w:rsidP="00C11BC0">
            <w:pPr>
              <w:ind w:left="0"/>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ADQUISICIÓN DE BIENES Y SERVICIOS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A3D4B2"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$ 3.694.337.000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236BA1"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$ 3.320.837.000 </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E4FDD1"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$ 373.500.000 </w:t>
            </w:r>
          </w:p>
        </w:tc>
      </w:tr>
      <w:tr w:rsidR="00C11BC0" w:rsidRPr="001B6156" w14:paraId="49B3FB24" w14:textId="77777777" w:rsidTr="00E31589">
        <w:trPr>
          <w:trHeight w:val="225"/>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5A4A8" w14:textId="655D4DE3" w:rsidR="00C11BC0" w:rsidRPr="001B6156" w:rsidRDefault="00C11BC0" w:rsidP="00403323">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A</w:t>
            </w:r>
          </w:p>
        </w:tc>
        <w:tc>
          <w:tcPr>
            <w:tcW w:w="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DA8CDD"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03 </w:t>
            </w:r>
          </w:p>
        </w:tc>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5AA6DF"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03 </w:t>
            </w:r>
          </w:p>
        </w:tc>
        <w:tc>
          <w:tcPr>
            <w:tcW w:w="27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C06F6A" w14:textId="77777777" w:rsidR="00C11BC0" w:rsidRPr="001B6156" w:rsidRDefault="00C11BC0" w:rsidP="00C11BC0">
            <w:pPr>
              <w:ind w:left="0"/>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FONDO EMPRESARIAL - LEY 812 DE 2003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7EE40A"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$ 2.444.416.949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FF25C2"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$ 2.444.416.949 </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5839F2"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$ 0 </w:t>
            </w:r>
          </w:p>
        </w:tc>
      </w:tr>
      <w:tr w:rsidR="00C11BC0" w:rsidRPr="001B6156" w14:paraId="760BC0B7" w14:textId="77777777" w:rsidTr="00E31589">
        <w:trPr>
          <w:trHeight w:val="225"/>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B6623B" w14:textId="4781DE0C" w:rsidR="00C11BC0" w:rsidRPr="001B6156" w:rsidRDefault="00C11BC0" w:rsidP="00403323">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lastRenderedPageBreak/>
              <w:t>A</w:t>
            </w:r>
          </w:p>
        </w:tc>
        <w:tc>
          <w:tcPr>
            <w:tcW w:w="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E33638"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03 </w:t>
            </w:r>
          </w:p>
        </w:tc>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A3D271"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04 </w:t>
            </w:r>
          </w:p>
        </w:tc>
        <w:tc>
          <w:tcPr>
            <w:tcW w:w="27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CD198E" w14:textId="77777777" w:rsidR="00C11BC0" w:rsidRPr="001B6156" w:rsidRDefault="00C11BC0" w:rsidP="00C11BC0">
            <w:pPr>
              <w:ind w:left="0"/>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INCAPACIDADES Y LICENCIAS DE MATERNIDAD Y PATERNIDAD (NO DE PENSIONES)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5A5AFD"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$ 98.344.000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1863B"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$ 59.700.000 </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77BF9"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$ 38.644.000 </w:t>
            </w:r>
          </w:p>
        </w:tc>
      </w:tr>
      <w:tr w:rsidR="00C11BC0" w:rsidRPr="001B6156" w14:paraId="29659FD8" w14:textId="77777777" w:rsidTr="00E31589">
        <w:trPr>
          <w:trHeight w:val="225"/>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ED34B3" w14:textId="5C30515E" w:rsidR="00C11BC0" w:rsidRPr="001B6156" w:rsidRDefault="00C11BC0" w:rsidP="00403323">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A</w:t>
            </w:r>
          </w:p>
        </w:tc>
        <w:tc>
          <w:tcPr>
            <w:tcW w:w="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0B9990"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08 </w:t>
            </w:r>
          </w:p>
        </w:tc>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ED751"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01 </w:t>
            </w:r>
          </w:p>
        </w:tc>
        <w:tc>
          <w:tcPr>
            <w:tcW w:w="27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672C80" w14:textId="77777777" w:rsidR="00C11BC0" w:rsidRPr="001B6156" w:rsidRDefault="00C11BC0" w:rsidP="00C11BC0">
            <w:pPr>
              <w:ind w:left="0"/>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IMPUESTOS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22D776"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$ 89.663.000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B07CBF"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$ 89.663.000 </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AE6BAC"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$ 0 </w:t>
            </w:r>
          </w:p>
        </w:tc>
      </w:tr>
      <w:tr w:rsidR="00C11BC0" w:rsidRPr="001B6156" w14:paraId="38A673E2" w14:textId="77777777" w:rsidTr="00E31589">
        <w:trPr>
          <w:trHeight w:val="225"/>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B1ECB3" w14:textId="44AE6947" w:rsidR="00C11BC0" w:rsidRPr="001B6156" w:rsidRDefault="00C11BC0" w:rsidP="00403323">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A</w:t>
            </w:r>
          </w:p>
        </w:tc>
        <w:tc>
          <w:tcPr>
            <w:tcW w:w="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D25097"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08 </w:t>
            </w:r>
          </w:p>
        </w:tc>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6A8838"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04 </w:t>
            </w:r>
          </w:p>
        </w:tc>
        <w:tc>
          <w:tcPr>
            <w:tcW w:w="27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F8C49A" w14:textId="77777777" w:rsidR="00C11BC0" w:rsidRPr="001B6156" w:rsidRDefault="00C11BC0" w:rsidP="00C11BC0">
            <w:pPr>
              <w:ind w:left="0"/>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CUOTA DE FISCALIZACIÓN Y AUDITAJE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9B363E"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$ 105.300.000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7CAA63"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$ 105.300.000 </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A164D7"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$ 0 </w:t>
            </w:r>
          </w:p>
        </w:tc>
      </w:tr>
      <w:tr w:rsidR="00E31589" w:rsidRPr="001B6156" w14:paraId="67560803" w14:textId="77777777" w:rsidTr="007D50A6">
        <w:trPr>
          <w:trHeight w:val="443"/>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B86E88" w14:textId="7209925F" w:rsidR="00C11BC0" w:rsidRPr="001B6156" w:rsidRDefault="00C11BC0" w:rsidP="00403323">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B</w:t>
            </w:r>
          </w:p>
        </w:tc>
        <w:tc>
          <w:tcPr>
            <w:tcW w:w="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75318C" w14:textId="77777777" w:rsidR="00C11BC0" w:rsidRPr="001B6156" w:rsidRDefault="00C11BC0" w:rsidP="00C11BC0">
            <w:pPr>
              <w:ind w:left="0"/>
              <w:textAlignment w:val="baseline"/>
              <w:rPr>
                <w:rFonts w:ascii="Bookman Old Style" w:hAnsi="Bookman Old Style" w:cs="Segoe UI"/>
                <w:sz w:val="16"/>
                <w:szCs w:val="16"/>
                <w:lang w:val="es-CO" w:eastAsia="es-CO"/>
              </w:rPr>
            </w:pPr>
            <w:r w:rsidRPr="001B6156">
              <w:rPr>
                <w:b/>
                <w:bCs/>
                <w:color w:val="000000"/>
                <w:sz w:val="16"/>
                <w:szCs w:val="16"/>
                <w:lang w:val="es-CO" w:eastAsia="es-CO"/>
              </w:rPr>
              <w:t> </w:t>
            </w:r>
            <w:r w:rsidRPr="001B6156">
              <w:rPr>
                <w:rFonts w:ascii="Bookman Old Style" w:hAnsi="Bookman Old Style" w:cs="Calibri Light"/>
                <w:color w:val="000000"/>
                <w:sz w:val="16"/>
                <w:szCs w:val="16"/>
                <w:lang w:val="es-CO" w:eastAsia="es-CO"/>
              </w:rPr>
              <w:t> </w:t>
            </w:r>
          </w:p>
        </w:tc>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FA8F0B" w14:textId="77777777" w:rsidR="00C11BC0" w:rsidRPr="001B6156" w:rsidRDefault="00C11BC0" w:rsidP="00C11BC0">
            <w:pPr>
              <w:ind w:left="0"/>
              <w:textAlignment w:val="baseline"/>
              <w:rPr>
                <w:rFonts w:ascii="Bookman Old Style" w:hAnsi="Bookman Old Style" w:cs="Segoe UI"/>
                <w:sz w:val="16"/>
                <w:szCs w:val="16"/>
                <w:lang w:val="es-CO" w:eastAsia="es-CO"/>
              </w:rPr>
            </w:pPr>
            <w:r w:rsidRPr="001B6156">
              <w:rPr>
                <w:b/>
                <w:bCs/>
                <w:color w:val="000000"/>
                <w:sz w:val="16"/>
                <w:szCs w:val="16"/>
                <w:lang w:val="es-CO" w:eastAsia="es-CO"/>
              </w:rPr>
              <w:t> </w:t>
            </w:r>
            <w:r w:rsidRPr="001B6156">
              <w:rPr>
                <w:rFonts w:ascii="Bookman Old Style" w:hAnsi="Bookman Old Style" w:cs="Calibri Light"/>
                <w:color w:val="000000"/>
                <w:sz w:val="16"/>
                <w:szCs w:val="16"/>
                <w:lang w:val="es-CO" w:eastAsia="es-CO"/>
              </w:rPr>
              <w:t> </w:t>
            </w:r>
          </w:p>
        </w:tc>
        <w:tc>
          <w:tcPr>
            <w:tcW w:w="27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4E61E8" w14:textId="77777777" w:rsidR="00C11BC0" w:rsidRPr="001B6156" w:rsidRDefault="00C11BC0" w:rsidP="00C11BC0">
            <w:pPr>
              <w:ind w:left="0"/>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SERVICIO DE LA DEUDA PÚBLICA</w:t>
            </w:r>
            <w:r w:rsidRPr="001B6156">
              <w:rPr>
                <w:rFonts w:ascii="Bookman Old Style" w:hAnsi="Bookman Old Style" w:cs="Calibri Light"/>
                <w:color w:val="000000"/>
                <w:sz w:val="16"/>
                <w:szCs w:val="16"/>
                <w:lang w:val="es-CO" w:eastAsia="es-CO"/>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0EAAA4"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$ 4.192.920.055</w:t>
            </w:r>
            <w:r w:rsidRPr="001B6156">
              <w:rPr>
                <w:rFonts w:ascii="Bookman Old Style" w:hAnsi="Bookman Old Style" w:cs="Calibri Light"/>
                <w:color w:val="000000"/>
                <w:sz w:val="16"/>
                <w:szCs w:val="16"/>
                <w:lang w:val="es-CO" w:eastAsia="es-CO"/>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B5399C"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$ 4.192.920.055</w:t>
            </w:r>
            <w:r w:rsidRPr="001B6156">
              <w:rPr>
                <w:rFonts w:ascii="Bookman Old Style" w:hAnsi="Bookman Old Style" w:cs="Calibri Light"/>
                <w:color w:val="000000"/>
                <w:sz w:val="16"/>
                <w:szCs w:val="16"/>
                <w:lang w:val="es-CO" w:eastAsia="es-CO"/>
              </w:rPr>
              <w:t> </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FDBF5"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$ 0</w:t>
            </w:r>
            <w:r w:rsidRPr="001B6156">
              <w:rPr>
                <w:rFonts w:ascii="Bookman Old Style" w:hAnsi="Bookman Old Style" w:cs="Calibri Light"/>
                <w:color w:val="000000"/>
                <w:sz w:val="16"/>
                <w:szCs w:val="16"/>
                <w:lang w:val="es-CO" w:eastAsia="es-CO"/>
              </w:rPr>
              <w:t> </w:t>
            </w:r>
          </w:p>
        </w:tc>
      </w:tr>
      <w:tr w:rsidR="00C11BC0" w:rsidRPr="001B6156" w14:paraId="0CC59790" w14:textId="77777777" w:rsidTr="00E31589">
        <w:trPr>
          <w:trHeight w:val="225"/>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7E5C44" w14:textId="74412E96" w:rsidR="00C11BC0" w:rsidRPr="001B6156" w:rsidRDefault="00C11BC0" w:rsidP="00403323">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B</w:t>
            </w:r>
          </w:p>
        </w:tc>
        <w:tc>
          <w:tcPr>
            <w:tcW w:w="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A67C3D"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10 </w:t>
            </w:r>
          </w:p>
        </w:tc>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F8FA56"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04 </w:t>
            </w:r>
          </w:p>
        </w:tc>
        <w:tc>
          <w:tcPr>
            <w:tcW w:w="27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A8AEB4" w14:textId="77777777" w:rsidR="00C11BC0" w:rsidRPr="001B6156" w:rsidRDefault="00C11BC0" w:rsidP="00C11BC0">
            <w:pPr>
              <w:ind w:left="0"/>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APORTES AL FONDO DE CONTINGENCIAS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42F3B9"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$ 4.192.920.055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8CF33A"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$ 4.192.920.055 </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5BA494"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$ 0 </w:t>
            </w:r>
          </w:p>
        </w:tc>
      </w:tr>
      <w:tr w:rsidR="00E31589" w:rsidRPr="001B6156" w14:paraId="6BE6EFD2" w14:textId="77777777" w:rsidTr="007D50A6">
        <w:trPr>
          <w:trHeight w:val="409"/>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5421F8" w14:textId="03A515E0" w:rsidR="00C11BC0" w:rsidRPr="001B6156" w:rsidRDefault="00C11BC0" w:rsidP="00403323">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C</w:t>
            </w:r>
          </w:p>
        </w:tc>
        <w:tc>
          <w:tcPr>
            <w:tcW w:w="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A7D27B" w14:textId="77777777" w:rsidR="00C11BC0" w:rsidRPr="001B6156" w:rsidRDefault="00C11BC0" w:rsidP="00C11BC0">
            <w:pPr>
              <w:ind w:left="0"/>
              <w:textAlignment w:val="baseline"/>
              <w:rPr>
                <w:rFonts w:ascii="Bookman Old Style" w:hAnsi="Bookman Old Style" w:cs="Segoe UI"/>
                <w:sz w:val="16"/>
                <w:szCs w:val="16"/>
                <w:lang w:val="es-CO" w:eastAsia="es-CO"/>
              </w:rPr>
            </w:pPr>
            <w:r w:rsidRPr="001B6156">
              <w:rPr>
                <w:b/>
                <w:bCs/>
                <w:color w:val="000000"/>
                <w:sz w:val="16"/>
                <w:szCs w:val="16"/>
                <w:lang w:val="es-CO" w:eastAsia="es-CO"/>
              </w:rPr>
              <w:t> </w:t>
            </w:r>
            <w:r w:rsidRPr="001B6156">
              <w:rPr>
                <w:rFonts w:ascii="Bookman Old Style" w:hAnsi="Bookman Old Style" w:cs="Calibri Light"/>
                <w:color w:val="000000"/>
                <w:sz w:val="16"/>
                <w:szCs w:val="16"/>
                <w:lang w:val="es-CO" w:eastAsia="es-CO"/>
              </w:rPr>
              <w:t> </w:t>
            </w:r>
          </w:p>
        </w:tc>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4272AE" w14:textId="77777777" w:rsidR="00C11BC0" w:rsidRPr="001B6156" w:rsidRDefault="00C11BC0" w:rsidP="00C11BC0">
            <w:pPr>
              <w:ind w:left="0"/>
              <w:textAlignment w:val="baseline"/>
              <w:rPr>
                <w:rFonts w:ascii="Bookman Old Style" w:hAnsi="Bookman Old Style" w:cs="Segoe UI"/>
                <w:sz w:val="16"/>
                <w:szCs w:val="16"/>
                <w:lang w:val="es-CO" w:eastAsia="es-CO"/>
              </w:rPr>
            </w:pPr>
            <w:r w:rsidRPr="001B6156">
              <w:rPr>
                <w:b/>
                <w:bCs/>
                <w:color w:val="000000"/>
                <w:sz w:val="16"/>
                <w:szCs w:val="16"/>
                <w:lang w:val="es-CO" w:eastAsia="es-CO"/>
              </w:rPr>
              <w:t> </w:t>
            </w:r>
            <w:r w:rsidRPr="001B6156">
              <w:rPr>
                <w:rFonts w:ascii="Bookman Old Style" w:hAnsi="Bookman Old Style" w:cs="Calibri Light"/>
                <w:color w:val="000000"/>
                <w:sz w:val="16"/>
                <w:szCs w:val="16"/>
                <w:lang w:val="es-CO" w:eastAsia="es-CO"/>
              </w:rPr>
              <w:t> </w:t>
            </w:r>
          </w:p>
        </w:tc>
        <w:tc>
          <w:tcPr>
            <w:tcW w:w="27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364750" w14:textId="77777777" w:rsidR="00C11BC0" w:rsidRPr="001B6156" w:rsidRDefault="00C11BC0" w:rsidP="00C11BC0">
            <w:pPr>
              <w:ind w:left="0"/>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INVERSION</w:t>
            </w:r>
            <w:r w:rsidRPr="001B6156">
              <w:rPr>
                <w:rFonts w:ascii="Bookman Old Style" w:hAnsi="Bookman Old Style" w:cs="Calibri Light"/>
                <w:color w:val="000000"/>
                <w:sz w:val="16"/>
                <w:szCs w:val="16"/>
                <w:lang w:val="es-CO" w:eastAsia="es-CO"/>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5ABA8E"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$ 11.200.000.000</w:t>
            </w:r>
            <w:r w:rsidRPr="001B6156">
              <w:rPr>
                <w:rFonts w:ascii="Bookman Old Style" w:hAnsi="Bookman Old Style" w:cs="Calibri Light"/>
                <w:color w:val="000000"/>
                <w:sz w:val="16"/>
                <w:szCs w:val="16"/>
                <w:lang w:val="es-CO" w:eastAsia="es-CO"/>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3A20A"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$ 11.200.000.000</w:t>
            </w:r>
            <w:r w:rsidRPr="001B6156">
              <w:rPr>
                <w:rFonts w:ascii="Bookman Old Style" w:hAnsi="Bookman Old Style" w:cs="Calibri Light"/>
                <w:color w:val="000000"/>
                <w:sz w:val="16"/>
                <w:szCs w:val="16"/>
                <w:lang w:val="es-CO" w:eastAsia="es-CO"/>
              </w:rPr>
              <w:t> </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5C4C46"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$ 0</w:t>
            </w:r>
            <w:r w:rsidRPr="001B6156">
              <w:rPr>
                <w:rFonts w:ascii="Bookman Old Style" w:hAnsi="Bookman Old Style" w:cs="Calibri Light"/>
                <w:color w:val="000000"/>
                <w:sz w:val="16"/>
                <w:szCs w:val="16"/>
                <w:lang w:val="es-CO" w:eastAsia="es-CO"/>
              </w:rPr>
              <w:t> </w:t>
            </w:r>
          </w:p>
        </w:tc>
      </w:tr>
      <w:tr w:rsidR="00C11BC0" w:rsidRPr="001B6156" w14:paraId="34D7B01F" w14:textId="77777777" w:rsidTr="00E31589">
        <w:trPr>
          <w:trHeight w:val="225"/>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8B35B1" w14:textId="6F44DCB5" w:rsidR="00C11BC0" w:rsidRPr="001B6156" w:rsidRDefault="00C11BC0" w:rsidP="00403323">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C</w:t>
            </w:r>
          </w:p>
        </w:tc>
        <w:tc>
          <w:tcPr>
            <w:tcW w:w="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77815"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2106 </w:t>
            </w:r>
          </w:p>
        </w:tc>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E67AA0"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1900 </w:t>
            </w:r>
          </w:p>
        </w:tc>
        <w:tc>
          <w:tcPr>
            <w:tcW w:w="27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FAFA0E" w14:textId="77777777" w:rsidR="00C11BC0" w:rsidRPr="001B6156" w:rsidRDefault="00C11BC0" w:rsidP="00C11BC0">
            <w:pPr>
              <w:ind w:left="0"/>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SERVICIO DE DIVULGACIÓN DEL SECTOR MINERO ENERGÉTICO - DIVULGACIÓN DE LA REGULACIÓN A LA CIUDADANÍA A NIVEL NACIONAL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57D230"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$ 290.000.000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2752E2"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$ 290.000.000 </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A35A9B"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$ 0 </w:t>
            </w:r>
          </w:p>
        </w:tc>
      </w:tr>
      <w:tr w:rsidR="00C11BC0" w:rsidRPr="001B6156" w14:paraId="3B7769A2" w14:textId="77777777" w:rsidTr="00E31589">
        <w:trPr>
          <w:trHeight w:val="225"/>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8C577F" w14:textId="3FD3FDA5" w:rsidR="00C11BC0" w:rsidRPr="001B6156" w:rsidRDefault="00C11BC0" w:rsidP="00403323">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C</w:t>
            </w:r>
          </w:p>
        </w:tc>
        <w:tc>
          <w:tcPr>
            <w:tcW w:w="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0592DC"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2106 </w:t>
            </w:r>
          </w:p>
        </w:tc>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DFAEBB"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1900 </w:t>
            </w:r>
          </w:p>
        </w:tc>
        <w:tc>
          <w:tcPr>
            <w:tcW w:w="27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3F073C" w14:textId="77777777" w:rsidR="00C11BC0" w:rsidRPr="001B6156" w:rsidRDefault="00C11BC0" w:rsidP="00C11BC0">
            <w:pPr>
              <w:ind w:left="0"/>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DOCUMENTOS DE REGULACIÓN - ESTUDIOS Y ANALISIS PARA LA ADOPCION DE MEDIDAS REGULATORIAS REQUERIDAS POR LOS SECTORES DE ENERGIA ELECTRICA, GAS COMBUSTIBLE Y COMBUSTIBLES LIQUIDOS A NIVEL   NACIONAL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577B0"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$ 7.700.000.000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CD948D"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$ 7.700.000.000 </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C89135"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$ 0 </w:t>
            </w:r>
          </w:p>
        </w:tc>
      </w:tr>
      <w:tr w:rsidR="00C11BC0" w:rsidRPr="001B6156" w14:paraId="7268ECF1" w14:textId="77777777" w:rsidTr="00E31589">
        <w:trPr>
          <w:trHeight w:val="225"/>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1C3B59" w14:textId="42B68061" w:rsidR="00C11BC0" w:rsidRPr="001B6156" w:rsidRDefault="00C11BC0" w:rsidP="00403323">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C</w:t>
            </w:r>
          </w:p>
        </w:tc>
        <w:tc>
          <w:tcPr>
            <w:tcW w:w="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1DBAD2"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2199 </w:t>
            </w:r>
          </w:p>
        </w:tc>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94DCEF"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1900 </w:t>
            </w:r>
          </w:p>
        </w:tc>
        <w:tc>
          <w:tcPr>
            <w:tcW w:w="27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ECA414" w14:textId="77777777" w:rsidR="00C11BC0" w:rsidRPr="001B6156" w:rsidRDefault="00C11BC0" w:rsidP="00C11BC0">
            <w:pPr>
              <w:ind w:left="0"/>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SERVICIO DE EDUCACIÓN INFORMAL PARA LA GESTIÓN ADMINISTRATIVA - FORTALECIMIENTO INSTITUCIONAL A PARTIR DEL APRENDIZAJE ORGANIZACIONAL A NIVEL NACIONAL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5F526E"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$ 310.000.000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EA2485"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$ 310.000.000 </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87E4FF"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$ 0 </w:t>
            </w:r>
          </w:p>
        </w:tc>
      </w:tr>
      <w:tr w:rsidR="00C11BC0" w:rsidRPr="001B6156" w14:paraId="11BA90E6" w14:textId="77777777" w:rsidTr="007D50A6">
        <w:trPr>
          <w:trHeight w:val="725"/>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56BF61" w14:textId="6E67D01E" w:rsidR="00C11BC0" w:rsidRPr="001B6156" w:rsidRDefault="00C11BC0" w:rsidP="00403323">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C</w:t>
            </w:r>
          </w:p>
        </w:tc>
        <w:tc>
          <w:tcPr>
            <w:tcW w:w="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F8C063"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2199 </w:t>
            </w:r>
          </w:p>
        </w:tc>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F948C5"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1900 </w:t>
            </w:r>
          </w:p>
        </w:tc>
        <w:tc>
          <w:tcPr>
            <w:tcW w:w="27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6966E3" w14:textId="77777777" w:rsidR="00C11BC0" w:rsidRPr="001B6156" w:rsidRDefault="00C11BC0" w:rsidP="00C11BC0">
            <w:pPr>
              <w:ind w:left="0"/>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MEJORAMIENTO Y MODERNIZACIÓN DE LAS TICS DE LA CREG A NIVEL NACIONAL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9CEA96"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$ 2.900.000.000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E037FC"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$ 2.900.000.000 </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D0A0ED"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color w:val="000000"/>
                <w:sz w:val="16"/>
                <w:szCs w:val="16"/>
                <w:lang w:val="es-CO" w:eastAsia="es-CO"/>
              </w:rPr>
              <w:t>$ 0 </w:t>
            </w:r>
          </w:p>
        </w:tc>
      </w:tr>
      <w:tr w:rsidR="00C11BC0" w:rsidRPr="001B6156" w14:paraId="51AEEB85" w14:textId="77777777" w:rsidTr="007D50A6">
        <w:trPr>
          <w:trHeight w:val="294"/>
        </w:trPr>
        <w:tc>
          <w:tcPr>
            <w:tcW w:w="4528"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3D557124" w14:textId="77777777" w:rsidR="00C11BC0" w:rsidRPr="001B6156" w:rsidRDefault="00C11BC0" w:rsidP="00C11BC0">
            <w:pPr>
              <w:ind w:left="0"/>
              <w:jc w:val="center"/>
              <w:textAlignment w:val="baseline"/>
              <w:rPr>
                <w:rFonts w:ascii="Bookman Old Style" w:hAnsi="Bookman Old Style" w:cs="Segoe UI"/>
                <w:sz w:val="16"/>
                <w:szCs w:val="16"/>
                <w:lang w:val="es-CO" w:eastAsia="es-CO"/>
              </w:rPr>
            </w:pPr>
            <w:proofErr w:type="gramStart"/>
            <w:r w:rsidRPr="001B6156">
              <w:rPr>
                <w:rFonts w:ascii="Bookman Old Style" w:hAnsi="Bookman Old Style" w:cs="Calibri Light"/>
                <w:b/>
                <w:bCs/>
                <w:color w:val="000000"/>
                <w:sz w:val="16"/>
                <w:szCs w:val="16"/>
                <w:lang w:val="es-CO" w:eastAsia="es-CO"/>
              </w:rPr>
              <w:t>TOTAL</w:t>
            </w:r>
            <w:proofErr w:type="gramEnd"/>
            <w:r w:rsidRPr="001B6156">
              <w:rPr>
                <w:rFonts w:ascii="Bookman Old Style" w:hAnsi="Bookman Old Style" w:cs="Calibri Light"/>
                <w:b/>
                <w:bCs/>
                <w:color w:val="000000"/>
                <w:sz w:val="16"/>
                <w:szCs w:val="16"/>
                <w:lang w:val="es-CO" w:eastAsia="es-CO"/>
              </w:rPr>
              <w:t xml:space="preserve"> PRESUPUESTO VIGENTE 2023</w:t>
            </w:r>
            <w:r w:rsidRPr="001B6156">
              <w:rPr>
                <w:rFonts w:ascii="Bookman Old Style" w:hAnsi="Bookman Old Style" w:cs="Calibri Light"/>
                <w:color w:val="000000"/>
                <w:sz w:val="16"/>
                <w:szCs w:val="16"/>
                <w:lang w:val="es-CO" w:eastAsia="es-CO"/>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E244A7"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$45.445.174.004</w:t>
            </w:r>
            <w:r w:rsidRPr="001B6156">
              <w:rPr>
                <w:rFonts w:ascii="Bookman Old Style" w:hAnsi="Bookman Old Style" w:cs="Calibri Light"/>
                <w:color w:val="000000"/>
                <w:sz w:val="16"/>
                <w:szCs w:val="16"/>
                <w:lang w:val="es-CO" w:eastAsia="es-CO"/>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707497"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$40.194.783.004</w:t>
            </w:r>
            <w:r w:rsidRPr="001B6156">
              <w:rPr>
                <w:rFonts w:ascii="Bookman Old Style" w:hAnsi="Bookman Old Style" w:cs="Calibri Light"/>
                <w:color w:val="000000"/>
                <w:sz w:val="16"/>
                <w:szCs w:val="16"/>
                <w:lang w:val="es-CO" w:eastAsia="es-CO"/>
              </w:rPr>
              <w:t> </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3587FD" w14:textId="77777777" w:rsidR="00C11BC0" w:rsidRPr="001B6156" w:rsidRDefault="00C11BC0" w:rsidP="00E31589">
            <w:pPr>
              <w:ind w:left="0"/>
              <w:jc w:val="right"/>
              <w:textAlignment w:val="baseline"/>
              <w:rPr>
                <w:rFonts w:ascii="Bookman Old Style" w:hAnsi="Bookman Old Style" w:cs="Segoe UI"/>
                <w:sz w:val="16"/>
                <w:szCs w:val="16"/>
                <w:lang w:val="es-CO" w:eastAsia="es-CO"/>
              </w:rPr>
            </w:pPr>
            <w:r w:rsidRPr="001B6156">
              <w:rPr>
                <w:rFonts w:ascii="Bookman Old Style" w:hAnsi="Bookman Old Style" w:cs="Calibri Light"/>
                <w:b/>
                <w:bCs/>
                <w:color w:val="000000"/>
                <w:sz w:val="16"/>
                <w:szCs w:val="16"/>
                <w:lang w:val="es-CO" w:eastAsia="es-CO"/>
              </w:rPr>
              <w:t>$5.250.391.000</w:t>
            </w:r>
            <w:r w:rsidRPr="001B6156">
              <w:rPr>
                <w:rFonts w:ascii="Bookman Old Style" w:hAnsi="Bookman Old Style" w:cs="Calibri Light"/>
                <w:color w:val="000000"/>
                <w:sz w:val="16"/>
                <w:szCs w:val="16"/>
                <w:lang w:val="es-CO" w:eastAsia="es-CO"/>
              </w:rPr>
              <w:t> </w:t>
            </w:r>
          </w:p>
        </w:tc>
      </w:tr>
    </w:tbl>
    <w:p w14:paraId="7A9C66D5" w14:textId="77777777" w:rsidR="00C11BC0" w:rsidRPr="0024494C" w:rsidRDefault="00C11BC0" w:rsidP="000E5253">
      <w:pPr>
        <w:ind w:left="0"/>
        <w:jc w:val="both"/>
        <w:rPr>
          <w:rFonts w:ascii="Bookman Old Style" w:hAnsi="Bookman Old Style" w:cs="Arial"/>
        </w:rPr>
      </w:pPr>
    </w:p>
    <w:p w14:paraId="640FE948" w14:textId="763738C9" w:rsidR="00692D39" w:rsidRPr="0024494C" w:rsidRDefault="006B0FC6" w:rsidP="000E5253">
      <w:pPr>
        <w:ind w:left="0"/>
        <w:jc w:val="both"/>
        <w:rPr>
          <w:rFonts w:ascii="Bookman Old Style" w:hAnsi="Bookman Old Style" w:cs="Arial"/>
        </w:rPr>
      </w:pPr>
      <w:r w:rsidRPr="0024494C">
        <w:rPr>
          <w:rFonts w:ascii="Bookman Old Style" w:hAnsi="Bookman Old Style" w:cs="Arial"/>
        </w:rPr>
        <w:t xml:space="preserve">De la anterior apropiación presupuestal </w:t>
      </w:r>
      <w:r w:rsidR="00157B16" w:rsidRPr="0024494C">
        <w:rPr>
          <w:rFonts w:ascii="Bookman Old Style" w:hAnsi="Bookman Old Style" w:cs="Arial"/>
        </w:rPr>
        <w:t xml:space="preserve">aprobada </w:t>
      </w:r>
      <w:r w:rsidRPr="0024494C">
        <w:rPr>
          <w:rFonts w:ascii="Bookman Old Style" w:hAnsi="Bookman Old Style" w:cs="Arial"/>
        </w:rPr>
        <w:t>para la vigencia 202</w:t>
      </w:r>
      <w:r w:rsidR="007B7BB9" w:rsidRPr="0024494C">
        <w:rPr>
          <w:rFonts w:ascii="Bookman Old Style" w:hAnsi="Bookman Old Style" w:cs="Arial"/>
        </w:rPr>
        <w:t>3</w:t>
      </w:r>
      <w:r w:rsidRPr="0024494C">
        <w:rPr>
          <w:rFonts w:ascii="Bookman Old Style" w:hAnsi="Bookman Old Style" w:cs="Arial"/>
        </w:rPr>
        <w:t xml:space="preserve">, el </w:t>
      </w:r>
      <w:r w:rsidR="00A00E64" w:rsidRPr="0024494C">
        <w:rPr>
          <w:rFonts w:ascii="Bookman Old Style" w:hAnsi="Bookman Old Style" w:cs="Arial"/>
        </w:rPr>
        <w:t xml:space="preserve">valor que debe ser cubierto con el recaudo de la contribución especial </w:t>
      </w:r>
      <w:r w:rsidR="007B7BB9" w:rsidRPr="0024494C">
        <w:rPr>
          <w:rFonts w:ascii="Bookman Old Style" w:hAnsi="Bookman Old Style" w:cs="Arial"/>
        </w:rPr>
        <w:t xml:space="preserve"> a favor de la </w:t>
      </w:r>
      <w:r w:rsidR="00FB1B54" w:rsidRPr="0024494C">
        <w:rPr>
          <w:rFonts w:ascii="Bookman Old Style" w:hAnsi="Bookman Old Style"/>
        </w:rPr>
        <w:t>Comisión de Regulación de Energía y Gas – CREG</w:t>
      </w:r>
      <w:r w:rsidR="00A00E64" w:rsidRPr="0024494C">
        <w:rPr>
          <w:rFonts w:ascii="Bookman Old Style" w:hAnsi="Bookman Old Style" w:cs="Arial"/>
        </w:rPr>
        <w:t xml:space="preserve">, </w:t>
      </w:r>
      <w:r w:rsidRPr="0024494C">
        <w:rPr>
          <w:rFonts w:ascii="Bookman Old Style" w:hAnsi="Bookman Old Style" w:cs="Arial"/>
        </w:rPr>
        <w:t xml:space="preserve">son </w:t>
      </w:r>
      <w:r w:rsidR="007B7BB9" w:rsidRPr="0024494C">
        <w:rPr>
          <w:rFonts w:ascii="Bookman Old Style" w:hAnsi="Bookman Old Style" w:cs="Arial"/>
        </w:rPr>
        <w:t xml:space="preserve">las partidas presupuestales </w:t>
      </w:r>
      <w:r w:rsidRPr="0024494C">
        <w:rPr>
          <w:rFonts w:ascii="Bookman Old Style" w:hAnsi="Bookman Old Style" w:cs="Arial"/>
        </w:rPr>
        <w:t>aforad</w:t>
      </w:r>
      <w:r w:rsidR="007B7BB9" w:rsidRPr="0024494C">
        <w:rPr>
          <w:rFonts w:ascii="Bookman Old Style" w:hAnsi="Bookman Old Style" w:cs="Arial"/>
        </w:rPr>
        <w:t xml:space="preserve">as y vigentes, determinadas </w:t>
      </w:r>
      <w:r w:rsidRPr="0024494C">
        <w:rPr>
          <w:rFonts w:ascii="Bookman Old Style" w:hAnsi="Bookman Old Style" w:cs="Arial"/>
        </w:rPr>
        <w:t xml:space="preserve">como recursos 16 – Fondos Especiales, Sin Situación de Fondos </w:t>
      </w:r>
      <w:r w:rsidR="007B7BB9" w:rsidRPr="0024494C">
        <w:rPr>
          <w:rFonts w:ascii="Bookman Old Style" w:hAnsi="Bookman Old Style" w:cs="Arial"/>
        </w:rPr>
        <w:t>(</w:t>
      </w:r>
      <w:r w:rsidRPr="0024494C">
        <w:rPr>
          <w:rFonts w:ascii="Bookman Old Style" w:hAnsi="Bookman Old Style" w:cs="Arial"/>
        </w:rPr>
        <w:t>SSF</w:t>
      </w:r>
      <w:r w:rsidR="007B7BB9" w:rsidRPr="0024494C">
        <w:rPr>
          <w:rFonts w:ascii="Bookman Old Style" w:hAnsi="Bookman Old Style" w:cs="Arial"/>
        </w:rPr>
        <w:t>)</w:t>
      </w:r>
      <w:r w:rsidRPr="0024494C">
        <w:rPr>
          <w:rFonts w:ascii="Bookman Old Style" w:hAnsi="Bookman Old Style" w:cs="Arial"/>
        </w:rPr>
        <w:t xml:space="preserve">, </w:t>
      </w:r>
      <w:r w:rsidR="007B7BB9" w:rsidRPr="0024494C">
        <w:rPr>
          <w:rFonts w:ascii="Bookman Old Style" w:hAnsi="Bookman Old Style" w:cs="Arial"/>
        </w:rPr>
        <w:t xml:space="preserve">los cuales </w:t>
      </w:r>
      <w:r w:rsidR="00901023" w:rsidRPr="0024494C">
        <w:rPr>
          <w:rFonts w:ascii="Bookman Old Style" w:hAnsi="Bookman Old Style" w:cs="Arial"/>
        </w:rPr>
        <w:t xml:space="preserve">ascienden a la suma </w:t>
      </w:r>
      <w:r w:rsidR="00157B16" w:rsidRPr="0024494C">
        <w:rPr>
          <w:rFonts w:ascii="Bookman Old Style" w:hAnsi="Bookman Old Style" w:cs="Arial"/>
        </w:rPr>
        <w:t xml:space="preserve">de </w:t>
      </w:r>
      <w:r w:rsidR="007B7BB9" w:rsidRPr="0024494C">
        <w:rPr>
          <w:rFonts w:ascii="Bookman Old Style" w:hAnsi="Bookman Old Style"/>
        </w:rPr>
        <w:t xml:space="preserve"> </w:t>
      </w:r>
      <w:r w:rsidR="007B7BB9" w:rsidRPr="0024494C">
        <w:rPr>
          <w:rFonts w:ascii="Bookman Old Style" w:hAnsi="Bookman Old Style" w:cs="Arial"/>
        </w:rPr>
        <w:t>$40.194.783.004</w:t>
      </w:r>
      <w:r w:rsidR="00901023" w:rsidRPr="0024494C">
        <w:rPr>
          <w:rFonts w:ascii="Bookman Old Style" w:hAnsi="Bookman Old Style" w:cs="Arial"/>
        </w:rPr>
        <w:t>,</w:t>
      </w:r>
      <w:r w:rsidR="007B7BB9" w:rsidRPr="0024494C">
        <w:rPr>
          <w:rFonts w:ascii="Bookman Old Style" w:hAnsi="Bookman Old Style" w:cs="Arial"/>
        </w:rPr>
        <w:t>00</w:t>
      </w:r>
      <w:r w:rsidR="00901023" w:rsidRPr="0024494C">
        <w:rPr>
          <w:rFonts w:ascii="Bookman Old Style" w:hAnsi="Bookman Old Style" w:cs="Arial"/>
        </w:rPr>
        <w:t xml:space="preserve"> </w:t>
      </w:r>
      <w:r w:rsidR="008D4BDA" w:rsidRPr="0024494C">
        <w:rPr>
          <w:rFonts w:ascii="Bookman Old Style" w:hAnsi="Bookman Old Style" w:cs="Arial"/>
        </w:rPr>
        <w:t>que restando las transferencias de excedentes al Fondo Empresarial</w:t>
      </w:r>
      <w:r w:rsidR="00D70424" w:rsidRPr="0024494C">
        <w:rPr>
          <w:rFonts w:ascii="Bookman Old Style" w:hAnsi="Bookman Old Style" w:cs="Arial"/>
        </w:rPr>
        <w:t>, por valor de $ 2.444.416.949</w:t>
      </w:r>
      <w:r w:rsidR="008D4BDA" w:rsidRPr="0024494C">
        <w:rPr>
          <w:rFonts w:ascii="Bookman Old Style" w:hAnsi="Bookman Old Style" w:cs="Arial"/>
        </w:rPr>
        <w:t xml:space="preserve">, da como resultado </w:t>
      </w:r>
      <w:r w:rsidR="00A00E64" w:rsidRPr="0024494C">
        <w:rPr>
          <w:rFonts w:ascii="Bookman Old Style" w:hAnsi="Bookman Old Style" w:cs="Arial"/>
        </w:rPr>
        <w:t xml:space="preserve">un </w:t>
      </w:r>
      <w:r w:rsidR="00692D39" w:rsidRPr="0024494C">
        <w:rPr>
          <w:rFonts w:ascii="Bookman Old Style" w:hAnsi="Bookman Old Style" w:cs="Arial"/>
        </w:rPr>
        <w:t xml:space="preserve">valor neto </w:t>
      </w:r>
      <w:r w:rsidR="008D4BDA" w:rsidRPr="0024494C">
        <w:rPr>
          <w:rFonts w:ascii="Bookman Old Style" w:hAnsi="Bookman Old Style" w:cs="Arial"/>
        </w:rPr>
        <w:t xml:space="preserve">presupuestal </w:t>
      </w:r>
      <w:r w:rsidR="00172DB8" w:rsidRPr="0024494C">
        <w:rPr>
          <w:rFonts w:ascii="Bookman Old Style" w:hAnsi="Bookman Old Style" w:cs="Arial"/>
        </w:rPr>
        <w:t xml:space="preserve">base </w:t>
      </w:r>
      <w:r w:rsidR="008D4BDA" w:rsidRPr="0024494C">
        <w:rPr>
          <w:rFonts w:ascii="Bookman Old Style" w:hAnsi="Bookman Old Style" w:cs="Arial"/>
        </w:rPr>
        <w:t xml:space="preserve">para la </w:t>
      </w:r>
      <w:r w:rsidR="00172DB8" w:rsidRPr="0024494C">
        <w:rPr>
          <w:rFonts w:ascii="Bookman Old Style" w:hAnsi="Bookman Old Style" w:cs="Arial"/>
        </w:rPr>
        <w:t xml:space="preserve"> contribución especial</w:t>
      </w:r>
      <w:r w:rsidR="00395F30" w:rsidRPr="0024494C">
        <w:rPr>
          <w:rFonts w:ascii="Bookman Old Style" w:hAnsi="Bookman Old Style" w:cs="Arial"/>
        </w:rPr>
        <w:t xml:space="preserve"> 202</w:t>
      </w:r>
      <w:r w:rsidR="00681F79" w:rsidRPr="0024494C">
        <w:rPr>
          <w:rFonts w:ascii="Bookman Old Style" w:hAnsi="Bookman Old Style" w:cs="Arial"/>
        </w:rPr>
        <w:t>3</w:t>
      </w:r>
      <w:r w:rsidR="00172DB8" w:rsidRPr="0024494C">
        <w:rPr>
          <w:rFonts w:ascii="Bookman Old Style" w:hAnsi="Bookman Old Style" w:cs="Arial"/>
        </w:rPr>
        <w:t xml:space="preserve"> por </w:t>
      </w:r>
      <w:r w:rsidR="008D4BDA" w:rsidRPr="0024494C">
        <w:rPr>
          <w:rFonts w:ascii="Bookman Old Style" w:hAnsi="Bookman Old Style" w:cs="Arial"/>
        </w:rPr>
        <w:t xml:space="preserve">el </w:t>
      </w:r>
      <w:r w:rsidR="00172DB8" w:rsidRPr="0024494C">
        <w:rPr>
          <w:rFonts w:ascii="Bookman Old Style" w:hAnsi="Bookman Old Style" w:cs="Arial"/>
        </w:rPr>
        <w:t xml:space="preserve">valor </w:t>
      </w:r>
      <w:r w:rsidR="00692D39" w:rsidRPr="0024494C">
        <w:rPr>
          <w:rFonts w:ascii="Bookman Old Style" w:hAnsi="Bookman Old Style" w:cs="Arial"/>
        </w:rPr>
        <w:t>de</w:t>
      </w:r>
      <w:r w:rsidR="00172DB8" w:rsidRPr="0024494C">
        <w:rPr>
          <w:rFonts w:ascii="Bookman Old Style" w:hAnsi="Bookman Old Style" w:cs="Arial"/>
        </w:rPr>
        <w:t>:</w:t>
      </w:r>
      <w:r w:rsidR="00692D39" w:rsidRPr="0024494C">
        <w:rPr>
          <w:rFonts w:ascii="Bookman Old Style" w:hAnsi="Bookman Old Style" w:cs="Arial"/>
        </w:rPr>
        <w:t xml:space="preserve"> </w:t>
      </w:r>
      <w:r w:rsidR="00A00E64" w:rsidRPr="0024494C">
        <w:rPr>
          <w:rFonts w:ascii="Bookman Old Style" w:hAnsi="Bookman Old Style" w:cs="Arial"/>
        </w:rPr>
        <w:t xml:space="preserve">TREINTA Y </w:t>
      </w:r>
      <w:r w:rsidR="00681F79" w:rsidRPr="0024494C">
        <w:rPr>
          <w:rFonts w:ascii="Bookman Old Style" w:hAnsi="Bookman Old Style" w:cs="Arial"/>
        </w:rPr>
        <w:t>SIETE</w:t>
      </w:r>
      <w:r w:rsidR="00692D39" w:rsidRPr="0024494C">
        <w:rPr>
          <w:rFonts w:ascii="Bookman Old Style" w:hAnsi="Bookman Old Style" w:cs="Arial"/>
        </w:rPr>
        <w:t xml:space="preserve"> MIL </w:t>
      </w:r>
      <w:r w:rsidR="00681F79" w:rsidRPr="0024494C">
        <w:rPr>
          <w:rFonts w:ascii="Bookman Old Style" w:hAnsi="Bookman Old Style" w:cs="Arial"/>
        </w:rPr>
        <w:t>SETECIENTOS CINCUENTA</w:t>
      </w:r>
      <w:r w:rsidR="00692D39" w:rsidRPr="0024494C">
        <w:rPr>
          <w:rFonts w:ascii="Bookman Old Style" w:hAnsi="Bookman Old Style" w:cs="Arial"/>
        </w:rPr>
        <w:t xml:space="preserve"> MILLONES </w:t>
      </w:r>
      <w:r w:rsidR="00681F79" w:rsidRPr="0024494C">
        <w:rPr>
          <w:rFonts w:ascii="Bookman Old Style" w:hAnsi="Bookman Old Style" w:cs="Arial"/>
        </w:rPr>
        <w:t>TRESCIENTOS SESENTA Y SEIS</w:t>
      </w:r>
      <w:r w:rsidR="00A00E64" w:rsidRPr="0024494C">
        <w:rPr>
          <w:rFonts w:ascii="Bookman Old Style" w:hAnsi="Bookman Old Style" w:cs="Arial"/>
        </w:rPr>
        <w:t xml:space="preserve"> </w:t>
      </w:r>
      <w:r w:rsidR="00692D39" w:rsidRPr="0024494C">
        <w:rPr>
          <w:rFonts w:ascii="Bookman Old Style" w:hAnsi="Bookman Old Style" w:cs="Arial"/>
        </w:rPr>
        <w:t xml:space="preserve">MIL </w:t>
      </w:r>
      <w:r w:rsidR="00681F79" w:rsidRPr="0024494C">
        <w:rPr>
          <w:rFonts w:ascii="Bookman Old Style" w:hAnsi="Bookman Old Style" w:cs="Arial"/>
        </w:rPr>
        <w:t>CINCUENTA Y CINCO</w:t>
      </w:r>
      <w:r w:rsidR="00692D39" w:rsidRPr="0024494C">
        <w:rPr>
          <w:rFonts w:ascii="Bookman Old Style" w:hAnsi="Bookman Old Style" w:cs="Arial"/>
        </w:rPr>
        <w:t xml:space="preserve"> PESOS M/CTE</w:t>
      </w:r>
      <w:r w:rsidR="00A00E64" w:rsidRPr="0024494C">
        <w:rPr>
          <w:rFonts w:ascii="Bookman Old Style" w:hAnsi="Bookman Old Style" w:cs="Arial"/>
        </w:rPr>
        <w:t xml:space="preserve">. </w:t>
      </w:r>
      <w:r w:rsidR="00692D39" w:rsidRPr="0024494C">
        <w:rPr>
          <w:rFonts w:ascii="Bookman Old Style" w:hAnsi="Bookman Old Style" w:cs="Arial"/>
        </w:rPr>
        <w:t>($</w:t>
      </w:r>
      <w:r w:rsidR="00681F79" w:rsidRPr="0024494C">
        <w:rPr>
          <w:rFonts w:ascii="Bookman Old Style" w:hAnsi="Bookman Old Style" w:cs="Arial"/>
        </w:rPr>
        <w:t>37.750.366.055,00</w:t>
      </w:r>
      <w:r w:rsidR="00692D39" w:rsidRPr="0024494C">
        <w:rPr>
          <w:rFonts w:ascii="Bookman Old Style" w:hAnsi="Bookman Old Style" w:cs="Arial"/>
        </w:rPr>
        <w:t xml:space="preserve">), </w:t>
      </w:r>
      <w:r w:rsidR="00901023" w:rsidRPr="0024494C">
        <w:rPr>
          <w:rFonts w:ascii="Bookman Old Style" w:hAnsi="Bookman Old Style" w:cs="Arial"/>
        </w:rPr>
        <w:t>como se detalla</w:t>
      </w:r>
      <w:r w:rsidR="00A00E64" w:rsidRPr="0024494C">
        <w:rPr>
          <w:rFonts w:ascii="Bookman Old Style" w:hAnsi="Bookman Old Style" w:cs="Arial"/>
        </w:rPr>
        <w:t xml:space="preserve"> a continuación:</w:t>
      </w:r>
    </w:p>
    <w:p w14:paraId="3FCE5F82" w14:textId="77777777" w:rsidR="007E44A6" w:rsidRPr="0024494C" w:rsidRDefault="007E44A6" w:rsidP="000E5253">
      <w:pPr>
        <w:ind w:left="0"/>
        <w:jc w:val="both"/>
        <w:rPr>
          <w:rFonts w:ascii="Bookman Old Style" w:hAnsi="Bookman Old Style" w:cs="Arial"/>
        </w:rPr>
      </w:pPr>
    </w:p>
    <w:p w14:paraId="29326038" w14:textId="19A59D2F" w:rsidR="00514A68" w:rsidRPr="00922660" w:rsidRDefault="007E44A6" w:rsidP="00FE04C0">
      <w:pPr>
        <w:pStyle w:val="Descripcin"/>
        <w:keepNext/>
        <w:rPr>
          <w:rFonts w:ascii="Bookman Old Style" w:hAnsi="Bookman Old Style" w:cs="Arial"/>
          <w:color w:val="auto"/>
          <w:sz w:val="16"/>
          <w:szCs w:val="16"/>
        </w:rPr>
      </w:pPr>
      <w:r w:rsidRPr="00922660">
        <w:rPr>
          <w:rFonts w:ascii="Bookman Old Style" w:hAnsi="Bookman Old Style"/>
          <w:color w:val="auto"/>
          <w:sz w:val="16"/>
          <w:szCs w:val="16"/>
        </w:rPr>
        <w:t xml:space="preserve">Tabla 3 Presupuesto </w:t>
      </w:r>
      <w:r w:rsidR="00FE04C0" w:rsidRPr="00922660">
        <w:rPr>
          <w:rFonts w:ascii="Bookman Old Style" w:hAnsi="Bookman Old Style"/>
          <w:color w:val="auto"/>
          <w:sz w:val="16"/>
          <w:szCs w:val="16"/>
        </w:rPr>
        <w:t>detallado contribución 2023</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1"/>
        <w:gridCol w:w="813"/>
        <w:gridCol w:w="934"/>
        <w:gridCol w:w="3568"/>
        <w:gridCol w:w="2317"/>
      </w:tblGrid>
      <w:tr w:rsidR="00597FD8" w:rsidRPr="00922660" w14:paraId="3A4B28BD" w14:textId="77777777" w:rsidTr="00DD53D1">
        <w:trPr>
          <w:trHeight w:val="501"/>
          <w:jc w:val="center"/>
        </w:trPr>
        <w:tc>
          <w:tcPr>
            <w:tcW w:w="1413" w:type="dxa"/>
            <w:shd w:val="clear" w:color="auto" w:fill="auto"/>
            <w:vAlign w:val="center"/>
            <w:hideMark/>
          </w:tcPr>
          <w:p w14:paraId="403713D0" w14:textId="77777777" w:rsidR="00597FD8" w:rsidRPr="00922660" w:rsidRDefault="00597FD8" w:rsidP="009D7B80">
            <w:pPr>
              <w:ind w:left="0"/>
              <w:jc w:val="center"/>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Rubro</w:t>
            </w:r>
          </w:p>
        </w:tc>
        <w:tc>
          <w:tcPr>
            <w:tcW w:w="0" w:type="auto"/>
            <w:shd w:val="clear" w:color="auto" w:fill="auto"/>
            <w:vAlign w:val="center"/>
            <w:hideMark/>
          </w:tcPr>
          <w:p w14:paraId="1BFFDEFE" w14:textId="77777777" w:rsidR="00597FD8" w:rsidRPr="00922660" w:rsidRDefault="00597FD8" w:rsidP="009D7B80">
            <w:pPr>
              <w:ind w:left="0"/>
              <w:jc w:val="center"/>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Recurso</w:t>
            </w:r>
          </w:p>
        </w:tc>
        <w:tc>
          <w:tcPr>
            <w:tcW w:w="840" w:type="dxa"/>
            <w:shd w:val="clear" w:color="auto" w:fill="auto"/>
            <w:vAlign w:val="center"/>
            <w:hideMark/>
          </w:tcPr>
          <w:p w14:paraId="421A743D" w14:textId="77777777" w:rsidR="00597FD8" w:rsidRPr="00922660" w:rsidRDefault="00597FD8" w:rsidP="009D7B80">
            <w:pPr>
              <w:ind w:left="0"/>
              <w:jc w:val="center"/>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Situación</w:t>
            </w:r>
          </w:p>
        </w:tc>
        <w:tc>
          <w:tcPr>
            <w:tcW w:w="3711" w:type="dxa"/>
            <w:shd w:val="clear" w:color="auto" w:fill="auto"/>
            <w:vAlign w:val="center"/>
            <w:hideMark/>
          </w:tcPr>
          <w:p w14:paraId="0BEA2A52" w14:textId="77777777" w:rsidR="00597FD8" w:rsidRPr="00922660" w:rsidRDefault="00597FD8" w:rsidP="009D7B80">
            <w:pPr>
              <w:ind w:left="0"/>
              <w:jc w:val="center"/>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Descripción</w:t>
            </w:r>
          </w:p>
        </w:tc>
        <w:tc>
          <w:tcPr>
            <w:tcW w:w="2390" w:type="dxa"/>
            <w:shd w:val="clear" w:color="auto" w:fill="auto"/>
            <w:vAlign w:val="center"/>
            <w:hideMark/>
          </w:tcPr>
          <w:p w14:paraId="31663D51" w14:textId="77777777" w:rsidR="00597FD8" w:rsidRPr="00922660" w:rsidRDefault="00597FD8" w:rsidP="009D7B80">
            <w:pPr>
              <w:ind w:left="0"/>
              <w:jc w:val="center"/>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Apropiación Vigente</w:t>
            </w:r>
            <w:r w:rsidRPr="00922660">
              <w:rPr>
                <w:rFonts w:ascii="Bookman Old Style" w:hAnsi="Bookman Old Style"/>
                <w:b/>
                <w:bCs/>
                <w:color w:val="000000"/>
                <w:sz w:val="16"/>
                <w:szCs w:val="16"/>
                <w:lang w:val="es-CO" w:eastAsia="es-CO"/>
              </w:rPr>
              <w:br/>
              <w:t>Fondos Especiales</w:t>
            </w:r>
          </w:p>
        </w:tc>
      </w:tr>
      <w:tr w:rsidR="00597FD8" w:rsidRPr="00922660" w14:paraId="61DA6A63" w14:textId="77777777" w:rsidTr="00DD53D1">
        <w:trPr>
          <w:trHeight w:val="266"/>
          <w:jc w:val="center"/>
        </w:trPr>
        <w:tc>
          <w:tcPr>
            <w:tcW w:w="1413" w:type="dxa"/>
            <w:shd w:val="clear" w:color="auto" w:fill="auto"/>
            <w:vAlign w:val="center"/>
            <w:hideMark/>
          </w:tcPr>
          <w:p w14:paraId="7066AC1B" w14:textId="77777777" w:rsidR="00597FD8" w:rsidRPr="00922660" w:rsidRDefault="00597FD8" w:rsidP="009D7B80">
            <w:pPr>
              <w:ind w:left="0"/>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A</w:t>
            </w:r>
          </w:p>
        </w:tc>
        <w:tc>
          <w:tcPr>
            <w:tcW w:w="0" w:type="auto"/>
            <w:shd w:val="clear" w:color="auto" w:fill="auto"/>
            <w:vAlign w:val="center"/>
            <w:hideMark/>
          </w:tcPr>
          <w:p w14:paraId="2DE572A8" w14:textId="77777777" w:rsidR="00597FD8" w:rsidRPr="00922660" w:rsidRDefault="00597FD8" w:rsidP="009D7B80">
            <w:pPr>
              <w:ind w:left="0"/>
              <w:jc w:val="center"/>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16</w:t>
            </w:r>
          </w:p>
        </w:tc>
        <w:tc>
          <w:tcPr>
            <w:tcW w:w="840" w:type="dxa"/>
            <w:shd w:val="clear" w:color="auto" w:fill="auto"/>
            <w:vAlign w:val="center"/>
            <w:hideMark/>
          </w:tcPr>
          <w:p w14:paraId="566C71C5" w14:textId="77777777" w:rsidR="00597FD8" w:rsidRPr="00922660" w:rsidRDefault="00597FD8" w:rsidP="009D7B80">
            <w:pPr>
              <w:ind w:left="0"/>
              <w:jc w:val="center"/>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SSF</w:t>
            </w:r>
          </w:p>
        </w:tc>
        <w:tc>
          <w:tcPr>
            <w:tcW w:w="3711" w:type="dxa"/>
            <w:shd w:val="clear" w:color="auto" w:fill="auto"/>
            <w:vAlign w:val="center"/>
            <w:hideMark/>
          </w:tcPr>
          <w:p w14:paraId="19556B22" w14:textId="77777777" w:rsidR="00597FD8" w:rsidRPr="00922660" w:rsidRDefault="00597FD8" w:rsidP="009D7B80">
            <w:pPr>
              <w:ind w:left="0"/>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FUNCIONAMIENTO</w:t>
            </w:r>
          </w:p>
        </w:tc>
        <w:tc>
          <w:tcPr>
            <w:tcW w:w="2390" w:type="dxa"/>
            <w:shd w:val="clear" w:color="auto" w:fill="auto"/>
            <w:vAlign w:val="center"/>
            <w:hideMark/>
          </w:tcPr>
          <w:p w14:paraId="7CFBC5A6" w14:textId="77777777" w:rsidR="00597FD8" w:rsidRPr="00922660" w:rsidRDefault="00597FD8" w:rsidP="009D7B80">
            <w:pPr>
              <w:ind w:left="0"/>
              <w:jc w:val="right"/>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$ 24.801.862.949</w:t>
            </w:r>
          </w:p>
        </w:tc>
      </w:tr>
      <w:tr w:rsidR="00597FD8" w:rsidRPr="00922660" w14:paraId="1A386F45" w14:textId="77777777" w:rsidTr="00DD53D1">
        <w:trPr>
          <w:trHeight w:val="286"/>
          <w:jc w:val="center"/>
        </w:trPr>
        <w:tc>
          <w:tcPr>
            <w:tcW w:w="1413" w:type="dxa"/>
            <w:shd w:val="clear" w:color="auto" w:fill="auto"/>
            <w:vAlign w:val="center"/>
            <w:hideMark/>
          </w:tcPr>
          <w:p w14:paraId="13304630" w14:textId="77777777" w:rsidR="00597FD8" w:rsidRPr="00922660" w:rsidRDefault="00597FD8" w:rsidP="009D7B80">
            <w:pPr>
              <w:ind w:left="0"/>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A-01</w:t>
            </w:r>
          </w:p>
        </w:tc>
        <w:tc>
          <w:tcPr>
            <w:tcW w:w="0" w:type="auto"/>
            <w:shd w:val="clear" w:color="auto" w:fill="auto"/>
            <w:vAlign w:val="center"/>
            <w:hideMark/>
          </w:tcPr>
          <w:p w14:paraId="3E015A55" w14:textId="77777777" w:rsidR="00597FD8" w:rsidRPr="00922660" w:rsidRDefault="00597FD8" w:rsidP="009D7B80">
            <w:pPr>
              <w:ind w:left="0"/>
              <w:jc w:val="center"/>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16</w:t>
            </w:r>
          </w:p>
        </w:tc>
        <w:tc>
          <w:tcPr>
            <w:tcW w:w="840" w:type="dxa"/>
            <w:shd w:val="clear" w:color="auto" w:fill="auto"/>
            <w:vAlign w:val="center"/>
            <w:hideMark/>
          </w:tcPr>
          <w:p w14:paraId="54F33FE0" w14:textId="77777777" w:rsidR="00597FD8" w:rsidRPr="00922660" w:rsidRDefault="00597FD8" w:rsidP="009D7B80">
            <w:pPr>
              <w:ind w:left="0"/>
              <w:jc w:val="center"/>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SSF</w:t>
            </w:r>
          </w:p>
        </w:tc>
        <w:tc>
          <w:tcPr>
            <w:tcW w:w="3711" w:type="dxa"/>
            <w:shd w:val="clear" w:color="auto" w:fill="auto"/>
            <w:vAlign w:val="center"/>
            <w:hideMark/>
          </w:tcPr>
          <w:p w14:paraId="12E65BC7" w14:textId="77777777" w:rsidR="00597FD8" w:rsidRPr="00922660" w:rsidRDefault="00597FD8" w:rsidP="009D7B80">
            <w:pPr>
              <w:ind w:left="0"/>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GASTOS DE PERSONAL</w:t>
            </w:r>
          </w:p>
        </w:tc>
        <w:tc>
          <w:tcPr>
            <w:tcW w:w="2390" w:type="dxa"/>
            <w:shd w:val="clear" w:color="auto" w:fill="auto"/>
            <w:vAlign w:val="center"/>
            <w:hideMark/>
          </w:tcPr>
          <w:p w14:paraId="2A5BAE3F" w14:textId="77777777" w:rsidR="00597FD8" w:rsidRPr="00922660" w:rsidRDefault="00597FD8" w:rsidP="009D7B80">
            <w:pPr>
              <w:ind w:left="0"/>
              <w:jc w:val="right"/>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$ 18.781.946.000</w:t>
            </w:r>
          </w:p>
        </w:tc>
      </w:tr>
      <w:tr w:rsidR="00597FD8" w:rsidRPr="00922660" w14:paraId="751ED2DA" w14:textId="77777777" w:rsidTr="00DD53D1">
        <w:trPr>
          <w:trHeight w:val="276"/>
          <w:jc w:val="center"/>
        </w:trPr>
        <w:tc>
          <w:tcPr>
            <w:tcW w:w="1413" w:type="dxa"/>
            <w:shd w:val="clear" w:color="auto" w:fill="auto"/>
            <w:vAlign w:val="center"/>
            <w:hideMark/>
          </w:tcPr>
          <w:p w14:paraId="02116F61" w14:textId="77777777" w:rsidR="00597FD8" w:rsidRPr="00922660" w:rsidRDefault="00597FD8" w:rsidP="009D7B80">
            <w:pPr>
              <w:ind w:left="0"/>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A-02</w:t>
            </w:r>
          </w:p>
        </w:tc>
        <w:tc>
          <w:tcPr>
            <w:tcW w:w="0" w:type="auto"/>
            <w:shd w:val="clear" w:color="auto" w:fill="auto"/>
            <w:vAlign w:val="center"/>
            <w:hideMark/>
          </w:tcPr>
          <w:p w14:paraId="71EA9063" w14:textId="77777777" w:rsidR="00597FD8" w:rsidRPr="00922660" w:rsidRDefault="00597FD8" w:rsidP="009D7B80">
            <w:pPr>
              <w:ind w:left="0"/>
              <w:jc w:val="center"/>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16</w:t>
            </w:r>
          </w:p>
        </w:tc>
        <w:tc>
          <w:tcPr>
            <w:tcW w:w="840" w:type="dxa"/>
            <w:shd w:val="clear" w:color="auto" w:fill="auto"/>
            <w:vAlign w:val="center"/>
            <w:hideMark/>
          </w:tcPr>
          <w:p w14:paraId="4EB20FFD" w14:textId="77777777" w:rsidR="00597FD8" w:rsidRPr="00922660" w:rsidRDefault="00597FD8" w:rsidP="009D7B80">
            <w:pPr>
              <w:ind w:left="0"/>
              <w:jc w:val="center"/>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SSF</w:t>
            </w:r>
          </w:p>
        </w:tc>
        <w:tc>
          <w:tcPr>
            <w:tcW w:w="3711" w:type="dxa"/>
            <w:shd w:val="clear" w:color="auto" w:fill="auto"/>
            <w:vAlign w:val="center"/>
            <w:hideMark/>
          </w:tcPr>
          <w:p w14:paraId="201C4E94" w14:textId="77777777" w:rsidR="00597FD8" w:rsidRPr="00922660" w:rsidRDefault="00597FD8" w:rsidP="009D7B80">
            <w:pPr>
              <w:ind w:left="0"/>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ADQUISICIÓN DE BIENES Y SERVICIOS</w:t>
            </w:r>
          </w:p>
        </w:tc>
        <w:tc>
          <w:tcPr>
            <w:tcW w:w="2390" w:type="dxa"/>
            <w:shd w:val="clear" w:color="auto" w:fill="auto"/>
            <w:vAlign w:val="center"/>
            <w:hideMark/>
          </w:tcPr>
          <w:p w14:paraId="78FF4C4B" w14:textId="77777777" w:rsidR="00597FD8" w:rsidRPr="00922660" w:rsidRDefault="00597FD8" w:rsidP="009D7B80">
            <w:pPr>
              <w:ind w:left="0"/>
              <w:jc w:val="right"/>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$ 3.320.837.000</w:t>
            </w:r>
          </w:p>
        </w:tc>
      </w:tr>
      <w:tr w:rsidR="00597FD8" w:rsidRPr="00922660" w14:paraId="4927C129" w14:textId="77777777" w:rsidTr="00DD53D1">
        <w:trPr>
          <w:trHeight w:val="280"/>
          <w:jc w:val="center"/>
        </w:trPr>
        <w:tc>
          <w:tcPr>
            <w:tcW w:w="1413" w:type="dxa"/>
            <w:shd w:val="clear" w:color="auto" w:fill="auto"/>
            <w:vAlign w:val="center"/>
            <w:hideMark/>
          </w:tcPr>
          <w:p w14:paraId="3A8BEDE8" w14:textId="77777777" w:rsidR="00597FD8" w:rsidRPr="00922660" w:rsidRDefault="00597FD8" w:rsidP="009D7B80">
            <w:pPr>
              <w:ind w:left="0"/>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A-03</w:t>
            </w:r>
          </w:p>
        </w:tc>
        <w:tc>
          <w:tcPr>
            <w:tcW w:w="0" w:type="auto"/>
            <w:shd w:val="clear" w:color="auto" w:fill="auto"/>
            <w:vAlign w:val="center"/>
            <w:hideMark/>
          </w:tcPr>
          <w:p w14:paraId="2532A8BC" w14:textId="77777777" w:rsidR="00597FD8" w:rsidRPr="00922660" w:rsidRDefault="00597FD8" w:rsidP="009D7B80">
            <w:pPr>
              <w:ind w:left="0"/>
              <w:jc w:val="center"/>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16</w:t>
            </w:r>
          </w:p>
        </w:tc>
        <w:tc>
          <w:tcPr>
            <w:tcW w:w="840" w:type="dxa"/>
            <w:shd w:val="clear" w:color="auto" w:fill="auto"/>
            <w:vAlign w:val="center"/>
            <w:hideMark/>
          </w:tcPr>
          <w:p w14:paraId="23800AC4" w14:textId="77777777" w:rsidR="00597FD8" w:rsidRPr="00922660" w:rsidRDefault="00597FD8" w:rsidP="009D7B80">
            <w:pPr>
              <w:ind w:left="0"/>
              <w:jc w:val="center"/>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SSF</w:t>
            </w:r>
          </w:p>
        </w:tc>
        <w:tc>
          <w:tcPr>
            <w:tcW w:w="3711" w:type="dxa"/>
            <w:shd w:val="clear" w:color="auto" w:fill="auto"/>
            <w:vAlign w:val="center"/>
            <w:hideMark/>
          </w:tcPr>
          <w:p w14:paraId="0229CC36" w14:textId="77777777" w:rsidR="00597FD8" w:rsidRPr="00922660" w:rsidRDefault="00597FD8" w:rsidP="009D7B80">
            <w:pPr>
              <w:ind w:left="0"/>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TRANSFERENCIAS CORRIENTES</w:t>
            </w:r>
          </w:p>
        </w:tc>
        <w:tc>
          <w:tcPr>
            <w:tcW w:w="2390" w:type="dxa"/>
            <w:shd w:val="clear" w:color="auto" w:fill="auto"/>
            <w:vAlign w:val="center"/>
            <w:hideMark/>
          </w:tcPr>
          <w:p w14:paraId="188BE047" w14:textId="77777777" w:rsidR="00597FD8" w:rsidRPr="00922660" w:rsidRDefault="00597FD8" w:rsidP="009D7B80">
            <w:pPr>
              <w:ind w:left="0"/>
              <w:jc w:val="right"/>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$ 2.504.116.949</w:t>
            </w:r>
          </w:p>
        </w:tc>
      </w:tr>
      <w:tr w:rsidR="00597FD8" w:rsidRPr="00922660" w14:paraId="11CA4EA7" w14:textId="77777777" w:rsidTr="00DD53D1">
        <w:trPr>
          <w:trHeight w:val="412"/>
          <w:jc w:val="center"/>
        </w:trPr>
        <w:tc>
          <w:tcPr>
            <w:tcW w:w="1413" w:type="dxa"/>
            <w:shd w:val="clear" w:color="auto" w:fill="auto"/>
            <w:vAlign w:val="center"/>
            <w:hideMark/>
          </w:tcPr>
          <w:p w14:paraId="152A29AC" w14:textId="77777777" w:rsidR="00597FD8" w:rsidRPr="00922660" w:rsidRDefault="00597FD8" w:rsidP="009D7B80">
            <w:pPr>
              <w:ind w:left="0"/>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A-08</w:t>
            </w:r>
          </w:p>
        </w:tc>
        <w:tc>
          <w:tcPr>
            <w:tcW w:w="0" w:type="auto"/>
            <w:shd w:val="clear" w:color="auto" w:fill="auto"/>
            <w:vAlign w:val="center"/>
            <w:hideMark/>
          </w:tcPr>
          <w:p w14:paraId="0D8D74EB" w14:textId="77777777" w:rsidR="00597FD8" w:rsidRPr="00922660" w:rsidRDefault="00597FD8" w:rsidP="009D7B80">
            <w:pPr>
              <w:ind w:left="0"/>
              <w:jc w:val="center"/>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16</w:t>
            </w:r>
          </w:p>
        </w:tc>
        <w:tc>
          <w:tcPr>
            <w:tcW w:w="840" w:type="dxa"/>
            <w:shd w:val="clear" w:color="auto" w:fill="auto"/>
            <w:vAlign w:val="center"/>
            <w:hideMark/>
          </w:tcPr>
          <w:p w14:paraId="06CB0F26" w14:textId="77777777" w:rsidR="00597FD8" w:rsidRPr="00922660" w:rsidRDefault="00597FD8" w:rsidP="009D7B80">
            <w:pPr>
              <w:ind w:left="0"/>
              <w:jc w:val="center"/>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SSF</w:t>
            </w:r>
          </w:p>
        </w:tc>
        <w:tc>
          <w:tcPr>
            <w:tcW w:w="3711" w:type="dxa"/>
            <w:shd w:val="clear" w:color="auto" w:fill="auto"/>
            <w:vAlign w:val="center"/>
            <w:hideMark/>
          </w:tcPr>
          <w:p w14:paraId="3710EBFD" w14:textId="77777777" w:rsidR="00597FD8" w:rsidRPr="00922660" w:rsidRDefault="00597FD8" w:rsidP="009D7B80">
            <w:pPr>
              <w:ind w:left="0"/>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GASTOS POR TRIBUTOS, MULTAS, SANCIONES E INTERESES DE MORA</w:t>
            </w:r>
          </w:p>
        </w:tc>
        <w:tc>
          <w:tcPr>
            <w:tcW w:w="2390" w:type="dxa"/>
            <w:shd w:val="clear" w:color="auto" w:fill="auto"/>
            <w:vAlign w:val="center"/>
            <w:hideMark/>
          </w:tcPr>
          <w:p w14:paraId="1F3A11D1" w14:textId="77777777" w:rsidR="00597FD8" w:rsidRPr="00922660" w:rsidRDefault="00597FD8" w:rsidP="009D7B80">
            <w:pPr>
              <w:ind w:left="0"/>
              <w:jc w:val="right"/>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$ 194.963.000</w:t>
            </w:r>
          </w:p>
        </w:tc>
      </w:tr>
      <w:tr w:rsidR="00597FD8" w:rsidRPr="00922660" w14:paraId="36979E9C" w14:textId="77777777" w:rsidTr="00DD53D1">
        <w:trPr>
          <w:trHeight w:val="284"/>
          <w:jc w:val="center"/>
        </w:trPr>
        <w:tc>
          <w:tcPr>
            <w:tcW w:w="1413" w:type="dxa"/>
            <w:shd w:val="clear" w:color="auto" w:fill="auto"/>
            <w:vAlign w:val="center"/>
            <w:hideMark/>
          </w:tcPr>
          <w:p w14:paraId="19381A56" w14:textId="77777777" w:rsidR="00597FD8" w:rsidRPr="00922660" w:rsidRDefault="00597FD8" w:rsidP="009D7B80">
            <w:pPr>
              <w:ind w:left="0"/>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B</w:t>
            </w:r>
          </w:p>
        </w:tc>
        <w:tc>
          <w:tcPr>
            <w:tcW w:w="0" w:type="auto"/>
            <w:shd w:val="clear" w:color="auto" w:fill="auto"/>
            <w:vAlign w:val="center"/>
            <w:hideMark/>
          </w:tcPr>
          <w:p w14:paraId="18571B87" w14:textId="77777777" w:rsidR="00597FD8" w:rsidRPr="00922660" w:rsidRDefault="00597FD8" w:rsidP="009D7B80">
            <w:pPr>
              <w:ind w:left="0"/>
              <w:jc w:val="center"/>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16</w:t>
            </w:r>
          </w:p>
        </w:tc>
        <w:tc>
          <w:tcPr>
            <w:tcW w:w="840" w:type="dxa"/>
            <w:shd w:val="clear" w:color="auto" w:fill="auto"/>
            <w:vAlign w:val="center"/>
            <w:hideMark/>
          </w:tcPr>
          <w:p w14:paraId="60C7CC0E" w14:textId="77777777" w:rsidR="00597FD8" w:rsidRPr="00922660" w:rsidRDefault="00597FD8" w:rsidP="009D7B80">
            <w:pPr>
              <w:ind w:left="0"/>
              <w:jc w:val="center"/>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SSF</w:t>
            </w:r>
          </w:p>
        </w:tc>
        <w:tc>
          <w:tcPr>
            <w:tcW w:w="3711" w:type="dxa"/>
            <w:shd w:val="clear" w:color="auto" w:fill="auto"/>
            <w:vAlign w:val="center"/>
            <w:hideMark/>
          </w:tcPr>
          <w:p w14:paraId="6BEC0FE6" w14:textId="77777777" w:rsidR="00597FD8" w:rsidRPr="00922660" w:rsidRDefault="00597FD8" w:rsidP="009D7B80">
            <w:pPr>
              <w:ind w:left="0"/>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SERVICIO DE LA DEUDA PÚBLICA</w:t>
            </w:r>
          </w:p>
        </w:tc>
        <w:tc>
          <w:tcPr>
            <w:tcW w:w="2390" w:type="dxa"/>
            <w:shd w:val="clear" w:color="auto" w:fill="auto"/>
            <w:vAlign w:val="center"/>
            <w:hideMark/>
          </w:tcPr>
          <w:p w14:paraId="5A2ACA16" w14:textId="77777777" w:rsidR="00597FD8" w:rsidRPr="00922660" w:rsidRDefault="00597FD8" w:rsidP="009D7B80">
            <w:pPr>
              <w:ind w:left="0"/>
              <w:jc w:val="right"/>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$ 4.192.920.055</w:t>
            </w:r>
          </w:p>
        </w:tc>
      </w:tr>
      <w:tr w:rsidR="00597FD8" w:rsidRPr="00922660" w14:paraId="1895DB35" w14:textId="77777777" w:rsidTr="00DD53D1">
        <w:trPr>
          <w:trHeight w:val="287"/>
          <w:jc w:val="center"/>
        </w:trPr>
        <w:tc>
          <w:tcPr>
            <w:tcW w:w="1413" w:type="dxa"/>
            <w:shd w:val="clear" w:color="auto" w:fill="auto"/>
            <w:vAlign w:val="center"/>
            <w:hideMark/>
          </w:tcPr>
          <w:p w14:paraId="71ACA0BC" w14:textId="77777777" w:rsidR="00597FD8" w:rsidRPr="00922660" w:rsidRDefault="00597FD8" w:rsidP="009D7B80">
            <w:pPr>
              <w:ind w:left="0"/>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C</w:t>
            </w:r>
          </w:p>
        </w:tc>
        <w:tc>
          <w:tcPr>
            <w:tcW w:w="0" w:type="auto"/>
            <w:shd w:val="clear" w:color="auto" w:fill="auto"/>
            <w:vAlign w:val="center"/>
            <w:hideMark/>
          </w:tcPr>
          <w:p w14:paraId="069F32E1" w14:textId="77777777" w:rsidR="00597FD8" w:rsidRPr="00922660" w:rsidRDefault="00597FD8" w:rsidP="009D7B80">
            <w:pPr>
              <w:ind w:left="0"/>
              <w:jc w:val="center"/>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16</w:t>
            </w:r>
          </w:p>
        </w:tc>
        <w:tc>
          <w:tcPr>
            <w:tcW w:w="840" w:type="dxa"/>
            <w:shd w:val="clear" w:color="auto" w:fill="auto"/>
            <w:vAlign w:val="center"/>
            <w:hideMark/>
          </w:tcPr>
          <w:p w14:paraId="246F887A" w14:textId="77777777" w:rsidR="00597FD8" w:rsidRPr="00922660" w:rsidRDefault="00597FD8" w:rsidP="009D7B80">
            <w:pPr>
              <w:ind w:left="0"/>
              <w:jc w:val="center"/>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SSF</w:t>
            </w:r>
          </w:p>
        </w:tc>
        <w:tc>
          <w:tcPr>
            <w:tcW w:w="3711" w:type="dxa"/>
            <w:shd w:val="clear" w:color="auto" w:fill="auto"/>
            <w:vAlign w:val="center"/>
            <w:hideMark/>
          </w:tcPr>
          <w:p w14:paraId="65D386A3" w14:textId="77777777" w:rsidR="00597FD8" w:rsidRPr="00922660" w:rsidRDefault="00597FD8" w:rsidP="009D7B80">
            <w:pPr>
              <w:ind w:left="0"/>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INVERSION</w:t>
            </w:r>
          </w:p>
        </w:tc>
        <w:tc>
          <w:tcPr>
            <w:tcW w:w="2390" w:type="dxa"/>
            <w:shd w:val="clear" w:color="auto" w:fill="auto"/>
            <w:vAlign w:val="center"/>
            <w:hideMark/>
          </w:tcPr>
          <w:p w14:paraId="7EE0FEA4" w14:textId="77777777" w:rsidR="00597FD8" w:rsidRPr="00922660" w:rsidRDefault="00597FD8" w:rsidP="009D7B80">
            <w:pPr>
              <w:ind w:left="0"/>
              <w:jc w:val="right"/>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$ 11.200.000.000</w:t>
            </w:r>
          </w:p>
        </w:tc>
      </w:tr>
      <w:tr w:rsidR="00597FD8" w:rsidRPr="00922660" w14:paraId="0BA69587" w14:textId="77777777" w:rsidTr="00DD53D1">
        <w:trPr>
          <w:trHeight w:val="526"/>
          <w:jc w:val="center"/>
        </w:trPr>
        <w:tc>
          <w:tcPr>
            <w:tcW w:w="1413" w:type="dxa"/>
            <w:shd w:val="clear" w:color="auto" w:fill="auto"/>
            <w:vAlign w:val="center"/>
            <w:hideMark/>
          </w:tcPr>
          <w:p w14:paraId="48073D05" w14:textId="77777777" w:rsidR="00597FD8" w:rsidRPr="00922660" w:rsidRDefault="00597FD8" w:rsidP="009D7B80">
            <w:pPr>
              <w:ind w:left="0"/>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lastRenderedPageBreak/>
              <w:t>C-2106-1900-4</w:t>
            </w:r>
          </w:p>
        </w:tc>
        <w:tc>
          <w:tcPr>
            <w:tcW w:w="0" w:type="auto"/>
            <w:shd w:val="clear" w:color="auto" w:fill="auto"/>
            <w:vAlign w:val="center"/>
            <w:hideMark/>
          </w:tcPr>
          <w:p w14:paraId="58BCCE91" w14:textId="77777777" w:rsidR="00597FD8" w:rsidRPr="00922660" w:rsidRDefault="00597FD8" w:rsidP="009D7B80">
            <w:pPr>
              <w:ind w:left="0"/>
              <w:jc w:val="center"/>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16</w:t>
            </w:r>
          </w:p>
        </w:tc>
        <w:tc>
          <w:tcPr>
            <w:tcW w:w="840" w:type="dxa"/>
            <w:shd w:val="clear" w:color="auto" w:fill="auto"/>
            <w:vAlign w:val="center"/>
            <w:hideMark/>
          </w:tcPr>
          <w:p w14:paraId="5E4D8424" w14:textId="77777777" w:rsidR="00597FD8" w:rsidRPr="00922660" w:rsidRDefault="00597FD8" w:rsidP="009D7B80">
            <w:pPr>
              <w:ind w:left="0"/>
              <w:jc w:val="center"/>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SSF</w:t>
            </w:r>
          </w:p>
        </w:tc>
        <w:tc>
          <w:tcPr>
            <w:tcW w:w="3711" w:type="dxa"/>
            <w:shd w:val="clear" w:color="auto" w:fill="auto"/>
            <w:vAlign w:val="center"/>
            <w:hideMark/>
          </w:tcPr>
          <w:p w14:paraId="5ED32F65" w14:textId="77777777" w:rsidR="00597FD8" w:rsidRPr="00922660" w:rsidRDefault="00597FD8" w:rsidP="009D7B80">
            <w:pPr>
              <w:ind w:left="0"/>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DIVULGACIÓN DE LA REGULACIÓN A LA CIUDADANÍA A NIVEL NACIONAL</w:t>
            </w:r>
          </w:p>
        </w:tc>
        <w:tc>
          <w:tcPr>
            <w:tcW w:w="2390" w:type="dxa"/>
            <w:shd w:val="clear" w:color="auto" w:fill="auto"/>
            <w:vAlign w:val="center"/>
            <w:hideMark/>
          </w:tcPr>
          <w:p w14:paraId="66CE191F" w14:textId="77777777" w:rsidR="00597FD8" w:rsidRPr="00922660" w:rsidRDefault="00597FD8" w:rsidP="009D7B80">
            <w:pPr>
              <w:ind w:left="0"/>
              <w:jc w:val="right"/>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$ 290.000.000</w:t>
            </w:r>
          </w:p>
        </w:tc>
      </w:tr>
      <w:tr w:rsidR="00597FD8" w:rsidRPr="00922660" w14:paraId="7378E1B7" w14:textId="77777777" w:rsidTr="00DD53D1">
        <w:trPr>
          <w:trHeight w:val="1270"/>
          <w:jc w:val="center"/>
        </w:trPr>
        <w:tc>
          <w:tcPr>
            <w:tcW w:w="1413" w:type="dxa"/>
            <w:shd w:val="clear" w:color="auto" w:fill="auto"/>
            <w:vAlign w:val="center"/>
            <w:hideMark/>
          </w:tcPr>
          <w:p w14:paraId="10C318AA" w14:textId="77777777" w:rsidR="00597FD8" w:rsidRPr="00922660" w:rsidRDefault="00597FD8" w:rsidP="009D7B80">
            <w:pPr>
              <w:ind w:left="0"/>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C-2106-1900-6</w:t>
            </w:r>
          </w:p>
        </w:tc>
        <w:tc>
          <w:tcPr>
            <w:tcW w:w="0" w:type="auto"/>
            <w:shd w:val="clear" w:color="auto" w:fill="auto"/>
            <w:vAlign w:val="center"/>
            <w:hideMark/>
          </w:tcPr>
          <w:p w14:paraId="2795E336" w14:textId="77777777" w:rsidR="00597FD8" w:rsidRPr="00922660" w:rsidRDefault="00597FD8" w:rsidP="009D7B80">
            <w:pPr>
              <w:ind w:left="0"/>
              <w:jc w:val="center"/>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16</w:t>
            </w:r>
          </w:p>
        </w:tc>
        <w:tc>
          <w:tcPr>
            <w:tcW w:w="840" w:type="dxa"/>
            <w:shd w:val="clear" w:color="auto" w:fill="auto"/>
            <w:vAlign w:val="center"/>
            <w:hideMark/>
          </w:tcPr>
          <w:p w14:paraId="3C3A63F6" w14:textId="77777777" w:rsidR="00597FD8" w:rsidRPr="00922660" w:rsidRDefault="00597FD8" w:rsidP="009D7B80">
            <w:pPr>
              <w:ind w:left="0"/>
              <w:jc w:val="center"/>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SSF</w:t>
            </w:r>
          </w:p>
        </w:tc>
        <w:tc>
          <w:tcPr>
            <w:tcW w:w="3711" w:type="dxa"/>
            <w:shd w:val="clear" w:color="auto" w:fill="auto"/>
            <w:vAlign w:val="center"/>
            <w:hideMark/>
          </w:tcPr>
          <w:p w14:paraId="2719A9F0" w14:textId="77777777" w:rsidR="00597FD8" w:rsidRPr="00922660" w:rsidRDefault="00597FD8" w:rsidP="009D7B80">
            <w:pPr>
              <w:ind w:left="0"/>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ESTUDIOS Y ANÁLISIS PARA LA ADOPCIÓN DE MEDIDAS REGULATORIAS REQUERIDAS POR LOS SECTORES DE ENERGÍA ELÉCTRICA, GAS COMBUSTIBLE Y COMBUSTIBLES LÍQUIDOS A NIVEL NACIONAL</w:t>
            </w:r>
          </w:p>
        </w:tc>
        <w:tc>
          <w:tcPr>
            <w:tcW w:w="2390" w:type="dxa"/>
            <w:shd w:val="clear" w:color="auto" w:fill="auto"/>
            <w:vAlign w:val="center"/>
            <w:hideMark/>
          </w:tcPr>
          <w:p w14:paraId="1E99204D" w14:textId="77777777" w:rsidR="00597FD8" w:rsidRPr="00922660" w:rsidRDefault="00597FD8" w:rsidP="009D7B80">
            <w:pPr>
              <w:ind w:left="0"/>
              <w:jc w:val="right"/>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$ 7.700.000.000</w:t>
            </w:r>
          </w:p>
        </w:tc>
      </w:tr>
      <w:tr w:rsidR="00597FD8" w:rsidRPr="00922660" w14:paraId="48D908DA" w14:textId="77777777" w:rsidTr="00DD53D1">
        <w:trPr>
          <w:trHeight w:val="707"/>
          <w:jc w:val="center"/>
        </w:trPr>
        <w:tc>
          <w:tcPr>
            <w:tcW w:w="1413" w:type="dxa"/>
            <w:shd w:val="clear" w:color="auto" w:fill="auto"/>
            <w:vAlign w:val="center"/>
            <w:hideMark/>
          </w:tcPr>
          <w:p w14:paraId="7F782F13" w14:textId="77777777" w:rsidR="00597FD8" w:rsidRPr="00922660" w:rsidRDefault="00597FD8" w:rsidP="009D7B80">
            <w:pPr>
              <w:ind w:left="0"/>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C-2199-1900-3</w:t>
            </w:r>
          </w:p>
        </w:tc>
        <w:tc>
          <w:tcPr>
            <w:tcW w:w="0" w:type="auto"/>
            <w:shd w:val="clear" w:color="auto" w:fill="auto"/>
            <w:vAlign w:val="center"/>
            <w:hideMark/>
          </w:tcPr>
          <w:p w14:paraId="40B2E703" w14:textId="77777777" w:rsidR="00597FD8" w:rsidRPr="00922660" w:rsidRDefault="00597FD8" w:rsidP="009D7B80">
            <w:pPr>
              <w:ind w:left="0"/>
              <w:jc w:val="center"/>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16</w:t>
            </w:r>
          </w:p>
        </w:tc>
        <w:tc>
          <w:tcPr>
            <w:tcW w:w="840" w:type="dxa"/>
            <w:shd w:val="clear" w:color="auto" w:fill="auto"/>
            <w:vAlign w:val="center"/>
            <w:hideMark/>
          </w:tcPr>
          <w:p w14:paraId="2A55225A" w14:textId="77777777" w:rsidR="00597FD8" w:rsidRPr="00922660" w:rsidRDefault="00597FD8" w:rsidP="009D7B80">
            <w:pPr>
              <w:ind w:left="0"/>
              <w:jc w:val="center"/>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SSF</w:t>
            </w:r>
          </w:p>
        </w:tc>
        <w:tc>
          <w:tcPr>
            <w:tcW w:w="3711" w:type="dxa"/>
            <w:shd w:val="clear" w:color="auto" w:fill="auto"/>
            <w:vAlign w:val="center"/>
            <w:hideMark/>
          </w:tcPr>
          <w:p w14:paraId="1F139C62" w14:textId="77777777" w:rsidR="00597FD8" w:rsidRPr="00922660" w:rsidRDefault="00597FD8" w:rsidP="009D7B80">
            <w:pPr>
              <w:ind w:left="0"/>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FORTALECIMIENTO INSTITUCIONAL A PARTIR DEL APRENDIZAJE ORGANIZACIONAL A NIVEL NACIONAL</w:t>
            </w:r>
          </w:p>
        </w:tc>
        <w:tc>
          <w:tcPr>
            <w:tcW w:w="2390" w:type="dxa"/>
            <w:shd w:val="clear" w:color="auto" w:fill="auto"/>
            <w:vAlign w:val="center"/>
            <w:hideMark/>
          </w:tcPr>
          <w:p w14:paraId="4E630C3B" w14:textId="77777777" w:rsidR="00597FD8" w:rsidRPr="00922660" w:rsidRDefault="00597FD8" w:rsidP="009D7B80">
            <w:pPr>
              <w:ind w:left="0"/>
              <w:jc w:val="right"/>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$ 310.000.000</w:t>
            </w:r>
          </w:p>
        </w:tc>
      </w:tr>
      <w:tr w:rsidR="00597FD8" w:rsidRPr="00922660" w14:paraId="7363EAF7" w14:textId="77777777" w:rsidTr="00DD53D1">
        <w:trPr>
          <w:trHeight w:val="534"/>
          <w:jc w:val="center"/>
        </w:trPr>
        <w:tc>
          <w:tcPr>
            <w:tcW w:w="1413" w:type="dxa"/>
            <w:shd w:val="clear" w:color="auto" w:fill="auto"/>
            <w:vAlign w:val="center"/>
            <w:hideMark/>
          </w:tcPr>
          <w:p w14:paraId="49356FBB" w14:textId="77777777" w:rsidR="00597FD8" w:rsidRPr="00922660" w:rsidRDefault="00597FD8" w:rsidP="009D7B80">
            <w:pPr>
              <w:ind w:left="0"/>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C-2199-1900-4</w:t>
            </w:r>
          </w:p>
        </w:tc>
        <w:tc>
          <w:tcPr>
            <w:tcW w:w="0" w:type="auto"/>
            <w:shd w:val="clear" w:color="auto" w:fill="auto"/>
            <w:vAlign w:val="center"/>
            <w:hideMark/>
          </w:tcPr>
          <w:p w14:paraId="220C3F4A" w14:textId="77777777" w:rsidR="00597FD8" w:rsidRPr="00922660" w:rsidRDefault="00597FD8" w:rsidP="009D7B80">
            <w:pPr>
              <w:ind w:left="0"/>
              <w:jc w:val="center"/>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16</w:t>
            </w:r>
          </w:p>
        </w:tc>
        <w:tc>
          <w:tcPr>
            <w:tcW w:w="840" w:type="dxa"/>
            <w:shd w:val="clear" w:color="auto" w:fill="auto"/>
            <w:vAlign w:val="center"/>
            <w:hideMark/>
          </w:tcPr>
          <w:p w14:paraId="4AE4B201" w14:textId="77777777" w:rsidR="00597FD8" w:rsidRPr="00922660" w:rsidRDefault="00597FD8" w:rsidP="009D7B80">
            <w:pPr>
              <w:ind w:left="0"/>
              <w:jc w:val="center"/>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SSF</w:t>
            </w:r>
          </w:p>
        </w:tc>
        <w:tc>
          <w:tcPr>
            <w:tcW w:w="3711" w:type="dxa"/>
            <w:shd w:val="clear" w:color="auto" w:fill="auto"/>
            <w:vAlign w:val="center"/>
            <w:hideMark/>
          </w:tcPr>
          <w:p w14:paraId="428DAC13" w14:textId="77777777" w:rsidR="00597FD8" w:rsidRPr="00922660" w:rsidRDefault="00597FD8" w:rsidP="009D7B80">
            <w:pPr>
              <w:ind w:left="0"/>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 xml:space="preserve">MEJORAMIENTO Y MODERNIZACIÓN DE LAS TICS DE LA CREG A NIVEL NACIONAL </w:t>
            </w:r>
          </w:p>
        </w:tc>
        <w:tc>
          <w:tcPr>
            <w:tcW w:w="2390" w:type="dxa"/>
            <w:shd w:val="clear" w:color="auto" w:fill="auto"/>
            <w:vAlign w:val="center"/>
            <w:hideMark/>
          </w:tcPr>
          <w:p w14:paraId="500F3B54" w14:textId="77777777" w:rsidR="00597FD8" w:rsidRPr="00922660" w:rsidRDefault="00597FD8" w:rsidP="009D7B80">
            <w:pPr>
              <w:ind w:left="0"/>
              <w:jc w:val="right"/>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$ 2.900.000.000</w:t>
            </w:r>
          </w:p>
        </w:tc>
      </w:tr>
      <w:tr w:rsidR="00597FD8" w:rsidRPr="00922660" w14:paraId="16441514" w14:textId="77777777" w:rsidTr="00DD53D1">
        <w:trPr>
          <w:trHeight w:val="442"/>
          <w:jc w:val="center"/>
        </w:trPr>
        <w:tc>
          <w:tcPr>
            <w:tcW w:w="2922" w:type="dxa"/>
            <w:gridSpan w:val="3"/>
            <w:shd w:val="clear" w:color="auto" w:fill="auto"/>
            <w:vAlign w:val="center"/>
            <w:hideMark/>
          </w:tcPr>
          <w:p w14:paraId="5B3A03AF" w14:textId="77777777" w:rsidR="00597FD8" w:rsidRPr="00922660" w:rsidRDefault="00597FD8" w:rsidP="009D7B80">
            <w:pPr>
              <w:ind w:left="0"/>
              <w:jc w:val="center"/>
              <w:rPr>
                <w:rFonts w:ascii="Bookman Old Style" w:hAnsi="Bookman Old Style"/>
                <w:b/>
                <w:bCs/>
                <w:color w:val="000000"/>
                <w:sz w:val="16"/>
                <w:szCs w:val="16"/>
                <w:lang w:val="es-CO" w:eastAsia="es-CO"/>
              </w:rPr>
            </w:pPr>
          </w:p>
        </w:tc>
        <w:tc>
          <w:tcPr>
            <w:tcW w:w="3711" w:type="dxa"/>
            <w:shd w:val="clear" w:color="auto" w:fill="auto"/>
            <w:vAlign w:val="center"/>
            <w:hideMark/>
          </w:tcPr>
          <w:p w14:paraId="5BAC3773" w14:textId="77777777" w:rsidR="00597FD8" w:rsidRPr="00922660" w:rsidRDefault="00597FD8" w:rsidP="00597FD8">
            <w:pPr>
              <w:pStyle w:val="Prrafodelista"/>
              <w:numPr>
                <w:ilvl w:val="0"/>
                <w:numId w:val="34"/>
              </w:numPr>
              <w:rPr>
                <w:rFonts w:ascii="Bookman Old Style" w:hAnsi="Bookman Old Style"/>
                <w:b/>
                <w:bCs/>
                <w:color w:val="000000"/>
                <w:sz w:val="16"/>
                <w:szCs w:val="16"/>
                <w:lang w:eastAsia="es-CO"/>
              </w:rPr>
            </w:pPr>
            <w:r w:rsidRPr="00922660">
              <w:rPr>
                <w:rFonts w:ascii="Bookman Old Style" w:hAnsi="Bookman Old Style"/>
                <w:b/>
                <w:bCs/>
                <w:color w:val="000000"/>
                <w:sz w:val="16"/>
                <w:szCs w:val="16"/>
                <w:lang w:eastAsia="es-CO"/>
              </w:rPr>
              <w:t>TOTAL, PRESUPUESTO VIGENTE 2023</w:t>
            </w:r>
          </w:p>
        </w:tc>
        <w:tc>
          <w:tcPr>
            <w:tcW w:w="2390" w:type="dxa"/>
            <w:shd w:val="clear" w:color="auto" w:fill="auto"/>
            <w:vAlign w:val="center"/>
            <w:hideMark/>
          </w:tcPr>
          <w:p w14:paraId="78D81FAC" w14:textId="77777777" w:rsidR="00597FD8" w:rsidRPr="00922660" w:rsidRDefault="00597FD8" w:rsidP="009D7B80">
            <w:pPr>
              <w:ind w:left="0"/>
              <w:jc w:val="right"/>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$40.194.783.004</w:t>
            </w:r>
          </w:p>
        </w:tc>
      </w:tr>
      <w:tr w:rsidR="00597FD8" w:rsidRPr="00922660" w14:paraId="457F54D1" w14:textId="77777777" w:rsidTr="00095D93">
        <w:trPr>
          <w:trHeight w:val="20"/>
          <w:jc w:val="center"/>
        </w:trPr>
        <w:tc>
          <w:tcPr>
            <w:tcW w:w="1413" w:type="dxa"/>
            <w:shd w:val="clear" w:color="auto" w:fill="auto"/>
            <w:vAlign w:val="center"/>
            <w:hideMark/>
          </w:tcPr>
          <w:p w14:paraId="4CE96307" w14:textId="77777777" w:rsidR="00597FD8" w:rsidRPr="00922660" w:rsidRDefault="00597FD8" w:rsidP="009D7B80">
            <w:pPr>
              <w:ind w:left="0"/>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A-03-03-04-063</w:t>
            </w:r>
          </w:p>
        </w:tc>
        <w:tc>
          <w:tcPr>
            <w:tcW w:w="0" w:type="auto"/>
            <w:shd w:val="clear" w:color="auto" w:fill="auto"/>
            <w:vAlign w:val="center"/>
            <w:hideMark/>
          </w:tcPr>
          <w:p w14:paraId="3088D750" w14:textId="77777777" w:rsidR="00597FD8" w:rsidRPr="00922660" w:rsidRDefault="00597FD8" w:rsidP="009D7B80">
            <w:pPr>
              <w:ind w:left="0"/>
              <w:jc w:val="center"/>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16</w:t>
            </w:r>
          </w:p>
        </w:tc>
        <w:tc>
          <w:tcPr>
            <w:tcW w:w="840" w:type="dxa"/>
            <w:shd w:val="clear" w:color="auto" w:fill="auto"/>
            <w:vAlign w:val="center"/>
            <w:hideMark/>
          </w:tcPr>
          <w:p w14:paraId="0CB8F4C1" w14:textId="77777777" w:rsidR="00597FD8" w:rsidRPr="00922660" w:rsidRDefault="00597FD8" w:rsidP="009D7B80">
            <w:pPr>
              <w:ind w:left="0"/>
              <w:jc w:val="center"/>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SSF</w:t>
            </w:r>
          </w:p>
        </w:tc>
        <w:tc>
          <w:tcPr>
            <w:tcW w:w="3711" w:type="dxa"/>
            <w:shd w:val="clear" w:color="auto" w:fill="auto"/>
            <w:vAlign w:val="center"/>
            <w:hideMark/>
          </w:tcPr>
          <w:p w14:paraId="2E9237AD" w14:textId="77777777" w:rsidR="00597FD8" w:rsidRPr="00922660" w:rsidRDefault="00597FD8" w:rsidP="009D7B80">
            <w:pPr>
              <w:ind w:left="0"/>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FONDO EMPRESARIAL - LEY 812 DE 2003</w:t>
            </w:r>
          </w:p>
        </w:tc>
        <w:tc>
          <w:tcPr>
            <w:tcW w:w="2390" w:type="dxa"/>
            <w:shd w:val="clear" w:color="auto" w:fill="auto"/>
            <w:vAlign w:val="center"/>
            <w:hideMark/>
          </w:tcPr>
          <w:p w14:paraId="3A6EBE17" w14:textId="77777777" w:rsidR="00597FD8" w:rsidRPr="00922660" w:rsidRDefault="00597FD8" w:rsidP="009D7B80">
            <w:pPr>
              <w:ind w:left="0"/>
              <w:jc w:val="right"/>
              <w:rPr>
                <w:rFonts w:ascii="Bookman Old Style" w:hAnsi="Bookman Old Style"/>
                <w:color w:val="000000"/>
                <w:sz w:val="16"/>
                <w:szCs w:val="16"/>
                <w:lang w:val="es-CO" w:eastAsia="es-CO"/>
              </w:rPr>
            </w:pPr>
            <w:r w:rsidRPr="00922660">
              <w:rPr>
                <w:rFonts w:ascii="Bookman Old Style" w:hAnsi="Bookman Old Style"/>
                <w:color w:val="000000"/>
                <w:sz w:val="16"/>
                <w:szCs w:val="16"/>
                <w:lang w:val="es-CO" w:eastAsia="es-CO"/>
              </w:rPr>
              <w:t>$ 2.444.416.949</w:t>
            </w:r>
          </w:p>
        </w:tc>
      </w:tr>
      <w:tr w:rsidR="00597FD8" w:rsidRPr="00922660" w14:paraId="0E95F970" w14:textId="77777777" w:rsidTr="00DD53D1">
        <w:trPr>
          <w:trHeight w:val="354"/>
          <w:jc w:val="center"/>
        </w:trPr>
        <w:tc>
          <w:tcPr>
            <w:tcW w:w="2922" w:type="dxa"/>
            <w:gridSpan w:val="3"/>
            <w:shd w:val="clear" w:color="auto" w:fill="auto"/>
            <w:vAlign w:val="center"/>
            <w:hideMark/>
          </w:tcPr>
          <w:p w14:paraId="40E5B54F" w14:textId="77777777" w:rsidR="00597FD8" w:rsidRPr="00922660" w:rsidRDefault="00597FD8" w:rsidP="009D7B80">
            <w:pPr>
              <w:ind w:left="0"/>
              <w:jc w:val="center"/>
              <w:rPr>
                <w:rFonts w:ascii="Bookman Old Style" w:hAnsi="Bookman Old Style"/>
                <w:b/>
                <w:bCs/>
                <w:color w:val="000000"/>
                <w:sz w:val="16"/>
                <w:szCs w:val="16"/>
                <w:lang w:val="es-CO" w:eastAsia="es-CO"/>
              </w:rPr>
            </w:pPr>
          </w:p>
        </w:tc>
        <w:tc>
          <w:tcPr>
            <w:tcW w:w="3711" w:type="dxa"/>
            <w:shd w:val="clear" w:color="auto" w:fill="auto"/>
            <w:vAlign w:val="center"/>
            <w:hideMark/>
          </w:tcPr>
          <w:p w14:paraId="47697A4E" w14:textId="77777777" w:rsidR="00597FD8" w:rsidRPr="00922660" w:rsidRDefault="00597FD8" w:rsidP="00597FD8">
            <w:pPr>
              <w:pStyle w:val="Prrafodelista"/>
              <w:numPr>
                <w:ilvl w:val="0"/>
                <w:numId w:val="34"/>
              </w:numPr>
              <w:rPr>
                <w:rFonts w:ascii="Bookman Old Style" w:hAnsi="Bookman Old Style"/>
                <w:b/>
                <w:bCs/>
                <w:color w:val="000000"/>
                <w:sz w:val="16"/>
                <w:szCs w:val="16"/>
                <w:lang w:eastAsia="es-CO"/>
              </w:rPr>
            </w:pPr>
            <w:r w:rsidRPr="00922660">
              <w:rPr>
                <w:rFonts w:ascii="Bookman Old Style" w:hAnsi="Bookman Old Style"/>
                <w:b/>
                <w:bCs/>
                <w:color w:val="000000"/>
                <w:sz w:val="16"/>
                <w:szCs w:val="16"/>
                <w:lang w:eastAsia="es-CO"/>
              </w:rPr>
              <w:t>TOTAL, FONDO EMPRESARIAL</w:t>
            </w:r>
          </w:p>
        </w:tc>
        <w:tc>
          <w:tcPr>
            <w:tcW w:w="2390" w:type="dxa"/>
            <w:shd w:val="clear" w:color="auto" w:fill="auto"/>
            <w:vAlign w:val="center"/>
            <w:hideMark/>
          </w:tcPr>
          <w:p w14:paraId="3485DDAD" w14:textId="77777777" w:rsidR="00597FD8" w:rsidRPr="00922660" w:rsidRDefault="00597FD8" w:rsidP="009D7B80">
            <w:pPr>
              <w:ind w:left="0"/>
              <w:jc w:val="right"/>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$2.444.416.949</w:t>
            </w:r>
          </w:p>
        </w:tc>
      </w:tr>
      <w:tr w:rsidR="00597FD8" w:rsidRPr="00922660" w14:paraId="068D10CC" w14:textId="77777777" w:rsidTr="00DD53D1">
        <w:trPr>
          <w:trHeight w:val="480"/>
          <w:jc w:val="center"/>
        </w:trPr>
        <w:tc>
          <w:tcPr>
            <w:tcW w:w="2922" w:type="dxa"/>
            <w:gridSpan w:val="3"/>
            <w:shd w:val="clear" w:color="auto" w:fill="auto"/>
            <w:noWrap/>
            <w:vAlign w:val="bottom"/>
            <w:hideMark/>
          </w:tcPr>
          <w:p w14:paraId="2A8EEB05" w14:textId="77777777" w:rsidR="00597FD8" w:rsidRPr="00922660" w:rsidRDefault="00597FD8" w:rsidP="009D7B80">
            <w:pPr>
              <w:ind w:left="0"/>
              <w:jc w:val="center"/>
              <w:rPr>
                <w:rFonts w:ascii="Bookman Old Style" w:hAnsi="Bookman Old Style"/>
                <w:b/>
                <w:bCs/>
                <w:color w:val="000000"/>
                <w:sz w:val="16"/>
                <w:szCs w:val="16"/>
                <w:lang w:val="es-CO" w:eastAsia="es-CO"/>
              </w:rPr>
            </w:pPr>
          </w:p>
        </w:tc>
        <w:tc>
          <w:tcPr>
            <w:tcW w:w="3711" w:type="dxa"/>
            <w:shd w:val="clear" w:color="auto" w:fill="auto"/>
            <w:vAlign w:val="center"/>
            <w:hideMark/>
          </w:tcPr>
          <w:p w14:paraId="47DAF489" w14:textId="77777777" w:rsidR="00597FD8" w:rsidRPr="00922660" w:rsidRDefault="00597FD8" w:rsidP="009D7B80">
            <w:pPr>
              <w:ind w:left="0"/>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 xml:space="preserve">      3=1-2    NETO A RECAUDAR CON LA</w:t>
            </w:r>
            <w:r w:rsidRPr="00922660">
              <w:rPr>
                <w:rFonts w:ascii="Bookman Old Style" w:hAnsi="Bookman Old Style"/>
                <w:b/>
                <w:bCs/>
                <w:color w:val="000000"/>
                <w:sz w:val="16"/>
                <w:szCs w:val="16"/>
                <w:lang w:val="es-CO" w:eastAsia="es-CO"/>
              </w:rPr>
              <w:br/>
              <w:t xml:space="preserve">                      CONTRIBCION ESPECIAL</w:t>
            </w:r>
          </w:p>
        </w:tc>
        <w:tc>
          <w:tcPr>
            <w:tcW w:w="2390" w:type="dxa"/>
            <w:shd w:val="clear" w:color="auto" w:fill="auto"/>
            <w:vAlign w:val="center"/>
            <w:hideMark/>
          </w:tcPr>
          <w:p w14:paraId="35E3FDD1" w14:textId="77777777" w:rsidR="00597FD8" w:rsidRPr="00922660" w:rsidRDefault="00597FD8" w:rsidP="009D7B80">
            <w:pPr>
              <w:ind w:left="0"/>
              <w:jc w:val="right"/>
              <w:rPr>
                <w:rFonts w:ascii="Bookman Old Style" w:hAnsi="Bookman Old Style"/>
                <w:b/>
                <w:bCs/>
                <w:color w:val="000000"/>
                <w:sz w:val="16"/>
                <w:szCs w:val="16"/>
                <w:lang w:val="es-CO" w:eastAsia="es-CO"/>
              </w:rPr>
            </w:pPr>
            <w:r w:rsidRPr="00922660">
              <w:rPr>
                <w:rFonts w:ascii="Bookman Old Style" w:hAnsi="Bookman Old Style"/>
                <w:b/>
                <w:bCs/>
                <w:color w:val="000000"/>
                <w:sz w:val="16"/>
                <w:szCs w:val="16"/>
                <w:lang w:val="es-CO" w:eastAsia="es-CO"/>
              </w:rPr>
              <w:t>$37.750.366.055</w:t>
            </w:r>
          </w:p>
        </w:tc>
      </w:tr>
    </w:tbl>
    <w:p w14:paraId="787DBC5C" w14:textId="77777777" w:rsidR="00681F79" w:rsidRPr="0024494C" w:rsidRDefault="00681F79" w:rsidP="000E5253">
      <w:pPr>
        <w:ind w:left="0"/>
        <w:jc w:val="both"/>
        <w:rPr>
          <w:rFonts w:ascii="Bookman Old Style" w:hAnsi="Bookman Old Style" w:cs="Arial"/>
        </w:rPr>
      </w:pPr>
    </w:p>
    <w:p w14:paraId="543838DE" w14:textId="0908B805" w:rsidR="006C4E7E" w:rsidRPr="0024494C" w:rsidRDefault="00341236" w:rsidP="000E5253">
      <w:pPr>
        <w:ind w:left="0"/>
        <w:jc w:val="both"/>
        <w:rPr>
          <w:rFonts w:ascii="Bookman Old Style" w:hAnsi="Bookman Old Style" w:cs="Arial"/>
        </w:rPr>
      </w:pPr>
      <w:r w:rsidRPr="0024494C">
        <w:rPr>
          <w:rFonts w:ascii="Bookman Old Style" w:hAnsi="Bookman Old Style" w:cs="Arial"/>
        </w:rPr>
        <w:t xml:space="preserve">Formarán parte de la base gravable de liquidación de la contribución especial </w:t>
      </w:r>
      <w:r w:rsidR="00EF6E18" w:rsidRPr="0024494C">
        <w:rPr>
          <w:rFonts w:ascii="Bookman Old Style" w:hAnsi="Bookman Old Style" w:cs="Arial"/>
        </w:rPr>
        <w:t>2023</w:t>
      </w:r>
      <w:r w:rsidRPr="0024494C">
        <w:rPr>
          <w:rFonts w:ascii="Bookman Old Style" w:hAnsi="Bookman Old Style" w:cs="Arial"/>
        </w:rPr>
        <w:t>, la sumatoria de los valores certificados al SUI, por los prestadores en el Formato Complementario [900017] FC01-01 a FC01-07 “</w:t>
      </w:r>
      <w:r w:rsidRPr="0024494C">
        <w:rPr>
          <w:rFonts w:ascii="Bookman Old Style" w:hAnsi="Bookman Old Style" w:cs="Arial"/>
          <w:i/>
          <w:iCs/>
        </w:rPr>
        <w:t>Gastos de Servicios Públicos</w:t>
      </w:r>
      <w:r w:rsidRPr="0024494C">
        <w:rPr>
          <w:rFonts w:ascii="Bookman Old Style" w:hAnsi="Bookman Old Style" w:cs="Arial"/>
        </w:rPr>
        <w:t>”, en la columna gastos administrativos a 31 de diciembre de 202</w:t>
      </w:r>
      <w:r w:rsidR="00E704AA" w:rsidRPr="0024494C">
        <w:rPr>
          <w:rFonts w:ascii="Bookman Old Style" w:hAnsi="Bookman Old Style" w:cs="Arial"/>
        </w:rPr>
        <w:t>2</w:t>
      </w:r>
      <w:r w:rsidRPr="0024494C">
        <w:rPr>
          <w:rFonts w:ascii="Bookman Old Style" w:hAnsi="Bookman Old Style" w:cs="Arial"/>
        </w:rPr>
        <w:t>, Concepto Total Gastos para cada servicio público objeto del servicio de</w:t>
      </w:r>
      <w:r w:rsidR="00057323" w:rsidRPr="0024494C">
        <w:rPr>
          <w:rFonts w:ascii="Bookman Old Style" w:hAnsi="Bookman Old Style" w:cs="Arial"/>
        </w:rPr>
        <w:t>l ámbito de</w:t>
      </w:r>
      <w:r w:rsidRPr="0024494C">
        <w:rPr>
          <w:rFonts w:ascii="Bookman Old Style" w:hAnsi="Bookman Old Style" w:cs="Arial"/>
        </w:rPr>
        <w:t xml:space="preserve"> regulación de la </w:t>
      </w:r>
      <w:r w:rsidR="004F0F3C" w:rsidRPr="0024494C">
        <w:rPr>
          <w:rFonts w:ascii="Bookman Old Style" w:hAnsi="Bookman Old Style"/>
        </w:rPr>
        <w:t>Comisión de Regulación de Energía y Gas – CREG</w:t>
      </w:r>
      <w:r w:rsidRPr="0024494C">
        <w:rPr>
          <w:rFonts w:ascii="Bookman Old Style" w:hAnsi="Bookman Old Style" w:cs="Arial"/>
        </w:rPr>
        <w:t xml:space="preserve">, tomando como corte el </w:t>
      </w:r>
      <w:r w:rsidR="00057323" w:rsidRPr="0024494C">
        <w:rPr>
          <w:rFonts w:ascii="Bookman Old Style" w:hAnsi="Bookman Old Style" w:cs="Arial"/>
        </w:rPr>
        <w:t>12 de julio de 2023</w:t>
      </w:r>
      <w:r w:rsidR="00B051D9" w:rsidRPr="0024494C">
        <w:rPr>
          <w:rFonts w:ascii="Bookman Old Style" w:hAnsi="Bookman Old Style" w:cs="Arial"/>
        </w:rPr>
        <w:t>, de la información reportada a la Super</w:t>
      </w:r>
      <w:r w:rsidR="008B6197" w:rsidRPr="0024494C">
        <w:rPr>
          <w:rFonts w:ascii="Bookman Old Style" w:hAnsi="Bookman Old Style" w:cs="Arial"/>
        </w:rPr>
        <w:t>i</w:t>
      </w:r>
      <w:r w:rsidR="00B051D9" w:rsidRPr="0024494C">
        <w:rPr>
          <w:rFonts w:ascii="Bookman Old Style" w:hAnsi="Bookman Old Style" w:cs="Arial"/>
        </w:rPr>
        <w:t>ntendencia de Servicios Públicos</w:t>
      </w:r>
      <w:r w:rsidR="006C4E7E" w:rsidRPr="0024494C">
        <w:rPr>
          <w:rFonts w:ascii="Bookman Old Style" w:hAnsi="Bookman Old Style" w:cs="Arial"/>
        </w:rPr>
        <w:t>.</w:t>
      </w:r>
    </w:p>
    <w:p w14:paraId="5667B731" w14:textId="3F1B5FE2" w:rsidR="006C4E7E" w:rsidRDefault="00315BE5" w:rsidP="000E5253">
      <w:pPr>
        <w:ind w:left="0"/>
        <w:jc w:val="both"/>
        <w:rPr>
          <w:rFonts w:ascii="Bookman Old Style" w:hAnsi="Bookman Old Style" w:cs="Arial"/>
        </w:rPr>
      </w:pPr>
      <w:r w:rsidRPr="0024494C">
        <w:rPr>
          <w:rFonts w:ascii="Bookman Old Style" w:hAnsi="Bookman Old Style" w:cs="Arial"/>
        </w:rPr>
        <w:t>N</w:t>
      </w:r>
      <w:r w:rsidR="00057323" w:rsidRPr="0024494C">
        <w:rPr>
          <w:rFonts w:ascii="Bookman Old Style" w:hAnsi="Bookman Old Style" w:cs="Arial"/>
        </w:rPr>
        <w:t>o formarán parte de la base gravable de la contribución especial 2023 los siguientes conceptos incluidos en el Formato Complementario [900017] FC01-01 a FC01-07 “</w:t>
      </w:r>
      <w:r w:rsidR="00057323" w:rsidRPr="0024494C">
        <w:rPr>
          <w:rFonts w:ascii="Bookman Old Style" w:hAnsi="Bookman Old Style" w:cs="Arial"/>
          <w:i/>
          <w:iCs/>
        </w:rPr>
        <w:t>Gastos de Servicios Públicos</w:t>
      </w:r>
      <w:r w:rsidR="00057323" w:rsidRPr="0024494C">
        <w:rPr>
          <w:rFonts w:ascii="Bookman Old Style" w:hAnsi="Bookman Old Style" w:cs="Arial"/>
        </w:rPr>
        <w:t>”</w:t>
      </w:r>
      <w:r w:rsidRPr="0024494C">
        <w:rPr>
          <w:rFonts w:ascii="Bookman Old Style" w:hAnsi="Bookman Old Style" w:cs="Arial"/>
        </w:rPr>
        <w:t>, de la información financiera 2022</w:t>
      </w:r>
      <w:r w:rsidR="00460EEB" w:rsidRPr="0024494C">
        <w:rPr>
          <w:rFonts w:ascii="Bookman Old Style" w:hAnsi="Bookman Old Style" w:cs="Arial"/>
        </w:rPr>
        <w:t xml:space="preserve"> reportada por los regulados </w:t>
      </w:r>
      <w:r w:rsidRPr="0024494C">
        <w:rPr>
          <w:rFonts w:ascii="Bookman Old Style" w:hAnsi="Bookman Old Style" w:cs="Arial"/>
        </w:rPr>
        <w:t>en el SUI</w:t>
      </w:r>
      <w:r w:rsidR="001F1FCE">
        <w:rPr>
          <w:rFonts w:ascii="Bookman Old Style" w:hAnsi="Bookman Old Style" w:cs="Arial"/>
        </w:rPr>
        <w:t xml:space="preserve"> </w:t>
      </w:r>
      <w:r w:rsidR="002800C0">
        <w:rPr>
          <w:rFonts w:ascii="Bookman Old Style" w:hAnsi="Bookman Old Style" w:cs="Arial"/>
        </w:rPr>
        <w:t>de la</w:t>
      </w:r>
      <w:r w:rsidR="001F1FCE" w:rsidRPr="001F1FCE">
        <w:rPr>
          <w:rFonts w:ascii="Bookman Old Style" w:hAnsi="Bookman Old Style" w:cs="Arial"/>
        </w:rPr>
        <w:t xml:space="preserve"> </w:t>
      </w:r>
      <w:r w:rsidR="001F1FCE" w:rsidRPr="0024494C">
        <w:rPr>
          <w:rFonts w:ascii="Bookman Old Style" w:hAnsi="Bookman Old Style" w:cs="Arial"/>
        </w:rPr>
        <w:t>Superintendencia Servicios Públicos Domiciliarios</w:t>
      </w:r>
      <w:r w:rsidRPr="0024494C">
        <w:rPr>
          <w:rFonts w:ascii="Bookman Old Style" w:hAnsi="Bookman Old Style" w:cs="Arial"/>
        </w:rPr>
        <w:t>.</w:t>
      </w:r>
    </w:p>
    <w:p w14:paraId="76E359DE" w14:textId="77777777" w:rsidR="00285D5B" w:rsidRPr="0024494C" w:rsidRDefault="00285D5B" w:rsidP="000E5253">
      <w:pPr>
        <w:ind w:left="0"/>
        <w:jc w:val="both"/>
        <w:rPr>
          <w:rFonts w:ascii="Bookman Old Style" w:hAnsi="Bookman Old Style" w:cs="Arial"/>
        </w:rPr>
      </w:pPr>
    </w:p>
    <w:p w14:paraId="37EA0E97" w14:textId="2F45939B" w:rsidR="00057323" w:rsidRPr="00F171AE" w:rsidRDefault="00FD0DF7" w:rsidP="00FD0DF7">
      <w:pPr>
        <w:pStyle w:val="Descripcin"/>
        <w:keepNext/>
        <w:rPr>
          <w:rFonts w:ascii="Bookman Old Style" w:hAnsi="Bookman Old Style" w:cs="Arial"/>
          <w:color w:val="000000" w:themeColor="text1"/>
          <w:sz w:val="16"/>
          <w:szCs w:val="16"/>
        </w:rPr>
      </w:pPr>
      <w:r w:rsidRPr="00F171AE">
        <w:rPr>
          <w:rFonts w:ascii="Bookman Old Style" w:hAnsi="Bookman Old Style"/>
          <w:color w:val="000000" w:themeColor="text1"/>
          <w:sz w:val="16"/>
          <w:szCs w:val="16"/>
        </w:rPr>
        <w:t>Tabla 4 Relación de rubros exentos de gastos de funcionamiento</w:t>
      </w:r>
    </w:p>
    <w:tbl>
      <w:tblPr>
        <w:tblStyle w:val="Tablaconcuadrcula"/>
        <w:tblW w:w="0" w:type="auto"/>
        <w:jc w:val="center"/>
        <w:tblLook w:val="04A0" w:firstRow="1" w:lastRow="0" w:firstColumn="1" w:lastColumn="0" w:noHBand="0" w:noVBand="1"/>
      </w:tblPr>
      <w:tblGrid>
        <w:gridCol w:w="7801"/>
      </w:tblGrid>
      <w:tr w:rsidR="00FD75EC" w:rsidRPr="0012627C" w14:paraId="61433E05" w14:textId="77777777" w:rsidTr="0012627C">
        <w:trPr>
          <w:trHeight w:val="621"/>
          <w:jc w:val="center"/>
        </w:trPr>
        <w:tc>
          <w:tcPr>
            <w:tcW w:w="7801" w:type="dxa"/>
          </w:tcPr>
          <w:p w14:paraId="5713FADF" w14:textId="77777777" w:rsidR="00FD75EC" w:rsidRPr="0012627C" w:rsidRDefault="00FD75EC" w:rsidP="00FD45FF">
            <w:pPr>
              <w:rPr>
                <w:rFonts w:ascii="Bookman Old Style" w:hAnsi="Bookman Old Style"/>
                <w:b/>
                <w:bCs/>
                <w:sz w:val="16"/>
                <w:szCs w:val="16"/>
              </w:rPr>
            </w:pPr>
            <w:r w:rsidRPr="0012627C">
              <w:rPr>
                <w:rFonts w:ascii="Bookman Old Style" w:hAnsi="Bookman Old Style"/>
                <w:b/>
                <w:bCs/>
                <w:sz w:val="16"/>
                <w:szCs w:val="16"/>
              </w:rPr>
              <w:t>Impuestos, tasas y contribuciones</w:t>
            </w:r>
          </w:p>
          <w:p w14:paraId="348C1162" w14:textId="77777777" w:rsidR="00FD75EC" w:rsidRPr="0012627C" w:rsidRDefault="00FD75EC" w:rsidP="00FD45FF">
            <w:pPr>
              <w:rPr>
                <w:rFonts w:ascii="Bookman Old Style" w:hAnsi="Bookman Old Style"/>
                <w:b/>
                <w:bCs/>
                <w:sz w:val="16"/>
                <w:szCs w:val="16"/>
              </w:rPr>
            </w:pPr>
            <w:r w:rsidRPr="0012627C">
              <w:rPr>
                <w:rFonts w:ascii="Bookman Old Style" w:hAnsi="Bookman Old Style"/>
                <w:b/>
                <w:bCs/>
                <w:sz w:val="16"/>
                <w:szCs w:val="16"/>
              </w:rPr>
              <w:t>Impuesto a las ganancias corrientes</w:t>
            </w:r>
          </w:p>
          <w:p w14:paraId="7C83A44E" w14:textId="77777777" w:rsidR="00FD75EC" w:rsidRPr="0012627C" w:rsidRDefault="00FD75EC" w:rsidP="00FD45FF">
            <w:pPr>
              <w:rPr>
                <w:rFonts w:ascii="Bookman Old Style" w:hAnsi="Bookman Old Style"/>
                <w:b/>
                <w:bCs/>
                <w:sz w:val="16"/>
                <w:szCs w:val="16"/>
              </w:rPr>
            </w:pPr>
            <w:r w:rsidRPr="0012627C">
              <w:rPr>
                <w:rFonts w:ascii="Bookman Old Style" w:hAnsi="Bookman Old Style"/>
                <w:b/>
                <w:bCs/>
                <w:sz w:val="16"/>
                <w:szCs w:val="16"/>
              </w:rPr>
              <w:t xml:space="preserve">Impuesto a las ganancias diferido  </w:t>
            </w:r>
          </w:p>
        </w:tc>
      </w:tr>
      <w:tr w:rsidR="00FD75EC" w:rsidRPr="0012627C" w14:paraId="2E61BC9E" w14:textId="77777777" w:rsidTr="0012627C">
        <w:trPr>
          <w:trHeight w:val="260"/>
          <w:jc w:val="center"/>
        </w:trPr>
        <w:tc>
          <w:tcPr>
            <w:tcW w:w="7801" w:type="dxa"/>
          </w:tcPr>
          <w:p w14:paraId="6BAF1F0E" w14:textId="77777777" w:rsidR="00FD75EC" w:rsidRPr="0012627C" w:rsidRDefault="00FD75EC" w:rsidP="00FD45FF">
            <w:pPr>
              <w:rPr>
                <w:rFonts w:ascii="Bookman Old Style" w:hAnsi="Bookman Old Style"/>
                <w:b/>
                <w:bCs/>
                <w:sz w:val="16"/>
                <w:szCs w:val="16"/>
              </w:rPr>
            </w:pPr>
            <w:r w:rsidRPr="0012627C">
              <w:rPr>
                <w:rFonts w:ascii="Bookman Old Style" w:hAnsi="Bookman Old Style"/>
                <w:b/>
                <w:bCs/>
                <w:sz w:val="16"/>
                <w:szCs w:val="16"/>
              </w:rPr>
              <w:t>Deterioro</w:t>
            </w:r>
          </w:p>
          <w:p w14:paraId="384742BD" w14:textId="77777777" w:rsidR="00FD75EC" w:rsidRPr="0012627C" w:rsidRDefault="00FD75EC" w:rsidP="00FD45FF">
            <w:pPr>
              <w:rPr>
                <w:rFonts w:ascii="Bookman Old Style" w:hAnsi="Bookman Old Style"/>
                <w:b/>
                <w:bCs/>
                <w:sz w:val="16"/>
                <w:szCs w:val="16"/>
              </w:rPr>
            </w:pPr>
            <w:r w:rsidRPr="0012627C">
              <w:rPr>
                <w:rFonts w:ascii="Bookman Old Style" w:hAnsi="Bookman Old Style"/>
                <w:b/>
                <w:bCs/>
                <w:sz w:val="16"/>
                <w:szCs w:val="16"/>
              </w:rPr>
              <w:t>Depreciación</w:t>
            </w:r>
          </w:p>
          <w:p w14:paraId="20D820CF" w14:textId="77777777" w:rsidR="00FD75EC" w:rsidRPr="0012627C" w:rsidRDefault="00FD75EC" w:rsidP="00FD45FF">
            <w:pPr>
              <w:rPr>
                <w:rFonts w:ascii="Bookman Old Style" w:hAnsi="Bookman Old Style"/>
                <w:b/>
                <w:bCs/>
                <w:sz w:val="16"/>
                <w:szCs w:val="16"/>
              </w:rPr>
            </w:pPr>
            <w:r w:rsidRPr="0012627C">
              <w:rPr>
                <w:rFonts w:ascii="Bookman Old Style" w:hAnsi="Bookman Old Style"/>
                <w:b/>
                <w:bCs/>
                <w:sz w:val="16"/>
                <w:szCs w:val="16"/>
              </w:rPr>
              <w:t>Amortización</w:t>
            </w:r>
          </w:p>
          <w:p w14:paraId="1E6F5801" w14:textId="77777777" w:rsidR="00FD75EC" w:rsidRPr="0012627C" w:rsidRDefault="00FD75EC" w:rsidP="00FD45FF">
            <w:pPr>
              <w:rPr>
                <w:rFonts w:ascii="Bookman Old Style" w:hAnsi="Bookman Old Style"/>
                <w:b/>
                <w:bCs/>
                <w:sz w:val="16"/>
                <w:szCs w:val="16"/>
              </w:rPr>
            </w:pPr>
            <w:r w:rsidRPr="0012627C">
              <w:rPr>
                <w:rFonts w:ascii="Bookman Old Style" w:hAnsi="Bookman Old Style"/>
                <w:b/>
                <w:bCs/>
                <w:sz w:val="16"/>
                <w:szCs w:val="16"/>
              </w:rPr>
              <w:t>Provisiones:</w:t>
            </w:r>
          </w:p>
          <w:p w14:paraId="308FD7AF" w14:textId="77777777" w:rsidR="00FD75EC" w:rsidRPr="0012627C" w:rsidRDefault="00FD75EC" w:rsidP="00FD45FF">
            <w:pPr>
              <w:rPr>
                <w:rFonts w:ascii="Bookman Old Style" w:hAnsi="Bookman Old Style"/>
                <w:sz w:val="16"/>
                <w:szCs w:val="16"/>
              </w:rPr>
            </w:pPr>
            <w:r w:rsidRPr="0012627C">
              <w:rPr>
                <w:rFonts w:ascii="Bookman Old Style" w:hAnsi="Bookman Old Style"/>
                <w:sz w:val="16"/>
                <w:szCs w:val="16"/>
              </w:rPr>
              <w:t>Litigios y Demandas</w:t>
            </w:r>
          </w:p>
          <w:p w14:paraId="19522CB1" w14:textId="77777777" w:rsidR="00FD75EC" w:rsidRPr="0012627C" w:rsidRDefault="00FD75EC" w:rsidP="00FD45FF">
            <w:pPr>
              <w:rPr>
                <w:rFonts w:ascii="Bookman Old Style" w:hAnsi="Bookman Old Style"/>
                <w:sz w:val="16"/>
                <w:szCs w:val="16"/>
              </w:rPr>
            </w:pPr>
            <w:r w:rsidRPr="0012627C">
              <w:rPr>
                <w:rFonts w:ascii="Bookman Old Style" w:hAnsi="Bookman Old Style"/>
                <w:sz w:val="16"/>
                <w:szCs w:val="16"/>
              </w:rPr>
              <w:t>Garantías</w:t>
            </w:r>
          </w:p>
          <w:p w14:paraId="00894D29" w14:textId="77777777" w:rsidR="00FD75EC" w:rsidRPr="0012627C" w:rsidRDefault="00FD75EC" w:rsidP="00FD45FF">
            <w:pPr>
              <w:rPr>
                <w:rFonts w:ascii="Bookman Old Style" w:hAnsi="Bookman Old Style"/>
                <w:sz w:val="16"/>
                <w:szCs w:val="16"/>
              </w:rPr>
            </w:pPr>
            <w:r w:rsidRPr="0012627C">
              <w:rPr>
                <w:rFonts w:ascii="Bookman Old Style" w:hAnsi="Bookman Old Style"/>
                <w:sz w:val="16"/>
                <w:szCs w:val="16"/>
              </w:rPr>
              <w:t>Diversas</w:t>
            </w:r>
          </w:p>
        </w:tc>
      </w:tr>
      <w:tr w:rsidR="00FD75EC" w:rsidRPr="0012627C" w14:paraId="01DE4C57" w14:textId="77777777" w:rsidTr="0012627C">
        <w:trPr>
          <w:trHeight w:val="107"/>
          <w:jc w:val="center"/>
        </w:trPr>
        <w:tc>
          <w:tcPr>
            <w:tcW w:w="7801" w:type="dxa"/>
          </w:tcPr>
          <w:p w14:paraId="768DBF01" w14:textId="77777777" w:rsidR="00FD75EC" w:rsidRPr="0012627C" w:rsidRDefault="00FD75EC" w:rsidP="00FD45FF">
            <w:pPr>
              <w:rPr>
                <w:rFonts w:ascii="Bookman Old Style" w:hAnsi="Bookman Old Style"/>
                <w:b/>
                <w:bCs/>
                <w:sz w:val="16"/>
                <w:szCs w:val="16"/>
              </w:rPr>
            </w:pPr>
            <w:r w:rsidRPr="0012627C">
              <w:rPr>
                <w:rFonts w:ascii="Bookman Old Style" w:hAnsi="Bookman Old Style"/>
                <w:b/>
                <w:bCs/>
                <w:sz w:val="16"/>
                <w:szCs w:val="16"/>
              </w:rPr>
              <w:t>Otros gastos:</w:t>
            </w:r>
          </w:p>
          <w:p w14:paraId="36E58B41" w14:textId="77777777" w:rsidR="00FD75EC" w:rsidRPr="0012627C" w:rsidRDefault="00FD75EC" w:rsidP="00FD45FF">
            <w:pPr>
              <w:rPr>
                <w:rFonts w:ascii="Bookman Old Style" w:hAnsi="Bookman Old Style"/>
                <w:sz w:val="16"/>
                <w:szCs w:val="16"/>
              </w:rPr>
            </w:pPr>
            <w:r w:rsidRPr="0012627C">
              <w:rPr>
                <w:rFonts w:ascii="Bookman Old Style" w:hAnsi="Bookman Old Style"/>
                <w:sz w:val="16"/>
                <w:szCs w:val="16"/>
              </w:rPr>
              <w:t>Comisiones</w:t>
            </w:r>
          </w:p>
          <w:p w14:paraId="1F1BFE7A" w14:textId="77777777" w:rsidR="00FD75EC" w:rsidRPr="0012627C" w:rsidRDefault="00FD75EC" w:rsidP="00FD45FF">
            <w:pPr>
              <w:rPr>
                <w:rFonts w:ascii="Bookman Old Style" w:hAnsi="Bookman Old Style"/>
                <w:sz w:val="16"/>
                <w:szCs w:val="16"/>
              </w:rPr>
            </w:pPr>
            <w:r w:rsidRPr="0012627C">
              <w:rPr>
                <w:rFonts w:ascii="Bookman Old Style" w:hAnsi="Bookman Old Style"/>
                <w:sz w:val="16"/>
                <w:szCs w:val="16"/>
              </w:rPr>
              <w:t>Financieros</w:t>
            </w:r>
          </w:p>
          <w:p w14:paraId="0FFE5B33" w14:textId="77777777" w:rsidR="00FD75EC" w:rsidRPr="0012627C" w:rsidRDefault="00FD75EC" w:rsidP="00FD45FF">
            <w:pPr>
              <w:rPr>
                <w:rFonts w:ascii="Bookman Old Style" w:hAnsi="Bookman Old Style"/>
                <w:sz w:val="16"/>
                <w:szCs w:val="16"/>
              </w:rPr>
            </w:pPr>
            <w:r w:rsidRPr="0012627C">
              <w:rPr>
                <w:rFonts w:ascii="Bookman Old Style" w:hAnsi="Bookman Old Style"/>
                <w:sz w:val="16"/>
                <w:szCs w:val="16"/>
              </w:rPr>
              <w:t>Ajuste por diferencia en cambio</w:t>
            </w:r>
          </w:p>
          <w:p w14:paraId="2BFD74F1" w14:textId="77777777" w:rsidR="00FD75EC" w:rsidRPr="0012627C" w:rsidRDefault="00FD75EC" w:rsidP="00FD45FF">
            <w:pPr>
              <w:rPr>
                <w:rFonts w:ascii="Bookman Old Style" w:hAnsi="Bookman Old Style"/>
                <w:sz w:val="16"/>
                <w:szCs w:val="16"/>
              </w:rPr>
            </w:pPr>
            <w:r w:rsidRPr="0012627C">
              <w:rPr>
                <w:rFonts w:ascii="Bookman Old Style" w:hAnsi="Bookman Old Style"/>
                <w:sz w:val="16"/>
                <w:szCs w:val="16"/>
              </w:rPr>
              <w:t>Perdidas por aplicación del método de participación</w:t>
            </w:r>
          </w:p>
          <w:p w14:paraId="357C0AFB" w14:textId="77777777" w:rsidR="00FD75EC" w:rsidRPr="0012627C" w:rsidRDefault="00FD75EC" w:rsidP="00FD45FF">
            <w:pPr>
              <w:rPr>
                <w:rFonts w:ascii="Bookman Old Style" w:hAnsi="Bookman Old Style"/>
                <w:sz w:val="16"/>
                <w:szCs w:val="16"/>
              </w:rPr>
            </w:pPr>
            <w:r w:rsidRPr="0012627C">
              <w:rPr>
                <w:rFonts w:ascii="Bookman Old Style" w:hAnsi="Bookman Old Style"/>
                <w:sz w:val="16"/>
                <w:szCs w:val="16"/>
              </w:rPr>
              <w:t>Gastos diversos</w:t>
            </w:r>
          </w:p>
          <w:p w14:paraId="72BE1952" w14:textId="77777777" w:rsidR="00FD75EC" w:rsidRPr="0012627C" w:rsidRDefault="00FD75EC" w:rsidP="00FD45FF">
            <w:pPr>
              <w:rPr>
                <w:rFonts w:ascii="Bookman Old Style" w:hAnsi="Bookman Old Style"/>
                <w:sz w:val="16"/>
                <w:szCs w:val="16"/>
              </w:rPr>
            </w:pPr>
            <w:r w:rsidRPr="0012627C">
              <w:rPr>
                <w:rFonts w:ascii="Bookman Old Style" w:hAnsi="Bookman Old Style"/>
                <w:sz w:val="16"/>
                <w:szCs w:val="16"/>
              </w:rPr>
              <w:t>Donaciones</w:t>
            </w:r>
          </w:p>
        </w:tc>
      </w:tr>
      <w:tr w:rsidR="00FD75EC" w:rsidRPr="0012627C" w14:paraId="716E3F9D" w14:textId="77777777" w:rsidTr="0012627C">
        <w:trPr>
          <w:trHeight w:val="2240"/>
          <w:jc w:val="center"/>
        </w:trPr>
        <w:tc>
          <w:tcPr>
            <w:tcW w:w="7801" w:type="dxa"/>
          </w:tcPr>
          <w:p w14:paraId="4823484C" w14:textId="77777777" w:rsidR="00FD75EC" w:rsidRPr="0012627C" w:rsidRDefault="00FD75EC" w:rsidP="00FD45FF">
            <w:pPr>
              <w:rPr>
                <w:rFonts w:ascii="Bookman Old Style" w:hAnsi="Bookman Old Style"/>
                <w:b/>
                <w:bCs/>
                <w:sz w:val="16"/>
                <w:szCs w:val="16"/>
              </w:rPr>
            </w:pPr>
            <w:r w:rsidRPr="0012627C">
              <w:rPr>
                <w:rFonts w:ascii="Bookman Old Style" w:hAnsi="Bookman Old Style"/>
                <w:b/>
                <w:bCs/>
                <w:sz w:val="16"/>
                <w:szCs w:val="16"/>
              </w:rPr>
              <w:lastRenderedPageBreak/>
              <w:t>Licencias, Contribuciones y Regalías:</w:t>
            </w:r>
          </w:p>
          <w:p w14:paraId="0C996947" w14:textId="77777777" w:rsidR="00FD75EC" w:rsidRPr="0012627C" w:rsidRDefault="00FD75EC" w:rsidP="00FD45FF">
            <w:pPr>
              <w:rPr>
                <w:rFonts w:ascii="Bookman Old Style" w:hAnsi="Bookman Old Style"/>
                <w:sz w:val="16"/>
                <w:szCs w:val="16"/>
              </w:rPr>
            </w:pPr>
            <w:r w:rsidRPr="0012627C">
              <w:rPr>
                <w:rFonts w:ascii="Bookman Old Style" w:hAnsi="Bookman Old Style"/>
                <w:sz w:val="16"/>
                <w:szCs w:val="16"/>
              </w:rPr>
              <w:t>Secretaría Distrital del Medio Ambiente</w:t>
            </w:r>
          </w:p>
          <w:p w14:paraId="74686EDB" w14:textId="77777777" w:rsidR="00FD75EC" w:rsidRPr="0012627C" w:rsidRDefault="00FD75EC" w:rsidP="00FD45FF">
            <w:pPr>
              <w:rPr>
                <w:rFonts w:ascii="Bookman Old Style" w:hAnsi="Bookman Old Style"/>
                <w:sz w:val="16"/>
                <w:szCs w:val="16"/>
              </w:rPr>
            </w:pPr>
            <w:r w:rsidRPr="0012627C">
              <w:rPr>
                <w:rFonts w:ascii="Bookman Old Style" w:hAnsi="Bookman Old Style"/>
                <w:sz w:val="16"/>
                <w:szCs w:val="16"/>
              </w:rPr>
              <w:t>Ley 56 de 1981</w:t>
            </w:r>
          </w:p>
          <w:p w14:paraId="6571ABE3" w14:textId="77777777" w:rsidR="00FD75EC" w:rsidRPr="0012627C" w:rsidRDefault="00FD75EC" w:rsidP="00FD45FF">
            <w:pPr>
              <w:rPr>
                <w:rFonts w:ascii="Bookman Old Style" w:hAnsi="Bookman Old Style"/>
                <w:sz w:val="16"/>
                <w:szCs w:val="16"/>
              </w:rPr>
            </w:pPr>
            <w:r w:rsidRPr="0012627C">
              <w:rPr>
                <w:rFonts w:ascii="Bookman Old Style" w:hAnsi="Bookman Old Style"/>
                <w:sz w:val="16"/>
                <w:szCs w:val="16"/>
              </w:rPr>
              <w:t>Medio Ambiente - Ley 99 de 1993</w:t>
            </w:r>
          </w:p>
          <w:p w14:paraId="54DC05B2" w14:textId="77777777" w:rsidR="00FD75EC" w:rsidRPr="0012627C" w:rsidRDefault="00FD75EC" w:rsidP="00FD45FF">
            <w:pPr>
              <w:rPr>
                <w:rFonts w:ascii="Bookman Old Style" w:hAnsi="Bookman Old Style"/>
                <w:sz w:val="16"/>
                <w:szCs w:val="16"/>
              </w:rPr>
            </w:pPr>
            <w:r w:rsidRPr="0012627C">
              <w:rPr>
                <w:rFonts w:ascii="Bookman Old Style" w:hAnsi="Bookman Old Style"/>
                <w:sz w:val="16"/>
                <w:szCs w:val="16"/>
              </w:rPr>
              <w:t>Regalías</w:t>
            </w:r>
          </w:p>
          <w:p w14:paraId="17D35C87" w14:textId="77777777" w:rsidR="00FD75EC" w:rsidRPr="0012627C" w:rsidRDefault="00FD75EC" w:rsidP="00FD45FF">
            <w:pPr>
              <w:rPr>
                <w:rFonts w:ascii="Bookman Old Style" w:hAnsi="Bookman Old Style"/>
                <w:sz w:val="16"/>
                <w:szCs w:val="16"/>
              </w:rPr>
            </w:pPr>
            <w:r w:rsidRPr="0012627C">
              <w:rPr>
                <w:rFonts w:ascii="Bookman Old Style" w:hAnsi="Bookman Old Style"/>
                <w:sz w:val="16"/>
                <w:szCs w:val="16"/>
              </w:rPr>
              <w:t>Licencia de operación del servicio</w:t>
            </w:r>
          </w:p>
          <w:p w14:paraId="229158DF" w14:textId="77777777" w:rsidR="00FD75EC" w:rsidRPr="0012627C" w:rsidRDefault="00FD75EC" w:rsidP="00FD45FF">
            <w:pPr>
              <w:rPr>
                <w:rFonts w:ascii="Bookman Old Style" w:hAnsi="Bookman Old Style"/>
                <w:sz w:val="16"/>
                <w:szCs w:val="16"/>
              </w:rPr>
            </w:pPr>
            <w:r w:rsidRPr="0012627C">
              <w:rPr>
                <w:rFonts w:ascii="Bookman Old Style" w:hAnsi="Bookman Old Style"/>
                <w:sz w:val="16"/>
                <w:szCs w:val="16"/>
              </w:rPr>
              <w:t>FAZNI</w:t>
            </w:r>
          </w:p>
          <w:p w14:paraId="3D0B34D5" w14:textId="77777777" w:rsidR="00FD75EC" w:rsidRPr="0012627C" w:rsidRDefault="00FD75EC" w:rsidP="00FD45FF">
            <w:pPr>
              <w:rPr>
                <w:rFonts w:ascii="Bookman Old Style" w:hAnsi="Bookman Old Style"/>
                <w:sz w:val="16"/>
                <w:szCs w:val="16"/>
              </w:rPr>
            </w:pPr>
            <w:r w:rsidRPr="0012627C">
              <w:rPr>
                <w:rFonts w:ascii="Bookman Old Style" w:hAnsi="Bookman Old Style"/>
                <w:sz w:val="16"/>
                <w:szCs w:val="16"/>
              </w:rPr>
              <w:t>FAER</w:t>
            </w:r>
          </w:p>
          <w:p w14:paraId="71F6B6B4" w14:textId="77777777" w:rsidR="00FD75EC" w:rsidRPr="0012627C" w:rsidRDefault="00FD75EC" w:rsidP="00FD45FF">
            <w:pPr>
              <w:rPr>
                <w:rFonts w:ascii="Bookman Old Style" w:hAnsi="Bookman Old Style"/>
                <w:sz w:val="16"/>
                <w:szCs w:val="16"/>
              </w:rPr>
            </w:pPr>
            <w:r w:rsidRPr="0012627C">
              <w:rPr>
                <w:rFonts w:ascii="Bookman Old Style" w:hAnsi="Bookman Old Style"/>
                <w:sz w:val="16"/>
                <w:szCs w:val="16"/>
              </w:rPr>
              <w:t>Cuota de fomento de gas</w:t>
            </w:r>
          </w:p>
          <w:p w14:paraId="20CC03BD" w14:textId="77777777" w:rsidR="00FD75EC" w:rsidRPr="0012627C" w:rsidRDefault="00FD75EC" w:rsidP="00FD45FF">
            <w:pPr>
              <w:rPr>
                <w:rFonts w:ascii="Bookman Old Style" w:hAnsi="Bookman Old Style"/>
                <w:sz w:val="16"/>
                <w:szCs w:val="16"/>
              </w:rPr>
            </w:pPr>
            <w:r w:rsidRPr="0012627C">
              <w:rPr>
                <w:rFonts w:ascii="Bookman Old Style" w:hAnsi="Bookman Old Style"/>
                <w:sz w:val="16"/>
                <w:szCs w:val="16"/>
              </w:rPr>
              <w:t>Comité de Estratificación — Ley 505 de 1999</w:t>
            </w:r>
          </w:p>
          <w:p w14:paraId="4DB83650" w14:textId="77777777" w:rsidR="00FD75EC" w:rsidRPr="0012627C" w:rsidRDefault="00FD75EC" w:rsidP="00FD45FF">
            <w:pPr>
              <w:rPr>
                <w:rFonts w:ascii="Bookman Old Style" w:hAnsi="Bookman Old Style"/>
                <w:sz w:val="16"/>
                <w:szCs w:val="16"/>
              </w:rPr>
            </w:pPr>
            <w:r w:rsidRPr="0012627C">
              <w:rPr>
                <w:rFonts w:ascii="Bookman Old Style" w:hAnsi="Bookman Old Style"/>
                <w:sz w:val="16"/>
                <w:szCs w:val="16"/>
              </w:rPr>
              <w:t>Art. 25 — Ley 142 de Concesiones y permisos ambientales y sanitarios</w:t>
            </w:r>
          </w:p>
          <w:p w14:paraId="2F086DEF" w14:textId="77777777" w:rsidR="00FD75EC" w:rsidRPr="0012627C" w:rsidRDefault="00FD75EC" w:rsidP="00FD45FF">
            <w:pPr>
              <w:rPr>
                <w:rFonts w:ascii="Bookman Old Style" w:hAnsi="Bookman Old Style"/>
                <w:sz w:val="16"/>
                <w:szCs w:val="16"/>
              </w:rPr>
            </w:pPr>
            <w:r w:rsidRPr="0012627C">
              <w:rPr>
                <w:rFonts w:ascii="Bookman Old Style" w:hAnsi="Bookman Old Style"/>
                <w:sz w:val="16"/>
                <w:szCs w:val="16"/>
              </w:rPr>
              <w:t>Otras licencias Ley 142 de 1994</w:t>
            </w:r>
          </w:p>
        </w:tc>
      </w:tr>
    </w:tbl>
    <w:p w14:paraId="01E56B8E" w14:textId="22311F86" w:rsidR="00246D18" w:rsidRPr="0024494C" w:rsidRDefault="00246D18" w:rsidP="000E5253">
      <w:pPr>
        <w:pStyle w:val="Textoindependiente"/>
        <w:ind w:left="836"/>
        <w:jc w:val="left"/>
        <w:rPr>
          <w:rFonts w:ascii="Bookman Old Style" w:hAnsi="Bookman Old Style"/>
          <w:sz w:val="20"/>
        </w:rPr>
      </w:pPr>
    </w:p>
    <w:p w14:paraId="55BFFEB5" w14:textId="6465581D" w:rsidR="00D51BE9" w:rsidRPr="0024494C" w:rsidRDefault="00D51BE9" w:rsidP="000E5253">
      <w:pPr>
        <w:ind w:left="0"/>
        <w:jc w:val="both"/>
        <w:rPr>
          <w:rFonts w:ascii="Bookman Old Style" w:hAnsi="Bookman Old Style" w:cs="Arial"/>
        </w:rPr>
      </w:pPr>
      <w:r w:rsidRPr="0024494C">
        <w:rPr>
          <w:rFonts w:ascii="Bookman Old Style" w:hAnsi="Bookman Old Style" w:cs="Arial"/>
        </w:rPr>
        <w:t xml:space="preserve">En virtud de </w:t>
      </w:r>
      <w:r w:rsidR="00624E3C" w:rsidRPr="0024494C">
        <w:rPr>
          <w:rFonts w:ascii="Bookman Old Style" w:hAnsi="Bookman Old Style" w:cs="Arial"/>
        </w:rPr>
        <w:t>la anterior, para la conformación de la base gravable y la depuración de los gastos de funcionamiento</w:t>
      </w:r>
      <w:r w:rsidRPr="0024494C">
        <w:rPr>
          <w:rFonts w:ascii="Bookman Old Style" w:hAnsi="Bookman Old Style" w:cs="Arial"/>
        </w:rPr>
        <w:t xml:space="preserve">, </w:t>
      </w:r>
      <w:r w:rsidR="00C928E0">
        <w:rPr>
          <w:rFonts w:ascii="Bookman Old Style" w:hAnsi="Bookman Old Style" w:cs="Arial"/>
        </w:rPr>
        <w:t xml:space="preserve">la CREG </w:t>
      </w:r>
      <w:r w:rsidRPr="0024494C">
        <w:rPr>
          <w:rFonts w:ascii="Bookman Old Style" w:hAnsi="Bookman Old Style" w:cs="Arial"/>
        </w:rPr>
        <w:t>determi</w:t>
      </w:r>
      <w:r w:rsidR="00C928E0">
        <w:rPr>
          <w:rFonts w:ascii="Bookman Old Style" w:hAnsi="Bookman Old Style" w:cs="Arial"/>
        </w:rPr>
        <w:t>na</w:t>
      </w:r>
      <w:r w:rsidRPr="0024494C">
        <w:rPr>
          <w:rFonts w:ascii="Bookman Old Style" w:hAnsi="Bookman Old Style" w:cs="Arial"/>
        </w:rPr>
        <w:t xml:space="preserve"> los conceptos que corresponden a los gastos operativos que menciona el parágrafo 2° del referido artículo 85, </w:t>
      </w:r>
      <w:r w:rsidR="00D60194" w:rsidRPr="0024494C">
        <w:rPr>
          <w:rFonts w:ascii="Bookman Old Style" w:hAnsi="Bookman Old Style" w:cs="Arial"/>
        </w:rPr>
        <w:t>discriminados a continuación</w:t>
      </w:r>
      <w:r w:rsidR="00624E3C" w:rsidRPr="0024494C">
        <w:rPr>
          <w:rFonts w:ascii="Bookman Old Style" w:hAnsi="Bookman Old Style" w:cs="Arial"/>
        </w:rPr>
        <w:t>:</w:t>
      </w:r>
    </w:p>
    <w:p w14:paraId="79A679F9" w14:textId="77777777" w:rsidR="00FD0DF7" w:rsidRPr="0024494C" w:rsidRDefault="00FD0DF7" w:rsidP="000E5253">
      <w:pPr>
        <w:ind w:left="0"/>
        <w:jc w:val="both"/>
        <w:rPr>
          <w:rFonts w:ascii="Bookman Old Style" w:hAnsi="Bookman Old Style" w:cs="Arial"/>
        </w:rPr>
      </w:pPr>
    </w:p>
    <w:p w14:paraId="0BF26A0F" w14:textId="0F839588" w:rsidR="00624E3C" w:rsidRPr="00874D8E" w:rsidRDefault="00FD0DF7" w:rsidP="00FD0DF7">
      <w:pPr>
        <w:pStyle w:val="Descripcin"/>
        <w:keepNext/>
        <w:rPr>
          <w:rFonts w:ascii="Bookman Old Style" w:hAnsi="Bookman Old Style" w:cs="Arial"/>
          <w:color w:val="auto"/>
          <w:sz w:val="16"/>
          <w:szCs w:val="16"/>
        </w:rPr>
      </w:pPr>
      <w:r w:rsidRPr="00874D8E">
        <w:rPr>
          <w:rFonts w:ascii="Bookman Old Style" w:hAnsi="Bookman Old Style"/>
          <w:color w:val="auto"/>
          <w:sz w:val="16"/>
          <w:szCs w:val="16"/>
        </w:rPr>
        <w:t>Tabla 5 Relación de gastos operativos</w:t>
      </w:r>
    </w:p>
    <w:tbl>
      <w:tblPr>
        <w:tblW w:w="8637" w:type="dxa"/>
        <w:jc w:val="center"/>
        <w:tblCellMar>
          <w:left w:w="70" w:type="dxa"/>
          <w:right w:w="70" w:type="dxa"/>
        </w:tblCellMar>
        <w:tblLook w:val="04A0" w:firstRow="1" w:lastRow="0" w:firstColumn="1" w:lastColumn="0" w:noHBand="0" w:noVBand="1"/>
      </w:tblPr>
      <w:tblGrid>
        <w:gridCol w:w="2825"/>
        <w:gridCol w:w="2835"/>
        <w:gridCol w:w="2977"/>
      </w:tblGrid>
      <w:tr w:rsidR="00624E3C" w:rsidRPr="00874D8E" w14:paraId="4B605516" w14:textId="77777777" w:rsidTr="00874D8E">
        <w:trPr>
          <w:trHeight w:val="285"/>
          <w:tblHeader/>
          <w:jc w:val="center"/>
        </w:trPr>
        <w:tc>
          <w:tcPr>
            <w:tcW w:w="28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7CB4B4" w14:textId="77777777" w:rsidR="00624E3C" w:rsidRPr="00874D8E" w:rsidRDefault="00624E3C" w:rsidP="000E5253">
            <w:pPr>
              <w:ind w:left="0"/>
              <w:jc w:val="center"/>
              <w:rPr>
                <w:rFonts w:ascii="Bookman Old Style" w:hAnsi="Bookman Old Style" w:cs="Arial"/>
                <w:b/>
                <w:bCs/>
                <w:color w:val="000000"/>
                <w:sz w:val="16"/>
                <w:szCs w:val="16"/>
                <w:lang w:val="es-CO" w:eastAsia="es-CO"/>
              </w:rPr>
            </w:pPr>
            <w:r w:rsidRPr="00874D8E">
              <w:rPr>
                <w:rFonts w:ascii="Bookman Old Style" w:hAnsi="Bookman Old Style" w:cs="Arial"/>
                <w:b/>
                <w:bCs/>
                <w:color w:val="000000"/>
                <w:sz w:val="16"/>
                <w:szCs w:val="16"/>
                <w:lang w:eastAsia="es-CO"/>
              </w:rPr>
              <w:t>ENERGÍA ELÉCTRICA</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7C2D599E" w14:textId="77777777" w:rsidR="00624E3C" w:rsidRPr="00874D8E" w:rsidRDefault="00624E3C" w:rsidP="000E5253">
            <w:pPr>
              <w:ind w:left="0"/>
              <w:jc w:val="center"/>
              <w:rPr>
                <w:rFonts w:ascii="Bookman Old Style" w:hAnsi="Bookman Old Style" w:cs="Arial"/>
                <w:b/>
                <w:bCs/>
                <w:color w:val="000000"/>
                <w:sz w:val="16"/>
                <w:szCs w:val="16"/>
                <w:lang w:val="es-CO" w:eastAsia="es-CO"/>
              </w:rPr>
            </w:pPr>
            <w:r w:rsidRPr="00874D8E">
              <w:rPr>
                <w:rFonts w:ascii="Bookman Old Style" w:hAnsi="Bookman Old Style" w:cs="Arial"/>
                <w:b/>
                <w:bCs/>
                <w:color w:val="000000"/>
                <w:sz w:val="16"/>
                <w:szCs w:val="16"/>
                <w:lang w:eastAsia="es-CO"/>
              </w:rPr>
              <w:t>GAS NATURAL</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14:paraId="72D408BE" w14:textId="77777777" w:rsidR="00624E3C" w:rsidRPr="00874D8E" w:rsidRDefault="00624E3C" w:rsidP="000E5253">
            <w:pPr>
              <w:ind w:left="0"/>
              <w:jc w:val="center"/>
              <w:rPr>
                <w:rFonts w:ascii="Bookman Old Style" w:hAnsi="Bookman Old Style" w:cs="Arial"/>
                <w:b/>
                <w:bCs/>
                <w:color w:val="000000"/>
                <w:sz w:val="16"/>
                <w:szCs w:val="16"/>
                <w:lang w:val="es-CO" w:eastAsia="es-CO"/>
              </w:rPr>
            </w:pPr>
            <w:r w:rsidRPr="00874D8E">
              <w:rPr>
                <w:rFonts w:ascii="Bookman Old Style" w:hAnsi="Bookman Old Style" w:cs="Arial"/>
                <w:b/>
                <w:bCs/>
                <w:color w:val="000000"/>
                <w:sz w:val="16"/>
                <w:szCs w:val="16"/>
                <w:lang w:eastAsia="es-CO"/>
              </w:rPr>
              <w:t>GAS LICUADO DE PETRÓLEO</w:t>
            </w:r>
          </w:p>
        </w:tc>
      </w:tr>
      <w:tr w:rsidR="00624E3C" w:rsidRPr="00874D8E" w14:paraId="76E60B79" w14:textId="77777777" w:rsidTr="00874D8E">
        <w:trPr>
          <w:trHeight w:val="537"/>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49AD14C5" w14:textId="77777777" w:rsidR="00624E3C" w:rsidRPr="00874D8E" w:rsidRDefault="00624E3C" w:rsidP="000E5253">
            <w:pPr>
              <w:ind w:left="0"/>
              <w:rPr>
                <w:rFonts w:ascii="Bookman Old Style" w:hAnsi="Bookman Old Style" w:cs="Arial"/>
                <w:color w:val="000000"/>
                <w:sz w:val="16"/>
                <w:szCs w:val="16"/>
                <w:lang w:val="es-CO" w:eastAsia="es-CO"/>
              </w:rPr>
            </w:pPr>
            <w:r w:rsidRPr="00874D8E">
              <w:rPr>
                <w:rFonts w:ascii="Bookman Old Style" w:hAnsi="Bookman Old Style" w:cs="Arial"/>
                <w:color w:val="000000"/>
                <w:sz w:val="16"/>
                <w:szCs w:val="16"/>
                <w:lang w:eastAsia="es-CO"/>
              </w:rPr>
              <w:t>Gastos de administración (menos las exclusiones señaladas)</w:t>
            </w:r>
          </w:p>
        </w:tc>
        <w:tc>
          <w:tcPr>
            <w:tcW w:w="2835" w:type="dxa"/>
            <w:tcBorders>
              <w:top w:val="nil"/>
              <w:left w:val="nil"/>
              <w:bottom w:val="single" w:sz="8" w:space="0" w:color="auto"/>
              <w:right w:val="single" w:sz="8" w:space="0" w:color="auto"/>
            </w:tcBorders>
            <w:shd w:val="clear" w:color="auto" w:fill="auto"/>
            <w:vAlign w:val="center"/>
            <w:hideMark/>
          </w:tcPr>
          <w:p w14:paraId="10029300" w14:textId="77777777" w:rsidR="00624E3C" w:rsidRPr="00874D8E" w:rsidRDefault="00624E3C" w:rsidP="000E5253">
            <w:pPr>
              <w:ind w:left="0"/>
              <w:rPr>
                <w:rFonts w:ascii="Bookman Old Style" w:hAnsi="Bookman Old Style" w:cs="Arial"/>
                <w:color w:val="000000"/>
                <w:sz w:val="16"/>
                <w:szCs w:val="16"/>
                <w:lang w:val="es-CO" w:eastAsia="es-CO"/>
              </w:rPr>
            </w:pPr>
            <w:r w:rsidRPr="00874D8E">
              <w:rPr>
                <w:rFonts w:ascii="Bookman Old Style" w:hAnsi="Bookman Old Style" w:cs="Arial"/>
                <w:color w:val="000000"/>
                <w:sz w:val="16"/>
                <w:szCs w:val="16"/>
                <w:lang w:eastAsia="es-CO"/>
              </w:rPr>
              <w:t>Gastos de administración (menos las exclusiones señaladas)</w:t>
            </w:r>
          </w:p>
        </w:tc>
        <w:tc>
          <w:tcPr>
            <w:tcW w:w="2977" w:type="dxa"/>
            <w:tcBorders>
              <w:top w:val="nil"/>
              <w:left w:val="nil"/>
              <w:bottom w:val="single" w:sz="8" w:space="0" w:color="auto"/>
              <w:right w:val="single" w:sz="8" w:space="0" w:color="auto"/>
            </w:tcBorders>
            <w:shd w:val="clear" w:color="auto" w:fill="auto"/>
            <w:vAlign w:val="center"/>
            <w:hideMark/>
          </w:tcPr>
          <w:p w14:paraId="4DCE1AC6" w14:textId="77777777" w:rsidR="00624E3C" w:rsidRPr="00874D8E" w:rsidRDefault="00624E3C" w:rsidP="000E5253">
            <w:pPr>
              <w:ind w:left="0"/>
              <w:rPr>
                <w:rFonts w:ascii="Bookman Old Style" w:hAnsi="Bookman Old Style" w:cs="Arial"/>
                <w:color w:val="000000"/>
                <w:sz w:val="16"/>
                <w:szCs w:val="16"/>
                <w:lang w:val="es-CO" w:eastAsia="es-CO"/>
              </w:rPr>
            </w:pPr>
            <w:r w:rsidRPr="00874D8E">
              <w:rPr>
                <w:rFonts w:ascii="Bookman Old Style" w:hAnsi="Bookman Old Style" w:cs="Arial"/>
                <w:color w:val="000000"/>
                <w:sz w:val="16"/>
                <w:szCs w:val="16"/>
                <w:lang w:eastAsia="es-CO"/>
              </w:rPr>
              <w:t>Gastos de administración (menos las exclusiones señaladas)</w:t>
            </w:r>
          </w:p>
        </w:tc>
      </w:tr>
      <w:tr w:rsidR="00624E3C" w:rsidRPr="00874D8E" w14:paraId="496A6569" w14:textId="77777777" w:rsidTr="00874D8E">
        <w:trPr>
          <w:trHeight w:val="392"/>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72531039" w14:textId="77777777" w:rsidR="00624E3C" w:rsidRPr="00874D8E" w:rsidRDefault="00624E3C" w:rsidP="000E5253">
            <w:pPr>
              <w:ind w:left="0"/>
              <w:rPr>
                <w:rFonts w:ascii="Bookman Old Style" w:hAnsi="Bookman Old Style" w:cs="Arial"/>
                <w:color w:val="000000"/>
                <w:sz w:val="16"/>
                <w:szCs w:val="16"/>
                <w:lang w:val="es-CO" w:eastAsia="es-CO"/>
              </w:rPr>
            </w:pPr>
            <w:r w:rsidRPr="00874D8E">
              <w:rPr>
                <w:rFonts w:ascii="Bookman Old Style" w:hAnsi="Bookman Old Style" w:cs="Arial"/>
                <w:color w:val="000000"/>
                <w:sz w:val="16"/>
                <w:szCs w:val="16"/>
                <w:lang w:eastAsia="es-CO"/>
              </w:rPr>
              <w:t>Compras en bloque y/o a largo plazo</w:t>
            </w:r>
          </w:p>
        </w:tc>
        <w:tc>
          <w:tcPr>
            <w:tcW w:w="2835" w:type="dxa"/>
            <w:tcBorders>
              <w:top w:val="nil"/>
              <w:left w:val="nil"/>
              <w:bottom w:val="single" w:sz="8" w:space="0" w:color="auto"/>
              <w:right w:val="single" w:sz="8" w:space="0" w:color="auto"/>
            </w:tcBorders>
            <w:shd w:val="clear" w:color="auto" w:fill="auto"/>
            <w:vAlign w:val="center"/>
          </w:tcPr>
          <w:p w14:paraId="77A250DE" w14:textId="77777777" w:rsidR="00624E3C" w:rsidRPr="00874D8E" w:rsidRDefault="00624E3C" w:rsidP="000E5253">
            <w:pPr>
              <w:jc w:val="center"/>
              <w:rPr>
                <w:rFonts w:ascii="Bookman Old Style" w:hAnsi="Bookman Old Style" w:cs="Arial"/>
                <w:color w:val="000000"/>
                <w:sz w:val="16"/>
                <w:szCs w:val="16"/>
                <w:lang w:val="es-CO" w:eastAsia="es-CO"/>
              </w:rPr>
            </w:pPr>
          </w:p>
        </w:tc>
        <w:tc>
          <w:tcPr>
            <w:tcW w:w="2977" w:type="dxa"/>
            <w:tcBorders>
              <w:top w:val="nil"/>
              <w:left w:val="nil"/>
              <w:bottom w:val="single" w:sz="8" w:space="0" w:color="auto"/>
              <w:right w:val="single" w:sz="8" w:space="0" w:color="auto"/>
            </w:tcBorders>
            <w:shd w:val="clear" w:color="auto" w:fill="auto"/>
            <w:vAlign w:val="center"/>
          </w:tcPr>
          <w:p w14:paraId="29053FB9" w14:textId="77777777" w:rsidR="00624E3C" w:rsidRPr="00874D8E" w:rsidRDefault="00624E3C" w:rsidP="000E5253">
            <w:pPr>
              <w:jc w:val="center"/>
              <w:rPr>
                <w:rFonts w:ascii="Bookman Old Style" w:hAnsi="Bookman Old Style" w:cs="Arial"/>
                <w:color w:val="000000"/>
                <w:sz w:val="16"/>
                <w:szCs w:val="16"/>
                <w:lang w:val="es-CO" w:eastAsia="es-CO"/>
              </w:rPr>
            </w:pPr>
          </w:p>
        </w:tc>
      </w:tr>
      <w:tr w:rsidR="00624E3C" w:rsidRPr="00874D8E" w14:paraId="0DC2BE95" w14:textId="77777777" w:rsidTr="00874D8E">
        <w:trPr>
          <w:trHeight w:val="372"/>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1C158BF" w14:textId="77777777" w:rsidR="00624E3C" w:rsidRPr="00874D8E" w:rsidRDefault="00624E3C" w:rsidP="000E5253">
            <w:pPr>
              <w:ind w:left="0"/>
              <w:rPr>
                <w:rFonts w:ascii="Bookman Old Style" w:hAnsi="Bookman Old Style" w:cs="Arial"/>
                <w:color w:val="000000"/>
                <w:sz w:val="16"/>
                <w:szCs w:val="16"/>
                <w:lang w:val="es-CO" w:eastAsia="es-CO"/>
              </w:rPr>
            </w:pPr>
            <w:r w:rsidRPr="00874D8E">
              <w:rPr>
                <w:rFonts w:ascii="Bookman Old Style" w:hAnsi="Bookman Old Style" w:cs="Arial"/>
                <w:color w:val="000000"/>
                <w:sz w:val="16"/>
                <w:szCs w:val="16"/>
                <w:lang w:eastAsia="es-CO"/>
              </w:rPr>
              <w:t>Compras en bolsa y/o a corto plazo</w:t>
            </w:r>
          </w:p>
        </w:tc>
        <w:tc>
          <w:tcPr>
            <w:tcW w:w="2835" w:type="dxa"/>
            <w:tcBorders>
              <w:top w:val="nil"/>
              <w:left w:val="nil"/>
              <w:bottom w:val="single" w:sz="8" w:space="0" w:color="auto"/>
              <w:right w:val="single" w:sz="8" w:space="0" w:color="auto"/>
            </w:tcBorders>
            <w:shd w:val="clear" w:color="auto" w:fill="auto"/>
            <w:vAlign w:val="center"/>
          </w:tcPr>
          <w:p w14:paraId="41764492" w14:textId="77777777" w:rsidR="00624E3C" w:rsidRPr="00874D8E" w:rsidRDefault="00624E3C" w:rsidP="000E5253">
            <w:pPr>
              <w:jc w:val="center"/>
              <w:rPr>
                <w:rFonts w:ascii="Bookman Old Style" w:hAnsi="Bookman Old Style" w:cs="Arial"/>
                <w:color w:val="000000"/>
                <w:sz w:val="16"/>
                <w:szCs w:val="16"/>
                <w:lang w:val="es-CO" w:eastAsia="es-CO"/>
              </w:rPr>
            </w:pPr>
          </w:p>
        </w:tc>
        <w:tc>
          <w:tcPr>
            <w:tcW w:w="2977" w:type="dxa"/>
            <w:tcBorders>
              <w:top w:val="nil"/>
              <w:left w:val="nil"/>
              <w:bottom w:val="single" w:sz="8" w:space="0" w:color="auto"/>
              <w:right w:val="single" w:sz="8" w:space="0" w:color="auto"/>
            </w:tcBorders>
            <w:shd w:val="clear" w:color="auto" w:fill="auto"/>
            <w:vAlign w:val="center"/>
          </w:tcPr>
          <w:p w14:paraId="71315CD1" w14:textId="77777777" w:rsidR="00624E3C" w:rsidRPr="00874D8E" w:rsidRDefault="00624E3C" w:rsidP="000E5253">
            <w:pPr>
              <w:jc w:val="center"/>
              <w:rPr>
                <w:rFonts w:ascii="Bookman Old Style" w:hAnsi="Bookman Old Style" w:cs="Arial"/>
                <w:color w:val="000000"/>
                <w:sz w:val="16"/>
                <w:szCs w:val="16"/>
                <w:lang w:val="es-CO" w:eastAsia="es-CO"/>
              </w:rPr>
            </w:pPr>
          </w:p>
        </w:tc>
      </w:tr>
      <w:tr w:rsidR="00624E3C" w:rsidRPr="00874D8E" w14:paraId="4E82420F" w14:textId="77777777" w:rsidTr="00874D8E">
        <w:trPr>
          <w:trHeight w:val="449"/>
          <w:jc w:val="center"/>
        </w:trPr>
        <w:tc>
          <w:tcPr>
            <w:tcW w:w="2825" w:type="dxa"/>
            <w:tcBorders>
              <w:top w:val="nil"/>
              <w:left w:val="single" w:sz="8" w:space="0" w:color="auto"/>
              <w:bottom w:val="single" w:sz="8" w:space="0" w:color="auto"/>
              <w:right w:val="single" w:sz="8" w:space="0" w:color="auto"/>
            </w:tcBorders>
            <w:shd w:val="clear" w:color="auto" w:fill="auto"/>
            <w:vAlign w:val="center"/>
          </w:tcPr>
          <w:p w14:paraId="031608F7" w14:textId="77777777" w:rsidR="00624E3C" w:rsidRPr="00874D8E" w:rsidRDefault="00624E3C" w:rsidP="000E5253">
            <w:pPr>
              <w:ind w:left="0"/>
              <w:rPr>
                <w:rFonts w:ascii="Bookman Old Style" w:hAnsi="Bookman Old Style" w:cs="Arial"/>
                <w:color w:val="000000"/>
                <w:sz w:val="16"/>
                <w:szCs w:val="16"/>
                <w:lang w:eastAsia="es-CO"/>
              </w:rPr>
            </w:pPr>
            <w:r w:rsidRPr="00874D8E">
              <w:rPr>
                <w:rFonts w:ascii="Bookman Old Style" w:hAnsi="Bookman Old Style" w:cs="Arial"/>
                <w:color w:val="000000"/>
                <w:sz w:val="16"/>
                <w:szCs w:val="16"/>
                <w:lang w:eastAsia="es-CO"/>
              </w:rPr>
              <w:t>Uso de líneas, redes y ductos</w:t>
            </w:r>
          </w:p>
        </w:tc>
        <w:tc>
          <w:tcPr>
            <w:tcW w:w="2835" w:type="dxa"/>
            <w:tcBorders>
              <w:top w:val="nil"/>
              <w:left w:val="nil"/>
              <w:bottom w:val="single" w:sz="8" w:space="0" w:color="auto"/>
              <w:right w:val="single" w:sz="8" w:space="0" w:color="auto"/>
            </w:tcBorders>
            <w:shd w:val="clear" w:color="auto" w:fill="auto"/>
            <w:vAlign w:val="center"/>
          </w:tcPr>
          <w:p w14:paraId="7F628CFF" w14:textId="77777777" w:rsidR="00624E3C" w:rsidRPr="00874D8E" w:rsidRDefault="00624E3C" w:rsidP="000E5253">
            <w:pPr>
              <w:ind w:left="0"/>
              <w:rPr>
                <w:rFonts w:ascii="Bookman Old Style" w:hAnsi="Bookman Old Style" w:cs="Arial"/>
                <w:color w:val="000000"/>
                <w:sz w:val="16"/>
                <w:szCs w:val="16"/>
                <w:lang w:eastAsia="es-CO"/>
              </w:rPr>
            </w:pPr>
            <w:r w:rsidRPr="00874D8E">
              <w:rPr>
                <w:rFonts w:ascii="Bookman Old Style" w:hAnsi="Bookman Old Style" w:cs="Arial"/>
                <w:color w:val="000000"/>
                <w:sz w:val="16"/>
                <w:szCs w:val="16"/>
                <w:lang w:eastAsia="es-CO"/>
              </w:rPr>
              <w:t>Uso de líneas, redes y ductos</w:t>
            </w:r>
          </w:p>
        </w:tc>
        <w:tc>
          <w:tcPr>
            <w:tcW w:w="2977" w:type="dxa"/>
            <w:tcBorders>
              <w:top w:val="nil"/>
              <w:left w:val="nil"/>
              <w:bottom w:val="single" w:sz="8" w:space="0" w:color="auto"/>
              <w:right w:val="single" w:sz="8" w:space="0" w:color="auto"/>
            </w:tcBorders>
            <w:shd w:val="clear" w:color="auto" w:fill="auto"/>
            <w:vAlign w:val="center"/>
          </w:tcPr>
          <w:p w14:paraId="02C8055C" w14:textId="77777777" w:rsidR="00624E3C" w:rsidRPr="00874D8E" w:rsidRDefault="00624E3C" w:rsidP="000E5253">
            <w:pPr>
              <w:ind w:left="0"/>
              <w:rPr>
                <w:rFonts w:ascii="Bookman Old Style" w:hAnsi="Bookman Old Style" w:cs="Arial"/>
                <w:color w:val="000000"/>
                <w:sz w:val="16"/>
                <w:szCs w:val="16"/>
                <w:lang w:eastAsia="es-CO"/>
              </w:rPr>
            </w:pPr>
            <w:r w:rsidRPr="00874D8E">
              <w:rPr>
                <w:rFonts w:ascii="Bookman Old Style" w:hAnsi="Bookman Old Style" w:cs="Arial"/>
                <w:color w:val="000000"/>
                <w:sz w:val="16"/>
                <w:szCs w:val="16"/>
                <w:lang w:eastAsia="es-CO"/>
              </w:rPr>
              <w:t>Uso de líneas, redes y ductos</w:t>
            </w:r>
          </w:p>
        </w:tc>
      </w:tr>
      <w:tr w:rsidR="00624E3C" w:rsidRPr="00874D8E" w14:paraId="0CFF4159" w14:textId="77777777" w:rsidTr="00874D8E">
        <w:trPr>
          <w:trHeight w:val="343"/>
          <w:jc w:val="center"/>
        </w:trPr>
        <w:tc>
          <w:tcPr>
            <w:tcW w:w="2825" w:type="dxa"/>
            <w:tcBorders>
              <w:top w:val="nil"/>
              <w:left w:val="single" w:sz="8" w:space="0" w:color="auto"/>
              <w:bottom w:val="single" w:sz="8" w:space="0" w:color="auto"/>
              <w:right w:val="single" w:sz="8" w:space="0" w:color="auto"/>
            </w:tcBorders>
            <w:shd w:val="clear" w:color="auto" w:fill="auto"/>
            <w:vAlign w:val="center"/>
          </w:tcPr>
          <w:p w14:paraId="762D16A9" w14:textId="77777777" w:rsidR="00624E3C" w:rsidRPr="00874D8E" w:rsidRDefault="00624E3C" w:rsidP="000E5253">
            <w:pPr>
              <w:jc w:val="center"/>
              <w:rPr>
                <w:rFonts w:ascii="Bookman Old Style" w:hAnsi="Bookman Old Style" w:cs="Arial"/>
                <w:color w:val="000000"/>
                <w:sz w:val="16"/>
                <w:szCs w:val="16"/>
                <w:lang w:eastAsia="es-CO"/>
              </w:rPr>
            </w:pPr>
          </w:p>
        </w:tc>
        <w:tc>
          <w:tcPr>
            <w:tcW w:w="2835" w:type="dxa"/>
            <w:tcBorders>
              <w:top w:val="nil"/>
              <w:left w:val="nil"/>
              <w:bottom w:val="single" w:sz="8" w:space="0" w:color="auto"/>
              <w:right w:val="single" w:sz="8" w:space="0" w:color="auto"/>
            </w:tcBorders>
            <w:shd w:val="clear" w:color="auto" w:fill="auto"/>
            <w:vAlign w:val="center"/>
          </w:tcPr>
          <w:p w14:paraId="3ACB40BD" w14:textId="77777777" w:rsidR="00624E3C" w:rsidRPr="00874D8E" w:rsidRDefault="00624E3C" w:rsidP="000E5253">
            <w:pPr>
              <w:ind w:left="0"/>
              <w:rPr>
                <w:rFonts w:ascii="Bookman Old Style" w:hAnsi="Bookman Old Style" w:cs="Arial"/>
                <w:color w:val="000000"/>
                <w:sz w:val="16"/>
                <w:szCs w:val="16"/>
                <w:lang w:eastAsia="es-CO"/>
              </w:rPr>
            </w:pPr>
            <w:r w:rsidRPr="00874D8E">
              <w:rPr>
                <w:rFonts w:ascii="Bookman Old Style" w:hAnsi="Bookman Old Style" w:cs="Arial"/>
                <w:color w:val="000000"/>
                <w:sz w:val="16"/>
                <w:szCs w:val="16"/>
                <w:lang w:eastAsia="es-CO"/>
              </w:rPr>
              <w:t>Gastos operativos de distribución y/o comercialización de gas combustible por redes</w:t>
            </w:r>
          </w:p>
        </w:tc>
        <w:tc>
          <w:tcPr>
            <w:tcW w:w="2977" w:type="dxa"/>
            <w:tcBorders>
              <w:top w:val="nil"/>
              <w:left w:val="nil"/>
              <w:bottom w:val="single" w:sz="8" w:space="0" w:color="auto"/>
              <w:right w:val="single" w:sz="8" w:space="0" w:color="auto"/>
            </w:tcBorders>
            <w:shd w:val="clear" w:color="auto" w:fill="auto"/>
            <w:vAlign w:val="center"/>
          </w:tcPr>
          <w:p w14:paraId="227F6981" w14:textId="77777777" w:rsidR="00624E3C" w:rsidRPr="00874D8E" w:rsidRDefault="00624E3C" w:rsidP="000E5253">
            <w:pPr>
              <w:ind w:left="0"/>
              <w:rPr>
                <w:rFonts w:ascii="Bookman Old Style" w:hAnsi="Bookman Old Style" w:cs="Arial"/>
                <w:color w:val="000000"/>
                <w:sz w:val="16"/>
                <w:szCs w:val="16"/>
                <w:lang w:eastAsia="es-CO"/>
              </w:rPr>
            </w:pPr>
            <w:r w:rsidRPr="00874D8E">
              <w:rPr>
                <w:rFonts w:ascii="Bookman Old Style" w:hAnsi="Bookman Old Style" w:cs="Arial"/>
                <w:color w:val="000000"/>
                <w:sz w:val="16"/>
                <w:szCs w:val="16"/>
                <w:lang w:eastAsia="es-CO"/>
              </w:rPr>
              <w:t>Gastos operativos de distribución y/o comercialización de gas licuado de petróleo – GLP</w:t>
            </w:r>
          </w:p>
        </w:tc>
      </w:tr>
      <w:tr w:rsidR="00624E3C" w:rsidRPr="00874D8E" w14:paraId="5006F352" w14:textId="77777777" w:rsidTr="00874D8E">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77AB1C0" w14:textId="77777777" w:rsidR="00624E3C" w:rsidRPr="00874D8E" w:rsidRDefault="00624E3C" w:rsidP="000E5253">
            <w:pPr>
              <w:ind w:left="0"/>
              <w:rPr>
                <w:rFonts w:ascii="Bookman Old Style" w:hAnsi="Bookman Old Style" w:cs="Arial"/>
                <w:color w:val="000000"/>
                <w:sz w:val="16"/>
                <w:szCs w:val="16"/>
                <w:lang w:val="es-CO" w:eastAsia="es-CO"/>
              </w:rPr>
            </w:pPr>
            <w:r w:rsidRPr="00874D8E">
              <w:rPr>
                <w:rFonts w:ascii="Bookman Old Style" w:hAnsi="Bookman Old Style" w:cs="Arial"/>
                <w:color w:val="000000"/>
                <w:sz w:val="16"/>
                <w:szCs w:val="16"/>
                <w:lang w:eastAsia="es-CO"/>
              </w:rPr>
              <w:t>Gas combustible</w:t>
            </w:r>
            <w:r w:rsidRPr="00874D8E" w:rsidDel="00905CB1">
              <w:rPr>
                <w:rFonts w:ascii="Bookman Old Style" w:hAnsi="Bookman Old Style" w:cs="Arial"/>
                <w:color w:val="000000"/>
                <w:sz w:val="16"/>
                <w:szCs w:val="16"/>
                <w:lang w:eastAsia="es-CO"/>
              </w:rPr>
              <w:t xml:space="preserve"> </w:t>
            </w:r>
          </w:p>
        </w:tc>
        <w:tc>
          <w:tcPr>
            <w:tcW w:w="2835" w:type="dxa"/>
            <w:tcBorders>
              <w:top w:val="nil"/>
              <w:left w:val="nil"/>
              <w:bottom w:val="single" w:sz="8" w:space="0" w:color="auto"/>
              <w:right w:val="single" w:sz="8" w:space="0" w:color="auto"/>
            </w:tcBorders>
            <w:shd w:val="clear" w:color="auto" w:fill="auto"/>
            <w:vAlign w:val="center"/>
            <w:hideMark/>
          </w:tcPr>
          <w:p w14:paraId="7901D1FC" w14:textId="77777777" w:rsidR="00624E3C" w:rsidRPr="00874D8E" w:rsidRDefault="00624E3C" w:rsidP="000E5253">
            <w:pPr>
              <w:ind w:left="0"/>
              <w:rPr>
                <w:rFonts w:ascii="Bookman Old Style" w:hAnsi="Bookman Old Style" w:cs="Arial"/>
                <w:color w:val="000000"/>
                <w:sz w:val="16"/>
                <w:szCs w:val="16"/>
                <w:lang w:val="es-CO" w:eastAsia="es-CO"/>
              </w:rPr>
            </w:pPr>
            <w:r w:rsidRPr="00874D8E">
              <w:rPr>
                <w:rFonts w:ascii="Bookman Old Style" w:hAnsi="Bookman Old Style" w:cs="Arial"/>
                <w:color w:val="000000"/>
                <w:sz w:val="16"/>
                <w:szCs w:val="16"/>
                <w:lang w:eastAsia="es-CO"/>
              </w:rPr>
              <w:t>Gas combustible</w:t>
            </w:r>
          </w:p>
        </w:tc>
        <w:tc>
          <w:tcPr>
            <w:tcW w:w="2977" w:type="dxa"/>
            <w:tcBorders>
              <w:top w:val="nil"/>
              <w:left w:val="nil"/>
              <w:bottom w:val="single" w:sz="8" w:space="0" w:color="auto"/>
              <w:right w:val="single" w:sz="8" w:space="0" w:color="auto"/>
            </w:tcBorders>
            <w:shd w:val="clear" w:color="auto" w:fill="auto"/>
            <w:vAlign w:val="center"/>
            <w:hideMark/>
          </w:tcPr>
          <w:p w14:paraId="55E1BC70" w14:textId="77777777" w:rsidR="00624E3C" w:rsidRPr="00874D8E" w:rsidRDefault="00624E3C" w:rsidP="000E5253">
            <w:pPr>
              <w:ind w:left="0"/>
              <w:rPr>
                <w:rFonts w:ascii="Bookman Old Style" w:hAnsi="Bookman Old Style" w:cs="Arial"/>
                <w:color w:val="000000"/>
                <w:sz w:val="16"/>
                <w:szCs w:val="16"/>
                <w:lang w:val="es-CO" w:eastAsia="es-CO"/>
              </w:rPr>
            </w:pPr>
            <w:r w:rsidRPr="00874D8E">
              <w:rPr>
                <w:rFonts w:ascii="Bookman Old Style" w:hAnsi="Bookman Old Style" w:cs="Arial"/>
                <w:color w:val="000000"/>
                <w:sz w:val="16"/>
                <w:szCs w:val="16"/>
                <w:lang w:eastAsia="es-CO"/>
              </w:rPr>
              <w:t>Gas combustible</w:t>
            </w:r>
          </w:p>
        </w:tc>
      </w:tr>
      <w:tr w:rsidR="00624E3C" w:rsidRPr="00874D8E" w14:paraId="248B3388" w14:textId="77777777" w:rsidTr="00874D8E">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5B17A70" w14:textId="77777777" w:rsidR="00624E3C" w:rsidRPr="00874D8E" w:rsidRDefault="00624E3C" w:rsidP="000E5253">
            <w:pPr>
              <w:ind w:left="0"/>
              <w:rPr>
                <w:rFonts w:ascii="Bookman Old Style" w:hAnsi="Bookman Old Style" w:cs="Arial"/>
                <w:color w:val="000000"/>
                <w:sz w:val="16"/>
                <w:szCs w:val="16"/>
                <w:lang w:val="es-CO" w:eastAsia="es-CO"/>
              </w:rPr>
            </w:pPr>
            <w:r w:rsidRPr="00874D8E">
              <w:rPr>
                <w:rFonts w:ascii="Bookman Old Style" w:hAnsi="Bookman Old Style" w:cs="Arial"/>
                <w:color w:val="000000"/>
                <w:sz w:val="16"/>
                <w:szCs w:val="16"/>
                <w:lang w:eastAsia="es-CO"/>
              </w:rPr>
              <w:t>Carbón mineral</w:t>
            </w:r>
          </w:p>
        </w:tc>
        <w:tc>
          <w:tcPr>
            <w:tcW w:w="2835" w:type="dxa"/>
            <w:tcBorders>
              <w:top w:val="nil"/>
              <w:left w:val="nil"/>
              <w:bottom w:val="single" w:sz="8" w:space="0" w:color="auto"/>
              <w:right w:val="single" w:sz="8" w:space="0" w:color="auto"/>
            </w:tcBorders>
            <w:shd w:val="clear" w:color="auto" w:fill="auto"/>
            <w:vAlign w:val="center"/>
            <w:hideMark/>
          </w:tcPr>
          <w:p w14:paraId="74B2F8DF" w14:textId="77777777" w:rsidR="00624E3C" w:rsidRPr="00874D8E" w:rsidRDefault="00624E3C" w:rsidP="000E5253">
            <w:pPr>
              <w:jc w:val="center"/>
              <w:rPr>
                <w:rFonts w:ascii="Bookman Old Style" w:hAnsi="Bookman Old Style" w:cs="Arial"/>
                <w:color w:val="000000"/>
                <w:sz w:val="16"/>
                <w:szCs w:val="16"/>
                <w:lang w:val="es-CO" w:eastAsia="es-CO"/>
              </w:rPr>
            </w:pPr>
            <w:r w:rsidRPr="00874D8E">
              <w:rPr>
                <w:rFonts w:ascii="Bookman Old Style" w:hAnsi="Bookman Old Style" w:cs="Arial"/>
                <w:color w:val="000000"/>
                <w:sz w:val="16"/>
                <w:szCs w:val="16"/>
                <w:lang w:val="es-CO" w:eastAsia="es-CO"/>
              </w:rPr>
              <w:t> </w:t>
            </w:r>
          </w:p>
        </w:tc>
        <w:tc>
          <w:tcPr>
            <w:tcW w:w="2977" w:type="dxa"/>
            <w:tcBorders>
              <w:top w:val="nil"/>
              <w:left w:val="nil"/>
              <w:bottom w:val="single" w:sz="8" w:space="0" w:color="auto"/>
              <w:right w:val="single" w:sz="8" w:space="0" w:color="auto"/>
            </w:tcBorders>
            <w:shd w:val="clear" w:color="auto" w:fill="auto"/>
            <w:vAlign w:val="center"/>
            <w:hideMark/>
          </w:tcPr>
          <w:p w14:paraId="11026938" w14:textId="77777777" w:rsidR="00624E3C" w:rsidRPr="00874D8E" w:rsidRDefault="00624E3C" w:rsidP="000E5253">
            <w:pPr>
              <w:jc w:val="center"/>
              <w:rPr>
                <w:rFonts w:ascii="Bookman Old Style" w:hAnsi="Bookman Old Style" w:cs="Arial"/>
                <w:color w:val="000000"/>
                <w:sz w:val="16"/>
                <w:szCs w:val="16"/>
                <w:lang w:val="es-CO" w:eastAsia="es-CO"/>
              </w:rPr>
            </w:pPr>
            <w:r w:rsidRPr="00874D8E">
              <w:rPr>
                <w:rFonts w:ascii="Bookman Old Style" w:hAnsi="Bookman Old Style" w:cs="Arial"/>
                <w:color w:val="000000"/>
                <w:sz w:val="16"/>
                <w:szCs w:val="16"/>
                <w:lang w:val="es-CO" w:eastAsia="es-CO"/>
              </w:rPr>
              <w:t> </w:t>
            </w:r>
          </w:p>
        </w:tc>
      </w:tr>
      <w:tr w:rsidR="00624E3C" w:rsidRPr="00874D8E" w14:paraId="78D12262" w14:textId="77777777" w:rsidTr="00874D8E">
        <w:trPr>
          <w:trHeight w:val="315"/>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0B44A600" w14:textId="77777777" w:rsidR="00624E3C" w:rsidRPr="00874D8E" w:rsidRDefault="00624E3C" w:rsidP="000E5253">
            <w:pPr>
              <w:ind w:left="0"/>
              <w:rPr>
                <w:rFonts w:ascii="Bookman Old Style" w:hAnsi="Bookman Old Style" w:cs="Arial"/>
                <w:color w:val="000000"/>
                <w:sz w:val="16"/>
                <w:szCs w:val="16"/>
                <w:lang w:val="es-CO" w:eastAsia="es-CO"/>
              </w:rPr>
            </w:pPr>
            <w:r w:rsidRPr="00874D8E">
              <w:rPr>
                <w:rFonts w:ascii="Bookman Old Style" w:hAnsi="Bookman Old Style" w:cs="Arial"/>
                <w:color w:val="000000"/>
                <w:sz w:val="16"/>
                <w:szCs w:val="16"/>
                <w:lang w:eastAsia="es-CO"/>
              </w:rPr>
              <w:t xml:space="preserve">ACPM y Fuel </w:t>
            </w:r>
            <w:proofErr w:type="spellStart"/>
            <w:r w:rsidRPr="00874D8E">
              <w:rPr>
                <w:rFonts w:ascii="Bookman Old Style" w:hAnsi="Bookman Old Style" w:cs="Arial"/>
                <w:color w:val="000000"/>
                <w:sz w:val="16"/>
                <w:szCs w:val="16"/>
                <w:lang w:eastAsia="es-CO"/>
              </w:rPr>
              <w:t>oil</w:t>
            </w:r>
            <w:proofErr w:type="spellEnd"/>
          </w:p>
        </w:tc>
        <w:tc>
          <w:tcPr>
            <w:tcW w:w="2835" w:type="dxa"/>
            <w:tcBorders>
              <w:top w:val="nil"/>
              <w:left w:val="nil"/>
              <w:bottom w:val="single" w:sz="8" w:space="0" w:color="auto"/>
              <w:right w:val="single" w:sz="8" w:space="0" w:color="auto"/>
            </w:tcBorders>
            <w:shd w:val="clear" w:color="auto" w:fill="auto"/>
            <w:vAlign w:val="center"/>
            <w:hideMark/>
          </w:tcPr>
          <w:p w14:paraId="63A10D50" w14:textId="77777777" w:rsidR="00624E3C" w:rsidRPr="00874D8E" w:rsidRDefault="00624E3C" w:rsidP="000E5253">
            <w:pPr>
              <w:jc w:val="center"/>
              <w:rPr>
                <w:rFonts w:ascii="Bookman Old Style" w:hAnsi="Bookman Old Style" w:cs="Arial"/>
                <w:color w:val="000000"/>
                <w:sz w:val="16"/>
                <w:szCs w:val="16"/>
                <w:lang w:val="es-CO" w:eastAsia="es-CO"/>
              </w:rPr>
            </w:pPr>
            <w:r w:rsidRPr="00874D8E">
              <w:rPr>
                <w:rFonts w:ascii="Bookman Old Style" w:hAnsi="Bookman Old Style" w:cs="Arial"/>
                <w:color w:val="000000"/>
                <w:sz w:val="16"/>
                <w:szCs w:val="16"/>
                <w:lang w:val="es-CO" w:eastAsia="es-CO"/>
              </w:rPr>
              <w:t> </w:t>
            </w:r>
          </w:p>
        </w:tc>
        <w:tc>
          <w:tcPr>
            <w:tcW w:w="2977" w:type="dxa"/>
            <w:tcBorders>
              <w:top w:val="nil"/>
              <w:left w:val="nil"/>
              <w:bottom w:val="single" w:sz="8" w:space="0" w:color="auto"/>
              <w:right w:val="single" w:sz="8" w:space="0" w:color="auto"/>
            </w:tcBorders>
            <w:shd w:val="clear" w:color="auto" w:fill="auto"/>
            <w:vAlign w:val="center"/>
            <w:hideMark/>
          </w:tcPr>
          <w:p w14:paraId="3488A28F" w14:textId="7C6F3F52" w:rsidR="00624E3C" w:rsidRPr="00874D8E" w:rsidRDefault="00624E3C" w:rsidP="000E5253">
            <w:pPr>
              <w:ind w:left="0"/>
              <w:rPr>
                <w:rFonts w:ascii="Bookman Old Style" w:hAnsi="Bookman Old Style" w:cs="Arial"/>
                <w:color w:val="000000"/>
                <w:sz w:val="16"/>
                <w:szCs w:val="16"/>
                <w:lang w:val="es-CO" w:eastAsia="es-CO"/>
              </w:rPr>
            </w:pPr>
            <w:r w:rsidRPr="00874D8E">
              <w:rPr>
                <w:rFonts w:ascii="Bookman Old Style" w:hAnsi="Bookman Old Style" w:cs="Arial"/>
                <w:color w:val="000000"/>
                <w:sz w:val="16"/>
                <w:szCs w:val="16"/>
                <w:lang w:eastAsia="es-CO"/>
              </w:rPr>
              <w:t xml:space="preserve">ACPM y Fuel </w:t>
            </w:r>
            <w:proofErr w:type="spellStart"/>
            <w:r w:rsidRPr="00874D8E">
              <w:rPr>
                <w:rFonts w:ascii="Bookman Old Style" w:hAnsi="Bookman Old Style" w:cs="Arial"/>
                <w:color w:val="000000"/>
                <w:sz w:val="16"/>
                <w:szCs w:val="16"/>
                <w:lang w:eastAsia="es-CO"/>
              </w:rPr>
              <w:t>oil</w:t>
            </w:r>
            <w:proofErr w:type="spellEnd"/>
          </w:p>
        </w:tc>
      </w:tr>
    </w:tbl>
    <w:p w14:paraId="767E7E22" w14:textId="77777777" w:rsidR="00CE0E34" w:rsidRPr="0024494C" w:rsidRDefault="00CE0E34" w:rsidP="000E5253">
      <w:pPr>
        <w:ind w:left="0"/>
        <w:jc w:val="both"/>
        <w:rPr>
          <w:rFonts w:ascii="Bookman Old Style" w:hAnsi="Bookman Old Style" w:cs="Arial"/>
        </w:rPr>
      </w:pPr>
    </w:p>
    <w:p w14:paraId="09B19D21" w14:textId="154DB1FC" w:rsidR="00FA5CD2" w:rsidRPr="0024494C" w:rsidRDefault="00885C78" w:rsidP="000E5253">
      <w:pPr>
        <w:ind w:left="0"/>
        <w:jc w:val="both"/>
        <w:rPr>
          <w:rFonts w:ascii="Bookman Old Style" w:hAnsi="Bookman Old Style" w:cs="Arial"/>
        </w:rPr>
      </w:pPr>
      <w:r w:rsidRPr="0024494C">
        <w:rPr>
          <w:rFonts w:ascii="Bookman Old Style" w:hAnsi="Bookman Old Style" w:cs="Arial"/>
        </w:rPr>
        <w:t>C</w:t>
      </w:r>
      <w:r w:rsidR="00FA5CD2" w:rsidRPr="0024494C">
        <w:rPr>
          <w:rFonts w:ascii="Bookman Old Style" w:hAnsi="Bookman Old Style" w:cs="Arial"/>
        </w:rPr>
        <w:t xml:space="preserve">on corte al </w:t>
      </w:r>
      <w:r w:rsidR="006245D9" w:rsidRPr="0024494C">
        <w:rPr>
          <w:rFonts w:ascii="Bookman Old Style" w:hAnsi="Bookman Old Style" w:cs="Arial"/>
        </w:rPr>
        <w:t>12</w:t>
      </w:r>
      <w:r w:rsidR="00607A41" w:rsidRPr="0024494C">
        <w:rPr>
          <w:rFonts w:ascii="Bookman Old Style" w:hAnsi="Bookman Old Style" w:cs="Arial"/>
        </w:rPr>
        <w:t xml:space="preserve"> de </w:t>
      </w:r>
      <w:r w:rsidR="006245D9" w:rsidRPr="0024494C">
        <w:rPr>
          <w:rFonts w:ascii="Bookman Old Style" w:hAnsi="Bookman Old Style" w:cs="Arial"/>
        </w:rPr>
        <w:t>julio</w:t>
      </w:r>
      <w:r w:rsidR="00FA5CD2" w:rsidRPr="0024494C">
        <w:rPr>
          <w:rFonts w:ascii="Bookman Old Style" w:hAnsi="Bookman Old Style" w:cs="Arial"/>
        </w:rPr>
        <w:t xml:space="preserve"> de 202</w:t>
      </w:r>
      <w:r w:rsidR="006245D9" w:rsidRPr="0024494C">
        <w:rPr>
          <w:rFonts w:ascii="Bookman Old Style" w:hAnsi="Bookman Old Style" w:cs="Arial"/>
        </w:rPr>
        <w:t>3</w:t>
      </w:r>
      <w:r w:rsidR="00FA5CD2" w:rsidRPr="0024494C">
        <w:rPr>
          <w:rFonts w:ascii="Bookman Old Style" w:hAnsi="Bookman Old Style" w:cs="Arial"/>
        </w:rPr>
        <w:t xml:space="preserve">, </w:t>
      </w:r>
      <w:r w:rsidRPr="0024494C">
        <w:rPr>
          <w:rFonts w:ascii="Bookman Old Style" w:hAnsi="Bookman Old Style" w:cs="Arial"/>
        </w:rPr>
        <w:t xml:space="preserve">las empresas reguladas presentaron </w:t>
      </w:r>
      <w:r w:rsidR="00E56065" w:rsidRPr="0024494C">
        <w:rPr>
          <w:rFonts w:ascii="Bookman Old Style" w:hAnsi="Bookman Old Style" w:cs="Arial"/>
        </w:rPr>
        <w:t>al SUI</w:t>
      </w:r>
      <w:r w:rsidR="008754BA">
        <w:rPr>
          <w:rFonts w:ascii="Bookman Old Style" w:hAnsi="Bookman Old Style" w:cs="Arial"/>
        </w:rPr>
        <w:t xml:space="preserve"> de la </w:t>
      </w:r>
      <w:r w:rsidR="008754BA" w:rsidRPr="0024494C">
        <w:rPr>
          <w:rFonts w:ascii="Bookman Old Style" w:hAnsi="Bookman Old Style" w:cs="Arial"/>
        </w:rPr>
        <w:t>Superintendencia Servicios Públicos Domiciliarios</w:t>
      </w:r>
      <w:r w:rsidR="00E56065" w:rsidRPr="0024494C">
        <w:rPr>
          <w:rFonts w:ascii="Bookman Old Style" w:hAnsi="Bookman Old Style" w:cs="Arial"/>
        </w:rPr>
        <w:t xml:space="preserve">, su información financiera </w:t>
      </w:r>
      <w:r w:rsidR="00FA5CD2" w:rsidRPr="0024494C">
        <w:rPr>
          <w:rFonts w:ascii="Bookman Old Style" w:hAnsi="Bookman Old Style" w:cs="Arial"/>
        </w:rPr>
        <w:t>del año 202</w:t>
      </w:r>
      <w:r w:rsidR="006245D9" w:rsidRPr="0024494C">
        <w:rPr>
          <w:rFonts w:ascii="Bookman Old Style" w:hAnsi="Bookman Old Style" w:cs="Arial"/>
        </w:rPr>
        <w:t>2</w:t>
      </w:r>
      <w:r w:rsidRPr="0024494C">
        <w:rPr>
          <w:rFonts w:ascii="Bookman Old Style" w:hAnsi="Bookman Old Style" w:cs="Arial"/>
        </w:rPr>
        <w:t xml:space="preserve">, </w:t>
      </w:r>
      <w:r w:rsidR="00E56065" w:rsidRPr="0024494C">
        <w:rPr>
          <w:rFonts w:ascii="Bookman Old Style" w:hAnsi="Bookman Old Style" w:cs="Arial"/>
        </w:rPr>
        <w:t>detallada en las siguientes cuentas</w:t>
      </w:r>
      <w:r w:rsidR="00FA5CD2" w:rsidRPr="0024494C">
        <w:rPr>
          <w:rFonts w:ascii="Bookman Old Style" w:hAnsi="Bookman Old Style" w:cs="Arial"/>
        </w:rPr>
        <w:t>:</w:t>
      </w:r>
    </w:p>
    <w:p w14:paraId="5C28C008" w14:textId="77777777" w:rsidR="00FD0DF7" w:rsidRPr="0024494C" w:rsidRDefault="00FD0DF7" w:rsidP="000E5253">
      <w:pPr>
        <w:ind w:left="0"/>
        <w:jc w:val="both"/>
        <w:rPr>
          <w:rFonts w:ascii="Bookman Old Style" w:hAnsi="Bookman Old Style" w:cs="Arial"/>
        </w:rPr>
      </w:pPr>
    </w:p>
    <w:p w14:paraId="2330A480" w14:textId="6B6614D2" w:rsidR="00F80E95" w:rsidRPr="008754BA" w:rsidRDefault="00FD0DF7" w:rsidP="00DD34A1">
      <w:pPr>
        <w:pStyle w:val="Descripcin"/>
        <w:keepNext/>
        <w:rPr>
          <w:rFonts w:ascii="Bookman Old Style" w:hAnsi="Bookman Old Style" w:cs="Arial"/>
          <w:color w:val="auto"/>
          <w:sz w:val="16"/>
          <w:szCs w:val="16"/>
        </w:rPr>
      </w:pPr>
      <w:r w:rsidRPr="008754BA">
        <w:rPr>
          <w:rFonts w:ascii="Bookman Old Style" w:hAnsi="Bookman Old Style"/>
          <w:color w:val="auto"/>
          <w:sz w:val="16"/>
          <w:szCs w:val="16"/>
        </w:rPr>
        <w:t xml:space="preserve">Tabla </w:t>
      </w:r>
      <w:r w:rsidR="00DD34A1" w:rsidRPr="008754BA">
        <w:rPr>
          <w:rFonts w:ascii="Bookman Old Style" w:hAnsi="Bookman Old Style"/>
          <w:color w:val="auto"/>
          <w:sz w:val="16"/>
          <w:szCs w:val="16"/>
        </w:rPr>
        <w:t>6 Consolidado detallado de la base gravable contribución 2023</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9"/>
        <w:gridCol w:w="4660"/>
        <w:gridCol w:w="2126"/>
      </w:tblGrid>
      <w:tr w:rsidR="005A57D9" w:rsidRPr="008754BA" w14:paraId="5BFEF17B" w14:textId="77777777" w:rsidTr="00285D5B">
        <w:trPr>
          <w:trHeight w:val="498"/>
          <w:jc w:val="center"/>
        </w:trPr>
        <w:tc>
          <w:tcPr>
            <w:tcW w:w="1289" w:type="dxa"/>
            <w:shd w:val="clear" w:color="auto" w:fill="auto"/>
            <w:noWrap/>
            <w:vAlign w:val="center"/>
            <w:hideMark/>
          </w:tcPr>
          <w:p w14:paraId="164A3184" w14:textId="77777777" w:rsidR="005A57D9" w:rsidRPr="005A57D9" w:rsidRDefault="005A57D9" w:rsidP="005A57D9">
            <w:pPr>
              <w:ind w:left="0"/>
              <w:jc w:val="center"/>
              <w:rPr>
                <w:rFonts w:ascii="Bookman Old Style" w:hAnsi="Bookman Old Style" w:cs="Arial"/>
                <w:b/>
                <w:bCs/>
                <w:sz w:val="16"/>
                <w:szCs w:val="16"/>
              </w:rPr>
            </w:pPr>
            <w:r w:rsidRPr="005A57D9">
              <w:rPr>
                <w:rFonts w:ascii="Bookman Old Style" w:hAnsi="Bookman Old Style" w:cs="Arial"/>
                <w:b/>
                <w:bCs/>
                <w:sz w:val="16"/>
                <w:szCs w:val="16"/>
              </w:rPr>
              <w:t>TIPO DE GASTO</w:t>
            </w:r>
          </w:p>
        </w:tc>
        <w:tc>
          <w:tcPr>
            <w:tcW w:w="4660" w:type="dxa"/>
            <w:shd w:val="clear" w:color="auto" w:fill="auto"/>
            <w:noWrap/>
            <w:vAlign w:val="center"/>
            <w:hideMark/>
          </w:tcPr>
          <w:p w14:paraId="375A5757" w14:textId="77777777" w:rsidR="005A57D9" w:rsidRPr="005A57D9" w:rsidRDefault="005A57D9" w:rsidP="005A57D9">
            <w:pPr>
              <w:ind w:left="0"/>
              <w:jc w:val="center"/>
              <w:rPr>
                <w:rFonts w:ascii="Bookman Old Style" w:hAnsi="Bookman Old Style" w:cs="Arial"/>
                <w:b/>
                <w:bCs/>
                <w:sz w:val="16"/>
                <w:szCs w:val="16"/>
              </w:rPr>
            </w:pPr>
            <w:r w:rsidRPr="005A57D9">
              <w:rPr>
                <w:rFonts w:ascii="Bookman Old Style" w:hAnsi="Bookman Old Style" w:cs="Arial"/>
                <w:b/>
                <w:bCs/>
                <w:sz w:val="16"/>
                <w:szCs w:val="16"/>
              </w:rPr>
              <w:t xml:space="preserve"> CONCEPTOS </w:t>
            </w:r>
          </w:p>
        </w:tc>
        <w:tc>
          <w:tcPr>
            <w:tcW w:w="2126" w:type="dxa"/>
            <w:shd w:val="clear" w:color="auto" w:fill="auto"/>
            <w:noWrap/>
            <w:vAlign w:val="center"/>
            <w:hideMark/>
          </w:tcPr>
          <w:p w14:paraId="1FD57BE6" w14:textId="77777777" w:rsidR="005A57D9" w:rsidRPr="005A57D9" w:rsidRDefault="005A57D9" w:rsidP="005A57D9">
            <w:pPr>
              <w:ind w:left="0"/>
              <w:jc w:val="center"/>
              <w:rPr>
                <w:rFonts w:ascii="Bookman Old Style" w:hAnsi="Bookman Old Style" w:cs="Arial"/>
                <w:b/>
                <w:bCs/>
                <w:sz w:val="16"/>
                <w:szCs w:val="16"/>
              </w:rPr>
            </w:pPr>
            <w:r w:rsidRPr="005A57D9">
              <w:rPr>
                <w:rFonts w:ascii="Bookman Old Style" w:hAnsi="Bookman Old Style" w:cs="Arial"/>
                <w:b/>
                <w:bCs/>
                <w:sz w:val="16"/>
                <w:szCs w:val="16"/>
              </w:rPr>
              <w:t>VALORES EEFF 2022</w:t>
            </w:r>
          </w:p>
        </w:tc>
      </w:tr>
      <w:tr w:rsidR="005A57D9" w:rsidRPr="008754BA" w14:paraId="64C4D9B9" w14:textId="77777777" w:rsidTr="00A32889">
        <w:trPr>
          <w:trHeight w:val="267"/>
          <w:jc w:val="center"/>
        </w:trPr>
        <w:tc>
          <w:tcPr>
            <w:tcW w:w="1289" w:type="dxa"/>
            <w:shd w:val="clear" w:color="auto" w:fill="auto"/>
            <w:noWrap/>
            <w:vAlign w:val="center"/>
            <w:hideMark/>
          </w:tcPr>
          <w:p w14:paraId="5E82EE19"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5FF51CEE"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w:t>
            </w:r>
            <w:proofErr w:type="gramStart"/>
            <w:r w:rsidRPr="005A57D9">
              <w:rPr>
                <w:rFonts w:ascii="Bookman Old Style" w:hAnsi="Bookman Old Style" w:cs="Arial"/>
                <w:sz w:val="16"/>
                <w:szCs w:val="16"/>
              </w:rPr>
              <w:t>Total</w:t>
            </w:r>
            <w:proofErr w:type="gramEnd"/>
            <w:r w:rsidRPr="005A57D9">
              <w:rPr>
                <w:rFonts w:ascii="Bookman Old Style" w:hAnsi="Bookman Old Style" w:cs="Arial"/>
                <w:sz w:val="16"/>
                <w:szCs w:val="16"/>
              </w:rPr>
              <w:t xml:space="preserve"> Gastos Administrativos </w:t>
            </w:r>
          </w:p>
        </w:tc>
        <w:tc>
          <w:tcPr>
            <w:tcW w:w="2126" w:type="dxa"/>
            <w:shd w:val="clear" w:color="auto" w:fill="auto"/>
            <w:noWrap/>
            <w:vAlign w:val="center"/>
            <w:hideMark/>
          </w:tcPr>
          <w:p w14:paraId="5963CD39"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$ 23.900.028.701.277</w:t>
            </w:r>
          </w:p>
        </w:tc>
      </w:tr>
      <w:tr w:rsidR="005A57D9" w:rsidRPr="008754BA" w14:paraId="5FAB59EA" w14:textId="77777777" w:rsidTr="00A32889">
        <w:trPr>
          <w:trHeight w:val="267"/>
          <w:jc w:val="center"/>
        </w:trPr>
        <w:tc>
          <w:tcPr>
            <w:tcW w:w="1289" w:type="dxa"/>
            <w:shd w:val="clear" w:color="auto" w:fill="auto"/>
            <w:noWrap/>
            <w:vAlign w:val="center"/>
            <w:hideMark/>
          </w:tcPr>
          <w:p w14:paraId="6EE17C20"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5B63C35F"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Ajustes Diferencia en Cambio </w:t>
            </w:r>
          </w:p>
        </w:tc>
        <w:tc>
          <w:tcPr>
            <w:tcW w:w="2126" w:type="dxa"/>
            <w:shd w:val="clear" w:color="auto" w:fill="auto"/>
            <w:noWrap/>
            <w:vAlign w:val="center"/>
            <w:hideMark/>
          </w:tcPr>
          <w:p w14:paraId="1D4AF525"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($ 1.834.840.782.188)</w:t>
            </w:r>
          </w:p>
        </w:tc>
      </w:tr>
      <w:tr w:rsidR="005A57D9" w:rsidRPr="008754BA" w14:paraId="18BEF799" w14:textId="77777777" w:rsidTr="00A32889">
        <w:trPr>
          <w:trHeight w:val="267"/>
          <w:jc w:val="center"/>
        </w:trPr>
        <w:tc>
          <w:tcPr>
            <w:tcW w:w="1289" w:type="dxa"/>
            <w:shd w:val="clear" w:color="auto" w:fill="auto"/>
            <w:noWrap/>
            <w:vAlign w:val="center"/>
            <w:hideMark/>
          </w:tcPr>
          <w:p w14:paraId="4BA55F2B"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2240C373"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Comisiones </w:t>
            </w:r>
          </w:p>
        </w:tc>
        <w:tc>
          <w:tcPr>
            <w:tcW w:w="2126" w:type="dxa"/>
            <w:shd w:val="clear" w:color="auto" w:fill="auto"/>
            <w:noWrap/>
            <w:vAlign w:val="center"/>
            <w:hideMark/>
          </w:tcPr>
          <w:p w14:paraId="2996C98D"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($ 53.297.563.568)</w:t>
            </w:r>
          </w:p>
        </w:tc>
      </w:tr>
      <w:tr w:rsidR="005A57D9" w:rsidRPr="008754BA" w14:paraId="4A4ABB23" w14:textId="77777777" w:rsidTr="00A32889">
        <w:trPr>
          <w:trHeight w:val="267"/>
          <w:jc w:val="center"/>
        </w:trPr>
        <w:tc>
          <w:tcPr>
            <w:tcW w:w="1289" w:type="dxa"/>
            <w:shd w:val="clear" w:color="auto" w:fill="auto"/>
            <w:noWrap/>
            <w:vAlign w:val="center"/>
            <w:hideMark/>
          </w:tcPr>
          <w:p w14:paraId="712D6618"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75B2ABCA"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Donaciones </w:t>
            </w:r>
          </w:p>
        </w:tc>
        <w:tc>
          <w:tcPr>
            <w:tcW w:w="2126" w:type="dxa"/>
            <w:shd w:val="clear" w:color="auto" w:fill="auto"/>
            <w:noWrap/>
            <w:vAlign w:val="center"/>
            <w:hideMark/>
          </w:tcPr>
          <w:p w14:paraId="62755500"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($ 26.295.115.507)</w:t>
            </w:r>
          </w:p>
        </w:tc>
      </w:tr>
      <w:tr w:rsidR="005A57D9" w:rsidRPr="008754BA" w14:paraId="6166B6B3" w14:textId="77777777" w:rsidTr="00A32889">
        <w:trPr>
          <w:trHeight w:val="267"/>
          <w:jc w:val="center"/>
        </w:trPr>
        <w:tc>
          <w:tcPr>
            <w:tcW w:w="1289" w:type="dxa"/>
            <w:shd w:val="clear" w:color="auto" w:fill="auto"/>
            <w:noWrap/>
            <w:vAlign w:val="center"/>
            <w:hideMark/>
          </w:tcPr>
          <w:p w14:paraId="2FFA1B43"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28F4A23F"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Financieros </w:t>
            </w:r>
          </w:p>
        </w:tc>
        <w:tc>
          <w:tcPr>
            <w:tcW w:w="2126" w:type="dxa"/>
            <w:shd w:val="clear" w:color="auto" w:fill="auto"/>
            <w:noWrap/>
            <w:vAlign w:val="center"/>
            <w:hideMark/>
          </w:tcPr>
          <w:p w14:paraId="4C011A9C"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($ 5.979.638.425.991)</w:t>
            </w:r>
          </w:p>
        </w:tc>
      </w:tr>
      <w:tr w:rsidR="005A57D9" w:rsidRPr="008754BA" w14:paraId="13E244D5" w14:textId="77777777" w:rsidTr="00A32889">
        <w:trPr>
          <w:trHeight w:val="267"/>
          <w:jc w:val="center"/>
        </w:trPr>
        <w:tc>
          <w:tcPr>
            <w:tcW w:w="1289" w:type="dxa"/>
            <w:shd w:val="clear" w:color="auto" w:fill="auto"/>
            <w:noWrap/>
            <w:vAlign w:val="center"/>
            <w:hideMark/>
          </w:tcPr>
          <w:p w14:paraId="3C7BDDAD"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76F3F7DB" w14:textId="1DD5C30D"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Perdida por el </w:t>
            </w:r>
            <w:r w:rsidRPr="008754BA">
              <w:rPr>
                <w:rFonts w:ascii="Bookman Old Style" w:hAnsi="Bookman Old Style" w:cs="Arial"/>
                <w:sz w:val="16"/>
                <w:szCs w:val="16"/>
              </w:rPr>
              <w:t>método</w:t>
            </w:r>
            <w:r w:rsidRPr="005A57D9">
              <w:rPr>
                <w:rFonts w:ascii="Bookman Old Style" w:hAnsi="Bookman Old Style" w:cs="Arial"/>
                <w:sz w:val="16"/>
                <w:szCs w:val="16"/>
              </w:rPr>
              <w:t xml:space="preserve"> de participación patrimonial </w:t>
            </w:r>
          </w:p>
        </w:tc>
        <w:tc>
          <w:tcPr>
            <w:tcW w:w="2126" w:type="dxa"/>
            <w:shd w:val="clear" w:color="auto" w:fill="auto"/>
            <w:noWrap/>
            <w:vAlign w:val="center"/>
            <w:hideMark/>
          </w:tcPr>
          <w:p w14:paraId="08788DBD"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($ 165.676.289.000)</w:t>
            </w:r>
          </w:p>
        </w:tc>
      </w:tr>
      <w:tr w:rsidR="005A57D9" w:rsidRPr="008754BA" w14:paraId="1910DF52" w14:textId="77777777" w:rsidTr="00A32889">
        <w:trPr>
          <w:trHeight w:val="267"/>
          <w:jc w:val="center"/>
        </w:trPr>
        <w:tc>
          <w:tcPr>
            <w:tcW w:w="1289" w:type="dxa"/>
            <w:shd w:val="clear" w:color="auto" w:fill="auto"/>
            <w:noWrap/>
            <w:vAlign w:val="center"/>
            <w:hideMark/>
          </w:tcPr>
          <w:p w14:paraId="6A77698E"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0219660C"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Litigios y/o demandas </w:t>
            </w:r>
          </w:p>
        </w:tc>
        <w:tc>
          <w:tcPr>
            <w:tcW w:w="2126" w:type="dxa"/>
            <w:shd w:val="clear" w:color="auto" w:fill="auto"/>
            <w:noWrap/>
            <w:vAlign w:val="center"/>
            <w:hideMark/>
          </w:tcPr>
          <w:p w14:paraId="236C9EB2"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($ 168.016.089.351)</w:t>
            </w:r>
          </w:p>
        </w:tc>
      </w:tr>
      <w:tr w:rsidR="005A57D9" w:rsidRPr="008754BA" w14:paraId="34DD6852" w14:textId="77777777" w:rsidTr="00A32889">
        <w:trPr>
          <w:trHeight w:val="267"/>
          <w:jc w:val="center"/>
        </w:trPr>
        <w:tc>
          <w:tcPr>
            <w:tcW w:w="1289" w:type="dxa"/>
            <w:shd w:val="clear" w:color="auto" w:fill="auto"/>
            <w:noWrap/>
            <w:vAlign w:val="center"/>
            <w:hideMark/>
          </w:tcPr>
          <w:p w14:paraId="3754104D"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2F0226B3" w14:textId="5B1C2E0E"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w:t>
            </w:r>
            <w:r w:rsidRPr="008754BA">
              <w:rPr>
                <w:rFonts w:ascii="Bookman Old Style" w:hAnsi="Bookman Old Style" w:cs="Arial"/>
                <w:sz w:val="16"/>
                <w:szCs w:val="16"/>
              </w:rPr>
              <w:t>Garantías</w:t>
            </w:r>
            <w:r w:rsidRPr="005A57D9">
              <w:rPr>
                <w:rFonts w:ascii="Bookman Old Style" w:hAnsi="Bookman Old Style" w:cs="Arial"/>
                <w:sz w:val="16"/>
                <w:szCs w:val="16"/>
              </w:rPr>
              <w:t xml:space="preserve"> </w:t>
            </w:r>
          </w:p>
        </w:tc>
        <w:tc>
          <w:tcPr>
            <w:tcW w:w="2126" w:type="dxa"/>
            <w:shd w:val="clear" w:color="auto" w:fill="auto"/>
            <w:noWrap/>
            <w:vAlign w:val="center"/>
            <w:hideMark/>
          </w:tcPr>
          <w:p w14:paraId="00937ADF"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($ 91.781.376.000)</w:t>
            </w:r>
          </w:p>
        </w:tc>
      </w:tr>
      <w:tr w:rsidR="005A57D9" w:rsidRPr="008754BA" w14:paraId="343C3AC9" w14:textId="77777777" w:rsidTr="00A32889">
        <w:trPr>
          <w:trHeight w:val="267"/>
          <w:jc w:val="center"/>
        </w:trPr>
        <w:tc>
          <w:tcPr>
            <w:tcW w:w="1289" w:type="dxa"/>
            <w:shd w:val="clear" w:color="auto" w:fill="auto"/>
            <w:noWrap/>
            <w:vAlign w:val="center"/>
            <w:hideMark/>
          </w:tcPr>
          <w:p w14:paraId="2CF7EB2E"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3E061D70"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Diversas </w:t>
            </w:r>
          </w:p>
        </w:tc>
        <w:tc>
          <w:tcPr>
            <w:tcW w:w="2126" w:type="dxa"/>
            <w:shd w:val="clear" w:color="auto" w:fill="auto"/>
            <w:noWrap/>
            <w:vAlign w:val="center"/>
            <w:hideMark/>
          </w:tcPr>
          <w:p w14:paraId="0BA42C18"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($ 46.463.871.611)</w:t>
            </w:r>
          </w:p>
        </w:tc>
      </w:tr>
      <w:tr w:rsidR="005A57D9" w:rsidRPr="008754BA" w14:paraId="3360C678" w14:textId="77777777" w:rsidTr="00A32889">
        <w:trPr>
          <w:trHeight w:val="267"/>
          <w:jc w:val="center"/>
        </w:trPr>
        <w:tc>
          <w:tcPr>
            <w:tcW w:w="1289" w:type="dxa"/>
            <w:shd w:val="clear" w:color="auto" w:fill="auto"/>
            <w:noWrap/>
            <w:vAlign w:val="center"/>
            <w:hideMark/>
          </w:tcPr>
          <w:p w14:paraId="05A7EEFD"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16881BB5"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Amortización </w:t>
            </w:r>
          </w:p>
        </w:tc>
        <w:tc>
          <w:tcPr>
            <w:tcW w:w="2126" w:type="dxa"/>
            <w:shd w:val="clear" w:color="auto" w:fill="auto"/>
            <w:noWrap/>
            <w:vAlign w:val="center"/>
            <w:hideMark/>
          </w:tcPr>
          <w:p w14:paraId="7E9BA047"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($ 168.257.281.686)</w:t>
            </w:r>
          </w:p>
        </w:tc>
      </w:tr>
      <w:tr w:rsidR="005A57D9" w:rsidRPr="008754BA" w14:paraId="434BAE0F" w14:textId="77777777" w:rsidTr="00A32889">
        <w:trPr>
          <w:trHeight w:val="267"/>
          <w:jc w:val="center"/>
        </w:trPr>
        <w:tc>
          <w:tcPr>
            <w:tcW w:w="1289" w:type="dxa"/>
            <w:shd w:val="clear" w:color="auto" w:fill="auto"/>
            <w:noWrap/>
            <w:vAlign w:val="center"/>
            <w:hideMark/>
          </w:tcPr>
          <w:p w14:paraId="22AABB0B"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0AD6597C"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Depreciación </w:t>
            </w:r>
          </w:p>
        </w:tc>
        <w:tc>
          <w:tcPr>
            <w:tcW w:w="2126" w:type="dxa"/>
            <w:shd w:val="clear" w:color="auto" w:fill="auto"/>
            <w:noWrap/>
            <w:vAlign w:val="center"/>
            <w:hideMark/>
          </w:tcPr>
          <w:p w14:paraId="5C339E45"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($ 244.565.784.461)</w:t>
            </w:r>
          </w:p>
        </w:tc>
      </w:tr>
      <w:tr w:rsidR="005A57D9" w:rsidRPr="008754BA" w14:paraId="0BE5CF21" w14:textId="77777777" w:rsidTr="00A32889">
        <w:trPr>
          <w:trHeight w:val="267"/>
          <w:jc w:val="center"/>
        </w:trPr>
        <w:tc>
          <w:tcPr>
            <w:tcW w:w="1289" w:type="dxa"/>
            <w:shd w:val="clear" w:color="auto" w:fill="auto"/>
            <w:noWrap/>
            <w:vAlign w:val="center"/>
            <w:hideMark/>
          </w:tcPr>
          <w:p w14:paraId="49614BFE"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34AD213F"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Deterioro </w:t>
            </w:r>
          </w:p>
        </w:tc>
        <w:tc>
          <w:tcPr>
            <w:tcW w:w="2126" w:type="dxa"/>
            <w:shd w:val="clear" w:color="auto" w:fill="auto"/>
            <w:noWrap/>
            <w:vAlign w:val="center"/>
            <w:hideMark/>
          </w:tcPr>
          <w:p w14:paraId="70E13CC9"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($ 2.688.892.629.372)</w:t>
            </w:r>
          </w:p>
        </w:tc>
      </w:tr>
      <w:tr w:rsidR="005A57D9" w:rsidRPr="008754BA" w14:paraId="7EB1CBEE" w14:textId="77777777" w:rsidTr="00A32889">
        <w:trPr>
          <w:trHeight w:val="267"/>
          <w:jc w:val="center"/>
        </w:trPr>
        <w:tc>
          <w:tcPr>
            <w:tcW w:w="1289" w:type="dxa"/>
            <w:shd w:val="clear" w:color="auto" w:fill="auto"/>
            <w:noWrap/>
            <w:vAlign w:val="center"/>
            <w:hideMark/>
          </w:tcPr>
          <w:p w14:paraId="0A47CBE1"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7F6534A0"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Impuesto a las Ganancias Corrientes </w:t>
            </w:r>
          </w:p>
        </w:tc>
        <w:tc>
          <w:tcPr>
            <w:tcW w:w="2126" w:type="dxa"/>
            <w:shd w:val="clear" w:color="auto" w:fill="auto"/>
            <w:noWrap/>
            <w:vAlign w:val="center"/>
            <w:hideMark/>
          </w:tcPr>
          <w:p w14:paraId="68A0DFAD"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($ 7.241.449.852.175)</w:t>
            </w:r>
          </w:p>
        </w:tc>
      </w:tr>
      <w:tr w:rsidR="005A57D9" w:rsidRPr="008754BA" w14:paraId="6C790474" w14:textId="77777777" w:rsidTr="00A32889">
        <w:trPr>
          <w:trHeight w:val="267"/>
          <w:jc w:val="center"/>
        </w:trPr>
        <w:tc>
          <w:tcPr>
            <w:tcW w:w="1289" w:type="dxa"/>
            <w:shd w:val="clear" w:color="auto" w:fill="auto"/>
            <w:noWrap/>
            <w:vAlign w:val="center"/>
            <w:hideMark/>
          </w:tcPr>
          <w:p w14:paraId="05E972BC"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67E340C7"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Impuesto a las Ganancias Diferido </w:t>
            </w:r>
          </w:p>
        </w:tc>
        <w:tc>
          <w:tcPr>
            <w:tcW w:w="2126" w:type="dxa"/>
            <w:shd w:val="clear" w:color="auto" w:fill="auto"/>
            <w:noWrap/>
            <w:vAlign w:val="center"/>
            <w:hideMark/>
          </w:tcPr>
          <w:p w14:paraId="14391220"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($ 471.426.345.775)</w:t>
            </w:r>
          </w:p>
        </w:tc>
      </w:tr>
      <w:tr w:rsidR="005A57D9" w:rsidRPr="008754BA" w14:paraId="671CE9FD" w14:textId="77777777" w:rsidTr="00A32889">
        <w:trPr>
          <w:trHeight w:val="267"/>
          <w:jc w:val="center"/>
        </w:trPr>
        <w:tc>
          <w:tcPr>
            <w:tcW w:w="1289" w:type="dxa"/>
            <w:shd w:val="clear" w:color="auto" w:fill="auto"/>
            <w:noWrap/>
            <w:vAlign w:val="center"/>
            <w:hideMark/>
          </w:tcPr>
          <w:p w14:paraId="79ACC422"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73ED3F10"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Impuestos Tasas y Contribuciones </w:t>
            </w:r>
          </w:p>
        </w:tc>
        <w:tc>
          <w:tcPr>
            <w:tcW w:w="2126" w:type="dxa"/>
            <w:shd w:val="clear" w:color="auto" w:fill="auto"/>
            <w:noWrap/>
            <w:vAlign w:val="center"/>
            <w:hideMark/>
          </w:tcPr>
          <w:p w14:paraId="6F994C9C"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($ 919.675.930.233)</w:t>
            </w:r>
          </w:p>
        </w:tc>
      </w:tr>
      <w:tr w:rsidR="005A57D9" w:rsidRPr="008754BA" w14:paraId="01B530CB" w14:textId="77777777" w:rsidTr="00A32889">
        <w:trPr>
          <w:trHeight w:val="267"/>
          <w:jc w:val="center"/>
        </w:trPr>
        <w:tc>
          <w:tcPr>
            <w:tcW w:w="1289" w:type="dxa"/>
            <w:shd w:val="clear" w:color="auto" w:fill="auto"/>
            <w:noWrap/>
            <w:vAlign w:val="center"/>
            <w:hideMark/>
          </w:tcPr>
          <w:p w14:paraId="5B498FB6"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lastRenderedPageBreak/>
              <w:t>Administrativo</w:t>
            </w:r>
          </w:p>
        </w:tc>
        <w:tc>
          <w:tcPr>
            <w:tcW w:w="4660" w:type="dxa"/>
            <w:shd w:val="clear" w:color="auto" w:fill="auto"/>
            <w:noWrap/>
            <w:vAlign w:val="center"/>
            <w:hideMark/>
          </w:tcPr>
          <w:p w14:paraId="301B1C2C"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Gastos Diversos </w:t>
            </w:r>
          </w:p>
        </w:tc>
        <w:tc>
          <w:tcPr>
            <w:tcW w:w="2126" w:type="dxa"/>
            <w:shd w:val="clear" w:color="auto" w:fill="auto"/>
            <w:noWrap/>
            <w:vAlign w:val="center"/>
            <w:hideMark/>
          </w:tcPr>
          <w:p w14:paraId="1B14A2C5"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($ 342.333.966.854)</w:t>
            </w:r>
          </w:p>
        </w:tc>
      </w:tr>
      <w:tr w:rsidR="005A57D9" w:rsidRPr="008754BA" w14:paraId="1992BD78" w14:textId="77777777" w:rsidTr="00A32889">
        <w:trPr>
          <w:trHeight w:val="267"/>
          <w:jc w:val="center"/>
        </w:trPr>
        <w:tc>
          <w:tcPr>
            <w:tcW w:w="1289" w:type="dxa"/>
            <w:shd w:val="clear" w:color="auto" w:fill="auto"/>
            <w:noWrap/>
            <w:vAlign w:val="center"/>
            <w:hideMark/>
          </w:tcPr>
          <w:p w14:paraId="1F1D8B54"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4B76D61B"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Secretaría Distrital del Medio Ambiente </w:t>
            </w:r>
          </w:p>
        </w:tc>
        <w:tc>
          <w:tcPr>
            <w:tcW w:w="2126" w:type="dxa"/>
            <w:shd w:val="clear" w:color="auto" w:fill="auto"/>
            <w:noWrap/>
            <w:vAlign w:val="center"/>
            <w:hideMark/>
          </w:tcPr>
          <w:p w14:paraId="2900AA51"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$ 0</w:t>
            </w:r>
          </w:p>
        </w:tc>
      </w:tr>
      <w:tr w:rsidR="005A57D9" w:rsidRPr="008754BA" w14:paraId="5782A05B" w14:textId="77777777" w:rsidTr="00A32889">
        <w:trPr>
          <w:trHeight w:val="267"/>
          <w:jc w:val="center"/>
        </w:trPr>
        <w:tc>
          <w:tcPr>
            <w:tcW w:w="1289" w:type="dxa"/>
            <w:shd w:val="clear" w:color="auto" w:fill="auto"/>
            <w:noWrap/>
            <w:vAlign w:val="center"/>
            <w:hideMark/>
          </w:tcPr>
          <w:p w14:paraId="2D7B687B"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7263FFE3"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Ley 56 de 1981 </w:t>
            </w:r>
          </w:p>
        </w:tc>
        <w:tc>
          <w:tcPr>
            <w:tcW w:w="2126" w:type="dxa"/>
            <w:shd w:val="clear" w:color="auto" w:fill="auto"/>
            <w:noWrap/>
            <w:vAlign w:val="center"/>
            <w:hideMark/>
          </w:tcPr>
          <w:p w14:paraId="015C9311"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($ 575.118.000)</w:t>
            </w:r>
          </w:p>
        </w:tc>
      </w:tr>
      <w:tr w:rsidR="005A57D9" w:rsidRPr="008754BA" w14:paraId="2EBA2C64" w14:textId="77777777" w:rsidTr="00A32889">
        <w:trPr>
          <w:trHeight w:val="267"/>
          <w:jc w:val="center"/>
        </w:trPr>
        <w:tc>
          <w:tcPr>
            <w:tcW w:w="1289" w:type="dxa"/>
            <w:shd w:val="clear" w:color="auto" w:fill="auto"/>
            <w:noWrap/>
            <w:vAlign w:val="center"/>
            <w:hideMark/>
          </w:tcPr>
          <w:p w14:paraId="494EB134"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6AF0FDA4"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Medio Ambiente - Ley 99 de 1993 </w:t>
            </w:r>
          </w:p>
        </w:tc>
        <w:tc>
          <w:tcPr>
            <w:tcW w:w="2126" w:type="dxa"/>
            <w:shd w:val="clear" w:color="auto" w:fill="auto"/>
            <w:noWrap/>
            <w:vAlign w:val="center"/>
            <w:hideMark/>
          </w:tcPr>
          <w:p w14:paraId="3A3F700B"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$ 0</w:t>
            </w:r>
          </w:p>
        </w:tc>
      </w:tr>
      <w:tr w:rsidR="005A57D9" w:rsidRPr="008754BA" w14:paraId="746DC36F" w14:textId="77777777" w:rsidTr="00A32889">
        <w:trPr>
          <w:trHeight w:val="267"/>
          <w:jc w:val="center"/>
        </w:trPr>
        <w:tc>
          <w:tcPr>
            <w:tcW w:w="1289" w:type="dxa"/>
            <w:shd w:val="clear" w:color="auto" w:fill="auto"/>
            <w:noWrap/>
            <w:vAlign w:val="center"/>
            <w:hideMark/>
          </w:tcPr>
          <w:p w14:paraId="3745BC5D"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095812EE"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Regalías </w:t>
            </w:r>
          </w:p>
        </w:tc>
        <w:tc>
          <w:tcPr>
            <w:tcW w:w="2126" w:type="dxa"/>
            <w:shd w:val="clear" w:color="auto" w:fill="auto"/>
            <w:noWrap/>
            <w:vAlign w:val="center"/>
            <w:hideMark/>
          </w:tcPr>
          <w:p w14:paraId="12DAF175"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$ 0</w:t>
            </w:r>
          </w:p>
        </w:tc>
      </w:tr>
      <w:tr w:rsidR="005A57D9" w:rsidRPr="008754BA" w14:paraId="14341F50" w14:textId="77777777" w:rsidTr="00A32889">
        <w:trPr>
          <w:trHeight w:val="267"/>
          <w:jc w:val="center"/>
        </w:trPr>
        <w:tc>
          <w:tcPr>
            <w:tcW w:w="1289" w:type="dxa"/>
            <w:shd w:val="clear" w:color="auto" w:fill="auto"/>
            <w:noWrap/>
            <w:vAlign w:val="center"/>
            <w:hideMark/>
          </w:tcPr>
          <w:p w14:paraId="31EF606D"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47530D0A"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Licencia De Operación Del Servicio </w:t>
            </w:r>
          </w:p>
        </w:tc>
        <w:tc>
          <w:tcPr>
            <w:tcW w:w="2126" w:type="dxa"/>
            <w:shd w:val="clear" w:color="auto" w:fill="auto"/>
            <w:noWrap/>
            <w:vAlign w:val="center"/>
            <w:hideMark/>
          </w:tcPr>
          <w:p w14:paraId="5828117F"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$ 0</w:t>
            </w:r>
          </w:p>
        </w:tc>
      </w:tr>
      <w:tr w:rsidR="005A57D9" w:rsidRPr="008754BA" w14:paraId="0212853F" w14:textId="77777777" w:rsidTr="00A32889">
        <w:trPr>
          <w:trHeight w:val="267"/>
          <w:jc w:val="center"/>
        </w:trPr>
        <w:tc>
          <w:tcPr>
            <w:tcW w:w="1289" w:type="dxa"/>
            <w:shd w:val="clear" w:color="auto" w:fill="auto"/>
            <w:noWrap/>
            <w:vAlign w:val="center"/>
            <w:hideMark/>
          </w:tcPr>
          <w:p w14:paraId="2EA2024D"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183F0D55"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FAZNI </w:t>
            </w:r>
          </w:p>
        </w:tc>
        <w:tc>
          <w:tcPr>
            <w:tcW w:w="2126" w:type="dxa"/>
            <w:shd w:val="clear" w:color="auto" w:fill="auto"/>
            <w:noWrap/>
            <w:vAlign w:val="center"/>
            <w:hideMark/>
          </w:tcPr>
          <w:p w14:paraId="45EF22B0"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$ 0</w:t>
            </w:r>
          </w:p>
        </w:tc>
      </w:tr>
      <w:tr w:rsidR="005A57D9" w:rsidRPr="008754BA" w14:paraId="4CE347E0" w14:textId="77777777" w:rsidTr="00A32889">
        <w:trPr>
          <w:trHeight w:val="267"/>
          <w:jc w:val="center"/>
        </w:trPr>
        <w:tc>
          <w:tcPr>
            <w:tcW w:w="1289" w:type="dxa"/>
            <w:shd w:val="clear" w:color="auto" w:fill="auto"/>
            <w:noWrap/>
            <w:vAlign w:val="center"/>
            <w:hideMark/>
          </w:tcPr>
          <w:p w14:paraId="1B8E640E"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40A14055"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FAER </w:t>
            </w:r>
          </w:p>
        </w:tc>
        <w:tc>
          <w:tcPr>
            <w:tcW w:w="2126" w:type="dxa"/>
            <w:shd w:val="clear" w:color="auto" w:fill="auto"/>
            <w:noWrap/>
            <w:vAlign w:val="center"/>
            <w:hideMark/>
          </w:tcPr>
          <w:p w14:paraId="052DE628"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$ 0</w:t>
            </w:r>
          </w:p>
        </w:tc>
      </w:tr>
      <w:tr w:rsidR="005A57D9" w:rsidRPr="008754BA" w14:paraId="3DD4B414" w14:textId="77777777" w:rsidTr="00A32889">
        <w:trPr>
          <w:trHeight w:val="267"/>
          <w:jc w:val="center"/>
        </w:trPr>
        <w:tc>
          <w:tcPr>
            <w:tcW w:w="1289" w:type="dxa"/>
            <w:shd w:val="clear" w:color="auto" w:fill="auto"/>
            <w:noWrap/>
            <w:vAlign w:val="center"/>
            <w:hideMark/>
          </w:tcPr>
          <w:p w14:paraId="464930D2"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00E2B6F8"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Cuota de Fomento de gas </w:t>
            </w:r>
          </w:p>
        </w:tc>
        <w:tc>
          <w:tcPr>
            <w:tcW w:w="2126" w:type="dxa"/>
            <w:shd w:val="clear" w:color="auto" w:fill="auto"/>
            <w:noWrap/>
            <w:vAlign w:val="center"/>
            <w:hideMark/>
          </w:tcPr>
          <w:p w14:paraId="1491F0EF"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$ 0</w:t>
            </w:r>
          </w:p>
        </w:tc>
      </w:tr>
      <w:tr w:rsidR="005A57D9" w:rsidRPr="008754BA" w14:paraId="75294285" w14:textId="77777777" w:rsidTr="00A32889">
        <w:trPr>
          <w:trHeight w:val="267"/>
          <w:jc w:val="center"/>
        </w:trPr>
        <w:tc>
          <w:tcPr>
            <w:tcW w:w="1289" w:type="dxa"/>
            <w:shd w:val="clear" w:color="auto" w:fill="auto"/>
            <w:noWrap/>
            <w:vAlign w:val="center"/>
            <w:hideMark/>
          </w:tcPr>
          <w:p w14:paraId="240D2B89"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284BF4D9"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Comité De Estratificación -Ley 505 De 1999 </w:t>
            </w:r>
          </w:p>
        </w:tc>
        <w:tc>
          <w:tcPr>
            <w:tcW w:w="2126" w:type="dxa"/>
            <w:shd w:val="clear" w:color="auto" w:fill="auto"/>
            <w:noWrap/>
            <w:vAlign w:val="center"/>
            <w:hideMark/>
          </w:tcPr>
          <w:p w14:paraId="04FCE6A7"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($ 4.863.000)</w:t>
            </w:r>
          </w:p>
        </w:tc>
      </w:tr>
      <w:tr w:rsidR="005A57D9" w:rsidRPr="008754BA" w14:paraId="6F56691E" w14:textId="77777777" w:rsidTr="00A32889">
        <w:trPr>
          <w:trHeight w:val="267"/>
          <w:jc w:val="center"/>
        </w:trPr>
        <w:tc>
          <w:tcPr>
            <w:tcW w:w="1289" w:type="dxa"/>
            <w:shd w:val="clear" w:color="auto" w:fill="auto"/>
            <w:noWrap/>
            <w:vAlign w:val="center"/>
            <w:hideMark/>
          </w:tcPr>
          <w:p w14:paraId="4AE9EED0"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0B7B7D34"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Art 25 - Ley 142 - Concesiones, y permisos ambientales y sanitarios </w:t>
            </w:r>
          </w:p>
        </w:tc>
        <w:tc>
          <w:tcPr>
            <w:tcW w:w="2126" w:type="dxa"/>
            <w:shd w:val="clear" w:color="auto" w:fill="auto"/>
            <w:noWrap/>
            <w:vAlign w:val="center"/>
            <w:hideMark/>
          </w:tcPr>
          <w:p w14:paraId="1B7EECFD"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$ 0</w:t>
            </w:r>
          </w:p>
        </w:tc>
      </w:tr>
      <w:tr w:rsidR="005A57D9" w:rsidRPr="008754BA" w14:paraId="599AC903" w14:textId="77777777" w:rsidTr="00A32889">
        <w:trPr>
          <w:trHeight w:val="267"/>
          <w:jc w:val="center"/>
        </w:trPr>
        <w:tc>
          <w:tcPr>
            <w:tcW w:w="1289" w:type="dxa"/>
            <w:shd w:val="clear" w:color="auto" w:fill="auto"/>
            <w:noWrap/>
            <w:vAlign w:val="center"/>
            <w:hideMark/>
          </w:tcPr>
          <w:p w14:paraId="610BA17A"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Administrativo</w:t>
            </w:r>
          </w:p>
        </w:tc>
        <w:tc>
          <w:tcPr>
            <w:tcW w:w="4660" w:type="dxa"/>
            <w:shd w:val="clear" w:color="auto" w:fill="auto"/>
            <w:noWrap/>
            <w:vAlign w:val="center"/>
            <w:hideMark/>
          </w:tcPr>
          <w:p w14:paraId="163EAFA5"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 Otras licencias Ley 142 de 1994 </w:t>
            </w:r>
          </w:p>
        </w:tc>
        <w:tc>
          <w:tcPr>
            <w:tcW w:w="2126" w:type="dxa"/>
            <w:shd w:val="clear" w:color="auto" w:fill="auto"/>
            <w:noWrap/>
            <w:vAlign w:val="center"/>
            <w:hideMark/>
          </w:tcPr>
          <w:p w14:paraId="7DE51D1C"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($ 80.725.800)</w:t>
            </w:r>
          </w:p>
        </w:tc>
      </w:tr>
      <w:tr w:rsidR="005A57D9" w:rsidRPr="008754BA" w14:paraId="5EB05582" w14:textId="77777777" w:rsidTr="00A32889">
        <w:trPr>
          <w:trHeight w:val="267"/>
          <w:jc w:val="center"/>
        </w:trPr>
        <w:tc>
          <w:tcPr>
            <w:tcW w:w="1289" w:type="dxa"/>
            <w:shd w:val="clear" w:color="auto" w:fill="auto"/>
            <w:noWrap/>
            <w:vAlign w:val="center"/>
            <w:hideMark/>
          </w:tcPr>
          <w:p w14:paraId="221E4C16"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Operativo</w:t>
            </w:r>
          </w:p>
        </w:tc>
        <w:tc>
          <w:tcPr>
            <w:tcW w:w="4660" w:type="dxa"/>
            <w:shd w:val="clear" w:color="auto" w:fill="auto"/>
            <w:noWrap/>
            <w:vAlign w:val="center"/>
            <w:hideMark/>
          </w:tcPr>
          <w:p w14:paraId="7F59B337"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Compras en bloque y/o a largo plazo </w:t>
            </w:r>
          </w:p>
        </w:tc>
        <w:tc>
          <w:tcPr>
            <w:tcW w:w="2126" w:type="dxa"/>
            <w:shd w:val="clear" w:color="auto" w:fill="auto"/>
            <w:noWrap/>
            <w:vAlign w:val="center"/>
            <w:hideMark/>
          </w:tcPr>
          <w:p w14:paraId="2F3D5345"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$ 14.530.840.061.664</w:t>
            </w:r>
          </w:p>
        </w:tc>
      </w:tr>
      <w:tr w:rsidR="005A57D9" w:rsidRPr="008754BA" w14:paraId="3E8F7F4C" w14:textId="77777777" w:rsidTr="00A32889">
        <w:trPr>
          <w:trHeight w:val="267"/>
          <w:jc w:val="center"/>
        </w:trPr>
        <w:tc>
          <w:tcPr>
            <w:tcW w:w="1289" w:type="dxa"/>
            <w:shd w:val="clear" w:color="auto" w:fill="auto"/>
            <w:noWrap/>
            <w:vAlign w:val="center"/>
            <w:hideMark/>
          </w:tcPr>
          <w:p w14:paraId="2DCD3518"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Operativo</w:t>
            </w:r>
          </w:p>
        </w:tc>
        <w:tc>
          <w:tcPr>
            <w:tcW w:w="4660" w:type="dxa"/>
            <w:shd w:val="clear" w:color="auto" w:fill="auto"/>
            <w:noWrap/>
            <w:vAlign w:val="center"/>
            <w:hideMark/>
          </w:tcPr>
          <w:p w14:paraId="347A9D88"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Compras en bolsa y/o a corto plazo </w:t>
            </w:r>
          </w:p>
        </w:tc>
        <w:tc>
          <w:tcPr>
            <w:tcW w:w="2126" w:type="dxa"/>
            <w:shd w:val="clear" w:color="auto" w:fill="auto"/>
            <w:noWrap/>
            <w:vAlign w:val="center"/>
            <w:hideMark/>
          </w:tcPr>
          <w:p w14:paraId="5EFA2CA4"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$ 5.964.993.880.445</w:t>
            </w:r>
          </w:p>
        </w:tc>
      </w:tr>
      <w:tr w:rsidR="005A57D9" w:rsidRPr="008754BA" w14:paraId="612913CC" w14:textId="77777777" w:rsidTr="00A32889">
        <w:trPr>
          <w:trHeight w:val="267"/>
          <w:jc w:val="center"/>
        </w:trPr>
        <w:tc>
          <w:tcPr>
            <w:tcW w:w="1289" w:type="dxa"/>
            <w:shd w:val="clear" w:color="auto" w:fill="auto"/>
            <w:noWrap/>
            <w:vAlign w:val="center"/>
            <w:hideMark/>
          </w:tcPr>
          <w:p w14:paraId="221359C8"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Operativo</w:t>
            </w:r>
          </w:p>
        </w:tc>
        <w:tc>
          <w:tcPr>
            <w:tcW w:w="4660" w:type="dxa"/>
            <w:shd w:val="clear" w:color="auto" w:fill="auto"/>
            <w:noWrap/>
            <w:vAlign w:val="center"/>
            <w:hideMark/>
          </w:tcPr>
          <w:p w14:paraId="5B6818F5"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Uso de Líneas, redes y ductos </w:t>
            </w:r>
          </w:p>
        </w:tc>
        <w:tc>
          <w:tcPr>
            <w:tcW w:w="2126" w:type="dxa"/>
            <w:shd w:val="clear" w:color="auto" w:fill="auto"/>
            <w:noWrap/>
            <w:vAlign w:val="center"/>
            <w:hideMark/>
          </w:tcPr>
          <w:p w14:paraId="43925DE6"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$ 6.886.018.177.822</w:t>
            </w:r>
          </w:p>
        </w:tc>
      </w:tr>
      <w:tr w:rsidR="005A57D9" w:rsidRPr="008754BA" w14:paraId="2C5A558E" w14:textId="77777777" w:rsidTr="00A32889">
        <w:trPr>
          <w:trHeight w:val="267"/>
          <w:jc w:val="center"/>
        </w:trPr>
        <w:tc>
          <w:tcPr>
            <w:tcW w:w="1289" w:type="dxa"/>
            <w:shd w:val="clear" w:color="auto" w:fill="auto"/>
            <w:noWrap/>
            <w:vAlign w:val="center"/>
            <w:hideMark/>
          </w:tcPr>
          <w:p w14:paraId="7FE971BE"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Operativo</w:t>
            </w:r>
          </w:p>
        </w:tc>
        <w:tc>
          <w:tcPr>
            <w:tcW w:w="4660" w:type="dxa"/>
            <w:shd w:val="clear" w:color="auto" w:fill="auto"/>
            <w:noWrap/>
            <w:vAlign w:val="center"/>
            <w:hideMark/>
          </w:tcPr>
          <w:p w14:paraId="39BD70CC"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Gas Combustible </w:t>
            </w:r>
          </w:p>
        </w:tc>
        <w:tc>
          <w:tcPr>
            <w:tcW w:w="2126" w:type="dxa"/>
            <w:shd w:val="clear" w:color="auto" w:fill="auto"/>
            <w:noWrap/>
            <w:vAlign w:val="center"/>
            <w:hideMark/>
          </w:tcPr>
          <w:p w14:paraId="339D15CE"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$ 2.677.362.992.224</w:t>
            </w:r>
          </w:p>
        </w:tc>
      </w:tr>
      <w:tr w:rsidR="005A57D9" w:rsidRPr="008754BA" w14:paraId="07BDDAB8" w14:textId="77777777" w:rsidTr="00A32889">
        <w:trPr>
          <w:trHeight w:val="267"/>
          <w:jc w:val="center"/>
        </w:trPr>
        <w:tc>
          <w:tcPr>
            <w:tcW w:w="1289" w:type="dxa"/>
            <w:shd w:val="clear" w:color="auto" w:fill="auto"/>
            <w:noWrap/>
            <w:vAlign w:val="center"/>
            <w:hideMark/>
          </w:tcPr>
          <w:p w14:paraId="2090FAA2"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Operativo</w:t>
            </w:r>
          </w:p>
        </w:tc>
        <w:tc>
          <w:tcPr>
            <w:tcW w:w="4660" w:type="dxa"/>
            <w:shd w:val="clear" w:color="auto" w:fill="auto"/>
            <w:noWrap/>
            <w:vAlign w:val="center"/>
            <w:hideMark/>
          </w:tcPr>
          <w:p w14:paraId="74EBEEB7"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Carbón Mineral </w:t>
            </w:r>
          </w:p>
        </w:tc>
        <w:tc>
          <w:tcPr>
            <w:tcW w:w="2126" w:type="dxa"/>
            <w:shd w:val="clear" w:color="auto" w:fill="auto"/>
            <w:noWrap/>
            <w:vAlign w:val="center"/>
            <w:hideMark/>
          </w:tcPr>
          <w:p w14:paraId="1A31E8D4"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$ 367.849.916.000</w:t>
            </w:r>
          </w:p>
        </w:tc>
      </w:tr>
      <w:tr w:rsidR="005A57D9" w:rsidRPr="008754BA" w14:paraId="79579AB6" w14:textId="77777777" w:rsidTr="00A32889">
        <w:trPr>
          <w:trHeight w:val="267"/>
          <w:jc w:val="center"/>
        </w:trPr>
        <w:tc>
          <w:tcPr>
            <w:tcW w:w="1289" w:type="dxa"/>
            <w:shd w:val="clear" w:color="auto" w:fill="auto"/>
            <w:noWrap/>
            <w:vAlign w:val="center"/>
            <w:hideMark/>
          </w:tcPr>
          <w:p w14:paraId="197C862F"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Operativo</w:t>
            </w:r>
          </w:p>
        </w:tc>
        <w:tc>
          <w:tcPr>
            <w:tcW w:w="4660" w:type="dxa"/>
            <w:shd w:val="clear" w:color="auto" w:fill="auto"/>
            <w:noWrap/>
            <w:vAlign w:val="center"/>
            <w:hideMark/>
          </w:tcPr>
          <w:p w14:paraId="59347B89"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ACPM, Fuel </w:t>
            </w:r>
            <w:proofErr w:type="spellStart"/>
            <w:r w:rsidRPr="005A57D9">
              <w:rPr>
                <w:rFonts w:ascii="Bookman Old Style" w:hAnsi="Bookman Old Style" w:cs="Arial"/>
                <w:sz w:val="16"/>
                <w:szCs w:val="16"/>
              </w:rPr>
              <w:t>Oil</w:t>
            </w:r>
            <w:proofErr w:type="spellEnd"/>
            <w:r w:rsidRPr="005A57D9">
              <w:rPr>
                <w:rFonts w:ascii="Bookman Old Style" w:hAnsi="Bookman Old Style" w:cs="Arial"/>
                <w:sz w:val="16"/>
                <w:szCs w:val="16"/>
              </w:rPr>
              <w:t xml:space="preserve"> </w:t>
            </w:r>
          </w:p>
        </w:tc>
        <w:tc>
          <w:tcPr>
            <w:tcW w:w="2126" w:type="dxa"/>
            <w:shd w:val="clear" w:color="auto" w:fill="auto"/>
            <w:noWrap/>
            <w:vAlign w:val="center"/>
            <w:hideMark/>
          </w:tcPr>
          <w:p w14:paraId="4D741507"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$ 219.304.347.443</w:t>
            </w:r>
          </w:p>
        </w:tc>
      </w:tr>
      <w:tr w:rsidR="005A57D9" w:rsidRPr="008754BA" w14:paraId="639B50E8" w14:textId="77777777" w:rsidTr="00A32889">
        <w:trPr>
          <w:trHeight w:val="267"/>
          <w:jc w:val="center"/>
        </w:trPr>
        <w:tc>
          <w:tcPr>
            <w:tcW w:w="1289" w:type="dxa"/>
            <w:shd w:val="clear" w:color="auto" w:fill="auto"/>
            <w:noWrap/>
            <w:vAlign w:val="center"/>
            <w:hideMark/>
          </w:tcPr>
          <w:p w14:paraId="30D72AE9"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Operativo</w:t>
            </w:r>
          </w:p>
        </w:tc>
        <w:tc>
          <w:tcPr>
            <w:tcW w:w="4660" w:type="dxa"/>
            <w:shd w:val="clear" w:color="auto" w:fill="auto"/>
            <w:noWrap/>
            <w:vAlign w:val="center"/>
            <w:hideMark/>
          </w:tcPr>
          <w:p w14:paraId="4995EA9C"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Gastos de distribución y/o comercialización de gas combustible por redes </w:t>
            </w:r>
          </w:p>
        </w:tc>
        <w:tc>
          <w:tcPr>
            <w:tcW w:w="2126" w:type="dxa"/>
            <w:shd w:val="clear" w:color="auto" w:fill="auto"/>
            <w:noWrap/>
            <w:vAlign w:val="center"/>
            <w:hideMark/>
          </w:tcPr>
          <w:p w14:paraId="175644D5"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$ 7.135.767.608.068</w:t>
            </w:r>
          </w:p>
        </w:tc>
      </w:tr>
      <w:tr w:rsidR="005A57D9" w:rsidRPr="008754BA" w14:paraId="150330E6" w14:textId="77777777" w:rsidTr="00A32889">
        <w:trPr>
          <w:trHeight w:val="267"/>
          <w:jc w:val="center"/>
        </w:trPr>
        <w:tc>
          <w:tcPr>
            <w:tcW w:w="1289" w:type="dxa"/>
            <w:shd w:val="clear" w:color="auto" w:fill="auto"/>
            <w:noWrap/>
            <w:vAlign w:val="center"/>
            <w:hideMark/>
          </w:tcPr>
          <w:p w14:paraId="587BB097"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Operativo</w:t>
            </w:r>
          </w:p>
        </w:tc>
        <w:tc>
          <w:tcPr>
            <w:tcW w:w="4660" w:type="dxa"/>
            <w:shd w:val="clear" w:color="auto" w:fill="auto"/>
            <w:noWrap/>
            <w:vAlign w:val="center"/>
            <w:hideMark/>
          </w:tcPr>
          <w:p w14:paraId="1C3288AB" w14:textId="77777777" w:rsidR="005A57D9" w:rsidRPr="005A57D9" w:rsidRDefault="005A57D9" w:rsidP="005A57D9">
            <w:pPr>
              <w:ind w:left="0"/>
              <w:rPr>
                <w:rFonts w:ascii="Bookman Old Style" w:hAnsi="Bookman Old Style" w:cs="Arial"/>
                <w:sz w:val="16"/>
                <w:szCs w:val="16"/>
              </w:rPr>
            </w:pPr>
            <w:r w:rsidRPr="005A57D9">
              <w:rPr>
                <w:rFonts w:ascii="Bookman Old Style" w:hAnsi="Bookman Old Style" w:cs="Arial"/>
                <w:sz w:val="16"/>
                <w:szCs w:val="16"/>
              </w:rPr>
              <w:t xml:space="preserve"> Gastos de distribución y/o comercialización de gas licuado de petróleo - GLP </w:t>
            </w:r>
          </w:p>
        </w:tc>
        <w:tc>
          <w:tcPr>
            <w:tcW w:w="2126" w:type="dxa"/>
            <w:shd w:val="clear" w:color="auto" w:fill="auto"/>
            <w:noWrap/>
            <w:vAlign w:val="center"/>
            <w:hideMark/>
          </w:tcPr>
          <w:p w14:paraId="59B1CC9B" w14:textId="77777777" w:rsidR="005A57D9" w:rsidRPr="005A57D9" w:rsidRDefault="005A57D9" w:rsidP="005A57D9">
            <w:pPr>
              <w:ind w:left="0"/>
              <w:jc w:val="right"/>
              <w:rPr>
                <w:rFonts w:ascii="Bookman Old Style" w:hAnsi="Bookman Old Style" w:cs="Arial"/>
                <w:sz w:val="16"/>
                <w:szCs w:val="16"/>
              </w:rPr>
            </w:pPr>
            <w:r w:rsidRPr="005A57D9">
              <w:rPr>
                <w:rFonts w:ascii="Bookman Old Style" w:hAnsi="Bookman Old Style" w:cs="Arial"/>
                <w:sz w:val="16"/>
                <w:szCs w:val="16"/>
              </w:rPr>
              <w:t>$ 1.871.054.555.967</w:t>
            </w:r>
          </w:p>
        </w:tc>
      </w:tr>
      <w:tr w:rsidR="005A57D9" w:rsidRPr="008754BA" w14:paraId="7A565168" w14:textId="77777777" w:rsidTr="00A32889">
        <w:trPr>
          <w:trHeight w:val="267"/>
          <w:jc w:val="center"/>
        </w:trPr>
        <w:tc>
          <w:tcPr>
            <w:tcW w:w="1289" w:type="dxa"/>
            <w:shd w:val="clear" w:color="auto" w:fill="auto"/>
            <w:noWrap/>
            <w:vAlign w:val="center"/>
            <w:hideMark/>
          </w:tcPr>
          <w:p w14:paraId="3677B22F" w14:textId="77777777" w:rsidR="005A57D9" w:rsidRPr="005A57D9" w:rsidRDefault="005A57D9" w:rsidP="005A57D9">
            <w:pPr>
              <w:ind w:left="0"/>
              <w:jc w:val="right"/>
              <w:rPr>
                <w:rFonts w:ascii="Bookman Old Style" w:hAnsi="Bookman Old Style" w:cs="Arial"/>
                <w:sz w:val="16"/>
                <w:szCs w:val="16"/>
              </w:rPr>
            </w:pPr>
          </w:p>
        </w:tc>
        <w:tc>
          <w:tcPr>
            <w:tcW w:w="4660" w:type="dxa"/>
            <w:shd w:val="clear" w:color="auto" w:fill="auto"/>
            <w:noWrap/>
            <w:vAlign w:val="center"/>
            <w:hideMark/>
          </w:tcPr>
          <w:p w14:paraId="28FB8B9E" w14:textId="77777777" w:rsidR="005A57D9" w:rsidRPr="005A57D9" w:rsidRDefault="005A57D9" w:rsidP="005A57D9">
            <w:pPr>
              <w:ind w:left="0"/>
              <w:rPr>
                <w:rFonts w:ascii="Bookman Old Style" w:hAnsi="Bookman Old Style" w:cs="Arial"/>
                <w:b/>
                <w:bCs/>
                <w:sz w:val="16"/>
                <w:szCs w:val="16"/>
              </w:rPr>
            </w:pPr>
            <w:proofErr w:type="gramStart"/>
            <w:r w:rsidRPr="005A57D9">
              <w:rPr>
                <w:rFonts w:ascii="Bookman Old Style" w:hAnsi="Bookman Old Style" w:cs="Arial"/>
                <w:b/>
                <w:bCs/>
                <w:sz w:val="16"/>
                <w:szCs w:val="16"/>
              </w:rPr>
              <w:t>TOTAL</w:t>
            </w:r>
            <w:proofErr w:type="gramEnd"/>
            <w:r w:rsidRPr="005A57D9">
              <w:rPr>
                <w:rFonts w:ascii="Bookman Old Style" w:hAnsi="Bookman Old Style" w:cs="Arial"/>
                <w:b/>
                <w:bCs/>
                <w:sz w:val="16"/>
                <w:szCs w:val="16"/>
              </w:rPr>
              <w:t xml:space="preserve"> BASE GRAVABLE CON REPORTE</w:t>
            </w:r>
          </w:p>
        </w:tc>
        <w:tc>
          <w:tcPr>
            <w:tcW w:w="2126" w:type="dxa"/>
            <w:shd w:val="clear" w:color="auto" w:fill="auto"/>
            <w:noWrap/>
            <w:vAlign w:val="center"/>
            <w:hideMark/>
          </w:tcPr>
          <w:p w14:paraId="5527FE5E" w14:textId="77777777" w:rsidR="005A57D9" w:rsidRPr="005A57D9" w:rsidRDefault="005A57D9" w:rsidP="005A57D9">
            <w:pPr>
              <w:ind w:left="0"/>
              <w:jc w:val="right"/>
              <w:rPr>
                <w:rFonts w:ascii="Bookman Old Style" w:hAnsi="Bookman Old Style" w:cs="Arial"/>
                <w:b/>
                <w:bCs/>
                <w:sz w:val="16"/>
                <w:szCs w:val="16"/>
              </w:rPr>
            </w:pPr>
            <w:r w:rsidRPr="005A57D9">
              <w:rPr>
                <w:rFonts w:ascii="Bookman Old Style" w:hAnsi="Bookman Old Style" w:cs="Arial"/>
                <w:b/>
                <w:bCs/>
                <w:sz w:val="16"/>
                <w:szCs w:val="16"/>
              </w:rPr>
              <w:t>$ 43.109.948.230.339</w:t>
            </w:r>
          </w:p>
        </w:tc>
      </w:tr>
      <w:tr w:rsidR="005A57D9" w:rsidRPr="008754BA" w14:paraId="20831674" w14:textId="77777777" w:rsidTr="00A32889">
        <w:trPr>
          <w:trHeight w:val="267"/>
          <w:jc w:val="center"/>
        </w:trPr>
        <w:tc>
          <w:tcPr>
            <w:tcW w:w="1289" w:type="dxa"/>
            <w:shd w:val="clear" w:color="auto" w:fill="auto"/>
            <w:noWrap/>
            <w:vAlign w:val="center"/>
            <w:hideMark/>
          </w:tcPr>
          <w:p w14:paraId="5C7E0D3F" w14:textId="77777777" w:rsidR="005A57D9" w:rsidRPr="005A57D9" w:rsidRDefault="005A57D9" w:rsidP="005A57D9">
            <w:pPr>
              <w:ind w:left="0"/>
              <w:jc w:val="right"/>
              <w:rPr>
                <w:rFonts w:ascii="Bookman Old Style" w:hAnsi="Bookman Old Style" w:cs="Arial"/>
                <w:b/>
                <w:bCs/>
                <w:sz w:val="16"/>
                <w:szCs w:val="16"/>
              </w:rPr>
            </w:pPr>
          </w:p>
        </w:tc>
        <w:tc>
          <w:tcPr>
            <w:tcW w:w="4660" w:type="dxa"/>
            <w:shd w:val="clear" w:color="auto" w:fill="auto"/>
            <w:noWrap/>
            <w:vAlign w:val="center"/>
            <w:hideMark/>
          </w:tcPr>
          <w:p w14:paraId="6ACF1D80" w14:textId="77777777" w:rsidR="005A57D9" w:rsidRPr="005A57D9" w:rsidRDefault="005A57D9" w:rsidP="005A57D9">
            <w:pPr>
              <w:ind w:left="0"/>
              <w:rPr>
                <w:rFonts w:ascii="Bookman Old Style" w:hAnsi="Bookman Old Style" w:cs="Arial"/>
                <w:b/>
                <w:bCs/>
                <w:sz w:val="16"/>
                <w:szCs w:val="16"/>
              </w:rPr>
            </w:pPr>
            <w:r w:rsidRPr="005A57D9">
              <w:rPr>
                <w:rFonts w:ascii="Bookman Old Style" w:hAnsi="Bookman Old Style" w:cs="Arial"/>
                <w:b/>
                <w:bCs/>
                <w:sz w:val="16"/>
                <w:szCs w:val="16"/>
              </w:rPr>
              <w:t>SUBTOTAL GASTOS ADMINISTRATIVOS (FUNCIONAMIENTO)</w:t>
            </w:r>
          </w:p>
        </w:tc>
        <w:tc>
          <w:tcPr>
            <w:tcW w:w="2126" w:type="dxa"/>
            <w:shd w:val="clear" w:color="auto" w:fill="auto"/>
            <w:noWrap/>
            <w:vAlign w:val="center"/>
            <w:hideMark/>
          </w:tcPr>
          <w:p w14:paraId="26AB9BC2" w14:textId="77777777" w:rsidR="005A57D9" w:rsidRPr="005A57D9" w:rsidRDefault="005A57D9" w:rsidP="005A57D9">
            <w:pPr>
              <w:ind w:left="0"/>
              <w:jc w:val="right"/>
              <w:rPr>
                <w:rFonts w:ascii="Bookman Old Style" w:hAnsi="Bookman Old Style" w:cs="Arial"/>
                <w:b/>
                <w:bCs/>
                <w:sz w:val="16"/>
                <w:szCs w:val="16"/>
              </w:rPr>
            </w:pPr>
            <w:r w:rsidRPr="005A57D9">
              <w:rPr>
                <w:rFonts w:ascii="Bookman Old Style" w:hAnsi="Bookman Old Style" w:cs="Arial"/>
                <w:b/>
                <w:bCs/>
                <w:sz w:val="16"/>
                <w:szCs w:val="16"/>
              </w:rPr>
              <w:t>$ 3.456.756.690.706</w:t>
            </w:r>
          </w:p>
        </w:tc>
      </w:tr>
      <w:tr w:rsidR="005A57D9" w:rsidRPr="008754BA" w14:paraId="65D76947" w14:textId="77777777" w:rsidTr="00A32889">
        <w:trPr>
          <w:trHeight w:val="282"/>
          <w:jc w:val="center"/>
        </w:trPr>
        <w:tc>
          <w:tcPr>
            <w:tcW w:w="1289" w:type="dxa"/>
            <w:shd w:val="clear" w:color="auto" w:fill="auto"/>
            <w:noWrap/>
            <w:vAlign w:val="center"/>
            <w:hideMark/>
          </w:tcPr>
          <w:p w14:paraId="600123B9" w14:textId="77777777" w:rsidR="005A57D9" w:rsidRPr="005A57D9" w:rsidRDefault="005A57D9" w:rsidP="005A57D9">
            <w:pPr>
              <w:ind w:left="0"/>
              <w:jc w:val="right"/>
              <w:rPr>
                <w:rFonts w:ascii="Bookman Old Style" w:hAnsi="Bookman Old Style" w:cs="Arial"/>
                <w:b/>
                <w:bCs/>
                <w:sz w:val="16"/>
                <w:szCs w:val="16"/>
              </w:rPr>
            </w:pPr>
          </w:p>
        </w:tc>
        <w:tc>
          <w:tcPr>
            <w:tcW w:w="4660" w:type="dxa"/>
            <w:shd w:val="clear" w:color="auto" w:fill="auto"/>
            <w:noWrap/>
            <w:vAlign w:val="center"/>
            <w:hideMark/>
          </w:tcPr>
          <w:p w14:paraId="26C46A44" w14:textId="77777777" w:rsidR="005A57D9" w:rsidRPr="005A57D9" w:rsidRDefault="005A57D9" w:rsidP="005A57D9">
            <w:pPr>
              <w:ind w:left="0"/>
              <w:rPr>
                <w:rFonts w:ascii="Bookman Old Style" w:hAnsi="Bookman Old Style" w:cs="Arial"/>
                <w:b/>
                <w:bCs/>
                <w:sz w:val="16"/>
                <w:szCs w:val="16"/>
              </w:rPr>
            </w:pPr>
            <w:r w:rsidRPr="005A57D9">
              <w:rPr>
                <w:rFonts w:ascii="Bookman Old Style" w:hAnsi="Bookman Old Style" w:cs="Arial"/>
                <w:b/>
                <w:bCs/>
                <w:sz w:val="16"/>
                <w:szCs w:val="16"/>
              </w:rPr>
              <w:t>SUBTOTAL GASTOS OPERATIVOS</w:t>
            </w:r>
          </w:p>
        </w:tc>
        <w:tc>
          <w:tcPr>
            <w:tcW w:w="2126" w:type="dxa"/>
            <w:shd w:val="clear" w:color="auto" w:fill="auto"/>
            <w:noWrap/>
            <w:vAlign w:val="center"/>
            <w:hideMark/>
          </w:tcPr>
          <w:p w14:paraId="582D886C" w14:textId="77777777" w:rsidR="005A57D9" w:rsidRPr="005A57D9" w:rsidRDefault="005A57D9" w:rsidP="005A57D9">
            <w:pPr>
              <w:ind w:left="0"/>
              <w:jc w:val="right"/>
              <w:rPr>
                <w:rFonts w:ascii="Bookman Old Style" w:hAnsi="Bookman Old Style" w:cs="Arial"/>
                <w:b/>
                <w:bCs/>
                <w:sz w:val="16"/>
                <w:szCs w:val="16"/>
              </w:rPr>
            </w:pPr>
            <w:r w:rsidRPr="005A57D9">
              <w:rPr>
                <w:rFonts w:ascii="Bookman Old Style" w:hAnsi="Bookman Old Style" w:cs="Arial"/>
                <w:b/>
                <w:bCs/>
                <w:sz w:val="16"/>
                <w:szCs w:val="16"/>
              </w:rPr>
              <w:t>$ 39.653.191.539.633</w:t>
            </w:r>
          </w:p>
        </w:tc>
      </w:tr>
    </w:tbl>
    <w:p w14:paraId="5B6BA657" w14:textId="77777777" w:rsidR="005A57D9" w:rsidRPr="0024494C" w:rsidRDefault="005A57D9" w:rsidP="000E5253">
      <w:pPr>
        <w:ind w:left="0"/>
        <w:jc w:val="both"/>
        <w:rPr>
          <w:rFonts w:ascii="Bookman Old Style" w:hAnsi="Bookman Old Style" w:cs="Arial"/>
        </w:rPr>
      </w:pPr>
    </w:p>
    <w:p w14:paraId="1F53B8A3" w14:textId="77777777" w:rsidR="00E8568C" w:rsidRDefault="00457344" w:rsidP="000E5253">
      <w:pPr>
        <w:ind w:left="0"/>
        <w:jc w:val="both"/>
        <w:rPr>
          <w:rFonts w:ascii="Bookman Old Style" w:hAnsi="Bookman Old Style" w:cs="Arial"/>
        </w:rPr>
      </w:pPr>
      <w:bookmarkStart w:id="0" w:name="_Hlk51790659"/>
      <w:r w:rsidRPr="0024494C">
        <w:rPr>
          <w:rFonts w:ascii="Bookman Old Style" w:hAnsi="Bookman Old Style" w:cs="Arial"/>
        </w:rPr>
        <w:t xml:space="preserve">De conformidad con </w:t>
      </w:r>
      <w:r w:rsidR="00B0170B">
        <w:rPr>
          <w:rFonts w:ascii="Bookman Old Style" w:hAnsi="Bookman Old Style" w:cs="Arial"/>
        </w:rPr>
        <w:t>el artículo 85 de la Ley 142 de 1994 y el artículo 22 de la ley 143 de 1994</w:t>
      </w:r>
      <w:r w:rsidR="00600F31">
        <w:rPr>
          <w:rFonts w:ascii="Bookman Old Style" w:hAnsi="Bookman Old Style" w:cs="Arial"/>
        </w:rPr>
        <w:t xml:space="preserve">, </w:t>
      </w:r>
      <w:r w:rsidRPr="0024494C">
        <w:rPr>
          <w:rFonts w:ascii="Bookman Old Style" w:hAnsi="Bookman Old Style" w:cs="Arial"/>
        </w:rPr>
        <w:t>l</w:t>
      </w:r>
      <w:r w:rsidR="00EC429D" w:rsidRPr="0024494C">
        <w:rPr>
          <w:rFonts w:ascii="Bookman Old Style" w:hAnsi="Bookman Old Style" w:cs="Arial"/>
        </w:rPr>
        <w:t xml:space="preserve">a tarifa </w:t>
      </w:r>
      <w:r w:rsidR="00600F31">
        <w:rPr>
          <w:rFonts w:ascii="Bookman Old Style" w:hAnsi="Bookman Old Style" w:cs="Arial"/>
        </w:rPr>
        <w:t xml:space="preserve">de la contribución especial de regulación </w:t>
      </w:r>
      <w:r w:rsidR="00EC429D" w:rsidRPr="0024494C">
        <w:rPr>
          <w:rFonts w:ascii="Bookman Old Style" w:hAnsi="Bookman Old Style" w:cs="Arial"/>
        </w:rPr>
        <w:t xml:space="preserve">es un </w:t>
      </w:r>
      <w:r w:rsidR="00E50FE5" w:rsidRPr="0024494C">
        <w:rPr>
          <w:rFonts w:ascii="Bookman Old Style" w:hAnsi="Bookman Old Style" w:cs="Arial"/>
        </w:rPr>
        <w:t>porcentaje</w:t>
      </w:r>
      <w:r w:rsidR="00EC429D" w:rsidRPr="0024494C">
        <w:rPr>
          <w:rFonts w:ascii="Bookman Old Style" w:hAnsi="Bookman Old Style" w:cs="Arial"/>
        </w:rPr>
        <w:t xml:space="preserve"> </w:t>
      </w:r>
      <w:r w:rsidR="007A7C5C" w:rsidRPr="0024494C">
        <w:rPr>
          <w:rFonts w:ascii="Bookman Old Style" w:hAnsi="Bookman Old Style" w:cs="Arial"/>
        </w:rPr>
        <w:t>variable</w:t>
      </w:r>
      <w:r w:rsidR="00EC429D" w:rsidRPr="0024494C">
        <w:rPr>
          <w:rFonts w:ascii="Bookman Old Style" w:hAnsi="Bookman Old Style" w:cs="Arial"/>
        </w:rPr>
        <w:t xml:space="preserve"> con el cual se determina el valor a pagar por cada contribuyente en una vigencia específica, la cual será hallada tomando el presupuesto vigente de la </w:t>
      </w:r>
      <w:r w:rsidR="005B082F">
        <w:rPr>
          <w:rFonts w:ascii="Bookman Old Style" w:hAnsi="Bookman Old Style"/>
        </w:rPr>
        <w:t>Comisión de Regulación de Energía y Gas – CREG</w:t>
      </w:r>
      <w:r w:rsidR="00926FC1" w:rsidRPr="0024494C">
        <w:rPr>
          <w:rFonts w:ascii="Bookman Old Style" w:hAnsi="Bookman Old Style" w:cs="Arial"/>
        </w:rPr>
        <w:t>,</w:t>
      </w:r>
      <w:r w:rsidR="00EC429D" w:rsidRPr="0024494C">
        <w:rPr>
          <w:rFonts w:ascii="Bookman Old Style" w:hAnsi="Bookman Old Style" w:cs="Arial"/>
        </w:rPr>
        <w:t xml:space="preserve"> el cual será dividido sobre la sumatoria de las bases gravables de los sujetos pasivos. </w:t>
      </w:r>
    </w:p>
    <w:p w14:paraId="2C13D7A9" w14:textId="77777777" w:rsidR="00E8568C" w:rsidRDefault="00E8568C" w:rsidP="000E5253">
      <w:pPr>
        <w:ind w:left="0"/>
        <w:jc w:val="both"/>
        <w:rPr>
          <w:rFonts w:ascii="Bookman Old Style" w:hAnsi="Bookman Old Style" w:cs="Arial"/>
        </w:rPr>
      </w:pPr>
    </w:p>
    <w:p w14:paraId="331A4CEB" w14:textId="69DF06C6" w:rsidR="00EC429D" w:rsidRPr="0024494C" w:rsidRDefault="00067ABB" w:rsidP="000E5253">
      <w:pPr>
        <w:ind w:left="0"/>
        <w:jc w:val="both"/>
        <w:rPr>
          <w:rFonts w:ascii="Bookman Old Style" w:hAnsi="Bookman Old Style" w:cs="Arial"/>
        </w:rPr>
      </w:pPr>
      <w:r w:rsidRPr="0024494C">
        <w:rPr>
          <w:rFonts w:ascii="Bookman Old Style" w:hAnsi="Bookman Old Style" w:cs="Arial"/>
        </w:rPr>
        <w:t>La tarifa no podrá ser superior al uno por ciento (1%) de las respectivas bases gravables</w:t>
      </w:r>
      <w:r w:rsidR="00BA57FA">
        <w:rPr>
          <w:rFonts w:ascii="Bookman Old Style" w:hAnsi="Bookman Old Style" w:cs="Arial"/>
        </w:rPr>
        <w:t xml:space="preserve">. </w:t>
      </w:r>
    </w:p>
    <w:p w14:paraId="1305AFD6" w14:textId="77777777" w:rsidR="00EC429D" w:rsidRPr="0024494C" w:rsidRDefault="00EC429D" w:rsidP="000E5253">
      <w:pPr>
        <w:rPr>
          <w:rFonts w:ascii="Bookman Old Style" w:hAnsi="Bookman Old Style" w:cs="Arial"/>
        </w:rPr>
      </w:pPr>
    </w:p>
    <w:p w14:paraId="021E6565" w14:textId="63498CAF" w:rsidR="00EC429D" w:rsidRDefault="00EC429D" w:rsidP="000E5253">
      <w:pPr>
        <w:pStyle w:val="Textoindependiente"/>
        <w:ind w:left="0"/>
        <w:jc w:val="left"/>
        <w:rPr>
          <w:rFonts w:ascii="Bookman Old Style" w:hAnsi="Bookman Old Style"/>
          <w:b w:val="0"/>
          <w:bCs w:val="0"/>
        </w:rPr>
      </w:pPr>
      <w:r w:rsidRPr="0024494C">
        <w:rPr>
          <w:rFonts w:ascii="Bookman Old Style" w:hAnsi="Bookman Old Style"/>
          <w:b w:val="0"/>
          <w:bCs w:val="0"/>
        </w:rPr>
        <w:t>La tarifa descrita se calculará de la siguiente manera:</w:t>
      </w:r>
    </w:p>
    <w:p w14:paraId="14D2B910" w14:textId="77777777" w:rsidR="0026688A" w:rsidRPr="0024494C" w:rsidRDefault="0026688A" w:rsidP="00055D69">
      <w:pPr>
        <w:pStyle w:val="Textoindependiente"/>
        <w:ind w:left="142"/>
        <w:jc w:val="left"/>
        <w:rPr>
          <w:rFonts w:ascii="Bookman Old Style" w:hAnsi="Bookman Old Style"/>
          <w:sz w:val="28"/>
          <w:szCs w:val="28"/>
        </w:rPr>
      </w:pPr>
    </w:p>
    <w:p w14:paraId="2DFFB125" w14:textId="45C1A4E8" w:rsidR="00EC429D" w:rsidRPr="0024494C" w:rsidRDefault="00EC429D" w:rsidP="00055D69">
      <w:pPr>
        <w:pStyle w:val="Textoindependiente"/>
        <w:ind w:left="142"/>
        <w:jc w:val="left"/>
        <w:rPr>
          <w:rFonts w:ascii="Bookman Old Style" w:hAnsi="Bookman Old Style"/>
          <w:sz w:val="22"/>
          <w:szCs w:val="22"/>
        </w:rPr>
      </w:pPr>
      <m:oMath>
        <m:r>
          <m:rPr>
            <m:sty m:val="bi"/>
          </m:rPr>
          <w:rPr>
            <w:rFonts w:ascii="Cambria Math" w:hAnsi="Cambria Math"/>
            <w:sz w:val="28"/>
            <w:szCs w:val="28"/>
          </w:rPr>
          <m:t xml:space="preserve">Tce= </m:t>
        </m:r>
        <m:f>
          <m:fPr>
            <m:ctrlPr>
              <w:rPr>
                <w:rFonts w:ascii="Cambria Math" w:hAnsi="Cambria Math"/>
                <w:i/>
                <w:sz w:val="28"/>
                <w:szCs w:val="28"/>
              </w:rPr>
            </m:ctrlPr>
          </m:fPr>
          <m:num>
            <m:r>
              <m:rPr>
                <m:sty m:val="bi"/>
              </m:rPr>
              <w:rPr>
                <w:rFonts w:ascii="Cambria Math" w:hAnsi="Cambria Math"/>
                <w:sz w:val="28"/>
                <w:szCs w:val="28"/>
              </w:rPr>
              <m:t xml:space="preserve">Pv </m:t>
            </m:r>
          </m:num>
          <m:den>
            <m:nary>
              <m:naryPr>
                <m:chr m:val="∑"/>
                <m:subHide m:val="1"/>
                <m:supHide m:val="1"/>
                <m:ctrlPr>
                  <w:rPr>
                    <w:rFonts w:ascii="Cambria Math" w:hAnsi="Cambria Math"/>
                    <w:i/>
                    <w:sz w:val="28"/>
                    <w:szCs w:val="28"/>
                  </w:rPr>
                </m:ctrlPr>
              </m:naryPr>
              <m:sub/>
              <m:sup/>
              <m:e>
                <m:r>
                  <m:rPr>
                    <m:sty m:val="bi"/>
                  </m:rPr>
                  <w:rPr>
                    <w:rFonts w:ascii="Cambria Math" w:hAnsi="Cambria Math"/>
                    <w:sz w:val="28"/>
                    <w:szCs w:val="28"/>
                  </w:rPr>
                  <m:t>bg</m:t>
                </m:r>
              </m:e>
            </m:nary>
          </m:den>
        </m:f>
      </m:oMath>
      <w:r w:rsidRPr="0024494C">
        <w:rPr>
          <w:rFonts w:ascii="Bookman Old Style" w:hAnsi="Bookman Old Style"/>
          <w:sz w:val="28"/>
          <w:szCs w:val="28"/>
        </w:rPr>
        <w:t xml:space="preserve"> </w:t>
      </w:r>
    </w:p>
    <w:p w14:paraId="453BAE62" w14:textId="77777777" w:rsidR="00EC429D" w:rsidRPr="0024494C" w:rsidRDefault="00EC429D" w:rsidP="00055D69">
      <w:pPr>
        <w:pStyle w:val="Textoindependiente"/>
        <w:ind w:left="142"/>
        <w:jc w:val="left"/>
        <w:rPr>
          <w:rFonts w:ascii="Bookman Old Style" w:hAnsi="Bookman Old Style"/>
          <w:sz w:val="22"/>
          <w:szCs w:val="22"/>
        </w:rPr>
      </w:pPr>
    </w:p>
    <w:p w14:paraId="1EACCCD9" w14:textId="6F3AB93A" w:rsidR="00624813" w:rsidRPr="00055D69" w:rsidRDefault="00624813" w:rsidP="00055D69">
      <w:pPr>
        <w:pStyle w:val="Textoindependiente"/>
        <w:ind w:left="142"/>
        <w:jc w:val="left"/>
        <w:rPr>
          <w:rFonts w:ascii="Bookman Old Style" w:hAnsi="Bookman Old Style"/>
          <w:b w:val="0"/>
          <w:bCs w:val="0"/>
        </w:rPr>
      </w:pPr>
      <w:r w:rsidRPr="00055D69">
        <w:rPr>
          <w:rFonts w:ascii="Bookman Old Style" w:hAnsi="Bookman Old Style"/>
          <w:b w:val="0"/>
          <w:bCs w:val="0"/>
        </w:rPr>
        <w:t>Donde:</w:t>
      </w:r>
    </w:p>
    <w:p w14:paraId="5EA4778F" w14:textId="77777777" w:rsidR="00624813" w:rsidRPr="00055D69" w:rsidRDefault="00624813" w:rsidP="00055D69">
      <w:pPr>
        <w:pStyle w:val="Textoindependiente"/>
        <w:ind w:left="142"/>
        <w:jc w:val="left"/>
        <w:rPr>
          <w:rFonts w:ascii="Bookman Old Style" w:hAnsi="Bookman Old Style"/>
        </w:rPr>
      </w:pPr>
    </w:p>
    <w:p w14:paraId="657728C6" w14:textId="77777777" w:rsidR="00624813" w:rsidRPr="00055D69" w:rsidRDefault="00624813" w:rsidP="00055D69">
      <w:pPr>
        <w:pStyle w:val="Textoindependiente"/>
        <w:ind w:left="142"/>
        <w:jc w:val="left"/>
        <w:rPr>
          <w:rFonts w:ascii="Bookman Old Style" w:hAnsi="Bookman Old Style"/>
          <w:b w:val="0"/>
          <w:bCs w:val="0"/>
        </w:rPr>
      </w:pPr>
      <w:proofErr w:type="spellStart"/>
      <w:r w:rsidRPr="00055D69">
        <w:rPr>
          <w:rFonts w:ascii="Bookman Old Style" w:hAnsi="Bookman Old Style"/>
          <w:b w:val="0"/>
          <w:bCs w:val="0"/>
        </w:rPr>
        <w:t>Tce</w:t>
      </w:r>
      <w:proofErr w:type="spellEnd"/>
      <w:r w:rsidRPr="00055D69">
        <w:rPr>
          <w:rFonts w:ascii="Bookman Old Style" w:hAnsi="Bookman Old Style"/>
          <w:b w:val="0"/>
          <w:bCs w:val="0"/>
        </w:rPr>
        <w:t>: tarifa de la contribución especial.</w:t>
      </w:r>
    </w:p>
    <w:p w14:paraId="27641244" w14:textId="77777777" w:rsidR="00624813" w:rsidRPr="00055D69" w:rsidRDefault="00624813" w:rsidP="00055D69">
      <w:pPr>
        <w:pStyle w:val="Textoindependiente"/>
        <w:ind w:left="142"/>
        <w:jc w:val="left"/>
        <w:rPr>
          <w:rFonts w:ascii="Bookman Old Style" w:hAnsi="Bookman Old Style"/>
          <w:b w:val="0"/>
          <w:bCs w:val="0"/>
        </w:rPr>
      </w:pPr>
      <w:proofErr w:type="spellStart"/>
      <w:r w:rsidRPr="00055D69">
        <w:rPr>
          <w:rFonts w:ascii="Bookman Old Style" w:hAnsi="Bookman Old Style"/>
          <w:b w:val="0"/>
          <w:bCs w:val="0"/>
        </w:rPr>
        <w:t>PvC</w:t>
      </w:r>
      <w:proofErr w:type="spellEnd"/>
      <w:r w:rsidRPr="00055D69">
        <w:rPr>
          <w:rFonts w:ascii="Bookman Old Style" w:hAnsi="Bookman Old Style"/>
          <w:b w:val="0"/>
          <w:bCs w:val="0"/>
        </w:rPr>
        <w:t>: presupuesto vigente de la CREG</w:t>
      </w:r>
    </w:p>
    <w:p w14:paraId="451D887B" w14:textId="77777777" w:rsidR="00624813" w:rsidRPr="00055D69" w:rsidRDefault="003D49BA" w:rsidP="00055D69">
      <w:pPr>
        <w:pStyle w:val="Textoindependiente"/>
        <w:ind w:left="142"/>
        <w:jc w:val="left"/>
        <w:rPr>
          <w:rFonts w:ascii="Bookman Old Style" w:hAnsi="Bookman Old Style"/>
          <w:b w:val="0"/>
          <w:bCs w:val="0"/>
        </w:rPr>
      </w:pPr>
      <m:oMath>
        <m:nary>
          <m:naryPr>
            <m:chr m:val="∑"/>
            <m:subHide m:val="1"/>
            <m:supHide m:val="1"/>
            <m:ctrlPr>
              <w:rPr>
                <w:rFonts w:ascii="Cambria Math" w:hAnsi="Cambria Math"/>
                <w:b w:val="0"/>
                <w:bCs w:val="0"/>
              </w:rPr>
            </m:ctrlPr>
          </m:naryPr>
          <m:sub/>
          <m:sup/>
          <m:e>
            <m:r>
              <m:rPr>
                <m:sty m:val="bi"/>
              </m:rPr>
              <w:rPr>
                <w:rFonts w:ascii="Cambria Math" w:hAnsi="Cambria Math"/>
              </w:rPr>
              <m:t>bg</m:t>
            </m:r>
          </m:e>
        </m:nary>
        <m:r>
          <m:rPr>
            <m:sty m:val="b"/>
          </m:rPr>
          <w:rPr>
            <w:rFonts w:ascii="Cambria Math" w:hAnsi="Cambria Math"/>
          </w:rPr>
          <m:t xml:space="preserve">: </m:t>
        </m:r>
      </m:oMath>
      <w:r w:rsidR="00624813" w:rsidRPr="00055D69">
        <w:rPr>
          <w:rFonts w:ascii="Bookman Old Style" w:hAnsi="Bookman Old Style"/>
          <w:b w:val="0"/>
          <w:bCs w:val="0"/>
        </w:rPr>
        <w:t xml:space="preserve">Sumatoria de las bases gravables de los sujetos pasivos. </w:t>
      </w:r>
    </w:p>
    <w:p w14:paraId="4569F53D" w14:textId="77777777" w:rsidR="00624813" w:rsidRPr="00E8568C" w:rsidRDefault="00624813" w:rsidP="00055D69">
      <w:pPr>
        <w:pStyle w:val="Textoindependiente"/>
        <w:ind w:left="142"/>
        <w:jc w:val="left"/>
        <w:rPr>
          <w:rFonts w:ascii="Bookman Old Style" w:hAnsi="Bookman Old Style"/>
          <w:sz w:val="22"/>
          <w:szCs w:val="22"/>
        </w:rPr>
      </w:pPr>
    </w:p>
    <w:bookmarkEnd w:id="0"/>
    <w:p w14:paraId="106F3595" w14:textId="1E6D03CE" w:rsidR="000F38F5" w:rsidRDefault="00692D39" w:rsidP="000E5253">
      <w:pPr>
        <w:ind w:left="0"/>
        <w:jc w:val="both"/>
        <w:rPr>
          <w:rFonts w:ascii="Bookman Old Style" w:hAnsi="Bookman Old Style" w:cs="Arial"/>
        </w:rPr>
      </w:pPr>
      <w:r w:rsidRPr="0024494C">
        <w:rPr>
          <w:rFonts w:ascii="Bookman Old Style" w:hAnsi="Bookman Old Style" w:cs="Arial"/>
        </w:rPr>
        <w:t xml:space="preserve">La </w:t>
      </w:r>
      <w:r w:rsidR="0026688A">
        <w:rPr>
          <w:rFonts w:ascii="Bookman Old Style" w:hAnsi="Bookman Old Style"/>
        </w:rPr>
        <w:t>Comisión de Regulación de Energía y Gas – CREG</w:t>
      </w:r>
      <w:r w:rsidR="0026688A" w:rsidRPr="0024494C">
        <w:rPr>
          <w:rFonts w:ascii="Bookman Old Style" w:hAnsi="Bookman Old Style" w:cs="Arial"/>
        </w:rPr>
        <w:t xml:space="preserve"> </w:t>
      </w:r>
      <w:r w:rsidR="00522397">
        <w:rPr>
          <w:rFonts w:ascii="Bookman Old Style" w:hAnsi="Bookman Old Style" w:cs="Arial"/>
        </w:rPr>
        <w:t>hizo</w:t>
      </w:r>
      <w:r w:rsidRPr="0024494C">
        <w:rPr>
          <w:rFonts w:ascii="Bookman Old Style" w:hAnsi="Bookman Old Style" w:cs="Arial"/>
        </w:rPr>
        <w:t xml:space="preserve"> </w:t>
      </w:r>
      <w:r w:rsidR="008560BA" w:rsidRPr="0024494C">
        <w:rPr>
          <w:rFonts w:ascii="Bookman Old Style" w:hAnsi="Bookman Old Style" w:cs="Arial"/>
        </w:rPr>
        <w:t xml:space="preserve">el análisis de </w:t>
      </w:r>
      <w:r w:rsidR="004A75A3" w:rsidRPr="0024494C">
        <w:rPr>
          <w:rFonts w:ascii="Bookman Old Style" w:hAnsi="Bookman Old Style" w:cs="Arial"/>
        </w:rPr>
        <w:t>la</w:t>
      </w:r>
      <w:r w:rsidR="008560BA" w:rsidRPr="0024494C">
        <w:rPr>
          <w:rFonts w:ascii="Bookman Old Style" w:hAnsi="Bookman Old Style" w:cs="Arial"/>
        </w:rPr>
        <w:t xml:space="preserve"> </w:t>
      </w:r>
      <w:r w:rsidR="00885C78" w:rsidRPr="0024494C">
        <w:rPr>
          <w:rFonts w:ascii="Bookman Old Style" w:hAnsi="Bookman Old Style" w:cs="Arial"/>
        </w:rPr>
        <w:t xml:space="preserve"> </w:t>
      </w:r>
      <w:r w:rsidR="008560BA" w:rsidRPr="0024494C">
        <w:rPr>
          <w:rFonts w:ascii="Bookman Old Style" w:hAnsi="Bookman Old Style" w:cs="Arial"/>
        </w:rPr>
        <w:t xml:space="preserve">información financiera </w:t>
      </w:r>
      <w:r w:rsidR="00472268" w:rsidRPr="0024494C">
        <w:rPr>
          <w:rFonts w:ascii="Bookman Old Style" w:hAnsi="Bookman Old Style" w:cs="Arial"/>
        </w:rPr>
        <w:t>202</w:t>
      </w:r>
      <w:r w:rsidR="0077411D" w:rsidRPr="0024494C">
        <w:rPr>
          <w:rFonts w:ascii="Bookman Old Style" w:hAnsi="Bookman Old Style" w:cs="Arial"/>
        </w:rPr>
        <w:t>2</w:t>
      </w:r>
      <w:r w:rsidR="00472268" w:rsidRPr="0024494C">
        <w:rPr>
          <w:rFonts w:ascii="Bookman Old Style" w:hAnsi="Bookman Old Style" w:cs="Arial"/>
        </w:rPr>
        <w:t xml:space="preserve"> </w:t>
      </w:r>
      <w:r w:rsidR="008560BA" w:rsidRPr="0024494C">
        <w:rPr>
          <w:rFonts w:ascii="Bookman Old Style" w:hAnsi="Bookman Old Style" w:cs="Arial"/>
        </w:rPr>
        <w:t xml:space="preserve">reportada </w:t>
      </w:r>
      <w:r w:rsidR="009E7813" w:rsidRPr="009E7813">
        <w:rPr>
          <w:rFonts w:ascii="Bookman Old Style" w:hAnsi="Bookman Old Style" w:cs="Arial"/>
        </w:rPr>
        <w:t>por los prestadores de los servicios públicos domiciliarios de energía y gas combustible</w:t>
      </w:r>
      <w:r w:rsidR="009E7813" w:rsidRPr="009E7813" w:rsidDel="009D02E4">
        <w:rPr>
          <w:rFonts w:ascii="Bookman Old Style" w:hAnsi="Bookman Old Style" w:cs="Arial"/>
        </w:rPr>
        <w:t xml:space="preserve"> </w:t>
      </w:r>
      <w:r w:rsidR="004145D5" w:rsidRPr="0024494C">
        <w:rPr>
          <w:rFonts w:ascii="Bookman Old Style" w:hAnsi="Bookman Old Style" w:cs="Arial"/>
        </w:rPr>
        <w:t>al SUI</w:t>
      </w:r>
      <w:r w:rsidR="00566E21">
        <w:rPr>
          <w:rFonts w:ascii="Bookman Old Style" w:hAnsi="Bookman Old Style" w:cs="Arial"/>
        </w:rPr>
        <w:t xml:space="preserve"> de la</w:t>
      </w:r>
      <w:r w:rsidR="00566E21" w:rsidRPr="00566E21">
        <w:rPr>
          <w:rFonts w:ascii="Bookman Old Style" w:hAnsi="Bookman Old Style" w:cs="Arial"/>
        </w:rPr>
        <w:t xml:space="preserve"> </w:t>
      </w:r>
      <w:r w:rsidR="00566E21">
        <w:rPr>
          <w:rFonts w:ascii="Bookman Old Style" w:hAnsi="Bookman Old Style" w:cs="Arial"/>
        </w:rPr>
        <w:t>Superintendencia Servicios Públicos Domiciliarios</w:t>
      </w:r>
      <w:r w:rsidR="00440DC9" w:rsidRPr="0024494C">
        <w:rPr>
          <w:rFonts w:ascii="Bookman Old Style" w:hAnsi="Bookman Old Style" w:cs="Arial"/>
        </w:rPr>
        <w:t xml:space="preserve">, </w:t>
      </w:r>
      <w:r w:rsidR="00393C6C">
        <w:rPr>
          <w:rFonts w:ascii="Bookman Old Style" w:hAnsi="Bookman Old Style" w:cs="Arial"/>
        </w:rPr>
        <w:t>con corte a</w:t>
      </w:r>
      <w:r w:rsidR="00522397">
        <w:rPr>
          <w:rFonts w:ascii="Bookman Old Style" w:hAnsi="Bookman Old Style" w:cs="Arial"/>
        </w:rPr>
        <w:t>l 12 de</w:t>
      </w:r>
      <w:r w:rsidR="00393C6C">
        <w:rPr>
          <w:rFonts w:ascii="Bookman Old Style" w:hAnsi="Bookman Old Style" w:cs="Arial"/>
        </w:rPr>
        <w:t xml:space="preserve"> julio</w:t>
      </w:r>
      <w:r w:rsidR="00916342">
        <w:rPr>
          <w:rFonts w:ascii="Bookman Old Style" w:hAnsi="Bookman Old Style" w:cs="Arial"/>
        </w:rPr>
        <w:t xml:space="preserve"> de </w:t>
      </w:r>
      <w:r w:rsidR="00916342">
        <w:rPr>
          <w:rFonts w:ascii="Bookman Old Style" w:hAnsi="Bookman Old Style" w:cs="Arial"/>
        </w:rPr>
        <w:lastRenderedPageBreak/>
        <w:t xml:space="preserve">2023, </w:t>
      </w:r>
      <w:r w:rsidR="0000605A">
        <w:rPr>
          <w:rFonts w:ascii="Bookman Old Style" w:hAnsi="Bookman Old Style" w:cs="Arial"/>
        </w:rPr>
        <w:t>depu</w:t>
      </w:r>
      <w:r w:rsidR="00081B80">
        <w:rPr>
          <w:rFonts w:ascii="Bookman Old Style" w:hAnsi="Bookman Old Style" w:cs="Arial"/>
        </w:rPr>
        <w:t xml:space="preserve">ró la información </w:t>
      </w:r>
      <w:r w:rsidR="00265BA0">
        <w:rPr>
          <w:rFonts w:ascii="Bookman Old Style" w:hAnsi="Bookman Old Style" w:cs="Arial"/>
        </w:rPr>
        <w:t>c</w:t>
      </w:r>
      <w:r w:rsidR="0000605A">
        <w:rPr>
          <w:rFonts w:ascii="Bookman Old Style" w:hAnsi="Bookman Old Style" w:cs="Arial"/>
        </w:rPr>
        <w:t xml:space="preserve">onforme a las </w:t>
      </w:r>
      <w:r w:rsidR="000F38F5">
        <w:rPr>
          <w:rFonts w:ascii="Bookman Old Style" w:hAnsi="Bookman Old Style" w:cs="Arial"/>
        </w:rPr>
        <w:t>disposiciones de</w:t>
      </w:r>
      <w:r w:rsidR="005C124A">
        <w:rPr>
          <w:rFonts w:ascii="Bookman Old Style" w:hAnsi="Bookman Old Style" w:cs="Arial"/>
        </w:rPr>
        <w:t xml:space="preserve"> </w:t>
      </w:r>
      <w:r w:rsidR="000F38F5">
        <w:rPr>
          <w:rFonts w:ascii="Bookman Old Style" w:hAnsi="Bookman Old Style" w:cs="Arial"/>
        </w:rPr>
        <w:t>l</w:t>
      </w:r>
      <w:r w:rsidR="005C124A">
        <w:rPr>
          <w:rFonts w:ascii="Bookman Old Style" w:hAnsi="Bookman Old Style" w:cs="Arial"/>
        </w:rPr>
        <w:t>os</w:t>
      </w:r>
      <w:r w:rsidR="000F38F5">
        <w:rPr>
          <w:rFonts w:ascii="Bookman Old Style" w:hAnsi="Bookman Old Style" w:cs="Arial"/>
        </w:rPr>
        <w:t xml:space="preserve"> artículo</w:t>
      </w:r>
      <w:r w:rsidR="005C124A">
        <w:rPr>
          <w:rFonts w:ascii="Bookman Old Style" w:hAnsi="Bookman Old Style" w:cs="Arial"/>
        </w:rPr>
        <w:t>s</w:t>
      </w:r>
      <w:r w:rsidR="000F38F5">
        <w:rPr>
          <w:rFonts w:ascii="Bookman Old Style" w:hAnsi="Bookman Old Style" w:cs="Arial"/>
        </w:rPr>
        <w:t xml:space="preserve"> 85 de la Ley 142 de 1994 y </w:t>
      </w:r>
      <w:r w:rsidR="00265BA0">
        <w:rPr>
          <w:rFonts w:ascii="Bookman Old Style" w:hAnsi="Bookman Old Style" w:cs="Arial"/>
        </w:rPr>
        <w:t xml:space="preserve">22 de la Ley 143 de 1994, así como </w:t>
      </w:r>
      <w:r w:rsidR="000F38F5">
        <w:rPr>
          <w:rFonts w:ascii="Bookman Old Style" w:hAnsi="Bookman Old Style" w:cs="Arial"/>
        </w:rPr>
        <w:t xml:space="preserve">las </w:t>
      </w:r>
      <w:r w:rsidR="00525144">
        <w:rPr>
          <w:rFonts w:ascii="Bookman Old Style" w:hAnsi="Bookman Old Style" w:cs="Arial"/>
        </w:rPr>
        <w:t xml:space="preserve">precisiones realizadas por el </w:t>
      </w:r>
      <w:r w:rsidR="000F38F5">
        <w:rPr>
          <w:rFonts w:ascii="Bookman Old Style" w:hAnsi="Bookman Old Style" w:cs="Arial"/>
        </w:rPr>
        <w:t xml:space="preserve">Consejo de Estado </w:t>
      </w:r>
      <w:r w:rsidR="00525144">
        <w:rPr>
          <w:rFonts w:ascii="Bookman Old Style" w:hAnsi="Bookman Old Style" w:cs="Arial"/>
        </w:rPr>
        <w:t xml:space="preserve">en las </w:t>
      </w:r>
      <w:r w:rsidR="00BB47C4">
        <w:rPr>
          <w:rFonts w:ascii="Bookman Old Style" w:hAnsi="Bookman Old Style" w:cs="Arial"/>
        </w:rPr>
        <w:t>sentencias</w:t>
      </w:r>
      <w:r w:rsidR="00525144">
        <w:rPr>
          <w:rFonts w:ascii="Bookman Old Style" w:hAnsi="Bookman Old Style" w:cs="Arial"/>
        </w:rPr>
        <w:t xml:space="preserve"> antes</w:t>
      </w:r>
      <w:r w:rsidR="000F38F5">
        <w:rPr>
          <w:rFonts w:ascii="Bookman Old Style" w:hAnsi="Bookman Old Style" w:cs="Arial"/>
        </w:rPr>
        <w:t xml:space="preserve"> citadas, </w:t>
      </w:r>
      <w:r w:rsidR="000D53F4">
        <w:rPr>
          <w:rFonts w:ascii="Bookman Old Style" w:hAnsi="Bookman Old Style" w:cs="Arial"/>
        </w:rPr>
        <w:t>y es</w:t>
      </w:r>
      <w:r w:rsidR="00EE074C">
        <w:rPr>
          <w:rFonts w:ascii="Bookman Old Style" w:hAnsi="Bookman Old Style" w:cs="Arial"/>
        </w:rPr>
        <w:t xml:space="preserve">tableció que </w:t>
      </w:r>
      <w:r w:rsidR="00CF0F68">
        <w:rPr>
          <w:rFonts w:ascii="Bookman Old Style" w:hAnsi="Bookman Old Style" w:cs="Arial"/>
        </w:rPr>
        <w:t xml:space="preserve">el </w:t>
      </w:r>
      <w:r w:rsidR="00A71A50" w:rsidRPr="00A71A50">
        <w:rPr>
          <w:rFonts w:ascii="Bookman Old Style" w:hAnsi="Bookman Old Style" w:cs="Arial"/>
        </w:rPr>
        <w:t xml:space="preserve">valor neto de los gastos de funcionamiento de los regulados depurados </w:t>
      </w:r>
      <w:r w:rsidR="00A71A50">
        <w:rPr>
          <w:rFonts w:ascii="Bookman Old Style" w:hAnsi="Bookman Old Style" w:cs="Arial"/>
        </w:rPr>
        <w:t xml:space="preserve">asciende </w:t>
      </w:r>
      <w:r w:rsidR="00EE074C">
        <w:rPr>
          <w:rFonts w:ascii="Bookman Old Style" w:hAnsi="Bookman Old Style" w:cs="Arial"/>
        </w:rPr>
        <w:t xml:space="preserve">a la suma de </w:t>
      </w:r>
      <w:r w:rsidR="00042C9B" w:rsidRPr="00F171AE">
        <w:rPr>
          <w:rFonts w:ascii="Bookman Old Style" w:hAnsi="Bookman Old Style" w:cs="Arial"/>
          <w:b/>
          <w:bCs/>
        </w:rPr>
        <w:t>$3.456.756.690.706</w:t>
      </w:r>
      <w:r w:rsidR="00A71A50">
        <w:rPr>
          <w:rFonts w:ascii="Bookman Old Style" w:hAnsi="Bookman Old Style" w:cs="Arial"/>
          <w:b/>
          <w:bCs/>
        </w:rPr>
        <w:t xml:space="preserve">, </w:t>
      </w:r>
      <w:r w:rsidR="00A71A50" w:rsidRPr="00F171AE">
        <w:rPr>
          <w:rFonts w:ascii="Bookman Old Style" w:hAnsi="Bookman Old Style" w:cs="Arial"/>
        </w:rPr>
        <w:t>la cual  se constituye en la base gravable para la contribución de la vigencia 2023</w:t>
      </w:r>
      <w:r w:rsidR="00D07EB9">
        <w:rPr>
          <w:rFonts w:ascii="Bookman Old Style" w:hAnsi="Bookman Old Style" w:cs="Arial"/>
        </w:rPr>
        <w:t>.</w:t>
      </w:r>
    </w:p>
    <w:p w14:paraId="537C2A16" w14:textId="77777777" w:rsidR="000F38F5" w:rsidRDefault="000F38F5" w:rsidP="000E5253">
      <w:pPr>
        <w:ind w:left="0"/>
        <w:jc w:val="both"/>
        <w:rPr>
          <w:rFonts w:ascii="Bookman Old Style" w:hAnsi="Bookman Old Style" w:cs="Arial"/>
        </w:rPr>
      </w:pPr>
    </w:p>
    <w:p w14:paraId="2513ED4D" w14:textId="7172A291" w:rsidR="00763595" w:rsidRDefault="00692D39" w:rsidP="000E5253">
      <w:pPr>
        <w:ind w:left="0"/>
        <w:jc w:val="both"/>
        <w:rPr>
          <w:rFonts w:ascii="Bookman Old Style" w:hAnsi="Bookman Old Style" w:cs="Arial"/>
          <w:b/>
          <w:bCs/>
        </w:rPr>
      </w:pPr>
      <w:r w:rsidRPr="0024494C">
        <w:rPr>
          <w:rFonts w:ascii="Bookman Old Style" w:hAnsi="Bookman Old Style" w:cs="Arial"/>
        </w:rPr>
        <w:t xml:space="preserve">Al aplicar la tarifa del </w:t>
      </w:r>
      <w:r w:rsidRPr="00F35C2E">
        <w:rPr>
          <w:rFonts w:ascii="Bookman Old Style" w:hAnsi="Bookman Old Style" w:cs="Arial"/>
          <w:b/>
          <w:bCs/>
        </w:rPr>
        <w:t>1%</w:t>
      </w:r>
      <w:r w:rsidRPr="0024494C">
        <w:rPr>
          <w:rFonts w:ascii="Bookman Old Style" w:hAnsi="Bookman Old Style" w:cs="Arial"/>
        </w:rPr>
        <w:t xml:space="preserve"> a</w:t>
      </w:r>
      <w:r w:rsidR="00875AEB" w:rsidRPr="0024494C">
        <w:rPr>
          <w:rFonts w:ascii="Bookman Old Style" w:hAnsi="Bookman Old Style" w:cs="Arial"/>
        </w:rPr>
        <w:t xml:space="preserve"> la suma de</w:t>
      </w:r>
      <w:r w:rsidR="00A85F91" w:rsidRPr="0024494C">
        <w:rPr>
          <w:rFonts w:ascii="Bookman Old Style" w:hAnsi="Bookman Old Style" w:cs="Arial"/>
        </w:rPr>
        <w:t xml:space="preserve"> </w:t>
      </w:r>
      <w:r w:rsidR="00A85F91" w:rsidRPr="00A30023">
        <w:rPr>
          <w:rFonts w:ascii="Bookman Old Style" w:hAnsi="Bookman Old Style" w:cs="Arial"/>
          <w:b/>
          <w:bCs/>
        </w:rPr>
        <w:t>$3.456.</w:t>
      </w:r>
      <w:r w:rsidR="004275D5" w:rsidRPr="00A30023">
        <w:rPr>
          <w:rFonts w:ascii="Bookman Old Style" w:hAnsi="Bookman Old Style" w:cs="Arial"/>
          <w:b/>
          <w:bCs/>
        </w:rPr>
        <w:t>756.690.706</w:t>
      </w:r>
      <w:r w:rsidR="00A85F91" w:rsidRPr="00A30023">
        <w:rPr>
          <w:rFonts w:ascii="Bookman Old Style" w:hAnsi="Bookman Old Style" w:cs="Arial"/>
        </w:rPr>
        <w:t xml:space="preserve">, </w:t>
      </w:r>
      <w:r w:rsidR="00875AEB" w:rsidRPr="00A30023">
        <w:rPr>
          <w:rFonts w:ascii="Bookman Old Style" w:hAnsi="Bookman Old Style" w:cs="Arial"/>
        </w:rPr>
        <w:t xml:space="preserve">valor </w:t>
      </w:r>
      <w:r w:rsidR="00172F10" w:rsidRPr="00A30023">
        <w:rPr>
          <w:rFonts w:ascii="Bookman Old Style" w:hAnsi="Bookman Old Style" w:cs="Arial"/>
        </w:rPr>
        <w:t>neto de</w:t>
      </w:r>
      <w:r w:rsidRPr="00A30023">
        <w:rPr>
          <w:rFonts w:ascii="Bookman Old Style" w:hAnsi="Bookman Old Style" w:cs="Arial"/>
        </w:rPr>
        <w:t xml:space="preserve"> los </w:t>
      </w:r>
      <w:r w:rsidR="00695BB0" w:rsidRPr="00A30023">
        <w:rPr>
          <w:rFonts w:ascii="Bookman Old Style" w:hAnsi="Bookman Old Style" w:cs="Arial"/>
        </w:rPr>
        <w:t>g</w:t>
      </w:r>
      <w:r w:rsidRPr="00A30023">
        <w:rPr>
          <w:rFonts w:ascii="Bookman Old Style" w:hAnsi="Bookman Old Style" w:cs="Arial"/>
        </w:rPr>
        <w:t xml:space="preserve">astos </w:t>
      </w:r>
      <w:r w:rsidR="00695BB0" w:rsidRPr="00A30023">
        <w:rPr>
          <w:rFonts w:ascii="Bookman Old Style" w:hAnsi="Bookman Old Style" w:cs="Arial"/>
        </w:rPr>
        <w:t>de funcionamiento</w:t>
      </w:r>
      <w:r w:rsidR="00972828" w:rsidRPr="00A30023">
        <w:rPr>
          <w:rFonts w:ascii="Bookman Old Style" w:hAnsi="Bookman Old Style" w:cs="Arial"/>
        </w:rPr>
        <w:t xml:space="preserve"> de </w:t>
      </w:r>
      <w:r w:rsidR="00875AEB" w:rsidRPr="00A30023">
        <w:rPr>
          <w:rFonts w:ascii="Bookman Old Style" w:hAnsi="Bookman Old Style" w:cs="Arial"/>
        </w:rPr>
        <w:t>los regulados</w:t>
      </w:r>
      <w:r w:rsidR="00972828" w:rsidRPr="00A30023">
        <w:rPr>
          <w:rFonts w:ascii="Bookman Old Style" w:hAnsi="Bookman Old Style" w:cs="Arial"/>
        </w:rPr>
        <w:t xml:space="preserve"> </w:t>
      </w:r>
      <w:r w:rsidR="006128CE" w:rsidRPr="00A30023">
        <w:rPr>
          <w:rFonts w:ascii="Bookman Old Style" w:hAnsi="Bookman Old Style" w:cs="Arial"/>
        </w:rPr>
        <w:t xml:space="preserve">depurados </w:t>
      </w:r>
      <w:r w:rsidRPr="00A30023">
        <w:rPr>
          <w:rFonts w:ascii="Bookman Old Style" w:hAnsi="Bookman Old Style" w:cs="Arial"/>
        </w:rPr>
        <w:t>(</w:t>
      </w:r>
      <w:r w:rsidR="00172F10" w:rsidRPr="00A30023">
        <w:rPr>
          <w:rFonts w:ascii="Bookman Old Style" w:hAnsi="Bookman Old Style" w:cs="Arial"/>
        </w:rPr>
        <w:t xml:space="preserve">como resultado de aplicar </w:t>
      </w:r>
      <w:r w:rsidR="00A5323B" w:rsidRPr="00A30023">
        <w:rPr>
          <w:rFonts w:ascii="Bookman Old Style" w:hAnsi="Bookman Old Style" w:cs="Arial"/>
        </w:rPr>
        <w:t xml:space="preserve">las anteriores </w:t>
      </w:r>
      <w:r w:rsidRPr="00A30023">
        <w:rPr>
          <w:rFonts w:ascii="Bookman Old Style" w:hAnsi="Bookman Old Style" w:cs="Arial"/>
        </w:rPr>
        <w:t>exclusiones</w:t>
      </w:r>
      <w:r w:rsidR="00A5323B" w:rsidRPr="00A30023">
        <w:rPr>
          <w:rFonts w:ascii="Bookman Old Style" w:hAnsi="Bookman Old Style" w:cs="Arial"/>
        </w:rPr>
        <w:t xml:space="preserve"> listadas</w:t>
      </w:r>
      <w:r w:rsidRPr="00A30023">
        <w:rPr>
          <w:rFonts w:ascii="Bookman Old Style" w:hAnsi="Bookman Old Style" w:cs="Arial"/>
        </w:rPr>
        <w:t xml:space="preserve">), </w:t>
      </w:r>
      <w:r w:rsidR="00AA26CB">
        <w:rPr>
          <w:rFonts w:ascii="Bookman Old Style" w:hAnsi="Bookman Old Style" w:cs="Arial"/>
        </w:rPr>
        <w:t>la C</w:t>
      </w:r>
      <w:r w:rsidR="00A619C3">
        <w:rPr>
          <w:rFonts w:ascii="Bookman Old Style" w:hAnsi="Bookman Old Style" w:cs="Arial"/>
        </w:rPr>
        <w:t xml:space="preserve">omisión </w:t>
      </w:r>
      <w:r w:rsidR="005A1C40">
        <w:rPr>
          <w:rFonts w:ascii="Bookman Old Style" w:hAnsi="Bookman Old Style" w:cs="Arial"/>
        </w:rPr>
        <w:t xml:space="preserve">de </w:t>
      </w:r>
      <w:r w:rsidR="00AA26CB">
        <w:rPr>
          <w:rFonts w:ascii="Bookman Old Style" w:hAnsi="Bookman Old Style" w:cs="Arial"/>
        </w:rPr>
        <w:t>R</w:t>
      </w:r>
      <w:r w:rsidR="005A1C40">
        <w:rPr>
          <w:rFonts w:ascii="Bookman Old Style" w:hAnsi="Bookman Old Style" w:cs="Arial"/>
        </w:rPr>
        <w:t xml:space="preserve">egulación </w:t>
      </w:r>
      <w:r w:rsidR="00AA26CB">
        <w:rPr>
          <w:rFonts w:ascii="Bookman Old Style" w:hAnsi="Bookman Old Style" w:cs="Arial"/>
        </w:rPr>
        <w:t>E</w:t>
      </w:r>
      <w:r w:rsidR="005A1C40">
        <w:rPr>
          <w:rFonts w:ascii="Bookman Old Style" w:hAnsi="Bookman Old Style" w:cs="Arial"/>
        </w:rPr>
        <w:t xml:space="preserve">nergía y </w:t>
      </w:r>
      <w:r w:rsidR="00AA26CB">
        <w:rPr>
          <w:rFonts w:ascii="Bookman Old Style" w:hAnsi="Bookman Old Style" w:cs="Arial"/>
        </w:rPr>
        <w:t>G</w:t>
      </w:r>
      <w:r w:rsidR="005A1C40">
        <w:rPr>
          <w:rFonts w:ascii="Bookman Old Style" w:hAnsi="Bookman Old Style" w:cs="Arial"/>
        </w:rPr>
        <w:t>as – CREG,</w:t>
      </w:r>
      <w:r w:rsidR="00AA26CB">
        <w:rPr>
          <w:rFonts w:ascii="Bookman Old Style" w:hAnsi="Bookman Old Style" w:cs="Arial"/>
        </w:rPr>
        <w:t xml:space="preserve"> </w:t>
      </w:r>
      <w:r w:rsidRPr="00A30023">
        <w:rPr>
          <w:rFonts w:ascii="Bookman Old Style" w:hAnsi="Bookman Old Style" w:cs="Arial"/>
        </w:rPr>
        <w:t>recaudaría el valor de</w:t>
      </w:r>
      <w:r w:rsidR="006D5772" w:rsidRPr="00A30023">
        <w:rPr>
          <w:rFonts w:ascii="Bookman Old Style" w:hAnsi="Bookman Old Style" w:cs="Arial"/>
        </w:rPr>
        <w:t xml:space="preserve"> </w:t>
      </w:r>
      <w:r w:rsidR="006D5772" w:rsidRPr="00A30023">
        <w:rPr>
          <w:rFonts w:ascii="Bookman Old Style" w:hAnsi="Bookman Old Style" w:cs="Arial"/>
          <w:b/>
          <w:bCs/>
        </w:rPr>
        <w:t>$</w:t>
      </w:r>
      <w:r w:rsidR="00A85F91" w:rsidRPr="00A30023">
        <w:rPr>
          <w:rFonts w:ascii="Bookman Old Style" w:hAnsi="Bookman Old Style" w:cs="Arial"/>
          <w:b/>
          <w:bCs/>
        </w:rPr>
        <w:t>34.</w:t>
      </w:r>
      <w:r w:rsidR="00A6195B" w:rsidRPr="00A30023">
        <w:rPr>
          <w:rFonts w:ascii="Bookman Old Style" w:hAnsi="Bookman Old Style" w:cs="Arial"/>
          <w:b/>
          <w:bCs/>
        </w:rPr>
        <w:t>567.566.907</w:t>
      </w:r>
      <w:r w:rsidR="00D9300F" w:rsidRPr="00A30023">
        <w:rPr>
          <w:rFonts w:ascii="Bookman Old Style" w:hAnsi="Bookman Old Style" w:cs="Arial"/>
        </w:rPr>
        <w:t xml:space="preserve">, </w:t>
      </w:r>
      <w:r w:rsidRPr="00A30023">
        <w:rPr>
          <w:rFonts w:ascii="Bookman Old Style" w:hAnsi="Bookman Old Style" w:cs="Arial"/>
        </w:rPr>
        <w:t xml:space="preserve">monto </w:t>
      </w:r>
      <w:r w:rsidR="00D9300F" w:rsidRPr="00A30023">
        <w:rPr>
          <w:rFonts w:ascii="Bookman Old Style" w:hAnsi="Bookman Old Style" w:cs="Arial"/>
        </w:rPr>
        <w:t xml:space="preserve">que </w:t>
      </w:r>
      <w:r w:rsidR="005A1CCE" w:rsidRPr="00A30023">
        <w:rPr>
          <w:rFonts w:ascii="Bookman Old Style" w:hAnsi="Bookman Old Style" w:cs="Arial"/>
        </w:rPr>
        <w:t xml:space="preserve">es </w:t>
      </w:r>
      <w:r w:rsidRPr="00A30023">
        <w:rPr>
          <w:rFonts w:ascii="Bookman Old Style" w:hAnsi="Bookman Old Style" w:cs="Arial"/>
        </w:rPr>
        <w:t xml:space="preserve">inferior </w:t>
      </w:r>
      <w:r w:rsidR="004246F4" w:rsidRPr="00A30023">
        <w:rPr>
          <w:rFonts w:ascii="Bookman Old Style" w:hAnsi="Bookman Old Style" w:cs="Arial"/>
        </w:rPr>
        <w:t xml:space="preserve">en </w:t>
      </w:r>
      <w:r w:rsidR="004145D5" w:rsidRPr="00A30023">
        <w:rPr>
          <w:rFonts w:ascii="Bookman Old Style" w:hAnsi="Bookman Old Style" w:cs="Arial"/>
          <w:b/>
          <w:bCs/>
        </w:rPr>
        <w:t>$</w:t>
      </w:r>
      <w:r w:rsidR="00A85F91" w:rsidRPr="00A30023">
        <w:rPr>
          <w:rFonts w:ascii="Bookman Old Style" w:hAnsi="Bookman Old Style" w:cs="Arial"/>
          <w:b/>
          <w:bCs/>
        </w:rPr>
        <w:t>3.</w:t>
      </w:r>
      <w:r w:rsidR="004275D5" w:rsidRPr="00A30023">
        <w:rPr>
          <w:rFonts w:ascii="Bookman Old Style" w:hAnsi="Bookman Old Style" w:cs="Arial"/>
          <w:b/>
          <w:bCs/>
        </w:rPr>
        <w:t>182</w:t>
      </w:r>
      <w:r w:rsidR="00A6195B" w:rsidRPr="00A30023">
        <w:rPr>
          <w:rFonts w:ascii="Bookman Old Style" w:hAnsi="Bookman Old Style" w:cs="Arial"/>
          <w:b/>
          <w:bCs/>
        </w:rPr>
        <w:t>.</w:t>
      </w:r>
      <w:r w:rsidR="001643ED" w:rsidRPr="00A30023">
        <w:rPr>
          <w:rFonts w:ascii="Bookman Old Style" w:hAnsi="Bookman Old Style" w:cs="Arial"/>
          <w:b/>
          <w:bCs/>
        </w:rPr>
        <w:t>799.148</w:t>
      </w:r>
      <w:r w:rsidR="004145D5" w:rsidRPr="00A30023">
        <w:rPr>
          <w:rFonts w:ascii="Bookman Old Style" w:hAnsi="Bookman Old Style" w:cs="Arial"/>
        </w:rPr>
        <w:t xml:space="preserve">, </w:t>
      </w:r>
      <w:r w:rsidR="00725AAF" w:rsidRPr="00A30023">
        <w:rPr>
          <w:rFonts w:ascii="Bookman Old Style" w:hAnsi="Bookman Old Style" w:cs="Arial"/>
        </w:rPr>
        <w:t>con respecto</w:t>
      </w:r>
      <w:r w:rsidR="004246F4" w:rsidRPr="00A30023">
        <w:rPr>
          <w:rFonts w:ascii="Bookman Old Style" w:hAnsi="Bookman Old Style" w:cs="Arial"/>
        </w:rPr>
        <w:t xml:space="preserve"> </w:t>
      </w:r>
      <w:r w:rsidRPr="00A30023">
        <w:rPr>
          <w:rFonts w:ascii="Bookman Old Style" w:hAnsi="Bookman Old Style" w:cs="Arial"/>
        </w:rPr>
        <w:t xml:space="preserve">al </w:t>
      </w:r>
      <w:r w:rsidR="00172DB8" w:rsidRPr="00A30023">
        <w:rPr>
          <w:rFonts w:ascii="Bookman Old Style" w:hAnsi="Bookman Old Style" w:cs="Arial"/>
        </w:rPr>
        <w:t xml:space="preserve">valor </w:t>
      </w:r>
      <w:r w:rsidR="006E7B40" w:rsidRPr="006E7B40">
        <w:rPr>
          <w:rFonts w:ascii="Bookman Old Style" w:hAnsi="Bookman Old Style" w:cs="Arial"/>
        </w:rPr>
        <w:t>que debe ser cubierto con el recaudo de la contribución especial a favor de la Comisión</w:t>
      </w:r>
      <w:r w:rsidR="00763595">
        <w:rPr>
          <w:rFonts w:ascii="Bookman Old Style" w:hAnsi="Bookman Old Style" w:cs="Arial"/>
        </w:rPr>
        <w:t xml:space="preserve">, determinado en </w:t>
      </w:r>
      <w:r w:rsidR="00E53A08">
        <w:rPr>
          <w:rFonts w:ascii="Bookman Old Style" w:hAnsi="Bookman Old Style" w:cs="Arial"/>
        </w:rPr>
        <w:t xml:space="preserve">la suma de </w:t>
      </w:r>
      <w:r w:rsidR="00BB31DC" w:rsidRPr="00A30023">
        <w:rPr>
          <w:rFonts w:ascii="Bookman Old Style" w:hAnsi="Bookman Old Style" w:cs="Arial"/>
          <w:b/>
          <w:bCs/>
        </w:rPr>
        <w:t>$37.750.366.055</w:t>
      </w:r>
      <w:r w:rsidR="00763595">
        <w:rPr>
          <w:rFonts w:ascii="Bookman Old Style" w:hAnsi="Bookman Old Style" w:cs="Arial"/>
          <w:b/>
          <w:bCs/>
        </w:rPr>
        <w:t>.</w:t>
      </w:r>
    </w:p>
    <w:p w14:paraId="4C99EF82" w14:textId="77777777" w:rsidR="00763595" w:rsidRDefault="00763595" w:rsidP="000E5253">
      <w:pPr>
        <w:ind w:left="0"/>
        <w:jc w:val="both"/>
        <w:rPr>
          <w:rFonts w:ascii="Bookman Old Style" w:hAnsi="Bookman Old Style" w:cs="Arial"/>
          <w:b/>
          <w:bCs/>
        </w:rPr>
      </w:pPr>
    </w:p>
    <w:p w14:paraId="062FE424" w14:textId="77777777" w:rsidR="00CE0096" w:rsidRDefault="00763595" w:rsidP="000E5253">
      <w:pPr>
        <w:ind w:left="0"/>
        <w:jc w:val="both"/>
        <w:rPr>
          <w:rFonts w:ascii="Bookman Old Style" w:hAnsi="Bookman Old Style" w:cs="Arial"/>
        </w:rPr>
      </w:pPr>
      <w:r w:rsidRPr="00F171AE">
        <w:rPr>
          <w:rFonts w:ascii="Bookman Old Style" w:hAnsi="Bookman Old Style" w:cs="Arial"/>
        </w:rPr>
        <w:t>Conforme a los expu</w:t>
      </w:r>
      <w:r w:rsidR="008416D8" w:rsidRPr="00F171AE">
        <w:rPr>
          <w:rFonts w:ascii="Bookman Old Style" w:hAnsi="Bookman Old Style" w:cs="Arial"/>
        </w:rPr>
        <w:t>esto</w:t>
      </w:r>
      <w:r w:rsidR="00692D39" w:rsidRPr="00A30023">
        <w:rPr>
          <w:rFonts w:ascii="Bookman Old Style" w:hAnsi="Bookman Old Style" w:cs="Arial"/>
        </w:rPr>
        <w:t xml:space="preserve">, </w:t>
      </w:r>
      <w:r w:rsidR="008416D8">
        <w:rPr>
          <w:rFonts w:ascii="Bookman Old Style" w:hAnsi="Bookman Old Style" w:cs="Arial"/>
        </w:rPr>
        <w:t>al aplicar la tarifa del 1% sobre</w:t>
      </w:r>
      <w:r w:rsidR="00A24F35" w:rsidRPr="00A24F35">
        <w:t xml:space="preserve"> </w:t>
      </w:r>
      <w:r w:rsidR="00A24F35" w:rsidRPr="00A24F35">
        <w:rPr>
          <w:rFonts w:ascii="Bookman Old Style" w:hAnsi="Bookman Old Style" w:cs="Arial"/>
        </w:rPr>
        <w:t xml:space="preserve">valor neto de los gastos de funcionamiento </w:t>
      </w:r>
      <w:r w:rsidR="003B2953">
        <w:rPr>
          <w:rFonts w:ascii="Bookman Old Style" w:hAnsi="Bookman Old Style" w:cs="Arial"/>
        </w:rPr>
        <w:t xml:space="preserve">depurados </w:t>
      </w:r>
      <w:r w:rsidR="00A24F35" w:rsidRPr="00A24F35">
        <w:rPr>
          <w:rFonts w:ascii="Bookman Old Style" w:hAnsi="Bookman Old Style" w:cs="Arial"/>
        </w:rPr>
        <w:t xml:space="preserve">de los </w:t>
      </w:r>
      <w:r w:rsidR="003B2953">
        <w:rPr>
          <w:rFonts w:ascii="Bookman Old Style" w:hAnsi="Bookman Old Style" w:cs="Arial"/>
        </w:rPr>
        <w:t>contribuyentes,</w:t>
      </w:r>
      <w:r w:rsidR="007A6097">
        <w:rPr>
          <w:rFonts w:ascii="Bookman Old Style" w:hAnsi="Bookman Old Style" w:cs="Arial"/>
        </w:rPr>
        <w:t xml:space="preserve"> </w:t>
      </w:r>
      <w:r w:rsidR="00F92495">
        <w:rPr>
          <w:rFonts w:ascii="Bookman Old Style" w:hAnsi="Bookman Old Style" w:cs="Arial"/>
        </w:rPr>
        <w:t xml:space="preserve">la </w:t>
      </w:r>
      <w:r w:rsidR="0064267D">
        <w:rPr>
          <w:rFonts w:ascii="Bookman Old Style" w:hAnsi="Bookman Old Style" w:cs="Arial"/>
        </w:rPr>
        <w:t>Comisión de Regulación Energía y Gas – CREG</w:t>
      </w:r>
      <w:r w:rsidR="00F92495">
        <w:rPr>
          <w:rFonts w:ascii="Bookman Old Style" w:hAnsi="Bookman Old Style" w:cs="Arial"/>
        </w:rPr>
        <w:t xml:space="preserve"> </w:t>
      </w:r>
      <w:r w:rsidR="007A6097">
        <w:rPr>
          <w:rFonts w:ascii="Bookman Old Style" w:hAnsi="Bookman Old Style" w:cs="Arial"/>
        </w:rPr>
        <w:t>identifica un faltante para cubrir</w:t>
      </w:r>
      <w:r w:rsidR="008416D8">
        <w:rPr>
          <w:rFonts w:ascii="Bookman Old Style" w:hAnsi="Bookman Old Style" w:cs="Arial"/>
        </w:rPr>
        <w:t xml:space="preserve"> </w:t>
      </w:r>
      <w:r w:rsidR="00C832C5">
        <w:rPr>
          <w:rFonts w:ascii="Bookman Old Style" w:hAnsi="Bookman Old Style" w:cs="Arial"/>
        </w:rPr>
        <w:t>el costo del</w:t>
      </w:r>
      <w:r w:rsidR="0095264E">
        <w:rPr>
          <w:rFonts w:ascii="Bookman Old Style" w:hAnsi="Bookman Old Style" w:cs="Arial"/>
        </w:rPr>
        <w:t xml:space="preserve"> servicio</w:t>
      </w:r>
      <w:r w:rsidR="00867443">
        <w:rPr>
          <w:rFonts w:ascii="Bookman Old Style" w:hAnsi="Bookman Old Style" w:cs="Arial"/>
        </w:rPr>
        <w:t xml:space="preserve"> de regulación</w:t>
      </w:r>
      <w:r w:rsidR="002D724C">
        <w:rPr>
          <w:rFonts w:ascii="Bookman Old Style" w:hAnsi="Bookman Old Style" w:cs="Arial"/>
        </w:rPr>
        <w:t xml:space="preserve"> para la vigencia 2023</w:t>
      </w:r>
      <w:r w:rsidR="00604432">
        <w:rPr>
          <w:rFonts w:ascii="Bookman Old Style" w:hAnsi="Bookman Old Style" w:cs="Arial"/>
        </w:rPr>
        <w:t xml:space="preserve">, </w:t>
      </w:r>
      <w:r w:rsidR="00426122">
        <w:rPr>
          <w:rFonts w:ascii="Bookman Old Style" w:hAnsi="Bookman Old Style" w:cs="Arial"/>
        </w:rPr>
        <w:t xml:space="preserve">razón por la cual es necesario </w:t>
      </w:r>
      <w:r w:rsidR="00673BF3">
        <w:rPr>
          <w:rFonts w:ascii="Bookman Old Style" w:hAnsi="Bookman Old Style" w:cs="Arial"/>
        </w:rPr>
        <w:t xml:space="preserve">adicionar a la base gravable </w:t>
      </w:r>
      <w:r w:rsidR="004A7074">
        <w:rPr>
          <w:rFonts w:ascii="Bookman Old Style" w:hAnsi="Bookman Old Style" w:cs="Arial"/>
        </w:rPr>
        <w:t xml:space="preserve">los </w:t>
      </w:r>
      <w:r w:rsidR="00E075BF">
        <w:rPr>
          <w:rFonts w:ascii="Bookman Old Style" w:hAnsi="Bookman Old Style" w:cs="Arial"/>
        </w:rPr>
        <w:t>rubros</w:t>
      </w:r>
      <w:r w:rsidR="004A7074">
        <w:rPr>
          <w:rFonts w:ascii="Bookman Old Style" w:hAnsi="Bookman Old Style" w:cs="Arial"/>
        </w:rPr>
        <w:t xml:space="preserve"> que autoriza el </w:t>
      </w:r>
      <w:r w:rsidR="00692D39" w:rsidRPr="00A30023">
        <w:rPr>
          <w:rFonts w:ascii="Bookman Old Style" w:hAnsi="Bookman Old Style" w:cs="Arial"/>
        </w:rPr>
        <w:t>parágrafo 2</w:t>
      </w:r>
      <w:r w:rsidR="00172DB8" w:rsidRPr="00A30023">
        <w:rPr>
          <w:rFonts w:ascii="Bookman Old Style" w:hAnsi="Bookman Old Style" w:cs="Arial"/>
        </w:rPr>
        <w:t>°</w:t>
      </w:r>
      <w:r w:rsidR="00692D39" w:rsidRPr="00A30023">
        <w:rPr>
          <w:rFonts w:ascii="Bookman Old Style" w:hAnsi="Bookman Old Style" w:cs="Arial"/>
        </w:rPr>
        <w:t xml:space="preserve"> del artículo 85 de la Ley 142 de 1994, en la proporción en que sean indispensables para cubrir el faltante presupuestal</w:t>
      </w:r>
      <w:r w:rsidR="006B651C">
        <w:rPr>
          <w:rFonts w:ascii="Bookman Old Style" w:hAnsi="Bookman Old Style" w:cs="Arial"/>
        </w:rPr>
        <w:t>.</w:t>
      </w:r>
      <w:r w:rsidR="00B61B0A">
        <w:rPr>
          <w:rFonts w:ascii="Bookman Old Style" w:hAnsi="Bookman Old Style" w:cs="Arial"/>
        </w:rPr>
        <w:t xml:space="preserve"> </w:t>
      </w:r>
    </w:p>
    <w:p w14:paraId="71FF4318" w14:textId="77777777" w:rsidR="00CE0096" w:rsidRDefault="00CE0096" w:rsidP="000E5253">
      <w:pPr>
        <w:ind w:left="0"/>
        <w:jc w:val="both"/>
        <w:rPr>
          <w:rFonts w:ascii="Bookman Old Style" w:hAnsi="Bookman Old Style" w:cs="Arial"/>
        </w:rPr>
      </w:pPr>
    </w:p>
    <w:p w14:paraId="291F7FBD" w14:textId="764FE489" w:rsidR="00C64C58" w:rsidRDefault="00C64C58" w:rsidP="000E5253">
      <w:pPr>
        <w:ind w:left="0"/>
        <w:jc w:val="both"/>
        <w:rPr>
          <w:rFonts w:ascii="Bookman Old Style" w:hAnsi="Bookman Old Style" w:cs="Arial"/>
        </w:rPr>
      </w:pPr>
      <w:r w:rsidRPr="000F28B3">
        <w:rPr>
          <w:rFonts w:ascii="Bookman Old Style" w:hAnsi="Bookman Old Style" w:cs="Arial"/>
        </w:rPr>
        <w:t xml:space="preserve">Por tanto, para cubrir el faltante presupuestal, se tomarán del total de gastos operativos de las empresas reguladas por </w:t>
      </w:r>
      <w:r w:rsidRPr="00860A43">
        <w:rPr>
          <w:rFonts w:ascii="Bookman Old Style" w:hAnsi="Bookman Old Style" w:cs="Arial"/>
          <w:b/>
          <w:bCs/>
        </w:rPr>
        <w:t>$39.653.191.539.633</w:t>
      </w:r>
      <w:r w:rsidRPr="000F28B3">
        <w:rPr>
          <w:rFonts w:ascii="Bookman Old Style" w:hAnsi="Bookman Old Style" w:cs="Arial"/>
        </w:rPr>
        <w:t xml:space="preserve"> una porción de </w:t>
      </w:r>
      <w:r w:rsidRPr="00860A43">
        <w:rPr>
          <w:rFonts w:ascii="Bookman Old Style" w:hAnsi="Bookman Old Style" w:cs="Arial"/>
          <w:b/>
          <w:bCs/>
        </w:rPr>
        <w:t>$318.279.914.794</w:t>
      </w:r>
      <w:r w:rsidRPr="000F28B3">
        <w:rPr>
          <w:rFonts w:ascii="Bookman Old Style" w:hAnsi="Bookman Old Style" w:cs="Arial"/>
        </w:rPr>
        <w:t xml:space="preserve">, </w:t>
      </w:r>
      <w:r>
        <w:rPr>
          <w:rFonts w:ascii="Bookman Old Style" w:hAnsi="Bookman Old Style" w:cs="Arial"/>
        </w:rPr>
        <w:t xml:space="preserve">representado porcentualmente en el </w:t>
      </w:r>
      <w:r w:rsidRPr="00596C8E">
        <w:rPr>
          <w:rFonts w:ascii="Bookman Old Style" w:hAnsi="Bookman Old Style" w:cs="Arial"/>
        </w:rPr>
        <w:t>0,0080266%</w:t>
      </w:r>
      <w:r>
        <w:rPr>
          <w:rFonts w:ascii="Bookman Old Style" w:hAnsi="Bookman Old Style" w:cs="Arial"/>
        </w:rPr>
        <w:t xml:space="preserve">, </w:t>
      </w:r>
      <w:r w:rsidRPr="000F28B3">
        <w:rPr>
          <w:rFonts w:ascii="Bookman Old Style" w:hAnsi="Bookman Old Style" w:cs="Arial"/>
        </w:rPr>
        <w:t xml:space="preserve">que multiplicados por el </w:t>
      </w:r>
      <w:r w:rsidRPr="004027D2">
        <w:rPr>
          <w:rFonts w:ascii="Bookman Old Style" w:hAnsi="Bookman Old Style" w:cs="Arial"/>
          <w:b/>
          <w:bCs/>
        </w:rPr>
        <w:t>1%</w:t>
      </w:r>
      <w:r w:rsidRPr="000F28B3">
        <w:rPr>
          <w:rFonts w:ascii="Bookman Old Style" w:hAnsi="Bookman Old Style" w:cs="Arial"/>
        </w:rPr>
        <w:t>, son los</w:t>
      </w:r>
      <w:r>
        <w:rPr>
          <w:rFonts w:ascii="Bookman Old Style" w:hAnsi="Bookman Old Style" w:cs="Arial"/>
        </w:rPr>
        <w:t xml:space="preserve"> recursos necesarios</w:t>
      </w:r>
      <w:r w:rsidRPr="000F28B3">
        <w:rPr>
          <w:rFonts w:ascii="Bookman Old Style" w:hAnsi="Bookman Old Style" w:cs="Arial"/>
        </w:rPr>
        <w:t xml:space="preserve"> para cubrir el faltante presupuestal 2023 por </w:t>
      </w:r>
      <w:r w:rsidRPr="00860A43">
        <w:rPr>
          <w:rFonts w:ascii="Bookman Old Style" w:hAnsi="Bookman Old Style" w:cs="Arial"/>
          <w:b/>
          <w:bCs/>
        </w:rPr>
        <w:t>$3.182.799.148</w:t>
      </w:r>
      <w:r w:rsidRPr="000F28B3">
        <w:rPr>
          <w:rFonts w:ascii="Bookman Old Style" w:hAnsi="Bookman Old Style" w:cs="Arial"/>
        </w:rPr>
        <w:t xml:space="preserve"> </w:t>
      </w:r>
      <w:r>
        <w:rPr>
          <w:rFonts w:ascii="Bookman Old Style" w:hAnsi="Bookman Old Style" w:cs="Arial"/>
        </w:rPr>
        <w:t>para ser</w:t>
      </w:r>
      <w:r w:rsidRPr="000F28B3">
        <w:rPr>
          <w:rFonts w:ascii="Bookman Old Style" w:hAnsi="Bookman Old Style" w:cs="Arial"/>
        </w:rPr>
        <w:t xml:space="preserve"> incluidos en la base gravable de la contribución especial de la vigencia 2023, </w:t>
      </w:r>
      <w:r>
        <w:rPr>
          <w:rFonts w:ascii="Bookman Old Style" w:hAnsi="Bookman Old Style" w:cs="Arial"/>
        </w:rPr>
        <w:t xml:space="preserve">la cual se </w:t>
      </w:r>
      <w:r w:rsidRPr="000F28B3">
        <w:rPr>
          <w:rFonts w:ascii="Bookman Old Style" w:hAnsi="Bookman Old Style" w:cs="Arial"/>
        </w:rPr>
        <w:t>detal</w:t>
      </w:r>
      <w:r>
        <w:rPr>
          <w:rFonts w:ascii="Bookman Old Style" w:hAnsi="Bookman Old Style" w:cs="Arial"/>
        </w:rPr>
        <w:t>la</w:t>
      </w:r>
      <w:r w:rsidRPr="000F28B3">
        <w:rPr>
          <w:rFonts w:ascii="Bookman Old Style" w:hAnsi="Bookman Old Style" w:cs="Arial"/>
        </w:rPr>
        <w:t xml:space="preserve"> a continuación</w:t>
      </w:r>
      <w:r>
        <w:rPr>
          <w:rFonts w:ascii="Bookman Old Style" w:hAnsi="Bookman Old Style" w:cs="Arial"/>
        </w:rPr>
        <w:t>:</w:t>
      </w:r>
    </w:p>
    <w:p w14:paraId="5CED6348" w14:textId="77777777" w:rsidR="00C64C58" w:rsidRDefault="00C64C58" w:rsidP="000E5253">
      <w:pPr>
        <w:ind w:left="0"/>
        <w:jc w:val="both"/>
        <w:rPr>
          <w:rFonts w:ascii="Bookman Old Style" w:hAnsi="Bookman Old Style" w:cs="Arial"/>
        </w:rPr>
      </w:pPr>
    </w:p>
    <w:p w14:paraId="448A4DFE" w14:textId="0D44A1C8" w:rsidR="00215766" w:rsidRPr="003970B7" w:rsidRDefault="00DD34A1" w:rsidP="00DD34A1">
      <w:pPr>
        <w:pStyle w:val="Descripcin"/>
        <w:keepNext/>
        <w:rPr>
          <w:rFonts w:ascii="Bookman Old Style" w:hAnsi="Bookman Old Style" w:cs="Arial"/>
          <w:color w:val="auto"/>
          <w:sz w:val="20"/>
          <w:szCs w:val="20"/>
        </w:rPr>
      </w:pPr>
      <w:r w:rsidRPr="003970B7">
        <w:rPr>
          <w:rFonts w:ascii="Bookman Old Style" w:hAnsi="Bookman Old Style"/>
          <w:color w:val="auto"/>
          <w:sz w:val="16"/>
          <w:szCs w:val="16"/>
        </w:rPr>
        <w:t>Tabla 7 Resumen general de la base gravable de la contribución 2023</w:t>
      </w:r>
    </w:p>
    <w:tbl>
      <w:tblPr>
        <w:tblW w:w="9346" w:type="dxa"/>
        <w:tblCellMar>
          <w:left w:w="70" w:type="dxa"/>
          <w:right w:w="70" w:type="dxa"/>
        </w:tblCellMar>
        <w:tblLook w:val="04A0" w:firstRow="1" w:lastRow="0" w:firstColumn="1" w:lastColumn="0" w:noHBand="0" w:noVBand="1"/>
      </w:tblPr>
      <w:tblGrid>
        <w:gridCol w:w="2319"/>
        <w:gridCol w:w="2354"/>
        <w:gridCol w:w="2093"/>
        <w:gridCol w:w="2580"/>
      </w:tblGrid>
      <w:tr w:rsidR="00215766" w:rsidRPr="00924175" w14:paraId="4AA2EA94" w14:textId="77777777" w:rsidTr="00D92971">
        <w:trPr>
          <w:trHeight w:val="357"/>
        </w:trPr>
        <w:tc>
          <w:tcPr>
            <w:tcW w:w="67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EDBA0" w14:textId="77777777" w:rsidR="00215766" w:rsidRPr="00924175" w:rsidRDefault="00215766" w:rsidP="00924175">
            <w:pPr>
              <w:ind w:left="0"/>
              <w:rPr>
                <w:rFonts w:ascii="Bookman Old Style" w:hAnsi="Bookman Old Style" w:cs="Arial"/>
                <w:b/>
                <w:bCs/>
                <w:color w:val="000000"/>
                <w:sz w:val="16"/>
                <w:szCs w:val="16"/>
                <w:lang w:eastAsia="es-CO"/>
              </w:rPr>
            </w:pPr>
            <w:r w:rsidRPr="00924175">
              <w:rPr>
                <w:rFonts w:ascii="Bookman Old Style" w:hAnsi="Bookman Old Style" w:cs="Arial"/>
                <w:b/>
                <w:bCs/>
                <w:color w:val="000000"/>
                <w:sz w:val="16"/>
                <w:szCs w:val="16"/>
                <w:lang w:val="es-MX" w:eastAsia="es-CO"/>
              </w:rPr>
              <w:t>CONCEPTOS REPORTADOS AL SUI INFORMACIÓN FINANCIERA 2022</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14:paraId="689C2E23" w14:textId="77777777" w:rsidR="00215766" w:rsidRPr="00924175" w:rsidRDefault="00215766" w:rsidP="00D254D6">
            <w:pPr>
              <w:ind w:left="0"/>
              <w:rPr>
                <w:rFonts w:ascii="Bookman Old Style" w:hAnsi="Bookman Old Style" w:cs="Arial"/>
                <w:b/>
                <w:bCs/>
                <w:color w:val="000000"/>
                <w:sz w:val="16"/>
                <w:szCs w:val="16"/>
                <w:lang w:eastAsia="es-CO"/>
              </w:rPr>
            </w:pPr>
            <w:r w:rsidRPr="00924175">
              <w:rPr>
                <w:rFonts w:ascii="Bookman Old Style" w:hAnsi="Bookman Old Style" w:cs="Arial"/>
                <w:b/>
                <w:bCs/>
                <w:color w:val="000000"/>
                <w:sz w:val="16"/>
                <w:szCs w:val="16"/>
                <w:lang w:val="es-MX" w:eastAsia="es-CO"/>
              </w:rPr>
              <w:t>VALOR</w:t>
            </w:r>
          </w:p>
        </w:tc>
      </w:tr>
      <w:tr w:rsidR="00215766" w:rsidRPr="00924175" w14:paraId="35416036" w14:textId="77777777" w:rsidTr="007E4AAB">
        <w:trPr>
          <w:trHeight w:val="221"/>
        </w:trPr>
        <w:tc>
          <w:tcPr>
            <w:tcW w:w="67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DFEE3" w14:textId="77777777" w:rsidR="00215766" w:rsidRPr="00924175" w:rsidRDefault="00215766" w:rsidP="00924175">
            <w:pPr>
              <w:ind w:left="0"/>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val="es-MX" w:eastAsia="es-CO"/>
              </w:rPr>
              <w:t>SUBTOTAL GASTOS ADMINISTRATIVOS (FUNCIONAMIENTO)</w:t>
            </w:r>
          </w:p>
        </w:tc>
        <w:tc>
          <w:tcPr>
            <w:tcW w:w="2580" w:type="dxa"/>
            <w:tcBorders>
              <w:top w:val="nil"/>
              <w:left w:val="nil"/>
              <w:bottom w:val="single" w:sz="4" w:space="0" w:color="auto"/>
              <w:right w:val="single" w:sz="4" w:space="0" w:color="auto"/>
            </w:tcBorders>
            <w:shd w:val="clear" w:color="auto" w:fill="auto"/>
            <w:noWrap/>
            <w:vAlign w:val="center"/>
            <w:hideMark/>
          </w:tcPr>
          <w:p w14:paraId="1EF8437A" w14:textId="77777777" w:rsidR="00215766" w:rsidRPr="00924175" w:rsidRDefault="00215766" w:rsidP="003069CF">
            <w:pPr>
              <w:ind w:left="0"/>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val="es-MX" w:eastAsia="es-CO"/>
              </w:rPr>
              <w:t>$ 3.456.756.690.706</w:t>
            </w:r>
          </w:p>
        </w:tc>
      </w:tr>
      <w:tr w:rsidR="00215766" w:rsidRPr="00924175" w14:paraId="05A34DE2" w14:textId="77777777" w:rsidTr="007E4AAB">
        <w:trPr>
          <w:trHeight w:val="221"/>
        </w:trPr>
        <w:tc>
          <w:tcPr>
            <w:tcW w:w="67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4B6A2" w14:textId="77777777" w:rsidR="00215766" w:rsidRPr="00924175" w:rsidRDefault="00215766" w:rsidP="00924175">
            <w:pPr>
              <w:ind w:left="0"/>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val="es-MX" w:eastAsia="es-CO"/>
              </w:rPr>
              <w:t>SUBTOTAL GASTOS OPERATIVOS</w:t>
            </w:r>
          </w:p>
        </w:tc>
        <w:tc>
          <w:tcPr>
            <w:tcW w:w="2580" w:type="dxa"/>
            <w:tcBorders>
              <w:top w:val="nil"/>
              <w:left w:val="nil"/>
              <w:bottom w:val="single" w:sz="4" w:space="0" w:color="auto"/>
              <w:right w:val="single" w:sz="4" w:space="0" w:color="auto"/>
            </w:tcBorders>
            <w:shd w:val="clear" w:color="auto" w:fill="auto"/>
            <w:noWrap/>
            <w:vAlign w:val="center"/>
            <w:hideMark/>
          </w:tcPr>
          <w:p w14:paraId="3DAF357A" w14:textId="77777777" w:rsidR="00215766" w:rsidRPr="00924175" w:rsidRDefault="00215766" w:rsidP="003069CF">
            <w:pPr>
              <w:ind w:left="0"/>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val="es-MX" w:eastAsia="es-CO"/>
              </w:rPr>
              <w:t>$ 39.653.191.539.633</w:t>
            </w:r>
          </w:p>
        </w:tc>
      </w:tr>
      <w:tr w:rsidR="00215766" w:rsidRPr="00924175" w14:paraId="15F839D1" w14:textId="77777777" w:rsidTr="007E4AAB">
        <w:trPr>
          <w:trHeight w:val="221"/>
        </w:trPr>
        <w:tc>
          <w:tcPr>
            <w:tcW w:w="67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F924B" w14:textId="77777777" w:rsidR="00215766" w:rsidRPr="00924175" w:rsidRDefault="00215766" w:rsidP="00924175">
            <w:pPr>
              <w:ind w:left="0"/>
              <w:rPr>
                <w:rFonts w:ascii="Bookman Old Style" w:hAnsi="Bookman Old Style" w:cs="Arial"/>
                <w:b/>
                <w:bCs/>
                <w:color w:val="000000"/>
                <w:sz w:val="16"/>
                <w:szCs w:val="16"/>
                <w:lang w:eastAsia="es-CO"/>
              </w:rPr>
            </w:pPr>
            <w:proofErr w:type="gramStart"/>
            <w:r w:rsidRPr="00924175">
              <w:rPr>
                <w:rFonts w:ascii="Bookman Old Style" w:hAnsi="Bookman Old Style" w:cs="Arial"/>
                <w:b/>
                <w:bCs/>
                <w:color w:val="000000"/>
                <w:sz w:val="16"/>
                <w:szCs w:val="16"/>
                <w:lang w:val="es-MX" w:eastAsia="es-CO"/>
              </w:rPr>
              <w:t>TOTAL</w:t>
            </w:r>
            <w:proofErr w:type="gramEnd"/>
            <w:r w:rsidRPr="00924175">
              <w:rPr>
                <w:rFonts w:ascii="Bookman Old Style" w:hAnsi="Bookman Old Style" w:cs="Arial"/>
                <w:b/>
                <w:bCs/>
                <w:color w:val="000000"/>
                <w:sz w:val="16"/>
                <w:szCs w:val="16"/>
                <w:lang w:val="es-MX" w:eastAsia="es-CO"/>
              </w:rPr>
              <w:t xml:space="preserve"> BASE GRAVABLE CON REPORTE</w:t>
            </w:r>
          </w:p>
        </w:tc>
        <w:tc>
          <w:tcPr>
            <w:tcW w:w="2580" w:type="dxa"/>
            <w:tcBorders>
              <w:top w:val="nil"/>
              <w:left w:val="nil"/>
              <w:bottom w:val="single" w:sz="4" w:space="0" w:color="auto"/>
              <w:right w:val="single" w:sz="4" w:space="0" w:color="auto"/>
            </w:tcBorders>
            <w:shd w:val="clear" w:color="auto" w:fill="auto"/>
            <w:noWrap/>
            <w:vAlign w:val="center"/>
            <w:hideMark/>
          </w:tcPr>
          <w:p w14:paraId="55CC341E" w14:textId="77777777" w:rsidR="00215766" w:rsidRPr="00924175" w:rsidRDefault="00215766" w:rsidP="003069CF">
            <w:pPr>
              <w:ind w:left="0"/>
              <w:jc w:val="right"/>
              <w:rPr>
                <w:rFonts w:ascii="Bookman Old Style" w:hAnsi="Bookman Old Style" w:cs="Arial"/>
                <w:b/>
                <w:bCs/>
                <w:color w:val="000000"/>
                <w:sz w:val="16"/>
                <w:szCs w:val="16"/>
                <w:lang w:eastAsia="es-CO"/>
              </w:rPr>
            </w:pPr>
            <w:r w:rsidRPr="00924175">
              <w:rPr>
                <w:rFonts w:ascii="Bookman Old Style" w:hAnsi="Bookman Old Style" w:cs="Arial"/>
                <w:b/>
                <w:bCs/>
                <w:color w:val="000000"/>
                <w:sz w:val="16"/>
                <w:szCs w:val="16"/>
                <w:lang w:val="es-MX" w:eastAsia="es-CO"/>
              </w:rPr>
              <w:t>$ 43.109.948.230.339</w:t>
            </w:r>
          </w:p>
        </w:tc>
      </w:tr>
      <w:tr w:rsidR="00215766" w:rsidRPr="00924175" w14:paraId="1B359E69" w14:textId="77777777" w:rsidTr="007E4AAB">
        <w:trPr>
          <w:trHeight w:val="101"/>
        </w:trPr>
        <w:tc>
          <w:tcPr>
            <w:tcW w:w="2319" w:type="dxa"/>
            <w:tcBorders>
              <w:top w:val="nil"/>
              <w:left w:val="nil"/>
              <w:bottom w:val="nil"/>
              <w:right w:val="nil"/>
            </w:tcBorders>
            <w:shd w:val="clear" w:color="auto" w:fill="auto"/>
            <w:noWrap/>
            <w:vAlign w:val="center"/>
            <w:hideMark/>
          </w:tcPr>
          <w:p w14:paraId="6ECED560" w14:textId="77777777" w:rsidR="00215766" w:rsidRPr="00924175" w:rsidRDefault="00215766" w:rsidP="00ED5C88">
            <w:pPr>
              <w:jc w:val="right"/>
              <w:rPr>
                <w:rFonts w:ascii="Bookman Old Style" w:hAnsi="Bookman Old Style" w:cs="Arial"/>
                <w:b/>
                <w:bCs/>
                <w:color w:val="000000"/>
                <w:sz w:val="16"/>
                <w:szCs w:val="16"/>
                <w:lang w:eastAsia="es-CO"/>
              </w:rPr>
            </w:pPr>
          </w:p>
        </w:tc>
        <w:tc>
          <w:tcPr>
            <w:tcW w:w="2354" w:type="dxa"/>
            <w:tcBorders>
              <w:top w:val="nil"/>
              <w:left w:val="nil"/>
              <w:bottom w:val="nil"/>
              <w:right w:val="nil"/>
            </w:tcBorders>
            <w:shd w:val="clear" w:color="auto" w:fill="auto"/>
            <w:noWrap/>
            <w:vAlign w:val="center"/>
            <w:hideMark/>
          </w:tcPr>
          <w:p w14:paraId="0FDCA489" w14:textId="77777777" w:rsidR="00215766" w:rsidRPr="00924175" w:rsidRDefault="00215766" w:rsidP="00ED5C88">
            <w:pPr>
              <w:jc w:val="center"/>
              <w:rPr>
                <w:rFonts w:ascii="Bookman Old Style" w:hAnsi="Bookman Old Style"/>
                <w:sz w:val="16"/>
                <w:szCs w:val="16"/>
                <w:lang w:eastAsia="es-CO"/>
              </w:rPr>
            </w:pPr>
          </w:p>
        </w:tc>
        <w:tc>
          <w:tcPr>
            <w:tcW w:w="2093" w:type="dxa"/>
            <w:tcBorders>
              <w:top w:val="nil"/>
              <w:left w:val="nil"/>
              <w:bottom w:val="nil"/>
              <w:right w:val="nil"/>
            </w:tcBorders>
            <w:shd w:val="clear" w:color="auto" w:fill="auto"/>
            <w:noWrap/>
            <w:vAlign w:val="center"/>
            <w:hideMark/>
          </w:tcPr>
          <w:p w14:paraId="1EA0DB89" w14:textId="77777777" w:rsidR="00215766" w:rsidRPr="00924175" w:rsidRDefault="00215766" w:rsidP="00ED5C88">
            <w:pPr>
              <w:jc w:val="center"/>
              <w:rPr>
                <w:rFonts w:ascii="Bookman Old Style" w:hAnsi="Bookman Old Style"/>
                <w:sz w:val="16"/>
                <w:szCs w:val="16"/>
                <w:lang w:eastAsia="es-CO"/>
              </w:rPr>
            </w:pPr>
          </w:p>
        </w:tc>
        <w:tc>
          <w:tcPr>
            <w:tcW w:w="2580" w:type="dxa"/>
            <w:tcBorders>
              <w:top w:val="nil"/>
              <w:left w:val="nil"/>
              <w:bottom w:val="nil"/>
              <w:right w:val="nil"/>
            </w:tcBorders>
            <w:shd w:val="clear" w:color="auto" w:fill="auto"/>
            <w:noWrap/>
            <w:vAlign w:val="center"/>
            <w:hideMark/>
          </w:tcPr>
          <w:p w14:paraId="1C12E05A" w14:textId="77777777" w:rsidR="00215766" w:rsidRPr="00924175" w:rsidRDefault="00215766" w:rsidP="00ED5C88">
            <w:pPr>
              <w:jc w:val="center"/>
              <w:rPr>
                <w:rFonts w:ascii="Bookman Old Style" w:hAnsi="Bookman Old Style"/>
                <w:sz w:val="16"/>
                <w:szCs w:val="16"/>
                <w:lang w:eastAsia="es-CO"/>
              </w:rPr>
            </w:pPr>
          </w:p>
        </w:tc>
      </w:tr>
      <w:tr w:rsidR="00215766" w:rsidRPr="00924175" w14:paraId="37E6CFDB" w14:textId="77777777" w:rsidTr="007E4AAB">
        <w:trPr>
          <w:trHeight w:val="319"/>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AE115" w14:textId="09046ED1" w:rsidR="00215766" w:rsidRPr="00924175" w:rsidRDefault="00215766" w:rsidP="00D7588B">
            <w:pPr>
              <w:ind w:left="0"/>
              <w:jc w:val="center"/>
              <w:rPr>
                <w:rFonts w:ascii="Bookman Old Style" w:hAnsi="Bookman Old Style" w:cs="Arial"/>
                <w:b/>
                <w:bCs/>
                <w:color w:val="000000"/>
                <w:sz w:val="16"/>
                <w:szCs w:val="16"/>
                <w:lang w:eastAsia="es-CO"/>
              </w:rPr>
            </w:pPr>
            <w:r w:rsidRPr="00924175">
              <w:rPr>
                <w:rFonts w:ascii="Bookman Old Style" w:hAnsi="Bookman Old Style" w:cs="Arial"/>
                <w:b/>
                <w:bCs/>
                <w:color w:val="000000"/>
                <w:sz w:val="16"/>
                <w:szCs w:val="16"/>
                <w:lang w:val="es-MX" w:eastAsia="es-CO"/>
              </w:rPr>
              <w:t>CONCEPTOS</w:t>
            </w:r>
          </w:p>
        </w:tc>
        <w:tc>
          <w:tcPr>
            <w:tcW w:w="2354" w:type="dxa"/>
            <w:tcBorders>
              <w:top w:val="single" w:sz="4" w:space="0" w:color="auto"/>
              <w:left w:val="nil"/>
              <w:bottom w:val="single" w:sz="4" w:space="0" w:color="auto"/>
              <w:right w:val="single" w:sz="4" w:space="0" w:color="auto"/>
            </w:tcBorders>
            <w:shd w:val="clear" w:color="auto" w:fill="auto"/>
            <w:vAlign w:val="center"/>
            <w:hideMark/>
          </w:tcPr>
          <w:p w14:paraId="0369D2A7" w14:textId="0A1C09B7" w:rsidR="00215766" w:rsidRPr="00924175" w:rsidRDefault="00215766" w:rsidP="00D7588B">
            <w:pPr>
              <w:ind w:left="0"/>
              <w:jc w:val="center"/>
              <w:rPr>
                <w:rFonts w:ascii="Bookman Old Style" w:hAnsi="Bookman Old Style" w:cs="Arial"/>
                <w:b/>
                <w:bCs/>
                <w:color w:val="000000"/>
                <w:sz w:val="16"/>
                <w:szCs w:val="16"/>
                <w:lang w:eastAsia="es-CO"/>
              </w:rPr>
            </w:pPr>
            <w:r w:rsidRPr="00924175">
              <w:rPr>
                <w:rFonts w:ascii="Bookman Old Style" w:hAnsi="Bookman Old Style" w:cs="Arial"/>
                <w:b/>
                <w:bCs/>
                <w:color w:val="000000"/>
                <w:sz w:val="16"/>
                <w:szCs w:val="16"/>
                <w:lang w:val="es-MX" w:eastAsia="es-CO"/>
              </w:rPr>
              <w:t>BASE GASTOS DE ADMINISTRACIÓN</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14:paraId="0DC2F310" w14:textId="70AD7763" w:rsidR="00215766" w:rsidRPr="00924175" w:rsidRDefault="00215766" w:rsidP="00D7588B">
            <w:pPr>
              <w:ind w:left="0"/>
              <w:jc w:val="center"/>
              <w:rPr>
                <w:rFonts w:ascii="Bookman Old Style" w:hAnsi="Bookman Old Style" w:cs="Arial"/>
                <w:b/>
                <w:bCs/>
                <w:color w:val="000000"/>
                <w:sz w:val="16"/>
                <w:szCs w:val="16"/>
                <w:lang w:eastAsia="es-CO"/>
              </w:rPr>
            </w:pPr>
            <w:r w:rsidRPr="00924175">
              <w:rPr>
                <w:rFonts w:ascii="Bookman Old Style" w:hAnsi="Bookman Old Style" w:cs="Arial"/>
                <w:b/>
                <w:bCs/>
                <w:color w:val="000000"/>
                <w:sz w:val="16"/>
                <w:szCs w:val="16"/>
                <w:lang w:eastAsia="es-CO"/>
              </w:rPr>
              <w:t>BASE GASTOS DE OPERACIÓN</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0AF36E9A" w14:textId="49C9FCDC" w:rsidR="00215766" w:rsidRPr="00924175" w:rsidRDefault="00215766" w:rsidP="00D7588B">
            <w:pPr>
              <w:ind w:left="0"/>
              <w:jc w:val="center"/>
              <w:rPr>
                <w:rFonts w:ascii="Bookman Old Style" w:hAnsi="Bookman Old Style" w:cs="Arial"/>
                <w:b/>
                <w:bCs/>
                <w:color w:val="000000"/>
                <w:sz w:val="16"/>
                <w:szCs w:val="16"/>
                <w:lang w:eastAsia="es-CO"/>
              </w:rPr>
            </w:pPr>
            <w:r w:rsidRPr="00924175">
              <w:rPr>
                <w:rFonts w:ascii="Bookman Old Style" w:hAnsi="Bookman Old Style" w:cs="Arial"/>
                <w:b/>
                <w:bCs/>
                <w:color w:val="000000"/>
                <w:sz w:val="16"/>
                <w:szCs w:val="16"/>
                <w:lang w:eastAsia="es-CO"/>
              </w:rPr>
              <w:t>TOTALES</w:t>
            </w:r>
          </w:p>
        </w:tc>
      </w:tr>
      <w:tr w:rsidR="00215766" w:rsidRPr="00924175" w14:paraId="4EC6ACB7" w14:textId="77777777" w:rsidTr="007E4AAB">
        <w:trPr>
          <w:trHeight w:val="221"/>
        </w:trPr>
        <w:tc>
          <w:tcPr>
            <w:tcW w:w="2319" w:type="dxa"/>
            <w:tcBorders>
              <w:top w:val="nil"/>
              <w:left w:val="single" w:sz="4" w:space="0" w:color="auto"/>
              <w:bottom w:val="single" w:sz="4" w:space="0" w:color="auto"/>
              <w:right w:val="single" w:sz="4" w:space="0" w:color="auto"/>
            </w:tcBorders>
            <w:shd w:val="clear" w:color="auto" w:fill="auto"/>
            <w:noWrap/>
            <w:vAlign w:val="center"/>
            <w:hideMark/>
          </w:tcPr>
          <w:p w14:paraId="2CC0CA18" w14:textId="77777777" w:rsidR="00215766" w:rsidRPr="00924175" w:rsidRDefault="00215766" w:rsidP="00686DB9">
            <w:pPr>
              <w:ind w:left="0"/>
              <w:rPr>
                <w:rFonts w:ascii="Bookman Old Style" w:hAnsi="Bookman Old Style" w:cs="Arial"/>
                <w:color w:val="000000"/>
                <w:sz w:val="16"/>
                <w:szCs w:val="16"/>
                <w:lang w:eastAsia="es-CO"/>
              </w:rPr>
            </w:pPr>
            <w:proofErr w:type="gramStart"/>
            <w:r w:rsidRPr="00924175">
              <w:rPr>
                <w:rFonts w:ascii="Bookman Old Style" w:hAnsi="Bookman Old Style" w:cs="Arial"/>
                <w:color w:val="000000"/>
                <w:sz w:val="16"/>
                <w:szCs w:val="16"/>
                <w:lang w:eastAsia="es-CO"/>
              </w:rPr>
              <w:t>TOTAL</w:t>
            </w:r>
            <w:proofErr w:type="gramEnd"/>
            <w:r w:rsidRPr="00924175">
              <w:rPr>
                <w:rFonts w:ascii="Bookman Old Style" w:hAnsi="Bookman Old Style" w:cs="Arial"/>
                <w:color w:val="000000"/>
                <w:sz w:val="16"/>
                <w:szCs w:val="16"/>
                <w:lang w:eastAsia="es-CO"/>
              </w:rPr>
              <w:t xml:space="preserve"> BASE GRAVABLE</w:t>
            </w:r>
          </w:p>
        </w:tc>
        <w:tc>
          <w:tcPr>
            <w:tcW w:w="2354" w:type="dxa"/>
            <w:tcBorders>
              <w:top w:val="nil"/>
              <w:left w:val="nil"/>
              <w:bottom w:val="single" w:sz="4" w:space="0" w:color="auto"/>
              <w:right w:val="single" w:sz="4" w:space="0" w:color="auto"/>
            </w:tcBorders>
            <w:shd w:val="clear" w:color="auto" w:fill="auto"/>
            <w:noWrap/>
            <w:vAlign w:val="center"/>
            <w:hideMark/>
          </w:tcPr>
          <w:p w14:paraId="7B15C3C5" w14:textId="00545E44" w:rsidR="00215766" w:rsidRPr="00924175" w:rsidRDefault="00215766" w:rsidP="00D7588B">
            <w:pPr>
              <w:ind w:left="0"/>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$3.456.756.690.706</w:t>
            </w:r>
          </w:p>
        </w:tc>
        <w:tc>
          <w:tcPr>
            <w:tcW w:w="2093" w:type="dxa"/>
            <w:tcBorders>
              <w:top w:val="nil"/>
              <w:left w:val="nil"/>
              <w:bottom w:val="single" w:sz="4" w:space="0" w:color="auto"/>
              <w:right w:val="single" w:sz="4" w:space="0" w:color="auto"/>
            </w:tcBorders>
            <w:shd w:val="clear" w:color="auto" w:fill="auto"/>
            <w:noWrap/>
            <w:vAlign w:val="center"/>
            <w:hideMark/>
          </w:tcPr>
          <w:p w14:paraId="0D046098" w14:textId="77777777" w:rsidR="00215766" w:rsidRPr="00924175" w:rsidRDefault="00215766" w:rsidP="00D7588B">
            <w:pPr>
              <w:ind w:left="0"/>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$ 318.279.914.794</w:t>
            </w:r>
          </w:p>
        </w:tc>
        <w:tc>
          <w:tcPr>
            <w:tcW w:w="2580" w:type="dxa"/>
            <w:tcBorders>
              <w:top w:val="nil"/>
              <w:left w:val="nil"/>
              <w:bottom w:val="single" w:sz="4" w:space="0" w:color="auto"/>
              <w:right w:val="single" w:sz="4" w:space="0" w:color="auto"/>
            </w:tcBorders>
            <w:shd w:val="clear" w:color="auto" w:fill="auto"/>
            <w:noWrap/>
            <w:vAlign w:val="center"/>
            <w:hideMark/>
          </w:tcPr>
          <w:p w14:paraId="7BFA5CCA" w14:textId="77777777" w:rsidR="00215766" w:rsidRPr="00924175" w:rsidRDefault="00215766" w:rsidP="00D7588B">
            <w:pPr>
              <w:ind w:left="0"/>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$ 3.775.036.605.500</w:t>
            </w:r>
          </w:p>
        </w:tc>
      </w:tr>
      <w:tr w:rsidR="00215766" w:rsidRPr="00924175" w14:paraId="2AF736B1" w14:textId="77777777" w:rsidTr="007E4AAB">
        <w:trPr>
          <w:trHeight w:val="221"/>
        </w:trPr>
        <w:tc>
          <w:tcPr>
            <w:tcW w:w="2319" w:type="dxa"/>
            <w:tcBorders>
              <w:top w:val="nil"/>
              <w:left w:val="single" w:sz="4" w:space="0" w:color="auto"/>
              <w:bottom w:val="single" w:sz="4" w:space="0" w:color="auto"/>
              <w:right w:val="single" w:sz="4" w:space="0" w:color="auto"/>
            </w:tcBorders>
            <w:shd w:val="clear" w:color="auto" w:fill="auto"/>
            <w:noWrap/>
            <w:vAlign w:val="center"/>
            <w:hideMark/>
          </w:tcPr>
          <w:p w14:paraId="36DCC1B9" w14:textId="77777777" w:rsidR="00215766" w:rsidRPr="00924175" w:rsidRDefault="00215766" w:rsidP="00686DB9">
            <w:pPr>
              <w:ind w:left="0"/>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TARIFA 1%</w:t>
            </w:r>
          </w:p>
        </w:tc>
        <w:tc>
          <w:tcPr>
            <w:tcW w:w="2354" w:type="dxa"/>
            <w:tcBorders>
              <w:top w:val="nil"/>
              <w:left w:val="nil"/>
              <w:bottom w:val="single" w:sz="4" w:space="0" w:color="auto"/>
              <w:right w:val="single" w:sz="4" w:space="0" w:color="auto"/>
            </w:tcBorders>
            <w:shd w:val="clear" w:color="auto" w:fill="auto"/>
            <w:noWrap/>
            <w:vAlign w:val="center"/>
            <w:hideMark/>
          </w:tcPr>
          <w:p w14:paraId="4E00967F" w14:textId="77777777" w:rsidR="00215766" w:rsidRPr="00924175" w:rsidRDefault="00215766" w:rsidP="00D7588B">
            <w:pPr>
              <w:ind w:left="0"/>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$ 34.567.566.907</w:t>
            </w:r>
          </w:p>
        </w:tc>
        <w:tc>
          <w:tcPr>
            <w:tcW w:w="2093" w:type="dxa"/>
            <w:tcBorders>
              <w:top w:val="nil"/>
              <w:left w:val="nil"/>
              <w:bottom w:val="single" w:sz="4" w:space="0" w:color="auto"/>
              <w:right w:val="single" w:sz="4" w:space="0" w:color="auto"/>
            </w:tcBorders>
            <w:shd w:val="clear" w:color="auto" w:fill="auto"/>
            <w:noWrap/>
            <w:vAlign w:val="center"/>
            <w:hideMark/>
          </w:tcPr>
          <w:p w14:paraId="079A5A23" w14:textId="77777777" w:rsidR="00215766" w:rsidRPr="00924175" w:rsidRDefault="00215766" w:rsidP="00D7588B">
            <w:pPr>
              <w:ind w:left="0"/>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$ 3.182.799.148</w:t>
            </w:r>
          </w:p>
        </w:tc>
        <w:tc>
          <w:tcPr>
            <w:tcW w:w="2580" w:type="dxa"/>
            <w:tcBorders>
              <w:top w:val="nil"/>
              <w:left w:val="nil"/>
              <w:bottom w:val="single" w:sz="4" w:space="0" w:color="auto"/>
              <w:right w:val="single" w:sz="4" w:space="0" w:color="auto"/>
            </w:tcBorders>
            <w:shd w:val="clear" w:color="auto" w:fill="auto"/>
            <w:noWrap/>
            <w:vAlign w:val="center"/>
            <w:hideMark/>
          </w:tcPr>
          <w:p w14:paraId="47809594" w14:textId="77777777" w:rsidR="00215766" w:rsidRPr="00924175" w:rsidRDefault="00215766" w:rsidP="00D7588B">
            <w:pPr>
              <w:ind w:left="0"/>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$ 37.750.366.055</w:t>
            </w:r>
          </w:p>
        </w:tc>
      </w:tr>
      <w:tr w:rsidR="00215766" w:rsidRPr="00924175" w14:paraId="457182FD" w14:textId="77777777" w:rsidTr="007E4AAB">
        <w:trPr>
          <w:trHeight w:val="248"/>
        </w:trPr>
        <w:tc>
          <w:tcPr>
            <w:tcW w:w="2319" w:type="dxa"/>
            <w:tcBorders>
              <w:top w:val="nil"/>
              <w:left w:val="single" w:sz="4" w:space="0" w:color="auto"/>
              <w:bottom w:val="single" w:sz="4" w:space="0" w:color="auto"/>
              <w:right w:val="single" w:sz="4" w:space="0" w:color="auto"/>
            </w:tcBorders>
            <w:shd w:val="clear" w:color="auto" w:fill="auto"/>
            <w:vAlign w:val="center"/>
            <w:hideMark/>
          </w:tcPr>
          <w:p w14:paraId="68F9FBAA" w14:textId="77777777" w:rsidR="00215766" w:rsidRPr="00924175" w:rsidRDefault="00215766" w:rsidP="00686DB9">
            <w:pPr>
              <w:ind w:left="0"/>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PORCENTAJE DEL PRESUPUESTO POR BASE</w:t>
            </w:r>
          </w:p>
        </w:tc>
        <w:tc>
          <w:tcPr>
            <w:tcW w:w="2354" w:type="dxa"/>
            <w:tcBorders>
              <w:top w:val="nil"/>
              <w:left w:val="nil"/>
              <w:bottom w:val="single" w:sz="4" w:space="0" w:color="auto"/>
              <w:right w:val="single" w:sz="4" w:space="0" w:color="auto"/>
            </w:tcBorders>
            <w:shd w:val="clear" w:color="auto" w:fill="auto"/>
            <w:noWrap/>
            <w:vAlign w:val="center"/>
            <w:hideMark/>
          </w:tcPr>
          <w:p w14:paraId="5938A104" w14:textId="77777777" w:rsidR="00215766" w:rsidRPr="00924175" w:rsidRDefault="00215766" w:rsidP="00D7588B">
            <w:pPr>
              <w:ind w:left="0"/>
              <w:jc w:val="right"/>
              <w:rPr>
                <w:rFonts w:ascii="Bookman Old Style" w:hAnsi="Bookman Old Style" w:cs="Arial"/>
                <w:sz w:val="16"/>
                <w:szCs w:val="16"/>
                <w:lang w:eastAsia="es-CO"/>
              </w:rPr>
            </w:pPr>
            <w:r w:rsidRPr="00924175">
              <w:rPr>
                <w:rFonts w:ascii="Bookman Old Style" w:hAnsi="Bookman Old Style" w:cs="Arial"/>
                <w:sz w:val="16"/>
                <w:szCs w:val="16"/>
                <w:lang w:eastAsia="es-CO"/>
              </w:rPr>
              <w:t>91,56883%</w:t>
            </w:r>
          </w:p>
        </w:tc>
        <w:tc>
          <w:tcPr>
            <w:tcW w:w="2093" w:type="dxa"/>
            <w:tcBorders>
              <w:top w:val="nil"/>
              <w:left w:val="nil"/>
              <w:bottom w:val="single" w:sz="4" w:space="0" w:color="auto"/>
              <w:right w:val="single" w:sz="4" w:space="0" w:color="auto"/>
            </w:tcBorders>
            <w:shd w:val="clear" w:color="auto" w:fill="auto"/>
            <w:noWrap/>
            <w:vAlign w:val="center"/>
            <w:hideMark/>
          </w:tcPr>
          <w:p w14:paraId="6C8604BF" w14:textId="77777777" w:rsidR="00215766" w:rsidRPr="00924175" w:rsidRDefault="00215766" w:rsidP="00D7588B">
            <w:pPr>
              <w:ind w:left="0"/>
              <w:jc w:val="right"/>
              <w:rPr>
                <w:rFonts w:ascii="Bookman Old Style" w:hAnsi="Bookman Old Style" w:cs="Arial"/>
                <w:sz w:val="16"/>
                <w:szCs w:val="16"/>
                <w:lang w:eastAsia="es-CO"/>
              </w:rPr>
            </w:pPr>
            <w:r w:rsidRPr="00924175">
              <w:rPr>
                <w:rFonts w:ascii="Bookman Old Style" w:hAnsi="Bookman Old Style" w:cs="Arial"/>
                <w:sz w:val="16"/>
                <w:szCs w:val="16"/>
                <w:lang w:eastAsia="es-CO"/>
              </w:rPr>
              <w:t>8,43117%</w:t>
            </w:r>
          </w:p>
        </w:tc>
        <w:tc>
          <w:tcPr>
            <w:tcW w:w="2580" w:type="dxa"/>
            <w:tcBorders>
              <w:top w:val="nil"/>
              <w:left w:val="nil"/>
              <w:bottom w:val="single" w:sz="4" w:space="0" w:color="auto"/>
              <w:right w:val="single" w:sz="4" w:space="0" w:color="auto"/>
            </w:tcBorders>
            <w:shd w:val="clear" w:color="auto" w:fill="auto"/>
            <w:noWrap/>
            <w:vAlign w:val="center"/>
            <w:hideMark/>
          </w:tcPr>
          <w:p w14:paraId="6C70FB9C" w14:textId="77777777" w:rsidR="00215766" w:rsidRPr="00924175" w:rsidRDefault="00215766" w:rsidP="00D7588B">
            <w:pPr>
              <w:ind w:left="0"/>
              <w:jc w:val="right"/>
              <w:rPr>
                <w:rFonts w:ascii="Bookman Old Style" w:hAnsi="Bookman Old Style" w:cs="Arial"/>
                <w:sz w:val="16"/>
                <w:szCs w:val="16"/>
                <w:lang w:eastAsia="es-CO"/>
              </w:rPr>
            </w:pPr>
            <w:r w:rsidRPr="00924175">
              <w:rPr>
                <w:rFonts w:ascii="Bookman Old Style" w:hAnsi="Bookman Old Style" w:cs="Arial"/>
                <w:sz w:val="16"/>
                <w:szCs w:val="16"/>
                <w:lang w:eastAsia="es-CO"/>
              </w:rPr>
              <w:t>100,00000%</w:t>
            </w:r>
          </w:p>
        </w:tc>
      </w:tr>
      <w:tr w:rsidR="00215766" w:rsidRPr="00924175" w14:paraId="19528AD8" w14:textId="77777777" w:rsidTr="007E4AAB">
        <w:trPr>
          <w:trHeight w:val="221"/>
        </w:trPr>
        <w:tc>
          <w:tcPr>
            <w:tcW w:w="2319" w:type="dxa"/>
            <w:tcBorders>
              <w:top w:val="nil"/>
              <w:left w:val="single" w:sz="4" w:space="0" w:color="auto"/>
              <w:bottom w:val="single" w:sz="4" w:space="0" w:color="auto"/>
              <w:right w:val="single" w:sz="4" w:space="0" w:color="auto"/>
            </w:tcBorders>
            <w:shd w:val="clear" w:color="auto" w:fill="auto"/>
            <w:noWrap/>
            <w:vAlign w:val="center"/>
            <w:hideMark/>
          </w:tcPr>
          <w:p w14:paraId="2EBAEC5E" w14:textId="77777777" w:rsidR="00215766" w:rsidRPr="00924175" w:rsidRDefault="00215766" w:rsidP="00686DB9">
            <w:pPr>
              <w:ind w:left="0"/>
              <w:rPr>
                <w:rFonts w:ascii="Bookman Old Style" w:hAnsi="Bookman Old Style" w:cs="Arial"/>
                <w:color w:val="000000"/>
                <w:sz w:val="16"/>
                <w:szCs w:val="16"/>
                <w:lang w:eastAsia="es-CO"/>
              </w:rPr>
            </w:pPr>
            <w:proofErr w:type="gramStart"/>
            <w:r w:rsidRPr="00924175">
              <w:rPr>
                <w:rFonts w:ascii="Bookman Old Style" w:hAnsi="Bookman Old Style" w:cs="Arial"/>
                <w:color w:val="000000"/>
                <w:sz w:val="16"/>
                <w:szCs w:val="16"/>
                <w:lang w:eastAsia="es-CO"/>
              </w:rPr>
              <w:t>TOTAL</w:t>
            </w:r>
            <w:proofErr w:type="gramEnd"/>
            <w:r w:rsidRPr="00924175">
              <w:rPr>
                <w:rFonts w:ascii="Bookman Old Style" w:hAnsi="Bookman Old Style" w:cs="Arial"/>
                <w:color w:val="000000"/>
                <w:sz w:val="16"/>
                <w:szCs w:val="16"/>
                <w:lang w:eastAsia="es-CO"/>
              </w:rPr>
              <w:t xml:space="preserve"> PRESUPUESTO 2023</w:t>
            </w:r>
          </w:p>
        </w:tc>
        <w:tc>
          <w:tcPr>
            <w:tcW w:w="2354" w:type="dxa"/>
            <w:tcBorders>
              <w:top w:val="nil"/>
              <w:left w:val="nil"/>
              <w:bottom w:val="single" w:sz="4" w:space="0" w:color="auto"/>
              <w:right w:val="single" w:sz="4" w:space="0" w:color="auto"/>
            </w:tcBorders>
            <w:shd w:val="clear" w:color="auto" w:fill="auto"/>
            <w:noWrap/>
            <w:vAlign w:val="center"/>
            <w:hideMark/>
          </w:tcPr>
          <w:p w14:paraId="540A9E6D" w14:textId="77777777" w:rsidR="00215766" w:rsidRPr="00924175" w:rsidRDefault="00215766" w:rsidP="00D7588B">
            <w:pPr>
              <w:ind w:left="0"/>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$ 37.750.366.055</w:t>
            </w:r>
          </w:p>
        </w:tc>
        <w:tc>
          <w:tcPr>
            <w:tcW w:w="2093" w:type="dxa"/>
            <w:tcBorders>
              <w:top w:val="nil"/>
              <w:left w:val="nil"/>
              <w:bottom w:val="single" w:sz="4" w:space="0" w:color="auto"/>
              <w:right w:val="single" w:sz="4" w:space="0" w:color="auto"/>
            </w:tcBorders>
            <w:shd w:val="clear" w:color="auto" w:fill="auto"/>
            <w:noWrap/>
            <w:vAlign w:val="center"/>
            <w:hideMark/>
          </w:tcPr>
          <w:p w14:paraId="366C91FE" w14:textId="77777777" w:rsidR="00215766" w:rsidRPr="00924175" w:rsidRDefault="00215766" w:rsidP="00D7588B">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w:t>
            </w:r>
          </w:p>
        </w:tc>
        <w:tc>
          <w:tcPr>
            <w:tcW w:w="2580" w:type="dxa"/>
            <w:tcBorders>
              <w:top w:val="nil"/>
              <w:left w:val="nil"/>
              <w:bottom w:val="single" w:sz="4" w:space="0" w:color="auto"/>
              <w:right w:val="single" w:sz="4" w:space="0" w:color="auto"/>
            </w:tcBorders>
            <w:shd w:val="clear" w:color="auto" w:fill="auto"/>
            <w:noWrap/>
            <w:vAlign w:val="center"/>
            <w:hideMark/>
          </w:tcPr>
          <w:p w14:paraId="7E29814E" w14:textId="77777777" w:rsidR="00215766" w:rsidRPr="00924175" w:rsidRDefault="00215766" w:rsidP="00D7588B">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w:t>
            </w:r>
          </w:p>
        </w:tc>
      </w:tr>
      <w:tr w:rsidR="00215766" w:rsidRPr="00924175" w14:paraId="04C8A473" w14:textId="77777777" w:rsidTr="007E4AAB">
        <w:trPr>
          <w:trHeight w:val="40"/>
        </w:trPr>
        <w:tc>
          <w:tcPr>
            <w:tcW w:w="2319" w:type="dxa"/>
            <w:tcBorders>
              <w:top w:val="nil"/>
              <w:left w:val="nil"/>
              <w:bottom w:val="nil"/>
              <w:right w:val="nil"/>
            </w:tcBorders>
            <w:shd w:val="clear" w:color="auto" w:fill="auto"/>
            <w:noWrap/>
            <w:vAlign w:val="center"/>
            <w:hideMark/>
          </w:tcPr>
          <w:p w14:paraId="0EA53D8A" w14:textId="77777777" w:rsidR="00215766" w:rsidRPr="00924175" w:rsidRDefault="00215766" w:rsidP="00924175">
            <w:pPr>
              <w:rPr>
                <w:rFonts w:ascii="Bookman Old Style" w:hAnsi="Bookman Old Style" w:cs="Arial"/>
                <w:color w:val="000000"/>
                <w:sz w:val="16"/>
                <w:szCs w:val="16"/>
                <w:lang w:eastAsia="es-CO"/>
              </w:rPr>
            </w:pPr>
          </w:p>
        </w:tc>
        <w:tc>
          <w:tcPr>
            <w:tcW w:w="2354" w:type="dxa"/>
            <w:tcBorders>
              <w:top w:val="nil"/>
              <w:left w:val="nil"/>
              <w:bottom w:val="nil"/>
              <w:right w:val="nil"/>
            </w:tcBorders>
            <w:shd w:val="clear" w:color="auto" w:fill="auto"/>
            <w:noWrap/>
            <w:vAlign w:val="center"/>
            <w:hideMark/>
          </w:tcPr>
          <w:p w14:paraId="74368C08" w14:textId="77777777" w:rsidR="00215766" w:rsidRPr="00924175" w:rsidRDefault="00215766" w:rsidP="00D7588B">
            <w:pPr>
              <w:jc w:val="right"/>
              <w:rPr>
                <w:rFonts w:ascii="Bookman Old Style" w:hAnsi="Bookman Old Style"/>
                <w:sz w:val="16"/>
                <w:szCs w:val="16"/>
                <w:lang w:eastAsia="es-CO"/>
              </w:rPr>
            </w:pPr>
          </w:p>
        </w:tc>
        <w:tc>
          <w:tcPr>
            <w:tcW w:w="2093" w:type="dxa"/>
            <w:tcBorders>
              <w:top w:val="nil"/>
              <w:left w:val="nil"/>
              <w:bottom w:val="nil"/>
              <w:right w:val="nil"/>
            </w:tcBorders>
            <w:shd w:val="clear" w:color="auto" w:fill="auto"/>
            <w:noWrap/>
            <w:vAlign w:val="center"/>
            <w:hideMark/>
          </w:tcPr>
          <w:p w14:paraId="6BA6F1E2" w14:textId="77777777" w:rsidR="00215766" w:rsidRPr="00924175" w:rsidRDefault="00215766" w:rsidP="00D7588B">
            <w:pPr>
              <w:jc w:val="right"/>
              <w:rPr>
                <w:rFonts w:ascii="Bookman Old Style" w:hAnsi="Bookman Old Style"/>
                <w:sz w:val="16"/>
                <w:szCs w:val="16"/>
                <w:lang w:eastAsia="es-CO"/>
              </w:rPr>
            </w:pPr>
          </w:p>
        </w:tc>
        <w:tc>
          <w:tcPr>
            <w:tcW w:w="2580" w:type="dxa"/>
            <w:tcBorders>
              <w:top w:val="nil"/>
              <w:left w:val="nil"/>
              <w:bottom w:val="nil"/>
              <w:right w:val="nil"/>
            </w:tcBorders>
            <w:shd w:val="clear" w:color="auto" w:fill="auto"/>
            <w:noWrap/>
            <w:vAlign w:val="center"/>
            <w:hideMark/>
          </w:tcPr>
          <w:p w14:paraId="7E9A695A" w14:textId="77777777" w:rsidR="00215766" w:rsidRPr="00924175" w:rsidRDefault="00215766" w:rsidP="00D7588B">
            <w:pPr>
              <w:jc w:val="right"/>
              <w:rPr>
                <w:rFonts w:ascii="Bookman Old Style" w:hAnsi="Bookman Old Style"/>
                <w:sz w:val="16"/>
                <w:szCs w:val="16"/>
                <w:lang w:eastAsia="es-CO"/>
              </w:rPr>
            </w:pPr>
          </w:p>
        </w:tc>
      </w:tr>
      <w:tr w:rsidR="00215766" w:rsidRPr="00924175" w14:paraId="36887920" w14:textId="77777777" w:rsidTr="007E4AAB">
        <w:trPr>
          <w:trHeight w:val="221"/>
        </w:trPr>
        <w:tc>
          <w:tcPr>
            <w:tcW w:w="2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981E8" w14:textId="77777777" w:rsidR="00215766" w:rsidRPr="00924175" w:rsidRDefault="00215766" w:rsidP="00686DB9">
            <w:pPr>
              <w:ind w:left="0"/>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BASE GASTOS OPERATIVOS</w:t>
            </w:r>
          </w:p>
        </w:tc>
        <w:tc>
          <w:tcPr>
            <w:tcW w:w="2354" w:type="dxa"/>
            <w:tcBorders>
              <w:top w:val="single" w:sz="4" w:space="0" w:color="auto"/>
              <w:left w:val="nil"/>
              <w:bottom w:val="single" w:sz="4" w:space="0" w:color="auto"/>
              <w:right w:val="single" w:sz="4" w:space="0" w:color="auto"/>
            </w:tcBorders>
            <w:shd w:val="clear" w:color="auto" w:fill="auto"/>
            <w:noWrap/>
            <w:vAlign w:val="center"/>
            <w:hideMark/>
          </w:tcPr>
          <w:p w14:paraId="24D9689D" w14:textId="77777777" w:rsidR="00215766" w:rsidRPr="00924175" w:rsidRDefault="00215766" w:rsidP="00D7588B">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w:t>
            </w:r>
          </w:p>
        </w:tc>
        <w:tc>
          <w:tcPr>
            <w:tcW w:w="2093" w:type="dxa"/>
            <w:tcBorders>
              <w:top w:val="single" w:sz="4" w:space="0" w:color="auto"/>
              <w:left w:val="nil"/>
              <w:bottom w:val="single" w:sz="4" w:space="0" w:color="auto"/>
              <w:right w:val="single" w:sz="4" w:space="0" w:color="auto"/>
            </w:tcBorders>
            <w:shd w:val="clear" w:color="auto" w:fill="auto"/>
            <w:noWrap/>
            <w:vAlign w:val="center"/>
            <w:hideMark/>
          </w:tcPr>
          <w:p w14:paraId="438F25E1" w14:textId="255E69F6" w:rsidR="00215766" w:rsidRPr="00924175" w:rsidRDefault="00215766" w:rsidP="00D7588B">
            <w:pPr>
              <w:ind w:left="0"/>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$39.653.191.539.633</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14:paraId="65ACF038" w14:textId="77777777" w:rsidR="00215766" w:rsidRPr="00924175" w:rsidRDefault="00215766" w:rsidP="00D7588B">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w:t>
            </w:r>
          </w:p>
        </w:tc>
      </w:tr>
      <w:tr w:rsidR="00215766" w:rsidRPr="00924175" w14:paraId="27D8A2DC" w14:textId="77777777" w:rsidTr="007E4AAB">
        <w:trPr>
          <w:trHeight w:val="351"/>
        </w:trPr>
        <w:tc>
          <w:tcPr>
            <w:tcW w:w="2319" w:type="dxa"/>
            <w:tcBorders>
              <w:top w:val="nil"/>
              <w:left w:val="single" w:sz="4" w:space="0" w:color="auto"/>
              <w:bottom w:val="single" w:sz="4" w:space="0" w:color="auto"/>
              <w:right w:val="single" w:sz="4" w:space="0" w:color="auto"/>
            </w:tcBorders>
            <w:shd w:val="clear" w:color="auto" w:fill="auto"/>
            <w:vAlign w:val="center"/>
            <w:hideMark/>
          </w:tcPr>
          <w:p w14:paraId="2C9B7FDE" w14:textId="77777777" w:rsidR="00215766" w:rsidRPr="00924175" w:rsidRDefault="00215766" w:rsidP="00686DB9">
            <w:pPr>
              <w:ind w:left="0"/>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PORCENTAJE ADICIONAL GASTOS OPERATIVOS</w:t>
            </w:r>
          </w:p>
        </w:tc>
        <w:tc>
          <w:tcPr>
            <w:tcW w:w="2354" w:type="dxa"/>
            <w:tcBorders>
              <w:top w:val="nil"/>
              <w:left w:val="nil"/>
              <w:bottom w:val="single" w:sz="4" w:space="0" w:color="auto"/>
              <w:right w:val="single" w:sz="4" w:space="0" w:color="auto"/>
            </w:tcBorders>
            <w:shd w:val="clear" w:color="auto" w:fill="auto"/>
            <w:noWrap/>
            <w:vAlign w:val="center"/>
            <w:hideMark/>
          </w:tcPr>
          <w:p w14:paraId="648526D0" w14:textId="77777777" w:rsidR="00215766" w:rsidRPr="00924175" w:rsidRDefault="00215766" w:rsidP="00D7588B">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w:t>
            </w:r>
          </w:p>
        </w:tc>
        <w:tc>
          <w:tcPr>
            <w:tcW w:w="2093" w:type="dxa"/>
            <w:tcBorders>
              <w:top w:val="nil"/>
              <w:left w:val="nil"/>
              <w:bottom w:val="single" w:sz="4" w:space="0" w:color="auto"/>
              <w:right w:val="single" w:sz="4" w:space="0" w:color="auto"/>
            </w:tcBorders>
            <w:shd w:val="clear" w:color="auto" w:fill="auto"/>
            <w:noWrap/>
            <w:vAlign w:val="center"/>
            <w:hideMark/>
          </w:tcPr>
          <w:p w14:paraId="632ED81F" w14:textId="77777777" w:rsidR="00215766" w:rsidRPr="00924175" w:rsidRDefault="00215766" w:rsidP="00D7588B">
            <w:pPr>
              <w:ind w:left="0"/>
              <w:jc w:val="right"/>
              <w:rPr>
                <w:rFonts w:ascii="Bookman Old Style" w:hAnsi="Bookman Old Style" w:cs="Arial"/>
                <w:sz w:val="16"/>
                <w:szCs w:val="16"/>
                <w:lang w:eastAsia="es-CO"/>
              </w:rPr>
            </w:pPr>
            <w:r w:rsidRPr="00924175">
              <w:rPr>
                <w:rFonts w:ascii="Bookman Old Style" w:hAnsi="Bookman Old Style" w:cs="Arial"/>
                <w:sz w:val="16"/>
                <w:szCs w:val="16"/>
                <w:lang w:eastAsia="es-CO"/>
              </w:rPr>
              <w:t>0,0080266%</w:t>
            </w:r>
          </w:p>
        </w:tc>
        <w:tc>
          <w:tcPr>
            <w:tcW w:w="2580" w:type="dxa"/>
            <w:tcBorders>
              <w:top w:val="nil"/>
              <w:left w:val="nil"/>
              <w:bottom w:val="single" w:sz="4" w:space="0" w:color="auto"/>
              <w:right w:val="single" w:sz="4" w:space="0" w:color="auto"/>
            </w:tcBorders>
            <w:shd w:val="clear" w:color="auto" w:fill="auto"/>
            <w:noWrap/>
            <w:vAlign w:val="center"/>
            <w:hideMark/>
          </w:tcPr>
          <w:p w14:paraId="1725FFF2" w14:textId="77777777" w:rsidR="00215766" w:rsidRPr="00924175" w:rsidRDefault="00215766" w:rsidP="00D7588B">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w:t>
            </w:r>
          </w:p>
        </w:tc>
      </w:tr>
      <w:tr w:rsidR="00215766" w:rsidRPr="00924175" w14:paraId="1B5FDC03" w14:textId="77777777" w:rsidTr="007E4AAB">
        <w:trPr>
          <w:trHeight w:val="221"/>
        </w:trPr>
        <w:tc>
          <w:tcPr>
            <w:tcW w:w="2319" w:type="dxa"/>
            <w:tcBorders>
              <w:top w:val="nil"/>
              <w:left w:val="single" w:sz="4" w:space="0" w:color="auto"/>
              <w:bottom w:val="single" w:sz="4" w:space="0" w:color="auto"/>
              <w:right w:val="single" w:sz="4" w:space="0" w:color="auto"/>
            </w:tcBorders>
            <w:shd w:val="clear" w:color="auto" w:fill="auto"/>
            <w:noWrap/>
            <w:vAlign w:val="center"/>
            <w:hideMark/>
          </w:tcPr>
          <w:p w14:paraId="3CEC9163" w14:textId="77777777" w:rsidR="00215766" w:rsidRPr="00924175" w:rsidRDefault="00215766" w:rsidP="00686DB9">
            <w:pPr>
              <w:ind w:left="0"/>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FALTANTE PRESUPUESTAL</w:t>
            </w:r>
          </w:p>
        </w:tc>
        <w:tc>
          <w:tcPr>
            <w:tcW w:w="2354" w:type="dxa"/>
            <w:tcBorders>
              <w:top w:val="nil"/>
              <w:left w:val="nil"/>
              <w:bottom w:val="single" w:sz="4" w:space="0" w:color="auto"/>
              <w:right w:val="single" w:sz="4" w:space="0" w:color="auto"/>
            </w:tcBorders>
            <w:shd w:val="clear" w:color="auto" w:fill="auto"/>
            <w:noWrap/>
            <w:vAlign w:val="center"/>
            <w:hideMark/>
          </w:tcPr>
          <w:p w14:paraId="5A925708" w14:textId="77777777" w:rsidR="00215766" w:rsidRPr="00924175" w:rsidRDefault="00215766" w:rsidP="00D7588B">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w:t>
            </w:r>
          </w:p>
        </w:tc>
        <w:tc>
          <w:tcPr>
            <w:tcW w:w="2093" w:type="dxa"/>
            <w:tcBorders>
              <w:top w:val="nil"/>
              <w:left w:val="nil"/>
              <w:bottom w:val="single" w:sz="4" w:space="0" w:color="auto"/>
              <w:right w:val="single" w:sz="4" w:space="0" w:color="auto"/>
            </w:tcBorders>
            <w:shd w:val="clear" w:color="auto" w:fill="auto"/>
            <w:noWrap/>
            <w:vAlign w:val="center"/>
            <w:hideMark/>
          </w:tcPr>
          <w:p w14:paraId="3B21C677" w14:textId="77777777" w:rsidR="00215766" w:rsidRPr="00924175" w:rsidRDefault="00215766" w:rsidP="00D7588B">
            <w:pPr>
              <w:ind w:left="0"/>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$ 3.182.799.148</w:t>
            </w:r>
          </w:p>
        </w:tc>
        <w:tc>
          <w:tcPr>
            <w:tcW w:w="2580" w:type="dxa"/>
            <w:tcBorders>
              <w:top w:val="nil"/>
              <w:left w:val="nil"/>
              <w:bottom w:val="single" w:sz="4" w:space="0" w:color="auto"/>
              <w:right w:val="single" w:sz="4" w:space="0" w:color="auto"/>
            </w:tcBorders>
            <w:shd w:val="clear" w:color="auto" w:fill="auto"/>
            <w:noWrap/>
            <w:vAlign w:val="center"/>
            <w:hideMark/>
          </w:tcPr>
          <w:p w14:paraId="19C7A70A" w14:textId="77777777" w:rsidR="00215766" w:rsidRPr="00924175" w:rsidRDefault="00215766" w:rsidP="00D7588B">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w:t>
            </w:r>
          </w:p>
        </w:tc>
      </w:tr>
    </w:tbl>
    <w:p w14:paraId="3C890D8B" w14:textId="77777777" w:rsidR="00AB6BA9" w:rsidRPr="0024494C" w:rsidRDefault="00AB6BA9" w:rsidP="000E5253">
      <w:pPr>
        <w:ind w:left="0"/>
        <w:jc w:val="both"/>
        <w:rPr>
          <w:rFonts w:ascii="Bookman Old Style" w:hAnsi="Bookman Old Style" w:cs="Arial"/>
        </w:rPr>
      </w:pPr>
    </w:p>
    <w:p w14:paraId="038F9981" w14:textId="3FBDB446" w:rsidR="00202031" w:rsidRPr="0024494C" w:rsidRDefault="00202031" w:rsidP="000E5253">
      <w:pPr>
        <w:ind w:left="0"/>
        <w:jc w:val="both"/>
        <w:rPr>
          <w:rFonts w:ascii="Bookman Old Style" w:hAnsi="Bookman Old Style" w:cs="Arial"/>
        </w:rPr>
      </w:pPr>
      <w:r w:rsidRPr="0024494C">
        <w:rPr>
          <w:rFonts w:ascii="Bookman Old Style" w:hAnsi="Bookman Old Style" w:cs="Arial"/>
        </w:rPr>
        <w:t xml:space="preserve">La contribución especial </w:t>
      </w:r>
      <w:r w:rsidR="00415B6E" w:rsidRPr="0024494C">
        <w:rPr>
          <w:rFonts w:ascii="Bookman Old Style" w:hAnsi="Bookman Old Style" w:cs="Arial"/>
        </w:rPr>
        <w:t xml:space="preserve">a favor de la </w:t>
      </w:r>
      <w:r w:rsidR="00674C42">
        <w:rPr>
          <w:rFonts w:ascii="Bookman Old Style" w:hAnsi="Bookman Old Style"/>
        </w:rPr>
        <w:t>Comisión de Regulación de Energía y Gas – CREG</w:t>
      </w:r>
      <w:r w:rsidR="00674C42" w:rsidRPr="0024494C">
        <w:rPr>
          <w:rFonts w:ascii="Bookman Old Style" w:hAnsi="Bookman Old Style" w:cs="Arial"/>
        </w:rPr>
        <w:t xml:space="preserve"> </w:t>
      </w:r>
      <w:r w:rsidRPr="0024494C">
        <w:rPr>
          <w:rFonts w:ascii="Bookman Old Style" w:hAnsi="Bookman Old Style" w:cs="Arial"/>
        </w:rPr>
        <w:t xml:space="preserve">será calculada </w:t>
      </w:r>
      <w:r w:rsidR="006824F4" w:rsidRPr="0024494C">
        <w:rPr>
          <w:rFonts w:ascii="Bookman Old Style" w:hAnsi="Bookman Old Style" w:cs="Arial"/>
        </w:rPr>
        <w:t xml:space="preserve">y liquidada </w:t>
      </w:r>
      <w:r w:rsidRPr="0024494C">
        <w:rPr>
          <w:rFonts w:ascii="Bookman Old Style" w:hAnsi="Bookman Old Style" w:cs="Arial"/>
        </w:rPr>
        <w:t xml:space="preserve">por </w:t>
      </w:r>
      <w:r w:rsidR="00877D6B" w:rsidRPr="0024494C">
        <w:rPr>
          <w:rFonts w:ascii="Bookman Old Style" w:hAnsi="Bookman Old Style" w:cs="Arial"/>
        </w:rPr>
        <w:t>el director ejecutivo</w:t>
      </w:r>
      <w:r w:rsidR="00B52EED" w:rsidRPr="0024494C">
        <w:rPr>
          <w:rFonts w:ascii="Bookman Old Style" w:hAnsi="Bookman Old Style" w:cs="Arial"/>
        </w:rPr>
        <w:t xml:space="preserve">, en una </w:t>
      </w:r>
      <w:r w:rsidRPr="0024494C">
        <w:rPr>
          <w:rFonts w:ascii="Bookman Old Style" w:hAnsi="Bookman Old Style" w:cs="Arial"/>
        </w:rPr>
        <w:t>liquidación oficial</w:t>
      </w:r>
      <w:r w:rsidR="005D5B89" w:rsidRPr="0024494C">
        <w:rPr>
          <w:rFonts w:ascii="Bookman Old Style" w:hAnsi="Bookman Old Style" w:cs="Arial"/>
        </w:rPr>
        <w:t xml:space="preserve"> individual</w:t>
      </w:r>
      <w:r w:rsidRPr="0024494C">
        <w:rPr>
          <w:rFonts w:ascii="Bookman Old Style" w:hAnsi="Bookman Old Style" w:cs="Arial"/>
        </w:rPr>
        <w:t xml:space="preserve"> para cada uno de los regulados, la cual será notificada a la empresa</w:t>
      </w:r>
      <w:r w:rsidR="00050EF7" w:rsidRPr="0024494C">
        <w:rPr>
          <w:rFonts w:ascii="Bookman Old Style" w:hAnsi="Bookman Old Style" w:cs="Arial"/>
        </w:rPr>
        <w:t>,</w:t>
      </w:r>
      <w:r w:rsidRPr="0024494C">
        <w:rPr>
          <w:rFonts w:ascii="Bookman Old Style" w:hAnsi="Bookman Old Style" w:cs="Arial"/>
        </w:rPr>
        <w:t xml:space="preserve"> y contra ella procede el recurso de reposición, el cual podrá </w:t>
      </w:r>
      <w:r w:rsidRPr="0024494C">
        <w:rPr>
          <w:rFonts w:ascii="Bookman Old Style" w:hAnsi="Bookman Old Style" w:cs="Arial"/>
        </w:rPr>
        <w:lastRenderedPageBreak/>
        <w:t xml:space="preserve">interponerse dentro de los </w:t>
      </w:r>
      <w:r w:rsidR="00FB7AB5">
        <w:rPr>
          <w:rFonts w:ascii="Bookman Old Style" w:hAnsi="Bookman Old Style" w:cs="Arial"/>
        </w:rPr>
        <w:t>cinco</w:t>
      </w:r>
      <w:r w:rsidRPr="0024494C">
        <w:rPr>
          <w:rFonts w:ascii="Bookman Old Style" w:hAnsi="Bookman Old Style" w:cs="Arial"/>
        </w:rPr>
        <w:t xml:space="preserve"> (</w:t>
      </w:r>
      <w:r w:rsidR="00FB7AB5">
        <w:rPr>
          <w:rFonts w:ascii="Bookman Old Style" w:hAnsi="Bookman Old Style" w:cs="Arial"/>
        </w:rPr>
        <w:t>5</w:t>
      </w:r>
      <w:r w:rsidRPr="0024494C">
        <w:rPr>
          <w:rFonts w:ascii="Bookman Old Style" w:hAnsi="Bookman Old Style" w:cs="Arial"/>
        </w:rPr>
        <w:t>) días hábiles siguientes a la diligencia de notificación.</w:t>
      </w:r>
    </w:p>
    <w:p w14:paraId="2ACF64BD" w14:textId="5A1E0FED" w:rsidR="00202031" w:rsidRPr="0024494C" w:rsidRDefault="00202031" w:rsidP="000E5253">
      <w:pPr>
        <w:ind w:left="0"/>
        <w:jc w:val="both"/>
        <w:rPr>
          <w:rFonts w:ascii="Bookman Old Style" w:hAnsi="Bookman Old Style" w:cs="Arial"/>
        </w:rPr>
      </w:pPr>
    </w:p>
    <w:p w14:paraId="4E55D9C7" w14:textId="3ECF726A" w:rsidR="00395F30" w:rsidRPr="0024494C" w:rsidRDefault="00395F30" w:rsidP="000E5253">
      <w:pPr>
        <w:ind w:left="0"/>
        <w:jc w:val="both"/>
        <w:rPr>
          <w:rFonts w:ascii="Bookman Old Style" w:hAnsi="Bookman Old Style" w:cs="Arial"/>
        </w:rPr>
      </w:pPr>
      <w:r w:rsidRPr="0024494C">
        <w:rPr>
          <w:rFonts w:ascii="Bookman Old Style" w:hAnsi="Bookman Old Style" w:cs="Arial"/>
        </w:rPr>
        <w:t xml:space="preserve">La Dirección de Impuestos y Aduanas Nacionales </w:t>
      </w:r>
      <w:r w:rsidR="00D866DB" w:rsidRPr="0024494C">
        <w:rPr>
          <w:rFonts w:ascii="Bookman Old Style" w:hAnsi="Bookman Old Style" w:cs="Arial"/>
        </w:rPr>
        <w:t>(</w:t>
      </w:r>
      <w:r w:rsidRPr="0024494C">
        <w:rPr>
          <w:rFonts w:ascii="Bookman Old Style" w:hAnsi="Bookman Old Style" w:cs="Arial"/>
        </w:rPr>
        <w:t>DIAN</w:t>
      </w:r>
      <w:r w:rsidR="00D866DB" w:rsidRPr="0024494C">
        <w:rPr>
          <w:rFonts w:ascii="Bookman Old Style" w:hAnsi="Bookman Old Style" w:cs="Arial"/>
        </w:rPr>
        <w:t xml:space="preserve">), </w:t>
      </w:r>
      <w:r w:rsidRPr="0024494C">
        <w:rPr>
          <w:rFonts w:ascii="Bookman Old Style" w:hAnsi="Bookman Old Style" w:cs="Arial"/>
        </w:rPr>
        <w:t>mediante la Resolución 00</w:t>
      </w:r>
      <w:r w:rsidR="000D64C1" w:rsidRPr="0024494C">
        <w:rPr>
          <w:rFonts w:ascii="Bookman Old Style" w:hAnsi="Bookman Old Style" w:cs="Arial"/>
        </w:rPr>
        <w:t>1264</w:t>
      </w:r>
      <w:r w:rsidRPr="0024494C">
        <w:rPr>
          <w:rFonts w:ascii="Bookman Old Style" w:hAnsi="Bookman Old Style" w:cs="Arial"/>
        </w:rPr>
        <w:t xml:space="preserve"> del </w:t>
      </w:r>
      <w:r w:rsidR="000D64C1" w:rsidRPr="0024494C">
        <w:rPr>
          <w:rFonts w:ascii="Bookman Old Style" w:hAnsi="Bookman Old Style" w:cs="Arial"/>
        </w:rPr>
        <w:t>18</w:t>
      </w:r>
      <w:r w:rsidRPr="0024494C">
        <w:rPr>
          <w:rFonts w:ascii="Bookman Old Style" w:hAnsi="Bookman Old Style" w:cs="Arial"/>
        </w:rPr>
        <w:t xml:space="preserve"> de noviembre de 202</w:t>
      </w:r>
      <w:r w:rsidR="000D64C1" w:rsidRPr="0024494C">
        <w:rPr>
          <w:rFonts w:ascii="Bookman Old Style" w:hAnsi="Bookman Old Style" w:cs="Arial"/>
        </w:rPr>
        <w:t>2</w:t>
      </w:r>
      <w:r w:rsidRPr="0024494C">
        <w:rPr>
          <w:rFonts w:ascii="Bookman Old Style" w:hAnsi="Bookman Old Style" w:cs="Arial"/>
        </w:rPr>
        <w:t>, fijó en $</w:t>
      </w:r>
      <w:r w:rsidR="004145D5" w:rsidRPr="0024494C">
        <w:rPr>
          <w:rFonts w:ascii="Bookman Old Style" w:hAnsi="Bookman Old Style" w:cs="Arial"/>
        </w:rPr>
        <w:t>42</w:t>
      </w:r>
      <w:r w:rsidRPr="0024494C">
        <w:rPr>
          <w:rFonts w:ascii="Bookman Old Style" w:hAnsi="Bookman Old Style" w:cs="Arial"/>
        </w:rPr>
        <w:t>.</w:t>
      </w:r>
      <w:r w:rsidR="004145D5" w:rsidRPr="0024494C">
        <w:rPr>
          <w:rFonts w:ascii="Bookman Old Style" w:hAnsi="Bookman Old Style" w:cs="Arial"/>
        </w:rPr>
        <w:t>412</w:t>
      </w:r>
      <w:r w:rsidRPr="0024494C">
        <w:rPr>
          <w:rFonts w:ascii="Bookman Old Style" w:hAnsi="Bookman Old Style" w:cs="Arial"/>
        </w:rPr>
        <w:t xml:space="preserve"> el valor de la unidad de valor tributario (UVT), que entra a regir a partir del 1º de enero del 202</w:t>
      </w:r>
      <w:r w:rsidR="00697648" w:rsidRPr="0024494C">
        <w:rPr>
          <w:rFonts w:ascii="Bookman Old Style" w:hAnsi="Bookman Old Style" w:cs="Arial"/>
        </w:rPr>
        <w:t>3</w:t>
      </w:r>
      <w:r w:rsidRPr="0024494C">
        <w:rPr>
          <w:rFonts w:ascii="Bookman Old Style" w:hAnsi="Bookman Old Style" w:cs="Arial"/>
        </w:rPr>
        <w:t xml:space="preserve">. </w:t>
      </w:r>
      <w:r w:rsidR="00DC348E" w:rsidRPr="0024494C">
        <w:rPr>
          <w:rFonts w:ascii="Bookman Old Style" w:hAnsi="Bookman Old Style" w:cs="Arial"/>
        </w:rPr>
        <w:t>Cuando se expresen las cantidades monetarias</w:t>
      </w:r>
      <w:r w:rsidRPr="0024494C">
        <w:rPr>
          <w:rFonts w:ascii="Bookman Old Style" w:hAnsi="Bookman Old Style" w:cs="Arial"/>
        </w:rPr>
        <w:t xml:space="preserve"> en</w:t>
      </w:r>
      <w:r w:rsidR="00D20CB1" w:rsidRPr="0024494C">
        <w:rPr>
          <w:rFonts w:ascii="Bookman Old Style" w:hAnsi="Bookman Old Style" w:cs="Arial"/>
        </w:rPr>
        <w:t xml:space="preserve"> UVT y éstas se conviertan en</w:t>
      </w:r>
      <w:r w:rsidRPr="0024494C">
        <w:rPr>
          <w:rFonts w:ascii="Bookman Old Style" w:hAnsi="Bookman Old Style" w:cs="Arial"/>
        </w:rPr>
        <w:t xml:space="preserve"> valores absolutos, </w:t>
      </w:r>
      <w:r w:rsidR="0063759A" w:rsidRPr="0024494C">
        <w:rPr>
          <w:rFonts w:ascii="Bookman Old Style" w:hAnsi="Bookman Old Style" w:cs="Arial"/>
        </w:rPr>
        <w:t xml:space="preserve">a fin de obtener cifras enteras y de fácil operación, </w:t>
      </w:r>
      <w:r w:rsidR="00D20CB1" w:rsidRPr="0024494C">
        <w:rPr>
          <w:rFonts w:ascii="Bookman Old Style" w:hAnsi="Bookman Old Style" w:cs="Arial"/>
        </w:rPr>
        <w:t xml:space="preserve">este valor monetario </w:t>
      </w:r>
      <w:r w:rsidRPr="0024494C">
        <w:rPr>
          <w:rFonts w:ascii="Bookman Old Style" w:hAnsi="Bookman Old Style" w:cs="Arial"/>
        </w:rPr>
        <w:t>se debe multiplicar por el valor de la UVT y su resultado se aproxima de acuerdo con el procedimiento de aproximaciones de que trata el inciso sexto del artículo 868 del Estatuto Tributario.</w:t>
      </w:r>
    </w:p>
    <w:p w14:paraId="6C793670" w14:textId="77777777" w:rsidR="00607A41" w:rsidRPr="0024494C" w:rsidRDefault="00607A41" w:rsidP="000E5253">
      <w:pPr>
        <w:ind w:left="0"/>
        <w:jc w:val="both"/>
        <w:rPr>
          <w:rFonts w:ascii="Bookman Old Style" w:hAnsi="Bookman Old Style" w:cs="Arial"/>
        </w:rPr>
      </w:pPr>
    </w:p>
    <w:p w14:paraId="5A16B142" w14:textId="0F0277CC" w:rsidR="00423DFB" w:rsidRPr="0024494C" w:rsidRDefault="0050424C" w:rsidP="000E5253">
      <w:pPr>
        <w:ind w:left="0"/>
        <w:jc w:val="both"/>
        <w:rPr>
          <w:rFonts w:ascii="Bookman Old Style" w:hAnsi="Bookman Old Style" w:cs="Arial"/>
        </w:rPr>
      </w:pPr>
      <w:r w:rsidRPr="0024494C">
        <w:rPr>
          <w:rFonts w:ascii="Bookman Old Style" w:hAnsi="Bookman Old Style" w:cs="Arial"/>
        </w:rPr>
        <w:t>A efectos de recuperar los costos representados en recursos humanos, tecnológicos</w:t>
      </w:r>
      <w:r w:rsidR="005A1CCE" w:rsidRPr="0024494C">
        <w:rPr>
          <w:rFonts w:ascii="Bookman Old Style" w:hAnsi="Bookman Old Style" w:cs="Arial"/>
        </w:rPr>
        <w:t>,</w:t>
      </w:r>
      <w:r w:rsidRPr="0024494C">
        <w:rPr>
          <w:rFonts w:ascii="Bookman Old Style" w:hAnsi="Bookman Old Style" w:cs="Arial"/>
        </w:rPr>
        <w:t xml:space="preserve"> financieros </w:t>
      </w:r>
      <w:r w:rsidR="005A1CCE" w:rsidRPr="0024494C">
        <w:rPr>
          <w:rFonts w:ascii="Bookman Old Style" w:hAnsi="Bookman Old Style" w:cs="Arial"/>
        </w:rPr>
        <w:t xml:space="preserve">y logísticos </w:t>
      </w:r>
      <w:r w:rsidRPr="0024494C">
        <w:rPr>
          <w:rFonts w:ascii="Bookman Old Style" w:hAnsi="Bookman Old Style" w:cs="Arial"/>
        </w:rPr>
        <w:t xml:space="preserve">incurridos por la </w:t>
      </w:r>
      <w:r w:rsidR="00C7726F">
        <w:rPr>
          <w:rFonts w:ascii="Bookman Old Style" w:hAnsi="Bookman Old Style"/>
        </w:rPr>
        <w:t>Comisión de Regulación de Energía y Gas – CREG</w:t>
      </w:r>
      <w:r w:rsidR="00C7726F" w:rsidRPr="0024494C">
        <w:rPr>
          <w:rFonts w:ascii="Bookman Old Style" w:hAnsi="Bookman Old Style" w:cs="Arial"/>
        </w:rPr>
        <w:t xml:space="preserve"> </w:t>
      </w:r>
      <w:r w:rsidRPr="0024494C">
        <w:rPr>
          <w:rFonts w:ascii="Bookman Old Style" w:hAnsi="Bookman Old Style" w:cs="Arial"/>
        </w:rPr>
        <w:t xml:space="preserve">en el procedimiento de cálculo, liquidación, </w:t>
      </w:r>
      <w:r w:rsidR="005A1CCE" w:rsidRPr="0024494C">
        <w:rPr>
          <w:rFonts w:ascii="Bookman Old Style" w:hAnsi="Bookman Old Style" w:cs="Arial"/>
        </w:rPr>
        <w:t xml:space="preserve">cobro, </w:t>
      </w:r>
      <w:r w:rsidRPr="0024494C">
        <w:rPr>
          <w:rFonts w:ascii="Bookman Old Style" w:hAnsi="Bookman Old Style" w:cs="Arial"/>
        </w:rPr>
        <w:t>recaudo y gestión de cartera de la contribución especial 202</w:t>
      </w:r>
      <w:r w:rsidR="00697648" w:rsidRPr="0024494C">
        <w:rPr>
          <w:rFonts w:ascii="Bookman Old Style" w:hAnsi="Bookman Old Style" w:cs="Arial"/>
        </w:rPr>
        <w:t>3</w:t>
      </w:r>
      <w:r w:rsidRPr="0024494C">
        <w:rPr>
          <w:rFonts w:ascii="Bookman Old Style" w:hAnsi="Bookman Old Style" w:cs="Arial"/>
        </w:rPr>
        <w:t xml:space="preserve">, la Comisión determinó una cuantía mínima óptima </w:t>
      </w:r>
      <w:r w:rsidR="00104A06" w:rsidRPr="0024494C">
        <w:rPr>
          <w:rFonts w:ascii="Bookman Old Style" w:hAnsi="Bookman Old Style" w:cs="Arial"/>
        </w:rPr>
        <w:t xml:space="preserve">hasta </w:t>
      </w:r>
      <w:r w:rsidRPr="0024494C">
        <w:rPr>
          <w:rFonts w:ascii="Bookman Old Style" w:hAnsi="Bookman Old Style" w:cs="Arial"/>
        </w:rPr>
        <w:t xml:space="preserve">de </w:t>
      </w:r>
      <w:r w:rsidR="0062044A" w:rsidRPr="0024494C">
        <w:rPr>
          <w:rFonts w:ascii="Bookman Old Style" w:hAnsi="Bookman Old Style" w:cs="Arial"/>
        </w:rPr>
        <w:t xml:space="preserve">ocho (8) UVT, es decir, </w:t>
      </w:r>
      <w:r w:rsidRPr="0024494C">
        <w:rPr>
          <w:rFonts w:ascii="Bookman Old Style" w:hAnsi="Bookman Old Style" w:cs="Arial"/>
        </w:rPr>
        <w:t>$</w:t>
      </w:r>
      <w:r w:rsidR="00697648" w:rsidRPr="0024494C">
        <w:rPr>
          <w:rFonts w:ascii="Bookman Old Style" w:hAnsi="Bookman Old Style" w:cs="Arial"/>
        </w:rPr>
        <w:t>339</w:t>
      </w:r>
      <w:r w:rsidRPr="0024494C">
        <w:rPr>
          <w:rFonts w:ascii="Bookman Old Style" w:hAnsi="Bookman Old Style" w:cs="Arial"/>
        </w:rPr>
        <w:t>,</w:t>
      </w:r>
      <w:r w:rsidR="0062044A" w:rsidRPr="0024494C">
        <w:rPr>
          <w:rFonts w:ascii="Bookman Old Style" w:hAnsi="Bookman Old Style" w:cs="Arial"/>
        </w:rPr>
        <w:t>0</w:t>
      </w:r>
      <w:r w:rsidR="00395F30" w:rsidRPr="0024494C">
        <w:rPr>
          <w:rFonts w:ascii="Bookman Old Style" w:hAnsi="Bookman Old Style" w:cs="Arial"/>
        </w:rPr>
        <w:t>00</w:t>
      </w:r>
      <w:r w:rsidR="00926FC1" w:rsidRPr="0024494C">
        <w:rPr>
          <w:rFonts w:ascii="Bookman Old Style" w:hAnsi="Bookman Old Style" w:cs="Arial"/>
        </w:rPr>
        <w:t>,</w:t>
      </w:r>
      <w:r w:rsidRPr="0024494C">
        <w:rPr>
          <w:rFonts w:ascii="Bookman Old Style" w:hAnsi="Bookman Old Style" w:cs="Arial"/>
        </w:rPr>
        <w:t xml:space="preserve"> por debajo de la cual </w:t>
      </w:r>
      <w:r w:rsidR="005A1CCE" w:rsidRPr="0024494C">
        <w:rPr>
          <w:rFonts w:ascii="Bookman Old Style" w:hAnsi="Bookman Old Style" w:cs="Arial"/>
        </w:rPr>
        <w:t xml:space="preserve">no </w:t>
      </w:r>
      <w:r w:rsidRPr="0024494C">
        <w:rPr>
          <w:rFonts w:ascii="Bookman Old Style" w:hAnsi="Bookman Old Style" w:cs="Arial"/>
        </w:rPr>
        <w:t>resulta eficiente</w:t>
      </w:r>
      <w:r w:rsidR="005A1CCE" w:rsidRPr="0024494C">
        <w:rPr>
          <w:rFonts w:ascii="Bookman Old Style" w:hAnsi="Bookman Old Style" w:cs="Arial"/>
        </w:rPr>
        <w:t xml:space="preserve"> ni rentable</w:t>
      </w:r>
      <w:r w:rsidRPr="0024494C">
        <w:rPr>
          <w:rFonts w:ascii="Bookman Old Style" w:hAnsi="Bookman Old Style" w:cs="Arial"/>
        </w:rPr>
        <w:t xml:space="preserve"> liquidar la contribución especial a los sujetos pasivos.</w:t>
      </w:r>
    </w:p>
    <w:p w14:paraId="1FBED3AB" w14:textId="77777777" w:rsidR="00793A8F" w:rsidRDefault="00793A8F" w:rsidP="000E5253">
      <w:pPr>
        <w:ind w:left="0"/>
        <w:jc w:val="both"/>
        <w:rPr>
          <w:rFonts w:ascii="Bookman Old Style" w:hAnsi="Bookman Old Style" w:cs="Arial"/>
        </w:rPr>
      </w:pPr>
    </w:p>
    <w:p w14:paraId="5E872218" w14:textId="77777777" w:rsidR="00582019" w:rsidRDefault="009559E1" w:rsidP="009559E1">
      <w:pPr>
        <w:ind w:left="0"/>
        <w:jc w:val="both"/>
        <w:rPr>
          <w:rFonts w:ascii="Bookman Old Style" w:hAnsi="Bookman Old Style" w:cs="Arial"/>
          <w:bCs/>
        </w:rPr>
      </w:pPr>
      <w:r>
        <w:rPr>
          <w:rFonts w:ascii="Bookman Old Style" w:hAnsi="Bookman Old Style" w:cs="Arial"/>
          <w:bCs/>
        </w:rPr>
        <w:t xml:space="preserve">Las empresas y entidades sujetas a la regulación de la CREG durante la vigencia 2023 </w:t>
      </w:r>
      <w:r w:rsidRPr="0024494C">
        <w:rPr>
          <w:rFonts w:ascii="Bookman Old Style" w:hAnsi="Bookman Old Style" w:cs="Arial"/>
          <w:bCs/>
        </w:rPr>
        <w:t xml:space="preserve"> que no </w:t>
      </w:r>
      <w:r>
        <w:rPr>
          <w:rFonts w:ascii="Bookman Old Style" w:hAnsi="Bookman Old Style" w:cs="Arial"/>
          <w:bCs/>
        </w:rPr>
        <w:t xml:space="preserve">han </w:t>
      </w:r>
      <w:r w:rsidRPr="0024494C">
        <w:rPr>
          <w:rFonts w:ascii="Bookman Old Style" w:hAnsi="Bookman Old Style" w:cs="Arial"/>
          <w:bCs/>
        </w:rPr>
        <w:t>reporta</w:t>
      </w:r>
      <w:r>
        <w:rPr>
          <w:rFonts w:ascii="Bookman Old Style" w:hAnsi="Bookman Old Style" w:cs="Arial"/>
          <w:bCs/>
        </w:rPr>
        <w:t>do</w:t>
      </w:r>
      <w:r w:rsidRPr="0024494C">
        <w:rPr>
          <w:rFonts w:ascii="Bookman Old Style" w:hAnsi="Bookman Old Style" w:cs="Arial"/>
          <w:bCs/>
        </w:rPr>
        <w:t xml:space="preserve"> la información financiera  de la vigencia 2022 y que forman parte de la base para la liquidación de la contribución especial 2023 </w:t>
      </w:r>
      <w:r>
        <w:rPr>
          <w:rFonts w:ascii="Bookman Old Style" w:hAnsi="Bookman Old Style" w:cs="Arial"/>
          <w:bCs/>
        </w:rPr>
        <w:t xml:space="preserve">o que no se han inscrito en el registro único de prestadores de la Superintendencia (RUPS), </w:t>
      </w:r>
      <w:r w:rsidRPr="0024494C">
        <w:rPr>
          <w:rFonts w:ascii="Bookman Old Style" w:hAnsi="Bookman Old Style" w:cs="Arial"/>
          <w:bCs/>
        </w:rPr>
        <w:t>serán tratadas como omisas</w:t>
      </w:r>
      <w:r w:rsidR="00847D0B">
        <w:rPr>
          <w:rFonts w:ascii="Bookman Old Style" w:hAnsi="Bookman Old Style" w:cs="Arial"/>
          <w:bCs/>
        </w:rPr>
        <w:t>,</w:t>
      </w:r>
      <w:r>
        <w:rPr>
          <w:rFonts w:ascii="Bookman Old Style" w:hAnsi="Bookman Old Style" w:cs="Arial"/>
          <w:bCs/>
        </w:rPr>
        <w:t xml:space="preserve"> </w:t>
      </w:r>
      <w:r w:rsidRPr="0024494C">
        <w:rPr>
          <w:rFonts w:ascii="Bookman Old Style" w:hAnsi="Bookman Old Style" w:cs="Arial"/>
          <w:bCs/>
        </w:rPr>
        <w:t>requerid</w:t>
      </w:r>
      <w:r>
        <w:rPr>
          <w:rFonts w:ascii="Bookman Old Style" w:hAnsi="Bookman Old Style" w:cs="Arial"/>
          <w:bCs/>
        </w:rPr>
        <w:t>a</w:t>
      </w:r>
      <w:r w:rsidRPr="0024494C">
        <w:rPr>
          <w:rFonts w:ascii="Bookman Old Style" w:hAnsi="Bookman Old Style" w:cs="Arial"/>
          <w:bCs/>
        </w:rPr>
        <w:t xml:space="preserve">s en fiscalización y se </w:t>
      </w:r>
      <w:r>
        <w:rPr>
          <w:rFonts w:ascii="Bookman Old Style" w:hAnsi="Bookman Old Style" w:cs="Arial"/>
          <w:bCs/>
        </w:rPr>
        <w:t xml:space="preserve">les liquidará </w:t>
      </w:r>
      <w:r w:rsidRPr="0024494C">
        <w:rPr>
          <w:rFonts w:ascii="Bookman Old Style" w:hAnsi="Bookman Old Style" w:cs="Arial"/>
          <w:bCs/>
        </w:rPr>
        <w:t xml:space="preserve"> la contribución especial con base</w:t>
      </w:r>
      <w:r>
        <w:rPr>
          <w:rFonts w:ascii="Bookman Old Style" w:hAnsi="Bookman Old Style" w:cs="Arial"/>
          <w:bCs/>
        </w:rPr>
        <w:t xml:space="preserve"> en</w:t>
      </w:r>
      <w:r w:rsidRPr="0024494C">
        <w:rPr>
          <w:rFonts w:ascii="Bookman Old Style" w:hAnsi="Bookman Old Style" w:cs="Arial"/>
          <w:bCs/>
        </w:rPr>
        <w:t xml:space="preserve"> </w:t>
      </w:r>
      <w:r>
        <w:rPr>
          <w:rFonts w:ascii="Bookman Old Style" w:hAnsi="Bookman Old Style" w:cs="Arial"/>
          <w:bCs/>
        </w:rPr>
        <w:t xml:space="preserve">la información de los últimos </w:t>
      </w:r>
      <w:r w:rsidRPr="0024494C">
        <w:rPr>
          <w:rFonts w:ascii="Bookman Old Style" w:hAnsi="Bookman Old Style" w:cs="Arial"/>
          <w:bCs/>
        </w:rPr>
        <w:t xml:space="preserve">estados financieros </w:t>
      </w:r>
      <w:r>
        <w:rPr>
          <w:rFonts w:ascii="Bookman Old Style" w:hAnsi="Bookman Old Style" w:cs="Arial"/>
          <w:bCs/>
        </w:rPr>
        <w:t>presentado</w:t>
      </w:r>
      <w:r w:rsidR="002405FC">
        <w:rPr>
          <w:rFonts w:ascii="Bookman Old Style" w:hAnsi="Bookman Old Style" w:cs="Arial"/>
          <w:bCs/>
        </w:rPr>
        <w:t>s</w:t>
      </w:r>
      <w:r>
        <w:rPr>
          <w:rFonts w:ascii="Bookman Old Style" w:hAnsi="Bookman Old Style" w:cs="Arial"/>
          <w:bCs/>
        </w:rPr>
        <w:t xml:space="preserve">. </w:t>
      </w:r>
    </w:p>
    <w:p w14:paraId="3BDF3440" w14:textId="77777777" w:rsidR="00582019" w:rsidRDefault="00582019" w:rsidP="009559E1">
      <w:pPr>
        <w:ind w:left="0"/>
        <w:jc w:val="both"/>
        <w:rPr>
          <w:rFonts w:ascii="Bookman Old Style" w:hAnsi="Bookman Old Style" w:cs="Arial"/>
          <w:bCs/>
        </w:rPr>
      </w:pPr>
    </w:p>
    <w:p w14:paraId="05D82451" w14:textId="0133D0D5" w:rsidR="009559E1" w:rsidRDefault="009559E1" w:rsidP="009559E1">
      <w:pPr>
        <w:ind w:left="0"/>
        <w:jc w:val="both"/>
        <w:rPr>
          <w:rFonts w:ascii="Bookman Old Style" w:hAnsi="Bookman Old Style" w:cs="Arial"/>
          <w:bCs/>
        </w:rPr>
      </w:pPr>
      <w:r>
        <w:rPr>
          <w:rFonts w:ascii="Bookman Old Style" w:hAnsi="Bookman Old Style" w:cs="Arial"/>
          <w:bCs/>
        </w:rPr>
        <w:t>Los gastos reportados</w:t>
      </w:r>
      <w:r w:rsidRPr="0024494C">
        <w:rPr>
          <w:rFonts w:ascii="Bookman Old Style" w:hAnsi="Bookman Old Style" w:cs="Arial"/>
          <w:bCs/>
        </w:rPr>
        <w:t xml:space="preserve"> será</w:t>
      </w:r>
      <w:r>
        <w:rPr>
          <w:rFonts w:ascii="Bookman Old Style" w:hAnsi="Bookman Old Style" w:cs="Arial"/>
          <w:bCs/>
        </w:rPr>
        <w:t>n</w:t>
      </w:r>
      <w:r w:rsidRPr="0024494C">
        <w:rPr>
          <w:rFonts w:ascii="Bookman Old Style" w:hAnsi="Bookman Old Style" w:cs="Arial"/>
          <w:bCs/>
        </w:rPr>
        <w:t xml:space="preserve"> indexad</w:t>
      </w:r>
      <w:r>
        <w:rPr>
          <w:rFonts w:ascii="Bookman Old Style" w:hAnsi="Bookman Old Style" w:cs="Arial"/>
          <w:bCs/>
        </w:rPr>
        <w:t>os</w:t>
      </w:r>
      <w:r w:rsidRPr="0024494C">
        <w:rPr>
          <w:rFonts w:ascii="Bookman Old Style" w:hAnsi="Bookman Old Style" w:cs="Arial"/>
          <w:bCs/>
        </w:rPr>
        <w:t xml:space="preserve"> al 31 de diciembre de 2022, teniendo en cuenta la variación porcentual del IPC certificado por el DANE para los años objeto de indexación.</w:t>
      </w:r>
    </w:p>
    <w:p w14:paraId="1E932658" w14:textId="77777777" w:rsidR="007D30FA" w:rsidRDefault="007D30FA" w:rsidP="009559E1">
      <w:pPr>
        <w:ind w:left="0"/>
        <w:jc w:val="both"/>
        <w:rPr>
          <w:rFonts w:ascii="Bookman Old Style" w:hAnsi="Bookman Old Style" w:cs="Arial"/>
          <w:bCs/>
        </w:rPr>
      </w:pPr>
    </w:p>
    <w:p w14:paraId="269DC479" w14:textId="1CB31E03" w:rsidR="009559E1" w:rsidRDefault="009559E1" w:rsidP="009559E1">
      <w:pPr>
        <w:ind w:left="0"/>
        <w:jc w:val="both"/>
        <w:rPr>
          <w:rFonts w:ascii="Bookman Old Style" w:hAnsi="Bookman Old Style" w:cs="Arial"/>
          <w:bCs/>
        </w:rPr>
      </w:pPr>
      <w:r>
        <w:rPr>
          <w:rFonts w:ascii="Bookman Old Style" w:hAnsi="Bookman Old Style" w:cs="Arial"/>
          <w:bCs/>
        </w:rPr>
        <w:t xml:space="preserve">Para el caso de las empresas y entidades que no se han inscrito en el </w:t>
      </w:r>
      <w:r w:rsidR="00847D0B">
        <w:rPr>
          <w:rFonts w:ascii="Bookman Old Style" w:hAnsi="Bookman Old Style" w:cs="Arial"/>
          <w:bCs/>
        </w:rPr>
        <w:t>(</w:t>
      </w:r>
      <w:r>
        <w:rPr>
          <w:rFonts w:ascii="Bookman Old Style" w:hAnsi="Bookman Old Style" w:cs="Arial"/>
          <w:bCs/>
        </w:rPr>
        <w:t>RUPS</w:t>
      </w:r>
      <w:r w:rsidR="00847D0B">
        <w:rPr>
          <w:rFonts w:ascii="Bookman Old Style" w:hAnsi="Bookman Old Style" w:cs="Arial"/>
          <w:bCs/>
        </w:rPr>
        <w:t>)</w:t>
      </w:r>
      <w:r>
        <w:rPr>
          <w:rFonts w:ascii="Bookman Old Style" w:hAnsi="Bookman Old Style" w:cs="Arial"/>
          <w:bCs/>
        </w:rPr>
        <w:t>, se les solicitará reportar sus estados financieros del año 2022, al SUI, de manera inmediata.</w:t>
      </w:r>
    </w:p>
    <w:p w14:paraId="5B4FA2D9" w14:textId="77777777" w:rsidR="00607A41" w:rsidRPr="0024494C" w:rsidRDefault="00607A41" w:rsidP="000E5253">
      <w:pPr>
        <w:ind w:left="0"/>
        <w:jc w:val="both"/>
        <w:rPr>
          <w:rFonts w:ascii="Bookman Old Style" w:hAnsi="Bookman Old Style" w:cs="Arial"/>
        </w:rPr>
      </w:pPr>
    </w:p>
    <w:p w14:paraId="67BE96E7" w14:textId="4195DBD4" w:rsidR="00692D39" w:rsidRDefault="00202031" w:rsidP="000E5253">
      <w:pPr>
        <w:ind w:left="0"/>
        <w:jc w:val="both"/>
        <w:rPr>
          <w:rFonts w:ascii="Bookman Old Style" w:hAnsi="Bookman Old Style" w:cs="Arial"/>
        </w:rPr>
      </w:pPr>
      <w:r w:rsidRPr="0024494C">
        <w:rPr>
          <w:rFonts w:ascii="Bookman Old Style" w:hAnsi="Bookman Old Style" w:cs="Arial"/>
        </w:rPr>
        <w:t xml:space="preserve">La </w:t>
      </w:r>
      <w:r w:rsidR="00877F1E">
        <w:rPr>
          <w:rFonts w:ascii="Bookman Old Style" w:hAnsi="Bookman Old Style"/>
        </w:rPr>
        <w:t>Comisión de Regulación de Energía y Gas – CREG</w:t>
      </w:r>
      <w:r w:rsidR="00877F1E" w:rsidRPr="0024494C">
        <w:rPr>
          <w:rFonts w:ascii="Bookman Old Style" w:hAnsi="Bookman Old Style" w:cs="Arial"/>
        </w:rPr>
        <w:t xml:space="preserve"> </w:t>
      </w:r>
      <w:r w:rsidRPr="0024494C">
        <w:rPr>
          <w:rFonts w:ascii="Bookman Old Style" w:hAnsi="Bookman Old Style" w:cs="Arial"/>
        </w:rPr>
        <w:t>reportará a</w:t>
      </w:r>
      <w:r w:rsidR="00692D39" w:rsidRPr="0024494C">
        <w:rPr>
          <w:rFonts w:ascii="Bookman Old Style" w:hAnsi="Bookman Old Style" w:cs="Arial"/>
        </w:rPr>
        <w:t>l Boletín de Deudores Morosos del Estado (BDME)</w:t>
      </w:r>
      <w:r w:rsidRPr="0024494C">
        <w:rPr>
          <w:rFonts w:ascii="Bookman Old Style" w:hAnsi="Bookman Old Style" w:cs="Arial"/>
        </w:rPr>
        <w:t xml:space="preserve"> de la Contaduría General de la Nación (CGN),</w:t>
      </w:r>
      <w:r w:rsidR="00D9300F" w:rsidRPr="0024494C">
        <w:rPr>
          <w:rFonts w:ascii="Bookman Old Style" w:hAnsi="Bookman Old Style" w:cs="Arial"/>
        </w:rPr>
        <w:t xml:space="preserve"> </w:t>
      </w:r>
      <w:r w:rsidR="00692D39" w:rsidRPr="0024494C">
        <w:rPr>
          <w:rFonts w:ascii="Bookman Old Style" w:hAnsi="Bookman Old Style" w:cs="Arial"/>
        </w:rPr>
        <w:t xml:space="preserve">las personas naturales y jurídicas que, a cualquier título, a una fecha de corte, tienen contraída una obligación en mora </w:t>
      </w:r>
      <w:r w:rsidRPr="0024494C">
        <w:rPr>
          <w:rFonts w:ascii="Bookman Old Style" w:hAnsi="Bookman Old Style" w:cs="Arial"/>
        </w:rPr>
        <w:t xml:space="preserve">a favor de la </w:t>
      </w:r>
      <w:r w:rsidR="003608B6">
        <w:rPr>
          <w:rFonts w:ascii="Bookman Old Style" w:hAnsi="Bookman Old Style" w:cs="Arial"/>
        </w:rPr>
        <w:t>entidad</w:t>
      </w:r>
      <w:r w:rsidRPr="0024494C">
        <w:rPr>
          <w:rFonts w:ascii="Bookman Old Style" w:hAnsi="Bookman Old Style" w:cs="Arial"/>
        </w:rPr>
        <w:t xml:space="preserve">, según lo dispuesto en </w:t>
      </w:r>
      <w:r w:rsidR="00692D39" w:rsidRPr="0024494C">
        <w:rPr>
          <w:rFonts w:ascii="Bookman Old Style" w:hAnsi="Bookman Old Style" w:cs="Arial"/>
        </w:rPr>
        <w:t>el parágrafo 3º del artículo 2º de la Ley 901 de 2004, y del numeral 5º del Artículo 2º de la Ley 1066 de 2006</w:t>
      </w:r>
      <w:r w:rsidRPr="0024494C">
        <w:rPr>
          <w:rFonts w:ascii="Bookman Old Style" w:hAnsi="Bookman Old Style" w:cs="Arial"/>
        </w:rPr>
        <w:t>;</w:t>
      </w:r>
      <w:r w:rsidR="00692D39" w:rsidRPr="0024494C">
        <w:rPr>
          <w:rFonts w:ascii="Bookman Old Style" w:hAnsi="Bookman Old Style" w:cs="Arial"/>
        </w:rPr>
        <w:t xml:space="preserve"> </w:t>
      </w:r>
      <w:r w:rsidRPr="0024494C">
        <w:rPr>
          <w:rFonts w:ascii="Bookman Old Style" w:hAnsi="Bookman Old Style" w:cs="Arial"/>
        </w:rPr>
        <w:t>a través del</w:t>
      </w:r>
      <w:r w:rsidR="00692D39" w:rsidRPr="0024494C">
        <w:rPr>
          <w:rFonts w:ascii="Bookman Old Style" w:hAnsi="Bookman Old Style" w:cs="Arial"/>
        </w:rPr>
        <w:t xml:space="preserve"> sistema CHIP de la </w:t>
      </w:r>
      <w:r w:rsidR="003608B6" w:rsidRPr="0024494C">
        <w:rPr>
          <w:rFonts w:ascii="Bookman Old Style" w:hAnsi="Bookman Old Style" w:cs="Arial"/>
        </w:rPr>
        <w:t>Contaduría General de la Nación (CGN)</w:t>
      </w:r>
      <w:r w:rsidR="00692D39" w:rsidRPr="0024494C">
        <w:rPr>
          <w:rFonts w:ascii="Bookman Old Style" w:hAnsi="Bookman Old Style" w:cs="Arial"/>
        </w:rPr>
        <w:t>, en los diez (10) primeros días de los meses de junio y de diciembre</w:t>
      </w:r>
      <w:r w:rsidRPr="0024494C">
        <w:rPr>
          <w:rFonts w:ascii="Bookman Old Style" w:hAnsi="Bookman Old Style" w:cs="Arial"/>
        </w:rPr>
        <w:t>,</w:t>
      </w:r>
      <w:r w:rsidR="00692D39" w:rsidRPr="0024494C">
        <w:rPr>
          <w:rFonts w:ascii="Bookman Old Style" w:hAnsi="Bookman Old Style" w:cs="Arial"/>
        </w:rPr>
        <w:t xml:space="preserve"> con fecha de corte </w:t>
      </w:r>
      <w:r w:rsidRPr="0024494C">
        <w:rPr>
          <w:rFonts w:ascii="Bookman Old Style" w:hAnsi="Bookman Old Style" w:cs="Arial"/>
        </w:rPr>
        <w:t xml:space="preserve">de obligación adeudada a </w:t>
      </w:r>
      <w:r w:rsidR="00692D39" w:rsidRPr="0024494C">
        <w:rPr>
          <w:rFonts w:ascii="Bookman Old Style" w:hAnsi="Bookman Old Style" w:cs="Arial"/>
        </w:rPr>
        <w:t>31 de mayo y 30 de noviembre respectivamente.</w:t>
      </w:r>
    </w:p>
    <w:p w14:paraId="793B2319" w14:textId="77777777" w:rsidR="00720EFA" w:rsidRDefault="00720EFA" w:rsidP="000E5253">
      <w:pPr>
        <w:ind w:left="0"/>
        <w:jc w:val="both"/>
        <w:rPr>
          <w:rFonts w:ascii="Bookman Old Style" w:hAnsi="Bookman Old Style" w:cs="Arial"/>
        </w:rPr>
      </w:pPr>
    </w:p>
    <w:p w14:paraId="622B7BEC" w14:textId="5DB48245" w:rsidR="00720EFA" w:rsidRDefault="00720EFA" w:rsidP="000E5253">
      <w:pPr>
        <w:ind w:left="0"/>
        <w:jc w:val="both"/>
        <w:rPr>
          <w:rFonts w:ascii="Bookman Old Style" w:hAnsi="Bookman Old Style" w:cs="Arial"/>
        </w:rPr>
      </w:pPr>
      <w:r>
        <w:rPr>
          <w:rFonts w:ascii="Bookman Old Style" w:hAnsi="Bookman Old Style" w:cs="Arial"/>
        </w:rPr>
        <w:t xml:space="preserve">La Comisión </w:t>
      </w:r>
      <w:r w:rsidR="00DB1E7B">
        <w:rPr>
          <w:rFonts w:ascii="Bookman Old Style" w:hAnsi="Bookman Old Style" w:cs="Arial"/>
        </w:rPr>
        <w:t>en la sesión</w:t>
      </w:r>
      <w:r w:rsidR="00CE0096">
        <w:rPr>
          <w:rFonts w:ascii="Bookman Old Style" w:hAnsi="Bookman Old Style" w:cs="Arial"/>
        </w:rPr>
        <w:t xml:space="preserve"> 1288</w:t>
      </w:r>
      <w:r w:rsidR="00DB1E7B">
        <w:rPr>
          <w:rFonts w:ascii="Bookman Old Style" w:hAnsi="Bookman Old Style" w:cs="Arial"/>
        </w:rPr>
        <w:t xml:space="preserve"> </w:t>
      </w:r>
      <w:r w:rsidR="00D92971">
        <w:rPr>
          <w:rFonts w:ascii="Bookman Old Style" w:hAnsi="Bookman Old Style" w:cs="Arial"/>
        </w:rPr>
        <w:t xml:space="preserve">del 22 de septiembre de 2023, </w:t>
      </w:r>
      <w:r w:rsidR="00DB1E7B">
        <w:rPr>
          <w:rFonts w:ascii="Bookman Old Style" w:hAnsi="Bookman Old Style" w:cs="Arial"/>
        </w:rPr>
        <w:t>aprobó la presente resolución</w:t>
      </w:r>
      <w:r w:rsidR="00D92971">
        <w:rPr>
          <w:rFonts w:ascii="Bookman Old Style" w:hAnsi="Bookman Old Style" w:cs="Arial"/>
        </w:rPr>
        <w:t xml:space="preserve"> a consulta.</w:t>
      </w:r>
    </w:p>
    <w:p w14:paraId="357B4C8C" w14:textId="77777777" w:rsidR="003D49BA" w:rsidRDefault="003D49BA" w:rsidP="000E5253">
      <w:pPr>
        <w:ind w:left="0"/>
        <w:jc w:val="both"/>
        <w:rPr>
          <w:rFonts w:ascii="Bookman Old Style" w:hAnsi="Bookman Old Style" w:cs="Arial"/>
        </w:rPr>
      </w:pPr>
    </w:p>
    <w:p w14:paraId="35A06B85" w14:textId="77777777" w:rsidR="003D49BA" w:rsidRPr="0024494C" w:rsidRDefault="003D49BA" w:rsidP="000E5253">
      <w:pPr>
        <w:ind w:left="0"/>
        <w:jc w:val="both"/>
        <w:rPr>
          <w:rFonts w:ascii="Bookman Old Style" w:hAnsi="Bookman Old Style" w:cs="Arial"/>
        </w:rPr>
      </w:pPr>
    </w:p>
    <w:p w14:paraId="607B37BF" w14:textId="77777777" w:rsidR="00C409E5" w:rsidRPr="0024494C" w:rsidRDefault="00C409E5" w:rsidP="00055D69">
      <w:pPr>
        <w:spacing w:before="120"/>
        <w:ind w:left="0"/>
        <w:jc w:val="center"/>
        <w:rPr>
          <w:rFonts w:ascii="Bookman Old Style" w:hAnsi="Bookman Old Style" w:cs="Arial"/>
        </w:rPr>
      </w:pPr>
    </w:p>
    <w:p w14:paraId="6638F42B" w14:textId="691791ED" w:rsidR="00C5402D" w:rsidRPr="0024494C" w:rsidRDefault="00C5402D" w:rsidP="00055D69">
      <w:pPr>
        <w:ind w:left="0"/>
        <w:jc w:val="center"/>
        <w:rPr>
          <w:rFonts w:ascii="Bookman Old Style" w:hAnsi="Bookman Old Style"/>
          <w:b/>
          <w:spacing w:val="40"/>
        </w:rPr>
      </w:pPr>
      <w:r w:rsidRPr="0024494C">
        <w:rPr>
          <w:rFonts w:ascii="Bookman Old Style" w:hAnsi="Bookman Old Style"/>
          <w:b/>
        </w:rPr>
        <w:lastRenderedPageBreak/>
        <w:t>RESUELV</w:t>
      </w:r>
      <w:r w:rsidRPr="0024494C">
        <w:rPr>
          <w:rFonts w:ascii="Bookman Old Style" w:hAnsi="Bookman Old Style"/>
          <w:b/>
          <w:spacing w:val="40"/>
        </w:rPr>
        <w:t>E:</w:t>
      </w:r>
    </w:p>
    <w:p w14:paraId="7C7AB7A5" w14:textId="1E3EF3B9" w:rsidR="00C409E5" w:rsidRPr="0024494C" w:rsidRDefault="00C409E5" w:rsidP="00055D69">
      <w:pPr>
        <w:ind w:left="0"/>
        <w:jc w:val="center"/>
        <w:rPr>
          <w:rFonts w:ascii="Bookman Old Style" w:hAnsi="Bookman Old Style"/>
          <w:b/>
          <w:spacing w:val="40"/>
        </w:rPr>
      </w:pPr>
    </w:p>
    <w:p w14:paraId="1B1F2094" w14:textId="2476A4B3" w:rsidR="0093456B" w:rsidRPr="0024494C" w:rsidRDefault="0093456B" w:rsidP="000E5253">
      <w:pPr>
        <w:ind w:left="0"/>
        <w:jc w:val="both"/>
        <w:rPr>
          <w:rFonts w:ascii="Bookman Old Style" w:hAnsi="Bookman Old Style" w:cs="Arial"/>
          <w:bCs/>
        </w:rPr>
      </w:pPr>
      <w:r w:rsidRPr="0024494C">
        <w:rPr>
          <w:rFonts w:ascii="Bookman Old Style" w:hAnsi="Bookman Old Style" w:cs="Arial"/>
          <w:b/>
        </w:rPr>
        <w:t>ARTÍCULO 1.</w:t>
      </w:r>
      <w:r w:rsidR="00297A12" w:rsidRPr="0024494C">
        <w:rPr>
          <w:rFonts w:ascii="Bookman Old Style" w:hAnsi="Bookman Old Style" w:cs="Arial"/>
          <w:b/>
        </w:rPr>
        <w:t xml:space="preserve"> TARIFA </w:t>
      </w:r>
      <w:r w:rsidR="00FE1BBB" w:rsidRPr="0024494C">
        <w:rPr>
          <w:rFonts w:ascii="Bookman Old Style" w:hAnsi="Bookman Old Style" w:cs="Arial"/>
          <w:b/>
        </w:rPr>
        <w:t>PARA LIQUIDAR LA</w:t>
      </w:r>
      <w:r w:rsidR="00297A12" w:rsidRPr="0024494C">
        <w:rPr>
          <w:rFonts w:ascii="Bookman Old Style" w:hAnsi="Bookman Old Style" w:cs="Arial"/>
          <w:b/>
        </w:rPr>
        <w:t xml:space="preserve"> CONTRIBUCIÓN ESPECIAL 202</w:t>
      </w:r>
      <w:r w:rsidR="008D2B82" w:rsidRPr="0024494C">
        <w:rPr>
          <w:rFonts w:ascii="Bookman Old Style" w:hAnsi="Bookman Old Style" w:cs="Arial"/>
          <w:b/>
        </w:rPr>
        <w:t>3</w:t>
      </w:r>
      <w:r w:rsidR="00297A12" w:rsidRPr="0024494C">
        <w:rPr>
          <w:rFonts w:ascii="Bookman Old Style" w:hAnsi="Bookman Old Style" w:cs="Arial"/>
          <w:b/>
        </w:rPr>
        <w:t>.</w:t>
      </w:r>
      <w:r w:rsidR="00E638BD" w:rsidRPr="0024494C">
        <w:rPr>
          <w:rFonts w:ascii="Bookman Old Style" w:hAnsi="Bookman Old Style" w:cs="Arial"/>
          <w:bCs/>
        </w:rPr>
        <w:t xml:space="preserve"> </w:t>
      </w:r>
      <w:r w:rsidR="00B76292" w:rsidRPr="0024494C">
        <w:rPr>
          <w:rFonts w:ascii="Bookman Old Style" w:hAnsi="Bookman Old Style" w:cs="Arial"/>
          <w:bCs/>
        </w:rPr>
        <w:t>Determinar</w:t>
      </w:r>
      <w:r w:rsidR="00EC3845" w:rsidRPr="0024494C">
        <w:rPr>
          <w:rFonts w:ascii="Bookman Old Style" w:hAnsi="Bookman Old Style" w:cs="Arial"/>
          <w:bCs/>
        </w:rPr>
        <w:t xml:space="preserve"> para la vigencia 202</w:t>
      </w:r>
      <w:r w:rsidR="00CC3904" w:rsidRPr="0024494C">
        <w:rPr>
          <w:rFonts w:ascii="Bookman Old Style" w:hAnsi="Bookman Old Style" w:cs="Arial"/>
          <w:bCs/>
        </w:rPr>
        <w:t>3</w:t>
      </w:r>
      <w:r w:rsidR="00EC3845" w:rsidRPr="0024494C">
        <w:rPr>
          <w:rFonts w:ascii="Bookman Old Style" w:hAnsi="Bookman Old Style" w:cs="Arial"/>
          <w:bCs/>
        </w:rPr>
        <w:t xml:space="preserve"> </w:t>
      </w:r>
      <w:r w:rsidRPr="0024494C">
        <w:rPr>
          <w:rFonts w:ascii="Bookman Old Style" w:hAnsi="Bookman Old Style" w:cs="Arial"/>
          <w:bCs/>
        </w:rPr>
        <w:t xml:space="preserve">el porcentaje </w:t>
      </w:r>
      <w:r w:rsidR="000E780F" w:rsidRPr="0024494C">
        <w:rPr>
          <w:rFonts w:ascii="Bookman Old Style" w:hAnsi="Bookman Old Style" w:cs="Arial"/>
          <w:bCs/>
        </w:rPr>
        <w:t xml:space="preserve">de la tarifa </w:t>
      </w:r>
      <w:r w:rsidR="00FE1BBB" w:rsidRPr="0024494C">
        <w:rPr>
          <w:rFonts w:ascii="Bookman Old Style" w:hAnsi="Bookman Old Style" w:cs="Arial"/>
          <w:bCs/>
        </w:rPr>
        <w:t xml:space="preserve">para </w:t>
      </w:r>
      <w:r w:rsidR="00997B14" w:rsidRPr="0024494C">
        <w:rPr>
          <w:rFonts w:ascii="Bookman Old Style" w:hAnsi="Bookman Old Style" w:cs="Arial"/>
          <w:bCs/>
        </w:rPr>
        <w:t>la liquidación de</w:t>
      </w:r>
      <w:r w:rsidR="00FE1BBB" w:rsidRPr="0024494C">
        <w:rPr>
          <w:rFonts w:ascii="Bookman Old Style" w:hAnsi="Bookman Old Style" w:cs="Arial"/>
          <w:bCs/>
        </w:rPr>
        <w:t xml:space="preserve"> </w:t>
      </w:r>
      <w:r w:rsidRPr="0024494C">
        <w:rPr>
          <w:rFonts w:ascii="Bookman Old Style" w:hAnsi="Bookman Old Style" w:cs="Arial"/>
          <w:bCs/>
        </w:rPr>
        <w:t xml:space="preserve">la contribución especial </w:t>
      </w:r>
      <w:r w:rsidR="00FE1BBB" w:rsidRPr="0024494C">
        <w:rPr>
          <w:rFonts w:ascii="Bookman Old Style" w:hAnsi="Bookman Old Style" w:cs="Arial"/>
          <w:bCs/>
        </w:rPr>
        <w:t xml:space="preserve">a favor de la </w:t>
      </w:r>
      <w:r w:rsidR="00B80599">
        <w:rPr>
          <w:rFonts w:ascii="Bookman Old Style" w:hAnsi="Bookman Old Style"/>
        </w:rPr>
        <w:t>Comisión de Regulación de Energía y Gas – CREG</w:t>
      </w:r>
      <w:r w:rsidR="00EC3845" w:rsidRPr="0024494C">
        <w:rPr>
          <w:rFonts w:ascii="Bookman Old Style" w:hAnsi="Bookman Old Style" w:cs="Arial"/>
          <w:bCs/>
        </w:rPr>
        <w:t>,</w:t>
      </w:r>
      <w:r w:rsidR="00FE1BBB" w:rsidRPr="0024494C">
        <w:rPr>
          <w:rFonts w:ascii="Bookman Old Style" w:hAnsi="Bookman Old Style" w:cs="Arial"/>
          <w:bCs/>
        </w:rPr>
        <w:t xml:space="preserve"> </w:t>
      </w:r>
      <w:r w:rsidRPr="0024494C">
        <w:rPr>
          <w:rFonts w:ascii="Bookman Old Style" w:hAnsi="Bookman Old Style" w:cs="Arial"/>
          <w:bCs/>
        </w:rPr>
        <w:t xml:space="preserve">que deben pagar las </w:t>
      </w:r>
      <w:r w:rsidR="00C7583D">
        <w:rPr>
          <w:rFonts w:ascii="Bookman Old Style" w:hAnsi="Bookman Old Style" w:cs="Arial"/>
          <w:bCs/>
        </w:rPr>
        <w:t xml:space="preserve">empresas y </w:t>
      </w:r>
      <w:r w:rsidRPr="0024494C">
        <w:rPr>
          <w:rFonts w:ascii="Bookman Old Style" w:hAnsi="Bookman Old Style" w:cs="Arial"/>
          <w:bCs/>
        </w:rPr>
        <w:t xml:space="preserve">entidades sometidas </w:t>
      </w:r>
      <w:r w:rsidR="00FE1BBB" w:rsidRPr="0024494C">
        <w:rPr>
          <w:rFonts w:ascii="Bookman Old Style" w:hAnsi="Bookman Old Style" w:cs="Arial"/>
          <w:bCs/>
        </w:rPr>
        <w:t xml:space="preserve">a su </w:t>
      </w:r>
      <w:r w:rsidRPr="0024494C">
        <w:rPr>
          <w:rFonts w:ascii="Bookman Old Style" w:hAnsi="Bookman Old Style" w:cs="Arial"/>
          <w:bCs/>
        </w:rPr>
        <w:t>regulación</w:t>
      </w:r>
      <w:r w:rsidR="00050EF7" w:rsidRPr="0024494C">
        <w:rPr>
          <w:rFonts w:ascii="Bookman Old Style" w:hAnsi="Bookman Old Style" w:cs="Arial"/>
          <w:bCs/>
        </w:rPr>
        <w:t>,</w:t>
      </w:r>
      <w:r w:rsidRPr="0024494C">
        <w:rPr>
          <w:rFonts w:ascii="Bookman Old Style" w:hAnsi="Bookman Old Style" w:cs="Arial"/>
          <w:bCs/>
        </w:rPr>
        <w:t xml:space="preserve"> </w:t>
      </w:r>
      <w:r w:rsidR="00EC3845" w:rsidRPr="0024494C">
        <w:rPr>
          <w:rFonts w:ascii="Bookman Old Style" w:hAnsi="Bookman Old Style" w:cs="Arial"/>
          <w:bCs/>
        </w:rPr>
        <w:t xml:space="preserve">en el </w:t>
      </w:r>
      <w:r w:rsidR="00EC3845" w:rsidRPr="00F35C2E">
        <w:rPr>
          <w:rFonts w:ascii="Bookman Old Style" w:hAnsi="Bookman Old Style" w:cs="Arial"/>
          <w:b/>
        </w:rPr>
        <w:t>UNO POR CIENTO</w:t>
      </w:r>
      <w:r w:rsidRPr="00F35C2E">
        <w:rPr>
          <w:rFonts w:ascii="Bookman Old Style" w:hAnsi="Bookman Old Style" w:cs="Arial"/>
          <w:b/>
        </w:rPr>
        <w:t xml:space="preserve"> </w:t>
      </w:r>
      <w:r w:rsidR="00EC3845" w:rsidRPr="00F35C2E">
        <w:rPr>
          <w:rFonts w:ascii="Bookman Old Style" w:hAnsi="Bookman Old Style" w:cs="Arial"/>
          <w:b/>
        </w:rPr>
        <w:t>(</w:t>
      </w:r>
      <w:r w:rsidRPr="00F35C2E">
        <w:rPr>
          <w:rFonts w:ascii="Bookman Old Style" w:hAnsi="Bookman Old Style" w:cs="Arial"/>
          <w:b/>
        </w:rPr>
        <w:t>1%</w:t>
      </w:r>
      <w:r w:rsidR="00EC3845" w:rsidRPr="00F35C2E">
        <w:rPr>
          <w:rFonts w:ascii="Bookman Old Style" w:hAnsi="Bookman Old Style" w:cs="Arial"/>
          <w:b/>
        </w:rPr>
        <w:t>)</w:t>
      </w:r>
      <w:r w:rsidR="00EC3845" w:rsidRPr="0024494C">
        <w:rPr>
          <w:rFonts w:ascii="Bookman Old Style" w:hAnsi="Bookman Old Style" w:cs="Arial"/>
          <w:bCs/>
        </w:rPr>
        <w:t xml:space="preserve"> sobre </w:t>
      </w:r>
      <w:r w:rsidRPr="0024494C">
        <w:rPr>
          <w:rFonts w:ascii="Bookman Old Style" w:hAnsi="Bookman Old Style" w:cs="Arial"/>
          <w:bCs/>
        </w:rPr>
        <w:t>el valor de los gastos de funcionamiento</w:t>
      </w:r>
      <w:r w:rsidR="00324812">
        <w:rPr>
          <w:rFonts w:ascii="Bookman Old Style" w:hAnsi="Bookman Old Style" w:cs="Arial"/>
          <w:bCs/>
        </w:rPr>
        <w:t xml:space="preserve">, </w:t>
      </w:r>
      <w:r w:rsidR="00D9300F" w:rsidRPr="0024494C">
        <w:rPr>
          <w:rFonts w:ascii="Bookman Old Style" w:hAnsi="Bookman Old Style" w:cs="Arial"/>
          <w:bCs/>
        </w:rPr>
        <w:t xml:space="preserve"> </w:t>
      </w:r>
      <w:r w:rsidR="00DB1E7B" w:rsidRPr="0024494C">
        <w:rPr>
          <w:rFonts w:ascii="Bookman Old Style" w:hAnsi="Bookman Old Style" w:cs="Arial"/>
          <w:bCs/>
        </w:rPr>
        <w:t>adicion</w:t>
      </w:r>
      <w:r w:rsidR="00DB1E7B">
        <w:rPr>
          <w:rFonts w:ascii="Bookman Old Style" w:hAnsi="Bookman Old Style" w:cs="Arial"/>
          <w:bCs/>
        </w:rPr>
        <w:t>ados</w:t>
      </w:r>
      <w:r w:rsidR="00D9300F" w:rsidRPr="0024494C">
        <w:rPr>
          <w:rFonts w:ascii="Bookman Old Style" w:hAnsi="Bookman Old Style" w:cs="Arial"/>
          <w:bCs/>
        </w:rPr>
        <w:t xml:space="preserve"> e</w:t>
      </w:r>
      <w:r w:rsidR="00FA44E4">
        <w:rPr>
          <w:rFonts w:ascii="Bookman Old Style" w:hAnsi="Bookman Old Style" w:cs="Arial"/>
          <w:bCs/>
        </w:rPr>
        <w:t>n</w:t>
      </w:r>
      <w:r w:rsidRPr="0024494C">
        <w:rPr>
          <w:rFonts w:ascii="Bookman Old Style" w:hAnsi="Bookman Old Style" w:cs="Arial"/>
          <w:bCs/>
        </w:rPr>
        <w:t xml:space="preserve"> </w:t>
      </w:r>
      <w:r w:rsidR="00EC3845" w:rsidRPr="0024494C">
        <w:rPr>
          <w:rFonts w:ascii="Bookman Old Style" w:hAnsi="Bookman Old Style" w:cs="Arial"/>
          <w:bCs/>
        </w:rPr>
        <w:t>una porción de sus</w:t>
      </w:r>
      <w:r w:rsidRPr="0024494C">
        <w:rPr>
          <w:rFonts w:ascii="Bookman Old Style" w:hAnsi="Bookman Old Style" w:cs="Arial"/>
          <w:bCs/>
        </w:rPr>
        <w:t xml:space="preserve"> gastos operativos</w:t>
      </w:r>
      <w:r w:rsidR="005B1913" w:rsidRPr="0024494C">
        <w:rPr>
          <w:rFonts w:ascii="Bookman Old Style" w:hAnsi="Bookman Old Style" w:cs="Arial"/>
          <w:bCs/>
        </w:rPr>
        <w:t xml:space="preserve"> </w:t>
      </w:r>
      <w:r w:rsidR="00D424D1" w:rsidRPr="0024494C">
        <w:rPr>
          <w:rFonts w:ascii="Bookman Old Style" w:hAnsi="Bookman Old Style" w:cs="Arial"/>
          <w:bCs/>
        </w:rPr>
        <w:t>indispensable</w:t>
      </w:r>
      <w:r w:rsidR="00FA44E4">
        <w:rPr>
          <w:rFonts w:ascii="Bookman Old Style" w:hAnsi="Bookman Old Style" w:cs="Arial"/>
          <w:bCs/>
        </w:rPr>
        <w:t>s</w:t>
      </w:r>
      <w:r w:rsidRPr="0024494C">
        <w:rPr>
          <w:rFonts w:ascii="Bookman Old Style" w:hAnsi="Bookman Old Style" w:cs="Arial"/>
          <w:bCs/>
        </w:rPr>
        <w:t xml:space="preserve"> para cubrir </w:t>
      </w:r>
      <w:r w:rsidR="00D424D1" w:rsidRPr="0024494C">
        <w:rPr>
          <w:rFonts w:ascii="Bookman Old Style" w:hAnsi="Bookman Old Style" w:cs="Arial"/>
          <w:bCs/>
        </w:rPr>
        <w:t>el presupuesto</w:t>
      </w:r>
      <w:r w:rsidRPr="0024494C">
        <w:rPr>
          <w:rFonts w:ascii="Bookman Old Style" w:hAnsi="Bookman Old Style" w:cs="Arial"/>
          <w:bCs/>
        </w:rPr>
        <w:t xml:space="preserve"> </w:t>
      </w:r>
      <w:r w:rsidR="00D424D1" w:rsidRPr="0024494C">
        <w:rPr>
          <w:rFonts w:ascii="Bookman Old Style" w:hAnsi="Bookman Old Style" w:cs="Arial"/>
          <w:bCs/>
        </w:rPr>
        <w:t>202</w:t>
      </w:r>
      <w:r w:rsidR="00CC3904" w:rsidRPr="0024494C">
        <w:rPr>
          <w:rFonts w:ascii="Bookman Old Style" w:hAnsi="Bookman Old Style" w:cs="Arial"/>
          <w:bCs/>
        </w:rPr>
        <w:t>3</w:t>
      </w:r>
      <w:r w:rsidR="00D424D1" w:rsidRPr="0024494C">
        <w:rPr>
          <w:rFonts w:ascii="Bookman Old Style" w:hAnsi="Bookman Old Style" w:cs="Arial"/>
          <w:bCs/>
        </w:rPr>
        <w:t xml:space="preserve"> </w:t>
      </w:r>
      <w:r w:rsidRPr="0024494C">
        <w:rPr>
          <w:rFonts w:ascii="Bookman Old Style" w:hAnsi="Bookman Old Style" w:cs="Arial"/>
          <w:bCs/>
        </w:rPr>
        <w:t xml:space="preserve">de la </w:t>
      </w:r>
      <w:r w:rsidR="005013D0">
        <w:rPr>
          <w:rFonts w:ascii="Bookman Old Style" w:hAnsi="Bookman Old Style"/>
        </w:rPr>
        <w:t>Comisión de Regulación de Energía y Gas – CREG</w:t>
      </w:r>
      <w:r w:rsidR="00F8089F" w:rsidRPr="0024494C">
        <w:rPr>
          <w:rFonts w:ascii="Bookman Old Style" w:hAnsi="Bookman Old Style" w:cs="Arial"/>
          <w:bCs/>
        </w:rPr>
        <w:t xml:space="preserve"> por </w:t>
      </w:r>
      <w:r w:rsidR="00F8089F" w:rsidRPr="005013D0">
        <w:rPr>
          <w:rFonts w:ascii="Bookman Old Style" w:hAnsi="Bookman Old Style" w:cs="Arial"/>
          <w:b/>
        </w:rPr>
        <w:t>$37.750.366.055</w:t>
      </w:r>
      <w:r w:rsidR="00F8089F" w:rsidRPr="0024494C">
        <w:rPr>
          <w:rFonts w:ascii="Bookman Old Style" w:hAnsi="Bookman Old Style" w:cs="Arial"/>
          <w:bCs/>
        </w:rPr>
        <w:t xml:space="preserve">, que será </w:t>
      </w:r>
      <w:r w:rsidR="00900970" w:rsidRPr="0024494C">
        <w:rPr>
          <w:rFonts w:ascii="Bookman Old Style" w:hAnsi="Bookman Old Style" w:cs="Arial"/>
          <w:bCs/>
        </w:rPr>
        <w:t>financiado por la contribución especia</w:t>
      </w:r>
      <w:r w:rsidR="00D35A83">
        <w:rPr>
          <w:rFonts w:ascii="Bookman Old Style" w:hAnsi="Bookman Old Style" w:cs="Arial"/>
          <w:bCs/>
        </w:rPr>
        <w:t>l</w:t>
      </w:r>
      <w:r w:rsidR="00F8089F" w:rsidRPr="0024494C">
        <w:rPr>
          <w:rFonts w:ascii="Bookman Old Style" w:hAnsi="Bookman Old Style" w:cs="Arial"/>
          <w:bCs/>
        </w:rPr>
        <w:t>.</w:t>
      </w:r>
    </w:p>
    <w:p w14:paraId="456F223E" w14:textId="53817538" w:rsidR="00D9300F" w:rsidRPr="0024494C" w:rsidRDefault="00D9300F" w:rsidP="000E5253">
      <w:pPr>
        <w:ind w:left="0"/>
        <w:rPr>
          <w:rFonts w:ascii="Bookman Old Style" w:hAnsi="Bookman Old Style" w:cs="Arial"/>
          <w:bCs/>
        </w:rPr>
      </w:pPr>
    </w:p>
    <w:p w14:paraId="287AD73D" w14:textId="5F91D4FB" w:rsidR="00D9300F" w:rsidRPr="0024494C" w:rsidRDefault="00D54821" w:rsidP="000E5253">
      <w:pPr>
        <w:ind w:left="0"/>
        <w:jc w:val="both"/>
        <w:rPr>
          <w:rFonts w:ascii="Bookman Old Style" w:hAnsi="Bookman Old Style" w:cs="Arial"/>
          <w:bCs/>
        </w:rPr>
      </w:pPr>
      <w:r w:rsidRPr="0024494C">
        <w:rPr>
          <w:rFonts w:ascii="Bookman Old Style" w:hAnsi="Bookman Old Style" w:cs="Arial"/>
          <w:b/>
        </w:rPr>
        <w:t xml:space="preserve">PARÁGRAFO. </w:t>
      </w:r>
      <w:r w:rsidR="0058237A" w:rsidRPr="0024494C">
        <w:rPr>
          <w:rFonts w:ascii="Bookman Old Style" w:hAnsi="Bookman Old Style" w:cs="Arial"/>
          <w:bCs/>
        </w:rPr>
        <w:t xml:space="preserve">A </w:t>
      </w:r>
      <w:r w:rsidR="00D9300F" w:rsidRPr="0024494C">
        <w:rPr>
          <w:rFonts w:ascii="Bookman Old Style" w:hAnsi="Bookman Old Style" w:cs="Arial"/>
          <w:bCs/>
        </w:rPr>
        <w:t>las empresas reguladas que se encuentren en proceso de liquidación, cancelación, fusión, escisión, toma de posesión para administrar con fines liquidatarios, que hubieren operado al menos un día durante la vigencia 20</w:t>
      </w:r>
      <w:r w:rsidR="0062044A" w:rsidRPr="0024494C">
        <w:rPr>
          <w:rFonts w:ascii="Bookman Old Style" w:hAnsi="Bookman Old Style" w:cs="Arial"/>
          <w:bCs/>
        </w:rPr>
        <w:t>2</w:t>
      </w:r>
      <w:r w:rsidR="008D2B82" w:rsidRPr="0024494C">
        <w:rPr>
          <w:rFonts w:ascii="Bookman Old Style" w:hAnsi="Bookman Old Style" w:cs="Arial"/>
          <w:bCs/>
        </w:rPr>
        <w:t>3</w:t>
      </w:r>
      <w:r w:rsidR="00D9300F" w:rsidRPr="0024494C">
        <w:rPr>
          <w:rFonts w:ascii="Bookman Old Style" w:hAnsi="Bookman Old Style" w:cs="Arial"/>
          <w:bCs/>
        </w:rPr>
        <w:t xml:space="preserve">, se </w:t>
      </w:r>
      <w:r w:rsidR="0051506F" w:rsidRPr="0024494C">
        <w:rPr>
          <w:rFonts w:ascii="Bookman Old Style" w:hAnsi="Bookman Old Style" w:cs="Arial"/>
          <w:bCs/>
        </w:rPr>
        <w:t xml:space="preserve">les </w:t>
      </w:r>
      <w:r w:rsidR="00D9300F" w:rsidRPr="0024494C">
        <w:rPr>
          <w:rFonts w:ascii="Bookman Old Style" w:hAnsi="Bookman Old Style" w:cs="Arial"/>
          <w:bCs/>
        </w:rPr>
        <w:t xml:space="preserve">liquidará la contribución especial de regulación </w:t>
      </w:r>
      <w:r w:rsidR="00652E90" w:rsidRPr="0024494C">
        <w:rPr>
          <w:rFonts w:ascii="Bookman Old Style" w:hAnsi="Bookman Old Style" w:cs="Arial"/>
          <w:bCs/>
        </w:rPr>
        <w:t>proporcionalmente a la fracción de</w:t>
      </w:r>
      <w:r w:rsidR="00D12BDB" w:rsidRPr="0024494C">
        <w:rPr>
          <w:rFonts w:ascii="Bookman Old Style" w:hAnsi="Bookman Old Style" w:cs="Arial"/>
          <w:bCs/>
        </w:rPr>
        <w:t>l</w:t>
      </w:r>
      <w:r w:rsidR="00652E90" w:rsidRPr="0024494C">
        <w:rPr>
          <w:rFonts w:ascii="Bookman Old Style" w:hAnsi="Bookman Old Style" w:cs="Arial"/>
          <w:bCs/>
        </w:rPr>
        <w:t xml:space="preserve"> año 202</w:t>
      </w:r>
      <w:r w:rsidR="008D2B82" w:rsidRPr="0024494C">
        <w:rPr>
          <w:rFonts w:ascii="Bookman Old Style" w:hAnsi="Bookman Old Style" w:cs="Arial"/>
          <w:bCs/>
        </w:rPr>
        <w:t>3</w:t>
      </w:r>
      <w:r w:rsidR="00652E90" w:rsidRPr="0024494C">
        <w:rPr>
          <w:rFonts w:ascii="Bookman Old Style" w:hAnsi="Bookman Old Style" w:cs="Arial"/>
          <w:bCs/>
        </w:rPr>
        <w:t xml:space="preserve"> que hubiere prestado el servicio público, </w:t>
      </w:r>
      <w:r w:rsidR="00D9300F" w:rsidRPr="0024494C">
        <w:rPr>
          <w:rFonts w:ascii="Bookman Old Style" w:hAnsi="Bookman Old Style" w:cs="Arial"/>
          <w:bCs/>
        </w:rPr>
        <w:t>con base en la información financiera de 20</w:t>
      </w:r>
      <w:r w:rsidR="0062044A" w:rsidRPr="0024494C">
        <w:rPr>
          <w:rFonts w:ascii="Bookman Old Style" w:hAnsi="Bookman Old Style" w:cs="Arial"/>
          <w:bCs/>
        </w:rPr>
        <w:t>2</w:t>
      </w:r>
      <w:r w:rsidR="008D2B82" w:rsidRPr="0024494C">
        <w:rPr>
          <w:rFonts w:ascii="Bookman Old Style" w:hAnsi="Bookman Old Style" w:cs="Arial"/>
          <w:bCs/>
        </w:rPr>
        <w:t>2</w:t>
      </w:r>
      <w:r w:rsidR="00D9300F" w:rsidRPr="0024494C">
        <w:rPr>
          <w:rFonts w:ascii="Bookman Old Style" w:hAnsi="Bookman Old Style" w:cs="Arial"/>
          <w:bCs/>
        </w:rPr>
        <w:t xml:space="preserve"> reportada en el SUI</w:t>
      </w:r>
      <w:r w:rsidR="008D2B82" w:rsidRPr="0024494C">
        <w:rPr>
          <w:rFonts w:ascii="Bookman Old Style" w:hAnsi="Bookman Old Style" w:cs="Arial"/>
          <w:bCs/>
        </w:rPr>
        <w:t xml:space="preserve"> administrador por la S</w:t>
      </w:r>
      <w:r w:rsidR="00C87D8C" w:rsidRPr="0024494C">
        <w:rPr>
          <w:rFonts w:ascii="Bookman Old Style" w:hAnsi="Bookman Old Style" w:cs="Arial"/>
          <w:bCs/>
        </w:rPr>
        <w:t xml:space="preserve">uperintendencia de </w:t>
      </w:r>
      <w:r w:rsidR="008D2B82" w:rsidRPr="0024494C">
        <w:rPr>
          <w:rFonts w:ascii="Bookman Old Style" w:hAnsi="Bookman Old Style" w:cs="Arial"/>
          <w:bCs/>
        </w:rPr>
        <w:t>S</w:t>
      </w:r>
      <w:r w:rsidR="00C87D8C" w:rsidRPr="0024494C">
        <w:rPr>
          <w:rFonts w:ascii="Bookman Old Style" w:hAnsi="Bookman Old Style" w:cs="Arial"/>
          <w:bCs/>
        </w:rPr>
        <w:t>ervicios Públicos Domiciliarios</w:t>
      </w:r>
      <w:r w:rsidR="008D2B82" w:rsidRPr="0024494C">
        <w:rPr>
          <w:rFonts w:ascii="Bookman Old Style" w:hAnsi="Bookman Old Style" w:cs="Arial"/>
          <w:bCs/>
        </w:rPr>
        <w:t>.</w:t>
      </w:r>
    </w:p>
    <w:p w14:paraId="78341F41" w14:textId="02A00098" w:rsidR="00D54821" w:rsidRPr="0024494C" w:rsidRDefault="00D54821" w:rsidP="000E5253">
      <w:pPr>
        <w:ind w:left="0"/>
        <w:rPr>
          <w:rFonts w:ascii="Bookman Old Style" w:hAnsi="Bookman Old Style" w:cs="Arial"/>
          <w:bCs/>
        </w:rPr>
      </w:pPr>
    </w:p>
    <w:p w14:paraId="416E505A" w14:textId="675ED605" w:rsidR="00F8089F" w:rsidRDefault="00D54821" w:rsidP="00F8089F">
      <w:pPr>
        <w:ind w:left="0"/>
        <w:jc w:val="both"/>
        <w:rPr>
          <w:rFonts w:ascii="Bookman Old Style" w:hAnsi="Bookman Old Style" w:cs="Arial"/>
        </w:rPr>
      </w:pPr>
      <w:r w:rsidRPr="0024494C">
        <w:rPr>
          <w:rFonts w:ascii="Bookman Old Style" w:hAnsi="Bookman Old Style" w:cs="Arial"/>
          <w:b/>
        </w:rPr>
        <w:t xml:space="preserve">ARTÍCULO 2. </w:t>
      </w:r>
      <w:r w:rsidR="008707CD" w:rsidRPr="0024494C">
        <w:rPr>
          <w:rFonts w:ascii="Bookman Old Style" w:hAnsi="Bookman Old Style" w:cs="Arial"/>
          <w:b/>
        </w:rPr>
        <w:t>APLICACIÓN</w:t>
      </w:r>
      <w:r w:rsidRPr="0024494C">
        <w:rPr>
          <w:rFonts w:ascii="Bookman Old Style" w:hAnsi="Bookman Old Style" w:cs="Arial"/>
          <w:b/>
        </w:rPr>
        <w:t xml:space="preserve"> DEL PARÁGRAFO 2° DEL ARTÍCULO 85 DE LA LEY 142 DE 1994. </w:t>
      </w:r>
      <w:r w:rsidR="00F8089F" w:rsidRPr="000F28B3">
        <w:rPr>
          <w:rFonts w:ascii="Bookman Old Style" w:hAnsi="Bookman Old Style" w:cs="Arial"/>
        </w:rPr>
        <w:t xml:space="preserve">Al aplicar la tarifa del </w:t>
      </w:r>
      <w:r w:rsidR="00F8089F" w:rsidRPr="004027D2">
        <w:rPr>
          <w:rFonts w:ascii="Bookman Old Style" w:hAnsi="Bookman Old Style" w:cs="Arial"/>
          <w:b/>
          <w:bCs/>
        </w:rPr>
        <w:t>1%</w:t>
      </w:r>
      <w:r w:rsidR="00F8089F" w:rsidRPr="000F28B3">
        <w:rPr>
          <w:rFonts w:ascii="Bookman Old Style" w:hAnsi="Bookman Old Style" w:cs="Arial"/>
        </w:rPr>
        <w:t xml:space="preserve"> a la suma de </w:t>
      </w:r>
      <w:r w:rsidR="00CD149D" w:rsidRPr="000F28B3">
        <w:rPr>
          <w:rFonts w:ascii="Bookman Old Style" w:hAnsi="Bookman Old Style" w:cs="Arial"/>
          <w:b/>
          <w:bCs/>
        </w:rPr>
        <w:t>$3.456.756.690.706</w:t>
      </w:r>
      <w:r w:rsidR="00F8089F" w:rsidRPr="000F28B3">
        <w:rPr>
          <w:rFonts w:ascii="Bookman Old Style" w:hAnsi="Bookman Old Style" w:cs="Arial"/>
        </w:rPr>
        <w:t xml:space="preserve">, </w:t>
      </w:r>
      <w:r w:rsidR="004F3616">
        <w:rPr>
          <w:rFonts w:ascii="Bookman Old Style" w:hAnsi="Bookman Old Style" w:cs="Arial"/>
        </w:rPr>
        <w:t xml:space="preserve">que corresponde al </w:t>
      </w:r>
      <w:r w:rsidR="00F8089F" w:rsidRPr="000F28B3">
        <w:rPr>
          <w:rFonts w:ascii="Bookman Old Style" w:hAnsi="Bookman Old Style" w:cs="Arial"/>
        </w:rPr>
        <w:t xml:space="preserve">valor neto de los gastos de funcionamiento de los regulados depurados, se recaudaría el valor de </w:t>
      </w:r>
      <w:r w:rsidR="00CD149D" w:rsidRPr="000F28B3">
        <w:rPr>
          <w:rFonts w:ascii="Bookman Old Style" w:hAnsi="Bookman Old Style" w:cs="Arial"/>
          <w:b/>
          <w:bCs/>
        </w:rPr>
        <w:t>$34.567.566.907</w:t>
      </w:r>
      <w:r w:rsidR="00F8089F" w:rsidRPr="000F28B3">
        <w:rPr>
          <w:rFonts w:ascii="Bookman Old Style" w:hAnsi="Bookman Old Style" w:cs="Arial"/>
        </w:rPr>
        <w:t xml:space="preserve">, monto que es inferior en </w:t>
      </w:r>
      <w:r w:rsidR="00CD149D" w:rsidRPr="000F28B3">
        <w:rPr>
          <w:rFonts w:ascii="Bookman Old Style" w:hAnsi="Bookman Old Style" w:cs="Arial"/>
          <w:b/>
          <w:bCs/>
        </w:rPr>
        <w:t>$3.182.799.148</w:t>
      </w:r>
      <w:r w:rsidR="00F8089F" w:rsidRPr="000F28B3">
        <w:rPr>
          <w:rFonts w:ascii="Bookman Old Style" w:hAnsi="Bookman Old Style" w:cs="Arial"/>
        </w:rPr>
        <w:t xml:space="preserve">, con respecto al valor del presupuesto a financiar a través de la contribución especial por valor de </w:t>
      </w:r>
      <w:r w:rsidR="00F8089F" w:rsidRPr="00D955AD">
        <w:rPr>
          <w:rFonts w:ascii="Bookman Old Style" w:hAnsi="Bookman Old Style" w:cs="Arial"/>
          <w:b/>
          <w:bCs/>
        </w:rPr>
        <w:t>$37.750.366.055</w:t>
      </w:r>
      <w:r w:rsidR="00F8089F" w:rsidRPr="000F28B3">
        <w:rPr>
          <w:rFonts w:ascii="Bookman Old Style" w:hAnsi="Bookman Old Style" w:cs="Arial"/>
        </w:rPr>
        <w:t xml:space="preserve">, constituyéndose así un faltante presupuestal, el cual es indispensable cubrir con </w:t>
      </w:r>
      <w:r w:rsidR="006F0B65" w:rsidRPr="000F28B3">
        <w:rPr>
          <w:rFonts w:ascii="Bookman Old Style" w:hAnsi="Bookman Old Style" w:cs="Arial"/>
        </w:rPr>
        <w:t>lo</w:t>
      </w:r>
      <w:r w:rsidR="00F8089F" w:rsidRPr="000F28B3">
        <w:rPr>
          <w:rFonts w:ascii="Bookman Old Style" w:hAnsi="Bookman Old Style" w:cs="Arial"/>
        </w:rPr>
        <w:t xml:space="preserve"> establecido en el parágrafo 2° del artículo 85 de la Ley 142 de 1994</w:t>
      </w:r>
      <w:r w:rsidR="001B1B8B" w:rsidRPr="000F28B3">
        <w:rPr>
          <w:rFonts w:ascii="Bookman Old Style" w:hAnsi="Bookman Old Style" w:cs="Arial"/>
        </w:rPr>
        <w:t>.</w:t>
      </w:r>
    </w:p>
    <w:p w14:paraId="6D65B0BE" w14:textId="77777777" w:rsidR="0073060A" w:rsidRPr="000F28B3" w:rsidRDefault="0073060A" w:rsidP="00F8089F">
      <w:pPr>
        <w:ind w:left="0"/>
        <w:jc w:val="both"/>
        <w:rPr>
          <w:rFonts w:ascii="Bookman Old Style" w:hAnsi="Bookman Old Style" w:cs="Arial"/>
          <w:b/>
        </w:rPr>
      </w:pPr>
    </w:p>
    <w:p w14:paraId="2F790285" w14:textId="4B26161B" w:rsidR="00D54821" w:rsidRDefault="00F8089F" w:rsidP="00F8089F">
      <w:pPr>
        <w:ind w:left="0"/>
        <w:jc w:val="both"/>
        <w:rPr>
          <w:rFonts w:ascii="Bookman Old Style" w:hAnsi="Bookman Old Style" w:cs="Arial"/>
        </w:rPr>
      </w:pPr>
      <w:r w:rsidRPr="000F28B3">
        <w:rPr>
          <w:rFonts w:ascii="Bookman Old Style" w:hAnsi="Bookman Old Style" w:cs="Arial"/>
        </w:rPr>
        <w:t xml:space="preserve">Por tanto, para cubrir el faltante presupuestal, se tomarán del total de gastos operativos de las empresas reguladas por </w:t>
      </w:r>
      <w:r w:rsidR="00CD149D" w:rsidRPr="00860A43">
        <w:rPr>
          <w:rFonts w:ascii="Bookman Old Style" w:hAnsi="Bookman Old Style" w:cs="Arial"/>
          <w:b/>
          <w:bCs/>
        </w:rPr>
        <w:t>$39.653.191.539.633</w:t>
      </w:r>
      <w:r w:rsidR="00CD149D" w:rsidRPr="000F28B3">
        <w:rPr>
          <w:rFonts w:ascii="Bookman Old Style" w:hAnsi="Bookman Old Style" w:cs="Arial"/>
        </w:rPr>
        <w:t xml:space="preserve"> </w:t>
      </w:r>
      <w:r w:rsidRPr="000F28B3">
        <w:rPr>
          <w:rFonts w:ascii="Bookman Old Style" w:hAnsi="Bookman Old Style" w:cs="Arial"/>
        </w:rPr>
        <w:t xml:space="preserve">una porción de </w:t>
      </w:r>
      <w:r w:rsidR="00CD149D" w:rsidRPr="00860A43">
        <w:rPr>
          <w:rFonts w:ascii="Bookman Old Style" w:hAnsi="Bookman Old Style" w:cs="Arial"/>
          <w:b/>
          <w:bCs/>
        </w:rPr>
        <w:t>$318.279.914.794</w:t>
      </w:r>
      <w:r w:rsidRPr="000F28B3">
        <w:rPr>
          <w:rFonts w:ascii="Bookman Old Style" w:hAnsi="Bookman Old Style" w:cs="Arial"/>
        </w:rPr>
        <w:t xml:space="preserve">, </w:t>
      </w:r>
      <w:r w:rsidR="00B23779">
        <w:rPr>
          <w:rFonts w:ascii="Bookman Old Style" w:hAnsi="Bookman Old Style" w:cs="Arial"/>
        </w:rPr>
        <w:t xml:space="preserve">representado porcentualmente en </w:t>
      </w:r>
      <w:r w:rsidR="00596C8E">
        <w:rPr>
          <w:rFonts w:ascii="Bookman Old Style" w:hAnsi="Bookman Old Style" w:cs="Arial"/>
        </w:rPr>
        <w:t xml:space="preserve">el </w:t>
      </w:r>
      <w:r w:rsidR="00596C8E" w:rsidRPr="00596C8E">
        <w:rPr>
          <w:rFonts w:ascii="Bookman Old Style" w:hAnsi="Bookman Old Style" w:cs="Arial"/>
        </w:rPr>
        <w:t>0,0080266%</w:t>
      </w:r>
      <w:r w:rsidR="00596C8E">
        <w:rPr>
          <w:rFonts w:ascii="Bookman Old Style" w:hAnsi="Bookman Old Style" w:cs="Arial"/>
        </w:rPr>
        <w:t xml:space="preserve">, </w:t>
      </w:r>
      <w:r w:rsidRPr="000F28B3">
        <w:rPr>
          <w:rFonts w:ascii="Bookman Old Style" w:hAnsi="Bookman Old Style" w:cs="Arial"/>
        </w:rPr>
        <w:t xml:space="preserve">que multiplicados por el </w:t>
      </w:r>
      <w:r w:rsidRPr="004027D2">
        <w:rPr>
          <w:rFonts w:ascii="Bookman Old Style" w:hAnsi="Bookman Old Style" w:cs="Arial"/>
          <w:b/>
          <w:bCs/>
        </w:rPr>
        <w:t>1%</w:t>
      </w:r>
      <w:r w:rsidRPr="000F28B3">
        <w:rPr>
          <w:rFonts w:ascii="Bookman Old Style" w:hAnsi="Bookman Old Style" w:cs="Arial"/>
        </w:rPr>
        <w:t>, son los</w:t>
      </w:r>
      <w:r w:rsidR="00390A8F">
        <w:rPr>
          <w:rFonts w:ascii="Bookman Old Style" w:hAnsi="Bookman Old Style" w:cs="Arial"/>
        </w:rPr>
        <w:t xml:space="preserve"> </w:t>
      </w:r>
      <w:r w:rsidR="00723029">
        <w:rPr>
          <w:rFonts w:ascii="Bookman Old Style" w:hAnsi="Bookman Old Style" w:cs="Arial"/>
        </w:rPr>
        <w:t xml:space="preserve">recursos </w:t>
      </w:r>
      <w:r w:rsidR="00390A8F">
        <w:rPr>
          <w:rFonts w:ascii="Bookman Old Style" w:hAnsi="Bookman Old Style" w:cs="Arial"/>
        </w:rPr>
        <w:t>necesarios</w:t>
      </w:r>
      <w:r w:rsidRPr="000F28B3">
        <w:rPr>
          <w:rFonts w:ascii="Bookman Old Style" w:hAnsi="Bookman Old Style" w:cs="Arial"/>
        </w:rPr>
        <w:t xml:space="preserve"> para cubrir el faltante presupuestal 2023 por </w:t>
      </w:r>
      <w:r w:rsidR="00CD149D" w:rsidRPr="00860A43">
        <w:rPr>
          <w:rFonts w:ascii="Bookman Old Style" w:hAnsi="Bookman Old Style" w:cs="Arial"/>
          <w:b/>
          <w:bCs/>
        </w:rPr>
        <w:t>$3.182.799.148</w:t>
      </w:r>
      <w:r w:rsidR="00CD149D" w:rsidRPr="000F28B3">
        <w:rPr>
          <w:rFonts w:ascii="Bookman Old Style" w:hAnsi="Bookman Old Style" w:cs="Arial"/>
        </w:rPr>
        <w:t xml:space="preserve"> </w:t>
      </w:r>
      <w:r w:rsidR="00E64F0F">
        <w:rPr>
          <w:rFonts w:ascii="Bookman Old Style" w:hAnsi="Bookman Old Style" w:cs="Arial"/>
        </w:rPr>
        <w:t>para ser</w:t>
      </w:r>
      <w:r w:rsidRPr="000F28B3">
        <w:rPr>
          <w:rFonts w:ascii="Bookman Old Style" w:hAnsi="Bookman Old Style" w:cs="Arial"/>
        </w:rPr>
        <w:t xml:space="preserve"> incluidos en la base gravable de la contribución especial de la vigencia 2023, </w:t>
      </w:r>
      <w:r w:rsidR="00E64F0F">
        <w:rPr>
          <w:rFonts w:ascii="Bookman Old Style" w:hAnsi="Bookman Old Style" w:cs="Arial"/>
        </w:rPr>
        <w:t xml:space="preserve">la cual se </w:t>
      </w:r>
      <w:r w:rsidRPr="000F28B3">
        <w:rPr>
          <w:rFonts w:ascii="Bookman Old Style" w:hAnsi="Bookman Old Style" w:cs="Arial"/>
        </w:rPr>
        <w:t>detal</w:t>
      </w:r>
      <w:r w:rsidR="00EC5515">
        <w:rPr>
          <w:rFonts w:ascii="Bookman Old Style" w:hAnsi="Bookman Old Style" w:cs="Arial"/>
        </w:rPr>
        <w:t>la</w:t>
      </w:r>
      <w:r w:rsidRPr="000F28B3">
        <w:rPr>
          <w:rFonts w:ascii="Bookman Old Style" w:hAnsi="Bookman Old Style" w:cs="Arial"/>
        </w:rPr>
        <w:t xml:space="preserve"> a continuación:</w:t>
      </w:r>
    </w:p>
    <w:p w14:paraId="49A64529" w14:textId="77777777" w:rsidR="00CB3668" w:rsidRDefault="00CB3668" w:rsidP="00F8089F">
      <w:pPr>
        <w:ind w:left="0"/>
        <w:jc w:val="both"/>
        <w:rPr>
          <w:rFonts w:ascii="Bookman Old Style" w:hAnsi="Bookman Old Style" w:cs="Arial"/>
        </w:rPr>
      </w:pPr>
    </w:p>
    <w:tbl>
      <w:tblPr>
        <w:tblW w:w="9346" w:type="dxa"/>
        <w:tblCellMar>
          <w:left w:w="70" w:type="dxa"/>
          <w:right w:w="70" w:type="dxa"/>
        </w:tblCellMar>
        <w:tblLook w:val="04A0" w:firstRow="1" w:lastRow="0" w:firstColumn="1" w:lastColumn="0" w:noHBand="0" w:noVBand="1"/>
      </w:tblPr>
      <w:tblGrid>
        <w:gridCol w:w="2319"/>
        <w:gridCol w:w="2354"/>
        <w:gridCol w:w="2093"/>
        <w:gridCol w:w="2580"/>
      </w:tblGrid>
      <w:tr w:rsidR="00CB3668" w:rsidRPr="00924175" w14:paraId="28AF1D65" w14:textId="77777777" w:rsidTr="00D92971">
        <w:trPr>
          <w:trHeight w:val="333"/>
        </w:trPr>
        <w:tc>
          <w:tcPr>
            <w:tcW w:w="67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49665" w14:textId="77777777" w:rsidR="00CB3668" w:rsidRPr="00924175" w:rsidRDefault="00CB3668" w:rsidP="00BF6408">
            <w:pPr>
              <w:ind w:left="0"/>
              <w:rPr>
                <w:rFonts w:ascii="Bookman Old Style" w:hAnsi="Bookman Old Style" w:cs="Arial"/>
                <w:b/>
                <w:bCs/>
                <w:color w:val="000000"/>
                <w:sz w:val="16"/>
                <w:szCs w:val="16"/>
                <w:lang w:eastAsia="es-CO"/>
              </w:rPr>
            </w:pPr>
            <w:r w:rsidRPr="00924175">
              <w:rPr>
                <w:rFonts w:ascii="Bookman Old Style" w:hAnsi="Bookman Old Style" w:cs="Arial"/>
                <w:b/>
                <w:bCs/>
                <w:color w:val="000000"/>
                <w:sz w:val="16"/>
                <w:szCs w:val="16"/>
                <w:lang w:val="es-MX" w:eastAsia="es-CO"/>
              </w:rPr>
              <w:t>CONCEPTOS REPORTADOS AL SUI INFORMACIÓN FINANCIERA 2022</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14:paraId="18CA6C72" w14:textId="77777777" w:rsidR="00CB3668" w:rsidRPr="00924175" w:rsidRDefault="00CB3668" w:rsidP="00BF6408">
            <w:pPr>
              <w:ind w:left="0"/>
              <w:rPr>
                <w:rFonts w:ascii="Bookman Old Style" w:hAnsi="Bookman Old Style" w:cs="Arial"/>
                <w:b/>
                <w:bCs/>
                <w:color w:val="000000"/>
                <w:sz w:val="16"/>
                <w:szCs w:val="16"/>
                <w:lang w:eastAsia="es-CO"/>
              </w:rPr>
            </w:pPr>
            <w:r w:rsidRPr="00924175">
              <w:rPr>
                <w:rFonts w:ascii="Bookman Old Style" w:hAnsi="Bookman Old Style" w:cs="Arial"/>
                <w:b/>
                <w:bCs/>
                <w:color w:val="000000"/>
                <w:sz w:val="16"/>
                <w:szCs w:val="16"/>
                <w:lang w:val="es-MX" w:eastAsia="es-CO"/>
              </w:rPr>
              <w:t>VALOR</w:t>
            </w:r>
          </w:p>
        </w:tc>
      </w:tr>
      <w:tr w:rsidR="00CB3668" w:rsidRPr="00924175" w14:paraId="4BD0E65C" w14:textId="77777777" w:rsidTr="00D92971">
        <w:trPr>
          <w:trHeight w:val="280"/>
        </w:trPr>
        <w:tc>
          <w:tcPr>
            <w:tcW w:w="67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76635" w14:textId="77777777" w:rsidR="00CB3668" w:rsidRPr="00924175" w:rsidRDefault="00CB3668" w:rsidP="00BF6408">
            <w:pPr>
              <w:ind w:left="0"/>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val="es-MX" w:eastAsia="es-CO"/>
              </w:rPr>
              <w:t>SUBTOTAL GASTOS ADMINISTRATIVOS (FUNCIONAMIENTO)</w:t>
            </w:r>
          </w:p>
        </w:tc>
        <w:tc>
          <w:tcPr>
            <w:tcW w:w="2580" w:type="dxa"/>
            <w:tcBorders>
              <w:top w:val="nil"/>
              <w:left w:val="nil"/>
              <w:bottom w:val="single" w:sz="4" w:space="0" w:color="auto"/>
              <w:right w:val="single" w:sz="4" w:space="0" w:color="auto"/>
            </w:tcBorders>
            <w:shd w:val="clear" w:color="auto" w:fill="auto"/>
            <w:noWrap/>
            <w:vAlign w:val="center"/>
            <w:hideMark/>
          </w:tcPr>
          <w:p w14:paraId="73E8FA22" w14:textId="77777777" w:rsidR="00CB3668" w:rsidRPr="00924175" w:rsidRDefault="00CB3668" w:rsidP="00BF6408">
            <w:pPr>
              <w:ind w:left="0"/>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val="es-MX" w:eastAsia="es-CO"/>
              </w:rPr>
              <w:t>$ 3.456.756.690.706</w:t>
            </w:r>
          </w:p>
        </w:tc>
      </w:tr>
      <w:tr w:rsidR="00CB3668" w:rsidRPr="00924175" w14:paraId="391F9EE9" w14:textId="77777777" w:rsidTr="00D92971">
        <w:trPr>
          <w:trHeight w:val="270"/>
        </w:trPr>
        <w:tc>
          <w:tcPr>
            <w:tcW w:w="67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22294" w14:textId="77777777" w:rsidR="00CB3668" w:rsidRPr="00924175" w:rsidRDefault="00CB3668" w:rsidP="00BF6408">
            <w:pPr>
              <w:ind w:left="0"/>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val="es-MX" w:eastAsia="es-CO"/>
              </w:rPr>
              <w:t>SUBTOTAL GASTOS OPERATIVOS</w:t>
            </w:r>
          </w:p>
        </w:tc>
        <w:tc>
          <w:tcPr>
            <w:tcW w:w="2580" w:type="dxa"/>
            <w:tcBorders>
              <w:top w:val="nil"/>
              <w:left w:val="nil"/>
              <w:bottom w:val="single" w:sz="4" w:space="0" w:color="auto"/>
              <w:right w:val="single" w:sz="4" w:space="0" w:color="auto"/>
            </w:tcBorders>
            <w:shd w:val="clear" w:color="auto" w:fill="auto"/>
            <w:noWrap/>
            <w:vAlign w:val="center"/>
            <w:hideMark/>
          </w:tcPr>
          <w:p w14:paraId="4095425C" w14:textId="77777777" w:rsidR="00CB3668" w:rsidRPr="00924175" w:rsidRDefault="00CB3668" w:rsidP="00BF6408">
            <w:pPr>
              <w:ind w:left="0"/>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val="es-MX" w:eastAsia="es-CO"/>
              </w:rPr>
              <w:t>$ 39.653.191.539.633</w:t>
            </w:r>
          </w:p>
        </w:tc>
      </w:tr>
      <w:tr w:rsidR="00CB3668" w:rsidRPr="00924175" w14:paraId="316F8A5F" w14:textId="77777777" w:rsidTr="00D92971">
        <w:trPr>
          <w:trHeight w:val="274"/>
        </w:trPr>
        <w:tc>
          <w:tcPr>
            <w:tcW w:w="67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0222C" w14:textId="77777777" w:rsidR="00CB3668" w:rsidRPr="00924175" w:rsidRDefault="00CB3668" w:rsidP="00BF6408">
            <w:pPr>
              <w:ind w:left="0"/>
              <w:rPr>
                <w:rFonts w:ascii="Bookman Old Style" w:hAnsi="Bookman Old Style" w:cs="Arial"/>
                <w:b/>
                <w:bCs/>
                <w:color w:val="000000"/>
                <w:sz w:val="16"/>
                <w:szCs w:val="16"/>
                <w:lang w:eastAsia="es-CO"/>
              </w:rPr>
            </w:pPr>
            <w:proofErr w:type="gramStart"/>
            <w:r w:rsidRPr="00924175">
              <w:rPr>
                <w:rFonts w:ascii="Bookman Old Style" w:hAnsi="Bookman Old Style" w:cs="Arial"/>
                <w:b/>
                <w:bCs/>
                <w:color w:val="000000"/>
                <w:sz w:val="16"/>
                <w:szCs w:val="16"/>
                <w:lang w:val="es-MX" w:eastAsia="es-CO"/>
              </w:rPr>
              <w:t>TOTAL</w:t>
            </w:r>
            <w:proofErr w:type="gramEnd"/>
            <w:r w:rsidRPr="00924175">
              <w:rPr>
                <w:rFonts w:ascii="Bookman Old Style" w:hAnsi="Bookman Old Style" w:cs="Arial"/>
                <w:b/>
                <w:bCs/>
                <w:color w:val="000000"/>
                <w:sz w:val="16"/>
                <w:szCs w:val="16"/>
                <w:lang w:val="es-MX" w:eastAsia="es-CO"/>
              </w:rPr>
              <w:t xml:space="preserve"> BASE GRAVABLE CON REPORTE</w:t>
            </w:r>
          </w:p>
        </w:tc>
        <w:tc>
          <w:tcPr>
            <w:tcW w:w="2580" w:type="dxa"/>
            <w:tcBorders>
              <w:top w:val="nil"/>
              <w:left w:val="nil"/>
              <w:bottom w:val="single" w:sz="4" w:space="0" w:color="auto"/>
              <w:right w:val="single" w:sz="4" w:space="0" w:color="auto"/>
            </w:tcBorders>
            <w:shd w:val="clear" w:color="auto" w:fill="auto"/>
            <w:noWrap/>
            <w:vAlign w:val="center"/>
            <w:hideMark/>
          </w:tcPr>
          <w:p w14:paraId="24CB9713" w14:textId="77777777" w:rsidR="00CB3668" w:rsidRPr="00924175" w:rsidRDefault="00CB3668" w:rsidP="00BF6408">
            <w:pPr>
              <w:ind w:left="0"/>
              <w:jc w:val="right"/>
              <w:rPr>
                <w:rFonts w:ascii="Bookman Old Style" w:hAnsi="Bookman Old Style" w:cs="Arial"/>
                <w:b/>
                <w:bCs/>
                <w:color w:val="000000"/>
                <w:sz w:val="16"/>
                <w:szCs w:val="16"/>
                <w:lang w:eastAsia="es-CO"/>
              </w:rPr>
            </w:pPr>
            <w:r w:rsidRPr="00924175">
              <w:rPr>
                <w:rFonts w:ascii="Bookman Old Style" w:hAnsi="Bookman Old Style" w:cs="Arial"/>
                <w:b/>
                <w:bCs/>
                <w:color w:val="000000"/>
                <w:sz w:val="16"/>
                <w:szCs w:val="16"/>
                <w:lang w:val="es-MX" w:eastAsia="es-CO"/>
              </w:rPr>
              <w:t>$ 43.109.948.230.339</w:t>
            </w:r>
          </w:p>
        </w:tc>
      </w:tr>
      <w:tr w:rsidR="006D7E33" w:rsidRPr="00924175" w14:paraId="68E3F31C" w14:textId="77777777" w:rsidTr="006D7E33">
        <w:trPr>
          <w:trHeight w:val="101"/>
        </w:trPr>
        <w:tc>
          <w:tcPr>
            <w:tcW w:w="2319" w:type="dxa"/>
            <w:tcBorders>
              <w:top w:val="nil"/>
              <w:left w:val="single" w:sz="4" w:space="0" w:color="auto"/>
              <w:bottom w:val="nil"/>
              <w:right w:val="nil"/>
            </w:tcBorders>
            <w:shd w:val="clear" w:color="auto" w:fill="auto"/>
            <w:noWrap/>
            <w:vAlign w:val="center"/>
            <w:hideMark/>
          </w:tcPr>
          <w:p w14:paraId="1F1C2984" w14:textId="77777777" w:rsidR="00CB3668" w:rsidRPr="00924175" w:rsidRDefault="00CB3668" w:rsidP="00BF6408">
            <w:pPr>
              <w:jc w:val="right"/>
              <w:rPr>
                <w:rFonts w:ascii="Bookman Old Style" w:hAnsi="Bookman Old Style" w:cs="Arial"/>
                <w:b/>
                <w:bCs/>
                <w:color w:val="000000"/>
                <w:sz w:val="16"/>
                <w:szCs w:val="16"/>
                <w:lang w:eastAsia="es-CO"/>
              </w:rPr>
            </w:pPr>
          </w:p>
        </w:tc>
        <w:tc>
          <w:tcPr>
            <w:tcW w:w="2354" w:type="dxa"/>
            <w:tcBorders>
              <w:top w:val="nil"/>
              <w:left w:val="nil"/>
              <w:bottom w:val="nil"/>
              <w:right w:val="nil"/>
            </w:tcBorders>
            <w:shd w:val="clear" w:color="auto" w:fill="auto"/>
            <w:noWrap/>
            <w:vAlign w:val="center"/>
            <w:hideMark/>
          </w:tcPr>
          <w:p w14:paraId="16717FFA" w14:textId="77777777" w:rsidR="00CB3668" w:rsidRPr="00924175" w:rsidRDefault="00CB3668" w:rsidP="00BF6408">
            <w:pPr>
              <w:jc w:val="center"/>
              <w:rPr>
                <w:rFonts w:ascii="Bookman Old Style" w:hAnsi="Bookman Old Style"/>
                <w:sz w:val="16"/>
                <w:szCs w:val="16"/>
                <w:lang w:eastAsia="es-CO"/>
              </w:rPr>
            </w:pPr>
          </w:p>
        </w:tc>
        <w:tc>
          <w:tcPr>
            <w:tcW w:w="2093" w:type="dxa"/>
            <w:tcBorders>
              <w:top w:val="nil"/>
              <w:left w:val="nil"/>
              <w:bottom w:val="nil"/>
              <w:right w:val="nil"/>
            </w:tcBorders>
            <w:shd w:val="clear" w:color="auto" w:fill="auto"/>
            <w:noWrap/>
            <w:vAlign w:val="center"/>
            <w:hideMark/>
          </w:tcPr>
          <w:p w14:paraId="1B475730" w14:textId="77777777" w:rsidR="00CB3668" w:rsidRPr="00924175" w:rsidRDefault="00CB3668" w:rsidP="00BF6408">
            <w:pPr>
              <w:jc w:val="center"/>
              <w:rPr>
                <w:rFonts w:ascii="Bookman Old Style" w:hAnsi="Bookman Old Style"/>
                <w:sz w:val="16"/>
                <w:szCs w:val="16"/>
                <w:lang w:eastAsia="es-CO"/>
              </w:rPr>
            </w:pPr>
          </w:p>
        </w:tc>
        <w:tc>
          <w:tcPr>
            <w:tcW w:w="2580" w:type="dxa"/>
            <w:tcBorders>
              <w:top w:val="nil"/>
              <w:left w:val="nil"/>
              <w:bottom w:val="nil"/>
              <w:right w:val="single" w:sz="4" w:space="0" w:color="auto"/>
            </w:tcBorders>
            <w:shd w:val="clear" w:color="auto" w:fill="auto"/>
            <w:noWrap/>
            <w:vAlign w:val="center"/>
            <w:hideMark/>
          </w:tcPr>
          <w:p w14:paraId="1AE89D36" w14:textId="77777777" w:rsidR="00CB3668" w:rsidRPr="00924175" w:rsidRDefault="00CB3668" w:rsidP="00BF6408">
            <w:pPr>
              <w:jc w:val="center"/>
              <w:rPr>
                <w:rFonts w:ascii="Bookman Old Style" w:hAnsi="Bookman Old Style"/>
                <w:sz w:val="16"/>
                <w:szCs w:val="16"/>
                <w:lang w:eastAsia="es-CO"/>
              </w:rPr>
            </w:pPr>
          </w:p>
        </w:tc>
      </w:tr>
      <w:tr w:rsidR="00CB3668" w:rsidRPr="00924175" w14:paraId="1DBEE23C" w14:textId="77777777" w:rsidTr="00D92971">
        <w:trPr>
          <w:trHeight w:val="450"/>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278DA" w14:textId="77777777" w:rsidR="00CB3668" w:rsidRPr="00924175" w:rsidRDefault="00CB3668" w:rsidP="00BF6408">
            <w:pPr>
              <w:ind w:left="0"/>
              <w:jc w:val="center"/>
              <w:rPr>
                <w:rFonts w:ascii="Bookman Old Style" w:hAnsi="Bookman Old Style" w:cs="Arial"/>
                <w:b/>
                <w:bCs/>
                <w:color w:val="000000"/>
                <w:sz w:val="16"/>
                <w:szCs w:val="16"/>
                <w:lang w:eastAsia="es-CO"/>
              </w:rPr>
            </w:pPr>
            <w:r w:rsidRPr="00924175">
              <w:rPr>
                <w:rFonts w:ascii="Bookman Old Style" w:hAnsi="Bookman Old Style" w:cs="Arial"/>
                <w:b/>
                <w:bCs/>
                <w:color w:val="000000"/>
                <w:sz w:val="16"/>
                <w:szCs w:val="16"/>
                <w:lang w:val="es-MX" w:eastAsia="es-CO"/>
              </w:rPr>
              <w:t>CONCEPTOS</w:t>
            </w:r>
          </w:p>
        </w:tc>
        <w:tc>
          <w:tcPr>
            <w:tcW w:w="2354" w:type="dxa"/>
            <w:tcBorders>
              <w:top w:val="single" w:sz="4" w:space="0" w:color="auto"/>
              <w:left w:val="nil"/>
              <w:bottom w:val="single" w:sz="4" w:space="0" w:color="auto"/>
              <w:right w:val="single" w:sz="4" w:space="0" w:color="auto"/>
            </w:tcBorders>
            <w:shd w:val="clear" w:color="auto" w:fill="auto"/>
            <w:vAlign w:val="center"/>
            <w:hideMark/>
          </w:tcPr>
          <w:p w14:paraId="70130A73" w14:textId="77777777" w:rsidR="00CB3668" w:rsidRPr="00924175" w:rsidRDefault="00CB3668" w:rsidP="00BF6408">
            <w:pPr>
              <w:ind w:left="0"/>
              <w:jc w:val="center"/>
              <w:rPr>
                <w:rFonts w:ascii="Bookman Old Style" w:hAnsi="Bookman Old Style" w:cs="Arial"/>
                <w:b/>
                <w:bCs/>
                <w:color w:val="000000"/>
                <w:sz w:val="16"/>
                <w:szCs w:val="16"/>
                <w:lang w:eastAsia="es-CO"/>
              </w:rPr>
            </w:pPr>
            <w:r w:rsidRPr="00924175">
              <w:rPr>
                <w:rFonts w:ascii="Bookman Old Style" w:hAnsi="Bookman Old Style" w:cs="Arial"/>
                <w:b/>
                <w:bCs/>
                <w:color w:val="000000"/>
                <w:sz w:val="16"/>
                <w:szCs w:val="16"/>
                <w:lang w:val="es-MX" w:eastAsia="es-CO"/>
              </w:rPr>
              <w:t>BASE GASTOS DE ADMINISTRACIÓN</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14:paraId="2584D404" w14:textId="77777777" w:rsidR="00CB3668" w:rsidRPr="00924175" w:rsidRDefault="00CB3668" w:rsidP="00BF6408">
            <w:pPr>
              <w:ind w:left="0"/>
              <w:jc w:val="center"/>
              <w:rPr>
                <w:rFonts w:ascii="Bookman Old Style" w:hAnsi="Bookman Old Style" w:cs="Arial"/>
                <w:b/>
                <w:bCs/>
                <w:color w:val="000000"/>
                <w:sz w:val="16"/>
                <w:szCs w:val="16"/>
                <w:lang w:eastAsia="es-CO"/>
              </w:rPr>
            </w:pPr>
            <w:r w:rsidRPr="00924175">
              <w:rPr>
                <w:rFonts w:ascii="Bookman Old Style" w:hAnsi="Bookman Old Style" w:cs="Arial"/>
                <w:b/>
                <w:bCs/>
                <w:color w:val="000000"/>
                <w:sz w:val="16"/>
                <w:szCs w:val="16"/>
                <w:lang w:eastAsia="es-CO"/>
              </w:rPr>
              <w:t>BASE GASTOS DE OPERACIÓN</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73C66934" w14:textId="77777777" w:rsidR="00CB3668" w:rsidRPr="00924175" w:rsidRDefault="00CB3668" w:rsidP="00BF6408">
            <w:pPr>
              <w:ind w:left="0"/>
              <w:jc w:val="center"/>
              <w:rPr>
                <w:rFonts w:ascii="Bookman Old Style" w:hAnsi="Bookman Old Style" w:cs="Arial"/>
                <w:b/>
                <w:bCs/>
                <w:color w:val="000000"/>
                <w:sz w:val="16"/>
                <w:szCs w:val="16"/>
                <w:lang w:eastAsia="es-CO"/>
              </w:rPr>
            </w:pPr>
            <w:r w:rsidRPr="00924175">
              <w:rPr>
                <w:rFonts w:ascii="Bookman Old Style" w:hAnsi="Bookman Old Style" w:cs="Arial"/>
                <w:b/>
                <w:bCs/>
                <w:color w:val="000000"/>
                <w:sz w:val="16"/>
                <w:szCs w:val="16"/>
                <w:lang w:eastAsia="es-CO"/>
              </w:rPr>
              <w:t>TOTALES</w:t>
            </w:r>
          </w:p>
        </w:tc>
      </w:tr>
      <w:tr w:rsidR="00CB3668" w:rsidRPr="00924175" w14:paraId="231D3046" w14:textId="77777777" w:rsidTr="00D92971">
        <w:trPr>
          <w:trHeight w:val="273"/>
        </w:trPr>
        <w:tc>
          <w:tcPr>
            <w:tcW w:w="2319" w:type="dxa"/>
            <w:tcBorders>
              <w:top w:val="nil"/>
              <w:left w:val="single" w:sz="4" w:space="0" w:color="auto"/>
              <w:bottom w:val="single" w:sz="4" w:space="0" w:color="auto"/>
              <w:right w:val="single" w:sz="4" w:space="0" w:color="auto"/>
            </w:tcBorders>
            <w:shd w:val="clear" w:color="auto" w:fill="auto"/>
            <w:noWrap/>
            <w:vAlign w:val="center"/>
            <w:hideMark/>
          </w:tcPr>
          <w:p w14:paraId="3EF9D277" w14:textId="77777777" w:rsidR="00CB3668" w:rsidRPr="00924175" w:rsidRDefault="00CB3668" w:rsidP="00BF6408">
            <w:pPr>
              <w:ind w:left="0"/>
              <w:rPr>
                <w:rFonts w:ascii="Bookman Old Style" w:hAnsi="Bookman Old Style" w:cs="Arial"/>
                <w:color w:val="000000"/>
                <w:sz w:val="16"/>
                <w:szCs w:val="16"/>
                <w:lang w:eastAsia="es-CO"/>
              </w:rPr>
            </w:pPr>
            <w:proofErr w:type="gramStart"/>
            <w:r w:rsidRPr="00924175">
              <w:rPr>
                <w:rFonts w:ascii="Bookman Old Style" w:hAnsi="Bookman Old Style" w:cs="Arial"/>
                <w:color w:val="000000"/>
                <w:sz w:val="16"/>
                <w:szCs w:val="16"/>
                <w:lang w:eastAsia="es-CO"/>
              </w:rPr>
              <w:t>TOTAL</w:t>
            </w:r>
            <w:proofErr w:type="gramEnd"/>
            <w:r w:rsidRPr="00924175">
              <w:rPr>
                <w:rFonts w:ascii="Bookman Old Style" w:hAnsi="Bookman Old Style" w:cs="Arial"/>
                <w:color w:val="000000"/>
                <w:sz w:val="16"/>
                <w:szCs w:val="16"/>
                <w:lang w:eastAsia="es-CO"/>
              </w:rPr>
              <w:t xml:space="preserve"> BASE GRAVABLE</w:t>
            </w:r>
          </w:p>
        </w:tc>
        <w:tc>
          <w:tcPr>
            <w:tcW w:w="2354" w:type="dxa"/>
            <w:tcBorders>
              <w:top w:val="nil"/>
              <w:left w:val="nil"/>
              <w:bottom w:val="single" w:sz="4" w:space="0" w:color="auto"/>
              <w:right w:val="single" w:sz="4" w:space="0" w:color="auto"/>
            </w:tcBorders>
            <w:shd w:val="clear" w:color="auto" w:fill="auto"/>
            <w:noWrap/>
            <w:vAlign w:val="center"/>
            <w:hideMark/>
          </w:tcPr>
          <w:p w14:paraId="110C01B0" w14:textId="77777777" w:rsidR="00CB3668" w:rsidRPr="00924175" w:rsidRDefault="00CB3668" w:rsidP="00BF6408">
            <w:pPr>
              <w:ind w:left="0"/>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$3.456.756.690.706</w:t>
            </w:r>
          </w:p>
        </w:tc>
        <w:tc>
          <w:tcPr>
            <w:tcW w:w="2093" w:type="dxa"/>
            <w:tcBorders>
              <w:top w:val="nil"/>
              <w:left w:val="nil"/>
              <w:bottom w:val="single" w:sz="4" w:space="0" w:color="auto"/>
              <w:right w:val="single" w:sz="4" w:space="0" w:color="auto"/>
            </w:tcBorders>
            <w:shd w:val="clear" w:color="auto" w:fill="auto"/>
            <w:noWrap/>
            <w:vAlign w:val="center"/>
            <w:hideMark/>
          </w:tcPr>
          <w:p w14:paraId="14A98A57" w14:textId="77777777" w:rsidR="00CB3668" w:rsidRPr="00924175" w:rsidRDefault="00CB3668" w:rsidP="00BF6408">
            <w:pPr>
              <w:ind w:left="0"/>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$ 318.279.914.794</w:t>
            </w:r>
          </w:p>
        </w:tc>
        <w:tc>
          <w:tcPr>
            <w:tcW w:w="2580" w:type="dxa"/>
            <w:tcBorders>
              <w:top w:val="nil"/>
              <w:left w:val="nil"/>
              <w:bottom w:val="single" w:sz="4" w:space="0" w:color="auto"/>
              <w:right w:val="single" w:sz="4" w:space="0" w:color="auto"/>
            </w:tcBorders>
            <w:shd w:val="clear" w:color="auto" w:fill="auto"/>
            <w:noWrap/>
            <w:vAlign w:val="center"/>
            <w:hideMark/>
          </w:tcPr>
          <w:p w14:paraId="472CF76F" w14:textId="77777777" w:rsidR="00CB3668" w:rsidRPr="00924175" w:rsidRDefault="00CB3668" w:rsidP="00BF6408">
            <w:pPr>
              <w:ind w:left="0"/>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$ 3.775.036.605.500</w:t>
            </w:r>
          </w:p>
        </w:tc>
      </w:tr>
      <w:tr w:rsidR="00CB3668" w:rsidRPr="00924175" w14:paraId="77B6D37E" w14:textId="77777777" w:rsidTr="0044714D">
        <w:trPr>
          <w:trHeight w:val="404"/>
        </w:trPr>
        <w:tc>
          <w:tcPr>
            <w:tcW w:w="2319" w:type="dxa"/>
            <w:tcBorders>
              <w:top w:val="nil"/>
              <w:left w:val="single" w:sz="4" w:space="0" w:color="auto"/>
              <w:bottom w:val="single" w:sz="4" w:space="0" w:color="auto"/>
              <w:right w:val="single" w:sz="4" w:space="0" w:color="auto"/>
            </w:tcBorders>
            <w:shd w:val="clear" w:color="auto" w:fill="auto"/>
            <w:noWrap/>
            <w:vAlign w:val="center"/>
            <w:hideMark/>
          </w:tcPr>
          <w:p w14:paraId="31D1A3D4" w14:textId="77777777" w:rsidR="00CB3668" w:rsidRPr="00924175" w:rsidRDefault="00CB3668" w:rsidP="00BF6408">
            <w:pPr>
              <w:ind w:left="0"/>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TARIFA 1%</w:t>
            </w:r>
          </w:p>
        </w:tc>
        <w:tc>
          <w:tcPr>
            <w:tcW w:w="2354" w:type="dxa"/>
            <w:tcBorders>
              <w:top w:val="nil"/>
              <w:left w:val="nil"/>
              <w:bottom w:val="single" w:sz="4" w:space="0" w:color="auto"/>
              <w:right w:val="single" w:sz="4" w:space="0" w:color="auto"/>
            </w:tcBorders>
            <w:shd w:val="clear" w:color="auto" w:fill="auto"/>
            <w:noWrap/>
            <w:vAlign w:val="center"/>
            <w:hideMark/>
          </w:tcPr>
          <w:p w14:paraId="5286D0E9" w14:textId="77777777" w:rsidR="00CB3668" w:rsidRPr="00924175" w:rsidRDefault="00CB3668" w:rsidP="00BF6408">
            <w:pPr>
              <w:ind w:left="0"/>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$ 34.567.566.907</w:t>
            </w:r>
          </w:p>
        </w:tc>
        <w:tc>
          <w:tcPr>
            <w:tcW w:w="2093" w:type="dxa"/>
            <w:tcBorders>
              <w:top w:val="nil"/>
              <w:left w:val="nil"/>
              <w:bottom w:val="single" w:sz="4" w:space="0" w:color="auto"/>
              <w:right w:val="single" w:sz="4" w:space="0" w:color="auto"/>
            </w:tcBorders>
            <w:shd w:val="clear" w:color="auto" w:fill="auto"/>
            <w:noWrap/>
            <w:vAlign w:val="center"/>
            <w:hideMark/>
          </w:tcPr>
          <w:p w14:paraId="19094CC5" w14:textId="77777777" w:rsidR="00CB3668" w:rsidRPr="00924175" w:rsidRDefault="00CB3668" w:rsidP="00BF6408">
            <w:pPr>
              <w:ind w:left="0"/>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$ 3.182.799.148</w:t>
            </w:r>
          </w:p>
        </w:tc>
        <w:tc>
          <w:tcPr>
            <w:tcW w:w="2580" w:type="dxa"/>
            <w:tcBorders>
              <w:top w:val="nil"/>
              <w:left w:val="nil"/>
              <w:bottom w:val="single" w:sz="4" w:space="0" w:color="auto"/>
              <w:right w:val="single" w:sz="4" w:space="0" w:color="auto"/>
            </w:tcBorders>
            <w:shd w:val="clear" w:color="auto" w:fill="auto"/>
            <w:noWrap/>
            <w:vAlign w:val="center"/>
            <w:hideMark/>
          </w:tcPr>
          <w:p w14:paraId="14D2D80B" w14:textId="77777777" w:rsidR="00CB3668" w:rsidRPr="00924175" w:rsidRDefault="00CB3668" w:rsidP="00BF6408">
            <w:pPr>
              <w:ind w:left="0"/>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$ 37.750.366.055</w:t>
            </w:r>
          </w:p>
        </w:tc>
      </w:tr>
      <w:tr w:rsidR="00CB3668" w:rsidRPr="00924175" w14:paraId="32C41CB4" w14:textId="77777777" w:rsidTr="0044714D">
        <w:trPr>
          <w:trHeight w:val="564"/>
        </w:trPr>
        <w:tc>
          <w:tcPr>
            <w:tcW w:w="2319" w:type="dxa"/>
            <w:tcBorders>
              <w:top w:val="nil"/>
              <w:left w:val="single" w:sz="4" w:space="0" w:color="auto"/>
              <w:bottom w:val="single" w:sz="4" w:space="0" w:color="auto"/>
              <w:right w:val="single" w:sz="4" w:space="0" w:color="auto"/>
            </w:tcBorders>
            <w:shd w:val="clear" w:color="auto" w:fill="auto"/>
            <w:vAlign w:val="center"/>
            <w:hideMark/>
          </w:tcPr>
          <w:p w14:paraId="3BDC7D23" w14:textId="77777777" w:rsidR="00CB3668" w:rsidRPr="00924175" w:rsidRDefault="00CB3668" w:rsidP="00BF6408">
            <w:pPr>
              <w:ind w:left="0"/>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PORCENTAJE DEL PRESUPUESTO POR BASE</w:t>
            </w:r>
          </w:p>
        </w:tc>
        <w:tc>
          <w:tcPr>
            <w:tcW w:w="2354" w:type="dxa"/>
            <w:tcBorders>
              <w:top w:val="nil"/>
              <w:left w:val="nil"/>
              <w:bottom w:val="single" w:sz="4" w:space="0" w:color="auto"/>
              <w:right w:val="single" w:sz="4" w:space="0" w:color="auto"/>
            </w:tcBorders>
            <w:shd w:val="clear" w:color="auto" w:fill="auto"/>
            <w:noWrap/>
            <w:vAlign w:val="center"/>
            <w:hideMark/>
          </w:tcPr>
          <w:p w14:paraId="14B98501" w14:textId="77777777" w:rsidR="00CB3668" w:rsidRPr="00924175" w:rsidRDefault="00CB3668" w:rsidP="00BF6408">
            <w:pPr>
              <w:ind w:left="0"/>
              <w:jc w:val="right"/>
              <w:rPr>
                <w:rFonts w:ascii="Bookman Old Style" w:hAnsi="Bookman Old Style" w:cs="Arial"/>
                <w:sz w:val="16"/>
                <w:szCs w:val="16"/>
                <w:lang w:eastAsia="es-CO"/>
              </w:rPr>
            </w:pPr>
            <w:r w:rsidRPr="00924175">
              <w:rPr>
                <w:rFonts w:ascii="Bookman Old Style" w:hAnsi="Bookman Old Style" w:cs="Arial"/>
                <w:sz w:val="16"/>
                <w:szCs w:val="16"/>
                <w:lang w:eastAsia="es-CO"/>
              </w:rPr>
              <w:t>91,56883%</w:t>
            </w:r>
          </w:p>
        </w:tc>
        <w:tc>
          <w:tcPr>
            <w:tcW w:w="2093" w:type="dxa"/>
            <w:tcBorders>
              <w:top w:val="nil"/>
              <w:left w:val="nil"/>
              <w:bottom w:val="single" w:sz="4" w:space="0" w:color="auto"/>
              <w:right w:val="single" w:sz="4" w:space="0" w:color="auto"/>
            </w:tcBorders>
            <w:shd w:val="clear" w:color="auto" w:fill="auto"/>
            <w:noWrap/>
            <w:vAlign w:val="center"/>
            <w:hideMark/>
          </w:tcPr>
          <w:p w14:paraId="2C30304F" w14:textId="77777777" w:rsidR="00CB3668" w:rsidRPr="00924175" w:rsidRDefault="00CB3668" w:rsidP="00BF6408">
            <w:pPr>
              <w:ind w:left="0"/>
              <w:jc w:val="right"/>
              <w:rPr>
                <w:rFonts w:ascii="Bookman Old Style" w:hAnsi="Bookman Old Style" w:cs="Arial"/>
                <w:sz w:val="16"/>
                <w:szCs w:val="16"/>
                <w:lang w:eastAsia="es-CO"/>
              </w:rPr>
            </w:pPr>
            <w:r w:rsidRPr="00924175">
              <w:rPr>
                <w:rFonts w:ascii="Bookman Old Style" w:hAnsi="Bookman Old Style" w:cs="Arial"/>
                <w:sz w:val="16"/>
                <w:szCs w:val="16"/>
                <w:lang w:eastAsia="es-CO"/>
              </w:rPr>
              <w:t>8,43117%</w:t>
            </w:r>
          </w:p>
        </w:tc>
        <w:tc>
          <w:tcPr>
            <w:tcW w:w="2580" w:type="dxa"/>
            <w:tcBorders>
              <w:top w:val="nil"/>
              <w:left w:val="nil"/>
              <w:bottom w:val="single" w:sz="4" w:space="0" w:color="auto"/>
              <w:right w:val="single" w:sz="4" w:space="0" w:color="auto"/>
            </w:tcBorders>
            <w:shd w:val="clear" w:color="auto" w:fill="auto"/>
            <w:noWrap/>
            <w:vAlign w:val="center"/>
            <w:hideMark/>
          </w:tcPr>
          <w:p w14:paraId="4FBA2256" w14:textId="77777777" w:rsidR="00CB3668" w:rsidRPr="00924175" w:rsidRDefault="00CB3668" w:rsidP="00BF6408">
            <w:pPr>
              <w:ind w:left="0"/>
              <w:jc w:val="right"/>
              <w:rPr>
                <w:rFonts w:ascii="Bookman Old Style" w:hAnsi="Bookman Old Style" w:cs="Arial"/>
                <w:sz w:val="16"/>
                <w:szCs w:val="16"/>
                <w:lang w:eastAsia="es-CO"/>
              </w:rPr>
            </w:pPr>
            <w:r w:rsidRPr="00924175">
              <w:rPr>
                <w:rFonts w:ascii="Bookman Old Style" w:hAnsi="Bookman Old Style" w:cs="Arial"/>
                <w:sz w:val="16"/>
                <w:szCs w:val="16"/>
                <w:lang w:eastAsia="es-CO"/>
              </w:rPr>
              <w:t>100,00000%</w:t>
            </w:r>
          </w:p>
        </w:tc>
      </w:tr>
      <w:tr w:rsidR="00CB3668" w:rsidRPr="00924175" w14:paraId="19145995" w14:textId="77777777" w:rsidTr="0044714D">
        <w:trPr>
          <w:trHeight w:val="544"/>
        </w:trPr>
        <w:tc>
          <w:tcPr>
            <w:tcW w:w="2319" w:type="dxa"/>
            <w:tcBorders>
              <w:top w:val="nil"/>
              <w:left w:val="single" w:sz="4" w:space="0" w:color="auto"/>
              <w:bottom w:val="single" w:sz="4" w:space="0" w:color="auto"/>
              <w:right w:val="single" w:sz="4" w:space="0" w:color="auto"/>
            </w:tcBorders>
            <w:shd w:val="clear" w:color="auto" w:fill="auto"/>
            <w:noWrap/>
            <w:vAlign w:val="center"/>
            <w:hideMark/>
          </w:tcPr>
          <w:p w14:paraId="288DE89A" w14:textId="77777777" w:rsidR="00CB3668" w:rsidRPr="00924175" w:rsidRDefault="00CB3668" w:rsidP="00BF6408">
            <w:pPr>
              <w:ind w:left="0"/>
              <w:rPr>
                <w:rFonts w:ascii="Bookman Old Style" w:hAnsi="Bookman Old Style" w:cs="Arial"/>
                <w:color w:val="000000"/>
                <w:sz w:val="16"/>
                <w:szCs w:val="16"/>
                <w:lang w:eastAsia="es-CO"/>
              </w:rPr>
            </w:pPr>
            <w:proofErr w:type="gramStart"/>
            <w:r w:rsidRPr="00924175">
              <w:rPr>
                <w:rFonts w:ascii="Bookman Old Style" w:hAnsi="Bookman Old Style" w:cs="Arial"/>
                <w:color w:val="000000"/>
                <w:sz w:val="16"/>
                <w:szCs w:val="16"/>
                <w:lang w:eastAsia="es-CO"/>
              </w:rPr>
              <w:t>TOTAL</w:t>
            </w:r>
            <w:proofErr w:type="gramEnd"/>
            <w:r w:rsidRPr="00924175">
              <w:rPr>
                <w:rFonts w:ascii="Bookman Old Style" w:hAnsi="Bookman Old Style" w:cs="Arial"/>
                <w:color w:val="000000"/>
                <w:sz w:val="16"/>
                <w:szCs w:val="16"/>
                <w:lang w:eastAsia="es-CO"/>
              </w:rPr>
              <w:t xml:space="preserve"> PRESUPUESTO 2023</w:t>
            </w:r>
          </w:p>
        </w:tc>
        <w:tc>
          <w:tcPr>
            <w:tcW w:w="2354" w:type="dxa"/>
            <w:tcBorders>
              <w:top w:val="nil"/>
              <w:left w:val="nil"/>
              <w:bottom w:val="single" w:sz="4" w:space="0" w:color="auto"/>
              <w:right w:val="single" w:sz="4" w:space="0" w:color="auto"/>
            </w:tcBorders>
            <w:shd w:val="clear" w:color="auto" w:fill="auto"/>
            <w:noWrap/>
            <w:vAlign w:val="center"/>
            <w:hideMark/>
          </w:tcPr>
          <w:p w14:paraId="67213329" w14:textId="77777777" w:rsidR="00CB3668" w:rsidRPr="00924175" w:rsidRDefault="00CB3668" w:rsidP="00BF6408">
            <w:pPr>
              <w:ind w:left="0"/>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$ 37.750.366.055</w:t>
            </w:r>
          </w:p>
        </w:tc>
        <w:tc>
          <w:tcPr>
            <w:tcW w:w="2093" w:type="dxa"/>
            <w:tcBorders>
              <w:top w:val="nil"/>
              <w:left w:val="nil"/>
              <w:bottom w:val="single" w:sz="4" w:space="0" w:color="auto"/>
              <w:right w:val="single" w:sz="4" w:space="0" w:color="auto"/>
            </w:tcBorders>
            <w:shd w:val="clear" w:color="auto" w:fill="auto"/>
            <w:noWrap/>
            <w:vAlign w:val="center"/>
            <w:hideMark/>
          </w:tcPr>
          <w:p w14:paraId="7FB49637" w14:textId="77777777" w:rsidR="00CB3668" w:rsidRPr="00924175" w:rsidRDefault="00CB3668" w:rsidP="00BF6408">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w:t>
            </w:r>
          </w:p>
        </w:tc>
        <w:tc>
          <w:tcPr>
            <w:tcW w:w="2580" w:type="dxa"/>
            <w:tcBorders>
              <w:top w:val="nil"/>
              <w:left w:val="nil"/>
              <w:bottom w:val="single" w:sz="4" w:space="0" w:color="auto"/>
              <w:right w:val="single" w:sz="4" w:space="0" w:color="auto"/>
            </w:tcBorders>
            <w:shd w:val="clear" w:color="auto" w:fill="auto"/>
            <w:noWrap/>
            <w:vAlign w:val="center"/>
            <w:hideMark/>
          </w:tcPr>
          <w:p w14:paraId="4DF3B284" w14:textId="77777777" w:rsidR="00CB3668" w:rsidRPr="00924175" w:rsidRDefault="00CB3668" w:rsidP="00BF6408">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w:t>
            </w:r>
          </w:p>
        </w:tc>
      </w:tr>
      <w:tr w:rsidR="006D7E33" w:rsidRPr="00924175" w14:paraId="15494ABA" w14:textId="77777777" w:rsidTr="006D7E33">
        <w:trPr>
          <w:trHeight w:val="40"/>
        </w:trPr>
        <w:tc>
          <w:tcPr>
            <w:tcW w:w="2319" w:type="dxa"/>
            <w:tcBorders>
              <w:top w:val="nil"/>
              <w:left w:val="single" w:sz="4" w:space="0" w:color="auto"/>
              <w:bottom w:val="nil"/>
              <w:right w:val="nil"/>
            </w:tcBorders>
            <w:shd w:val="clear" w:color="auto" w:fill="auto"/>
            <w:noWrap/>
            <w:vAlign w:val="center"/>
            <w:hideMark/>
          </w:tcPr>
          <w:p w14:paraId="3CBD649F" w14:textId="77777777" w:rsidR="00CB3668" w:rsidRPr="00924175" w:rsidRDefault="00CB3668" w:rsidP="00BF6408">
            <w:pPr>
              <w:rPr>
                <w:rFonts w:ascii="Bookman Old Style" w:hAnsi="Bookman Old Style" w:cs="Arial"/>
                <w:color w:val="000000"/>
                <w:sz w:val="16"/>
                <w:szCs w:val="16"/>
                <w:lang w:eastAsia="es-CO"/>
              </w:rPr>
            </w:pPr>
          </w:p>
        </w:tc>
        <w:tc>
          <w:tcPr>
            <w:tcW w:w="2354" w:type="dxa"/>
            <w:tcBorders>
              <w:top w:val="nil"/>
              <w:left w:val="nil"/>
              <w:bottom w:val="nil"/>
              <w:right w:val="nil"/>
            </w:tcBorders>
            <w:shd w:val="clear" w:color="auto" w:fill="auto"/>
            <w:noWrap/>
            <w:vAlign w:val="center"/>
            <w:hideMark/>
          </w:tcPr>
          <w:p w14:paraId="48CA0A24" w14:textId="77777777" w:rsidR="00CB3668" w:rsidRPr="00924175" w:rsidRDefault="00CB3668" w:rsidP="00BF6408">
            <w:pPr>
              <w:jc w:val="right"/>
              <w:rPr>
                <w:rFonts w:ascii="Bookman Old Style" w:hAnsi="Bookman Old Style"/>
                <w:sz w:val="16"/>
                <w:szCs w:val="16"/>
                <w:lang w:eastAsia="es-CO"/>
              </w:rPr>
            </w:pPr>
          </w:p>
        </w:tc>
        <w:tc>
          <w:tcPr>
            <w:tcW w:w="2093" w:type="dxa"/>
            <w:tcBorders>
              <w:top w:val="nil"/>
              <w:left w:val="nil"/>
              <w:bottom w:val="nil"/>
              <w:right w:val="nil"/>
            </w:tcBorders>
            <w:shd w:val="clear" w:color="auto" w:fill="auto"/>
            <w:noWrap/>
            <w:vAlign w:val="center"/>
            <w:hideMark/>
          </w:tcPr>
          <w:p w14:paraId="09F3F3E1" w14:textId="77777777" w:rsidR="00CB3668" w:rsidRPr="00924175" w:rsidRDefault="00CB3668" w:rsidP="00BF6408">
            <w:pPr>
              <w:jc w:val="right"/>
              <w:rPr>
                <w:rFonts w:ascii="Bookman Old Style" w:hAnsi="Bookman Old Style"/>
                <w:sz w:val="16"/>
                <w:szCs w:val="16"/>
                <w:lang w:eastAsia="es-CO"/>
              </w:rPr>
            </w:pPr>
          </w:p>
        </w:tc>
        <w:tc>
          <w:tcPr>
            <w:tcW w:w="2580" w:type="dxa"/>
            <w:tcBorders>
              <w:top w:val="nil"/>
              <w:left w:val="nil"/>
              <w:bottom w:val="nil"/>
              <w:right w:val="single" w:sz="4" w:space="0" w:color="auto"/>
            </w:tcBorders>
            <w:shd w:val="clear" w:color="auto" w:fill="auto"/>
            <w:noWrap/>
            <w:vAlign w:val="center"/>
            <w:hideMark/>
          </w:tcPr>
          <w:p w14:paraId="6EDFA852" w14:textId="77777777" w:rsidR="00CB3668" w:rsidRPr="00924175" w:rsidRDefault="00CB3668" w:rsidP="00BF6408">
            <w:pPr>
              <w:jc w:val="right"/>
              <w:rPr>
                <w:rFonts w:ascii="Bookman Old Style" w:hAnsi="Bookman Old Style"/>
                <w:sz w:val="16"/>
                <w:szCs w:val="16"/>
                <w:lang w:eastAsia="es-CO"/>
              </w:rPr>
            </w:pPr>
          </w:p>
        </w:tc>
      </w:tr>
      <w:tr w:rsidR="00CB3668" w:rsidRPr="00924175" w14:paraId="4199B9F7" w14:textId="77777777" w:rsidTr="003D49BA">
        <w:trPr>
          <w:trHeight w:val="536"/>
        </w:trPr>
        <w:tc>
          <w:tcPr>
            <w:tcW w:w="2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47BA4" w14:textId="77777777" w:rsidR="00CB3668" w:rsidRPr="00924175" w:rsidRDefault="00CB3668" w:rsidP="00BF6408">
            <w:pPr>
              <w:ind w:left="0"/>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BASE GASTOS OPERATIVOS</w:t>
            </w:r>
          </w:p>
        </w:tc>
        <w:tc>
          <w:tcPr>
            <w:tcW w:w="2354" w:type="dxa"/>
            <w:tcBorders>
              <w:top w:val="single" w:sz="4" w:space="0" w:color="auto"/>
              <w:left w:val="nil"/>
              <w:bottom w:val="single" w:sz="4" w:space="0" w:color="auto"/>
              <w:right w:val="single" w:sz="4" w:space="0" w:color="auto"/>
            </w:tcBorders>
            <w:shd w:val="clear" w:color="auto" w:fill="auto"/>
            <w:noWrap/>
            <w:vAlign w:val="center"/>
            <w:hideMark/>
          </w:tcPr>
          <w:p w14:paraId="07C813A7" w14:textId="77777777" w:rsidR="00CB3668" w:rsidRPr="00924175" w:rsidRDefault="00CB3668" w:rsidP="00BF6408">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w:t>
            </w:r>
          </w:p>
        </w:tc>
        <w:tc>
          <w:tcPr>
            <w:tcW w:w="2093" w:type="dxa"/>
            <w:tcBorders>
              <w:top w:val="single" w:sz="4" w:space="0" w:color="auto"/>
              <w:left w:val="nil"/>
              <w:bottom w:val="single" w:sz="4" w:space="0" w:color="auto"/>
              <w:right w:val="single" w:sz="4" w:space="0" w:color="auto"/>
            </w:tcBorders>
            <w:shd w:val="clear" w:color="auto" w:fill="auto"/>
            <w:noWrap/>
            <w:vAlign w:val="center"/>
            <w:hideMark/>
          </w:tcPr>
          <w:p w14:paraId="21A6B5AD" w14:textId="77777777" w:rsidR="00CB3668" w:rsidRPr="00924175" w:rsidRDefault="00CB3668" w:rsidP="00BF6408">
            <w:pPr>
              <w:ind w:left="0"/>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$39.653.191.539.633</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14:paraId="139476AE" w14:textId="77777777" w:rsidR="00CB3668" w:rsidRPr="00924175" w:rsidRDefault="00CB3668" w:rsidP="00BF6408">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w:t>
            </w:r>
          </w:p>
        </w:tc>
      </w:tr>
      <w:tr w:rsidR="00CB3668" w:rsidRPr="00924175" w14:paraId="5E9CE55F" w14:textId="77777777" w:rsidTr="003D49BA">
        <w:trPr>
          <w:trHeight w:val="438"/>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020E2" w14:textId="77777777" w:rsidR="00CB3668" w:rsidRPr="00924175" w:rsidRDefault="00CB3668" w:rsidP="00BF6408">
            <w:pPr>
              <w:ind w:left="0"/>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lastRenderedPageBreak/>
              <w:t>PORCENTAJE ADICIONAL GASTOS OPERATIVOS</w:t>
            </w:r>
          </w:p>
        </w:tc>
        <w:tc>
          <w:tcPr>
            <w:tcW w:w="2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A4402" w14:textId="77777777" w:rsidR="00CB3668" w:rsidRPr="00924175" w:rsidRDefault="00CB3668" w:rsidP="00BF6408">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w:t>
            </w:r>
          </w:p>
        </w:tc>
        <w:tc>
          <w:tcPr>
            <w:tcW w:w="2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FEC9F" w14:textId="77777777" w:rsidR="00CB3668" w:rsidRPr="00924175" w:rsidRDefault="00CB3668" w:rsidP="00BF6408">
            <w:pPr>
              <w:ind w:left="0"/>
              <w:jc w:val="right"/>
              <w:rPr>
                <w:rFonts w:ascii="Bookman Old Style" w:hAnsi="Bookman Old Style" w:cs="Arial"/>
                <w:sz w:val="16"/>
                <w:szCs w:val="16"/>
                <w:lang w:eastAsia="es-CO"/>
              </w:rPr>
            </w:pPr>
            <w:r w:rsidRPr="00924175">
              <w:rPr>
                <w:rFonts w:ascii="Bookman Old Style" w:hAnsi="Bookman Old Style" w:cs="Arial"/>
                <w:sz w:val="16"/>
                <w:szCs w:val="16"/>
                <w:lang w:eastAsia="es-CO"/>
              </w:rPr>
              <w:t>0,0080266%</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57F2E" w14:textId="77777777" w:rsidR="00CB3668" w:rsidRPr="00924175" w:rsidRDefault="00CB3668" w:rsidP="00BF6408">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w:t>
            </w:r>
          </w:p>
        </w:tc>
      </w:tr>
      <w:tr w:rsidR="00CB3668" w:rsidRPr="00924175" w14:paraId="317484B7" w14:textId="77777777" w:rsidTr="003D49BA">
        <w:trPr>
          <w:trHeight w:val="487"/>
        </w:trPr>
        <w:tc>
          <w:tcPr>
            <w:tcW w:w="2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8494D" w14:textId="77777777" w:rsidR="00CB3668" w:rsidRPr="00924175" w:rsidRDefault="00CB3668" w:rsidP="00BF6408">
            <w:pPr>
              <w:ind w:left="0"/>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FALTANTE PRESUPUESTAL</w:t>
            </w:r>
          </w:p>
        </w:tc>
        <w:tc>
          <w:tcPr>
            <w:tcW w:w="2354" w:type="dxa"/>
            <w:tcBorders>
              <w:top w:val="single" w:sz="4" w:space="0" w:color="auto"/>
              <w:left w:val="nil"/>
              <w:bottom w:val="single" w:sz="4" w:space="0" w:color="auto"/>
              <w:right w:val="single" w:sz="4" w:space="0" w:color="auto"/>
            </w:tcBorders>
            <w:shd w:val="clear" w:color="auto" w:fill="auto"/>
            <w:noWrap/>
            <w:vAlign w:val="center"/>
            <w:hideMark/>
          </w:tcPr>
          <w:p w14:paraId="72C0D600" w14:textId="77777777" w:rsidR="00CB3668" w:rsidRPr="00924175" w:rsidRDefault="00CB3668" w:rsidP="00BF6408">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w:t>
            </w:r>
          </w:p>
        </w:tc>
        <w:tc>
          <w:tcPr>
            <w:tcW w:w="2093" w:type="dxa"/>
            <w:tcBorders>
              <w:top w:val="single" w:sz="4" w:space="0" w:color="auto"/>
              <w:left w:val="nil"/>
              <w:bottom w:val="single" w:sz="4" w:space="0" w:color="auto"/>
              <w:right w:val="single" w:sz="4" w:space="0" w:color="auto"/>
            </w:tcBorders>
            <w:shd w:val="clear" w:color="auto" w:fill="auto"/>
            <w:noWrap/>
            <w:vAlign w:val="center"/>
            <w:hideMark/>
          </w:tcPr>
          <w:p w14:paraId="6ADEC5B1" w14:textId="77777777" w:rsidR="00CB3668" w:rsidRPr="00924175" w:rsidRDefault="00CB3668" w:rsidP="00BF6408">
            <w:pPr>
              <w:ind w:left="0"/>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$ 3.182.799.148</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14:paraId="7F5315B4" w14:textId="77777777" w:rsidR="00CB3668" w:rsidRPr="00924175" w:rsidRDefault="00CB3668" w:rsidP="00BF6408">
            <w:pPr>
              <w:jc w:val="right"/>
              <w:rPr>
                <w:rFonts w:ascii="Bookman Old Style" w:hAnsi="Bookman Old Style" w:cs="Arial"/>
                <w:color w:val="000000"/>
                <w:sz w:val="16"/>
                <w:szCs w:val="16"/>
                <w:lang w:eastAsia="es-CO"/>
              </w:rPr>
            </w:pPr>
            <w:r w:rsidRPr="00924175">
              <w:rPr>
                <w:rFonts w:ascii="Bookman Old Style" w:hAnsi="Bookman Old Style" w:cs="Arial"/>
                <w:color w:val="000000"/>
                <w:sz w:val="16"/>
                <w:szCs w:val="16"/>
                <w:lang w:eastAsia="es-CO"/>
              </w:rPr>
              <w:t> </w:t>
            </w:r>
          </w:p>
        </w:tc>
      </w:tr>
    </w:tbl>
    <w:p w14:paraId="17DA201E" w14:textId="77777777" w:rsidR="00AF4795" w:rsidRPr="0024494C" w:rsidRDefault="00AF4795" w:rsidP="000E5253">
      <w:pPr>
        <w:ind w:left="0"/>
        <w:jc w:val="center"/>
        <w:rPr>
          <w:rFonts w:ascii="Bookman Old Style" w:hAnsi="Bookman Old Style" w:cs="Arial"/>
        </w:rPr>
      </w:pPr>
    </w:p>
    <w:p w14:paraId="474D48F8" w14:textId="6CA7245E" w:rsidR="00CE3902" w:rsidRPr="0024494C" w:rsidRDefault="00D54821" w:rsidP="000E5253">
      <w:pPr>
        <w:ind w:left="0"/>
        <w:jc w:val="both"/>
        <w:rPr>
          <w:rFonts w:ascii="Bookman Old Style" w:hAnsi="Bookman Old Style" w:cs="Arial"/>
        </w:rPr>
      </w:pPr>
      <w:r w:rsidRPr="0024494C">
        <w:rPr>
          <w:rFonts w:ascii="Bookman Old Style" w:hAnsi="Bookman Old Style" w:cs="Arial"/>
          <w:b/>
        </w:rPr>
        <w:t>PARÁGRAFO</w:t>
      </w:r>
      <w:r w:rsidR="00BC4A8E" w:rsidRPr="0024494C">
        <w:rPr>
          <w:rFonts w:ascii="Bookman Old Style" w:hAnsi="Bookman Old Style" w:cs="Arial"/>
          <w:b/>
        </w:rPr>
        <w:t xml:space="preserve"> 1</w:t>
      </w:r>
      <w:r w:rsidRPr="0024494C">
        <w:rPr>
          <w:rFonts w:ascii="Bookman Old Style" w:hAnsi="Bookman Old Style" w:cs="Arial"/>
          <w:b/>
        </w:rPr>
        <w:t xml:space="preserve">. </w:t>
      </w:r>
      <w:r w:rsidRPr="0024494C">
        <w:rPr>
          <w:rFonts w:ascii="Bookman Old Style" w:hAnsi="Bookman Old Style" w:cs="Arial"/>
        </w:rPr>
        <w:t xml:space="preserve">La contribución especial </w:t>
      </w:r>
      <w:r w:rsidR="00697B24">
        <w:rPr>
          <w:rFonts w:ascii="Bookman Old Style" w:hAnsi="Bookman Old Style" w:cs="Arial"/>
        </w:rPr>
        <w:t xml:space="preserve">2023 </w:t>
      </w:r>
      <w:r w:rsidRPr="0024494C">
        <w:rPr>
          <w:rFonts w:ascii="Bookman Old Style" w:hAnsi="Bookman Old Style" w:cs="Arial"/>
        </w:rPr>
        <w:t xml:space="preserve">será calculada </w:t>
      </w:r>
      <w:r w:rsidR="0062044A" w:rsidRPr="0024494C">
        <w:rPr>
          <w:rFonts w:ascii="Bookman Old Style" w:hAnsi="Bookman Old Style" w:cs="Arial"/>
        </w:rPr>
        <w:t xml:space="preserve">y liquidada </w:t>
      </w:r>
      <w:r w:rsidR="00104A06" w:rsidRPr="0024494C">
        <w:rPr>
          <w:rFonts w:ascii="Bookman Old Style" w:hAnsi="Bookman Old Style" w:cs="Arial"/>
        </w:rPr>
        <w:t xml:space="preserve">para cada </w:t>
      </w:r>
      <w:r w:rsidR="00EA506F" w:rsidRPr="0024494C">
        <w:rPr>
          <w:rFonts w:ascii="Bookman Old Style" w:hAnsi="Bookman Old Style" w:cs="Arial"/>
        </w:rPr>
        <w:t>uno</w:t>
      </w:r>
      <w:r w:rsidR="00104A06" w:rsidRPr="0024494C">
        <w:rPr>
          <w:rFonts w:ascii="Bookman Old Style" w:hAnsi="Bookman Old Style" w:cs="Arial"/>
        </w:rPr>
        <w:t xml:space="preserve"> de l</w:t>
      </w:r>
      <w:r w:rsidR="00BC26A9" w:rsidRPr="0024494C">
        <w:rPr>
          <w:rFonts w:ascii="Bookman Old Style" w:hAnsi="Bookman Old Style" w:cs="Arial"/>
        </w:rPr>
        <w:t xml:space="preserve">os sujetos pasivos </w:t>
      </w:r>
      <w:r w:rsidR="00AE74FA" w:rsidRPr="0024494C">
        <w:rPr>
          <w:rFonts w:ascii="Bookman Old Style" w:hAnsi="Bookman Old Style" w:cs="Arial"/>
        </w:rPr>
        <w:t xml:space="preserve">mediante una liquidación </w:t>
      </w:r>
      <w:r w:rsidRPr="0024494C">
        <w:rPr>
          <w:rFonts w:ascii="Bookman Old Style" w:hAnsi="Bookman Old Style" w:cs="Arial"/>
        </w:rPr>
        <w:t>oficial</w:t>
      </w:r>
      <w:r w:rsidR="00CE3902" w:rsidRPr="0024494C">
        <w:rPr>
          <w:rFonts w:ascii="Bookman Old Style" w:hAnsi="Bookman Old Style" w:cs="Arial"/>
        </w:rPr>
        <w:t xml:space="preserve"> </w:t>
      </w:r>
      <w:r w:rsidR="00F30BE1" w:rsidRPr="0024494C">
        <w:rPr>
          <w:rFonts w:ascii="Bookman Old Style" w:hAnsi="Bookman Old Style" w:cs="Arial"/>
        </w:rPr>
        <w:t xml:space="preserve">individual </w:t>
      </w:r>
      <w:r w:rsidR="00AE74FA" w:rsidRPr="0024494C">
        <w:rPr>
          <w:rFonts w:ascii="Bookman Old Style" w:hAnsi="Bookman Old Style" w:cs="Arial"/>
        </w:rPr>
        <w:t>emitida por el director ejecutivo</w:t>
      </w:r>
      <w:r w:rsidRPr="0024494C">
        <w:rPr>
          <w:rFonts w:ascii="Bookman Old Style" w:hAnsi="Bookman Old Style" w:cs="Arial"/>
        </w:rPr>
        <w:t>, la cual será notificada conforme a lo previsto en las disposiciones legales vigentes</w:t>
      </w:r>
      <w:r w:rsidR="00EF17DD" w:rsidRPr="0024494C">
        <w:rPr>
          <w:rFonts w:ascii="Bookman Old Style" w:hAnsi="Bookman Old Style" w:cs="Arial"/>
        </w:rPr>
        <w:t>.</w:t>
      </w:r>
      <w:r w:rsidR="00104A06" w:rsidRPr="0024494C">
        <w:rPr>
          <w:rFonts w:ascii="Bookman Old Style" w:hAnsi="Bookman Old Style" w:cs="Arial"/>
        </w:rPr>
        <w:t xml:space="preserve"> </w:t>
      </w:r>
    </w:p>
    <w:p w14:paraId="6D87DB1F" w14:textId="77777777" w:rsidR="00CE3902" w:rsidRPr="0024494C" w:rsidRDefault="00CE3902" w:rsidP="000E5253">
      <w:pPr>
        <w:ind w:left="0"/>
        <w:jc w:val="both"/>
        <w:rPr>
          <w:rFonts w:ascii="Bookman Old Style" w:hAnsi="Bookman Old Style" w:cs="Arial"/>
        </w:rPr>
      </w:pPr>
    </w:p>
    <w:p w14:paraId="0973EA79" w14:textId="32B5981E" w:rsidR="00104A06" w:rsidRPr="0024494C" w:rsidRDefault="00472FF1" w:rsidP="000E5253">
      <w:pPr>
        <w:ind w:left="0"/>
        <w:jc w:val="both"/>
        <w:rPr>
          <w:rFonts w:ascii="Bookman Old Style" w:hAnsi="Bookman Old Style" w:cs="Arial"/>
        </w:rPr>
      </w:pPr>
      <w:r w:rsidRPr="0024494C">
        <w:rPr>
          <w:rFonts w:ascii="Bookman Old Style" w:hAnsi="Bookman Old Style" w:cs="Arial"/>
        </w:rPr>
        <w:t>U</w:t>
      </w:r>
      <w:r w:rsidR="00CE3902" w:rsidRPr="0024494C">
        <w:rPr>
          <w:rFonts w:ascii="Bookman Old Style" w:hAnsi="Bookman Old Style" w:cs="Arial"/>
        </w:rPr>
        <w:t xml:space="preserve">na </w:t>
      </w:r>
      <w:r w:rsidR="00F30BE1" w:rsidRPr="0024494C">
        <w:rPr>
          <w:rFonts w:ascii="Bookman Old Style" w:hAnsi="Bookman Old Style" w:cs="Arial"/>
        </w:rPr>
        <w:t xml:space="preserve">vez </w:t>
      </w:r>
      <w:r w:rsidR="008F2FB1">
        <w:rPr>
          <w:rFonts w:ascii="Bookman Old Style" w:hAnsi="Bookman Old Style" w:cs="Arial"/>
        </w:rPr>
        <w:t>el acto administrativo de</w:t>
      </w:r>
      <w:r w:rsidR="00104A06" w:rsidRPr="0024494C">
        <w:rPr>
          <w:rFonts w:ascii="Bookman Old Style" w:hAnsi="Bookman Old Style" w:cs="Arial"/>
        </w:rPr>
        <w:t xml:space="preserve"> </w:t>
      </w:r>
      <w:r w:rsidR="00CE3902" w:rsidRPr="0024494C">
        <w:rPr>
          <w:rFonts w:ascii="Bookman Old Style" w:hAnsi="Bookman Old Style" w:cs="Arial"/>
        </w:rPr>
        <w:t>la</w:t>
      </w:r>
      <w:r w:rsidR="00104A06" w:rsidRPr="0024494C">
        <w:rPr>
          <w:rFonts w:ascii="Bookman Old Style" w:hAnsi="Bookman Old Style" w:cs="Arial"/>
        </w:rPr>
        <w:t xml:space="preserve"> </w:t>
      </w:r>
      <w:r w:rsidR="00CE3902" w:rsidRPr="0024494C">
        <w:rPr>
          <w:rFonts w:ascii="Bookman Old Style" w:hAnsi="Bookman Old Style" w:cs="Arial"/>
        </w:rPr>
        <w:t>liquidación</w:t>
      </w:r>
      <w:r w:rsidR="00104A06" w:rsidRPr="0024494C">
        <w:rPr>
          <w:rFonts w:ascii="Bookman Old Style" w:hAnsi="Bookman Old Style" w:cs="Arial"/>
        </w:rPr>
        <w:t xml:space="preserve"> </w:t>
      </w:r>
      <w:r w:rsidR="00CE3902" w:rsidRPr="0024494C">
        <w:rPr>
          <w:rFonts w:ascii="Bookman Old Style" w:hAnsi="Bookman Old Style" w:cs="Arial"/>
        </w:rPr>
        <w:t>oficial</w:t>
      </w:r>
      <w:r w:rsidR="00FE2C52" w:rsidRPr="0024494C">
        <w:rPr>
          <w:rFonts w:ascii="Bookman Old Style" w:hAnsi="Bookman Old Style" w:cs="Arial"/>
        </w:rPr>
        <w:t xml:space="preserve"> de la contribución especial 2023</w:t>
      </w:r>
      <w:r w:rsidR="008F2FB1">
        <w:rPr>
          <w:rFonts w:ascii="Bookman Old Style" w:hAnsi="Bookman Old Style" w:cs="Arial"/>
        </w:rPr>
        <w:t xml:space="preserve"> se encuentre debidamente ejecutoriado</w:t>
      </w:r>
      <w:r w:rsidR="00FE2C52" w:rsidRPr="0024494C">
        <w:rPr>
          <w:rFonts w:ascii="Bookman Old Style" w:hAnsi="Bookman Old Style" w:cs="Arial"/>
        </w:rPr>
        <w:t>, la misma</w:t>
      </w:r>
      <w:r w:rsidR="00CE3902" w:rsidRPr="0024494C">
        <w:rPr>
          <w:rFonts w:ascii="Bookman Old Style" w:hAnsi="Bookman Old Style" w:cs="Arial"/>
        </w:rPr>
        <w:t xml:space="preserve"> deberá ser </w:t>
      </w:r>
      <w:r w:rsidR="00EA506F" w:rsidRPr="0024494C">
        <w:rPr>
          <w:rFonts w:ascii="Bookman Old Style" w:hAnsi="Bookman Old Style" w:cs="Arial"/>
        </w:rPr>
        <w:t>pagada por el contri</w:t>
      </w:r>
      <w:r w:rsidR="00975987" w:rsidRPr="0024494C">
        <w:rPr>
          <w:rFonts w:ascii="Bookman Old Style" w:hAnsi="Bookman Old Style" w:cs="Arial"/>
        </w:rPr>
        <w:t xml:space="preserve">buyente </w:t>
      </w:r>
      <w:r w:rsidR="00104A06" w:rsidRPr="0024494C">
        <w:rPr>
          <w:rFonts w:ascii="Bookman Old Style" w:hAnsi="Bookman Old Style" w:cs="Arial"/>
        </w:rPr>
        <w:t>dentro del mes siguiente</w:t>
      </w:r>
      <w:r w:rsidR="00975987" w:rsidRPr="0024494C">
        <w:rPr>
          <w:rFonts w:ascii="Bookman Old Style" w:hAnsi="Bookman Old Style" w:cs="Arial"/>
        </w:rPr>
        <w:t xml:space="preserve">, </w:t>
      </w:r>
      <w:r w:rsidR="00104A06" w:rsidRPr="0024494C">
        <w:rPr>
          <w:rFonts w:ascii="Bookman Old Style" w:hAnsi="Bookman Old Style" w:cs="Arial"/>
        </w:rPr>
        <w:t xml:space="preserve">en la </w:t>
      </w:r>
      <w:r w:rsidR="00104A06" w:rsidRPr="00CB786F">
        <w:rPr>
          <w:rFonts w:ascii="Bookman Old Style" w:hAnsi="Bookman Old Style" w:cs="Arial"/>
          <w:b/>
          <w:bCs/>
        </w:rPr>
        <w:t>cuenta corriente N° 285-863536</w:t>
      </w:r>
      <w:r w:rsidR="00104A06" w:rsidRPr="0024494C">
        <w:rPr>
          <w:rFonts w:ascii="Bookman Old Style" w:hAnsi="Bookman Old Style" w:cs="Arial"/>
        </w:rPr>
        <w:t xml:space="preserve"> del </w:t>
      </w:r>
      <w:r w:rsidR="00104A06" w:rsidRPr="00C26900">
        <w:rPr>
          <w:rFonts w:ascii="Bookman Old Style" w:hAnsi="Bookman Old Style" w:cs="Arial"/>
          <w:b/>
          <w:bCs/>
        </w:rPr>
        <w:t>Banco de Occidente</w:t>
      </w:r>
      <w:r w:rsidR="00104A06" w:rsidRPr="0024494C">
        <w:rPr>
          <w:rFonts w:ascii="Bookman Old Style" w:hAnsi="Bookman Old Style" w:cs="Arial"/>
        </w:rPr>
        <w:t xml:space="preserve">, mediante consignación directa o transferencia electrónica, a favor del titular de la cuenta: </w:t>
      </w:r>
      <w:r w:rsidR="00104A06" w:rsidRPr="00034298">
        <w:rPr>
          <w:rFonts w:ascii="Bookman Old Style" w:hAnsi="Bookman Old Style" w:cs="Arial"/>
          <w:b/>
          <w:bCs/>
        </w:rPr>
        <w:t>COMISIÓN DE REGULACIÓN DE ENERGÍA Y GAS</w:t>
      </w:r>
      <w:r w:rsidR="00CE3902" w:rsidRPr="0024494C">
        <w:rPr>
          <w:rFonts w:ascii="Bookman Old Style" w:hAnsi="Bookman Old Style" w:cs="Arial"/>
        </w:rPr>
        <w:t>, i</w:t>
      </w:r>
      <w:r w:rsidR="00104A06" w:rsidRPr="0024494C">
        <w:rPr>
          <w:rFonts w:ascii="Bookman Old Style" w:hAnsi="Bookman Old Style" w:cs="Arial"/>
        </w:rPr>
        <w:t xml:space="preserve">dentificada con el </w:t>
      </w:r>
      <w:r w:rsidR="00104A06" w:rsidRPr="002D523D">
        <w:rPr>
          <w:rFonts w:ascii="Bookman Old Style" w:hAnsi="Bookman Old Style" w:cs="Arial"/>
          <w:b/>
          <w:bCs/>
        </w:rPr>
        <w:t>NIT 900034993-1</w:t>
      </w:r>
      <w:r w:rsidR="00104A06" w:rsidRPr="0024494C">
        <w:rPr>
          <w:rFonts w:ascii="Bookman Old Style" w:hAnsi="Bookman Old Style" w:cs="Arial"/>
        </w:rPr>
        <w:t>.</w:t>
      </w:r>
      <w:r w:rsidR="00CE3902" w:rsidRPr="0024494C">
        <w:rPr>
          <w:rFonts w:ascii="Bookman Old Style" w:hAnsi="Bookman Old Style" w:cs="Arial"/>
        </w:rPr>
        <w:t xml:space="preserve"> </w:t>
      </w:r>
    </w:p>
    <w:p w14:paraId="4A28AD59" w14:textId="77777777" w:rsidR="008554FB" w:rsidRPr="0024494C" w:rsidRDefault="008554FB" w:rsidP="000E5253">
      <w:pPr>
        <w:ind w:left="0"/>
        <w:jc w:val="both"/>
        <w:rPr>
          <w:rFonts w:ascii="Bookman Old Style" w:hAnsi="Bookman Old Style" w:cs="Arial"/>
        </w:rPr>
      </w:pPr>
    </w:p>
    <w:p w14:paraId="2CDDFD75" w14:textId="305400D3" w:rsidR="008554FB" w:rsidRPr="00DC1AFC" w:rsidRDefault="00E5218A" w:rsidP="000E5253">
      <w:pPr>
        <w:ind w:left="0"/>
        <w:jc w:val="both"/>
        <w:rPr>
          <w:rFonts w:ascii="Bookman Old Style" w:hAnsi="Bookman Old Style" w:cs="Arial"/>
          <w:b/>
          <w:bCs/>
        </w:rPr>
      </w:pPr>
      <w:r w:rsidRPr="0024494C">
        <w:rPr>
          <w:rFonts w:ascii="Bookman Old Style" w:hAnsi="Bookman Old Style" w:cs="Arial"/>
        </w:rPr>
        <w:t>L</w:t>
      </w:r>
      <w:r>
        <w:rPr>
          <w:rFonts w:ascii="Bookman Old Style" w:hAnsi="Bookman Old Style" w:cs="Arial"/>
        </w:rPr>
        <w:t>os</w:t>
      </w:r>
      <w:r w:rsidRPr="0024494C">
        <w:rPr>
          <w:rFonts w:ascii="Bookman Old Style" w:hAnsi="Bookman Old Style" w:cs="Arial"/>
        </w:rPr>
        <w:t xml:space="preserve"> </w:t>
      </w:r>
      <w:r w:rsidR="00E51741">
        <w:rPr>
          <w:rFonts w:ascii="Bookman Old Style" w:hAnsi="Bookman Old Style" w:cs="Arial"/>
        </w:rPr>
        <w:t>contribuyente</w:t>
      </w:r>
      <w:r>
        <w:rPr>
          <w:rFonts w:ascii="Bookman Old Style" w:hAnsi="Bookman Old Style" w:cs="Arial"/>
        </w:rPr>
        <w:t>s</w:t>
      </w:r>
      <w:r w:rsidR="00BD312A">
        <w:rPr>
          <w:rFonts w:ascii="Bookman Old Style" w:hAnsi="Bookman Old Style" w:cs="Arial"/>
        </w:rPr>
        <w:t xml:space="preserve"> </w:t>
      </w:r>
      <w:r w:rsidR="008554FB" w:rsidRPr="0024494C">
        <w:rPr>
          <w:rFonts w:ascii="Bookman Old Style" w:hAnsi="Bookman Old Style" w:cs="Arial"/>
        </w:rPr>
        <w:t>deberá</w:t>
      </w:r>
      <w:r>
        <w:rPr>
          <w:rFonts w:ascii="Bookman Old Style" w:hAnsi="Bookman Old Style" w:cs="Arial"/>
        </w:rPr>
        <w:t>n</w:t>
      </w:r>
      <w:r w:rsidR="008554FB" w:rsidRPr="0024494C">
        <w:rPr>
          <w:rFonts w:ascii="Bookman Old Style" w:hAnsi="Bookman Old Style" w:cs="Arial"/>
        </w:rPr>
        <w:t xml:space="preserve"> informar</w:t>
      </w:r>
      <w:r w:rsidR="00F30BE1" w:rsidRPr="0024494C">
        <w:rPr>
          <w:rFonts w:ascii="Bookman Old Style" w:hAnsi="Bookman Old Style" w:cs="Arial"/>
        </w:rPr>
        <w:t xml:space="preserve"> </w:t>
      </w:r>
      <w:r w:rsidR="00F01620">
        <w:rPr>
          <w:rFonts w:ascii="Bookman Old Style" w:hAnsi="Bookman Old Style" w:cs="Arial"/>
        </w:rPr>
        <w:t xml:space="preserve">a la CREG que </w:t>
      </w:r>
      <w:r w:rsidR="00B93AE0">
        <w:rPr>
          <w:rFonts w:ascii="Bookman Old Style" w:hAnsi="Bookman Old Style" w:cs="Arial"/>
        </w:rPr>
        <w:t xml:space="preserve">se efectuó </w:t>
      </w:r>
      <w:r w:rsidR="00F01620">
        <w:rPr>
          <w:rFonts w:ascii="Bookman Old Style" w:hAnsi="Bookman Old Style" w:cs="Arial"/>
        </w:rPr>
        <w:t>el pago</w:t>
      </w:r>
      <w:r w:rsidR="00B93AE0">
        <w:rPr>
          <w:rFonts w:ascii="Bookman Old Style" w:hAnsi="Bookman Old Style" w:cs="Arial"/>
        </w:rPr>
        <w:t xml:space="preserve"> correspondiente, remitiendo</w:t>
      </w:r>
      <w:r w:rsidR="00DB6BFA" w:rsidRPr="0024494C">
        <w:rPr>
          <w:rFonts w:ascii="Bookman Old Style" w:hAnsi="Bookman Old Style" w:cs="Arial"/>
        </w:rPr>
        <w:t xml:space="preserve"> </w:t>
      </w:r>
      <w:r w:rsidR="00B50037" w:rsidRPr="0024494C">
        <w:rPr>
          <w:rFonts w:ascii="Bookman Old Style" w:hAnsi="Bookman Old Style" w:cs="Arial"/>
        </w:rPr>
        <w:t>el soporte de pago</w:t>
      </w:r>
      <w:r w:rsidR="00F30BE1" w:rsidRPr="0024494C">
        <w:rPr>
          <w:rFonts w:ascii="Bookman Old Style" w:hAnsi="Bookman Old Style" w:cs="Arial"/>
        </w:rPr>
        <w:t xml:space="preserve"> </w:t>
      </w:r>
      <w:r w:rsidR="00B50037" w:rsidRPr="0024494C">
        <w:rPr>
          <w:rFonts w:ascii="Bookman Old Style" w:hAnsi="Bookman Old Style" w:cs="Arial"/>
        </w:rPr>
        <w:t xml:space="preserve">al correo </w:t>
      </w:r>
      <w:hyperlink r:id="rId13" w:history="1">
        <w:r w:rsidR="00524022" w:rsidRPr="00DC1AFC">
          <w:rPr>
            <w:rStyle w:val="Hipervnculo"/>
            <w:rFonts w:ascii="Bookman Old Style" w:hAnsi="Bookman Old Style" w:cs="Arial"/>
            <w:b/>
            <w:bCs/>
            <w:color w:val="auto"/>
          </w:rPr>
          <w:t>creg@creg.gov.co</w:t>
        </w:r>
      </w:hyperlink>
      <w:r w:rsidR="00524022" w:rsidRPr="00DC1AFC">
        <w:rPr>
          <w:rFonts w:ascii="Bookman Old Style" w:hAnsi="Bookman Old Style" w:cs="Arial"/>
          <w:b/>
          <w:bCs/>
        </w:rPr>
        <w:t xml:space="preserve"> </w:t>
      </w:r>
    </w:p>
    <w:p w14:paraId="50EFD618" w14:textId="7788DE42" w:rsidR="00E56065" w:rsidRPr="0024494C" w:rsidRDefault="00E56065" w:rsidP="000E5253">
      <w:pPr>
        <w:ind w:left="0"/>
        <w:jc w:val="both"/>
        <w:rPr>
          <w:rFonts w:ascii="Bookman Old Style" w:hAnsi="Bookman Old Style" w:cs="Arial"/>
        </w:rPr>
      </w:pPr>
    </w:p>
    <w:p w14:paraId="4E3FA034" w14:textId="20DEABC4" w:rsidR="00BA6EB3" w:rsidRDefault="00BC4A8E" w:rsidP="000E5253">
      <w:pPr>
        <w:ind w:left="0"/>
        <w:jc w:val="both"/>
        <w:rPr>
          <w:rFonts w:ascii="Bookman Old Style" w:hAnsi="Bookman Old Style" w:cs="Arial"/>
        </w:rPr>
      </w:pPr>
      <w:r w:rsidRPr="0024494C">
        <w:rPr>
          <w:rFonts w:ascii="Bookman Old Style" w:hAnsi="Bookman Old Style" w:cs="Arial"/>
          <w:b/>
          <w:bCs/>
        </w:rPr>
        <w:t xml:space="preserve">PARÁGRAFO 2. </w:t>
      </w:r>
      <w:r w:rsidR="00BA6EB3" w:rsidRPr="0024494C">
        <w:rPr>
          <w:rFonts w:ascii="Bookman Old Style" w:hAnsi="Bookman Old Style" w:cs="Arial"/>
        </w:rPr>
        <w:t>L</w:t>
      </w:r>
      <w:r w:rsidR="00D54821" w:rsidRPr="0024494C">
        <w:rPr>
          <w:rFonts w:ascii="Bookman Old Style" w:hAnsi="Bookman Old Style" w:cs="Arial"/>
        </w:rPr>
        <w:t>a</w:t>
      </w:r>
      <w:r w:rsidR="00B502B9" w:rsidRPr="0024494C">
        <w:rPr>
          <w:rFonts w:ascii="Bookman Old Style" w:hAnsi="Bookman Old Style" w:cs="Arial"/>
        </w:rPr>
        <w:t xml:space="preserve"> </w:t>
      </w:r>
      <w:r w:rsidR="00DC1AFC">
        <w:rPr>
          <w:rFonts w:ascii="Bookman Old Style" w:hAnsi="Bookman Old Style"/>
        </w:rPr>
        <w:t>Comisión de Regulación de Energía y Gas</w:t>
      </w:r>
      <w:r w:rsidR="00900160">
        <w:rPr>
          <w:rFonts w:ascii="Bookman Old Style" w:hAnsi="Bookman Old Style"/>
        </w:rPr>
        <w:t>,</w:t>
      </w:r>
      <w:r w:rsidR="00DC1AFC">
        <w:rPr>
          <w:rFonts w:ascii="Bookman Old Style" w:hAnsi="Bookman Old Style"/>
        </w:rPr>
        <w:t xml:space="preserve"> CREG</w:t>
      </w:r>
      <w:r w:rsidR="00813DF2">
        <w:rPr>
          <w:rFonts w:ascii="Bookman Old Style" w:hAnsi="Bookman Old Style"/>
        </w:rPr>
        <w:t>,</w:t>
      </w:r>
      <w:r w:rsidR="005F745A">
        <w:rPr>
          <w:rFonts w:ascii="Bookman Old Style" w:hAnsi="Bookman Old Style"/>
        </w:rPr>
        <w:t xml:space="preserve"> </w:t>
      </w:r>
      <w:r w:rsidR="00D54821" w:rsidRPr="0024494C">
        <w:rPr>
          <w:rFonts w:ascii="Bookman Old Style" w:hAnsi="Bookman Old Style" w:cs="Arial"/>
        </w:rPr>
        <w:t>determin</w:t>
      </w:r>
      <w:r w:rsidR="004B35BD" w:rsidRPr="0024494C">
        <w:rPr>
          <w:rFonts w:ascii="Bookman Old Style" w:hAnsi="Bookman Old Style" w:cs="Arial"/>
        </w:rPr>
        <w:t>a</w:t>
      </w:r>
      <w:r w:rsidR="00D54821" w:rsidRPr="0024494C">
        <w:rPr>
          <w:rFonts w:ascii="Bookman Old Style" w:hAnsi="Bookman Old Style" w:cs="Arial"/>
        </w:rPr>
        <w:t xml:space="preserve"> </w:t>
      </w:r>
      <w:r w:rsidR="00B502B9" w:rsidRPr="0024494C">
        <w:rPr>
          <w:rFonts w:ascii="Bookman Old Style" w:hAnsi="Bookman Old Style" w:cs="Arial"/>
        </w:rPr>
        <w:t xml:space="preserve">para la </w:t>
      </w:r>
      <w:r w:rsidR="00385340" w:rsidRPr="0024494C">
        <w:rPr>
          <w:rFonts w:ascii="Bookman Old Style" w:hAnsi="Bookman Old Style" w:cs="Arial"/>
        </w:rPr>
        <w:t xml:space="preserve">liquidación de la </w:t>
      </w:r>
      <w:r w:rsidR="00B502B9" w:rsidRPr="0024494C">
        <w:rPr>
          <w:rFonts w:ascii="Bookman Old Style" w:hAnsi="Bookman Old Style" w:cs="Arial"/>
        </w:rPr>
        <w:t xml:space="preserve">contribución especial 2023, </w:t>
      </w:r>
      <w:r w:rsidR="00D54821" w:rsidRPr="0024494C">
        <w:rPr>
          <w:rFonts w:ascii="Bookman Old Style" w:hAnsi="Bookman Old Style" w:cs="Arial"/>
        </w:rPr>
        <w:t xml:space="preserve">una cuantía mínima </w:t>
      </w:r>
      <w:r w:rsidR="00385340" w:rsidRPr="0024494C">
        <w:rPr>
          <w:rFonts w:ascii="Bookman Old Style" w:hAnsi="Bookman Old Style" w:cs="Arial"/>
        </w:rPr>
        <w:t xml:space="preserve">de </w:t>
      </w:r>
      <w:r w:rsidR="00B502B9" w:rsidRPr="0024494C">
        <w:rPr>
          <w:rFonts w:ascii="Bookman Old Style" w:hAnsi="Bookman Old Style" w:cs="Arial"/>
        </w:rPr>
        <w:t>hasta</w:t>
      </w:r>
      <w:r w:rsidR="00104A06" w:rsidRPr="0024494C">
        <w:rPr>
          <w:rFonts w:ascii="Bookman Old Style" w:hAnsi="Bookman Old Style" w:cs="Arial"/>
        </w:rPr>
        <w:t xml:space="preserve"> </w:t>
      </w:r>
      <w:r w:rsidR="0062044A" w:rsidRPr="0024494C">
        <w:rPr>
          <w:rFonts w:ascii="Bookman Old Style" w:hAnsi="Bookman Old Style" w:cs="Arial"/>
        </w:rPr>
        <w:t>ocho (8) UVT</w:t>
      </w:r>
      <w:r w:rsidR="00104A06" w:rsidRPr="0024494C">
        <w:rPr>
          <w:rFonts w:ascii="Bookman Old Style" w:hAnsi="Bookman Old Style" w:cs="Arial"/>
        </w:rPr>
        <w:t xml:space="preserve">, </w:t>
      </w:r>
      <w:r w:rsidR="00B502B9" w:rsidRPr="0024494C">
        <w:rPr>
          <w:rFonts w:ascii="Bookman Old Style" w:hAnsi="Bookman Old Style" w:cs="Arial"/>
        </w:rPr>
        <w:t xml:space="preserve">equivalentes al valor de </w:t>
      </w:r>
      <w:r w:rsidR="00385340" w:rsidRPr="0024494C">
        <w:rPr>
          <w:rFonts w:ascii="Bookman Old Style" w:hAnsi="Bookman Old Style" w:cs="Arial"/>
        </w:rPr>
        <w:t>trecientos treinta y nueve mil pesos</w:t>
      </w:r>
      <w:r w:rsidR="00104A06" w:rsidRPr="0024494C">
        <w:rPr>
          <w:rFonts w:ascii="Bookman Old Style" w:hAnsi="Bookman Old Style" w:cs="Arial"/>
        </w:rPr>
        <w:t xml:space="preserve"> </w:t>
      </w:r>
      <w:r w:rsidR="00D54821" w:rsidRPr="004C1336">
        <w:rPr>
          <w:rFonts w:ascii="Bookman Old Style" w:hAnsi="Bookman Old Style" w:cs="Arial"/>
          <w:b/>
          <w:bCs/>
        </w:rPr>
        <w:t>$</w:t>
      </w:r>
      <w:r w:rsidR="0062044A" w:rsidRPr="004C1336">
        <w:rPr>
          <w:rFonts w:ascii="Bookman Old Style" w:hAnsi="Bookman Old Style" w:cs="Arial"/>
          <w:b/>
          <w:bCs/>
        </w:rPr>
        <w:t>3</w:t>
      </w:r>
      <w:r w:rsidR="00815373" w:rsidRPr="004C1336">
        <w:rPr>
          <w:rFonts w:ascii="Bookman Old Style" w:hAnsi="Bookman Old Style" w:cs="Arial"/>
          <w:b/>
          <w:bCs/>
        </w:rPr>
        <w:t>39</w:t>
      </w:r>
      <w:r w:rsidR="00D54821" w:rsidRPr="004C1336">
        <w:rPr>
          <w:rFonts w:ascii="Bookman Old Style" w:hAnsi="Bookman Old Style" w:cs="Arial"/>
          <w:b/>
          <w:bCs/>
        </w:rPr>
        <w:t>,</w:t>
      </w:r>
      <w:r w:rsidR="0062044A" w:rsidRPr="004C1336">
        <w:rPr>
          <w:rFonts w:ascii="Bookman Old Style" w:hAnsi="Bookman Old Style" w:cs="Arial"/>
          <w:b/>
          <w:bCs/>
        </w:rPr>
        <w:t>0</w:t>
      </w:r>
      <w:r w:rsidR="00395F30" w:rsidRPr="004C1336">
        <w:rPr>
          <w:rFonts w:ascii="Bookman Old Style" w:hAnsi="Bookman Old Style" w:cs="Arial"/>
          <w:b/>
          <w:bCs/>
        </w:rPr>
        <w:t>00</w:t>
      </w:r>
      <w:r w:rsidR="00385340" w:rsidRPr="0024494C">
        <w:rPr>
          <w:rFonts w:ascii="Bookman Old Style" w:hAnsi="Bookman Old Style" w:cs="Arial"/>
        </w:rPr>
        <w:t>.</w:t>
      </w:r>
    </w:p>
    <w:p w14:paraId="1A6AAADE" w14:textId="77777777" w:rsidR="009D6999" w:rsidRPr="0024494C" w:rsidRDefault="009D6999" w:rsidP="000E5253">
      <w:pPr>
        <w:ind w:left="0"/>
        <w:jc w:val="both"/>
        <w:rPr>
          <w:rFonts w:ascii="Bookman Old Style" w:hAnsi="Bookman Old Style" w:cs="Arial"/>
        </w:rPr>
      </w:pPr>
    </w:p>
    <w:p w14:paraId="578921A0" w14:textId="4E2EF8A7" w:rsidR="002A6E81" w:rsidRDefault="00297A12" w:rsidP="000E5253">
      <w:pPr>
        <w:ind w:left="0"/>
        <w:jc w:val="both"/>
        <w:rPr>
          <w:rFonts w:ascii="Bookman Old Style" w:hAnsi="Bookman Old Style" w:cs="Arial"/>
          <w:bCs/>
        </w:rPr>
      </w:pPr>
      <w:r w:rsidRPr="0024494C">
        <w:rPr>
          <w:rFonts w:ascii="Bookman Old Style" w:hAnsi="Bookman Old Style" w:cs="Arial"/>
          <w:b/>
        </w:rPr>
        <w:t xml:space="preserve">ARTÍCULO </w:t>
      </w:r>
      <w:r w:rsidR="00D54821" w:rsidRPr="0024494C">
        <w:rPr>
          <w:rFonts w:ascii="Bookman Old Style" w:hAnsi="Bookman Old Style" w:cs="Arial"/>
          <w:b/>
        </w:rPr>
        <w:t>3</w:t>
      </w:r>
      <w:r w:rsidRPr="0024494C">
        <w:rPr>
          <w:rFonts w:ascii="Bookman Old Style" w:hAnsi="Bookman Old Style" w:cs="Arial"/>
          <w:b/>
        </w:rPr>
        <w:t>. OMISOS</w:t>
      </w:r>
      <w:r w:rsidR="00D54821" w:rsidRPr="0024494C">
        <w:rPr>
          <w:rFonts w:ascii="Bookman Old Style" w:hAnsi="Bookman Old Style" w:cs="Arial"/>
          <w:b/>
        </w:rPr>
        <w:t xml:space="preserve"> Y MOROSOS</w:t>
      </w:r>
      <w:r w:rsidRPr="0024494C">
        <w:rPr>
          <w:rFonts w:ascii="Bookman Old Style" w:hAnsi="Bookman Old Style" w:cs="Arial"/>
          <w:b/>
        </w:rPr>
        <w:t xml:space="preserve">. </w:t>
      </w:r>
      <w:r w:rsidR="006334D6">
        <w:rPr>
          <w:rFonts w:ascii="Bookman Old Style" w:hAnsi="Bookman Old Style" w:cs="Arial"/>
          <w:bCs/>
        </w:rPr>
        <w:t>Las empresas y entidades sujetas a la regulación de la CREG durante la vigencia 2023</w:t>
      </w:r>
      <w:r w:rsidR="006334D6" w:rsidRPr="0024494C">
        <w:rPr>
          <w:rFonts w:ascii="Bookman Old Style" w:hAnsi="Bookman Old Style" w:cs="Arial"/>
          <w:bCs/>
        </w:rPr>
        <w:t xml:space="preserve"> que no </w:t>
      </w:r>
      <w:r w:rsidR="006334D6">
        <w:rPr>
          <w:rFonts w:ascii="Bookman Old Style" w:hAnsi="Bookman Old Style" w:cs="Arial"/>
          <w:bCs/>
        </w:rPr>
        <w:t xml:space="preserve">han </w:t>
      </w:r>
      <w:r w:rsidR="006334D6" w:rsidRPr="0024494C">
        <w:rPr>
          <w:rFonts w:ascii="Bookman Old Style" w:hAnsi="Bookman Old Style" w:cs="Arial"/>
          <w:bCs/>
        </w:rPr>
        <w:t>reporta</w:t>
      </w:r>
      <w:r w:rsidR="006334D6">
        <w:rPr>
          <w:rFonts w:ascii="Bookman Old Style" w:hAnsi="Bookman Old Style" w:cs="Arial"/>
          <w:bCs/>
        </w:rPr>
        <w:t>do</w:t>
      </w:r>
      <w:r w:rsidR="006334D6" w:rsidRPr="0024494C">
        <w:rPr>
          <w:rFonts w:ascii="Bookman Old Style" w:hAnsi="Bookman Old Style" w:cs="Arial"/>
          <w:bCs/>
        </w:rPr>
        <w:t xml:space="preserve"> la información financiera de la vigencia 2022 y que forman parte de la base para la liquidación de la contribución especial 2023 </w:t>
      </w:r>
      <w:r w:rsidR="006334D6">
        <w:rPr>
          <w:rFonts w:ascii="Bookman Old Style" w:hAnsi="Bookman Old Style" w:cs="Arial"/>
          <w:bCs/>
        </w:rPr>
        <w:t xml:space="preserve">o que no se han inscrito en el registro único de prestadores de la Superintendencia (RUPS), </w:t>
      </w:r>
      <w:r w:rsidR="006334D6" w:rsidRPr="0024494C">
        <w:rPr>
          <w:rFonts w:ascii="Bookman Old Style" w:hAnsi="Bookman Old Style" w:cs="Arial"/>
          <w:bCs/>
        </w:rPr>
        <w:t>serán tratadas como omisas</w:t>
      </w:r>
      <w:r w:rsidR="006334D6">
        <w:rPr>
          <w:rFonts w:ascii="Bookman Old Style" w:hAnsi="Bookman Old Style" w:cs="Arial"/>
          <w:bCs/>
        </w:rPr>
        <w:t xml:space="preserve">, </w:t>
      </w:r>
      <w:r w:rsidR="006334D6" w:rsidRPr="0024494C">
        <w:rPr>
          <w:rFonts w:ascii="Bookman Old Style" w:hAnsi="Bookman Old Style" w:cs="Arial"/>
          <w:bCs/>
        </w:rPr>
        <w:t>requerid</w:t>
      </w:r>
      <w:r w:rsidR="006334D6">
        <w:rPr>
          <w:rFonts w:ascii="Bookman Old Style" w:hAnsi="Bookman Old Style" w:cs="Arial"/>
          <w:bCs/>
        </w:rPr>
        <w:t>a</w:t>
      </w:r>
      <w:r w:rsidR="006334D6" w:rsidRPr="0024494C">
        <w:rPr>
          <w:rFonts w:ascii="Bookman Old Style" w:hAnsi="Bookman Old Style" w:cs="Arial"/>
          <w:bCs/>
        </w:rPr>
        <w:t xml:space="preserve">s en fiscalización y se </w:t>
      </w:r>
      <w:r w:rsidR="006334D6">
        <w:rPr>
          <w:rFonts w:ascii="Bookman Old Style" w:hAnsi="Bookman Old Style" w:cs="Arial"/>
          <w:bCs/>
        </w:rPr>
        <w:t xml:space="preserve">les liquidará </w:t>
      </w:r>
      <w:r w:rsidR="006334D6" w:rsidRPr="0024494C">
        <w:rPr>
          <w:rFonts w:ascii="Bookman Old Style" w:hAnsi="Bookman Old Style" w:cs="Arial"/>
          <w:bCs/>
        </w:rPr>
        <w:t xml:space="preserve"> la contribución especial con base</w:t>
      </w:r>
      <w:r w:rsidR="006334D6">
        <w:rPr>
          <w:rFonts w:ascii="Bookman Old Style" w:hAnsi="Bookman Old Style" w:cs="Arial"/>
          <w:bCs/>
        </w:rPr>
        <w:t xml:space="preserve"> en</w:t>
      </w:r>
      <w:r w:rsidR="006334D6" w:rsidRPr="0024494C">
        <w:rPr>
          <w:rFonts w:ascii="Bookman Old Style" w:hAnsi="Bookman Old Style" w:cs="Arial"/>
          <w:bCs/>
        </w:rPr>
        <w:t xml:space="preserve"> </w:t>
      </w:r>
      <w:r w:rsidR="006334D6">
        <w:rPr>
          <w:rFonts w:ascii="Bookman Old Style" w:hAnsi="Bookman Old Style" w:cs="Arial"/>
          <w:bCs/>
        </w:rPr>
        <w:t xml:space="preserve">la información de los últimos </w:t>
      </w:r>
      <w:r w:rsidR="006334D6" w:rsidRPr="0024494C">
        <w:rPr>
          <w:rFonts w:ascii="Bookman Old Style" w:hAnsi="Bookman Old Style" w:cs="Arial"/>
          <w:bCs/>
        </w:rPr>
        <w:t xml:space="preserve">estados financieros </w:t>
      </w:r>
      <w:r w:rsidR="006334D6">
        <w:rPr>
          <w:rFonts w:ascii="Bookman Old Style" w:hAnsi="Bookman Old Style" w:cs="Arial"/>
          <w:bCs/>
        </w:rPr>
        <w:t>presentados. Los gastos reportados</w:t>
      </w:r>
      <w:r w:rsidR="006334D6" w:rsidRPr="0024494C">
        <w:rPr>
          <w:rFonts w:ascii="Bookman Old Style" w:hAnsi="Bookman Old Style" w:cs="Arial"/>
          <w:bCs/>
        </w:rPr>
        <w:t xml:space="preserve"> será</w:t>
      </w:r>
      <w:r w:rsidR="006334D6">
        <w:rPr>
          <w:rFonts w:ascii="Bookman Old Style" w:hAnsi="Bookman Old Style" w:cs="Arial"/>
          <w:bCs/>
        </w:rPr>
        <w:t>n</w:t>
      </w:r>
      <w:r w:rsidR="006334D6" w:rsidRPr="0024494C">
        <w:rPr>
          <w:rFonts w:ascii="Bookman Old Style" w:hAnsi="Bookman Old Style" w:cs="Arial"/>
          <w:bCs/>
        </w:rPr>
        <w:t xml:space="preserve"> indexad</w:t>
      </w:r>
      <w:r w:rsidR="006334D6">
        <w:rPr>
          <w:rFonts w:ascii="Bookman Old Style" w:hAnsi="Bookman Old Style" w:cs="Arial"/>
          <w:bCs/>
        </w:rPr>
        <w:t>os</w:t>
      </w:r>
      <w:r w:rsidR="006334D6" w:rsidRPr="0024494C">
        <w:rPr>
          <w:rFonts w:ascii="Bookman Old Style" w:hAnsi="Bookman Old Style" w:cs="Arial"/>
          <w:bCs/>
        </w:rPr>
        <w:t xml:space="preserve"> al 31 de diciembre de 2022, teniendo en cuenta la variación porcentual del IPC certificado por el DANE para los años objeto de indexación</w:t>
      </w:r>
    </w:p>
    <w:p w14:paraId="65F295C4" w14:textId="77777777" w:rsidR="0068705A" w:rsidRDefault="0068705A" w:rsidP="000E5253">
      <w:pPr>
        <w:ind w:left="0"/>
        <w:jc w:val="both"/>
        <w:rPr>
          <w:rFonts w:ascii="Bookman Old Style" w:hAnsi="Bookman Old Style" w:cs="Arial"/>
          <w:bCs/>
        </w:rPr>
      </w:pPr>
    </w:p>
    <w:p w14:paraId="3B40969B" w14:textId="7DD8BF8B" w:rsidR="00701F3F" w:rsidRDefault="002A6E81" w:rsidP="000E5253">
      <w:pPr>
        <w:ind w:left="0"/>
        <w:jc w:val="both"/>
        <w:rPr>
          <w:rFonts w:ascii="Bookman Old Style" w:hAnsi="Bookman Old Style" w:cs="Arial"/>
          <w:bCs/>
        </w:rPr>
      </w:pPr>
      <w:r>
        <w:rPr>
          <w:rFonts w:ascii="Bookman Old Style" w:hAnsi="Bookman Old Style" w:cs="Arial"/>
          <w:bCs/>
        </w:rPr>
        <w:t xml:space="preserve">Para el caso de las empresas y entidades que no se han </w:t>
      </w:r>
      <w:r w:rsidR="00701F3F">
        <w:rPr>
          <w:rFonts w:ascii="Bookman Old Style" w:hAnsi="Bookman Old Style" w:cs="Arial"/>
          <w:bCs/>
        </w:rPr>
        <w:t xml:space="preserve">inscrito en el RUPS, se les solicitará reportar sus estados financieros del año </w:t>
      </w:r>
      <w:r w:rsidR="006722FA">
        <w:rPr>
          <w:rFonts w:ascii="Bookman Old Style" w:hAnsi="Bookman Old Style" w:cs="Arial"/>
          <w:bCs/>
        </w:rPr>
        <w:t>2022</w:t>
      </w:r>
      <w:r w:rsidR="0068705A">
        <w:rPr>
          <w:rFonts w:ascii="Bookman Old Style" w:hAnsi="Bookman Old Style" w:cs="Arial"/>
          <w:bCs/>
        </w:rPr>
        <w:t>, al SUI</w:t>
      </w:r>
      <w:r w:rsidR="005471A6">
        <w:rPr>
          <w:rFonts w:ascii="Bookman Old Style" w:hAnsi="Bookman Old Style" w:cs="Arial"/>
          <w:bCs/>
        </w:rPr>
        <w:t>, de manera inmediata.</w:t>
      </w:r>
    </w:p>
    <w:p w14:paraId="686A4D19" w14:textId="77777777" w:rsidR="0068705A" w:rsidRDefault="0068705A" w:rsidP="000E5253">
      <w:pPr>
        <w:ind w:left="0"/>
        <w:jc w:val="both"/>
        <w:rPr>
          <w:rFonts w:ascii="Bookman Old Style" w:hAnsi="Bookman Old Style" w:cs="Arial"/>
          <w:bCs/>
        </w:rPr>
      </w:pPr>
    </w:p>
    <w:p w14:paraId="2056723A" w14:textId="32E17F39" w:rsidR="000848C5" w:rsidRPr="0024494C" w:rsidRDefault="00EF15E0" w:rsidP="000E5253">
      <w:pPr>
        <w:ind w:left="0"/>
        <w:jc w:val="both"/>
        <w:rPr>
          <w:rFonts w:ascii="Bookman Old Style" w:hAnsi="Bookman Old Style" w:cs="Arial"/>
        </w:rPr>
      </w:pPr>
      <w:r w:rsidRPr="0024494C">
        <w:rPr>
          <w:rFonts w:ascii="Bookman Old Style" w:hAnsi="Bookman Old Style" w:cs="Arial"/>
          <w:b/>
          <w:bCs/>
        </w:rPr>
        <w:t>ART</w:t>
      </w:r>
      <w:r w:rsidR="00FF299E" w:rsidRPr="0024494C">
        <w:rPr>
          <w:rFonts w:ascii="Bookman Old Style" w:hAnsi="Bookman Old Style" w:cs="Arial"/>
          <w:b/>
          <w:bCs/>
        </w:rPr>
        <w:t>Í</w:t>
      </w:r>
      <w:r w:rsidRPr="0024494C">
        <w:rPr>
          <w:rFonts w:ascii="Bookman Old Style" w:hAnsi="Bookman Old Style" w:cs="Arial"/>
          <w:b/>
          <w:bCs/>
        </w:rPr>
        <w:t xml:space="preserve">CULO 4. </w:t>
      </w:r>
      <w:r w:rsidR="00FF299E" w:rsidRPr="0024494C">
        <w:rPr>
          <w:rFonts w:ascii="Bookman Old Style" w:hAnsi="Bookman Old Style" w:cs="Arial"/>
          <w:b/>
          <w:bCs/>
        </w:rPr>
        <w:t>REPORTE</w:t>
      </w:r>
      <w:r w:rsidR="00FF299E" w:rsidRPr="0024494C">
        <w:rPr>
          <w:rFonts w:ascii="Bookman Old Style" w:hAnsi="Bookman Old Style" w:cs="Arial"/>
        </w:rPr>
        <w:t xml:space="preserve">. </w:t>
      </w:r>
      <w:r w:rsidR="000848C5" w:rsidRPr="0024494C">
        <w:rPr>
          <w:rFonts w:ascii="Bookman Old Style" w:hAnsi="Bookman Old Style" w:cs="Arial"/>
        </w:rPr>
        <w:t xml:space="preserve">Se reportará </w:t>
      </w:r>
      <w:r w:rsidR="00CC4C54" w:rsidRPr="0024494C">
        <w:rPr>
          <w:rFonts w:ascii="Bookman Old Style" w:hAnsi="Bookman Old Style" w:cs="Arial"/>
        </w:rPr>
        <w:t>en el</w:t>
      </w:r>
      <w:r w:rsidR="000848C5" w:rsidRPr="0024494C">
        <w:rPr>
          <w:rFonts w:ascii="Bookman Old Style" w:hAnsi="Bookman Old Style" w:cs="Arial"/>
        </w:rPr>
        <w:t xml:space="preserve"> Boletín de Deudores Morosos del Estado (BDME) de la Contaduría General de la Nación (CGN), las personas naturales y jurídicas que, a cualquier título, a una fecha de corte, tienen contraída una obligación en mora a favor de la </w:t>
      </w:r>
      <w:r w:rsidR="0071347D">
        <w:rPr>
          <w:rFonts w:ascii="Bookman Old Style" w:hAnsi="Bookman Old Style"/>
        </w:rPr>
        <w:t>Comisión de Regulación de Energía y Gas – CREG</w:t>
      </w:r>
      <w:r w:rsidR="000848C5" w:rsidRPr="0024494C">
        <w:rPr>
          <w:rFonts w:ascii="Bookman Old Style" w:hAnsi="Bookman Old Style" w:cs="Arial"/>
        </w:rPr>
        <w:t xml:space="preserve">, según lo dispuesto y en las condiciones establecidas en el parágrafo 3º del artículo 2º de la Ley 901 de 2004, y del numeral 5º del </w:t>
      </w:r>
      <w:r w:rsidR="008A74E7">
        <w:rPr>
          <w:rFonts w:ascii="Bookman Old Style" w:hAnsi="Bookman Old Style" w:cs="Arial"/>
        </w:rPr>
        <w:t>a</w:t>
      </w:r>
      <w:r w:rsidR="000848C5" w:rsidRPr="0024494C">
        <w:rPr>
          <w:rFonts w:ascii="Bookman Old Style" w:hAnsi="Bookman Old Style" w:cs="Arial"/>
        </w:rPr>
        <w:t>rtículo 2º de la Ley 1066 de 2006;</w:t>
      </w:r>
      <w:r w:rsidR="008A74E7">
        <w:rPr>
          <w:rFonts w:ascii="Bookman Old Style" w:hAnsi="Bookman Old Style" w:cs="Arial"/>
        </w:rPr>
        <w:t xml:space="preserve"> </w:t>
      </w:r>
      <w:r w:rsidR="000848C5" w:rsidRPr="0024494C">
        <w:rPr>
          <w:rFonts w:ascii="Bookman Old Style" w:hAnsi="Bookman Old Style" w:cs="Arial"/>
        </w:rPr>
        <w:t>a través del sistema CHIP de la C</w:t>
      </w:r>
      <w:r w:rsidR="002B0D03" w:rsidRPr="0024494C">
        <w:rPr>
          <w:rFonts w:ascii="Bookman Old Style" w:hAnsi="Bookman Old Style" w:cs="Arial"/>
        </w:rPr>
        <w:t xml:space="preserve">ontaduría </w:t>
      </w:r>
      <w:r w:rsidR="000848C5" w:rsidRPr="0024494C">
        <w:rPr>
          <w:rFonts w:ascii="Bookman Old Style" w:hAnsi="Bookman Old Style" w:cs="Arial"/>
        </w:rPr>
        <w:t>G</w:t>
      </w:r>
      <w:r w:rsidR="002B0D03" w:rsidRPr="0024494C">
        <w:rPr>
          <w:rFonts w:ascii="Bookman Old Style" w:hAnsi="Bookman Old Style" w:cs="Arial"/>
        </w:rPr>
        <w:t xml:space="preserve">eneral de la </w:t>
      </w:r>
      <w:r w:rsidR="000848C5" w:rsidRPr="0024494C">
        <w:rPr>
          <w:rFonts w:ascii="Bookman Old Style" w:hAnsi="Bookman Old Style" w:cs="Arial"/>
        </w:rPr>
        <w:t>N</w:t>
      </w:r>
      <w:r w:rsidR="002B0D03" w:rsidRPr="0024494C">
        <w:rPr>
          <w:rFonts w:ascii="Bookman Old Style" w:hAnsi="Bookman Old Style" w:cs="Arial"/>
        </w:rPr>
        <w:t>ación</w:t>
      </w:r>
      <w:r w:rsidR="0071347D">
        <w:rPr>
          <w:rFonts w:ascii="Bookman Old Style" w:hAnsi="Bookman Old Style" w:cs="Arial"/>
        </w:rPr>
        <w:t xml:space="preserve"> (CGN)</w:t>
      </w:r>
      <w:r w:rsidR="000848C5" w:rsidRPr="0024494C">
        <w:rPr>
          <w:rFonts w:ascii="Bookman Old Style" w:hAnsi="Bookman Old Style" w:cs="Arial"/>
        </w:rPr>
        <w:t>, en los diez (10) primeros días de los meses de junio y de diciembre, con fecha de corte de obligación adeudada a 31 de mayo y 30 de noviembre respectivamente.</w:t>
      </w:r>
    </w:p>
    <w:p w14:paraId="3E26CAA5" w14:textId="42ABA32D" w:rsidR="00BC4A8E" w:rsidRPr="0024494C" w:rsidRDefault="00BC4A8E" w:rsidP="000E5253">
      <w:pPr>
        <w:ind w:left="0"/>
        <w:jc w:val="both"/>
        <w:rPr>
          <w:rFonts w:ascii="Bookman Old Style" w:hAnsi="Bookman Old Style" w:cs="Arial"/>
        </w:rPr>
      </w:pPr>
    </w:p>
    <w:p w14:paraId="695DF55D" w14:textId="5173D761" w:rsidR="00C5402D" w:rsidRPr="0071347D" w:rsidRDefault="00BC4A8E" w:rsidP="000E5253">
      <w:pPr>
        <w:ind w:left="0"/>
        <w:jc w:val="both"/>
        <w:rPr>
          <w:rFonts w:ascii="Bookman Old Style" w:hAnsi="Bookman Old Style" w:cs="Arial"/>
        </w:rPr>
      </w:pPr>
      <w:r w:rsidRPr="0024494C">
        <w:rPr>
          <w:rFonts w:ascii="Bookman Old Style" w:hAnsi="Bookman Old Style" w:cs="Arial"/>
          <w:b/>
          <w:bCs/>
        </w:rPr>
        <w:lastRenderedPageBreak/>
        <w:t xml:space="preserve">ARTÍCULO </w:t>
      </w:r>
      <w:r w:rsidR="00FF299E" w:rsidRPr="0024494C">
        <w:rPr>
          <w:rFonts w:ascii="Bookman Old Style" w:hAnsi="Bookman Old Style" w:cs="Arial"/>
          <w:b/>
          <w:bCs/>
        </w:rPr>
        <w:t>5</w:t>
      </w:r>
      <w:r w:rsidRPr="0024494C">
        <w:rPr>
          <w:rFonts w:ascii="Bookman Old Style" w:hAnsi="Bookman Old Style" w:cs="Arial"/>
          <w:b/>
          <w:bCs/>
        </w:rPr>
        <w:t xml:space="preserve">. VIGENCIA. </w:t>
      </w:r>
      <w:r w:rsidR="00C5402D" w:rsidRPr="0024494C">
        <w:rPr>
          <w:rFonts w:ascii="Bookman Old Style" w:hAnsi="Bookman Old Style" w:cs="Arial"/>
        </w:rPr>
        <w:t xml:space="preserve">La presente resolución </w:t>
      </w:r>
      <w:r w:rsidR="002B0D03" w:rsidRPr="0024494C">
        <w:rPr>
          <w:rFonts w:ascii="Bookman Old Style" w:hAnsi="Bookman Old Style" w:cs="Arial"/>
        </w:rPr>
        <w:t>rige</w:t>
      </w:r>
      <w:r w:rsidR="00C5402D" w:rsidRPr="0024494C">
        <w:rPr>
          <w:rFonts w:ascii="Bookman Old Style" w:hAnsi="Bookman Old Style" w:cs="Arial"/>
        </w:rPr>
        <w:t xml:space="preserve"> </w:t>
      </w:r>
      <w:r w:rsidR="0016159D" w:rsidRPr="0024494C">
        <w:rPr>
          <w:rFonts w:ascii="Bookman Old Style" w:hAnsi="Bookman Old Style" w:cs="Arial"/>
        </w:rPr>
        <w:t xml:space="preserve">a partir de su publicación </w:t>
      </w:r>
      <w:r w:rsidR="00C5402D" w:rsidRPr="0024494C">
        <w:rPr>
          <w:rFonts w:ascii="Bookman Old Style" w:hAnsi="Bookman Old Style" w:cs="Arial"/>
        </w:rPr>
        <w:t xml:space="preserve">en el </w:t>
      </w:r>
      <w:r w:rsidR="00C5402D" w:rsidRPr="0071347D">
        <w:rPr>
          <w:rFonts w:ascii="Bookman Old Style" w:hAnsi="Bookman Old Style" w:cs="Arial"/>
        </w:rPr>
        <w:t>Diario Oficial.</w:t>
      </w:r>
    </w:p>
    <w:p w14:paraId="1860708F" w14:textId="77777777" w:rsidR="00353572" w:rsidRDefault="00353572" w:rsidP="000E5253">
      <w:pPr>
        <w:ind w:left="0"/>
        <w:jc w:val="both"/>
        <w:rPr>
          <w:rFonts w:ascii="Bookman Old Style" w:hAnsi="Bookman Old Style" w:cs="Arial"/>
        </w:rPr>
      </w:pPr>
    </w:p>
    <w:p w14:paraId="7BDC0AA7" w14:textId="77777777" w:rsidR="00BA19FD" w:rsidRPr="0024494C" w:rsidRDefault="00BA19FD" w:rsidP="000E5253">
      <w:pPr>
        <w:ind w:left="0"/>
        <w:jc w:val="both"/>
        <w:rPr>
          <w:rFonts w:ascii="Bookman Old Style" w:hAnsi="Bookman Old Style" w:cs="Arial"/>
        </w:rPr>
      </w:pPr>
    </w:p>
    <w:p w14:paraId="549AE84B" w14:textId="4EFE23A1" w:rsidR="00C5402D" w:rsidRPr="0024494C" w:rsidRDefault="00C5402D" w:rsidP="00055D69">
      <w:pPr>
        <w:ind w:left="0"/>
        <w:jc w:val="center"/>
        <w:rPr>
          <w:rFonts w:ascii="Bookman Old Style" w:hAnsi="Bookman Old Style"/>
          <w:b/>
        </w:rPr>
      </w:pPr>
      <w:r w:rsidRPr="0024494C">
        <w:rPr>
          <w:rFonts w:ascii="Bookman Old Style" w:hAnsi="Bookman Old Style"/>
          <w:b/>
        </w:rPr>
        <w:t>PUBLÍQUESE Y CÚMPLASE</w:t>
      </w:r>
    </w:p>
    <w:p w14:paraId="6F868A42" w14:textId="77777777" w:rsidR="008C49FB" w:rsidRPr="00BA19FD" w:rsidRDefault="008C49FB" w:rsidP="00BA19FD">
      <w:pPr>
        <w:ind w:left="0"/>
        <w:jc w:val="both"/>
        <w:rPr>
          <w:rFonts w:ascii="Bookman Old Style" w:hAnsi="Bookman Old Style" w:cs="Arial"/>
        </w:rPr>
      </w:pPr>
    </w:p>
    <w:sectPr w:rsidR="008C49FB" w:rsidRPr="00BA19FD" w:rsidSect="005A59EF">
      <w:headerReference w:type="default" r:id="rId14"/>
      <w:headerReference w:type="first" r:id="rId15"/>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0A51" w14:textId="77777777" w:rsidR="00C21D96" w:rsidRDefault="00C21D96">
      <w:r>
        <w:separator/>
      </w:r>
    </w:p>
  </w:endnote>
  <w:endnote w:type="continuationSeparator" w:id="0">
    <w:p w14:paraId="2F519B23" w14:textId="77777777" w:rsidR="00C21D96" w:rsidRDefault="00C21D96">
      <w:r>
        <w:continuationSeparator/>
      </w:r>
    </w:p>
  </w:endnote>
  <w:endnote w:type="continuationNotice" w:id="1">
    <w:p w14:paraId="2C72FC80" w14:textId="77777777" w:rsidR="00C21D96" w:rsidRDefault="00C21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86E64" w14:textId="77777777" w:rsidR="00C21D96" w:rsidRDefault="00C21D96">
      <w:r>
        <w:separator/>
      </w:r>
    </w:p>
  </w:footnote>
  <w:footnote w:type="continuationSeparator" w:id="0">
    <w:p w14:paraId="0AFAD358" w14:textId="77777777" w:rsidR="00C21D96" w:rsidRDefault="00C21D96">
      <w:r>
        <w:continuationSeparator/>
      </w:r>
    </w:p>
  </w:footnote>
  <w:footnote w:type="continuationNotice" w:id="1">
    <w:p w14:paraId="02DA4104" w14:textId="77777777" w:rsidR="00C21D96" w:rsidRDefault="00C21D96"/>
  </w:footnote>
  <w:footnote w:id="2">
    <w:p w14:paraId="400D3DFB" w14:textId="77777777" w:rsidR="00A52902" w:rsidRDefault="002129C4" w:rsidP="002A7979">
      <w:pPr>
        <w:pStyle w:val="Textonotapie"/>
        <w:spacing w:before="0" w:after="0"/>
        <w:rPr>
          <w:sz w:val="16"/>
          <w:szCs w:val="16"/>
        </w:rPr>
      </w:pPr>
      <w:r>
        <w:rPr>
          <w:rStyle w:val="Refdenotaalpie"/>
        </w:rPr>
        <w:footnoteRef/>
      </w:r>
      <w:r>
        <w:t xml:space="preserve"> </w:t>
      </w:r>
      <w:r w:rsidRPr="00A52902">
        <w:rPr>
          <w:sz w:val="16"/>
          <w:szCs w:val="16"/>
        </w:rPr>
        <w:t>Consejo de Estado, Sala de lo Contencioso Administrativo Sección Cuarta, 11001-03-27-000-2017-00012-00 (22972)</w:t>
      </w:r>
      <w:r w:rsidR="00A52902" w:rsidRPr="00A52902">
        <w:rPr>
          <w:sz w:val="16"/>
          <w:szCs w:val="16"/>
        </w:rPr>
        <w:t>.</w:t>
      </w:r>
    </w:p>
    <w:p w14:paraId="19B9052A" w14:textId="7AF264AD" w:rsidR="002129C4" w:rsidRPr="002129C4" w:rsidRDefault="002129C4" w:rsidP="002A7979">
      <w:pPr>
        <w:pStyle w:val="Textonotapie"/>
        <w:spacing w:before="0" w:after="0"/>
        <w:rPr>
          <w:lang w:val="es-ES"/>
        </w:rPr>
      </w:pPr>
      <w:r w:rsidRPr="00A52902">
        <w:rPr>
          <w:sz w:val="16"/>
          <w:szCs w:val="16"/>
        </w:rPr>
        <w:t>Sentencia del 10 de octubre de 2019, CP. Dr. Jorge Octavio Ramírez Ramírez, Exp. 11001-03-27-000-2016-00016-00 (22394) ACUM: 22575, 22998, 23383 y 23499.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04B7" w14:textId="1EE8A816" w:rsidR="00353572" w:rsidRPr="00C41722" w:rsidRDefault="00353572" w:rsidP="00C41722">
    <w:pPr>
      <w:rPr>
        <w:lang w:val="es-CO"/>
      </w:rPr>
    </w:pPr>
  </w:p>
  <w:p w14:paraId="210E8845" w14:textId="080DEDDF" w:rsidR="00353572" w:rsidRPr="00C960E3" w:rsidRDefault="00C960E3" w:rsidP="009F4BEC">
    <w:pPr>
      <w:pStyle w:val="Ttulo1"/>
      <w:ind w:left="0" w:right="6"/>
      <w:jc w:val="left"/>
      <w:rPr>
        <w:rFonts w:ascii="Bookman Old Style" w:hAnsi="Bookman Old Style" w:cs="Arial"/>
        <w:b w:val="0"/>
        <w:sz w:val="20"/>
      </w:rPr>
    </w:pPr>
    <w:r w:rsidRPr="00C960E3">
      <w:rPr>
        <w:rFonts w:ascii="Bookman Old Style" w:hAnsi="Bookman Old Style" w:cs="Arial"/>
        <w:b w:val="0"/>
        <w:sz w:val="20"/>
      </w:rPr>
      <w:t xml:space="preserve">PROYECTO DE </w:t>
    </w:r>
    <w:r w:rsidR="00353572" w:rsidRPr="00C960E3">
      <w:rPr>
        <w:rFonts w:ascii="Bookman Old Style" w:hAnsi="Bookman Old Style" w:cs="Arial"/>
        <w:b w:val="0"/>
        <w:sz w:val="20"/>
      </w:rPr>
      <w:t>RESOLUCIÓN No.</w:t>
    </w:r>
    <w:r w:rsidR="0088741A" w:rsidRPr="00C960E3">
      <w:rPr>
        <w:rFonts w:ascii="Bookman Old Style" w:hAnsi="Bookman Old Style"/>
        <w:sz w:val="20"/>
      </w:rPr>
      <w:t xml:space="preserve"> </w:t>
    </w:r>
    <w:r w:rsidR="0088741A" w:rsidRPr="003D49BA">
      <w:rPr>
        <w:rFonts w:ascii="Bookman Old Style" w:hAnsi="Bookman Old Style" w:cs="Arial"/>
        <w:bCs/>
        <w:szCs w:val="24"/>
        <w:u w:val="single"/>
      </w:rPr>
      <w:t xml:space="preserve">705 </w:t>
    </w:r>
    <w:r w:rsidR="007E04D7" w:rsidRPr="003D49BA">
      <w:rPr>
        <w:rFonts w:ascii="Bookman Old Style" w:hAnsi="Bookman Old Style" w:cs="Arial"/>
        <w:bCs/>
        <w:szCs w:val="24"/>
        <w:u w:val="single"/>
      </w:rPr>
      <w:t>004</w:t>
    </w:r>
    <w:r w:rsidR="003D49BA">
      <w:rPr>
        <w:rFonts w:ascii="Bookman Old Style" w:hAnsi="Bookman Old Style" w:cs="Arial"/>
        <w:b w:val="0"/>
        <w:sz w:val="20"/>
      </w:rPr>
      <w:t xml:space="preserve"> </w:t>
    </w:r>
    <w:r w:rsidR="00353572" w:rsidRPr="00C960E3">
      <w:rPr>
        <w:rFonts w:ascii="Bookman Old Style" w:hAnsi="Bookman Old Style" w:cs="Arial"/>
        <w:b w:val="0"/>
        <w:sz w:val="20"/>
      </w:rPr>
      <w:t xml:space="preserve"> </w:t>
    </w:r>
    <w:r w:rsidR="003D49BA">
      <w:rPr>
        <w:rFonts w:ascii="Bookman Old Style" w:hAnsi="Bookman Old Style" w:cs="Arial"/>
        <w:b w:val="0"/>
        <w:sz w:val="20"/>
      </w:rPr>
      <w:t xml:space="preserve"> </w:t>
    </w:r>
    <w:r w:rsidR="00353572" w:rsidRPr="00C960E3">
      <w:rPr>
        <w:rFonts w:ascii="Bookman Old Style" w:hAnsi="Bookman Old Style" w:cs="Arial"/>
        <w:b w:val="0"/>
        <w:sz w:val="20"/>
      </w:rPr>
      <w:t xml:space="preserve">DE </w:t>
    </w:r>
    <w:r w:rsidR="003D49BA">
      <w:rPr>
        <w:rFonts w:ascii="Bookman Old Style" w:hAnsi="Bookman Old Style" w:cs="Arial"/>
        <w:b w:val="0"/>
        <w:sz w:val="20"/>
      </w:rPr>
      <w:t xml:space="preserve"> </w:t>
    </w:r>
    <w:r w:rsidR="00353572" w:rsidRPr="00C960E3">
      <w:rPr>
        <w:rFonts w:ascii="Bookman Old Style" w:hAnsi="Bookman Old Style" w:cs="Arial"/>
        <w:b w:val="0"/>
        <w:sz w:val="20"/>
      </w:rPr>
      <w:t xml:space="preserve"> </w:t>
    </w:r>
    <w:r w:rsidR="007E04D7" w:rsidRPr="003D49BA">
      <w:rPr>
        <w:rFonts w:ascii="Bookman Old Style" w:hAnsi="Bookman Old Style" w:cs="Arial"/>
        <w:bCs/>
        <w:szCs w:val="24"/>
        <w:u w:val="single"/>
      </w:rPr>
      <w:t>22</w:t>
    </w:r>
    <w:r w:rsidR="0088741A" w:rsidRPr="003D49BA">
      <w:rPr>
        <w:rFonts w:ascii="Bookman Old Style" w:hAnsi="Bookman Old Style" w:cs="Arial"/>
        <w:bCs/>
        <w:szCs w:val="24"/>
        <w:u w:val="single"/>
      </w:rPr>
      <w:t xml:space="preserve"> </w:t>
    </w:r>
    <w:r w:rsidR="00AC77A5" w:rsidRPr="003D49BA">
      <w:rPr>
        <w:rFonts w:ascii="Bookman Old Style" w:hAnsi="Bookman Old Style" w:cs="Arial"/>
        <w:bCs/>
        <w:szCs w:val="24"/>
        <w:u w:val="single"/>
      </w:rPr>
      <w:t>SEP</w:t>
    </w:r>
    <w:r w:rsidR="00353572" w:rsidRPr="003D49BA">
      <w:rPr>
        <w:rFonts w:ascii="Bookman Old Style" w:hAnsi="Bookman Old Style" w:cs="Arial"/>
        <w:bCs/>
        <w:szCs w:val="24"/>
        <w:u w:val="single"/>
      </w:rPr>
      <w:t>. 202</w:t>
    </w:r>
    <w:r w:rsidR="004A3999" w:rsidRPr="003D49BA">
      <w:rPr>
        <w:rFonts w:ascii="Bookman Old Style" w:hAnsi="Bookman Old Style" w:cs="Arial"/>
        <w:bCs/>
        <w:szCs w:val="24"/>
        <w:u w:val="single"/>
      </w:rPr>
      <w:t>3</w:t>
    </w:r>
    <w:r w:rsidRPr="00C960E3">
      <w:rPr>
        <w:rFonts w:ascii="Bookman Old Style" w:hAnsi="Bookman Old Style" w:cs="Arial"/>
        <w:b w:val="0"/>
        <w:sz w:val="20"/>
      </w:rPr>
      <w:t xml:space="preserve">  </w:t>
    </w:r>
    <w:r w:rsidR="003D49BA">
      <w:rPr>
        <w:rFonts w:ascii="Bookman Old Style" w:hAnsi="Bookman Old Style" w:cs="Arial"/>
        <w:b w:val="0"/>
        <w:sz w:val="20"/>
      </w:rPr>
      <w:t xml:space="preserve">       </w:t>
    </w:r>
    <w:r w:rsidRPr="00C960E3">
      <w:rPr>
        <w:rFonts w:ascii="Bookman Old Style" w:hAnsi="Bookman Old Style" w:cs="Arial"/>
        <w:b w:val="0"/>
        <w:sz w:val="20"/>
      </w:rPr>
      <w:t xml:space="preserve"> </w:t>
    </w:r>
    <w:r w:rsidR="00353572" w:rsidRPr="00C960E3">
      <w:rPr>
        <w:rFonts w:ascii="Bookman Old Style" w:hAnsi="Bookman Old Style" w:cs="Arial"/>
        <w:b w:val="0"/>
        <w:sz w:val="20"/>
      </w:rPr>
      <w:t xml:space="preserve">HOJA No. </w:t>
    </w:r>
    <w:r w:rsidR="00353572" w:rsidRPr="00C960E3">
      <w:rPr>
        <w:rFonts w:ascii="Bookman Old Style" w:hAnsi="Bookman Old Style" w:cs="Arial"/>
        <w:b w:val="0"/>
        <w:sz w:val="20"/>
      </w:rPr>
      <w:fldChar w:fldCharType="begin"/>
    </w:r>
    <w:r w:rsidR="00353572" w:rsidRPr="00C960E3">
      <w:rPr>
        <w:rFonts w:ascii="Bookman Old Style" w:hAnsi="Bookman Old Style" w:cs="Arial"/>
        <w:b w:val="0"/>
        <w:sz w:val="20"/>
      </w:rPr>
      <w:instrText xml:space="preserve"> PAGE   \* MERGEFORMAT </w:instrText>
    </w:r>
    <w:r w:rsidR="00353572" w:rsidRPr="00C960E3">
      <w:rPr>
        <w:rFonts w:ascii="Bookman Old Style" w:hAnsi="Bookman Old Style" w:cs="Arial"/>
        <w:b w:val="0"/>
        <w:sz w:val="20"/>
      </w:rPr>
      <w:fldChar w:fldCharType="separate"/>
    </w:r>
    <w:r w:rsidR="00066B48" w:rsidRPr="00C960E3">
      <w:rPr>
        <w:rFonts w:ascii="Bookman Old Style" w:hAnsi="Bookman Old Style" w:cs="Arial"/>
        <w:b w:val="0"/>
        <w:noProof/>
        <w:sz w:val="20"/>
      </w:rPr>
      <w:t>5</w:t>
    </w:r>
    <w:r w:rsidR="00353572" w:rsidRPr="00C960E3">
      <w:rPr>
        <w:rFonts w:ascii="Bookman Old Style" w:hAnsi="Bookman Old Style" w:cs="Arial"/>
        <w:b w:val="0"/>
        <w:sz w:val="20"/>
      </w:rPr>
      <w:fldChar w:fldCharType="end"/>
    </w:r>
    <w:r w:rsidR="00353572" w:rsidRPr="00C960E3">
      <w:rPr>
        <w:rFonts w:ascii="Bookman Old Style" w:hAnsi="Bookman Old Style" w:cs="Arial"/>
        <w:b w:val="0"/>
        <w:sz w:val="20"/>
      </w:rPr>
      <w:t>/</w:t>
    </w:r>
    <w:r w:rsidRPr="00C960E3">
      <w:rPr>
        <w:rFonts w:ascii="Bookman Old Style" w:hAnsi="Bookman Old Style"/>
        <w:sz w:val="20"/>
      </w:rPr>
      <w:fldChar w:fldCharType="begin"/>
    </w:r>
    <w:r w:rsidRPr="00C960E3">
      <w:rPr>
        <w:rFonts w:ascii="Bookman Old Style" w:hAnsi="Bookman Old Style"/>
        <w:sz w:val="20"/>
      </w:rPr>
      <w:instrText>NUMPAGES  \* MERGEFORMAT</w:instrText>
    </w:r>
    <w:r w:rsidRPr="00C960E3">
      <w:rPr>
        <w:rFonts w:ascii="Bookman Old Style" w:hAnsi="Bookman Old Style"/>
        <w:sz w:val="20"/>
      </w:rPr>
      <w:fldChar w:fldCharType="separate"/>
    </w:r>
    <w:r w:rsidR="00066B48" w:rsidRPr="00C960E3">
      <w:rPr>
        <w:rFonts w:ascii="Bookman Old Style" w:hAnsi="Bookman Old Style" w:cs="Arial"/>
        <w:b w:val="0"/>
        <w:noProof/>
        <w:sz w:val="20"/>
      </w:rPr>
      <w:t>22</w:t>
    </w:r>
    <w:r w:rsidRPr="00C960E3">
      <w:rPr>
        <w:rFonts w:ascii="Bookman Old Style" w:hAnsi="Bookman Old Style" w:cs="Arial"/>
        <w:b w:val="0"/>
        <w:noProof/>
        <w:sz w:val="20"/>
      </w:rPr>
      <w:fldChar w:fldCharType="end"/>
    </w:r>
  </w:p>
  <w:p w14:paraId="458E83DA" w14:textId="03B3B9B9" w:rsidR="00353572" w:rsidRDefault="00353572" w:rsidP="00AD01E4">
    <w:pPr>
      <w:ind w:left="142" w:right="148"/>
      <w:rPr>
        <w:rFonts w:ascii="Bookman Old Style" w:hAnsi="Bookman Old Style" w:cs="Arial"/>
      </w:rPr>
    </w:pPr>
    <w:r w:rsidRPr="0042068C">
      <w:rPr>
        <w:noProof/>
        <w:lang w:val="en-US" w:eastAsia="en-US"/>
      </w:rPr>
      <mc:AlternateContent>
        <mc:Choice Requires="wps">
          <w:drawing>
            <wp:anchor distT="0" distB="0" distL="114300" distR="114300" simplePos="0" relativeHeight="251658241" behindDoc="0" locked="0" layoutInCell="1" allowOverlap="1" wp14:anchorId="5B3D4C5E" wp14:editId="53F89D34">
              <wp:simplePos x="0" y="0"/>
              <wp:positionH relativeFrom="column">
                <wp:posOffset>-175260</wp:posOffset>
              </wp:positionH>
              <wp:positionV relativeFrom="paragraph">
                <wp:posOffset>139065</wp:posOffset>
              </wp:positionV>
              <wp:extent cx="6267450" cy="9900920"/>
              <wp:effectExtent l="9525" t="12065" r="9525" b="1206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F5A9257">
            <v:rect id="Rectangle 1" style="position:absolute;margin-left:-13.8pt;margin-top:10.95pt;width:493.5pt;height:779.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6BF5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w:pict>
        </mc:Fallback>
      </mc:AlternateContent>
    </w:r>
  </w:p>
  <w:p w14:paraId="49BC4D58" w14:textId="77777777" w:rsidR="0018587D" w:rsidRDefault="001858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156A" w14:textId="09C80BF5" w:rsidR="00353572" w:rsidRDefault="00353572" w:rsidP="00BC77F6">
    <w:pPr>
      <w:pStyle w:val="Encabezado"/>
      <w:ind w:left="0"/>
      <w:jc w:val="center"/>
      <w:rPr>
        <w:rFonts w:ascii="Arial" w:hAnsi="Arial" w:cs="Arial"/>
        <w:spacing w:val="20"/>
        <w:sz w:val="20"/>
      </w:rPr>
    </w:pPr>
    <w:r>
      <w:rPr>
        <w:rFonts w:ascii="Arial" w:hAnsi="Arial" w:cs="Arial"/>
        <w:spacing w:val="20"/>
        <w:sz w:val="20"/>
      </w:rPr>
      <w:t>República de Colombia</w:t>
    </w:r>
  </w:p>
  <w:p w14:paraId="581A7313" w14:textId="77777777" w:rsidR="00353572" w:rsidRDefault="00353572" w:rsidP="00BC77F6">
    <w:pPr>
      <w:pStyle w:val="Encabezado"/>
      <w:ind w:left="0"/>
      <w:jc w:val="center"/>
      <w:rPr>
        <w:rFonts w:ascii="Arial" w:hAnsi="Arial" w:cs="Arial"/>
        <w:spacing w:val="20"/>
        <w:sz w:val="20"/>
      </w:rPr>
    </w:pPr>
  </w:p>
  <w:p w14:paraId="09BD8B81" w14:textId="59AFA550" w:rsidR="00353572" w:rsidRDefault="00353572" w:rsidP="00CA77FB">
    <w:pPr>
      <w:pStyle w:val="Encabezado"/>
      <w:jc w:val="center"/>
    </w:pPr>
    <w:r w:rsidRPr="0042068C">
      <w:rPr>
        <w:rFonts w:ascii="Arial" w:hAnsi="Arial" w:cs="Arial"/>
        <w:noProof/>
        <w:spacing w:val="20"/>
        <w:sz w:val="20"/>
        <w:lang w:val="en-US" w:eastAsia="en-US"/>
      </w:rPr>
      <mc:AlternateContent>
        <mc:Choice Requires="wps">
          <w:drawing>
            <wp:anchor distT="0" distB="0" distL="114300" distR="114300" simplePos="0" relativeHeight="251658240" behindDoc="0" locked="0" layoutInCell="1" allowOverlap="1" wp14:anchorId="59A78744" wp14:editId="034DC5F3">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B1F50D3">
            <v:rect id="Rectangle 2"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69229D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2E37F79"/>
    <w:multiLevelType w:val="hybridMultilevel"/>
    <w:tmpl w:val="0122CCAE"/>
    <w:lvl w:ilvl="0" w:tplc="15BC504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B71235B"/>
    <w:multiLevelType w:val="hybridMultilevel"/>
    <w:tmpl w:val="3AC2A8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116E93"/>
    <w:multiLevelType w:val="hybridMultilevel"/>
    <w:tmpl w:val="A510CBC2"/>
    <w:lvl w:ilvl="0" w:tplc="638A4012">
      <w:start w:val="1"/>
      <w:numFmt w:val="decimal"/>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240A000F">
      <w:start w:val="1"/>
      <w:numFmt w:val="decimal"/>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5"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7" w15:restartNumberingAfterBreak="0">
    <w:nsid w:val="4B33262D"/>
    <w:multiLevelType w:val="hybridMultilevel"/>
    <w:tmpl w:val="A9B6600A"/>
    <w:lvl w:ilvl="0" w:tplc="638A4012">
      <w:start w:val="1"/>
      <w:numFmt w:val="decimal"/>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240A000F">
      <w:start w:val="1"/>
      <w:numFmt w:val="decimal"/>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5444002D"/>
    <w:multiLevelType w:val="hybridMultilevel"/>
    <w:tmpl w:val="BF907182"/>
    <w:lvl w:ilvl="0" w:tplc="240A001B">
      <w:start w:val="1"/>
      <w:numFmt w:val="lowerRoman"/>
      <w:lvlText w:val="%1."/>
      <w:lvlJc w:val="right"/>
      <w:pPr>
        <w:ind w:left="699" w:hanging="360"/>
      </w:pPr>
    </w:lvl>
    <w:lvl w:ilvl="1" w:tplc="240A0019" w:tentative="1">
      <w:start w:val="1"/>
      <w:numFmt w:val="lowerLetter"/>
      <w:lvlText w:val="%2."/>
      <w:lvlJc w:val="left"/>
      <w:pPr>
        <w:ind w:left="1419" w:hanging="360"/>
      </w:pPr>
    </w:lvl>
    <w:lvl w:ilvl="2" w:tplc="240A001B" w:tentative="1">
      <w:start w:val="1"/>
      <w:numFmt w:val="lowerRoman"/>
      <w:lvlText w:val="%3."/>
      <w:lvlJc w:val="right"/>
      <w:pPr>
        <w:ind w:left="2139" w:hanging="180"/>
      </w:pPr>
    </w:lvl>
    <w:lvl w:ilvl="3" w:tplc="240A000F" w:tentative="1">
      <w:start w:val="1"/>
      <w:numFmt w:val="decimal"/>
      <w:lvlText w:val="%4."/>
      <w:lvlJc w:val="left"/>
      <w:pPr>
        <w:ind w:left="2859" w:hanging="360"/>
      </w:pPr>
    </w:lvl>
    <w:lvl w:ilvl="4" w:tplc="240A0019" w:tentative="1">
      <w:start w:val="1"/>
      <w:numFmt w:val="lowerLetter"/>
      <w:lvlText w:val="%5."/>
      <w:lvlJc w:val="left"/>
      <w:pPr>
        <w:ind w:left="3579" w:hanging="360"/>
      </w:pPr>
    </w:lvl>
    <w:lvl w:ilvl="5" w:tplc="240A001B" w:tentative="1">
      <w:start w:val="1"/>
      <w:numFmt w:val="lowerRoman"/>
      <w:lvlText w:val="%6."/>
      <w:lvlJc w:val="right"/>
      <w:pPr>
        <w:ind w:left="4299" w:hanging="180"/>
      </w:pPr>
    </w:lvl>
    <w:lvl w:ilvl="6" w:tplc="240A000F" w:tentative="1">
      <w:start w:val="1"/>
      <w:numFmt w:val="decimal"/>
      <w:lvlText w:val="%7."/>
      <w:lvlJc w:val="left"/>
      <w:pPr>
        <w:ind w:left="5019" w:hanging="360"/>
      </w:pPr>
    </w:lvl>
    <w:lvl w:ilvl="7" w:tplc="240A0019" w:tentative="1">
      <w:start w:val="1"/>
      <w:numFmt w:val="lowerLetter"/>
      <w:lvlText w:val="%8."/>
      <w:lvlJc w:val="left"/>
      <w:pPr>
        <w:ind w:left="5739" w:hanging="360"/>
      </w:pPr>
    </w:lvl>
    <w:lvl w:ilvl="8" w:tplc="240A001B" w:tentative="1">
      <w:start w:val="1"/>
      <w:numFmt w:val="lowerRoman"/>
      <w:lvlText w:val="%9."/>
      <w:lvlJc w:val="right"/>
      <w:pPr>
        <w:ind w:left="6459" w:hanging="180"/>
      </w:pPr>
    </w:lvl>
  </w:abstractNum>
  <w:abstractNum w:abstractNumId="20" w15:restartNumberingAfterBreak="0">
    <w:nsid w:val="5673377B"/>
    <w:multiLevelType w:val="hybridMultilevel"/>
    <w:tmpl w:val="D7707E8A"/>
    <w:lvl w:ilvl="0" w:tplc="F30806E4">
      <w:start w:val="3"/>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AD2042F"/>
    <w:multiLevelType w:val="hybridMultilevel"/>
    <w:tmpl w:val="7F2AF9E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4CB189D"/>
    <w:multiLevelType w:val="hybridMultilevel"/>
    <w:tmpl w:val="D6E47FC4"/>
    <w:lvl w:ilvl="0" w:tplc="E4227D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7"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28C24EB"/>
    <w:multiLevelType w:val="hybridMultilevel"/>
    <w:tmpl w:val="1CFC70E0"/>
    <w:lvl w:ilvl="0" w:tplc="E3B05582">
      <w:start w:val="1"/>
      <w:numFmt w:val="decimal"/>
      <w:lvlText w:val="%1."/>
      <w:lvlJc w:val="left"/>
      <w:pPr>
        <w:tabs>
          <w:tab w:val="num" w:pos="720"/>
        </w:tabs>
        <w:ind w:left="720" w:hanging="360"/>
      </w:pPr>
    </w:lvl>
    <w:lvl w:ilvl="1" w:tplc="C9AC5AA4" w:tentative="1">
      <w:start w:val="1"/>
      <w:numFmt w:val="decimal"/>
      <w:lvlText w:val="%2."/>
      <w:lvlJc w:val="left"/>
      <w:pPr>
        <w:tabs>
          <w:tab w:val="num" w:pos="1440"/>
        </w:tabs>
        <w:ind w:left="1440" w:hanging="360"/>
      </w:pPr>
    </w:lvl>
    <w:lvl w:ilvl="2" w:tplc="AE34A894" w:tentative="1">
      <w:start w:val="1"/>
      <w:numFmt w:val="decimal"/>
      <w:lvlText w:val="%3."/>
      <w:lvlJc w:val="left"/>
      <w:pPr>
        <w:tabs>
          <w:tab w:val="num" w:pos="2160"/>
        </w:tabs>
        <w:ind w:left="2160" w:hanging="360"/>
      </w:pPr>
    </w:lvl>
    <w:lvl w:ilvl="3" w:tplc="A8EC04D2" w:tentative="1">
      <w:start w:val="1"/>
      <w:numFmt w:val="decimal"/>
      <w:lvlText w:val="%4."/>
      <w:lvlJc w:val="left"/>
      <w:pPr>
        <w:tabs>
          <w:tab w:val="num" w:pos="2880"/>
        </w:tabs>
        <w:ind w:left="2880" w:hanging="360"/>
      </w:pPr>
    </w:lvl>
    <w:lvl w:ilvl="4" w:tplc="29E47756" w:tentative="1">
      <w:start w:val="1"/>
      <w:numFmt w:val="decimal"/>
      <w:lvlText w:val="%5."/>
      <w:lvlJc w:val="left"/>
      <w:pPr>
        <w:tabs>
          <w:tab w:val="num" w:pos="3600"/>
        </w:tabs>
        <w:ind w:left="3600" w:hanging="360"/>
      </w:pPr>
    </w:lvl>
    <w:lvl w:ilvl="5" w:tplc="916679A0" w:tentative="1">
      <w:start w:val="1"/>
      <w:numFmt w:val="decimal"/>
      <w:lvlText w:val="%6."/>
      <w:lvlJc w:val="left"/>
      <w:pPr>
        <w:tabs>
          <w:tab w:val="num" w:pos="4320"/>
        </w:tabs>
        <w:ind w:left="4320" w:hanging="360"/>
      </w:pPr>
    </w:lvl>
    <w:lvl w:ilvl="6" w:tplc="65CCC160" w:tentative="1">
      <w:start w:val="1"/>
      <w:numFmt w:val="decimal"/>
      <w:lvlText w:val="%7."/>
      <w:lvlJc w:val="left"/>
      <w:pPr>
        <w:tabs>
          <w:tab w:val="num" w:pos="5040"/>
        </w:tabs>
        <w:ind w:left="5040" w:hanging="360"/>
      </w:pPr>
    </w:lvl>
    <w:lvl w:ilvl="7" w:tplc="03B46100" w:tentative="1">
      <w:start w:val="1"/>
      <w:numFmt w:val="decimal"/>
      <w:lvlText w:val="%8."/>
      <w:lvlJc w:val="left"/>
      <w:pPr>
        <w:tabs>
          <w:tab w:val="num" w:pos="5760"/>
        </w:tabs>
        <w:ind w:left="5760" w:hanging="360"/>
      </w:pPr>
    </w:lvl>
    <w:lvl w:ilvl="8" w:tplc="D03C3456" w:tentative="1">
      <w:start w:val="1"/>
      <w:numFmt w:val="decimal"/>
      <w:lvlText w:val="%9."/>
      <w:lvlJc w:val="left"/>
      <w:pPr>
        <w:tabs>
          <w:tab w:val="num" w:pos="6480"/>
        </w:tabs>
        <w:ind w:left="6480" w:hanging="360"/>
      </w:pPr>
    </w:lvl>
  </w:abstractNum>
  <w:abstractNum w:abstractNumId="29" w15:restartNumberingAfterBreak="0">
    <w:nsid w:val="773625FB"/>
    <w:multiLevelType w:val="hybridMultilevel"/>
    <w:tmpl w:val="C76C26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80B10EA"/>
    <w:multiLevelType w:val="hybridMultilevel"/>
    <w:tmpl w:val="085C0F76"/>
    <w:lvl w:ilvl="0" w:tplc="638A4012">
      <w:start w:val="1"/>
      <w:numFmt w:val="decimal"/>
      <w:pStyle w:val="Artculo"/>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EA2EABE0">
      <w:start w:val="1"/>
      <w:numFmt w:val="lowerLetter"/>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90207E6"/>
    <w:multiLevelType w:val="hybridMultilevel"/>
    <w:tmpl w:val="407E9008"/>
    <w:lvl w:ilvl="0" w:tplc="638A4012">
      <w:start w:val="1"/>
      <w:numFmt w:val="decimal"/>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240A000F">
      <w:start w:val="1"/>
      <w:numFmt w:val="decimal"/>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65045451">
    <w:abstractNumId w:val="14"/>
  </w:num>
  <w:num w:numId="2" w16cid:durableId="776371093">
    <w:abstractNumId w:val="7"/>
  </w:num>
  <w:num w:numId="3" w16cid:durableId="908346157">
    <w:abstractNumId w:val="32"/>
  </w:num>
  <w:num w:numId="4" w16cid:durableId="1621842946">
    <w:abstractNumId w:val="8"/>
  </w:num>
  <w:num w:numId="5" w16cid:durableId="1660889350">
    <w:abstractNumId w:val="22"/>
  </w:num>
  <w:num w:numId="6" w16cid:durableId="914583701">
    <w:abstractNumId w:val="5"/>
  </w:num>
  <w:num w:numId="7" w16cid:durableId="661663193">
    <w:abstractNumId w:val="4"/>
  </w:num>
  <w:num w:numId="8" w16cid:durableId="1902598236">
    <w:abstractNumId w:val="24"/>
  </w:num>
  <w:num w:numId="9" w16cid:durableId="1126268104">
    <w:abstractNumId w:val="23"/>
  </w:num>
  <w:num w:numId="10" w16cid:durableId="392847532">
    <w:abstractNumId w:val="15"/>
  </w:num>
  <w:num w:numId="11" w16cid:durableId="481392605">
    <w:abstractNumId w:val="33"/>
  </w:num>
  <w:num w:numId="12" w16cid:durableId="1392463669">
    <w:abstractNumId w:val="27"/>
  </w:num>
  <w:num w:numId="13" w16cid:durableId="1216047324">
    <w:abstractNumId w:val="13"/>
  </w:num>
  <w:num w:numId="14" w16cid:durableId="399985315">
    <w:abstractNumId w:val="2"/>
  </w:num>
  <w:num w:numId="15" w16cid:durableId="6252434">
    <w:abstractNumId w:val="16"/>
  </w:num>
  <w:num w:numId="16" w16cid:durableId="377752327">
    <w:abstractNumId w:val="1"/>
  </w:num>
  <w:num w:numId="17" w16cid:durableId="1819766508">
    <w:abstractNumId w:val="12"/>
  </w:num>
  <w:num w:numId="18" w16cid:durableId="546647253">
    <w:abstractNumId w:val="0"/>
  </w:num>
  <w:num w:numId="19" w16cid:durableId="926812992">
    <w:abstractNumId w:val="26"/>
  </w:num>
  <w:num w:numId="20" w16cid:durableId="1971085377">
    <w:abstractNumId w:val="18"/>
  </w:num>
  <w:num w:numId="21" w16cid:durableId="96877346">
    <w:abstractNumId w:val="9"/>
  </w:num>
  <w:num w:numId="22" w16cid:durableId="2022465524">
    <w:abstractNumId w:val="11"/>
  </w:num>
  <w:num w:numId="23" w16cid:durableId="693118076">
    <w:abstractNumId w:val="19"/>
  </w:num>
  <w:num w:numId="24" w16cid:durableId="1968661556">
    <w:abstractNumId w:val="25"/>
  </w:num>
  <w:num w:numId="25" w16cid:durableId="194931870">
    <w:abstractNumId w:val="30"/>
  </w:num>
  <w:num w:numId="26" w16cid:durableId="513154636">
    <w:abstractNumId w:val="21"/>
  </w:num>
  <w:num w:numId="27" w16cid:durableId="443768999">
    <w:abstractNumId w:val="3"/>
  </w:num>
  <w:num w:numId="28" w16cid:durableId="671372227">
    <w:abstractNumId w:val="28"/>
  </w:num>
  <w:num w:numId="29" w16cid:durableId="303698486">
    <w:abstractNumId w:val="20"/>
  </w:num>
  <w:num w:numId="30" w16cid:durableId="1838229629">
    <w:abstractNumId w:val="10"/>
  </w:num>
  <w:num w:numId="31" w16cid:durableId="273482676">
    <w:abstractNumId w:val="31"/>
  </w:num>
  <w:num w:numId="32" w16cid:durableId="425614169">
    <w:abstractNumId w:val="17"/>
  </w:num>
  <w:num w:numId="33" w16cid:durableId="946540461">
    <w:abstractNumId w:val="6"/>
  </w:num>
  <w:num w:numId="34" w16cid:durableId="57261769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F53"/>
    <w:rsid w:val="00002854"/>
    <w:rsid w:val="00002B3B"/>
    <w:rsid w:val="00003011"/>
    <w:rsid w:val="00003375"/>
    <w:rsid w:val="0000605A"/>
    <w:rsid w:val="0000673E"/>
    <w:rsid w:val="00006A26"/>
    <w:rsid w:val="00006AE2"/>
    <w:rsid w:val="00007580"/>
    <w:rsid w:val="000076A1"/>
    <w:rsid w:val="000107DB"/>
    <w:rsid w:val="00011150"/>
    <w:rsid w:val="000114C6"/>
    <w:rsid w:val="00011C29"/>
    <w:rsid w:val="00012259"/>
    <w:rsid w:val="00013EC3"/>
    <w:rsid w:val="00013ECB"/>
    <w:rsid w:val="00014F18"/>
    <w:rsid w:val="0001735E"/>
    <w:rsid w:val="000207D6"/>
    <w:rsid w:val="00020E80"/>
    <w:rsid w:val="00020EB0"/>
    <w:rsid w:val="00024420"/>
    <w:rsid w:val="00024E23"/>
    <w:rsid w:val="00024E6B"/>
    <w:rsid w:val="00025383"/>
    <w:rsid w:val="000269F5"/>
    <w:rsid w:val="00034298"/>
    <w:rsid w:val="0003490F"/>
    <w:rsid w:val="0003525C"/>
    <w:rsid w:val="000355F6"/>
    <w:rsid w:val="0003590F"/>
    <w:rsid w:val="00042C9B"/>
    <w:rsid w:val="0004318E"/>
    <w:rsid w:val="00043394"/>
    <w:rsid w:val="00045D3D"/>
    <w:rsid w:val="00047296"/>
    <w:rsid w:val="00047CB1"/>
    <w:rsid w:val="00050EDC"/>
    <w:rsid w:val="00050EF7"/>
    <w:rsid w:val="000513A3"/>
    <w:rsid w:val="00054330"/>
    <w:rsid w:val="00054A5C"/>
    <w:rsid w:val="00055C45"/>
    <w:rsid w:val="00055D69"/>
    <w:rsid w:val="00057323"/>
    <w:rsid w:val="00057AB8"/>
    <w:rsid w:val="00060693"/>
    <w:rsid w:val="00063657"/>
    <w:rsid w:val="00064E9D"/>
    <w:rsid w:val="00065BD7"/>
    <w:rsid w:val="00065FF8"/>
    <w:rsid w:val="000668B7"/>
    <w:rsid w:val="00066B48"/>
    <w:rsid w:val="00067ABB"/>
    <w:rsid w:val="000718FF"/>
    <w:rsid w:val="0007497B"/>
    <w:rsid w:val="000751CB"/>
    <w:rsid w:val="00075D7C"/>
    <w:rsid w:val="000760F6"/>
    <w:rsid w:val="00076324"/>
    <w:rsid w:val="000763BB"/>
    <w:rsid w:val="00076680"/>
    <w:rsid w:val="00076941"/>
    <w:rsid w:val="00076A1D"/>
    <w:rsid w:val="0007756B"/>
    <w:rsid w:val="00080673"/>
    <w:rsid w:val="0008073E"/>
    <w:rsid w:val="00081B80"/>
    <w:rsid w:val="00083F9C"/>
    <w:rsid w:val="000848C5"/>
    <w:rsid w:val="00086394"/>
    <w:rsid w:val="00086A19"/>
    <w:rsid w:val="00086B63"/>
    <w:rsid w:val="00087287"/>
    <w:rsid w:val="000877B4"/>
    <w:rsid w:val="000878FC"/>
    <w:rsid w:val="0009012D"/>
    <w:rsid w:val="00090DDA"/>
    <w:rsid w:val="00091446"/>
    <w:rsid w:val="00091804"/>
    <w:rsid w:val="00091CDB"/>
    <w:rsid w:val="00093AE3"/>
    <w:rsid w:val="00095D93"/>
    <w:rsid w:val="00096AC9"/>
    <w:rsid w:val="00097892"/>
    <w:rsid w:val="00097ACE"/>
    <w:rsid w:val="000A0340"/>
    <w:rsid w:val="000A0370"/>
    <w:rsid w:val="000A0E2C"/>
    <w:rsid w:val="000A1852"/>
    <w:rsid w:val="000A19AC"/>
    <w:rsid w:val="000A36A6"/>
    <w:rsid w:val="000A4C77"/>
    <w:rsid w:val="000A5106"/>
    <w:rsid w:val="000A70EC"/>
    <w:rsid w:val="000A7931"/>
    <w:rsid w:val="000B0F45"/>
    <w:rsid w:val="000B2EC9"/>
    <w:rsid w:val="000B3035"/>
    <w:rsid w:val="000B3049"/>
    <w:rsid w:val="000B34CF"/>
    <w:rsid w:val="000B3684"/>
    <w:rsid w:val="000B3C6D"/>
    <w:rsid w:val="000B4FE8"/>
    <w:rsid w:val="000B51A6"/>
    <w:rsid w:val="000C05F2"/>
    <w:rsid w:val="000C0FED"/>
    <w:rsid w:val="000C1C24"/>
    <w:rsid w:val="000C3CBB"/>
    <w:rsid w:val="000C3E6D"/>
    <w:rsid w:val="000C479A"/>
    <w:rsid w:val="000C47F9"/>
    <w:rsid w:val="000C74F4"/>
    <w:rsid w:val="000C7EB9"/>
    <w:rsid w:val="000D02A6"/>
    <w:rsid w:val="000D14E2"/>
    <w:rsid w:val="000D1A3B"/>
    <w:rsid w:val="000D1BD7"/>
    <w:rsid w:val="000D26F8"/>
    <w:rsid w:val="000D2B0C"/>
    <w:rsid w:val="000D4034"/>
    <w:rsid w:val="000D46E7"/>
    <w:rsid w:val="000D53F4"/>
    <w:rsid w:val="000D53FD"/>
    <w:rsid w:val="000D5D72"/>
    <w:rsid w:val="000D64C1"/>
    <w:rsid w:val="000E00EF"/>
    <w:rsid w:val="000E240E"/>
    <w:rsid w:val="000E3A03"/>
    <w:rsid w:val="000E5253"/>
    <w:rsid w:val="000E5809"/>
    <w:rsid w:val="000E6CEF"/>
    <w:rsid w:val="000E72EB"/>
    <w:rsid w:val="000E780F"/>
    <w:rsid w:val="000E79BE"/>
    <w:rsid w:val="000F0566"/>
    <w:rsid w:val="000F0FE7"/>
    <w:rsid w:val="000F1E30"/>
    <w:rsid w:val="000F28B3"/>
    <w:rsid w:val="000F38F5"/>
    <w:rsid w:val="000F3DCD"/>
    <w:rsid w:val="000F5148"/>
    <w:rsid w:val="000F69BE"/>
    <w:rsid w:val="000F6C9E"/>
    <w:rsid w:val="000F74E3"/>
    <w:rsid w:val="000F7C2E"/>
    <w:rsid w:val="000F7D1B"/>
    <w:rsid w:val="0010033A"/>
    <w:rsid w:val="00101ADE"/>
    <w:rsid w:val="00102FD6"/>
    <w:rsid w:val="001048EA"/>
    <w:rsid w:val="00104A06"/>
    <w:rsid w:val="001059C9"/>
    <w:rsid w:val="00105A45"/>
    <w:rsid w:val="00106654"/>
    <w:rsid w:val="00106C27"/>
    <w:rsid w:val="00113C08"/>
    <w:rsid w:val="00115628"/>
    <w:rsid w:val="0011574B"/>
    <w:rsid w:val="001157E0"/>
    <w:rsid w:val="0012001A"/>
    <w:rsid w:val="00120350"/>
    <w:rsid w:val="00121842"/>
    <w:rsid w:val="00121F74"/>
    <w:rsid w:val="00124454"/>
    <w:rsid w:val="00125960"/>
    <w:rsid w:val="00125A81"/>
    <w:rsid w:val="0012627C"/>
    <w:rsid w:val="0012686D"/>
    <w:rsid w:val="001309FD"/>
    <w:rsid w:val="00130B7E"/>
    <w:rsid w:val="00130EF6"/>
    <w:rsid w:val="0013194C"/>
    <w:rsid w:val="00131B7F"/>
    <w:rsid w:val="001335C1"/>
    <w:rsid w:val="00134248"/>
    <w:rsid w:val="0013526C"/>
    <w:rsid w:val="00135C0F"/>
    <w:rsid w:val="001365FF"/>
    <w:rsid w:val="00136B7E"/>
    <w:rsid w:val="001405C6"/>
    <w:rsid w:val="00141013"/>
    <w:rsid w:val="00142B62"/>
    <w:rsid w:val="0014376D"/>
    <w:rsid w:val="0014435F"/>
    <w:rsid w:val="00145394"/>
    <w:rsid w:val="00145932"/>
    <w:rsid w:val="00152380"/>
    <w:rsid w:val="00152956"/>
    <w:rsid w:val="00153508"/>
    <w:rsid w:val="001536C7"/>
    <w:rsid w:val="00157B16"/>
    <w:rsid w:val="00160D4E"/>
    <w:rsid w:val="0016159D"/>
    <w:rsid w:val="0016330A"/>
    <w:rsid w:val="00163B2C"/>
    <w:rsid w:val="00163C79"/>
    <w:rsid w:val="001643ED"/>
    <w:rsid w:val="00165C55"/>
    <w:rsid w:val="001661D4"/>
    <w:rsid w:val="00167B2E"/>
    <w:rsid w:val="001704B6"/>
    <w:rsid w:val="00170548"/>
    <w:rsid w:val="00172CC4"/>
    <w:rsid w:val="00172DB8"/>
    <w:rsid w:val="00172F10"/>
    <w:rsid w:val="00173BDC"/>
    <w:rsid w:val="00174BC6"/>
    <w:rsid w:val="0017661E"/>
    <w:rsid w:val="00177179"/>
    <w:rsid w:val="00177425"/>
    <w:rsid w:val="00177890"/>
    <w:rsid w:val="001806D4"/>
    <w:rsid w:val="00180B4B"/>
    <w:rsid w:val="001828B2"/>
    <w:rsid w:val="0018587D"/>
    <w:rsid w:val="00187A85"/>
    <w:rsid w:val="00192379"/>
    <w:rsid w:val="00192CBF"/>
    <w:rsid w:val="00192FF1"/>
    <w:rsid w:val="00194639"/>
    <w:rsid w:val="0019506D"/>
    <w:rsid w:val="00197A6D"/>
    <w:rsid w:val="00197E81"/>
    <w:rsid w:val="001A0907"/>
    <w:rsid w:val="001A0FBD"/>
    <w:rsid w:val="001A1838"/>
    <w:rsid w:val="001A2D9F"/>
    <w:rsid w:val="001A2DE1"/>
    <w:rsid w:val="001A5687"/>
    <w:rsid w:val="001A5BE5"/>
    <w:rsid w:val="001A5F1B"/>
    <w:rsid w:val="001A79F5"/>
    <w:rsid w:val="001A7F3B"/>
    <w:rsid w:val="001B1627"/>
    <w:rsid w:val="001B1B8B"/>
    <w:rsid w:val="001B1C22"/>
    <w:rsid w:val="001B2F15"/>
    <w:rsid w:val="001B3454"/>
    <w:rsid w:val="001B34C6"/>
    <w:rsid w:val="001B377E"/>
    <w:rsid w:val="001B380F"/>
    <w:rsid w:val="001B6156"/>
    <w:rsid w:val="001B68C0"/>
    <w:rsid w:val="001C2F6F"/>
    <w:rsid w:val="001C3211"/>
    <w:rsid w:val="001C36E9"/>
    <w:rsid w:val="001C5DFF"/>
    <w:rsid w:val="001C73A5"/>
    <w:rsid w:val="001C7680"/>
    <w:rsid w:val="001D0CCC"/>
    <w:rsid w:val="001D10AD"/>
    <w:rsid w:val="001D25D0"/>
    <w:rsid w:val="001D3C2F"/>
    <w:rsid w:val="001D62CA"/>
    <w:rsid w:val="001D6C12"/>
    <w:rsid w:val="001D7832"/>
    <w:rsid w:val="001D7C88"/>
    <w:rsid w:val="001E1496"/>
    <w:rsid w:val="001E30AB"/>
    <w:rsid w:val="001E4A38"/>
    <w:rsid w:val="001E7EA7"/>
    <w:rsid w:val="001F1FCE"/>
    <w:rsid w:val="001F5B15"/>
    <w:rsid w:val="001F6066"/>
    <w:rsid w:val="001F696F"/>
    <w:rsid w:val="001F6F5B"/>
    <w:rsid w:val="001F7582"/>
    <w:rsid w:val="00200336"/>
    <w:rsid w:val="00202031"/>
    <w:rsid w:val="00203A71"/>
    <w:rsid w:val="00205A0B"/>
    <w:rsid w:val="00207E8C"/>
    <w:rsid w:val="002100A4"/>
    <w:rsid w:val="00210DC1"/>
    <w:rsid w:val="00211D34"/>
    <w:rsid w:val="002129C4"/>
    <w:rsid w:val="00214683"/>
    <w:rsid w:val="00214F04"/>
    <w:rsid w:val="00215766"/>
    <w:rsid w:val="00215B0C"/>
    <w:rsid w:val="00216829"/>
    <w:rsid w:val="002220E0"/>
    <w:rsid w:val="002255BF"/>
    <w:rsid w:val="00227605"/>
    <w:rsid w:val="002276B7"/>
    <w:rsid w:val="00227836"/>
    <w:rsid w:val="00231007"/>
    <w:rsid w:val="00231E1E"/>
    <w:rsid w:val="00232159"/>
    <w:rsid w:val="00232D3E"/>
    <w:rsid w:val="00233261"/>
    <w:rsid w:val="00234B7E"/>
    <w:rsid w:val="002352B9"/>
    <w:rsid w:val="00235698"/>
    <w:rsid w:val="002369BE"/>
    <w:rsid w:val="002405FC"/>
    <w:rsid w:val="0024153B"/>
    <w:rsid w:val="00242185"/>
    <w:rsid w:val="002443AA"/>
    <w:rsid w:val="0024494C"/>
    <w:rsid w:val="00245F3B"/>
    <w:rsid w:val="00246D18"/>
    <w:rsid w:val="002505E2"/>
    <w:rsid w:val="00250D36"/>
    <w:rsid w:val="00251DF2"/>
    <w:rsid w:val="00252B22"/>
    <w:rsid w:val="002558FB"/>
    <w:rsid w:val="00257DDA"/>
    <w:rsid w:val="00260478"/>
    <w:rsid w:val="002614EE"/>
    <w:rsid w:val="00261F7D"/>
    <w:rsid w:val="00262847"/>
    <w:rsid w:val="00263FC2"/>
    <w:rsid w:val="00264DC3"/>
    <w:rsid w:val="002652D6"/>
    <w:rsid w:val="002654C3"/>
    <w:rsid w:val="00265797"/>
    <w:rsid w:val="002658F8"/>
    <w:rsid w:val="00265BA0"/>
    <w:rsid w:val="0026688A"/>
    <w:rsid w:val="00266B7E"/>
    <w:rsid w:val="00266CD6"/>
    <w:rsid w:val="002673AC"/>
    <w:rsid w:val="00270441"/>
    <w:rsid w:val="00270DC2"/>
    <w:rsid w:val="0027452F"/>
    <w:rsid w:val="00275DAB"/>
    <w:rsid w:val="00277A13"/>
    <w:rsid w:val="002800C0"/>
    <w:rsid w:val="00280F45"/>
    <w:rsid w:val="0028276B"/>
    <w:rsid w:val="00282D4A"/>
    <w:rsid w:val="002836D0"/>
    <w:rsid w:val="00283FA5"/>
    <w:rsid w:val="00284346"/>
    <w:rsid w:val="00285D5B"/>
    <w:rsid w:val="00285E80"/>
    <w:rsid w:val="0028795D"/>
    <w:rsid w:val="002903C0"/>
    <w:rsid w:val="002913C6"/>
    <w:rsid w:val="0029168E"/>
    <w:rsid w:val="00291C1B"/>
    <w:rsid w:val="00291CE8"/>
    <w:rsid w:val="002920A0"/>
    <w:rsid w:val="0029302F"/>
    <w:rsid w:val="00295774"/>
    <w:rsid w:val="002957BC"/>
    <w:rsid w:val="00295864"/>
    <w:rsid w:val="0029645A"/>
    <w:rsid w:val="002969C5"/>
    <w:rsid w:val="0029781D"/>
    <w:rsid w:val="00297A12"/>
    <w:rsid w:val="002A0C71"/>
    <w:rsid w:val="002A18F0"/>
    <w:rsid w:val="002A1A56"/>
    <w:rsid w:val="002A1A59"/>
    <w:rsid w:val="002A25FA"/>
    <w:rsid w:val="002A2869"/>
    <w:rsid w:val="002A2C4F"/>
    <w:rsid w:val="002A5D5A"/>
    <w:rsid w:val="002A5EB2"/>
    <w:rsid w:val="002A5FFD"/>
    <w:rsid w:val="002A6504"/>
    <w:rsid w:val="002A6610"/>
    <w:rsid w:val="002A6E81"/>
    <w:rsid w:val="002A782A"/>
    <w:rsid w:val="002A7979"/>
    <w:rsid w:val="002B0169"/>
    <w:rsid w:val="002B06D3"/>
    <w:rsid w:val="002B0933"/>
    <w:rsid w:val="002B0D03"/>
    <w:rsid w:val="002B11E2"/>
    <w:rsid w:val="002B24B8"/>
    <w:rsid w:val="002B447E"/>
    <w:rsid w:val="002B4948"/>
    <w:rsid w:val="002B5672"/>
    <w:rsid w:val="002B699F"/>
    <w:rsid w:val="002B706D"/>
    <w:rsid w:val="002B71B5"/>
    <w:rsid w:val="002B76D5"/>
    <w:rsid w:val="002C0140"/>
    <w:rsid w:val="002C13FF"/>
    <w:rsid w:val="002C2B7D"/>
    <w:rsid w:val="002C5B32"/>
    <w:rsid w:val="002C5DBE"/>
    <w:rsid w:val="002C748A"/>
    <w:rsid w:val="002D005C"/>
    <w:rsid w:val="002D0212"/>
    <w:rsid w:val="002D09F8"/>
    <w:rsid w:val="002D15C7"/>
    <w:rsid w:val="002D19BD"/>
    <w:rsid w:val="002D28A5"/>
    <w:rsid w:val="002D3AE9"/>
    <w:rsid w:val="002D3BC0"/>
    <w:rsid w:val="002D407F"/>
    <w:rsid w:val="002D4393"/>
    <w:rsid w:val="002D43D5"/>
    <w:rsid w:val="002D4510"/>
    <w:rsid w:val="002D5233"/>
    <w:rsid w:val="002D523D"/>
    <w:rsid w:val="002D54FD"/>
    <w:rsid w:val="002D57C1"/>
    <w:rsid w:val="002D6925"/>
    <w:rsid w:val="002D724C"/>
    <w:rsid w:val="002E3394"/>
    <w:rsid w:val="002E719A"/>
    <w:rsid w:val="002E7453"/>
    <w:rsid w:val="002E77E4"/>
    <w:rsid w:val="002E7996"/>
    <w:rsid w:val="002E7F2F"/>
    <w:rsid w:val="002F06D2"/>
    <w:rsid w:val="002F0734"/>
    <w:rsid w:val="002F140E"/>
    <w:rsid w:val="002F2104"/>
    <w:rsid w:val="002F31C8"/>
    <w:rsid w:val="002F46E7"/>
    <w:rsid w:val="002F479F"/>
    <w:rsid w:val="002F5E63"/>
    <w:rsid w:val="002F6115"/>
    <w:rsid w:val="002F6F0F"/>
    <w:rsid w:val="002F781D"/>
    <w:rsid w:val="002F7A5B"/>
    <w:rsid w:val="003013D7"/>
    <w:rsid w:val="00301E6B"/>
    <w:rsid w:val="00302878"/>
    <w:rsid w:val="00302D5E"/>
    <w:rsid w:val="003062C4"/>
    <w:rsid w:val="003069CF"/>
    <w:rsid w:val="00306C46"/>
    <w:rsid w:val="00307B73"/>
    <w:rsid w:val="003101DA"/>
    <w:rsid w:val="00310C44"/>
    <w:rsid w:val="003111C3"/>
    <w:rsid w:val="00313080"/>
    <w:rsid w:val="00313677"/>
    <w:rsid w:val="00314757"/>
    <w:rsid w:val="0031564E"/>
    <w:rsid w:val="00315BE5"/>
    <w:rsid w:val="003161A2"/>
    <w:rsid w:val="00316350"/>
    <w:rsid w:val="003163BC"/>
    <w:rsid w:val="00316973"/>
    <w:rsid w:val="003174D0"/>
    <w:rsid w:val="00320ACD"/>
    <w:rsid w:val="00320B28"/>
    <w:rsid w:val="00320D87"/>
    <w:rsid w:val="003211CE"/>
    <w:rsid w:val="00323D94"/>
    <w:rsid w:val="00323EF6"/>
    <w:rsid w:val="00323FED"/>
    <w:rsid w:val="00324812"/>
    <w:rsid w:val="00324CB4"/>
    <w:rsid w:val="003252D8"/>
    <w:rsid w:val="00326548"/>
    <w:rsid w:val="0032722A"/>
    <w:rsid w:val="003306C2"/>
    <w:rsid w:val="00332E07"/>
    <w:rsid w:val="00333832"/>
    <w:rsid w:val="00334C70"/>
    <w:rsid w:val="00334CAE"/>
    <w:rsid w:val="00337053"/>
    <w:rsid w:val="00337B85"/>
    <w:rsid w:val="00341236"/>
    <w:rsid w:val="00341C43"/>
    <w:rsid w:val="003431FE"/>
    <w:rsid w:val="003434DF"/>
    <w:rsid w:val="00343E1F"/>
    <w:rsid w:val="00344B70"/>
    <w:rsid w:val="0034505B"/>
    <w:rsid w:val="0034621C"/>
    <w:rsid w:val="00346224"/>
    <w:rsid w:val="00352D17"/>
    <w:rsid w:val="00353057"/>
    <w:rsid w:val="00353572"/>
    <w:rsid w:val="0035403A"/>
    <w:rsid w:val="0035472E"/>
    <w:rsid w:val="00356455"/>
    <w:rsid w:val="00356A01"/>
    <w:rsid w:val="0036002D"/>
    <w:rsid w:val="003608B6"/>
    <w:rsid w:val="003618C4"/>
    <w:rsid w:val="003628A6"/>
    <w:rsid w:val="0036394B"/>
    <w:rsid w:val="00363C41"/>
    <w:rsid w:val="003657F7"/>
    <w:rsid w:val="00366DB6"/>
    <w:rsid w:val="0036737B"/>
    <w:rsid w:val="00370889"/>
    <w:rsid w:val="003709B5"/>
    <w:rsid w:val="003720C2"/>
    <w:rsid w:val="003732C4"/>
    <w:rsid w:val="00373CB0"/>
    <w:rsid w:val="00374B94"/>
    <w:rsid w:val="003759C2"/>
    <w:rsid w:val="00380946"/>
    <w:rsid w:val="00381C06"/>
    <w:rsid w:val="00383AF1"/>
    <w:rsid w:val="00385340"/>
    <w:rsid w:val="003855FE"/>
    <w:rsid w:val="00386011"/>
    <w:rsid w:val="00390A8F"/>
    <w:rsid w:val="00390DDC"/>
    <w:rsid w:val="003924CA"/>
    <w:rsid w:val="003926A5"/>
    <w:rsid w:val="0039276D"/>
    <w:rsid w:val="00393608"/>
    <w:rsid w:val="00393C6C"/>
    <w:rsid w:val="00393EFE"/>
    <w:rsid w:val="003941FE"/>
    <w:rsid w:val="00395F30"/>
    <w:rsid w:val="003970B7"/>
    <w:rsid w:val="00397365"/>
    <w:rsid w:val="003A31F6"/>
    <w:rsid w:val="003A3606"/>
    <w:rsid w:val="003A4432"/>
    <w:rsid w:val="003A595E"/>
    <w:rsid w:val="003A5E1C"/>
    <w:rsid w:val="003A6FCA"/>
    <w:rsid w:val="003A7FB8"/>
    <w:rsid w:val="003B0052"/>
    <w:rsid w:val="003B2652"/>
    <w:rsid w:val="003B2953"/>
    <w:rsid w:val="003B3CDB"/>
    <w:rsid w:val="003B473B"/>
    <w:rsid w:val="003B4CD6"/>
    <w:rsid w:val="003B5C83"/>
    <w:rsid w:val="003B7223"/>
    <w:rsid w:val="003B79D1"/>
    <w:rsid w:val="003B7B33"/>
    <w:rsid w:val="003C0416"/>
    <w:rsid w:val="003C1AFB"/>
    <w:rsid w:val="003C3102"/>
    <w:rsid w:val="003C3447"/>
    <w:rsid w:val="003C365A"/>
    <w:rsid w:val="003C4028"/>
    <w:rsid w:val="003C6DC3"/>
    <w:rsid w:val="003C7729"/>
    <w:rsid w:val="003C7807"/>
    <w:rsid w:val="003D076C"/>
    <w:rsid w:val="003D3139"/>
    <w:rsid w:val="003D3170"/>
    <w:rsid w:val="003D317B"/>
    <w:rsid w:val="003D32FB"/>
    <w:rsid w:val="003D40B7"/>
    <w:rsid w:val="003D458E"/>
    <w:rsid w:val="003D49BA"/>
    <w:rsid w:val="003D5A9D"/>
    <w:rsid w:val="003D67D8"/>
    <w:rsid w:val="003D7435"/>
    <w:rsid w:val="003E07C5"/>
    <w:rsid w:val="003E1A5D"/>
    <w:rsid w:val="003E1A9D"/>
    <w:rsid w:val="003E23A9"/>
    <w:rsid w:val="003E3BAE"/>
    <w:rsid w:val="003E3C44"/>
    <w:rsid w:val="003E3FB3"/>
    <w:rsid w:val="003E4D72"/>
    <w:rsid w:val="003E534F"/>
    <w:rsid w:val="003E78B5"/>
    <w:rsid w:val="003F25E1"/>
    <w:rsid w:val="003F2B10"/>
    <w:rsid w:val="003F317E"/>
    <w:rsid w:val="003F335A"/>
    <w:rsid w:val="003F539A"/>
    <w:rsid w:val="0040073A"/>
    <w:rsid w:val="004015EB"/>
    <w:rsid w:val="00402134"/>
    <w:rsid w:val="00402135"/>
    <w:rsid w:val="004027D2"/>
    <w:rsid w:val="0040301E"/>
    <w:rsid w:val="00403323"/>
    <w:rsid w:val="00404CF1"/>
    <w:rsid w:val="00404F97"/>
    <w:rsid w:val="0040691A"/>
    <w:rsid w:val="00407976"/>
    <w:rsid w:val="004117E4"/>
    <w:rsid w:val="00411EDA"/>
    <w:rsid w:val="00412AFB"/>
    <w:rsid w:val="004130C0"/>
    <w:rsid w:val="00413EBB"/>
    <w:rsid w:val="004145D5"/>
    <w:rsid w:val="00415152"/>
    <w:rsid w:val="0041557D"/>
    <w:rsid w:val="00415B6E"/>
    <w:rsid w:val="00415BAB"/>
    <w:rsid w:val="00415ED2"/>
    <w:rsid w:val="0042068C"/>
    <w:rsid w:val="004213E0"/>
    <w:rsid w:val="00421D48"/>
    <w:rsid w:val="004224B2"/>
    <w:rsid w:val="00423DFB"/>
    <w:rsid w:val="004246F4"/>
    <w:rsid w:val="00425125"/>
    <w:rsid w:val="00426122"/>
    <w:rsid w:val="004262F7"/>
    <w:rsid w:val="00426703"/>
    <w:rsid w:val="00426A7E"/>
    <w:rsid w:val="004275D5"/>
    <w:rsid w:val="004302A4"/>
    <w:rsid w:val="0043115E"/>
    <w:rsid w:val="00431A2A"/>
    <w:rsid w:val="00431C60"/>
    <w:rsid w:val="00433687"/>
    <w:rsid w:val="00434148"/>
    <w:rsid w:val="00435178"/>
    <w:rsid w:val="00436185"/>
    <w:rsid w:val="00436B04"/>
    <w:rsid w:val="004372FA"/>
    <w:rsid w:val="004408A1"/>
    <w:rsid w:val="00440DC9"/>
    <w:rsid w:val="00442999"/>
    <w:rsid w:val="0044318E"/>
    <w:rsid w:val="00443729"/>
    <w:rsid w:val="00443B35"/>
    <w:rsid w:val="00444704"/>
    <w:rsid w:val="004451D8"/>
    <w:rsid w:val="00445881"/>
    <w:rsid w:val="004463A2"/>
    <w:rsid w:val="0044714D"/>
    <w:rsid w:val="004471F3"/>
    <w:rsid w:val="0044795C"/>
    <w:rsid w:val="00451FD3"/>
    <w:rsid w:val="0045273A"/>
    <w:rsid w:val="00452B1A"/>
    <w:rsid w:val="004531D5"/>
    <w:rsid w:val="00454602"/>
    <w:rsid w:val="004567A4"/>
    <w:rsid w:val="00457344"/>
    <w:rsid w:val="00460EEB"/>
    <w:rsid w:val="00460F2B"/>
    <w:rsid w:val="004612CA"/>
    <w:rsid w:val="004627AA"/>
    <w:rsid w:val="00464BEB"/>
    <w:rsid w:val="004656D9"/>
    <w:rsid w:val="00465A0F"/>
    <w:rsid w:val="004668BF"/>
    <w:rsid w:val="004669CA"/>
    <w:rsid w:val="00466AE6"/>
    <w:rsid w:val="0047122B"/>
    <w:rsid w:val="004719C4"/>
    <w:rsid w:val="00471A35"/>
    <w:rsid w:val="00472268"/>
    <w:rsid w:val="00472804"/>
    <w:rsid w:val="00472FF1"/>
    <w:rsid w:val="00473B7A"/>
    <w:rsid w:val="004751B4"/>
    <w:rsid w:val="00475D73"/>
    <w:rsid w:val="00477404"/>
    <w:rsid w:val="004777CE"/>
    <w:rsid w:val="00481CED"/>
    <w:rsid w:val="00481F04"/>
    <w:rsid w:val="004826ED"/>
    <w:rsid w:val="00484180"/>
    <w:rsid w:val="00484BB1"/>
    <w:rsid w:val="004853FE"/>
    <w:rsid w:val="0048573D"/>
    <w:rsid w:val="00486695"/>
    <w:rsid w:val="00490B9F"/>
    <w:rsid w:val="004925A5"/>
    <w:rsid w:val="00494CC4"/>
    <w:rsid w:val="004960E9"/>
    <w:rsid w:val="00496F41"/>
    <w:rsid w:val="004973AD"/>
    <w:rsid w:val="004977B6"/>
    <w:rsid w:val="004A17CF"/>
    <w:rsid w:val="004A1C2B"/>
    <w:rsid w:val="004A2E88"/>
    <w:rsid w:val="004A31AA"/>
    <w:rsid w:val="004A37ED"/>
    <w:rsid w:val="004A3999"/>
    <w:rsid w:val="004A5305"/>
    <w:rsid w:val="004A6CA0"/>
    <w:rsid w:val="004A6E8F"/>
    <w:rsid w:val="004A7074"/>
    <w:rsid w:val="004A75A3"/>
    <w:rsid w:val="004A7B36"/>
    <w:rsid w:val="004B253D"/>
    <w:rsid w:val="004B2CE7"/>
    <w:rsid w:val="004B35BD"/>
    <w:rsid w:val="004B6EE5"/>
    <w:rsid w:val="004B70B2"/>
    <w:rsid w:val="004B7544"/>
    <w:rsid w:val="004C0FA1"/>
    <w:rsid w:val="004C1336"/>
    <w:rsid w:val="004C181B"/>
    <w:rsid w:val="004C3053"/>
    <w:rsid w:val="004C3058"/>
    <w:rsid w:val="004C30BA"/>
    <w:rsid w:val="004C35B9"/>
    <w:rsid w:val="004C4748"/>
    <w:rsid w:val="004C494E"/>
    <w:rsid w:val="004C4C80"/>
    <w:rsid w:val="004C4F1A"/>
    <w:rsid w:val="004C6172"/>
    <w:rsid w:val="004C63F0"/>
    <w:rsid w:val="004C73E3"/>
    <w:rsid w:val="004C7D7D"/>
    <w:rsid w:val="004D05F0"/>
    <w:rsid w:val="004D0D1E"/>
    <w:rsid w:val="004D14A1"/>
    <w:rsid w:val="004D3362"/>
    <w:rsid w:val="004D34A5"/>
    <w:rsid w:val="004D3D38"/>
    <w:rsid w:val="004D5826"/>
    <w:rsid w:val="004D7634"/>
    <w:rsid w:val="004D77D1"/>
    <w:rsid w:val="004E13A0"/>
    <w:rsid w:val="004E27F2"/>
    <w:rsid w:val="004E3059"/>
    <w:rsid w:val="004E5F38"/>
    <w:rsid w:val="004E611A"/>
    <w:rsid w:val="004E7000"/>
    <w:rsid w:val="004E7020"/>
    <w:rsid w:val="004F0F3C"/>
    <w:rsid w:val="004F3616"/>
    <w:rsid w:val="004F3B98"/>
    <w:rsid w:val="004F4FCB"/>
    <w:rsid w:val="004F51A1"/>
    <w:rsid w:val="004F6460"/>
    <w:rsid w:val="004F648A"/>
    <w:rsid w:val="005005DA"/>
    <w:rsid w:val="005013D0"/>
    <w:rsid w:val="00502482"/>
    <w:rsid w:val="00503EE6"/>
    <w:rsid w:val="0050424C"/>
    <w:rsid w:val="00504A49"/>
    <w:rsid w:val="00506B2D"/>
    <w:rsid w:val="005074DB"/>
    <w:rsid w:val="00510AEE"/>
    <w:rsid w:val="005118E6"/>
    <w:rsid w:val="00512CF6"/>
    <w:rsid w:val="0051479A"/>
    <w:rsid w:val="00514A68"/>
    <w:rsid w:val="0051506F"/>
    <w:rsid w:val="00516A4C"/>
    <w:rsid w:val="0052121C"/>
    <w:rsid w:val="0052191F"/>
    <w:rsid w:val="0052235F"/>
    <w:rsid w:val="00522397"/>
    <w:rsid w:val="00524022"/>
    <w:rsid w:val="00524B50"/>
    <w:rsid w:val="00525144"/>
    <w:rsid w:val="00526894"/>
    <w:rsid w:val="005300D3"/>
    <w:rsid w:val="00530530"/>
    <w:rsid w:val="005311AD"/>
    <w:rsid w:val="00531B26"/>
    <w:rsid w:val="00533D9D"/>
    <w:rsid w:val="00534230"/>
    <w:rsid w:val="005342E7"/>
    <w:rsid w:val="00534D05"/>
    <w:rsid w:val="005366A8"/>
    <w:rsid w:val="00536A10"/>
    <w:rsid w:val="00540A60"/>
    <w:rsid w:val="00541031"/>
    <w:rsid w:val="00542A10"/>
    <w:rsid w:val="00543D0A"/>
    <w:rsid w:val="00544F82"/>
    <w:rsid w:val="00545804"/>
    <w:rsid w:val="00545A6F"/>
    <w:rsid w:val="0054696E"/>
    <w:rsid w:val="005471A6"/>
    <w:rsid w:val="005509D1"/>
    <w:rsid w:val="005509D2"/>
    <w:rsid w:val="00550C01"/>
    <w:rsid w:val="0055121F"/>
    <w:rsid w:val="0055261F"/>
    <w:rsid w:val="005526EF"/>
    <w:rsid w:val="0055379D"/>
    <w:rsid w:val="0055566F"/>
    <w:rsid w:val="00556AFB"/>
    <w:rsid w:val="00560566"/>
    <w:rsid w:val="005611AD"/>
    <w:rsid w:val="00566A3B"/>
    <w:rsid w:val="00566C9C"/>
    <w:rsid w:val="00566E21"/>
    <w:rsid w:val="0056766F"/>
    <w:rsid w:val="00570879"/>
    <w:rsid w:val="0057128F"/>
    <w:rsid w:val="00572B53"/>
    <w:rsid w:val="00572BB6"/>
    <w:rsid w:val="00573103"/>
    <w:rsid w:val="00573387"/>
    <w:rsid w:val="0057575E"/>
    <w:rsid w:val="00576927"/>
    <w:rsid w:val="00577FF6"/>
    <w:rsid w:val="00582019"/>
    <w:rsid w:val="0058237A"/>
    <w:rsid w:val="0058486A"/>
    <w:rsid w:val="00585C3D"/>
    <w:rsid w:val="00585D2C"/>
    <w:rsid w:val="005861CB"/>
    <w:rsid w:val="005866F4"/>
    <w:rsid w:val="0058747F"/>
    <w:rsid w:val="00587870"/>
    <w:rsid w:val="0059022E"/>
    <w:rsid w:val="00590300"/>
    <w:rsid w:val="005911D1"/>
    <w:rsid w:val="00591856"/>
    <w:rsid w:val="005929AB"/>
    <w:rsid w:val="00593326"/>
    <w:rsid w:val="00593C4F"/>
    <w:rsid w:val="005946A8"/>
    <w:rsid w:val="00596C8E"/>
    <w:rsid w:val="00596FDC"/>
    <w:rsid w:val="00597100"/>
    <w:rsid w:val="00597FD8"/>
    <w:rsid w:val="005A1C40"/>
    <w:rsid w:val="005A1CCE"/>
    <w:rsid w:val="005A219B"/>
    <w:rsid w:val="005A4407"/>
    <w:rsid w:val="005A4782"/>
    <w:rsid w:val="005A57D9"/>
    <w:rsid w:val="005A585C"/>
    <w:rsid w:val="005A59EF"/>
    <w:rsid w:val="005A69DF"/>
    <w:rsid w:val="005A7FCA"/>
    <w:rsid w:val="005B05C4"/>
    <w:rsid w:val="005B082F"/>
    <w:rsid w:val="005B0B26"/>
    <w:rsid w:val="005B1913"/>
    <w:rsid w:val="005B1A09"/>
    <w:rsid w:val="005B1C7E"/>
    <w:rsid w:val="005B30E3"/>
    <w:rsid w:val="005B429A"/>
    <w:rsid w:val="005B7B4E"/>
    <w:rsid w:val="005C124A"/>
    <w:rsid w:val="005C183D"/>
    <w:rsid w:val="005C2962"/>
    <w:rsid w:val="005C2C6B"/>
    <w:rsid w:val="005C376B"/>
    <w:rsid w:val="005C49B2"/>
    <w:rsid w:val="005C4C72"/>
    <w:rsid w:val="005C4D76"/>
    <w:rsid w:val="005C5258"/>
    <w:rsid w:val="005C618C"/>
    <w:rsid w:val="005C691A"/>
    <w:rsid w:val="005C6976"/>
    <w:rsid w:val="005C6A7A"/>
    <w:rsid w:val="005C764A"/>
    <w:rsid w:val="005D0107"/>
    <w:rsid w:val="005D1DA2"/>
    <w:rsid w:val="005D5928"/>
    <w:rsid w:val="005D5B89"/>
    <w:rsid w:val="005D6B33"/>
    <w:rsid w:val="005D6BC2"/>
    <w:rsid w:val="005D6DAA"/>
    <w:rsid w:val="005E054D"/>
    <w:rsid w:val="005E06E5"/>
    <w:rsid w:val="005E3812"/>
    <w:rsid w:val="005E4E17"/>
    <w:rsid w:val="005E4F02"/>
    <w:rsid w:val="005F0888"/>
    <w:rsid w:val="005F0C5B"/>
    <w:rsid w:val="005F21CA"/>
    <w:rsid w:val="005F25C2"/>
    <w:rsid w:val="005F571C"/>
    <w:rsid w:val="005F6110"/>
    <w:rsid w:val="005F6E8E"/>
    <w:rsid w:val="005F6F41"/>
    <w:rsid w:val="005F745A"/>
    <w:rsid w:val="00600F31"/>
    <w:rsid w:val="006026E8"/>
    <w:rsid w:val="006027EF"/>
    <w:rsid w:val="0060329F"/>
    <w:rsid w:val="00604324"/>
    <w:rsid w:val="00604432"/>
    <w:rsid w:val="00604A59"/>
    <w:rsid w:val="00605017"/>
    <w:rsid w:val="00605932"/>
    <w:rsid w:val="0060666E"/>
    <w:rsid w:val="00607A41"/>
    <w:rsid w:val="00607FB7"/>
    <w:rsid w:val="00611846"/>
    <w:rsid w:val="00611B12"/>
    <w:rsid w:val="006128CE"/>
    <w:rsid w:val="00613E03"/>
    <w:rsid w:val="0062044A"/>
    <w:rsid w:val="00621F47"/>
    <w:rsid w:val="00622879"/>
    <w:rsid w:val="00622F7B"/>
    <w:rsid w:val="006238B0"/>
    <w:rsid w:val="00623BBF"/>
    <w:rsid w:val="006245D9"/>
    <w:rsid w:val="00624813"/>
    <w:rsid w:val="00624B00"/>
    <w:rsid w:val="00624E3C"/>
    <w:rsid w:val="00625DC6"/>
    <w:rsid w:val="00626B32"/>
    <w:rsid w:val="00627654"/>
    <w:rsid w:val="00627AF7"/>
    <w:rsid w:val="006323DB"/>
    <w:rsid w:val="00633267"/>
    <w:rsid w:val="006334B4"/>
    <w:rsid w:val="006334D6"/>
    <w:rsid w:val="00633BC3"/>
    <w:rsid w:val="00633D4A"/>
    <w:rsid w:val="0063423D"/>
    <w:rsid w:val="00634654"/>
    <w:rsid w:val="00634DEB"/>
    <w:rsid w:val="00634EF2"/>
    <w:rsid w:val="00636508"/>
    <w:rsid w:val="00637167"/>
    <w:rsid w:val="00637442"/>
    <w:rsid w:val="0063759A"/>
    <w:rsid w:val="0064109F"/>
    <w:rsid w:val="00641DAC"/>
    <w:rsid w:val="0064267D"/>
    <w:rsid w:val="0064391D"/>
    <w:rsid w:val="0064395A"/>
    <w:rsid w:val="00644177"/>
    <w:rsid w:val="00644328"/>
    <w:rsid w:val="00644E11"/>
    <w:rsid w:val="006459F2"/>
    <w:rsid w:val="0064644E"/>
    <w:rsid w:val="006474F3"/>
    <w:rsid w:val="00651821"/>
    <w:rsid w:val="006522A3"/>
    <w:rsid w:val="00652547"/>
    <w:rsid w:val="00652E90"/>
    <w:rsid w:val="006539EE"/>
    <w:rsid w:val="0065425D"/>
    <w:rsid w:val="00654384"/>
    <w:rsid w:val="006543B8"/>
    <w:rsid w:val="006547EB"/>
    <w:rsid w:val="006606F6"/>
    <w:rsid w:val="00661AB7"/>
    <w:rsid w:val="00661ACA"/>
    <w:rsid w:val="006652C6"/>
    <w:rsid w:val="00666FA2"/>
    <w:rsid w:val="00667021"/>
    <w:rsid w:val="006675CD"/>
    <w:rsid w:val="00667AD5"/>
    <w:rsid w:val="00667D9F"/>
    <w:rsid w:val="00670170"/>
    <w:rsid w:val="00670D02"/>
    <w:rsid w:val="006717CC"/>
    <w:rsid w:val="00671C5E"/>
    <w:rsid w:val="00671DC8"/>
    <w:rsid w:val="006722FA"/>
    <w:rsid w:val="00673BF3"/>
    <w:rsid w:val="00674037"/>
    <w:rsid w:val="00674C42"/>
    <w:rsid w:val="00674F02"/>
    <w:rsid w:val="00675418"/>
    <w:rsid w:val="006763D9"/>
    <w:rsid w:val="00681B60"/>
    <w:rsid w:val="00681F79"/>
    <w:rsid w:val="006824F4"/>
    <w:rsid w:val="00682C88"/>
    <w:rsid w:val="00684D9B"/>
    <w:rsid w:val="0068510A"/>
    <w:rsid w:val="006857AD"/>
    <w:rsid w:val="00685D35"/>
    <w:rsid w:val="00685F9D"/>
    <w:rsid w:val="00686DB9"/>
    <w:rsid w:val="0068705A"/>
    <w:rsid w:val="00687F18"/>
    <w:rsid w:val="006911F0"/>
    <w:rsid w:val="00691464"/>
    <w:rsid w:val="00692D39"/>
    <w:rsid w:val="00692DD7"/>
    <w:rsid w:val="006931A9"/>
    <w:rsid w:val="00695BB0"/>
    <w:rsid w:val="00697556"/>
    <w:rsid w:val="00697648"/>
    <w:rsid w:val="00697B24"/>
    <w:rsid w:val="006A1065"/>
    <w:rsid w:val="006A1867"/>
    <w:rsid w:val="006A324F"/>
    <w:rsid w:val="006A3579"/>
    <w:rsid w:val="006A3C90"/>
    <w:rsid w:val="006A4B18"/>
    <w:rsid w:val="006A4C0E"/>
    <w:rsid w:val="006A7312"/>
    <w:rsid w:val="006B0FC6"/>
    <w:rsid w:val="006B24E0"/>
    <w:rsid w:val="006B403F"/>
    <w:rsid w:val="006B4647"/>
    <w:rsid w:val="006B4C2B"/>
    <w:rsid w:val="006B6194"/>
    <w:rsid w:val="006B651C"/>
    <w:rsid w:val="006B6D47"/>
    <w:rsid w:val="006B79CB"/>
    <w:rsid w:val="006C0C6F"/>
    <w:rsid w:val="006C130B"/>
    <w:rsid w:val="006C176D"/>
    <w:rsid w:val="006C2959"/>
    <w:rsid w:val="006C2A84"/>
    <w:rsid w:val="006C455D"/>
    <w:rsid w:val="006C4E7E"/>
    <w:rsid w:val="006C5AFE"/>
    <w:rsid w:val="006C6BBF"/>
    <w:rsid w:val="006C79B7"/>
    <w:rsid w:val="006D0B46"/>
    <w:rsid w:val="006D2F34"/>
    <w:rsid w:val="006D5772"/>
    <w:rsid w:val="006D611D"/>
    <w:rsid w:val="006D7E33"/>
    <w:rsid w:val="006E4B49"/>
    <w:rsid w:val="006E50B7"/>
    <w:rsid w:val="006E7B40"/>
    <w:rsid w:val="006F0B65"/>
    <w:rsid w:val="006F1E45"/>
    <w:rsid w:val="006F20B3"/>
    <w:rsid w:val="006F2EC8"/>
    <w:rsid w:val="006F4ACA"/>
    <w:rsid w:val="006F4BF1"/>
    <w:rsid w:val="006F4D91"/>
    <w:rsid w:val="006F52F1"/>
    <w:rsid w:val="006F6D95"/>
    <w:rsid w:val="006F6F7F"/>
    <w:rsid w:val="007007DC"/>
    <w:rsid w:val="00701F3F"/>
    <w:rsid w:val="00703534"/>
    <w:rsid w:val="00703A8A"/>
    <w:rsid w:val="00704A67"/>
    <w:rsid w:val="00705966"/>
    <w:rsid w:val="00706F13"/>
    <w:rsid w:val="00706FEE"/>
    <w:rsid w:val="007072E8"/>
    <w:rsid w:val="00711A31"/>
    <w:rsid w:val="00712C76"/>
    <w:rsid w:val="0071347D"/>
    <w:rsid w:val="00714678"/>
    <w:rsid w:val="00715A16"/>
    <w:rsid w:val="00716079"/>
    <w:rsid w:val="0071618D"/>
    <w:rsid w:val="0071669D"/>
    <w:rsid w:val="007172AE"/>
    <w:rsid w:val="00720000"/>
    <w:rsid w:val="007200D9"/>
    <w:rsid w:val="00720C54"/>
    <w:rsid w:val="00720D86"/>
    <w:rsid w:val="00720EFA"/>
    <w:rsid w:val="00721350"/>
    <w:rsid w:val="00721E1F"/>
    <w:rsid w:val="00723029"/>
    <w:rsid w:val="00725992"/>
    <w:rsid w:val="00725AAF"/>
    <w:rsid w:val="00725FA4"/>
    <w:rsid w:val="00726A24"/>
    <w:rsid w:val="0072789D"/>
    <w:rsid w:val="007278CF"/>
    <w:rsid w:val="00727915"/>
    <w:rsid w:val="007279BD"/>
    <w:rsid w:val="0073060A"/>
    <w:rsid w:val="00731175"/>
    <w:rsid w:val="00731431"/>
    <w:rsid w:val="00731CDE"/>
    <w:rsid w:val="00732FF2"/>
    <w:rsid w:val="007338C2"/>
    <w:rsid w:val="0073399B"/>
    <w:rsid w:val="007360DD"/>
    <w:rsid w:val="007361F5"/>
    <w:rsid w:val="00736C7B"/>
    <w:rsid w:val="00737576"/>
    <w:rsid w:val="00737956"/>
    <w:rsid w:val="00737B1E"/>
    <w:rsid w:val="00740446"/>
    <w:rsid w:val="0074213A"/>
    <w:rsid w:val="007438A9"/>
    <w:rsid w:val="0074491E"/>
    <w:rsid w:val="0074554A"/>
    <w:rsid w:val="00746E36"/>
    <w:rsid w:val="00747F55"/>
    <w:rsid w:val="007503E6"/>
    <w:rsid w:val="00751E9A"/>
    <w:rsid w:val="00753823"/>
    <w:rsid w:val="00754D47"/>
    <w:rsid w:val="00755A0C"/>
    <w:rsid w:val="0075733F"/>
    <w:rsid w:val="0076046C"/>
    <w:rsid w:val="0076100F"/>
    <w:rsid w:val="007623A8"/>
    <w:rsid w:val="00762455"/>
    <w:rsid w:val="0076247A"/>
    <w:rsid w:val="00763595"/>
    <w:rsid w:val="00765378"/>
    <w:rsid w:val="00765F56"/>
    <w:rsid w:val="00767C81"/>
    <w:rsid w:val="00770EA5"/>
    <w:rsid w:val="00771347"/>
    <w:rsid w:val="00771999"/>
    <w:rsid w:val="007724C8"/>
    <w:rsid w:val="00772D68"/>
    <w:rsid w:val="00772E32"/>
    <w:rsid w:val="00773FD9"/>
    <w:rsid w:val="0077411D"/>
    <w:rsid w:val="00775964"/>
    <w:rsid w:val="00775ABF"/>
    <w:rsid w:val="00775AF7"/>
    <w:rsid w:val="007765FE"/>
    <w:rsid w:val="007766F2"/>
    <w:rsid w:val="00776C08"/>
    <w:rsid w:val="00777885"/>
    <w:rsid w:val="007800E5"/>
    <w:rsid w:val="00780C74"/>
    <w:rsid w:val="00780DAF"/>
    <w:rsid w:val="00781D76"/>
    <w:rsid w:val="00784F1C"/>
    <w:rsid w:val="00785659"/>
    <w:rsid w:val="0078604C"/>
    <w:rsid w:val="00786F8E"/>
    <w:rsid w:val="00787EB9"/>
    <w:rsid w:val="00787FA4"/>
    <w:rsid w:val="007900F6"/>
    <w:rsid w:val="00790626"/>
    <w:rsid w:val="00793A8F"/>
    <w:rsid w:val="00794A58"/>
    <w:rsid w:val="00794E2E"/>
    <w:rsid w:val="0079508C"/>
    <w:rsid w:val="00795BFB"/>
    <w:rsid w:val="00796CC7"/>
    <w:rsid w:val="007A084E"/>
    <w:rsid w:val="007A13CF"/>
    <w:rsid w:val="007A4376"/>
    <w:rsid w:val="007A51C0"/>
    <w:rsid w:val="007A6097"/>
    <w:rsid w:val="007A63AC"/>
    <w:rsid w:val="007A6A69"/>
    <w:rsid w:val="007A789F"/>
    <w:rsid w:val="007A7C5C"/>
    <w:rsid w:val="007A7D0F"/>
    <w:rsid w:val="007B0B78"/>
    <w:rsid w:val="007B0DC1"/>
    <w:rsid w:val="007B12DE"/>
    <w:rsid w:val="007B2760"/>
    <w:rsid w:val="007B297E"/>
    <w:rsid w:val="007B2FB9"/>
    <w:rsid w:val="007B3AB2"/>
    <w:rsid w:val="007B3C9C"/>
    <w:rsid w:val="007B4607"/>
    <w:rsid w:val="007B46BF"/>
    <w:rsid w:val="007B4F30"/>
    <w:rsid w:val="007B53DB"/>
    <w:rsid w:val="007B59E8"/>
    <w:rsid w:val="007B5A3D"/>
    <w:rsid w:val="007B6F4D"/>
    <w:rsid w:val="007B754E"/>
    <w:rsid w:val="007B7BB9"/>
    <w:rsid w:val="007C2044"/>
    <w:rsid w:val="007C3540"/>
    <w:rsid w:val="007C42D4"/>
    <w:rsid w:val="007C4431"/>
    <w:rsid w:val="007C4F03"/>
    <w:rsid w:val="007C7CC3"/>
    <w:rsid w:val="007D30FA"/>
    <w:rsid w:val="007D33F6"/>
    <w:rsid w:val="007D50A6"/>
    <w:rsid w:val="007D60BD"/>
    <w:rsid w:val="007D689A"/>
    <w:rsid w:val="007D6DD0"/>
    <w:rsid w:val="007D7074"/>
    <w:rsid w:val="007D7821"/>
    <w:rsid w:val="007E04D7"/>
    <w:rsid w:val="007E44A6"/>
    <w:rsid w:val="007E4AAB"/>
    <w:rsid w:val="007E4DFC"/>
    <w:rsid w:val="007E5EF0"/>
    <w:rsid w:val="007E6505"/>
    <w:rsid w:val="007F1E6F"/>
    <w:rsid w:val="007F4298"/>
    <w:rsid w:val="007F4D1E"/>
    <w:rsid w:val="007F663E"/>
    <w:rsid w:val="007F6E7C"/>
    <w:rsid w:val="00800859"/>
    <w:rsid w:val="008009BC"/>
    <w:rsid w:val="00800D0F"/>
    <w:rsid w:val="00800D53"/>
    <w:rsid w:val="0080437E"/>
    <w:rsid w:val="0080540F"/>
    <w:rsid w:val="00805B5E"/>
    <w:rsid w:val="00806C01"/>
    <w:rsid w:val="00807385"/>
    <w:rsid w:val="00811581"/>
    <w:rsid w:val="00812A22"/>
    <w:rsid w:val="00812B34"/>
    <w:rsid w:val="00813DF2"/>
    <w:rsid w:val="008148CC"/>
    <w:rsid w:val="00815373"/>
    <w:rsid w:val="00816A86"/>
    <w:rsid w:val="00817CFD"/>
    <w:rsid w:val="00820194"/>
    <w:rsid w:val="008211A4"/>
    <w:rsid w:val="008248FE"/>
    <w:rsid w:val="00827C23"/>
    <w:rsid w:val="00830A8D"/>
    <w:rsid w:val="00833D49"/>
    <w:rsid w:val="00835319"/>
    <w:rsid w:val="00837561"/>
    <w:rsid w:val="008416D8"/>
    <w:rsid w:val="00841A90"/>
    <w:rsid w:val="00842843"/>
    <w:rsid w:val="008434A5"/>
    <w:rsid w:val="0084662A"/>
    <w:rsid w:val="0084693A"/>
    <w:rsid w:val="00846E2A"/>
    <w:rsid w:val="00847D0B"/>
    <w:rsid w:val="00850FAC"/>
    <w:rsid w:val="0085195E"/>
    <w:rsid w:val="00851B02"/>
    <w:rsid w:val="00851E21"/>
    <w:rsid w:val="00854F44"/>
    <w:rsid w:val="008554FB"/>
    <w:rsid w:val="00855F17"/>
    <w:rsid w:val="008560BA"/>
    <w:rsid w:val="00856854"/>
    <w:rsid w:val="0085734B"/>
    <w:rsid w:val="008609D7"/>
    <w:rsid w:val="00860A43"/>
    <w:rsid w:val="008616BA"/>
    <w:rsid w:val="008638F9"/>
    <w:rsid w:val="008639DC"/>
    <w:rsid w:val="00863C80"/>
    <w:rsid w:val="0086405F"/>
    <w:rsid w:val="0086475C"/>
    <w:rsid w:val="00865E9B"/>
    <w:rsid w:val="008667FC"/>
    <w:rsid w:val="00867443"/>
    <w:rsid w:val="008707CD"/>
    <w:rsid w:val="008708E1"/>
    <w:rsid w:val="00871F89"/>
    <w:rsid w:val="008721F5"/>
    <w:rsid w:val="008728A7"/>
    <w:rsid w:val="00872AA4"/>
    <w:rsid w:val="00872B19"/>
    <w:rsid w:val="00873150"/>
    <w:rsid w:val="00873ED3"/>
    <w:rsid w:val="00874D8E"/>
    <w:rsid w:val="008754BA"/>
    <w:rsid w:val="008757A2"/>
    <w:rsid w:val="00875AEB"/>
    <w:rsid w:val="00876083"/>
    <w:rsid w:val="008764AB"/>
    <w:rsid w:val="0087657D"/>
    <w:rsid w:val="00876E2A"/>
    <w:rsid w:val="00877379"/>
    <w:rsid w:val="00877D6B"/>
    <w:rsid w:val="00877F1E"/>
    <w:rsid w:val="008807D5"/>
    <w:rsid w:val="00880832"/>
    <w:rsid w:val="00881CAA"/>
    <w:rsid w:val="00882101"/>
    <w:rsid w:val="008850F2"/>
    <w:rsid w:val="00885AD0"/>
    <w:rsid w:val="00885BC2"/>
    <w:rsid w:val="00885C78"/>
    <w:rsid w:val="00886EE1"/>
    <w:rsid w:val="0088727D"/>
    <w:rsid w:val="0088741A"/>
    <w:rsid w:val="008876B4"/>
    <w:rsid w:val="008932BC"/>
    <w:rsid w:val="0089702B"/>
    <w:rsid w:val="00897C75"/>
    <w:rsid w:val="00897EB0"/>
    <w:rsid w:val="008A0213"/>
    <w:rsid w:val="008A1761"/>
    <w:rsid w:val="008A74E7"/>
    <w:rsid w:val="008B1D0E"/>
    <w:rsid w:val="008B3088"/>
    <w:rsid w:val="008B334E"/>
    <w:rsid w:val="008B3A84"/>
    <w:rsid w:val="008B3AFF"/>
    <w:rsid w:val="008B484C"/>
    <w:rsid w:val="008B60A2"/>
    <w:rsid w:val="008B6197"/>
    <w:rsid w:val="008B7CFE"/>
    <w:rsid w:val="008C0BC8"/>
    <w:rsid w:val="008C1130"/>
    <w:rsid w:val="008C1BB2"/>
    <w:rsid w:val="008C3FB6"/>
    <w:rsid w:val="008C49FB"/>
    <w:rsid w:val="008C6EAD"/>
    <w:rsid w:val="008C7193"/>
    <w:rsid w:val="008C7A99"/>
    <w:rsid w:val="008C7D5C"/>
    <w:rsid w:val="008D03E3"/>
    <w:rsid w:val="008D0642"/>
    <w:rsid w:val="008D0995"/>
    <w:rsid w:val="008D0F4E"/>
    <w:rsid w:val="008D18E6"/>
    <w:rsid w:val="008D2B82"/>
    <w:rsid w:val="008D42DA"/>
    <w:rsid w:val="008D4657"/>
    <w:rsid w:val="008D4BDA"/>
    <w:rsid w:val="008D76FF"/>
    <w:rsid w:val="008D7A9B"/>
    <w:rsid w:val="008E0060"/>
    <w:rsid w:val="008E0668"/>
    <w:rsid w:val="008E1A86"/>
    <w:rsid w:val="008E4D26"/>
    <w:rsid w:val="008E4D67"/>
    <w:rsid w:val="008E530F"/>
    <w:rsid w:val="008E5BC1"/>
    <w:rsid w:val="008E63C1"/>
    <w:rsid w:val="008E6F30"/>
    <w:rsid w:val="008E7091"/>
    <w:rsid w:val="008E7160"/>
    <w:rsid w:val="008E73C0"/>
    <w:rsid w:val="008E76AC"/>
    <w:rsid w:val="008F0675"/>
    <w:rsid w:val="008F1B4C"/>
    <w:rsid w:val="008F1D87"/>
    <w:rsid w:val="008F21F6"/>
    <w:rsid w:val="008F2FB1"/>
    <w:rsid w:val="008F57F2"/>
    <w:rsid w:val="00900160"/>
    <w:rsid w:val="00900970"/>
    <w:rsid w:val="00901023"/>
    <w:rsid w:val="00901B29"/>
    <w:rsid w:val="009021E1"/>
    <w:rsid w:val="0090227F"/>
    <w:rsid w:val="00904C21"/>
    <w:rsid w:val="00905731"/>
    <w:rsid w:val="009057A7"/>
    <w:rsid w:val="00905F4A"/>
    <w:rsid w:val="00906EA4"/>
    <w:rsid w:val="009102AE"/>
    <w:rsid w:val="009108A1"/>
    <w:rsid w:val="00913A01"/>
    <w:rsid w:val="00914C84"/>
    <w:rsid w:val="00916342"/>
    <w:rsid w:val="0091699D"/>
    <w:rsid w:val="009175EB"/>
    <w:rsid w:val="0092108D"/>
    <w:rsid w:val="00922020"/>
    <w:rsid w:val="009225C2"/>
    <w:rsid w:val="00922660"/>
    <w:rsid w:val="00923680"/>
    <w:rsid w:val="00923DE9"/>
    <w:rsid w:val="00923F90"/>
    <w:rsid w:val="00924175"/>
    <w:rsid w:val="00926FC1"/>
    <w:rsid w:val="00931A20"/>
    <w:rsid w:val="0093456B"/>
    <w:rsid w:val="00937EFA"/>
    <w:rsid w:val="00937FA4"/>
    <w:rsid w:val="00942D3E"/>
    <w:rsid w:val="009457EA"/>
    <w:rsid w:val="00947AA8"/>
    <w:rsid w:val="00951F79"/>
    <w:rsid w:val="0095264E"/>
    <w:rsid w:val="009536ED"/>
    <w:rsid w:val="009559E1"/>
    <w:rsid w:val="009578B8"/>
    <w:rsid w:val="00957915"/>
    <w:rsid w:val="00957BEE"/>
    <w:rsid w:val="00961F21"/>
    <w:rsid w:val="009626ED"/>
    <w:rsid w:val="009628FF"/>
    <w:rsid w:val="00964710"/>
    <w:rsid w:val="0096565B"/>
    <w:rsid w:val="00965F86"/>
    <w:rsid w:val="009668D0"/>
    <w:rsid w:val="00966B4B"/>
    <w:rsid w:val="0096779B"/>
    <w:rsid w:val="00972828"/>
    <w:rsid w:val="00974AB5"/>
    <w:rsid w:val="009758E4"/>
    <w:rsid w:val="00975987"/>
    <w:rsid w:val="00975A33"/>
    <w:rsid w:val="0097606E"/>
    <w:rsid w:val="0098084D"/>
    <w:rsid w:val="00982084"/>
    <w:rsid w:val="009851BC"/>
    <w:rsid w:val="00986037"/>
    <w:rsid w:val="0098651A"/>
    <w:rsid w:val="0098706D"/>
    <w:rsid w:val="0099051E"/>
    <w:rsid w:val="009912B8"/>
    <w:rsid w:val="009935FB"/>
    <w:rsid w:val="009947C7"/>
    <w:rsid w:val="00996F2E"/>
    <w:rsid w:val="00997B14"/>
    <w:rsid w:val="009A0655"/>
    <w:rsid w:val="009A08BC"/>
    <w:rsid w:val="009A1848"/>
    <w:rsid w:val="009A2DD1"/>
    <w:rsid w:val="009A4A75"/>
    <w:rsid w:val="009A698D"/>
    <w:rsid w:val="009B2502"/>
    <w:rsid w:val="009B3CF9"/>
    <w:rsid w:val="009B5C8F"/>
    <w:rsid w:val="009B5FA3"/>
    <w:rsid w:val="009B747F"/>
    <w:rsid w:val="009B7D81"/>
    <w:rsid w:val="009C0156"/>
    <w:rsid w:val="009C0514"/>
    <w:rsid w:val="009C11B2"/>
    <w:rsid w:val="009C178B"/>
    <w:rsid w:val="009C451F"/>
    <w:rsid w:val="009C4FF7"/>
    <w:rsid w:val="009C54FB"/>
    <w:rsid w:val="009C785F"/>
    <w:rsid w:val="009D02E4"/>
    <w:rsid w:val="009D0C89"/>
    <w:rsid w:val="009D47EA"/>
    <w:rsid w:val="009D6999"/>
    <w:rsid w:val="009E11A4"/>
    <w:rsid w:val="009E2B5F"/>
    <w:rsid w:val="009E3D45"/>
    <w:rsid w:val="009E4210"/>
    <w:rsid w:val="009E6C05"/>
    <w:rsid w:val="009E74EB"/>
    <w:rsid w:val="009E7813"/>
    <w:rsid w:val="009E7C7B"/>
    <w:rsid w:val="009F049D"/>
    <w:rsid w:val="009F1C95"/>
    <w:rsid w:val="009F25A3"/>
    <w:rsid w:val="009F4732"/>
    <w:rsid w:val="009F4A54"/>
    <w:rsid w:val="009F4BEC"/>
    <w:rsid w:val="009F5874"/>
    <w:rsid w:val="00A00BEB"/>
    <w:rsid w:val="00A00E64"/>
    <w:rsid w:val="00A0162C"/>
    <w:rsid w:val="00A02A87"/>
    <w:rsid w:val="00A02BE1"/>
    <w:rsid w:val="00A02D39"/>
    <w:rsid w:val="00A052F3"/>
    <w:rsid w:val="00A0566B"/>
    <w:rsid w:val="00A05A5A"/>
    <w:rsid w:val="00A06CB7"/>
    <w:rsid w:val="00A0769F"/>
    <w:rsid w:val="00A07C67"/>
    <w:rsid w:val="00A10F6A"/>
    <w:rsid w:val="00A10F88"/>
    <w:rsid w:val="00A1156C"/>
    <w:rsid w:val="00A13B00"/>
    <w:rsid w:val="00A14695"/>
    <w:rsid w:val="00A17439"/>
    <w:rsid w:val="00A23E62"/>
    <w:rsid w:val="00A24F35"/>
    <w:rsid w:val="00A2542E"/>
    <w:rsid w:val="00A25FD7"/>
    <w:rsid w:val="00A263C7"/>
    <w:rsid w:val="00A26EAE"/>
    <w:rsid w:val="00A30023"/>
    <w:rsid w:val="00A30751"/>
    <w:rsid w:val="00A30FB2"/>
    <w:rsid w:val="00A31B35"/>
    <w:rsid w:val="00A31C30"/>
    <w:rsid w:val="00A32474"/>
    <w:rsid w:val="00A32799"/>
    <w:rsid w:val="00A32889"/>
    <w:rsid w:val="00A33F2C"/>
    <w:rsid w:val="00A3441C"/>
    <w:rsid w:val="00A350AB"/>
    <w:rsid w:val="00A369A8"/>
    <w:rsid w:val="00A37D6E"/>
    <w:rsid w:val="00A42B31"/>
    <w:rsid w:val="00A43AFF"/>
    <w:rsid w:val="00A44811"/>
    <w:rsid w:val="00A44C89"/>
    <w:rsid w:val="00A471DE"/>
    <w:rsid w:val="00A47C1C"/>
    <w:rsid w:val="00A515D6"/>
    <w:rsid w:val="00A52902"/>
    <w:rsid w:val="00A5323B"/>
    <w:rsid w:val="00A53BF1"/>
    <w:rsid w:val="00A5620B"/>
    <w:rsid w:val="00A56DAB"/>
    <w:rsid w:val="00A6195B"/>
    <w:rsid w:val="00A619C3"/>
    <w:rsid w:val="00A61EF1"/>
    <w:rsid w:val="00A61F20"/>
    <w:rsid w:val="00A64E43"/>
    <w:rsid w:val="00A6662A"/>
    <w:rsid w:val="00A67A57"/>
    <w:rsid w:val="00A70642"/>
    <w:rsid w:val="00A706E4"/>
    <w:rsid w:val="00A70E4F"/>
    <w:rsid w:val="00A71A2F"/>
    <w:rsid w:val="00A71A50"/>
    <w:rsid w:val="00A71C1D"/>
    <w:rsid w:val="00A72BBD"/>
    <w:rsid w:val="00A74CC8"/>
    <w:rsid w:val="00A75A1C"/>
    <w:rsid w:val="00A7793A"/>
    <w:rsid w:val="00A80293"/>
    <w:rsid w:val="00A81B03"/>
    <w:rsid w:val="00A81D4C"/>
    <w:rsid w:val="00A82DD7"/>
    <w:rsid w:val="00A8348D"/>
    <w:rsid w:val="00A843B9"/>
    <w:rsid w:val="00A849D3"/>
    <w:rsid w:val="00A84D66"/>
    <w:rsid w:val="00A85DE3"/>
    <w:rsid w:val="00A85F91"/>
    <w:rsid w:val="00A862D9"/>
    <w:rsid w:val="00A87A7B"/>
    <w:rsid w:val="00A907FB"/>
    <w:rsid w:val="00A91021"/>
    <w:rsid w:val="00A91751"/>
    <w:rsid w:val="00A917D1"/>
    <w:rsid w:val="00A92211"/>
    <w:rsid w:val="00A92AEB"/>
    <w:rsid w:val="00A93375"/>
    <w:rsid w:val="00A951F9"/>
    <w:rsid w:val="00A958CD"/>
    <w:rsid w:val="00A95EA3"/>
    <w:rsid w:val="00A95FD5"/>
    <w:rsid w:val="00A97E15"/>
    <w:rsid w:val="00AA05D7"/>
    <w:rsid w:val="00AA1682"/>
    <w:rsid w:val="00AA26CB"/>
    <w:rsid w:val="00AA39D3"/>
    <w:rsid w:val="00AA4307"/>
    <w:rsid w:val="00AA46BD"/>
    <w:rsid w:val="00AA4CC7"/>
    <w:rsid w:val="00AA5930"/>
    <w:rsid w:val="00AA5D44"/>
    <w:rsid w:val="00AA5E8E"/>
    <w:rsid w:val="00AB0F28"/>
    <w:rsid w:val="00AB184A"/>
    <w:rsid w:val="00AB2BAD"/>
    <w:rsid w:val="00AB3E7D"/>
    <w:rsid w:val="00AB6BA9"/>
    <w:rsid w:val="00AB6CA7"/>
    <w:rsid w:val="00AC0765"/>
    <w:rsid w:val="00AC10DD"/>
    <w:rsid w:val="00AC27B7"/>
    <w:rsid w:val="00AC3E3C"/>
    <w:rsid w:val="00AC4DD5"/>
    <w:rsid w:val="00AC61DF"/>
    <w:rsid w:val="00AC712D"/>
    <w:rsid w:val="00AC77A5"/>
    <w:rsid w:val="00AC7F12"/>
    <w:rsid w:val="00AD01E4"/>
    <w:rsid w:val="00AD0858"/>
    <w:rsid w:val="00AD15C9"/>
    <w:rsid w:val="00AD1BAA"/>
    <w:rsid w:val="00AD1D9F"/>
    <w:rsid w:val="00AD626A"/>
    <w:rsid w:val="00AD6929"/>
    <w:rsid w:val="00AE02E3"/>
    <w:rsid w:val="00AE125F"/>
    <w:rsid w:val="00AE1337"/>
    <w:rsid w:val="00AE3D52"/>
    <w:rsid w:val="00AE6F72"/>
    <w:rsid w:val="00AE7340"/>
    <w:rsid w:val="00AE74FA"/>
    <w:rsid w:val="00AF03CC"/>
    <w:rsid w:val="00AF0E82"/>
    <w:rsid w:val="00AF1BBD"/>
    <w:rsid w:val="00AF4795"/>
    <w:rsid w:val="00AF5667"/>
    <w:rsid w:val="00AF6401"/>
    <w:rsid w:val="00AF74CE"/>
    <w:rsid w:val="00B01032"/>
    <w:rsid w:val="00B014C5"/>
    <w:rsid w:val="00B0170B"/>
    <w:rsid w:val="00B01BEE"/>
    <w:rsid w:val="00B02167"/>
    <w:rsid w:val="00B0329C"/>
    <w:rsid w:val="00B03E93"/>
    <w:rsid w:val="00B046D1"/>
    <w:rsid w:val="00B047CA"/>
    <w:rsid w:val="00B04A84"/>
    <w:rsid w:val="00B051D9"/>
    <w:rsid w:val="00B06E6A"/>
    <w:rsid w:val="00B10207"/>
    <w:rsid w:val="00B10E48"/>
    <w:rsid w:val="00B1137A"/>
    <w:rsid w:val="00B121BF"/>
    <w:rsid w:val="00B130A2"/>
    <w:rsid w:val="00B13EFC"/>
    <w:rsid w:val="00B141E7"/>
    <w:rsid w:val="00B14A22"/>
    <w:rsid w:val="00B174E8"/>
    <w:rsid w:val="00B179FA"/>
    <w:rsid w:val="00B2283D"/>
    <w:rsid w:val="00B23779"/>
    <w:rsid w:val="00B25D73"/>
    <w:rsid w:val="00B277BB"/>
    <w:rsid w:val="00B324B9"/>
    <w:rsid w:val="00B33435"/>
    <w:rsid w:val="00B33B8D"/>
    <w:rsid w:val="00B34056"/>
    <w:rsid w:val="00B351B4"/>
    <w:rsid w:val="00B363D0"/>
    <w:rsid w:val="00B36D11"/>
    <w:rsid w:val="00B377DD"/>
    <w:rsid w:val="00B411B3"/>
    <w:rsid w:val="00B42580"/>
    <w:rsid w:val="00B4305E"/>
    <w:rsid w:val="00B44EA5"/>
    <w:rsid w:val="00B45967"/>
    <w:rsid w:val="00B45A4E"/>
    <w:rsid w:val="00B45E2F"/>
    <w:rsid w:val="00B46BCA"/>
    <w:rsid w:val="00B477EB"/>
    <w:rsid w:val="00B478AA"/>
    <w:rsid w:val="00B47FF0"/>
    <w:rsid w:val="00B50037"/>
    <w:rsid w:val="00B502B9"/>
    <w:rsid w:val="00B504A5"/>
    <w:rsid w:val="00B51C27"/>
    <w:rsid w:val="00B52EED"/>
    <w:rsid w:val="00B53A6D"/>
    <w:rsid w:val="00B53F6B"/>
    <w:rsid w:val="00B54CCE"/>
    <w:rsid w:val="00B55D07"/>
    <w:rsid w:val="00B560D2"/>
    <w:rsid w:val="00B57F64"/>
    <w:rsid w:val="00B61043"/>
    <w:rsid w:val="00B61B0A"/>
    <w:rsid w:val="00B63799"/>
    <w:rsid w:val="00B63F2F"/>
    <w:rsid w:val="00B70FB9"/>
    <w:rsid w:val="00B72444"/>
    <w:rsid w:val="00B734A5"/>
    <w:rsid w:val="00B73737"/>
    <w:rsid w:val="00B73C0A"/>
    <w:rsid w:val="00B73CF3"/>
    <w:rsid w:val="00B76292"/>
    <w:rsid w:val="00B77BF7"/>
    <w:rsid w:val="00B8000C"/>
    <w:rsid w:val="00B80344"/>
    <w:rsid w:val="00B80599"/>
    <w:rsid w:val="00B841B3"/>
    <w:rsid w:val="00B8421D"/>
    <w:rsid w:val="00B8431D"/>
    <w:rsid w:val="00B8477E"/>
    <w:rsid w:val="00B87806"/>
    <w:rsid w:val="00B87EC9"/>
    <w:rsid w:val="00B909E8"/>
    <w:rsid w:val="00B9105D"/>
    <w:rsid w:val="00B92D65"/>
    <w:rsid w:val="00B9378A"/>
    <w:rsid w:val="00B93AE0"/>
    <w:rsid w:val="00B9488E"/>
    <w:rsid w:val="00B94CAA"/>
    <w:rsid w:val="00B9682E"/>
    <w:rsid w:val="00B973EB"/>
    <w:rsid w:val="00BA0027"/>
    <w:rsid w:val="00BA169E"/>
    <w:rsid w:val="00BA19FD"/>
    <w:rsid w:val="00BA1B1E"/>
    <w:rsid w:val="00BA2DA2"/>
    <w:rsid w:val="00BA43E8"/>
    <w:rsid w:val="00BA547F"/>
    <w:rsid w:val="00BA57FA"/>
    <w:rsid w:val="00BA5C3C"/>
    <w:rsid w:val="00BA6EB3"/>
    <w:rsid w:val="00BA7B76"/>
    <w:rsid w:val="00BB254A"/>
    <w:rsid w:val="00BB2E43"/>
    <w:rsid w:val="00BB2F50"/>
    <w:rsid w:val="00BB31DC"/>
    <w:rsid w:val="00BB3C8C"/>
    <w:rsid w:val="00BB47C4"/>
    <w:rsid w:val="00BB4AA6"/>
    <w:rsid w:val="00BB4CB6"/>
    <w:rsid w:val="00BB61A5"/>
    <w:rsid w:val="00BC0240"/>
    <w:rsid w:val="00BC05C9"/>
    <w:rsid w:val="00BC1BAE"/>
    <w:rsid w:val="00BC26A9"/>
    <w:rsid w:val="00BC31CF"/>
    <w:rsid w:val="00BC38FD"/>
    <w:rsid w:val="00BC4076"/>
    <w:rsid w:val="00BC4A8E"/>
    <w:rsid w:val="00BC4C68"/>
    <w:rsid w:val="00BC6260"/>
    <w:rsid w:val="00BC77F6"/>
    <w:rsid w:val="00BC7F31"/>
    <w:rsid w:val="00BD312A"/>
    <w:rsid w:val="00BD32A2"/>
    <w:rsid w:val="00BD3C14"/>
    <w:rsid w:val="00BD4692"/>
    <w:rsid w:val="00BD4D39"/>
    <w:rsid w:val="00BD4E43"/>
    <w:rsid w:val="00BD4F81"/>
    <w:rsid w:val="00BD51FB"/>
    <w:rsid w:val="00BD6484"/>
    <w:rsid w:val="00BE0475"/>
    <w:rsid w:val="00BE0F60"/>
    <w:rsid w:val="00BE4B96"/>
    <w:rsid w:val="00BE5134"/>
    <w:rsid w:val="00BE5874"/>
    <w:rsid w:val="00BE587F"/>
    <w:rsid w:val="00BE7B03"/>
    <w:rsid w:val="00BF00AC"/>
    <w:rsid w:val="00BF15E7"/>
    <w:rsid w:val="00BF16D7"/>
    <w:rsid w:val="00BF19A9"/>
    <w:rsid w:val="00BF1C87"/>
    <w:rsid w:val="00BF477A"/>
    <w:rsid w:val="00BF47FD"/>
    <w:rsid w:val="00BF56C8"/>
    <w:rsid w:val="00BF5DA4"/>
    <w:rsid w:val="00C01EB7"/>
    <w:rsid w:val="00C034CB"/>
    <w:rsid w:val="00C03A9C"/>
    <w:rsid w:val="00C045F0"/>
    <w:rsid w:val="00C04C7D"/>
    <w:rsid w:val="00C0510F"/>
    <w:rsid w:val="00C051A8"/>
    <w:rsid w:val="00C054BC"/>
    <w:rsid w:val="00C05D73"/>
    <w:rsid w:val="00C1085E"/>
    <w:rsid w:val="00C11667"/>
    <w:rsid w:val="00C11BC0"/>
    <w:rsid w:val="00C137B4"/>
    <w:rsid w:val="00C139F5"/>
    <w:rsid w:val="00C13A3B"/>
    <w:rsid w:val="00C13E21"/>
    <w:rsid w:val="00C14451"/>
    <w:rsid w:val="00C14C5C"/>
    <w:rsid w:val="00C169F1"/>
    <w:rsid w:val="00C1710A"/>
    <w:rsid w:val="00C17897"/>
    <w:rsid w:val="00C17DFC"/>
    <w:rsid w:val="00C20CFF"/>
    <w:rsid w:val="00C21D96"/>
    <w:rsid w:val="00C21F89"/>
    <w:rsid w:val="00C2506E"/>
    <w:rsid w:val="00C256DB"/>
    <w:rsid w:val="00C26900"/>
    <w:rsid w:val="00C26FED"/>
    <w:rsid w:val="00C2752B"/>
    <w:rsid w:val="00C3178B"/>
    <w:rsid w:val="00C32FD2"/>
    <w:rsid w:val="00C3571C"/>
    <w:rsid w:val="00C358A2"/>
    <w:rsid w:val="00C364A6"/>
    <w:rsid w:val="00C36725"/>
    <w:rsid w:val="00C37AD3"/>
    <w:rsid w:val="00C37C77"/>
    <w:rsid w:val="00C37EC8"/>
    <w:rsid w:val="00C409D5"/>
    <w:rsid w:val="00C409E5"/>
    <w:rsid w:val="00C41722"/>
    <w:rsid w:val="00C41F49"/>
    <w:rsid w:val="00C435C3"/>
    <w:rsid w:val="00C438DB"/>
    <w:rsid w:val="00C44E5F"/>
    <w:rsid w:val="00C4761E"/>
    <w:rsid w:val="00C5007C"/>
    <w:rsid w:val="00C50EA6"/>
    <w:rsid w:val="00C518FA"/>
    <w:rsid w:val="00C51B7C"/>
    <w:rsid w:val="00C526DF"/>
    <w:rsid w:val="00C5297A"/>
    <w:rsid w:val="00C52B6E"/>
    <w:rsid w:val="00C5358C"/>
    <w:rsid w:val="00C5402D"/>
    <w:rsid w:val="00C5508D"/>
    <w:rsid w:val="00C57859"/>
    <w:rsid w:val="00C60A7A"/>
    <w:rsid w:val="00C61372"/>
    <w:rsid w:val="00C61D2A"/>
    <w:rsid w:val="00C6234B"/>
    <w:rsid w:val="00C63A07"/>
    <w:rsid w:val="00C63C94"/>
    <w:rsid w:val="00C63EAE"/>
    <w:rsid w:val="00C64C58"/>
    <w:rsid w:val="00C66C4F"/>
    <w:rsid w:val="00C6730F"/>
    <w:rsid w:val="00C70165"/>
    <w:rsid w:val="00C70171"/>
    <w:rsid w:val="00C7323A"/>
    <w:rsid w:val="00C73260"/>
    <w:rsid w:val="00C73B84"/>
    <w:rsid w:val="00C74906"/>
    <w:rsid w:val="00C74F02"/>
    <w:rsid w:val="00C7583D"/>
    <w:rsid w:val="00C75B88"/>
    <w:rsid w:val="00C7629F"/>
    <w:rsid w:val="00C768CE"/>
    <w:rsid w:val="00C76E44"/>
    <w:rsid w:val="00C7726F"/>
    <w:rsid w:val="00C7740E"/>
    <w:rsid w:val="00C77D5A"/>
    <w:rsid w:val="00C77FF4"/>
    <w:rsid w:val="00C82E46"/>
    <w:rsid w:val="00C832C5"/>
    <w:rsid w:val="00C83D5E"/>
    <w:rsid w:val="00C84C73"/>
    <w:rsid w:val="00C852C1"/>
    <w:rsid w:val="00C85BE8"/>
    <w:rsid w:val="00C86482"/>
    <w:rsid w:val="00C865BA"/>
    <w:rsid w:val="00C8661B"/>
    <w:rsid w:val="00C8704B"/>
    <w:rsid w:val="00C87D8C"/>
    <w:rsid w:val="00C90885"/>
    <w:rsid w:val="00C911B9"/>
    <w:rsid w:val="00C911F2"/>
    <w:rsid w:val="00C9175D"/>
    <w:rsid w:val="00C919D9"/>
    <w:rsid w:val="00C91F54"/>
    <w:rsid w:val="00C928E0"/>
    <w:rsid w:val="00C92937"/>
    <w:rsid w:val="00C92DFF"/>
    <w:rsid w:val="00C93624"/>
    <w:rsid w:val="00C94618"/>
    <w:rsid w:val="00C94CD7"/>
    <w:rsid w:val="00C94CFB"/>
    <w:rsid w:val="00C960E3"/>
    <w:rsid w:val="00CA01FA"/>
    <w:rsid w:val="00CA03C8"/>
    <w:rsid w:val="00CA0E8A"/>
    <w:rsid w:val="00CA139A"/>
    <w:rsid w:val="00CA14EE"/>
    <w:rsid w:val="00CA2899"/>
    <w:rsid w:val="00CA29DB"/>
    <w:rsid w:val="00CA2A6C"/>
    <w:rsid w:val="00CA30CE"/>
    <w:rsid w:val="00CA3A3D"/>
    <w:rsid w:val="00CA3AA6"/>
    <w:rsid w:val="00CA40C0"/>
    <w:rsid w:val="00CA5060"/>
    <w:rsid w:val="00CA5DB0"/>
    <w:rsid w:val="00CA6E0D"/>
    <w:rsid w:val="00CA77FB"/>
    <w:rsid w:val="00CB0DCB"/>
    <w:rsid w:val="00CB0FE8"/>
    <w:rsid w:val="00CB10AB"/>
    <w:rsid w:val="00CB14D5"/>
    <w:rsid w:val="00CB168B"/>
    <w:rsid w:val="00CB2334"/>
    <w:rsid w:val="00CB341E"/>
    <w:rsid w:val="00CB3668"/>
    <w:rsid w:val="00CB379B"/>
    <w:rsid w:val="00CB4FB3"/>
    <w:rsid w:val="00CB5DD0"/>
    <w:rsid w:val="00CB5F9E"/>
    <w:rsid w:val="00CB74EA"/>
    <w:rsid w:val="00CB786F"/>
    <w:rsid w:val="00CC10D0"/>
    <w:rsid w:val="00CC1348"/>
    <w:rsid w:val="00CC229D"/>
    <w:rsid w:val="00CC2B9C"/>
    <w:rsid w:val="00CC3904"/>
    <w:rsid w:val="00CC4A99"/>
    <w:rsid w:val="00CC4C54"/>
    <w:rsid w:val="00CC51D4"/>
    <w:rsid w:val="00CC59D3"/>
    <w:rsid w:val="00CC65DA"/>
    <w:rsid w:val="00CC7C65"/>
    <w:rsid w:val="00CD149D"/>
    <w:rsid w:val="00CD21C3"/>
    <w:rsid w:val="00CD2B6C"/>
    <w:rsid w:val="00CD3C52"/>
    <w:rsid w:val="00CD3D76"/>
    <w:rsid w:val="00CD7534"/>
    <w:rsid w:val="00CD78BC"/>
    <w:rsid w:val="00CE0096"/>
    <w:rsid w:val="00CE057C"/>
    <w:rsid w:val="00CE0E34"/>
    <w:rsid w:val="00CE12DF"/>
    <w:rsid w:val="00CE1333"/>
    <w:rsid w:val="00CE23EF"/>
    <w:rsid w:val="00CE28F7"/>
    <w:rsid w:val="00CE3902"/>
    <w:rsid w:val="00CE480F"/>
    <w:rsid w:val="00CE482E"/>
    <w:rsid w:val="00CE69C4"/>
    <w:rsid w:val="00CE7DA8"/>
    <w:rsid w:val="00CF0F68"/>
    <w:rsid w:val="00CF192A"/>
    <w:rsid w:val="00CF214B"/>
    <w:rsid w:val="00CF21B9"/>
    <w:rsid w:val="00CF356F"/>
    <w:rsid w:val="00CF3E89"/>
    <w:rsid w:val="00CF4BC7"/>
    <w:rsid w:val="00CF6BF9"/>
    <w:rsid w:val="00CF7668"/>
    <w:rsid w:val="00D00A04"/>
    <w:rsid w:val="00D01784"/>
    <w:rsid w:val="00D01E87"/>
    <w:rsid w:val="00D021F9"/>
    <w:rsid w:val="00D022A2"/>
    <w:rsid w:val="00D03800"/>
    <w:rsid w:val="00D04CF3"/>
    <w:rsid w:val="00D05650"/>
    <w:rsid w:val="00D065D3"/>
    <w:rsid w:val="00D06817"/>
    <w:rsid w:val="00D07192"/>
    <w:rsid w:val="00D07EB9"/>
    <w:rsid w:val="00D114F7"/>
    <w:rsid w:val="00D12875"/>
    <w:rsid w:val="00D12BDB"/>
    <w:rsid w:val="00D14152"/>
    <w:rsid w:val="00D14327"/>
    <w:rsid w:val="00D14C94"/>
    <w:rsid w:val="00D20CB1"/>
    <w:rsid w:val="00D21693"/>
    <w:rsid w:val="00D228F9"/>
    <w:rsid w:val="00D254D6"/>
    <w:rsid w:val="00D257B3"/>
    <w:rsid w:val="00D25F7E"/>
    <w:rsid w:val="00D27F7B"/>
    <w:rsid w:val="00D30F6A"/>
    <w:rsid w:val="00D3220A"/>
    <w:rsid w:val="00D33D39"/>
    <w:rsid w:val="00D342A6"/>
    <w:rsid w:val="00D342D3"/>
    <w:rsid w:val="00D348C5"/>
    <w:rsid w:val="00D34A66"/>
    <w:rsid w:val="00D3502C"/>
    <w:rsid w:val="00D35A83"/>
    <w:rsid w:val="00D35B67"/>
    <w:rsid w:val="00D3607C"/>
    <w:rsid w:val="00D37F55"/>
    <w:rsid w:val="00D400FD"/>
    <w:rsid w:val="00D40C67"/>
    <w:rsid w:val="00D424D1"/>
    <w:rsid w:val="00D42570"/>
    <w:rsid w:val="00D43976"/>
    <w:rsid w:val="00D43A7D"/>
    <w:rsid w:val="00D442E6"/>
    <w:rsid w:val="00D45CA6"/>
    <w:rsid w:val="00D464BF"/>
    <w:rsid w:val="00D47F93"/>
    <w:rsid w:val="00D47FF3"/>
    <w:rsid w:val="00D50041"/>
    <w:rsid w:val="00D50C39"/>
    <w:rsid w:val="00D5129C"/>
    <w:rsid w:val="00D51BE9"/>
    <w:rsid w:val="00D52341"/>
    <w:rsid w:val="00D53355"/>
    <w:rsid w:val="00D53E26"/>
    <w:rsid w:val="00D54821"/>
    <w:rsid w:val="00D54A67"/>
    <w:rsid w:val="00D57B6D"/>
    <w:rsid w:val="00D60194"/>
    <w:rsid w:val="00D62739"/>
    <w:rsid w:val="00D63812"/>
    <w:rsid w:val="00D6408E"/>
    <w:rsid w:val="00D6593C"/>
    <w:rsid w:val="00D6641E"/>
    <w:rsid w:val="00D70424"/>
    <w:rsid w:val="00D71346"/>
    <w:rsid w:val="00D741CE"/>
    <w:rsid w:val="00D747C8"/>
    <w:rsid w:val="00D750ED"/>
    <w:rsid w:val="00D7588B"/>
    <w:rsid w:val="00D76803"/>
    <w:rsid w:val="00D76D61"/>
    <w:rsid w:val="00D77BC7"/>
    <w:rsid w:val="00D8019A"/>
    <w:rsid w:val="00D80711"/>
    <w:rsid w:val="00D808A3"/>
    <w:rsid w:val="00D813D6"/>
    <w:rsid w:val="00D81F8B"/>
    <w:rsid w:val="00D848F6"/>
    <w:rsid w:val="00D86244"/>
    <w:rsid w:val="00D866DB"/>
    <w:rsid w:val="00D87D41"/>
    <w:rsid w:val="00D9246A"/>
    <w:rsid w:val="00D924C4"/>
    <w:rsid w:val="00D92971"/>
    <w:rsid w:val="00D9300F"/>
    <w:rsid w:val="00D939CE"/>
    <w:rsid w:val="00D93EE1"/>
    <w:rsid w:val="00D9469E"/>
    <w:rsid w:val="00D955AD"/>
    <w:rsid w:val="00DA0669"/>
    <w:rsid w:val="00DA226B"/>
    <w:rsid w:val="00DA3132"/>
    <w:rsid w:val="00DA4370"/>
    <w:rsid w:val="00DA5236"/>
    <w:rsid w:val="00DA5EFB"/>
    <w:rsid w:val="00DA7611"/>
    <w:rsid w:val="00DA770B"/>
    <w:rsid w:val="00DB182C"/>
    <w:rsid w:val="00DB1E7B"/>
    <w:rsid w:val="00DB26C9"/>
    <w:rsid w:val="00DB328D"/>
    <w:rsid w:val="00DB33BE"/>
    <w:rsid w:val="00DB3CB3"/>
    <w:rsid w:val="00DB6BFA"/>
    <w:rsid w:val="00DC05D4"/>
    <w:rsid w:val="00DC06E3"/>
    <w:rsid w:val="00DC0DBA"/>
    <w:rsid w:val="00DC0E47"/>
    <w:rsid w:val="00DC1A3C"/>
    <w:rsid w:val="00DC1AFC"/>
    <w:rsid w:val="00DC1F12"/>
    <w:rsid w:val="00DC348E"/>
    <w:rsid w:val="00DC5380"/>
    <w:rsid w:val="00DC5B0A"/>
    <w:rsid w:val="00DC6B15"/>
    <w:rsid w:val="00DD0117"/>
    <w:rsid w:val="00DD14F1"/>
    <w:rsid w:val="00DD1AC8"/>
    <w:rsid w:val="00DD34A1"/>
    <w:rsid w:val="00DD362B"/>
    <w:rsid w:val="00DD419C"/>
    <w:rsid w:val="00DD4F0E"/>
    <w:rsid w:val="00DD53D1"/>
    <w:rsid w:val="00DD5DB5"/>
    <w:rsid w:val="00DD6477"/>
    <w:rsid w:val="00DD6AC3"/>
    <w:rsid w:val="00DD7452"/>
    <w:rsid w:val="00DE06D8"/>
    <w:rsid w:val="00DE2931"/>
    <w:rsid w:val="00DE2E36"/>
    <w:rsid w:val="00DE3380"/>
    <w:rsid w:val="00DE687E"/>
    <w:rsid w:val="00DE6C6F"/>
    <w:rsid w:val="00DF0BF0"/>
    <w:rsid w:val="00DF3CA2"/>
    <w:rsid w:val="00E00218"/>
    <w:rsid w:val="00E01463"/>
    <w:rsid w:val="00E02A77"/>
    <w:rsid w:val="00E03FCD"/>
    <w:rsid w:val="00E05114"/>
    <w:rsid w:val="00E05196"/>
    <w:rsid w:val="00E05206"/>
    <w:rsid w:val="00E05E0A"/>
    <w:rsid w:val="00E060BE"/>
    <w:rsid w:val="00E075BF"/>
    <w:rsid w:val="00E11269"/>
    <w:rsid w:val="00E14657"/>
    <w:rsid w:val="00E153B3"/>
    <w:rsid w:val="00E15B96"/>
    <w:rsid w:val="00E1736F"/>
    <w:rsid w:val="00E174BD"/>
    <w:rsid w:val="00E17BB6"/>
    <w:rsid w:val="00E2027B"/>
    <w:rsid w:val="00E2054B"/>
    <w:rsid w:val="00E2212F"/>
    <w:rsid w:val="00E24187"/>
    <w:rsid w:val="00E306DD"/>
    <w:rsid w:val="00E31589"/>
    <w:rsid w:val="00E353BE"/>
    <w:rsid w:val="00E36869"/>
    <w:rsid w:val="00E37064"/>
    <w:rsid w:val="00E37136"/>
    <w:rsid w:val="00E376B8"/>
    <w:rsid w:val="00E37E02"/>
    <w:rsid w:val="00E44E72"/>
    <w:rsid w:val="00E45BBA"/>
    <w:rsid w:val="00E46714"/>
    <w:rsid w:val="00E472A5"/>
    <w:rsid w:val="00E50709"/>
    <w:rsid w:val="00E50A8C"/>
    <w:rsid w:val="00E50E1E"/>
    <w:rsid w:val="00E50FE5"/>
    <w:rsid w:val="00E51741"/>
    <w:rsid w:val="00E5218A"/>
    <w:rsid w:val="00E53256"/>
    <w:rsid w:val="00E534CF"/>
    <w:rsid w:val="00E53A08"/>
    <w:rsid w:val="00E551B7"/>
    <w:rsid w:val="00E55237"/>
    <w:rsid w:val="00E56065"/>
    <w:rsid w:val="00E56CC2"/>
    <w:rsid w:val="00E5763C"/>
    <w:rsid w:val="00E60491"/>
    <w:rsid w:val="00E60BA6"/>
    <w:rsid w:val="00E61451"/>
    <w:rsid w:val="00E626CA"/>
    <w:rsid w:val="00E638BD"/>
    <w:rsid w:val="00E644E8"/>
    <w:rsid w:val="00E64C46"/>
    <w:rsid w:val="00E64F0F"/>
    <w:rsid w:val="00E7009A"/>
    <w:rsid w:val="00E704AA"/>
    <w:rsid w:val="00E7118D"/>
    <w:rsid w:val="00E71F79"/>
    <w:rsid w:val="00E7328C"/>
    <w:rsid w:val="00E740E6"/>
    <w:rsid w:val="00E7456A"/>
    <w:rsid w:val="00E75C01"/>
    <w:rsid w:val="00E81CB4"/>
    <w:rsid w:val="00E83FB5"/>
    <w:rsid w:val="00E8568C"/>
    <w:rsid w:val="00E8585B"/>
    <w:rsid w:val="00E85A1F"/>
    <w:rsid w:val="00E87F41"/>
    <w:rsid w:val="00E904F0"/>
    <w:rsid w:val="00E91574"/>
    <w:rsid w:val="00E91B6A"/>
    <w:rsid w:val="00E92EA2"/>
    <w:rsid w:val="00E95862"/>
    <w:rsid w:val="00E96244"/>
    <w:rsid w:val="00E971F9"/>
    <w:rsid w:val="00EA1D44"/>
    <w:rsid w:val="00EA2265"/>
    <w:rsid w:val="00EA338B"/>
    <w:rsid w:val="00EA3F15"/>
    <w:rsid w:val="00EA47E1"/>
    <w:rsid w:val="00EA506F"/>
    <w:rsid w:val="00EA6D9A"/>
    <w:rsid w:val="00EA7847"/>
    <w:rsid w:val="00EB0355"/>
    <w:rsid w:val="00EB0BED"/>
    <w:rsid w:val="00EB0D8B"/>
    <w:rsid w:val="00EB0DBC"/>
    <w:rsid w:val="00EB1318"/>
    <w:rsid w:val="00EB3BCA"/>
    <w:rsid w:val="00EB3CB3"/>
    <w:rsid w:val="00EB4C2F"/>
    <w:rsid w:val="00EB52B0"/>
    <w:rsid w:val="00EB587D"/>
    <w:rsid w:val="00EB785C"/>
    <w:rsid w:val="00EB7BB1"/>
    <w:rsid w:val="00EC1E48"/>
    <w:rsid w:val="00EC2583"/>
    <w:rsid w:val="00EC2B0B"/>
    <w:rsid w:val="00EC2DE7"/>
    <w:rsid w:val="00EC2EBD"/>
    <w:rsid w:val="00EC323E"/>
    <w:rsid w:val="00EC3845"/>
    <w:rsid w:val="00EC4123"/>
    <w:rsid w:val="00EC429D"/>
    <w:rsid w:val="00EC5515"/>
    <w:rsid w:val="00EC6CE6"/>
    <w:rsid w:val="00EC7621"/>
    <w:rsid w:val="00EC770F"/>
    <w:rsid w:val="00ED198A"/>
    <w:rsid w:val="00ED1BE7"/>
    <w:rsid w:val="00ED2606"/>
    <w:rsid w:val="00ED671C"/>
    <w:rsid w:val="00ED6BA7"/>
    <w:rsid w:val="00EE067B"/>
    <w:rsid w:val="00EE074C"/>
    <w:rsid w:val="00EE2E6E"/>
    <w:rsid w:val="00EE4FF0"/>
    <w:rsid w:val="00EE57B1"/>
    <w:rsid w:val="00EE638C"/>
    <w:rsid w:val="00EE6B15"/>
    <w:rsid w:val="00EE77F8"/>
    <w:rsid w:val="00EF0542"/>
    <w:rsid w:val="00EF10A1"/>
    <w:rsid w:val="00EF15E0"/>
    <w:rsid w:val="00EF17DD"/>
    <w:rsid w:val="00EF1943"/>
    <w:rsid w:val="00EF23EC"/>
    <w:rsid w:val="00EF4704"/>
    <w:rsid w:val="00EF58B4"/>
    <w:rsid w:val="00EF6A2D"/>
    <w:rsid w:val="00EF6E18"/>
    <w:rsid w:val="00EF7A59"/>
    <w:rsid w:val="00F00097"/>
    <w:rsid w:val="00F01620"/>
    <w:rsid w:val="00F01C5E"/>
    <w:rsid w:val="00F01F2F"/>
    <w:rsid w:val="00F03D2F"/>
    <w:rsid w:val="00F052D5"/>
    <w:rsid w:val="00F059BF"/>
    <w:rsid w:val="00F05C55"/>
    <w:rsid w:val="00F061B1"/>
    <w:rsid w:val="00F072D5"/>
    <w:rsid w:val="00F0759E"/>
    <w:rsid w:val="00F1340D"/>
    <w:rsid w:val="00F1343F"/>
    <w:rsid w:val="00F13603"/>
    <w:rsid w:val="00F14D43"/>
    <w:rsid w:val="00F15E03"/>
    <w:rsid w:val="00F16A43"/>
    <w:rsid w:val="00F171AE"/>
    <w:rsid w:val="00F20F86"/>
    <w:rsid w:val="00F211A4"/>
    <w:rsid w:val="00F2256E"/>
    <w:rsid w:val="00F226F4"/>
    <w:rsid w:val="00F23031"/>
    <w:rsid w:val="00F2371D"/>
    <w:rsid w:val="00F249DB"/>
    <w:rsid w:val="00F30BE1"/>
    <w:rsid w:val="00F317D2"/>
    <w:rsid w:val="00F3250F"/>
    <w:rsid w:val="00F34A6F"/>
    <w:rsid w:val="00F357BB"/>
    <w:rsid w:val="00F35C2E"/>
    <w:rsid w:val="00F378D6"/>
    <w:rsid w:val="00F37EFE"/>
    <w:rsid w:val="00F401B5"/>
    <w:rsid w:val="00F4038B"/>
    <w:rsid w:val="00F409F2"/>
    <w:rsid w:val="00F416AC"/>
    <w:rsid w:val="00F41E6D"/>
    <w:rsid w:val="00F44050"/>
    <w:rsid w:val="00F44751"/>
    <w:rsid w:val="00F44E1E"/>
    <w:rsid w:val="00F4585B"/>
    <w:rsid w:val="00F46780"/>
    <w:rsid w:val="00F528E5"/>
    <w:rsid w:val="00F54386"/>
    <w:rsid w:val="00F54E01"/>
    <w:rsid w:val="00F55CCC"/>
    <w:rsid w:val="00F57E40"/>
    <w:rsid w:val="00F60F15"/>
    <w:rsid w:val="00F62D83"/>
    <w:rsid w:val="00F630F8"/>
    <w:rsid w:val="00F6314F"/>
    <w:rsid w:val="00F6472E"/>
    <w:rsid w:val="00F659CB"/>
    <w:rsid w:val="00F671B1"/>
    <w:rsid w:val="00F67E6D"/>
    <w:rsid w:val="00F70979"/>
    <w:rsid w:val="00F70D03"/>
    <w:rsid w:val="00F70D73"/>
    <w:rsid w:val="00F717B4"/>
    <w:rsid w:val="00F72D80"/>
    <w:rsid w:val="00F74F2B"/>
    <w:rsid w:val="00F77C04"/>
    <w:rsid w:val="00F77D2D"/>
    <w:rsid w:val="00F8089F"/>
    <w:rsid w:val="00F80E95"/>
    <w:rsid w:val="00F821A3"/>
    <w:rsid w:val="00F82ECE"/>
    <w:rsid w:val="00F84DEA"/>
    <w:rsid w:val="00F84FB2"/>
    <w:rsid w:val="00F86BD8"/>
    <w:rsid w:val="00F90F33"/>
    <w:rsid w:val="00F91BDF"/>
    <w:rsid w:val="00F92495"/>
    <w:rsid w:val="00F9314A"/>
    <w:rsid w:val="00F940B2"/>
    <w:rsid w:val="00F944B3"/>
    <w:rsid w:val="00F950B9"/>
    <w:rsid w:val="00F9562E"/>
    <w:rsid w:val="00F9647C"/>
    <w:rsid w:val="00F96B8B"/>
    <w:rsid w:val="00F971E0"/>
    <w:rsid w:val="00FA0032"/>
    <w:rsid w:val="00FA44E4"/>
    <w:rsid w:val="00FA48D7"/>
    <w:rsid w:val="00FA5B79"/>
    <w:rsid w:val="00FA5CD2"/>
    <w:rsid w:val="00FA674B"/>
    <w:rsid w:val="00FB05EC"/>
    <w:rsid w:val="00FB1B54"/>
    <w:rsid w:val="00FB1BD8"/>
    <w:rsid w:val="00FB3666"/>
    <w:rsid w:val="00FB5C5B"/>
    <w:rsid w:val="00FB7AB5"/>
    <w:rsid w:val="00FB7D45"/>
    <w:rsid w:val="00FC2F8E"/>
    <w:rsid w:val="00FC341F"/>
    <w:rsid w:val="00FC58EF"/>
    <w:rsid w:val="00FC5965"/>
    <w:rsid w:val="00FC5E88"/>
    <w:rsid w:val="00FD0219"/>
    <w:rsid w:val="00FD0DF7"/>
    <w:rsid w:val="00FD1243"/>
    <w:rsid w:val="00FD2156"/>
    <w:rsid w:val="00FD25DE"/>
    <w:rsid w:val="00FD3171"/>
    <w:rsid w:val="00FD33DF"/>
    <w:rsid w:val="00FD3E0D"/>
    <w:rsid w:val="00FD4BC2"/>
    <w:rsid w:val="00FD52E8"/>
    <w:rsid w:val="00FD52EA"/>
    <w:rsid w:val="00FD7264"/>
    <w:rsid w:val="00FD75EC"/>
    <w:rsid w:val="00FE04C0"/>
    <w:rsid w:val="00FE0917"/>
    <w:rsid w:val="00FE1BBB"/>
    <w:rsid w:val="00FE2452"/>
    <w:rsid w:val="00FE279C"/>
    <w:rsid w:val="00FE2C52"/>
    <w:rsid w:val="00FE35B3"/>
    <w:rsid w:val="00FE39D7"/>
    <w:rsid w:val="00FE3B40"/>
    <w:rsid w:val="00FE5667"/>
    <w:rsid w:val="00FE744A"/>
    <w:rsid w:val="00FE7592"/>
    <w:rsid w:val="00FF099B"/>
    <w:rsid w:val="00FF299E"/>
    <w:rsid w:val="00FF2B96"/>
    <w:rsid w:val="00FF2F94"/>
    <w:rsid w:val="00FF3351"/>
    <w:rsid w:val="00FF3E09"/>
    <w:rsid w:val="00FF3F52"/>
    <w:rsid w:val="00FF4491"/>
    <w:rsid w:val="00FF601F"/>
    <w:rsid w:val="00FF75B1"/>
    <w:rsid w:val="00FF7F60"/>
    <w:rsid w:val="04FAED9E"/>
    <w:rsid w:val="18188C7F"/>
    <w:rsid w:val="19402F93"/>
    <w:rsid w:val="1EA94471"/>
    <w:rsid w:val="2132BF5B"/>
    <w:rsid w:val="2507BE79"/>
    <w:rsid w:val="2D4E26E4"/>
    <w:rsid w:val="31155052"/>
    <w:rsid w:val="3AB5BAF7"/>
    <w:rsid w:val="45AA1D9E"/>
    <w:rsid w:val="494DFC1A"/>
    <w:rsid w:val="4AE9CC7B"/>
    <w:rsid w:val="502E9A97"/>
    <w:rsid w:val="54052E4A"/>
    <w:rsid w:val="5BC3108A"/>
    <w:rsid w:val="6259739F"/>
    <w:rsid w:val="63A20792"/>
    <w:rsid w:val="704F5E38"/>
    <w:rsid w:val="736365EC"/>
    <w:rsid w:val="7DFBB7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2ED05B7"/>
  <w15:chartTrackingRefBased/>
  <w15:docId w15:val="{A0A9470B-866D-4B2F-BDFC-5BA57E46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9E1"/>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Textonotapie">
    <w:name w:val="footnote text"/>
    <w:aliases w:val="fn,footnote text,Footnote Text Char Char Char Char Char,Footnote Text Char Char Char Char,Footnote reference,FA Fu,Footnote Text Cha,Footnote Text Char Char Char,FA Fußnotentext,FA Fuﬂnotentext,Footnote Text Char Char,texto de nota al p"/>
    <w:basedOn w:val="Normal"/>
    <w:link w:val="TextonotapieCar"/>
    <w:uiPriority w:val="99"/>
    <w:rsid w:val="00BC4076"/>
    <w:pPr>
      <w:spacing w:before="160" w:after="160"/>
      <w:ind w:left="0"/>
      <w:jc w:val="both"/>
    </w:pPr>
    <w:rPr>
      <w:rFonts w:ascii="Arial" w:hAnsi="Arial"/>
      <w:sz w:val="22"/>
      <w:szCs w:val="20"/>
      <w:lang w:val="es-CO"/>
    </w:rPr>
  </w:style>
  <w:style w:type="character" w:customStyle="1" w:styleId="TextonotapieCar">
    <w:name w:val="Texto nota pie Car"/>
    <w:aliases w:val="fn Car,footnote text Car,Footnote Text Char Char Char Char Char Car,Footnote Text Char Char Char Char Car,Footnote reference Car,FA Fu Car,Footnote Text Cha Car,Footnote Text Char Char Char Car,FA Fußnotentext Car,FA Fuﬂnotentext Car"/>
    <w:link w:val="Textonotapie"/>
    <w:uiPriority w:val="99"/>
    <w:rsid w:val="00BC4076"/>
    <w:rPr>
      <w:rFonts w:ascii="Arial" w:hAnsi="Arial"/>
      <w:sz w:val="22"/>
      <w:lang w:eastAsia="es-ES"/>
    </w:rPr>
  </w:style>
  <w:style w:type="character" w:styleId="Refdenotaalpie">
    <w:name w:val="footnote reference"/>
    <w:uiPriority w:val="99"/>
    <w:semiHidden/>
    <w:rsid w:val="00BC4076"/>
    <w:rPr>
      <w:vertAlign w:val="superscript"/>
    </w:rPr>
  </w:style>
  <w:style w:type="paragraph" w:customStyle="1" w:styleId="Artculo">
    <w:name w:val="Artículo"/>
    <w:basedOn w:val="Normal"/>
    <w:next w:val="Normal"/>
    <w:link w:val="ArtculoCar"/>
    <w:qFormat/>
    <w:rsid w:val="00C5402D"/>
    <w:pPr>
      <w:numPr>
        <w:numId w:val="25"/>
      </w:numPr>
      <w:spacing w:before="240" w:after="240"/>
      <w:ind w:left="0"/>
      <w:jc w:val="both"/>
    </w:pPr>
    <w:rPr>
      <w:rFonts w:ascii="Bookman Old Style" w:hAnsi="Bookman Old Style" w:cs="Arial"/>
      <w:b/>
    </w:rPr>
  </w:style>
  <w:style w:type="character" w:customStyle="1" w:styleId="ArtculoCar">
    <w:name w:val="Artículo Car"/>
    <w:link w:val="Artculo"/>
    <w:rsid w:val="00C5402D"/>
    <w:rPr>
      <w:rFonts w:ascii="Bookman Old Style" w:hAnsi="Bookman Old Style" w:cs="Arial"/>
      <w:b/>
      <w:sz w:val="24"/>
      <w:szCs w:val="24"/>
      <w:lang w:val="es-ES" w:eastAsia="es-ES"/>
    </w:rPr>
  </w:style>
  <w:style w:type="character" w:styleId="Refdecomentario">
    <w:name w:val="annotation reference"/>
    <w:basedOn w:val="Fuentedeprrafopredeter"/>
    <w:uiPriority w:val="99"/>
    <w:semiHidden/>
    <w:unhideWhenUsed/>
    <w:rsid w:val="00CC2B9C"/>
    <w:rPr>
      <w:sz w:val="16"/>
      <w:szCs w:val="16"/>
    </w:rPr>
  </w:style>
  <w:style w:type="paragraph" w:styleId="Textocomentario">
    <w:name w:val="annotation text"/>
    <w:basedOn w:val="Normal"/>
    <w:link w:val="TextocomentarioCar"/>
    <w:uiPriority w:val="99"/>
    <w:unhideWhenUsed/>
    <w:rsid w:val="00CC2B9C"/>
    <w:rPr>
      <w:sz w:val="20"/>
      <w:szCs w:val="20"/>
    </w:rPr>
  </w:style>
  <w:style w:type="character" w:customStyle="1" w:styleId="TextocomentarioCar">
    <w:name w:val="Texto comentario Car"/>
    <w:basedOn w:val="Fuentedeprrafopredeter"/>
    <w:link w:val="Textocomentario"/>
    <w:uiPriority w:val="99"/>
    <w:rsid w:val="00CC2B9C"/>
    <w:rPr>
      <w:lang w:val="es-ES" w:eastAsia="es-ES"/>
    </w:rPr>
  </w:style>
  <w:style w:type="paragraph" w:styleId="Asuntodelcomentario">
    <w:name w:val="annotation subject"/>
    <w:basedOn w:val="Textocomentario"/>
    <w:next w:val="Textocomentario"/>
    <w:link w:val="AsuntodelcomentarioCar"/>
    <w:uiPriority w:val="99"/>
    <w:semiHidden/>
    <w:unhideWhenUsed/>
    <w:rsid w:val="00CC2B9C"/>
    <w:rPr>
      <w:b/>
      <w:bCs/>
    </w:rPr>
  </w:style>
  <w:style w:type="character" w:customStyle="1" w:styleId="AsuntodelcomentarioCar">
    <w:name w:val="Asunto del comentario Car"/>
    <w:basedOn w:val="TextocomentarioCar"/>
    <w:link w:val="Asuntodelcomentario"/>
    <w:uiPriority w:val="99"/>
    <w:semiHidden/>
    <w:rsid w:val="00CC2B9C"/>
    <w:rPr>
      <w:b/>
      <w:bCs/>
      <w:lang w:val="es-ES" w:eastAsia="es-ES"/>
    </w:rPr>
  </w:style>
  <w:style w:type="paragraph" w:styleId="Revisin">
    <w:name w:val="Revision"/>
    <w:hidden/>
    <w:uiPriority w:val="99"/>
    <w:semiHidden/>
    <w:rsid w:val="00DD419C"/>
    <w:rPr>
      <w:sz w:val="24"/>
      <w:szCs w:val="24"/>
      <w:lang w:val="es-ES" w:eastAsia="es-ES"/>
    </w:rPr>
  </w:style>
  <w:style w:type="paragraph" w:styleId="NormalWeb">
    <w:name w:val="Normal (Web)"/>
    <w:basedOn w:val="Normal"/>
    <w:uiPriority w:val="99"/>
    <w:unhideWhenUsed/>
    <w:rsid w:val="007C7CC3"/>
    <w:pPr>
      <w:spacing w:before="100" w:beforeAutospacing="1" w:after="100" w:afterAutospacing="1"/>
      <w:ind w:left="0"/>
    </w:pPr>
    <w:rPr>
      <w:lang w:val="es-MX" w:eastAsia="es-MX"/>
    </w:rPr>
  </w:style>
  <w:style w:type="character" w:styleId="Hipervnculo">
    <w:name w:val="Hyperlink"/>
    <w:basedOn w:val="Fuentedeprrafopredeter"/>
    <w:uiPriority w:val="99"/>
    <w:unhideWhenUsed/>
    <w:rsid w:val="007C7CC3"/>
    <w:rPr>
      <w:color w:val="0000FF"/>
      <w:u w:val="single"/>
    </w:rPr>
  </w:style>
  <w:style w:type="character" w:customStyle="1" w:styleId="baj">
    <w:name w:val="b_aj"/>
    <w:basedOn w:val="Fuentedeprrafopredeter"/>
    <w:rsid w:val="007C7CC3"/>
  </w:style>
  <w:style w:type="character" w:styleId="Mencinsinresolver">
    <w:name w:val="Unresolved Mention"/>
    <w:basedOn w:val="Fuentedeprrafopredeter"/>
    <w:uiPriority w:val="99"/>
    <w:semiHidden/>
    <w:unhideWhenUsed/>
    <w:rsid w:val="00524022"/>
    <w:rPr>
      <w:color w:val="605E5C"/>
      <w:shd w:val="clear" w:color="auto" w:fill="E1DFDD"/>
    </w:rPr>
  </w:style>
  <w:style w:type="paragraph" w:customStyle="1" w:styleId="paragraph">
    <w:name w:val="paragraph"/>
    <w:basedOn w:val="Normal"/>
    <w:rsid w:val="00C11BC0"/>
    <w:pPr>
      <w:spacing w:before="100" w:beforeAutospacing="1" w:after="100" w:afterAutospacing="1"/>
      <w:ind w:left="0"/>
    </w:pPr>
    <w:rPr>
      <w:lang w:val="es-CO" w:eastAsia="es-CO"/>
    </w:rPr>
  </w:style>
  <w:style w:type="character" w:customStyle="1" w:styleId="normaltextrun">
    <w:name w:val="normaltextrun"/>
    <w:basedOn w:val="Fuentedeprrafopredeter"/>
    <w:rsid w:val="00C11BC0"/>
  </w:style>
  <w:style w:type="character" w:customStyle="1" w:styleId="eop">
    <w:name w:val="eop"/>
    <w:basedOn w:val="Fuentedeprrafopredeter"/>
    <w:rsid w:val="00C11BC0"/>
  </w:style>
  <w:style w:type="character" w:customStyle="1" w:styleId="scxw122996829">
    <w:name w:val="scxw122996829"/>
    <w:basedOn w:val="Fuentedeprrafopredeter"/>
    <w:rsid w:val="00C11BC0"/>
  </w:style>
  <w:style w:type="character" w:customStyle="1" w:styleId="xcontentpasted0">
    <w:name w:val="x_contentpasted0"/>
    <w:basedOn w:val="Fuentedeprrafopredeter"/>
    <w:rsid w:val="007279BD"/>
  </w:style>
  <w:style w:type="paragraph" w:styleId="Descripcin">
    <w:name w:val="caption"/>
    <w:basedOn w:val="Normal"/>
    <w:next w:val="Normal"/>
    <w:uiPriority w:val="35"/>
    <w:unhideWhenUsed/>
    <w:qFormat/>
    <w:rsid w:val="005D592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6447">
      <w:bodyDiv w:val="1"/>
      <w:marLeft w:val="0"/>
      <w:marRight w:val="0"/>
      <w:marTop w:val="0"/>
      <w:marBottom w:val="0"/>
      <w:divBdr>
        <w:top w:val="none" w:sz="0" w:space="0" w:color="auto"/>
        <w:left w:val="none" w:sz="0" w:space="0" w:color="auto"/>
        <w:bottom w:val="none" w:sz="0" w:space="0" w:color="auto"/>
        <w:right w:val="none" w:sz="0" w:space="0" w:color="auto"/>
      </w:divBdr>
    </w:div>
    <w:div w:id="150341430">
      <w:bodyDiv w:val="1"/>
      <w:marLeft w:val="0"/>
      <w:marRight w:val="0"/>
      <w:marTop w:val="0"/>
      <w:marBottom w:val="0"/>
      <w:divBdr>
        <w:top w:val="none" w:sz="0" w:space="0" w:color="auto"/>
        <w:left w:val="none" w:sz="0" w:space="0" w:color="auto"/>
        <w:bottom w:val="none" w:sz="0" w:space="0" w:color="auto"/>
        <w:right w:val="none" w:sz="0" w:space="0" w:color="auto"/>
      </w:divBdr>
    </w:div>
    <w:div w:id="240873863">
      <w:bodyDiv w:val="1"/>
      <w:marLeft w:val="0"/>
      <w:marRight w:val="0"/>
      <w:marTop w:val="0"/>
      <w:marBottom w:val="0"/>
      <w:divBdr>
        <w:top w:val="none" w:sz="0" w:space="0" w:color="auto"/>
        <w:left w:val="none" w:sz="0" w:space="0" w:color="auto"/>
        <w:bottom w:val="none" w:sz="0" w:space="0" w:color="auto"/>
        <w:right w:val="none" w:sz="0" w:space="0" w:color="auto"/>
      </w:divBdr>
      <w:divsChild>
        <w:div w:id="1407142077">
          <w:marLeft w:val="446"/>
          <w:marRight w:val="0"/>
          <w:marTop w:val="60"/>
          <w:marBottom w:val="60"/>
          <w:divBdr>
            <w:top w:val="none" w:sz="0" w:space="0" w:color="auto"/>
            <w:left w:val="none" w:sz="0" w:space="0" w:color="auto"/>
            <w:bottom w:val="none" w:sz="0" w:space="0" w:color="auto"/>
            <w:right w:val="none" w:sz="0" w:space="0" w:color="auto"/>
          </w:divBdr>
        </w:div>
      </w:divsChild>
    </w:div>
    <w:div w:id="280192430">
      <w:bodyDiv w:val="1"/>
      <w:marLeft w:val="0"/>
      <w:marRight w:val="0"/>
      <w:marTop w:val="0"/>
      <w:marBottom w:val="0"/>
      <w:divBdr>
        <w:top w:val="none" w:sz="0" w:space="0" w:color="auto"/>
        <w:left w:val="none" w:sz="0" w:space="0" w:color="auto"/>
        <w:bottom w:val="none" w:sz="0" w:space="0" w:color="auto"/>
        <w:right w:val="none" w:sz="0" w:space="0" w:color="auto"/>
      </w:divBdr>
    </w:div>
    <w:div w:id="376706198">
      <w:bodyDiv w:val="1"/>
      <w:marLeft w:val="0"/>
      <w:marRight w:val="0"/>
      <w:marTop w:val="0"/>
      <w:marBottom w:val="0"/>
      <w:divBdr>
        <w:top w:val="none" w:sz="0" w:space="0" w:color="auto"/>
        <w:left w:val="none" w:sz="0" w:space="0" w:color="auto"/>
        <w:bottom w:val="none" w:sz="0" w:space="0" w:color="auto"/>
        <w:right w:val="none" w:sz="0" w:space="0" w:color="auto"/>
      </w:divBdr>
    </w:div>
    <w:div w:id="392774264">
      <w:bodyDiv w:val="1"/>
      <w:marLeft w:val="0"/>
      <w:marRight w:val="0"/>
      <w:marTop w:val="0"/>
      <w:marBottom w:val="0"/>
      <w:divBdr>
        <w:top w:val="none" w:sz="0" w:space="0" w:color="auto"/>
        <w:left w:val="none" w:sz="0" w:space="0" w:color="auto"/>
        <w:bottom w:val="none" w:sz="0" w:space="0" w:color="auto"/>
        <w:right w:val="none" w:sz="0" w:space="0" w:color="auto"/>
      </w:divBdr>
    </w:div>
    <w:div w:id="480733004">
      <w:bodyDiv w:val="1"/>
      <w:marLeft w:val="0"/>
      <w:marRight w:val="0"/>
      <w:marTop w:val="0"/>
      <w:marBottom w:val="0"/>
      <w:divBdr>
        <w:top w:val="none" w:sz="0" w:space="0" w:color="auto"/>
        <w:left w:val="none" w:sz="0" w:space="0" w:color="auto"/>
        <w:bottom w:val="none" w:sz="0" w:space="0" w:color="auto"/>
        <w:right w:val="none" w:sz="0" w:space="0" w:color="auto"/>
      </w:divBdr>
      <w:divsChild>
        <w:div w:id="752166179">
          <w:marLeft w:val="547"/>
          <w:marRight w:val="0"/>
          <w:marTop w:val="240"/>
          <w:marBottom w:val="240"/>
          <w:divBdr>
            <w:top w:val="none" w:sz="0" w:space="0" w:color="auto"/>
            <w:left w:val="none" w:sz="0" w:space="0" w:color="auto"/>
            <w:bottom w:val="none" w:sz="0" w:space="0" w:color="auto"/>
            <w:right w:val="none" w:sz="0" w:space="0" w:color="auto"/>
          </w:divBdr>
        </w:div>
        <w:div w:id="1509563615">
          <w:marLeft w:val="547"/>
          <w:marRight w:val="0"/>
          <w:marTop w:val="240"/>
          <w:marBottom w:val="240"/>
          <w:divBdr>
            <w:top w:val="none" w:sz="0" w:space="0" w:color="auto"/>
            <w:left w:val="none" w:sz="0" w:space="0" w:color="auto"/>
            <w:bottom w:val="none" w:sz="0" w:space="0" w:color="auto"/>
            <w:right w:val="none" w:sz="0" w:space="0" w:color="auto"/>
          </w:divBdr>
        </w:div>
        <w:div w:id="1737360217">
          <w:marLeft w:val="547"/>
          <w:marRight w:val="0"/>
          <w:marTop w:val="240"/>
          <w:marBottom w:val="240"/>
          <w:divBdr>
            <w:top w:val="none" w:sz="0" w:space="0" w:color="auto"/>
            <w:left w:val="none" w:sz="0" w:space="0" w:color="auto"/>
            <w:bottom w:val="none" w:sz="0" w:space="0" w:color="auto"/>
            <w:right w:val="none" w:sz="0" w:space="0" w:color="auto"/>
          </w:divBdr>
        </w:div>
      </w:divsChild>
    </w:div>
    <w:div w:id="489248693">
      <w:bodyDiv w:val="1"/>
      <w:marLeft w:val="0"/>
      <w:marRight w:val="0"/>
      <w:marTop w:val="0"/>
      <w:marBottom w:val="0"/>
      <w:divBdr>
        <w:top w:val="none" w:sz="0" w:space="0" w:color="auto"/>
        <w:left w:val="none" w:sz="0" w:space="0" w:color="auto"/>
        <w:bottom w:val="none" w:sz="0" w:space="0" w:color="auto"/>
        <w:right w:val="none" w:sz="0" w:space="0" w:color="auto"/>
      </w:divBdr>
    </w:div>
    <w:div w:id="493373499">
      <w:bodyDiv w:val="1"/>
      <w:marLeft w:val="0"/>
      <w:marRight w:val="0"/>
      <w:marTop w:val="0"/>
      <w:marBottom w:val="0"/>
      <w:divBdr>
        <w:top w:val="none" w:sz="0" w:space="0" w:color="auto"/>
        <w:left w:val="none" w:sz="0" w:space="0" w:color="auto"/>
        <w:bottom w:val="none" w:sz="0" w:space="0" w:color="auto"/>
        <w:right w:val="none" w:sz="0" w:space="0" w:color="auto"/>
      </w:divBdr>
    </w:div>
    <w:div w:id="598804191">
      <w:bodyDiv w:val="1"/>
      <w:marLeft w:val="0"/>
      <w:marRight w:val="0"/>
      <w:marTop w:val="0"/>
      <w:marBottom w:val="0"/>
      <w:divBdr>
        <w:top w:val="none" w:sz="0" w:space="0" w:color="auto"/>
        <w:left w:val="none" w:sz="0" w:space="0" w:color="auto"/>
        <w:bottom w:val="none" w:sz="0" w:space="0" w:color="auto"/>
        <w:right w:val="none" w:sz="0" w:space="0" w:color="auto"/>
      </w:divBdr>
    </w:div>
    <w:div w:id="628240045">
      <w:bodyDiv w:val="1"/>
      <w:marLeft w:val="0"/>
      <w:marRight w:val="0"/>
      <w:marTop w:val="0"/>
      <w:marBottom w:val="0"/>
      <w:divBdr>
        <w:top w:val="none" w:sz="0" w:space="0" w:color="auto"/>
        <w:left w:val="none" w:sz="0" w:space="0" w:color="auto"/>
        <w:bottom w:val="none" w:sz="0" w:space="0" w:color="auto"/>
        <w:right w:val="none" w:sz="0" w:space="0" w:color="auto"/>
      </w:divBdr>
    </w:div>
    <w:div w:id="663317569">
      <w:bodyDiv w:val="1"/>
      <w:marLeft w:val="0"/>
      <w:marRight w:val="0"/>
      <w:marTop w:val="0"/>
      <w:marBottom w:val="0"/>
      <w:divBdr>
        <w:top w:val="none" w:sz="0" w:space="0" w:color="auto"/>
        <w:left w:val="none" w:sz="0" w:space="0" w:color="auto"/>
        <w:bottom w:val="none" w:sz="0" w:space="0" w:color="auto"/>
        <w:right w:val="none" w:sz="0" w:space="0" w:color="auto"/>
      </w:divBdr>
    </w:div>
    <w:div w:id="719522153">
      <w:bodyDiv w:val="1"/>
      <w:marLeft w:val="0"/>
      <w:marRight w:val="0"/>
      <w:marTop w:val="0"/>
      <w:marBottom w:val="0"/>
      <w:divBdr>
        <w:top w:val="none" w:sz="0" w:space="0" w:color="auto"/>
        <w:left w:val="none" w:sz="0" w:space="0" w:color="auto"/>
        <w:bottom w:val="none" w:sz="0" w:space="0" w:color="auto"/>
        <w:right w:val="none" w:sz="0" w:space="0" w:color="auto"/>
      </w:divBdr>
    </w:div>
    <w:div w:id="1124270258">
      <w:bodyDiv w:val="1"/>
      <w:marLeft w:val="0"/>
      <w:marRight w:val="0"/>
      <w:marTop w:val="0"/>
      <w:marBottom w:val="0"/>
      <w:divBdr>
        <w:top w:val="none" w:sz="0" w:space="0" w:color="auto"/>
        <w:left w:val="none" w:sz="0" w:space="0" w:color="auto"/>
        <w:bottom w:val="none" w:sz="0" w:space="0" w:color="auto"/>
        <w:right w:val="none" w:sz="0" w:space="0" w:color="auto"/>
      </w:divBdr>
    </w:div>
    <w:div w:id="1129320512">
      <w:bodyDiv w:val="1"/>
      <w:marLeft w:val="0"/>
      <w:marRight w:val="0"/>
      <w:marTop w:val="0"/>
      <w:marBottom w:val="0"/>
      <w:divBdr>
        <w:top w:val="none" w:sz="0" w:space="0" w:color="auto"/>
        <w:left w:val="none" w:sz="0" w:space="0" w:color="auto"/>
        <w:bottom w:val="none" w:sz="0" w:space="0" w:color="auto"/>
        <w:right w:val="none" w:sz="0" w:space="0" w:color="auto"/>
      </w:divBdr>
    </w:div>
    <w:div w:id="1180124974">
      <w:bodyDiv w:val="1"/>
      <w:marLeft w:val="0"/>
      <w:marRight w:val="0"/>
      <w:marTop w:val="0"/>
      <w:marBottom w:val="0"/>
      <w:divBdr>
        <w:top w:val="none" w:sz="0" w:space="0" w:color="auto"/>
        <w:left w:val="none" w:sz="0" w:space="0" w:color="auto"/>
        <w:bottom w:val="none" w:sz="0" w:space="0" w:color="auto"/>
        <w:right w:val="none" w:sz="0" w:space="0" w:color="auto"/>
      </w:divBdr>
    </w:div>
    <w:div w:id="1197353548">
      <w:bodyDiv w:val="1"/>
      <w:marLeft w:val="0"/>
      <w:marRight w:val="0"/>
      <w:marTop w:val="0"/>
      <w:marBottom w:val="0"/>
      <w:divBdr>
        <w:top w:val="none" w:sz="0" w:space="0" w:color="auto"/>
        <w:left w:val="none" w:sz="0" w:space="0" w:color="auto"/>
        <w:bottom w:val="none" w:sz="0" w:space="0" w:color="auto"/>
        <w:right w:val="none" w:sz="0" w:space="0" w:color="auto"/>
      </w:divBdr>
    </w:div>
    <w:div w:id="1212811201">
      <w:bodyDiv w:val="1"/>
      <w:marLeft w:val="0"/>
      <w:marRight w:val="0"/>
      <w:marTop w:val="0"/>
      <w:marBottom w:val="0"/>
      <w:divBdr>
        <w:top w:val="none" w:sz="0" w:space="0" w:color="auto"/>
        <w:left w:val="none" w:sz="0" w:space="0" w:color="auto"/>
        <w:bottom w:val="none" w:sz="0" w:space="0" w:color="auto"/>
        <w:right w:val="none" w:sz="0" w:space="0" w:color="auto"/>
      </w:divBdr>
    </w:div>
    <w:div w:id="1265260187">
      <w:bodyDiv w:val="1"/>
      <w:marLeft w:val="0"/>
      <w:marRight w:val="0"/>
      <w:marTop w:val="0"/>
      <w:marBottom w:val="0"/>
      <w:divBdr>
        <w:top w:val="none" w:sz="0" w:space="0" w:color="auto"/>
        <w:left w:val="none" w:sz="0" w:space="0" w:color="auto"/>
        <w:bottom w:val="none" w:sz="0" w:space="0" w:color="auto"/>
        <w:right w:val="none" w:sz="0" w:space="0" w:color="auto"/>
      </w:divBdr>
    </w:div>
    <w:div w:id="1319335526">
      <w:bodyDiv w:val="1"/>
      <w:marLeft w:val="0"/>
      <w:marRight w:val="0"/>
      <w:marTop w:val="0"/>
      <w:marBottom w:val="0"/>
      <w:divBdr>
        <w:top w:val="none" w:sz="0" w:space="0" w:color="auto"/>
        <w:left w:val="none" w:sz="0" w:space="0" w:color="auto"/>
        <w:bottom w:val="none" w:sz="0" w:space="0" w:color="auto"/>
        <w:right w:val="none" w:sz="0" w:space="0" w:color="auto"/>
      </w:divBdr>
    </w:div>
    <w:div w:id="1370573199">
      <w:bodyDiv w:val="1"/>
      <w:marLeft w:val="0"/>
      <w:marRight w:val="0"/>
      <w:marTop w:val="0"/>
      <w:marBottom w:val="0"/>
      <w:divBdr>
        <w:top w:val="none" w:sz="0" w:space="0" w:color="auto"/>
        <w:left w:val="none" w:sz="0" w:space="0" w:color="auto"/>
        <w:bottom w:val="none" w:sz="0" w:space="0" w:color="auto"/>
        <w:right w:val="none" w:sz="0" w:space="0" w:color="auto"/>
      </w:divBdr>
    </w:div>
    <w:div w:id="1438713205">
      <w:bodyDiv w:val="1"/>
      <w:marLeft w:val="0"/>
      <w:marRight w:val="0"/>
      <w:marTop w:val="0"/>
      <w:marBottom w:val="0"/>
      <w:divBdr>
        <w:top w:val="none" w:sz="0" w:space="0" w:color="auto"/>
        <w:left w:val="none" w:sz="0" w:space="0" w:color="auto"/>
        <w:bottom w:val="none" w:sz="0" w:space="0" w:color="auto"/>
        <w:right w:val="none" w:sz="0" w:space="0" w:color="auto"/>
      </w:divBdr>
    </w:div>
    <w:div w:id="1549225630">
      <w:bodyDiv w:val="1"/>
      <w:marLeft w:val="0"/>
      <w:marRight w:val="0"/>
      <w:marTop w:val="0"/>
      <w:marBottom w:val="0"/>
      <w:divBdr>
        <w:top w:val="none" w:sz="0" w:space="0" w:color="auto"/>
        <w:left w:val="none" w:sz="0" w:space="0" w:color="auto"/>
        <w:bottom w:val="none" w:sz="0" w:space="0" w:color="auto"/>
        <w:right w:val="none" w:sz="0" w:space="0" w:color="auto"/>
      </w:divBdr>
    </w:div>
    <w:div w:id="1683848739">
      <w:bodyDiv w:val="1"/>
      <w:marLeft w:val="0"/>
      <w:marRight w:val="0"/>
      <w:marTop w:val="0"/>
      <w:marBottom w:val="0"/>
      <w:divBdr>
        <w:top w:val="none" w:sz="0" w:space="0" w:color="auto"/>
        <w:left w:val="none" w:sz="0" w:space="0" w:color="auto"/>
        <w:bottom w:val="none" w:sz="0" w:space="0" w:color="auto"/>
        <w:right w:val="none" w:sz="0" w:space="0" w:color="auto"/>
      </w:divBdr>
    </w:div>
    <w:div w:id="1704867067">
      <w:bodyDiv w:val="1"/>
      <w:marLeft w:val="0"/>
      <w:marRight w:val="0"/>
      <w:marTop w:val="0"/>
      <w:marBottom w:val="0"/>
      <w:divBdr>
        <w:top w:val="none" w:sz="0" w:space="0" w:color="auto"/>
        <w:left w:val="none" w:sz="0" w:space="0" w:color="auto"/>
        <w:bottom w:val="none" w:sz="0" w:space="0" w:color="auto"/>
        <w:right w:val="none" w:sz="0" w:space="0" w:color="auto"/>
      </w:divBdr>
    </w:div>
    <w:div w:id="1772317910">
      <w:bodyDiv w:val="1"/>
      <w:marLeft w:val="0"/>
      <w:marRight w:val="0"/>
      <w:marTop w:val="0"/>
      <w:marBottom w:val="0"/>
      <w:divBdr>
        <w:top w:val="none" w:sz="0" w:space="0" w:color="auto"/>
        <w:left w:val="none" w:sz="0" w:space="0" w:color="auto"/>
        <w:bottom w:val="none" w:sz="0" w:space="0" w:color="auto"/>
        <w:right w:val="none" w:sz="0" w:space="0" w:color="auto"/>
      </w:divBdr>
      <w:divsChild>
        <w:div w:id="1934313510">
          <w:marLeft w:val="0"/>
          <w:marRight w:val="0"/>
          <w:marTop w:val="0"/>
          <w:marBottom w:val="0"/>
          <w:divBdr>
            <w:top w:val="none" w:sz="0" w:space="0" w:color="auto"/>
            <w:left w:val="none" w:sz="0" w:space="0" w:color="auto"/>
            <w:bottom w:val="none" w:sz="0" w:space="0" w:color="auto"/>
            <w:right w:val="none" w:sz="0" w:space="0" w:color="auto"/>
          </w:divBdr>
          <w:divsChild>
            <w:div w:id="131557493">
              <w:marLeft w:val="0"/>
              <w:marRight w:val="0"/>
              <w:marTop w:val="0"/>
              <w:marBottom w:val="0"/>
              <w:divBdr>
                <w:top w:val="none" w:sz="0" w:space="0" w:color="auto"/>
                <w:left w:val="none" w:sz="0" w:space="0" w:color="auto"/>
                <w:bottom w:val="none" w:sz="0" w:space="0" w:color="auto"/>
                <w:right w:val="none" w:sz="0" w:space="0" w:color="auto"/>
              </w:divBdr>
            </w:div>
          </w:divsChild>
        </w:div>
        <w:div w:id="1461266283">
          <w:marLeft w:val="0"/>
          <w:marRight w:val="0"/>
          <w:marTop w:val="0"/>
          <w:marBottom w:val="0"/>
          <w:divBdr>
            <w:top w:val="none" w:sz="0" w:space="0" w:color="auto"/>
            <w:left w:val="none" w:sz="0" w:space="0" w:color="auto"/>
            <w:bottom w:val="none" w:sz="0" w:space="0" w:color="auto"/>
            <w:right w:val="none" w:sz="0" w:space="0" w:color="auto"/>
          </w:divBdr>
          <w:divsChild>
            <w:div w:id="104692603">
              <w:marLeft w:val="0"/>
              <w:marRight w:val="0"/>
              <w:marTop w:val="0"/>
              <w:marBottom w:val="0"/>
              <w:divBdr>
                <w:top w:val="none" w:sz="0" w:space="0" w:color="auto"/>
                <w:left w:val="none" w:sz="0" w:space="0" w:color="auto"/>
                <w:bottom w:val="none" w:sz="0" w:space="0" w:color="auto"/>
                <w:right w:val="none" w:sz="0" w:space="0" w:color="auto"/>
              </w:divBdr>
            </w:div>
          </w:divsChild>
        </w:div>
        <w:div w:id="325401601">
          <w:marLeft w:val="0"/>
          <w:marRight w:val="0"/>
          <w:marTop w:val="0"/>
          <w:marBottom w:val="0"/>
          <w:divBdr>
            <w:top w:val="none" w:sz="0" w:space="0" w:color="auto"/>
            <w:left w:val="none" w:sz="0" w:space="0" w:color="auto"/>
            <w:bottom w:val="none" w:sz="0" w:space="0" w:color="auto"/>
            <w:right w:val="none" w:sz="0" w:space="0" w:color="auto"/>
          </w:divBdr>
          <w:divsChild>
            <w:div w:id="963191537">
              <w:marLeft w:val="0"/>
              <w:marRight w:val="0"/>
              <w:marTop w:val="0"/>
              <w:marBottom w:val="0"/>
              <w:divBdr>
                <w:top w:val="none" w:sz="0" w:space="0" w:color="auto"/>
                <w:left w:val="none" w:sz="0" w:space="0" w:color="auto"/>
                <w:bottom w:val="none" w:sz="0" w:space="0" w:color="auto"/>
                <w:right w:val="none" w:sz="0" w:space="0" w:color="auto"/>
              </w:divBdr>
            </w:div>
          </w:divsChild>
        </w:div>
        <w:div w:id="353465413">
          <w:marLeft w:val="0"/>
          <w:marRight w:val="0"/>
          <w:marTop w:val="0"/>
          <w:marBottom w:val="0"/>
          <w:divBdr>
            <w:top w:val="none" w:sz="0" w:space="0" w:color="auto"/>
            <w:left w:val="none" w:sz="0" w:space="0" w:color="auto"/>
            <w:bottom w:val="none" w:sz="0" w:space="0" w:color="auto"/>
            <w:right w:val="none" w:sz="0" w:space="0" w:color="auto"/>
          </w:divBdr>
          <w:divsChild>
            <w:div w:id="427240538">
              <w:marLeft w:val="0"/>
              <w:marRight w:val="0"/>
              <w:marTop w:val="0"/>
              <w:marBottom w:val="0"/>
              <w:divBdr>
                <w:top w:val="none" w:sz="0" w:space="0" w:color="auto"/>
                <w:left w:val="none" w:sz="0" w:space="0" w:color="auto"/>
                <w:bottom w:val="none" w:sz="0" w:space="0" w:color="auto"/>
                <w:right w:val="none" w:sz="0" w:space="0" w:color="auto"/>
              </w:divBdr>
            </w:div>
          </w:divsChild>
        </w:div>
        <w:div w:id="698313093">
          <w:marLeft w:val="0"/>
          <w:marRight w:val="0"/>
          <w:marTop w:val="0"/>
          <w:marBottom w:val="0"/>
          <w:divBdr>
            <w:top w:val="none" w:sz="0" w:space="0" w:color="auto"/>
            <w:left w:val="none" w:sz="0" w:space="0" w:color="auto"/>
            <w:bottom w:val="none" w:sz="0" w:space="0" w:color="auto"/>
            <w:right w:val="none" w:sz="0" w:space="0" w:color="auto"/>
          </w:divBdr>
          <w:divsChild>
            <w:div w:id="930821438">
              <w:marLeft w:val="0"/>
              <w:marRight w:val="0"/>
              <w:marTop w:val="0"/>
              <w:marBottom w:val="0"/>
              <w:divBdr>
                <w:top w:val="none" w:sz="0" w:space="0" w:color="auto"/>
                <w:left w:val="none" w:sz="0" w:space="0" w:color="auto"/>
                <w:bottom w:val="none" w:sz="0" w:space="0" w:color="auto"/>
                <w:right w:val="none" w:sz="0" w:space="0" w:color="auto"/>
              </w:divBdr>
            </w:div>
          </w:divsChild>
        </w:div>
        <w:div w:id="1767993905">
          <w:marLeft w:val="0"/>
          <w:marRight w:val="0"/>
          <w:marTop w:val="0"/>
          <w:marBottom w:val="0"/>
          <w:divBdr>
            <w:top w:val="none" w:sz="0" w:space="0" w:color="auto"/>
            <w:left w:val="none" w:sz="0" w:space="0" w:color="auto"/>
            <w:bottom w:val="none" w:sz="0" w:space="0" w:color="auto"/>
            <w:right w:val="none" w:sz="0" w:space="0" w:color="auto"/>
          </w:divBdr>
          <w:divsChild>
            <w:div w:id="1089960060">
              <w:marLeft w:val="0"/>
              <w:marRight w:val="0"/>
              <w:marTop w:val="0"/>
              <w:marBottom w:val="0"/>
              <w:divBdr>
                <w:top w:val="none" w:sz="0" w:space="0" w:color="auto"/>
                <w:left w:val="none" w:sz="0" w:space="0" w:color="auto"/>
                <w:bottom w:val="none" w:sz="0" w:space="0" w:color="auto"/>
                <w:right w:val="none" w:sz="0" w:space="0" w:color="auto"/>
              </w:divBdr>
            </w:div>
          </w:divsChild>
        </w:div>
        <w:div w:id="1446848638">
          <w:marLeft w:val="0"/>
          <w:marRight w:val="0"/>
          <w:marTop w:val="0"/>
          <w:marBottom w:val="0"/>
          <w:divBdr>
            <w:top w:val="none" w:sz="0" w:space="0" w:color="auto"/>
            <w:left w:val="none" w:sz="0" w:space="0" w:color="auto"/>
            <w:bottom w:val="none" w:sz="0" w:space="0" w:color="auto"/>
            <w:right w:val="none" w:sz="0" w:space="0" w:color="auto"/>
          </w:divBdr>
          <w:divsChild>
            <w:div w:id="1505051615">
              <w:marLeft w:val="0"/>
              <w:marRight w:val="0"/>
              <w:marTop w:val="0"/>
              <w:marBottom w:val="0"/>
              <w:divBdr>
                <w:top w:val="none" w:sz="0" w:space="0" w:color="auto"/>
                <w:left w:val="none" w:sz="0" w:space="0" w:color="auto"/>
                <w:bottom w:val="none" w:sz="0" w:space="0" w:color="auto"/>
                <w:right w:val="none" w:sz="0" w:space="0" w:color="auto"/>
              </w:divBdr>
            </w:div>
          </w:divsChild>
        </w:div>
        <w:div w:id="493492129">
          <w:marLeft w:val="0"/>
          <w:marRight w:val="0"/>
          <w:marTop w:val="0"/>
          <w:marBottom w:val="0"/>
          <w:divBdr>
            <w:top w:val="none" w:sz="0" w:space="0" w:color="auto"/>
            <w:left w:val="none" w:sz="0" w:space="0" w:color="auto"/>
            <w:bottom w:val="none" w:sz="0" w:space="0" w:color="auto"/>
            <w:right w:val="none" w:sz="0" w:space="0" w:color="auto"/>
          </w:divBdr>
          <w:divsChild>
            <w:div w:id="1973822307">
              <w:marLeft w:val="0"/>
              <w:marRight w:val="0"/>
              <w:marTop w:val="0"/>
              <w:marBottom w:val="0"/>
              <w:divBdr>
                <w:top w:val="none" w:sz="0" w:space="0" w:color="auto"/>
                <w:left w:val="none" w:sz="0" w:space="0" w:color="auto"/>
                <w:bottom w:val="none" w:sz="0" w:space="0" w:color="auto"/>
                <w:right w:val="none" w:sz="0" w:space="0" w:color="auto"/>
              </w:divBdr>
            </w:div>
          </w:divsChild>
        </w:div>
        <w:div w:id="146286413">
          <w:marLeft w:val="0"/>
          <w:marRight w:val="0"/>
          <w:marTop w:val="0"/>
          <w:marBottom w:val="0"/>
          <w:divBdr>
            <w:top w:val="none" w:sz="0" w:space="0" w:color="auto"/>
            <w:left w:val="none" w:sz="0" w:space="0" w:color="auto"/>
            <w:bottom w:val="none" w:sz="0" w:space="0" w:color="auto"/>
            <w:right w:val="none" w:sz="0" w:space="0" w:color="auto"/>
          </w:divBdr>
          <w:divsChild>
            <w:div w:id="2008315592">
              <w:marLeft w:val="0"/>
              <w:marRight w:val="0"/>
              <w:marTop w:val="0"/>
              <w:marBottom w:val="0"/>
              <w:divBdr>
                <w:top w:val="none" w:sz="0" w:space="0" w:color="auto"/>
                <w:left w:val="none" w:sz="0" w:space="0" w:color="auto"/>
                <w:bottom w:val="none" w:sz="0" w:space="0" w:color="auto"/>
                <w:right w:val="none" w:sz="0" w:space="0" w:color="auto"/>
              </w:divBdr>
            </w:div>
          </w:divsChild>
        </w:div>
        <w:div w:id="1995644557">
          <w:marLeft w:val="0"/>
          <w:marRight w:val="0"/>
          <w:marTop w:val="0"/>
          <w:marBottom w:val="0"/>
          <w:divBdr>
            <w:top w:val="none" w:sz="0" w:space="0" w:color="auto"/>
            <w:left w:val="none" w:sz="0" w:space="0" w:color="auto"/>
            <w:bottom w:val="none" w:sz="0" w:space="0" w:color="auto"/>
            <w:right w:val="none" w:sz="0" w:space="0" w:color="auto"/>
          </w:divBdr>
          <w:divsChild>
            <w:div w:id="1015352624">
              <w:marLeft w:val="0"/>
              <w:marRight w:val="0"/>
              <w:marTop w:val="0"/>
              <w:marBottom w:val="0"/>
              <w:divBdr>
                <w:top w:val="none" w:sz="0" w:space="0" w:color="auto"/>
                <w:left w:val="none" w:sz="0" w:space="0" w:color="auto"/>
                <w:bottom w:val="none" w:sz="0" w:space="0" w:color="auto"/>
                <w:right w:val="none" w:sz="0" w:space="0" w:color="auto"/>
              </w:divBdr>
            </w:div>
          </w:divsChild>
        </w:div>
        <w:div w:id="982202158">
          <w:marLeft w:val="0"/>
          <w:marRight w:val="0"/>
          <w:marTop w:val="0"/>
          <w:marBottom w:val="0"/>
          <w:divBdr>
            <w:top w:val="none" w:sz="0" w:space="0" w:color="auto"/>
            <w:left w:val="none" w:sz="0" w:space="0" w:color="auto"/>
            <w:bottom w:val="none" w:sz="0" w:space="0" w:color="auto"/>
            <w:right w:val="none" w:sz="0" w:space="0" w:color="auto"/>
          </w:divBdr>
          <w:divsChild>
            <w:div w:id="239095792">
              <w:marLeft w:val="0"/>
              <w:marRight w:val="0"/>
              <w:marTop w:val="0"/>
              <w:marBottom w:val="0"/>
              <w:divBdr>
                <w:top w:val="none" w:sz="0" w:space="0" w:color="auto"/>
                <w:left w:val="none" w:sz="0" w:space="0" w:color="auto"/>
                <w:bottom w:val="none" w:sz="0" w:space="0" w:color="auto"/>
                <w:right w:val="none" w:sz="0" w:space="0" w:color="auto"/>
              </w:divBdr>
            </w:div>
          </w:divsChild>
        </w:div>
        <w:div w:id="247202544">
          <w:marLeft w:val="0"/>
          <w:marRight w:val="0"/>
          <w:marTop w:val="0"/>
          <w:marBottom w:val="0"/>
          <w:divBdr>
            <w:top w:val="none" w:sz="0" w:space="0" w:color="auto"/>
            <w:left w:val="none" w:sz="0" w:space="0" w:color="auto"/>
            <w:bottom w:val="none" w:sz="0" w:space="0" w:color="auto"/>
            <w:right w:val="none" w:sz="0" w:space="0" w:color="auto"/>
          </w:divBdr>
          <w:divsChild>
            <w:div w:id="1882594817">
              <w:marLeft w:val="0"/>
              <w:marRight w:val="0"/>
              <w:marTop w:val="0"/>
              <w:marBottom w:val="0"/>
              <w:divBdr>
                <w:top w:val="none" w:sz="0" w:space="0" w:color="auto"/>
                <w:left w:val="none" w:sz="0" w:space="0" w:color="auto"/>
                <w:bottom w:val="none" w:sz="0" w:space="0" w:color="auto"/>
                <w:right w:val="none" w:sz="0" w:space="0" w:color="auto"/>
              </w:divBdr>
            </w:div>
          </w:divsChild>
        </w:div>
        <w:div w:id="1270820864">
          <w:marLeft w:val="0"/>
          <w:marRight w:val="0"/>
          <w:marTop w:val="0"/>
          <w:marBottom w:val="0"/>
          <w:divBdr>
            <w:top w:val="none" w:sz="0" w:space="0" w:color="auto"/>
            <w:left w:val="none" w:sz="0" w:space="0" w:color="auto"/>
            <w:bottom w:val="none" w:sz="0" w:space="0" w:color="auto"/>
            <w:right w:val="none" w:sz="0" w:space="0" w:color="auto"/>
          </w:divBdr>
          <w:divsChild>
            <w:div w:id="1124620960">
              <w:marLeft w:val="0"/>
              <w:marRight w:val="0"/>
              <w:marTop w:val="0"/>
              <w:marBottom w:val="0"/>
              <w:divBdr>
                <w:top w:val="none" w:sz="0" w:space="0" w:color="auto"/>
                <w:left w:val="none" w:sz="0" w:space="0" w:color="auto"/>
                <w:bottom w:val="none" w:sz="0" w:space="0" w:color="auto"/>
                <w:right w:val="none" w:sz="0" w:space="0" w:color="auto"/>
              </w:divBdr>
            </w:div>
          </w:divsChild>
        </w:div>
        <w:div w:id="1385641350">
          <w:marLeft w:val="0"/>
          <w:marRight w:val="0"/>
          <w:marTop w:val="0"/>
          <w:marBottom w:val="0"/>
          <w:divBdr>
            <w:top w:val="none" w:sz="0" w:space="0" w:color="auto"/>
            <w:left w:val="none" w:sz="0" w:space="0" w:color="auto"/>
            <w:bottom w:val="none" w:sz="0" w:space="0" w:color="auto"/>
            <w:right w:val="none" w:sz="0" w:space="0" w:color="auto"/>
          </w:divBdr>
          <w:divsChild>
            <w:div w:id="100803745">
              <w:marLeft w:val="0"/>
              <w:marRight w:val="0"/>
              <w:marTop w:val="0"/>
              <w:marBottom w:val="0"/>
              <w:divBdr>
                <w:top w:val="none" w:sz="0" w:space="0" w:color="auto"/>
                <w:left w:val="none" w:sz="0" w:space="0" w:color="auto"/>
                <w:bottom w:val="none" w:sz="0" w:space="0" w:color="auto"/>
                <w:right w:val="none" w:sz="0" w:space="0" w:color="auto"/>
              </w:divBdr>
            </w:div>
          </w:divsChild>
        </w:div>
        <w:div w:id="1884754271">
          <w:marLeft w:val="0"/>
          <w:marRight w:val="0"/>
          <w:marTop w:val="0"/>
          <w:marBottom w:val="0"/>
          <w:divBdr>
            <w:top w:val="none" w:sz="0" w:space="0" w:color="auto"/>
            <w:left w:val="none" w:sz="0" w:space="0" w:color="auto"/>
            <w:bottom w:val="none" w:sz="0" w:space="0" w:color="auto"/>
            <w:right w:val="none" w:sz="0" w:space="0" w:color="auto"/>
          </w:divBdr>
          <w:divsChild>
            <w:div w:id="1951234977">
              <w:marLeft w:val="0"/>
              <w:marRight w:val="0"/>
              <w:marTop w:val="0"/>
              <w:marBottom w:val="0"/>
              <w:divBdr>
                <w:top w:val="none" w:sz="0" w:space="0" w:color="auto"/>
                <w:left w:val="none" w:sz="0" w:space="0" w:color="auto"/>
                <w:bottom w:val="none" w:sz="0" w:space="0" w:color="auto"/>
                <w:right w:val="none" w:sz="0" w:space="0" w:color="auto"/>
              </w:divBdr>
            </w:div>
          </w:divsChild>
        </w:div>
        <w:div w:id="810287156">
          <w:marLeft w:val="0"/>
          <w:marRight w:val="0"/>
          <w:marTop w:val="0"/>
          <w:marBottom w:val="0"/>
          <w:divBdr>
            <w:top w:val="none" w:sz="0" w:space="0" w:color="auto"/>
            <w:left w:val="none" w:sz="0" w:space="0" w:color="auto"/>
            <w:bottom w:val="none" w:sz="0" w:space="0" w:color="auto"/>
            <w:right w:val="none" w:sz="0" w:space="0" w:color="auto"/>
          </w:divBdr>
          <w:divsChild>
            <w:div w:id="2081439913">
              <w:marLeft w:val="0"/>
              <w:marRight w:val="0"/>
              <w:marTop w:val="0"/>
              <w:marBottom w:val="0"/>
              <w:divBdr>
                <w:top w:val="none" w:sz="0" w:space="0" w:color="auto"/>
                <w:left w:val="none" w:sz="0" w:space="0" w:color="auto"/>
                <w:bottom w:val="none" w:sz="0" w:space="0" w:color="auto"/>
                <w:right w:val="none" w:sz="0" w:space="0" w:color="auto"/>
              </w:divBdr>
            </w:div>
          </w:divsChild>
        </w:div>
        <w:div w:id="664632273">
          <w:marLeft w:val="0"/>
          <w:marRight w:val="0"/>
          <w:marTop w:val="0"/>
          <w:marBottom w:val="0"/>
          <w:divBdr>
            <w:top w:val="none" w:sz="0" w:space="0" w:color="auto"/>
            <w:left w:val="none" w:sz="0" w:space="0" w:color="auto"/>
            <w:bottom w:val="none" w:sz="0" w:space="0" w:color="auto"/>
            <w:right w:val="none" w:sz="0" w:space="0" w:color="auto"/>
          </w:divBdr>
          <w:divsChild>
            <w:div w:id="1196650475">
              <w:marLeft w:val="0"/>
              <w:marRight w:val="0"/>
              <w:marTop w:val="0"/>
              <w:marBottom w:val="0"/>
              <w:divBdr>
                <w:top w:val="none" w:sz="0" w:space="0" w:color="auto"/>
                <w:left w:val="none" w:sz="0" w:space="0" w:color="auto"/>
                <w:bottom w:val="none" w:sz="0" w:space="0" w:color="auto"/>
                <w:right w:val="none" w:sz="0" w:space="0" w:color="auto"/>
              </w:divBdr>
            </w:div>
          </w:divsChild>
        </w:div>
        <w:div w:id="1592203647">
          <w:marLeft w:val="0"/>
          <w:marRight w:val="0"/>
          <w:marTop w:val="0"/>
          <w:marBottom w:val="0"/>
          <w:divBdr>
            <w:top w:val="none" w:sz="0" w:space="0" w:color="auto"/>
            <w:left w:val="none" w:sz="0" w:space="0" w:color="auto"/>
            <w:bottom w:val="none" w:sz="0" w:space="0" w:color="auto"/>
            <w:right w:val="none" w:sz="0" w:space="0" w:color="auto"/>
          </w:divBdr>
          <w:divsChild>
            <w:div w:id="615674934">
              <w:marLeft w:val="0"/>
              <w:marRight w:val="0"/>
              <w:marTop w:val="0"/>
              <w:marBottom w:val="0"/>
              <w:divBdr>
                <w:top w:val="none" w:sz="0" w:space="0" w:color="auto"/>
                <w:left w:val="none" w:sz="0" w:space="0" w:color="auto"/>
                <w:bottom w:val="none" w:sz="0" w:space="0" w:color="auto"/>
                <w:right w:val="none" w:sz="0" w:space="0" w:color="auto"/>
              </w:divBdr>
            </w:div>
          </w:divsChild>
        </w:div>
        <w:div w:id="1886747691">
          <w:marLeft w:val="0"/>
          <w:marRight w:val="0"/>
          <w:marTop w:val="0"/>
          <w:marBottom w:val="0"/>
          <w:divBdr>
            <w:top w:val="none" w:sz="0" w:space="0" w:color="auto"/>
            <w:left w:val="none" w:sz="0" w:space="0" w:color="auto"/>
            <w:bottom w:val="none" w:sz="0" w:space="0" w:color="auto"/>
            <w:right w:val="none" w:sz="0" w:space="0" w:color="auto"/>
          </w:divBdr>
          <w:divsChild>
            <w:div w:id="432438847">
              <w:marLeft w:val="0"/>
              <w:marRight w:val="0"/>
              <w:marTop w:val="0"/>
              <w:marBottom w:val="0"/>
              <w:divBdr>
                <w:top w:val="none" w:sz="0" w:space="0" w:color="auto"/>
                <w:left w:val="none" w:sz="0" w:space="0" w:color="auto"/>
                <w:bottom w:val="none" w:sz="0" w:space="0" w:color="auto"/>
                <w:right w:val="none" w:sz="0" w:space="0" w:color="auto"/>
              </w:divBdr>
            </w:div>
          </w:divsChild>
        </w:div>
        <w:div w:id="721365950">
          <w:marLeft w:val="0"/>
          <w:marRight w:val="0"/>
          <w:marTop w:val="0"/>
          <w:marBottom w:val="0"/>
          <w:divBdr>
            <w:top w:val="none" w:sz="0" w:space="0" w:color="auto"/>
            <w:left w:val="none" w:sz="0" w:space="0" w:color="auto"/>
            <w:bottom w:val="none" w:sz="0" w:space="0" w:color="auto"/>
            <w:right w:val="none" w:sz="0" w:space="0" w:color="auto"/>
          </w:divBdr>
          <w:divsChild>
            <w:div w:id="709453415">
              <w:marLeft w:val="0"/>
              <w:marRight w:val="0"/>
              <w:marTop w:val="0"/>
              <w:marBottom w:val="0"/>
              <w:divBdr>
                <w:top w:val="none" w:sz="0" w:space="0" w:color="auto"/>
                <w:left w:val="none" w:sz="0" w:space="0" w:color="auto"/>
                <w:bottom w:val="none" w:sz="0" w:space="0" w:color="auto"/>
                <w:right w:val="none" w:sz="0" w:space="0" w:color="auto"/>
              </w:divBdr>
            </w:div>
          </w:divsChild>
        </w:div>
        <w:div w:id="1335105633">
          <w:marLeft w:val="0"/>
          <w:marRight w:val="0"/>
          <w:marTop w:val="0"/>
          <w:marBottom w:val="0"/>
          <w:divBdr>
            <w:top w:val="none" w:sz="0" w:space="0" w:color="auto"/>
            <w:left w:val="none" w:sz="0" w:space="0" w:color="auto"/>
            <w:bottom w:val="none" w:sz="0" w:space="0" w:color="auto"/>
            <w:right w:val="none" w:sz="0" w:space="0" w:color="auto"/>
          </w:divBdr>
          <w:divsChild>
            <w:div w:id="702292506">
              <w:marLeft w:val="0"/>
              <w:marRight w:val="0"/>
              <w:marTop w:val="0"/>
              <w:marBottom w:val="0"/>
              <w:divBdr>
                <w:top w:val="none" w:sz="0" w:space="0" w:color="auto"/>
                <w:left w:val="none" w:sz="0" w:space="0" w:color="auto"/>
                <w:bottom w:val="none" w:sz="0" w:space="0" w:color="auto"/>
                <w:right w:val="none" w:sz="0" w:space="0" w:color="auto"/>
              </w:divBdr>
            </w:div>
          </w:divsChild>
        </w:div>
        <w:div w:id="1449817112">
          <w:marLeft w:val="0"/>
          <w:marRight w:val="0"/>
          <w:marTop w:val="0"/>
          <w:marBottom w:val="0"/>
          <w:divBdr>
            <w:top w:val="none" w:sz="0" w:space="0" w:color="auto"/>
            <w:left w:val="none" w:sz="0" w:space="0" w:color="auto"/>
            <w:bottom w:val="none" w:sz="0" w:space="0" w:color="auto"/>
            <w:right w:val="none" w:sz="0" w:space="0" w:color="auto"/>
          </w:divBdr>
          <w:divsChild>
            <w:div w:id="1297178646">
              <w:marLeft w:val="0"/>
              <w:marRight w:val="0"/>
              <w:marTop w:val="0"/>
              <w:marBottom w:val="0"/>
              <w:divBdr>
                <w:top w:val="none" w:sz="0" w:space="0" w:color="auto"/>
                <w:left w:val="none" w:sz="0" w:space="0" w:color="auto"/>
                <w:bottom w:val="none" w:sz="0" w:space="0" w:color="auto"/>
                <w:right w:val="none" w:sz="0" w:space="0" w:color="auto"/>
              </w:divBdr>
            </w:div>
          </w:divsChild>
        </w:div>
        <w:div w:id="1291472903">
          <w:marLeft w:val="0"/>
          <w:marRight w:val="0"/>
          <w:marTop w:val="0"/>
          <w:marBottom w:val="0"/>
          <w:divBdr>
            <w:top w:val="none" w:sz="0" w:space="0" w:color="auto"/>
            <w:left w:val="none" w:sz="0" w:space="0" w:color="auto"/>
            <w:bottom w:val="none" w:sz="0" w:space="0" w:color="auto"/>
            <w:right w:val="none" w:sz="0" w:space="0" w:color="auto"/>
          </w:divBdr>
          <w:divsChild>
            <w:div w:id="2053382645">
              <w:marLeft w:val="0"/>
              <w:marRight w:val="0"/>
              <w:marTop w:val="0"/>
              <w:marBottom w:val="0"/>
              <w:divBdr>
                <w:top w:val="none" w:sz="0" w:space="0" w:color="auto"/>
                <w:left w:val="none" w:sz="0" w:space="0" w:color="auto"/>
                <w:bottom w:val="none" w:sz="0" w:space="0" w:color="auto"/>
                <w:right w:val="none" w:sz="0" w:space="0" w:color="auto"/>
              </w:divBdr>
            </w:div>
          </w:divsChild>
        </w:div>
        <w:div w:id="1511601863">
          <w:marLeft w:val="0"/>
          <w:marRight w:val="0"/>
          <w:marTop w:val="0"/>
          <w:marBottom w:val="0"/>
          <w:divBdr>
            <w:top w:val="none" w:sz="0" w:space="0" w:color="auto"/>
            <w:left w:val="none" w:sz="0" w:space="0" w:color="auto"/>
            <w:bottom w:val="none" w:sz="0" w:space="0" w:color="auto"/>
            <w:right w:val="none" w:sz="0" w:space="0" w:color="auto"/>
          </w:divBdr>
          <w:divsChild>
            <w:div w:id="1129393351">
              <w:marLeft w:val="0"/>
              <w:marRight w:val="0"/>
              <w:marTop w:val="0"/>
              <w:marBottom w:val="0"/>
              <w:divBdr>
                <w:top w:val="none" w:sz="0" w:space="0" w:color="auto"/>
                <w:left w:val="none" w:sz="0" w:space="0" w:color="auto"/>
                <w:bottom w:val="none" w:sz="0" w:space="0" w:color="auto"/>
                <w:right w:val="none" w:sz="0" w:space="0" w:color="auto"/>
              </w:divBdr>
            </w:div>
          </w:divsChild>
        </w:div>
        <w:div w:id="576205043">
          <w:marLeft w:val="0"/>
          <w:marRight w:val="0"/>
          <w:marTop w:val="0"/>
          <w:marBottom w:val="0"/>
          <w:divBdr>
            <w:top w:val="none" w:sz="0" w:space="0" w:color="auto"/>
            <w:left w:val="none" w:sz="0" w:space="0" w:color="auto"/>
            <w:bottom w:val="none" w:sz="0" w:space="0" w:color="auto"/>
            <w:right w:val="none" w:sz="0" w:space="0" w:color="auto"/>
          </w:divBdr>
          <w:divsChild>
            <w:div w:id="32001644">
              <w:marLeft w:val="0"/>
              <w:marRight w:val="0"/>
              <w:marTop w:val="0"/>
              <w:marBottom w:val="0"/>
              <w:divBdr>
                <w:top w:val="none" w:sz="0" w:space="0" w:color="auto"/>
                <w:left w:val="none" w:sz="0" w:space="0" w:color="auto"/>
                <w:bottom w:val="none" w:sz="0" w:space="0" w:color="auto"/>
                <w:right w:val="none" w:sz="0" w:space="0" w:color="auto"/>
              </w:divBdr>
            </w:div>
          </w:divsChild>
        </w:div>
        <w:div w:id="362289866">
          <w:marLeft w:val="0"/>
          <w:marRight w:val="0"/>
          <w:marTop w:val="0"/>
          <w:marBottom w:val="0"/>
          <w:divBdr>
            <w:top w:val="none" w:sz="0" w:space="0" w:color="auto"/>
            <w:left w:val="none" w:sz="0" w:space="0" w:color="auto"/>
            <w:bottom w:val="none" w:sz="0" w:space="0" w:color="auto"/>
            <w:right w:val="none" w:sz="0" w:space="0" w:color="auto"/>
          </w:divBdr>
          <w:divsChild>
            <w:div w:id="1689408061">
              <w:marLeft w:val="0"/>
              <w:marRight w:val="0"/>
              <w:marTop w:val="0"/>
              <w:marBottom w:val="0"/>
              <w:divBdr>
                <w:top w:val="none" w:sz="0" w:space="0" w:color="auto"/>
                <w:left w:val="none" w:sz="0" w:space="0" w:color="auto"/>
                <w:bottom w:val="none" w:sz="0" w:space="0" w:color="auto"/>
                <w:right w:val="none" w:sz="0" w:space="0" w:color="auto"/>
              </w:divBdr>
            </w:div>
          </w:divsChild>
        </w:div>
        <w:div w:id="1075392248">
          <w:marLeft w:val="0"/>
          <w:marRight w:val="0"/>
          <w:marTop w:val="0"/>
          <w:marBottom w:val="0"/>
          <w:divBdr>
            <w:top w:val="none" w:sz="0" w:space="0" w:color="auto"/>
            <w:left w:val="none" w:sz="0" w:space="0" w:color="auto"/>
            <w:bottom w:val="none" w:sz="0" w:space="0" w:color="auto"/>
            <w:right w:val="none" w:sz="0" w:space="0" w:color="auto"/>
          </w:divBdr>
          <w:divsChild>
            <w:div w:id="1237865359">
              <w:marLeft w:val="0"/>
              <w:marRight w:val="0"/>
              <w:marTop w:val="0"/>
              <w:marBottom w:val="0"/>
              <w:divBdr>
                <w:top w:val="none" w:sz="0" w:space="0" w:color="auto"/>
                <w:left w:val="none" w:sz="0" w:space="0" w:color="auto"/>
                <w:bottom w:val="none" w:sz="0" w:space="0" w:color="auto"/>
                <w:right w:val="none" w:sz="0" w:space="0" w:color="auto"/>
              </w:divBdr>
            </w:div>
          </w:divsChild>
        </w:div>
        <w:div w:id="510536600">
          <w:marLeft w:val="0"/>
          <w:marRight w:val="0"/>
          <w:marTop w:val="0"/>
          <w:marBottom w:val="0"/>
          <w:divBdr>
            <w:top w:val="none" w:sz="0" w:space="0" w:color="auto"/>
            <w:left w:val="none" w:sz="0" w:space="0" w:color="auto"/>
            <w:bottom w:val="none" w:sz="0" w:space="0" w:color="auto"/>
            <w:right w:val="none" w:sz="0" w:space="0" w:color="auto"/>
          </w:divBdr>
          <w:divsChild>
            <w:div w:id="2049064191">
              <w:marLeft w:val="0"/>
              <w:marRight w:val="0"/>
              <w:marTop w:val="0"/>
              <w:marBottom w:val="0"/>
              <w:divBdr>
                <w:top w:val="none" w:sz="0" w:space="0" w:color="auto"/>
                <w:left w:val="none" w:sz="0" w:space="0" w:color="auto"/>
                <w:bottom w:val="none" w:sz="0" w:space="0" w:color="auto"/>
                <w:right w:val="none" w:sz="0" w:space="0" w:color="auto"/>
              </w:divBdr>
            </w:div>
          </w:divsChild>
        </w:div>
        <w:div w:id="1090811640">
          <w:marLeft w:val="0"/>
          <w:marRight w:val="0"/>
          <w:marTop w:val="0"/>
          <w:marBottom w:val="0"/>
          <w:divBdr>
            <w:top w:val="none" w:sz="0" w:space="0" w:color="auto"/>
            <w:left w:val="none" w:sz="0" w:space="0" w:color="auto"/>
            <w:bottom w:val="none" w:sz="0" w:space="0" w:color="auto"/>
            <w:right w:val="none" w:sz="0" w:space="0" w:color="auto"/>
          </w:divBdr>
          <w:divsChild>
            <w:div w:id="71507348">
              <w:marLeft w:val="0"/>
              <w:marRight w:val="0"/>
              <w:marTop w:val="0"/>
              <w:marBottom w:val="0"/>
              <w:divBdr>
                <w:top w:val="none" w:sz="0" w:space="0" w:color="auto"/>
                <w:left w:val="none" w:sz="0" w:space="0" w:color="auto"/>
                <w:bottom w:val="none" w:sz="0" w:space="0" w:color="auto"/>
                <w:right w:val="none" w:sz="0" w:space="0" w:color="auto"/>
              </w:divBdr>
            </w:div>
          </w:divsChild>
        </w:div>
        <w:div w:id="1718503615">
          <w:marLeft w:val="0"/>
          <w:marRight w:val="0"/>
          <w:marTop w:val="0"/>
          <w:marBottom w:val="0"/>
          <w:divBdr>
            <w:top w:val="none" w:sz="0" w:space="0" w:color="auto"/>
            <w:left w:val="none" w:sz="0" w:space="0" w:color="auto"/>
            <w:bottom w:val="none" w:sz="0" w:space="0" w:color="auto"/>
            <w:right w:val="none" w:sz="0" w:space="0" w:color="auto"/>
          </w:divBdr>
          <w:divsChild>
            <w:div w:id="868370056">
              <w:marLeft w:val="0"/>
              <w:marRight w:val="0"/>
              <w:marTop w:val="0"/>
              <w:marBottom w:val="0"/>
              <w:divBdr>
                <w:top w:val="none" w:sz="0" w:space="0" w:color="auto"/>
                <w:left w:val="none" w:sz="0" w:space="0" w:color="auto"/>
                <w:bottom w:val="none" w:sz="0" w:space="0" w:color="auto"/>
                <w:right w:val="none" w:sz="0" w:space="0" w:color="auto"/>
              </w:divBdr>
            </w:div>
          </w:divsChild>
        </w:div>
        <w:div w:id="1704014647">
          <w:marLeft w:val="0"/>
          <w:marRight w:val="0"/>
          <w:marTop w:val="0"/>
          <w:marBottom w:val="0"/>
          <w:divBdr>
            <w:top w:val="none" w:sz="0" w:space="0" w:color="auto"/>
            <w:left w:val="none" w:sz="0" w:space="0" w:color="auto"/>
            <w:bottom w:val="none" w:sz="0" w:space="0" w:color="auto"/>
            <w:right w:val="none" w:sz="0" w:space="0" w:color="auto"/>
          </w:divBdr>
          <w:divsChild>
            <w:div w:id="1896817395">
              <w:marLeft w:val="0"/>
              <w:marRight w:val="0"/>
              <w:marTop w:val="0"/>
              <w:marBottom w:val="0"/>
              <w:divBdr>
                <w:top w:val="none" w:sz="0" w:space="0" w:color="auto"/>
                <w:left w:val="none" w:sz="0" w:space="0" w:color="auto"/>
                <w:bottom w:val="none" w:sz="0" w:space="0" w:color="auto"/>
                <w:right w:val="none" w:sz="0" w:space="0" w:color="auto"/>
              </w:divBdr>
            </w:div>
          </w:divsChild>
        </w:div>
        <w:div w:id="690566246">
          <w:marLeft w:val="0"/>
          <w:marRight w:val="0"/>
          <w:marTop w:val="0"/>
          <w:marBottom w:val="0"/>
          <w:divBdr>
            <w:top w:val="none" w:sz="0" w:space="0" w:color="auto"/>
            <w:left w:val="none" w:sz="0" w:space="0" w:color="auto"/>
            <w:bottom w:val="none" w:sz="0" w:space="0" w:color="auto"/>
            <w:right w:val="none" w:sz="0" w:space="0" w:color="auto"/>
          </w:divBdr>
          <w:divsChild>
            <w:div w:id="1255091137">
              <w:marLeft w:val="0"/>
              <w:marRight w:val="0"/>
              <w:marTop w:val="0"/>
              <w:marBottom w:val="0"/>
              <w:divBdr>
                <w:top w:val="none" w:sz="0" w:space="0" w:color="auto"/>
                <w:left w:val="none" w:sz="0" w:space="0" w:color="auto"/>
                <w:bottom w:val="none" w:sz="0" w:space="0" w:color="auto"/>
                <w:right w:val="none" w:sz="0" w:space="0" w:color="auto"/>
              </w:divBdr>
            </w:div>
          </w:divsChild>
        </w:div>
        <w:div w:id="1723670564">
          <w:marLeft w:val="0"/>
          <w:marRight w:val="0"/>
          <w:marTop w:val="0"/>
          <w:marBottom w:val="0"/>
          <w:divBdr>
            <w:top w:val="none" w:sz="0" w:space="0" w:color="auto"/>
            <w:left w:val="none" w:sz="0" w:space="0" w:color="auto"/>
            <w:bottom w:val="none" w:sz="0" w:space="0" w:color="auto"/>
            <w:right w:val="none" w:sz="0" w:space="0" w:color="auto"/>
          </w:divBdr>
          <w:divsChild>
            <w:div w:id="1099761931">
              <w:marLeft w:val="0"/>
              <w:marRight w:val="0"/>
              <w:marTop w:val="0"/>
              <w:marBottom w:val="0"/>
              <w:divBdr>
                <w:top w:val="none" w:sz="0" w:space="0" w:color="auto"/>
                <w:left w:val="none" w:sz="0" w:space="0" w:color="auto"/>
                <w:bottom w:val="none" w:sz="0" w:space="0" w:color="auto"/>
                <w:right w:val="none" w:sz="0" w:space="0" w:color="auto"/>
              </w:divBdr>
            </w:div>
          </w:divsChild>
        </w:div>
        <w:div w:id="2109159194">
          <w:marLeft w:val="0"/>
          <w:marRight w:val="0"/>
          <w:marTop w:val="0"/>
          <w:marBottom w:val="0"/>
          <w:divBdr>
            <w:top w:val="none" w:sz="0" w:space="0" w:color="auto"/>
            <w:left w:val="none" w:sz="0" w:space="0" w:color="auto"/>
            <w:bottom w:val="none" w:sz="0" w:space="0" w:color="auto"/>
            <w:right w:val="none" w:sz="0" w:space="0" w:color="auto"/>
          </w:divBdr>
          <w:divsChild>
            <w:div w:id="588121832">
              <w:marLeft w:val="0"/>
              <w:marRight w:val="0"/>
              <w:marTop w:val="0"/>
              <w:marBottom w:val="0"/>
              <w:divBdr>
                <w:top w:val="none" w:sz="0" w:space="0" w:color="auto"/>
                <w:left w:val="none" w:sz="0" w:space="0" w:color="auto"/>
                <w:bottom w:val="none" w:sz="0" w:space="0" w:color="auto"/>
                <w:right w:val="none" w:sz="0" w:space="0" w:color="auto"/>
              </w:divBdr>
            </w:div>
          </w:divsChild>
        </w:div>
        <w:div w:id="1445685410">
          <w:marLeft w:val="0"/>
          <w:marRight w:val="0"/>
          <w:marTop w:val="0"/>
          <w:marBottom w:val="0"/>
          <w:divBdr>
            <w:top w:val="none" w:sz="0" w:space="0" w:color="auto"/>
            <w:left w:val="none" w:sz="0" w:space="0" w:color="auto"/>
            <w:bottom w:val="none" w:sz="0" w:space="0" w:color="auto"/>
            <w:right w:val="none" w:sz="0" w:space="0" w:color="auto"/>
          </w:divBdr>
          <w:divsChild>
            <w:div w:id="1889803705">
              <w:marLeft w:val="0"/>
              <w:marRight w:val="0"/>
              <w:marTop w:val="0"/>
              <w:marBottom w:val="0"/>
              <w:divBdr>
                <w:top w:val="none" w:sz="0" w:space="0" w:color="auto"/>
                <w:left w:val="none" w:sz="0" w:space="0" w:color="auto"/>
                <w:bottom w:val="none" w:sz="0" w:space="0" w:color="auto"/>
                <w:right w:val="none" w:sz="0" w:space="0" w:color="auto"/>
              </w:divBdr>
            </w:div>
          </w:divsChild>
        </w:div>
        <w:div w:id="1207371360">
          <w:marLeft w:val="0"/>
          <w:marRight w:val="0"/>
          <w:marTop w:val="0"/>
          <w:marBottom w:val="0"/>
          <w:divBdr>
            <w:top w:val="none" w:sz="0" w:space="0" w:color="auto"/>
            <w:left w:val="none" w:sz="0" w:space="0" w:color="auto"/>
            <w:bottom w:val="none" w:sz="0" w:space="0" w:color="auto"/>
            <w:right w:val="none" w:sz="0" w:space="0" w:color="auto"/>
          </w:divBdr>
          <w:divsChild>
            <w:div w:id="668485842">
              <w:marLeft w:val="0"/>
              <w:marRight w:val="0"/>
              <w:marTop w:val="0"/>
              <w:marBottom w:val="0"/>
              <w:divBdr>
                <w:top w:val="none" w:sz="0" w:space="0" w:color="auto"/>
                <w:left w:val="none" w:sz="0" w:space="0" w:color="auto"/>
                <w:bottom w:val="none" w:sz="0" w:space="0" w:color="auto"/>
                <w:right w:val="none" w:sz="0" w:space="0" w:color="auto"/>
              </w:divBdr>
            </w:div>
          </w:divsChild>
        </w:div>
        <w:div w:id="1195776244">
          <w:marLeft w:val="0"/>
          <w:marRight w:val="0"/>
          <w:marTop w:val="0"/>
          <w:marBottom w:val="0"/>
          <w:divBdr>
            <w:top w:val="none" w:sz="0" w:space="0" w:color="auto"/>
            <w:left w:val="none" w:sz="0" w:space="0" w:color="auto"/>
            <w:bottom w:val="none" w:sz="0" w:space="0" w:color="auto"/>
            <w:right w:val="none" w:sz="0" w:space="0" w:color="auto"/>
          </w:divBdr>
          <w:divsChild>
            <w:div w:id="357003754">
              <w:marLeft w:val="0"/>
              <w:marRight w:val="0"/>
              <w:marTop w:val="0"/>
              <w:marBottom w:val="0"/>
              <w:divBdr>
                <w:top w:val="none" w:sz="0" w:space="0" w:color="auto"/>
                <w:left w:val="none" w:sz="0" w:space="0" w:color="auto"/>
                <w:bottom w:val="none" w:sz="0" w:space="0" w:color="auto"/>
                <w:right w:val="none" w:sz="0" w:space="0" w:color="auto"/>
              </w:divBdr>
            </w:div>
          </w:divsChild>
        </w:div>
        <w:div w:id="1095828842">
          <w:marLeft w:val="0"/>
          <w:marRight w:val="0"/>
          <w:marTop w:val="0"/>
          <w:marBottom w:val="0"/>
          <w:divBdr>
            <w:top w:val="none" w:sz="0" w:space="0" w:color="auto"/>
            <w:left w:val="none" w:sz="0" w:space="0" w:color="auto"/>
            <w:bottom w:val="none" w:sz="0" w:space="0" w:color="auto"/>
            <w:right w:val="none" w:sz="0" w:space="0" w:color="auto"/>
          </w:divBdr>
          <w:divsChild>
            <w:div w:id="1228763249">
              <w:marLeft w:val="0"/>
              <w:marRight w:val="0"/>
              <w:marTop w:val="0"/>
              <w:marBottom w:val="0"/>
              <w:divBdr>
                <w:top w:val="none" w:sz="0" w:space="0" w:color="auto"/>
                <w:left w:val="none" w:sz="0" w:space="0" w:color="auto"/>
                <w:bottom w:val="none" w:sz="0" w:space="0" w:color="auto"/>
                <w:right w:val="none" w:sz="0" w:space="0" w:color="auto"/>
              </w:divBdr>
            </w:div>
          </w:divsChild>
        </w:div>
        <w:div w:id="2095542381">
          <w:marLeft w:val="0"/>
          <w:marRight w:val="0"/>
          <w:marTop w:val="0"/>
          <w:marBottom w:val="0"/>
          <w:divBdr>
            <w:top w:val="none" w:sz="0" w:space="0" w:color="auto"/>
            <w:left w:val="none" w:sz="0" w:space="0" w:color="auto"/>
            <w:bottom w:val="none" w:sz="0" w:space="0" w:color="auto"/>
            <w:right w:val="none" w:sz="0" w:space="0" w:color="auto"/>
          </w:divBdr>
          <w:divsChild>
            <w:div w:id="1117021194">
              <w:marLeft w:val="0"/>
              <w:marRight w:val="0"/>
              <w:marTop w:val="0"/>
              <w:marBottom w:val="0"/>
              <w:divBdr>
                <w:top w:val="none" w:sz="0" w:space="0" w:color="auto"/>
                <w:left w:val="none" w:sz="0" w:space="0" w:color="auto"/>
                <w:bottom w:val="none" w:sz="0" w:space="0" w:color="auto"/>
                <w:right w:val="none" w:sz="0" w:space="0" w:color="auto"/>
              </w:divBdr>
            </w:div>
          </w:divsChild>
        </w:div>
        <w:div w:id="878325278">
          <w:marLeft w:val="0"/>
          <w:marRight w:val="0"/>
          <w:marTop w:val="0"/>
          <w:marBottom w:val="0"/>
          <w:divBdr>
            <w:top w:val="none" w:sz="0" w:space="0" w:color="auto"/>
            <w:left w:val="none" w:sz="0" w:space="0" w:color="auto"/>
            <w:bottom w:val="none" w:sz="0" w:space="0" w:color="auto"/>
            <w:right w:val="none" w:sz="0" w:space="0" w:color="auto"/>
          </w:divBdr>
          <w:divsChild>
            <w:div w:id="811406849">
              <w:marLeft w:val="0"/>
              <w:marRight w:val="0"/>
              <w:marTop w:val="0"/>
              <w:marBottom w:val="0"/>
              <w:divBdr>
                <w:top w:val="none" w:sz="0" w:space="0" w:color="auto"/>
                <w:left w:val="none" w:sz="0" w:space="0" w:color="auto"/>
                <w:bottom w:val="none" w:sz="0" w:space="0" w:color="auto"/>
                <w:right w:val="none" w:sz="0" w:space="0" w:color="auto"/>
              </w:divBdr>
            </w:div>
          </w:divsChild>
        </w:div>
        <w:div w:id="2067364932">
          <w:marLeft w:val="0"/>
          <w:marRight w:val="0"/>
          <w:marTop w:val="0"/>
          <w:marBottom w:val="0"/>
          <w:divBdr>
            <w:top w:val="none" w:sz="0" w:space="0" w:color="auto"/>
            <w:left w:val="none" w:sz="0" w:space="0" w:color="auto"/>
            <w:bottom w:val="none" w:sz="0" w:space="0" w:color="auto"/>
            <w:right w:val="none" w:sz="0" w:space="0" w:color="auto"/>
          </w:divBdr>
          <w:divsChild>
            <w:div w:id="1013340089">
              <w:marLeft w:val="0"/>
              <w:marRight w:val="0"/>
              <w:marTop w:val="0"/>
              <w:marBottom w:val="0"/>
              <w:divBdr>
                <w:top w:val="none" w:sz="0" w:space="0" w:color="auto"/>
                <w:left w:val="none" w:sz="0" w:space="0" w:color="auto"/>
                <w:bottom w:val="none" w:sz="0" w:space="0" w:color="auto"/>
                <w:right w:val="none" w:sz="0" w:space="0" w:color="auto"/>
              </w:divBdr>
            </w:div>
          </w:divsChild>
        </w:div>
        <w:div w:id="1249538581">
          <w:marLeft w:val="0"/>
          <w:marRight w:val="0"/>
          <w:marTop w:val="0"/>
          <w:marBottom w:val="0"/>
          <w:divBdr>
            <w:top w:val="none" w:sz="0" w:space="0" w:color="auto"/>
            <w:left w:val="none" w:sz="0" w:space="0" w:color="auto"/>
            <w:bottom w:val="none" w:sz="0" w:space="0" w:color="auto"/>
            <w:right w:val="none" w:sz="0" w:space="0" w:color="auto"/>
          </w:divBdr>
          <w:divsChild>
            <w:div w:id="1946304648">
              <w:marLeft w:val="0"/>
              <w:marRight w:val="0"/>
              <w:marTop w:val="0"/>
              <w:marBottom w:val="0"/>
              <w:divBdr>
                <w:top w:val="none" w:sz="0" w:space="0" w:color="auto"/>
                <w:left w:val="none" w:sz="0" w:space="0" w:color="auto"/>
                <w:bottom w:val="none" w:sz="0" w:space="0" w:color="auto"/>
                <w:right w:val="none" w:sz="0" w:space="0" w:color="auto"/>
              </w:divBdr>
            </w:div>
          </w:divsChild>
        </w:div>
        <w:div w:id="1176068974">
          <w:marLeft w:val="0"/>
          <w:marRight w:val="0"/>
          <w:marTop w:val="0"/>
          <w:marBottom w:val="0"/>
          <w:divBdr>
            <w:top w:val="none" w:sz="0" w:space="0" w:color="auto"/>
            <w:left w:val="none" w:sz="0" w:space="0" w:color="auto"/>
            <w:bottom w:val="none" w:sz="0" w:space="0" w:color="auto"/>
            <w:right w:val="none" w:sz="0" w:space="0" w:color="auto"/>
          </w:divBdr>
          <w:divsChild>
            <w:div w:id="879517804">
              <w:marLeft w:val="0"/>
              <w:marRight w:val="0"/>
              <w:marTop w:val="0"/>
              <w:marBottom w:val="0"/>
              <w:divBdr>
                <w:top w:val="none" w:sz="0" w:space="0" w:color="auto"/>
                <w:left w:val="none" w:sz="0" w:space="0" w:color="auto"/>
                <w:bottom w:val="none" w:sz="0" w:space="0" w:color="auto"/>
                <w:right w:val="none" w:sz="0" w:space="0" w:color="auto"/>
              </w:divBdr>
            </w:div>
          </w:divsChild>
        </w:div>
        <w:div w:id="2068721543">
          <w:marLeft w:val="0"/>
          <w:marRight w:val="0"/>
          <w:marTop w:val="0"/>
          <w:marBottom w:val="0"/>
          <w:divBdr>
            <w:top w:val="none" w:sz="0" w:space="0" w:color="auto"/>
            <w:left w:val="none" w:sz="0" w:space="0" w:color="auto"/>
            <w:bottom w:val="none" w:sz="0" w:space="0" w:color="auto"/>
            <w:right w:val="none" w:sz="0" w:space="0" w:color="auto"/>
          </w:divBdr>
          <w:divsChild>
            <w:div w:id="507332319">
              <w:marLeft w:val="0"/>
              <w:marRight w:val="0"/>
              <w:marTop w:val="0"/>
              <w:marBottom w:val="0"/>
              <w:divBdr>
                <w:top w:val="none" w:sz="0" w:space="0" w:color="auto"/>
                <w:left w:val="none" w:sz="0" w:space="0" w:color="auto"/>
                <w:bottom w:val="none" w:sz="0" w:space="0" w:color="auto"/>
                <w:right w:val="none" w:sz="0" w:space="0" w:color="auto"/>
              </w:divBdr>
            </w:div>
          </w:divsChild>
        </w:div>
        <w:div w:id="1210266771">
          <w:marLeft w:val="0"/>
          <w:marRight w:val="0"/>
          <w:marTop w:val="0"/>
          <w:marBottom w:val="0"/>
          <w:divBdr>
            <w:top w:val="none" w:sz="0" w:space="0" w:color="auto"/>
            <w:left w:val="none" w:sz="0" w:space="0" w:color="auto"/>
            <w:bottom w:val="none" w:sz="0" w:space="0" w:color="auto"/>
            <w:right w:val="none" w:sz="0" w:space="0" w:color="auto"/>
          </w:divBdr>
          <w:divsChild>
            <w:div w:id="1667706545">
              <w:marLeft w:val="0"/>
              <w:marRight w:val="0"/>
              <w:marTop w:val="0"/>
              <w:marBottom w:val="0"/>
              <w:divBdr>
                <w:top w:val="none" w:sz="0" w:space="0" w:color="auto"/>
                <w:left w:val="none" w:sz="0" w:space="0" w:color="auto"/>
                <w:bottom w:val="none" w:sz="0" w:space="0" w:color="auto"/>
                <w:right w:val="none" w:sz="0" w:space="0" w:color="auto"/>
              </w:divBdr>
            </w:div>
          </w:divsChild>
        </w:div>
        <w:div w:id="1169172890">
          <w:marLeft w:val="0"/>
          <w:marRight w:val="0"/>
          <w:marTop w:val="0"/>
          <w:marBottom w:val="0"/>
          <w:divBdr>
            <w:top w:val="none" w:sz="0" w:space="0" w:color="auto"/>
            <w:left w:val="none" w:sz="0" w:space="0" w:color="auto"/>
            <w:bottom w:val="none" w:sz="0" w:space="0" w:color="auto"/>
            <w:right w:val="none" w:sz="0" w:space="0" w:color="auto"/>
          </w:divBdr>
          <w:divsChild>
            <w:div w:id="158926109">
              <w:marLeft w:val="0"/>
              <w:marRight w:val="0"/>
              <w:marTop w:val="0"/>
              <w:marBottom w:val="0"/>
              <w:divBdr>
                <w:top w:val="none" w:sz="0" w:space="0" w:color="auto"/>
                <w:left w:val="none" w:sz="0" w:space="0" w:color="auto"/>
                <w:bottom w:val="none" w:sz="0" w:space="0" w:color="auto"/>
                <w:right w:val="none" w:sz="0" w:space="0" w:color="auto"/>
              </w:divBdr>
            </w:div>
          </w:divsChild>
        </w:div>
        <w:div w:id="1724481249">
          <w:marLeft w:val="0"/>
          <w:marRight w:val="0"/>
          <w:marTop w:val="0"/>
          <w:marBottom w:val="0"/>
          <w:divBdr>
            <w:top w:val="none" w:sz="0" w:space="0" w:color="auto"/>
            <w:left w:val="none" w:sz="0" w:space="0" w:color="auto"/>
            <w:bottom w:val="none" w:sz="0" w:space="0" w:color="auto"/>
            <w:right w:val="none" w:sz="0" w:space="0" w:color="auto"/>
          </w:divBdr>
          <w:divsChild>
            <w:div w:id="367534629">
              <w:marLeft w:val="0"/>
              <w:marRight w:val="0"/>
              <w:marTop w:val="0"/>
              <w:marBottom w:val="0"/>
              <w:divBdr>
                <w:top w:val="none" w:sz="0" w:space="0" w:color="auto"/>
                <w:left w:val="none" w:sz="0" w:space="0" w:color="auto"/>
                <w:bottom w:val="none" w:sz="0" w:space="0" w:color="auto"/>
                <w:right w:val="none" w:sz="0" w:space="0" w:color="auto"/>
              </w:divBdr>
            </w:div>
          </w:divsChild>
        </w:div>
        <w:div w:id="1479691101">
          <w:marLeft w:val="0"/>
          <w:marRight w:val="0"/>
          <w:marTop w:val="0"/>
          <w:marBottom w:val="0"/>
          <w:divBdr>
            <w:top w:val="none" w:sz="0" w:space="0" w:color="auto"/>
            <w:left w:val="none" w:sz="0" w:space="0" w:color="auto"/>
            <w:bottom w:val="none" w:sz="0" w:space="0" w:color="auto"/>
            <w:right w:val="none" w:sz="0" w:space="0" w:color="auto"/>
          </w:divBdr>
          <w:divsChild>
            <w:div w:id="1009259483">
              <w:marLeft w:val="0"/>
              <w:marRight w:val="0"/>
              <w:marTop w:val="0"/>
              <w:marBottom w:val="0"/>
              <w:divBdr>
                <w:top w:val="none" w:sz="0" w:space="0" w:color="auto"/>
                <w:left w:val="none" w:sz="0" w:space="0" w:color="auto"/>
                <w:bottom w:val="none" w:sz="0" w:space="0" w:color="auto"/>
                <w:right w:val="none" w:sz="0" w:space="0" w:color="auto"/>
              </w:divBdr>
            </w:div>
          </w:divsChild>
        </w:div>
        <w:div w:id="1097604893">
          <w:marLeft w:val="0"/>
          <w:marRight w:val="0"/>
          <w:marTop w:val="0"/>
          <w:marBottom w:val="0"/>
          <w:divBdr>
            <w:top w:val="none" w:sz="0" w:space="0" w:color="auto"/>
            <w:left w:val="none" w:sz="0" w:space="0" w:color="auto"/>
            <w:bottom w:val="none" w:sz="0" w:space="0" w:color="auto"/>
            <w:right w:val="none" w:sz="0" w:space="0" w:color="auto"/>
          </w:divBdr>
          <w:divsChild>
            <w:div w:id="1594706434">
              <w:marLeft w:val="0"/>
              <w:marRight w:val="0"/>
              <w:marTop w:val="0"/>
              <w:marBottom w:val="0"/>
              <w:divBdr>
                <w:top w:val="none" w:sz="0" w:space="0" w:color="auto"/>
                <w:left w:val="none" w:sz="0" w:space="0" w:color="auto"/>
                <w:bottom w:val="none" w:sz="0" w:space="0" w:color="auto"/>
                <w:right w:val="none" w:sz="0" w:space="0" w:color="auto"/>
              </w:divBdr>
            </w:div>
          </w:divsChild>
        </w:div>
        <w:div w:id="1835604424">
          <w:marLeft w:val="0"/>
          <w:marRight w:val="0"/>
          <w:marTop w:val="0"/>
          <w:marBottom w:val="0"/>
          <w:divBdr>
            <w:top w:val="none" w:sz="0" w:space="0" w:color="auto"/>
            <w:left w:val="none" w:sz="0" w:space="0" w:color="auto"/>
            <w:bottom w:val="none" w:sz="0" w:space="0" w:color="auto"/>
            <w:right w:val="none" w:sz="0" w:space="0" w:color="auto"/>
          </w:divBdr>
          <w:divsChild>
            <w:div w:id="516886562">
              <w:marLeft w:val="0"/>
              <w:marRight w:val="0"/>
              <w:marTop w:val="0"/>
              <w:marBottom w:val="0"/>
              <w:divBdr>
                <w:top w:val="none" w:sz="0" w:space="0" w:color="auto"/>
                <w:left w:val="none" w:sz="0" w:space="0" w:color="auto"/>
                <w:bottom w:val="none" w:sz="0" w:space="0" w:color="auto"/>
                <w:right w:val="none" w:sz="0" w:space="0" w:color="auto"/>
              </w:divBdr>
            </w:div>
          </w:divsChild>
        </w:div>
        <w:div w:id="52779676">
          <w:marLeft w:val="0"/>
          <w:marRight w:val="0"/>
          <w:marTop w:val="0"/>
          <w:marBottom w:val="0"/>
          <w:divBdr>
            <w:top w:val="none" w:sz="0" w:space="0" w:color="auto"/>
            <w:left w:val="none" w:sz="0" w:space="0" w:color="auto"/>
            <w:bottom w:val="none" w:sz="0" w:space="0" w:color="auto"/>
            <w:right w:val="none" w:sz="0" w:space="0" w:color="auto"/>
          </w:divBdr>
          <w:divsChild>
            <w:div w:id="663972094">
              <w:marLeft w:val="0"/>
              <w:marRight w:val="0"/>
              <w:marTop w:val="0"/>
              <w:marBottom w:val="0"/>
              <w:divBdr>
                <w:top w:val="none" w:sz="0" w:space="0" w:color="auto"/>
                <w:left w:val="none" w:sz="0" w:space="0" w:color="auto"/>
                <w:bottom w:val="none" w:sz="0" w:space="0" w:color="auto"/>
                <w:right w:val="none" w:sz="0" w:space="0" w:color="auto"/>
              </w:divBdr>
            </w:div>
          </w:divsChild>
        </w:div>
        <w:div w:id="1312951410">
          <w:marLeft w:val="0"/>
          <w:marRight w:val="0"/>
          <w:marTop w:val="0"/>
          <w:marBottom w:val="0"/>
          <w:divBdr>
            <w:top w:val="none" w:sz="0" w:space="0" w:color="auto"/>
            <w:left w:val="none" w:sz="0" w:space="0" w:color="auto"/>
            <w:bottom w:val="none" w:sz="0" w:space="0" w:color="auto"/>
            <w:right w:val="none" w:sz="0" w:space="0" w:color="auto"/>
          </w:divBdr>
          <w:divsChild>
            <w:div w:id="942028315">
              <w:marLeft w:val="0"/>
              <w:marRight w:val="0"/>
              <w:marTop w:val="0"/>
              <w:marBottom w:val="0"/>
              <w:divBdr>
                <w:top w:val="none" w:sz="0" w:space="0" w:color="auto"/>
                <w:left w:val="none" w:sz="0" w:space="0" w:color="auto"/>
                <w:bottom w:val="none" w:sz="0" w:space="0" w:color="auto"/>
                <w:right w:val="none" w:sz="0" w:space="0" w:color="auto"/>
              </w:divBdr>
            </w:div>
          </w:divsChild>
        </w:div>
        <w:div w:id="77406982">
          <w:marLeft w:val="0"/>
          <w:marRight w:val="0"/>
          <w:marTop w:val="0"/>
          <w:marBottom w:val="0"/>
          <w:divBdr>
            <w:top w:val="none" w:sz="0" w:space="0" w:color="auto"/>
            <w:left w:val="none" w:sz="0" w:space="0" w:color="auto"/>
            <w:bottom w:val="none" w:sz="0" w:space="0" w:color="auto"/>
            <w:right w:val="none" w:sz="0" w:space="0" w:color="auto"/>
          </w:divBdr>
          <w:divsChild>
            <w:div w:id="1873837178">
              <w:marLeft w:val="0"/>
              <w:marRight w:val="0"/>
              <w:marTop w:val="0"/>
              <w:marBottom w:val="0"/>
              <w:divBdr>
                <w:top w:val="none" w:sz="0" w:space="0" w:color="auto"/>
                <w:left w:val="none" w:sz="0" w:space="0" w:color="auto"/>
                <w:bottom w:val="none" w:sz="0" w:space="0" w:color="auto"/>
                <w:right w:val="none" w:sz="0" w:space="0" w:color="auto"/>
              </w:divBdr>
            </w:div>
          </w:divsChild>
        </w:div>
        <w:div w:id="2071229484">
          <w:marLeft w:val="0"/>
          <w:marRight w:val="0"/>
          <w:marTop w:val="0"/>
          <w:marBottom w:val="0"/>
          <w:divBdr>
            <w:top w:val="none" w:sz="0" w:space="0" w:color="auto"/>
            <w:left w:val="none" w:sz="0" w:space="0" w:color="auto"/>
            <w:bottom w:val="none" w:sz="0" w:space="0" w:color="auto"/>
            <w:right w:val="none" w:sz="0" w:space="0" w:color="auto"/>
          </w:divBdr>
          <w:divsChild>
            <w:div w:id="504830821">
              <w:marLeft w:val="0"/>
              <w:marRight w:val="0"/>
              <w:marTop w:val="0"/>
              <w:marBottom w:val="0"/>
              <w:divBdr>
                <w:top w:val="none" w:sz="0" w:space="0" w:color="auto"/>
                <w:left w:val="none" w:sz="0" w:space="0" w:color="auto"/>
                <w:bottom w:val="none" w:sz="0" w:space="0" w:color="auto"/>
                <w:right w:val="none" w:sz="0" w:space="0" w:color="auto"/>
              </w:divBdr>
            </w:div>
          </w:divsChild>
        </w:div>
        <w:div w:id="724566708">
          <w:marLeft w:val="0"/>
          <w:marRight w:val="0"/>
          <w:marTop w:val="0"/>
          <w:marBottom w:val="0"/>
          <w:divBdr>
            <w:top w:val="none" w:sz="0" w:space="0" w:color="auto"/>
            <w:left w:val="none" w:sz="0" w:space="0" w:color="auto"/>
            <w:bottom w:val="none" w:sz="0" w:space="0" w:color="auto"/>
            <w:right w:val="none" w:sz="0" w:space="0" w:color="auto"/>
          </w:divBdr>
          <w:divsChild>
            <w:div w:id="1945769980">
              <w:marLeft w:val="0"/>
              <w:marRight w:val="0"/>
              <w:marTop w:val="0"/>
              <w:marBottom w:val="0"/>
              <w:divBdr>
                <w:top w:val="none" w:sz="0" w:space="0" w:color="auto"/>
                <w:left w:val="none" w:sz="0" w:space="0" w:color="auto"/>
                <w:bottom w:val="none" w:sz="0" w:space="0" w:color="auto"/>
                <w:right w:val="none" w:sz="0" w:space="0" w:color="auto"/>
              </w:divBdr>
            </w:div>
          </w:divsChild>
        </w:div>
        <w:div w:id="1346132563">
          <w:marLeft w:val="0"/>
          <w:marRight w:val="0"/>
          <w:marTop w:val="0"/>
          <w:marBottom w:val="0"/>
          <w:divBdr>
            <w:top w:val="none" w:sz="0" w:space="0" w:color="auto"/>
            <w:left w:val="none" w:sz="0" w:space="0" w:color="auto"/>
            <w:bottom w:val="none" w:sz="0" w:space="0" w:color="auto"/>
            <w:right w:val="none" w:sz="0" w:space="0" w:color="auto"/>
          </w:divBdr>
          <w:divsChild>
            <w:div w:id="1003975043">
              <w:marLeft w:val="0"/>
              <w:marRight w:val="0"/>
              <w:marTop w:val="0"/>
              <w:marBottom w:val="0"/>
              <w:divBdr>
                <w:top w:val="none" w:sz="0" w:space="0" w:color="auto"/>
                <w:left w:val="none" w:sz="0" w:space="0" w:color="auto"/>
                <w:bottom w:val="none" w:sz="0" w:space="0" w:color="auto"/>
                <w:right w:val="none" w:sz="0" w:space="0" w:color="auto"/>
              </w:divBdr>
            </w:div>
          </w:divsChild>
        </w:div>
        <w:div w:id="713772501">
          <w:marLeft w:val="0"/>
          <w:marRight w:val="0"/>
          <w:marTop w:val="0"/>
          <w:marBottom w:val="0"/>
          <w:divBdr>
            <w:top w:val="none" w:sz="0" w:space="0" w:color="auto"/>
            <w:left w:val="none" w:sz="0" w:space="0" w:color="auto"/>
            <w:bottom w:val="none" w:sz="0" w:space="0" w:color="auto"/>
            <w:right w:val="none" w:sz="0" w:space="0" w:color="auto"/>
          </w:divBdr>
          <w:divsChild>
            <w:div w:id="886406878">
              <w:marLeft w:val="0"/>
              <w:marRight w:val="0"/>
              <w:marTop w:val="0"/>
              <w:marBottom w:val="0"/>
              <w:divBdr>
                <w:top w:val="none" w:sz="0" w:space="0" w:color="auto"/>
                <w:left w:val="none" w:sz="0" w:space="0" w:color="auto"/>
                <w:bottom w:val="none" w:sz="0" w:space="0" w:color="auto"/>
                <w:right w:val="none" w:sz="0" w:space="0" w:color="auto"/>
              </w:divBdr>
            </w:div>
          </w:divsChild>
        </w:div>
        <w:div w:id="604002334">
          <w:marLeft w:val="0"/>
          <w:marRight w:val="0"/>
          <w:marTop w:val="0"/>
          <w:marBottom w:val="0"/>
          <w:divBdr>
            <w:top w:val="none" w:sz="0" w:space="0" w:color="auto"/>
            <w:left w:val="none" w:sz="0" w:space="0" w:color="auto"/>
            <w:bottom w:val="none" w:sz="0" w:space="0" w:color="auto"/>
            <w:right w:val="none" w:sz="0" w:space="0" w:color="auto"/>
          </w:divBdr>
          <w:divsChild>
            <w:div w:id="300037018">
              <w:marLeft w:val="0"/>
              <w:marRight w:val="0"/>
              <w:marTop w:val="0"/>
              <w:marBottom w:val="0"/>
              <w:divBdr>
                <w:top w:val="none" w:sz="0" w:space="0" w:color="auto"/>
                <w:left w:val="none" w:sz="0" w:space="0" w:color="auto"/>
                <w:bottom w:val="none" w:sz="0" w:space="0" w:color="auto"/>
                <w:right w:val="none" w:sz="0" w:space="0" w:color="auto"/>
              </w:divBdr>
            </w:div>
          </w:divsChild>
        </w:div>
        <w:div w:id="887885698">
          <w:marLeft w:val="0"/>
          <w:marRight w:val="0"/>
          <w:marTop w:val="0"/>
          <w:marBottom w:val="0"/>
          <w:divBdr>
            <w:top w:val="none" w:sz="0" w:space="0" w:color="auto"/>
            <w:left w:val="none" w:sz="0" w:space="0" w:color="auto"/>
            <w:bottom w:val="none" w:sz="0" w:space="0" w:color="auto"/>
            <w:right w:val="none" w:sz="0" w:space="0" w:color="auto"/>
          </w:divBdr>
          <w:divsChild>
            <w:div w:id="494611914">
              <w:marLeft w:val="0"/>
              <w:marRight w:val="0"/>
              <w:marTop w:val="0"/>
              <w:marBottom w:val="0"/>
              <w:divBdr>
                <w:top w:val="none" w:sz="0" w:space="0" w:color="auto"/>
                <w:left w:val="none" w:sz="0" w:space="0" w:color="auto"/>
                <w:bottom w:val="none" w:sz="0" w:space="0" w:color="auto"/>
                <w:right w:val="none" w:sz="0" w:space="0" w:color="auto"/>
              </w:divBdr>
            </w:div>
          </w:divsChild>
        </w:div>
        <w:div w:id="1095519177">
          <w:marLeft w:val="0"/>
          <w:marRight w:val="0"/>
          <w:marTop w:val="0"/>
          <w:marBottom w:val="0"/>
          <w:divBdr>
            <w:top w:val="none" w:sz="0" w:space="0" w:color="auto"/>
            <w:left w:val="none" w:sz="0" w:space="0" w:color="auto"/>
            <w:bottom w:val="none" w:sz="0" w:space="0" w:color="auto"/>
            <w:right w:val="none" w:sz="0" w:space="0" w:color="auto"/>
          </w:divBdr>
          <w:divsChild>
            <w:div w:id="1807817615">
              <w:marLeft w:val="0"/>
              <w:marRight w:val="0"/>
              <w:marTop w:val="0"/>
              <w:marBottom w:val="0"/>
              <w:divBdr>
                <w:top w:val="none" w:sz="0" w:space="0" w:color="auto"/>
                <w:left w:val="none" w:sz="0" w:space="0" w:color="auto"/>
                <w:bottom w:val="none" w:sz="0" w:space="0" w:color="auto"/>
                <w:right w:val="none" w:sz="0" w:space="0" w:color="auto"/>
              </w:divBdr>
            </w:div>
          </w:divsChild>
        </w:div>
        <w:div w:id="1054354902">
          <w:marLeft w:val="0"/>
          <w:marRight w:val="0"/>
          <w:marTop w:val="0"/>
          <w:marBottom w:val="0"/>
          <w:divBdr>
            <w:top w:val="none" w:sz="0" w:space="0" w:color="auto"/>
            <w:left w:val="none" w:sz="0" w:space="0" w:color="auto"/>
            <w:bottom w:val="none" w:sz="0" w:space="0" w:color="auto"/>
            <w:right w:val="none" w:sz="0" w:space="0" w:color="auto"/>
          </w:divBdr>
          <w:divsChild>
            <w:div w:id="1826819168">
              <w:marLeft w:val="0"/>
              <w:marRight w:val="0"/>
              <w:marTop w:val="0"/>
              <w:marBottom w:val="0"/>
              <w:divBdr>
                <w:top w:val="none" w:sz="0" w:space="0" w:color="auto"/>
                <w:left w:val="none" w:sz="0" w:space="0" w:color="auto"/>
                <w:bottom w:val="none" w:sz="0" w:space="0" w:color="auto"/>
                <w:right w:val="none" w:sz="0" w:space="0" w:color="auto"/>
              </w:divBdr>
            </w:div>
          </w:divsChild>
        </w:div>
        <w:div w:id="1696344218">
          <w:marLeft w:val="0"/>
          <w:marRight w:val="0"/>
          <w:marTop w:val="0"/>
          <w:marBottom w:val="0"/>
          <w:divBdr>
            <w:top w:val="none" w:sz="0" w:space="0" w:color="auto"/>
            <w:left w:val="none" w:sz="0" w:space="0" w:color="auto"/>
            <w:bottom w:val="none" w:sz="0" w:space="0" w:color="auto"/>
            <w:right w:val="none" w:sz="0" w:space="0" w:color="auto"/>
          </w:divBdr>
          <w:divsChild>
            <w:div w:id="3630830">
              <w:marLeft w:val="0"/>
              <w:marRight w:val="0"/>
              <w:marTop w:val="0"/>
              <w:marBottom w:val="0"/>
              <w:divBdr>
                <w:top w:val="none" w:sz="0" w:space="0" w:color="auto"/>
                <w:left w:val="none" w:sz="0" w:space="0" w:color="auto"/>
                <w:bottom w:val="none" w:sz="0" w:space="0" w:color="auto"/>
                <w:right w:val="none" w:sz="0" w:space="0" w:color="auto"/>
              </w:divBdr>
            </w:div>
          </w:divsChild>
        </w:div>
        <w:div w:id="1166822938">
          <w:marLeft w:val="0"/>
          <w:marRight w:val="0"/>
          <w:marTop w:val="0"/>
          <w:marBottom w:val="0"/>
          <w:divBdr>
            <w:top w:val="none" w:sz="0" w:space="0" w:color="auto"/>
            <w:left w:val="none" w:sz="0" w:space="0" w:color="auto"/>
            <w:bottom w:val="none" w:sz="0" w:space="0" w:color="auto"/>
            <w:right w:val="none" w:sz="0" w:space="0" w:color="auto"/>
          </w:divBdr>
          <w:divsChild>
            <w:div w:id="699670602">
              <w:marLeft w:val="0"/>
              <w:marRight w:val="0"/>
              <w:marTop w:val="0"/>
              <w:marBottom w:val="0"/>
              <w:divBdr>
                <w:top w:val="none" w:sz="0" w:space="0" w:color="auto"/>
                <w:left w:val="none" w:sz="0" w:space="0" w:color="auto"/>
                <w:bottom w:val="none" w:sz="0" w:space="0" w:color="auto"/>
                <w:right w:val="none" w:sz="0" w:space="0" w:color="auto"/>
              </w:divBdr>
            </w:div>
          </w:divsChild>
        </w:div>
        <w:div w:id="1323892741">
          <w:marLeft w:val="0"/>
          <w:marRight w:val="0"/>
          <w:marTop w:val="0"/>
          <w:marBottom w:val="0"/>
          <w:divBdr>
            <w:top w:val="none" w:sz="0" w:space="0" w:color="auto"/>
            <w:left w:val="none" w:sz="0" w:space="0" w:color="auto"/>
            <w:bottom w:val="none" w:sz="0" w:space="0" w:color="auto"/>
            <w:right w:val="none" w:sz="0" w:space="0" w:color="auto"/>
          </w:divBdr>
          <w:divsChild>
            <w:div w:id="1438719063">
              <w:marLeft w:val="0"/>
              <w:marRight w:val="0"/>
              <w:marTop w:val="0"/>
              <w:marBottom w:val="0"/>
              <w:divBdr>
                <w:top w:val="none" w:sz="0" w:space="0" w:color="auto"/>
                <w:left w:val="none" w:sz="0" w:space="0" w:color="auto"/>
                <w:bottom w:val="none" w:sz="0" w:space="0" w:color="auto"/>
                <w:right w:val="none" w:sz="0" w:space="0" w:color="auto"/>
              </w:divBdr>
            </w:div>
          </w:divsChild>
        </w:div>
        <w:div w:id="1565794467">
          <w:marLeft w:val="0"/>
          <w:marRight w:val="0"/>
          <w:marTop w:val="0"/>
          <w:marBottom w:val="0"/>
          <w:divBdr>
            <w:top w:val="none" w:sz="0" w:space="0" w:color="auto"/>
            <w:left w:val="none" w:sz="0" w:space="0" w:color="auto"/>
            <w:bottom w:val="none" w:sz="0" w:space="0" w:color="auto"/>
            <w:right w:val="none" w:sz="0" w:space="0" w:color="auto"/>
          </w:divBdr>
          <w:divsChild>
            <w:div w:id="1523543420">
              <w:marLeft w:val="0"/>
              <w:marRight w:val="0"/>
              <w:marTop w:val="0"/>
              <w:marBottom w:val="0"/>
              <w:divBdr>
                <w:top w:val="none" w:sz="0" w:space="0" w:color="auto"/>
                <w:left w:val="none" w:sz="0" w:space="0" w:color="auto"/>
                <w:bottom w:val="none" w:sz="0" w:space="0" w:color="auto"/>
                <w:right w:val="none" w:sz="0" w:space="0" w:color="auto"/>
              </w:divBdr>
            </w:div>
          </w:divsChild>
        </w:div>
        <w:div w:id="1832477793">
          <w:marLeft w:val="0"/>
          <w:marRight w:val="0"/>
          <w:marTop w:val="0"/>
          <w:marBottom w:val="0"/>
          <w:divBdr>
            <w:top w:val="none" w:sz="0" w:space="0" w:color="auto"/>
            <w:left w:val="none" w:sz="0" w:space="0" w:color="auto"/>
            <w:bottom w:val="none" w:sz="0" w:space="0" w:color="auto"/>
            <w:right w:val="none" w:sz="0" w:space="0" w:color="auto"/>
          </w:divBdr>
          <w:divsChild>
            <w:div w:id="576011921">
              <w:marLeft w:val="0"/>
              <w:marRight w:val="0"/>
              <w:marTop w:val="0"/>
              <w:marBottom w:val="0"/>
              <w:divBdr>
                <w:top w:val="none" w:sz="0" w:space="0" w:color="auto"/>
                <w:left w:val="none" w:sz="0" w:space="0" w:color="auto"/>
                <w:bottom w:val="none" w:sz="0" w:space="0" w:color="auto"/>
                <w:right w:val="none" w:sz="0" w:space="0" w:color="auto"/>
              </w:divBdr>
            </w:div>
          </w:divsChild>
        </w:div>
        <w:div w:id="416094727">
          <w:marLeft w:val="0"/>
          <w:marRight w:val="0"/>
          <w:marTop w:val="0"/>
          <w:marBottom w:val="0"/>
          <w:divBdr>
            <w:top w:val="none" w:sz="0" w:space="0" w:color="auto"/>
            <w:left w:val="none" w:sz="0" w:space="0" w:color="auto"/>
            <w:bottom w:val="none" w:sz="0" w:space="0" w:color="auto"/>
            <w:right w:val="none" w:sz="0" w:space="0" w:color="auto"/>
          </w:divBdr>
          <w:divsChild>
            <w:div w:id="232401089">
              <w:marLeft w:val="0"/>
              <w:marRight w:val="0"/>
              <w:marTop w:val="0"/>
              <w:marBottom w:val="0"/>
              <w:divBdr>
                <w:top w:val="none" w:sz="0" w:space="0" w:color="auto"/>
                <w:left w:val="none" w:sz="0" w:space="0" w:color="auto"/>
                <w:bottom w:val="none" w:sz="0" w:space="0" w:color="auto"/>
                <w:right w:val="none" w:sz="0" w:space="0" w:color="auto"/>
              </w:divBdr>
            </w:div>
          </w:divsChild>
        </w:div>
        <w:div w:id="1675035116">
          <w:marLeft w:val="0"/>
          <w:marRight w:val="0"/>
          <w:marTop w:val="0"/>
          <w:marBottom w:val="0"/>
          <w:divBdr>
            <w:top w:val="none" w:sz="0" w:space="0" w:color="auto"/>
            <w:left w:val="none" w:sz="0" w:space="0" w:color="auto"/>
            <w:bottom w:val="none" w:sz="0" w:space="0" w:color="auto"/>
            <w:right w:val="none" w:sz="0" w:space="0" w:color="auto"/>
          </w:divBdr>
          <w:divsChild>
            <w:div w:id="223376485">
              <w:marLeft w:val="0"/>
              <w:marRight w:val="0"/>
              <w:marTop w:val="0"/>
              <w:marBottom w:val="0"/>
              <w:divBdr>
                <w:top w:val="none" w:sz="0" w:space="0" w:color="auto"/>
                <w:left w:val="none" w:sz="0" w:space="0" w:color="auto"/>
                <w:bottom w:val="none" w:sz="0" w:space="0" w:color="auto"/>
                <w:right w:val="none" w:sz="0" w:space="0" w:color="auto"/>
              </w:divBdr>
            </w:div>
          </w:divsChild>
        </w:div>
        <w:div w:id="1522552493">
          <w:marLeft w:val="0"/>
          <w:marRight w:val="0"/>
          <w:marTop w:val="0"/>
          <w:marBottom w:val="0"/>
          <w:divBdr>
            <w:top w:val="none" w:sz="0" w:space="0" w:color="auto"/>
            <w:left w:val="none" w:sz="0" w:space="0" w:color="auto"/>
            <w:bottom w:val="none" w:sz="0" w:space="0" w:color="auto"/>
            <w:right w:val="none" w:sz="0" w:space="0" w:color="auto"/>
          </w:divBdr>
          <w:divsChild>
            <w:div w:id="1114056699">
              <w:marLeft w:val="0"/>
              <w:marRight w:val="0"/>
              <w:marTop w:val="0"/>
              <w:marBottom w:val="0"/>
              <w:divBdr>
                <w:top w:val="none" w:sz="0" w:space="0" w:color="auto"/>
                <w:left w:val="none" w:sz="0" w:space="0" w:color="auto"/>
                <w:bottom w:val="none" w:sz="0" w:space="0" w:color="auto"/>
                <w:right w:val="none" w:sz="0" w:space="0" w:color="auto"/>
              </w:divBdr>
            </w:div>
          </w:divsChild>
        </w:div>
        <w:div w:id="1673027888">
          <w:marLeft w:val="0"/>
          <w:marRight w:val="0"/>
          <w:marTop w:val="0"/>
          <w:marBottom w:val="0"/>
          <w:divBdr>
            <w:top w:val="none" w:sz="0" w:space="0" w:color="auto"/>
            <w:left w:val="none" w:sz="0" w:space="0" w:color="auto"/>
            <w:bottom w:val="none" w:sz="0" w:space="0" w:color="auto"/>
            <w:right w:val="none" w:sz="0" w:space="0" w:color="auto"/>
          </w:divBdr>
          <w:divsChild>
            <w:div w:id="1916932093">
              <w:marLeft w:val="0"/>
              <w:marRight w:val="0"/>
              <w:marTop w:val="0"/>
              <w:marBottom w:val="0"/>
              <w:divBdr>
                <w:top w:val="none" w:sz="0" w:space="0" w:color="auto"/>
                <w:left w:val="none" w:sz="0" w:space="0" w:color="auto"/>
                <w:bottom w:val="none" w:sz="0" w:space="0" w:color="auto"/>
                <w:right w:val="none" w:sz="0" w:space="0" w:color="auto"/>
              </w:divBdr>
            </w:div>
          </w:divsChild>
        </w:div>
        <w:div w:id="1166898949">
          <w:marLeft w:val="0"/>
          <w:marRight w:val="0"/>
          <w:marTop w:val="0"/>
          <w:marBottom w:val="0"/>
          <w:divBdr>
            <w:top w:val="none" w:sz="0" w:space="0" w:color="auto"/>
            <w:left w:val="none" w:sz="0" w:space="0" w:color="auto"/>
            <w:bottom w:val="none" w:sz="0" w:space="0" w:color="auto"/>
            <w:right w:val="none" w:sz="0" w:space="0" w:color="auto"/>
          </w:divBdr>
          <w:divsChild>
            <w:div w:id="164322933">
              <w:marLeft w:val="0"/>
              <w:marRight w:val="0"/>
              <w:marTop w:val="0"/>
              <w:marBottom w:val="0"/>
              <w:divBdr>
                <w:top w:val="none" w:sz="0" w:space="0" w:color="auto"/>
                <w:left w:val="none" w:sz="0" w:space="0" w:color="auto"/>
                <w:bottom w:val="none" w:sz="0" w:space="0" w:color="auto"/>
                <w:right w:val="none" w:sz="0" w:space="0" w:color="auto"/>
              </w:divBdr>
            </w:div>
          </w:divsChild>
        </w:div>
        <w:div w:id="972976698">
          <w:marLeft w:val="0"/>
          <w:marRight w:val="0"/>
          <w:marTop w:val="0"/>
          <w:marBottom w:val="0"/>
          <w:divBdr>
            <w:top w:val="none" w:sz="0" w:space="0" w:color="auto"/>
            <w:left w:val="none" w:sz="0" w:space="0" w:color="auto"/>
            <w:bottom w:val="none" w:sz="0" w:space="0" w:color="auto"/>
            <w:right w:val="none" w:sz="0" w:space="0" w:color="auto"/>
          </w:divBdr>
          <w:divsChild>
            <w:div w:id="611321331">
              <w:marLeft w:val="0"/>
              <w:marRight w:val="0"/>
              <w:marTop w:val="0"/>
              <w:marBottom w:val="0"/>
              <w:divBdr>
                <w:top w:val="none" w:sz="0" w:space="0" w:color="auto"/>
                <w:left w:val="none" w:sz="0" w:space="0" w:color="auto"/>
                <w:bottom w:val="none" w:sz="0" w:space="0" w:color="auto"/>
                <w:right w:val="none" w:sz="0" w:space="0" w:color="auto"/>
              </w:divBdr>
            </w:div>
          </w:divsChild>
        </w:div>
        <w:div w:id="719550528">
          <w:marLeft w:val="0"/>
          <w:marRight w:val="0"/>
          <w:marTop w:val="0"/>
          <w:marBottom w:val="0"/>
          <w:divBdr>
            <w:top w:val="none" w:sz="0" w:space="0" w:color="auto"/>
            <w:left w:val="none" w:sz="0" w:space="0" w:color="auto"/>
            <w:bottom w:val="none" w:sz="0" w:space="0" w:color="auto"/>
            <w:right w:val="none" w:sz="0" w:space="0" w:color="auto"/>
          </w:divBdr>
          <w:divsChild>
            <w:div w:id="1263490088">
              <w:marLeft w:val="0"/>
              <w:marRight w:val="0"/>
              <w:marTop w:val="0"/>
              <w:marBottom w:val="0"/>
              <w:divBdr>
                <w:top w:val="none" w:sz="0" w:space="0" w:color="auto"/>
                <w:left w:val="none" w:sz="0" w:space="0" w:color="auto"/>
                <w:bottom w:val="none" w:sz="0" w:space="0" w:color="auto"/>
                <w:right w:val="none" w:sz="0" w:space="0" w:color="auto"/>
              </w:divBdr>
            </w:div>
          </w:divsChild>
        </w:div>
        <w:div w:id="1161043319">
          <w:marLeft w:val="0"/>
          <w:marRight w:val="0"/>
          <w:marTop w:val="0"/>
          <w:marBottom w:val="0"/>
          <w:divBdr>
            <w:top w:val="none" w:sz="0" w:space="0" w:color="auto"/>
            <w:left w:val="none" w:sz="0" w:space="0" w:color="auto"/>
            <w:bottom w:val="none" w:sz="0" w:space="0" w:color="auto"/>
            <w:right w:val="none" w:sz="0" w:space="0" w:color="auto"/>
          </w:divBdr>
          <w:divsChild>
            <w:div w:id="1552187129">
              <w:marLeft w:val="0"/>
              <w:marRight w:val="0"/>
              <w:marTop w:val="0"/>
              <w:marBottom w:val="0"/>
              <w:divBdr>
                <w:top w:val="none" w:sz="0" w:space="0" w:color="auto"/>
                <w:left w:val="none" w:sz="0" w:space="0" w:color="auto"/>
                <w:bottom w:val="none" w:sz="0" w:space="0" w:color="auto"/>
                <w:right w:val="none" w:sz="0" w:space="0" w:color="auto"/>
              </w:divBdr>
            </w:div>
          </w:divsChild>
        </w:div>
        <w:div w:id="959796922">
          <w:marLeft w:val="0"/>
          <w:marRight w:val="0"/>
          <w:marTop w:val="0"/>
          <w:marBottom w:val="0"/>
          <w:divBdr>
            <w:top w:val="none" w:sz="0" w:space="0" w:color="auto"/>
            <w:left w:val="none" w:sz="0" w:space="0" w:color="auto"/>
            <w:bottom w:val="none" w:sz="0" w:space="0" w:color="auto"/>
            <w:right w:val="none" w:sz="0" w:space="0" w:color="auto"/>
          </w:divBdr>
          <w:divsChild>
            <w:div w:id="1736664780">
              <w:marLeft w:val="0"/>
              <w:marRight w:val="0"/>
              <w:marTop w:val="0"/>
              <w:marBottom w:val="0"/>
              <w:divBdr>
                <w:top w:val="none" w:sz="0" w:space="0" w:color="auto"/>
                <w:left w:val="none" w:sz="0" w:space="0" w:color="auto"/>
                <w:bottom w:val="none" w:sz="0" w:space="0" w:color="auto"/>
                <w:right w:val="none" w:sz="0" w:space="0" w:color="auto"/>
              </w:divBdr>
            </w:div>
          </w:divsChild>
        </w:div>
        <w:div w:id="1641307129">
          <w:marLeft w:val="0"/>
          <w:marRight w:val="0"/>
          <w:marTop w:val="0"/>
          <w:marBottom w:val="0"/>
          <w:divBdr>
            <w:top w:val="none" w:sz="0" w:space="0" w:color="auto"/>
            <w:left w:val="none" w:sz="0" w:space="0" w:color="auto"/>
            <w:bottom w:val="none" w:sz="0" w:space="0" w:color="auto"/>
            <w:right w:val="none" w:sz="0" w:space="0" w:color="auto"/>
          </w:divBdr>
          <w:divsChild>
            <w:div w:id="963923379">
              <w:marLeft w:val="0"/>
              <w:marRight w:val="0"/>
              <w:marTop w:val="0"/>
              <w:marBottom w:val="0"/>
              <w:divBdr>
                <w:top w:val="none" w:sz="0" w:space="0" w:color="auto"/>
                <w:left w:val="none" w:sz="0" w:space="0" w:color="auto"/>
                <w:bottom w:val="none" w:sz="0" w:space="0" w:color="auto"/>
                <w:right w:val="none" w:sz="0" w:space="0" w:color="auto"/>
              </w:divBdr>
            </w:div>
          </w:divsChild>
        </w:div>
        <w:div w:id="1040282077">
          <w:marLeft w:val="0"/>
          <w:marRight w:val="0"/>
          <w:marTop w:val="0"/>
          <w:marBottom w:val="0"/>
          <w:divBdr>
            <w:top w:val="none" w:sz="0" w:space="0" w:color="auto"/>
            <w:left w:val="none" w:sz="0" w:space="0" w:color="auto"/>
            <w:bottom w:val="none" w:sz="0" w:space="0" w:color="auto"/>
            <w:right w:val="none" w:sz="0" w:space="0" w:color="auto"/>
          </w:divBdr>
          <w:divsChild>
            <w:div w:id="162281931">
              <w:marLeft w:val="0"/>
              <w:marRight w:val="0"/>
              <w:marTop w:val="0"/>
              <w:marBottom w:val="0"/>
              <w:divBdr>
                <w:top w:val="none" w:sz="0" w:space="0" w:color="auto"/>
                <w:left w:val="none" w:sz="0" w:space="0" w:color="auto"/>
                <w:bottom w:val="none" w:sz="0" w:space="0" w:color="auto"/>
                <w:right w:val="none" w:sz="0" w:space="0" w:color="auto"/>
              </w:divBdr>
            </w:div>
          </w:divsChild>
        </w:div>
        <w:div w:id="952396939">
          <w:marLeft w:val="0"/>
          <w:marRight w:val="0"/>
          <w:marTop w:val="0"/>
          <w:marBottom w:val="0"/>
          <w:divBdr>
            <w:top w:val="none" w:sz="0" w:space="0" w:color="auto"/>
            <w:left w:val="none" w:sz="0" w:space="0" w:color="auto"/>
            <w:bottom w:val="none" w:sz="0" w:space="0" w:color="auto"/>
            <w:right w:val="none" w:sz="0" w:space="0" w:color="auto"/>
          </w:divBdr>
          <w:divsChild>
            <w:div w:id="1109662990">
              <w:marLeft w:val="0"/>
              <w:marRight w:val="0"/>
              <w:marTop w:val="0"/>
              <w:marBottom w:val="0"/>
              <w:divBdr>
                <w:top w:val="none" w:sz="0" w:space="0" w:color="auto"/>
                <w:left w:val="none" w:sz="0" w:space="0" w:color="auto"/>
                <w:bottom w:val="none" w:sz="0" w:space="0" w:color="auto"/>
                <w:right w:val="none" w:sz="0" w:space="0" w:color="auto"/>
              </w:divBdr>
            </w:div>
          </w:divsChild>
        </w:div>
        <w:div w:id="2114855111">
          <w:marLeft w:val="0"/>
          <w:marRight w:val="0"/>
          <w:marTop w:val="0"/>
          <w:marBottom w:val="0"/>
          <w:divBdr>
            <w:top w:val="none" w:sz="0" w:space="0" w:color="auto"/>
            <w:left w:val="none" w:sz="0" w:space="0" w:color="auto"/>
            <w:bottom w:val="none" w:sz="0" w:space="0" w:color="auto"/>
            <w:right w:val="none" w:sz="0" w:space="0" w:color="auto"/>
          </w:divBdr>
          <w:divsChild>
            <w:div w:id="1016226039">
              <w:marLeft w:val="0"/>
              <w:marRight w:val="0"/>
              <w:marTop w:val="0"/>
              <w:marBottom w:val="0"/>
              <w:divBdr>
                <w:top w:val="none" w:sz="0" w:space="0" w:color="auto"/>
                <w:left w:val="none" w:sz="0" w:space="0" w:color="auto"/>
                <w:bottom w:val="none" w:sz="0" w:space="0" w:color="auto"/>
                <w:right w:val="none" w:sz="0" w:space="0" w:color="auto"/>
              </w:divBdr>
            </w:div>
          </w:divsChild>
        </w:div>
        <w:div w:id="784495108">
          <w:marLeft w:val="0"/>
          <w:marRight w:val="0"/>
          <w:marTop w:val="0"/>
          <w:marBottom w:val="0"/>
          <w:divBdr>
            <w:top w:val="none" w:sz="0" w:space="0" w:color="auto"/>
            <w:left w:val="none" w:sz="0" w:space="0" w:color="auto"/>
            <w:bottom w:val="none" w:sz="0" w:space="0" w:color="auto"/>
            <w:right w:val="none" w:sz="0" w:space="0" w:color="auto"/>
          </w:divBdr>
          <w:divsChild>
            <w:div w:id="246110993">
              <w:marLeft w:val="0"/>
              <w:marRight w:val="0"/>
              <w:marTop w:val="0"/>
              <w:marBottom w:val="0"/>
              <w:divBdr>
                <w:top w:val="none" w:sz="0" w:space="0" w:color="auto"/>
                <w:left w:val="none" w:sz="0" w:space="0" w:color="auto"/>
                <w:bottom w:val="none" w:sz="0" w:space="0" w:color="auto"/>
                <w:right w:val="none" w:sz="0" w:space="0" w:color="auto"/>
              </w:divBdr>
            </w:div>
          </w:divsChild>
        </w:div>
        <w:div w:id="1011878727">
          <w:marLeft w:val="0"/>
          <w:marRight w:val="0"/>
          <w:marTop w:val="0"/>
          <w:marBottom w:val="0"/>
          <w:divBdr>
            <w:top w:val="none" w:sz="0" w:space="0" w:color="auto"/>
            <w:left w:val="none" w:sz="0" w:space="0" w:color="auto"/>
            <w:bottom w:val="none" w:sz="0" w:space="0" w:color="auto"/>
            <w:right w:val="none" w:sz="0" w:space="0" w:color="auto"/>
          </w:divBdr>
          <w:divsChild>
            <w:div w:id="874735094">
              <w:marLeft w:val="0"/>
              <w:marRight w:val="0"/>
              <w:marTop w:val="0"/>
              <w:marBottom w:val="0"/>
              <w:divBdr>
                <w:top w:val="none" w:sz="0" w:space="0" w:color="auto"/>
                <w:left w:val="none" w:sz="0" w:space="0" w:color="auto"/>
                <w:bottom w:val="none" w:sz="0" w:space="0" w:color="auto"/>
                <w:right w:val="none" w:sz="0" w:space="0" w:color="auto"/>
              </w:divBdr>
            </w:div>
          </w:divsChild>
        </w:div>
        <w:div w:id="688802068">
          <w:marLeft w:val="0"/>
          <w:marRight w:val="0"/>
          <w:marTop w:val="0"/>
          <w:marBottom w:val="0"/>
          <w:divBdr>
            <w:top w:val="none" w:sz="0" w:space="0" w:color="auto"/>
            <w:left w:val="none" w:sz="0" w:space="0" w:color="auto"/>
            <w:bottom w:val="none" w:sz="0" w:space="0" w:color="auto"/>
            <w:right w:val="none" w:sz="0" w:space="0" w:color="auto"/>
          </w:divBdr>
          <w:divsChild>
            <w:div w:id="771438463">
              <w:marLeft w:val="0"/>
              <w:marRight w:val="0"/>
              <w:marTop w:val="0"/>
              <w:marBottom w:val="0"/>
              <w:divBdr>
                <w:top w:val="none" w:sz="0" w:space="0" w:color="auto"/>
                <w:left w:val="none" w:sz="0" w:space="0" w:color="auto"/>
                <w:bottom w:val="none" w:sz="0" w:space="0" w:color="auto"/>
                <w:right w:val="none" w:sz="0" w:space="0" w:color="auto"/>
              </w:divBdr>
            </w:div>
          </w:divsChild>
        </w:div>
        <w:div w:id="514802890">
          <w:marLeft w:val="0"/>
          <w:marRight w:val="0"/>
          <w:marTop w:val="0"/>
          <w:marBottom w:val="0"/>
          <w:divBdr>
            <w:top w:val="none" w:sz="0" w:space="0" w:color="auto"/>
            <w:left w:val="none" w:sz="0" w:space="0" w:color="auto"/>
            <w:bottom w:val="none" w:sz="0" w:space="0" w:color="auto"/>
            <w:right w:val="none" w:sz="0" w:space="0" w:color="auto"/>
          </w:divBdr>
          <w:divsChild>
            <w:div w:id="275714770">
              <w:marLeft w:val="0"/>
              <w:marRight w:val="0"/>
              <w:marTop w:val="0"/>
              <w:marBottom w:val="0"/>
              <w:divBdr>
                <w:top w:val="none" w:sz="0" w:space="0" w:color="auto"/>
                <w:left w:val="none" w:sz="0" w:space="0" w:color="auto"/>
                <w:bottom w:val="none" w:sz="0" w:space="0" w:color="auto"/>
                <w:right w:val="none" w:sz="0" w:space="0" w:color="auto"/>
              </w:divBdr>
            </w:div>
          </w:divsChild>
        </w:div>
        <w:div w:id="1248461459">
          <w:marLeft w:val="0"/>
          <w:marRight w:val="0"/>
          <w:marTop w:val="0"/>
          <w:marBottom w:val="0"/>
          <w:divBdr>
            <w:top w:val="none" w:sz="0" w:space="0" w:color="auto"/>
            <w:left w:val="none" w:sz="0" w:space="0" w:color="auto"/>
            <w:bottom w:val="none" w:sz="0" w:space="0" w:color="auto"/>
            <w:right w:val="none" w:sz="0" w:space="0" w:color="auto"/>
          </w:divBdr>
          <w:divsChild>
            <w:div w:id="206528147">
              <w:marLeft w:val="0"/>
              <w:marRight w:val="0"/>
              <w:marTop w:val="0"/>
              <w:marBottom w:val="0"/>
              <w:divBdr>
                <w:top w:val="none" w:sz="0" w:space="0" w:color="auto"/>
                <w:left w:val="none" w:sz="0" w:space="0" w:color="auto"/>
                <w:bottom w:val="none" w:sz="0" w:space="0" w:color="auto"/>
                <w:right w:val="none" w:sz="0" w:space="0" w:color="auto"/>
              </w:divBdr>
            </w:div>
          </w:divsChild>
        </w:div>
        <w:div w:id="1776166069">
          <w:marLeft w:val="0"/>
          <w:marRight w:val="0"/>
          <w:marTop w:val="0"/>
          <w:marBottom w:val="0"/>
          <w:divBdr>
            <w:top w:val="none" w:sz="0" w:space="0" w:color="auto"/>
            <w:left w:val="none" w:sz="0" w:space="0" w:color="auto"/>
            <w:bottom w:val="none" w:sz="0" w:space="0" w:color="auto"/>
            <w:right w:val="none" w:sz="0" w:space="0" w:color="auto"/>
          </w:divBdr>
          <w:divsChild>
            <w:div w:id="1205405292">
              <w:marLeft w:val="0"/>
              <w:marRight w:val="0"/>
              <w:marTop w:val="0"/>
              <w:marBottom w:val="0"/>
              <w:divBdr>
                <w:top w:val="none" w:sz="0" w:space="0" w:color="auto"/>
                <w:left w:val="none" w:sz="0" w:space="0" w:color="auto"/>
                <w:bottom w:val="none" w:sz="0" w:space="0" w:color="auto"/>
                <w:right w:val="none" w:sz="0" w:space="0" w:color="auto"/>
              </w:divBdr>
            </w:div>
          </w:divsChild>
        </w:div>
        <w:div w:id="684400407">
          <w:marLeft w:val="0"/>
          <w:marRight w:val="0"/>
          <w:marTop w:val="0"/>
          <w:marBottom w:val="0"/>
          <w:divBdr>
            <w:top w:val="none" w:sz="0" w:space="0" w:color="auto"/>
            <w:left w:val="none" w:sz="0" w:space="0" w:color="auto"/>
            <w:bottom w:val="none" w:sz="0" w:space="0" w:color="auto"/>
            <w:right w:val="none" w:sz="0" w:space="0" w:color="auto"/>
          </w:divBdr>
          <w:divsChild>
            <w:div w:id="1207253364">
              <w:marLeft w:val="0"/>
              <w:marRight w:val="0"/>
              <w:marTop w:val="0"/>
              <w:marBottom w:val="0"/>
              <w:divBdr>
                <w:top w:val="none" w:sz="0" w:space="0" w:color="auto"/>
                <w:left w:val="none" w:sz="0" w:space="0" w:color="auto"/>
                <w:bottom w:val="none" w:sz="0" w:space="0" w:color="auto"/>
                <w:right w:val="none" w:sz="0" w:space="0" w:color="auto"/>
              </w:divBdr>
            </w:div>
          </w:divsChild>
        </w:div>
        <w:div w:id="1625892525">
          <w:marLeft w:val="0"/>
          <w:marRight w:val="0"/>
          <w:marTop w:val="0"/>
          <w:marBottom w:val="0"/>
          <w:divBdr>
            <w:top w:val="none" w:sz="0" w:space="0" w:color="auto"/>
            <w:left w:val="none" w:sz="0" w:space="0" w:color="auto"/>
            <w:bottom w:val="none" w:sz="0" w:space="0" w:color="auto"/>
            <w:right w:val="none" w:sz="0" w:space="0" w:color="auto"/>
          </w:divBdr>
          <w:divsChild>
            <w:div w:id="1429083734">
              <w:marLeft w:val="0"/>
              <w:marRight w:val="0"/>
              <w:marTop w:val="0"/>
              <w:marBottom w:val="0"/>
              <w:divBdr>
                <w:top w:val="none" w:sz="0" w:space="0" w:color="auto"/>
                <w:left w:val="none" w:sz="0" w:space="0" w:color="auto"/>
                <w:bottom w:val="none" w:sz="0" w:space="0" w:color="auto"/>
                <w:right w:val="none" w:sz="0" w:space="0" w:color="auto"/>
              </w:divBdr>
            </w:div>
          </w:divsChild>
        </w:div>
        <w:div w:id="1103452365">
          <w:marLeft w:val="0"/>
          <w:marRight w:val="0"/>
          <w:marTop w:val="0"/>
          <w:marBottom w:val="0"/>
          <w:divBdr>
            <w:top w:val="none" w:sz="0" w:space="0" w:color="auto"/>
            <w:left w:val="none" w:sz="0" w:space="0" w:color="auto"/>
            <w:bottom w:val="none" w:sz="0" w:space="0" w:color="auto"/>
            <w:right w:val="none" w:sz="0" w:space="0" w:color="auto"/>
          </w:divBdr>
          <w:divsChild>
            <w:div w:id="1387340537">
              <w:marLeft w:val="0"/>
              <w:marRight w:val="0"/>
              <w:marTop w:val="0"/>
              <w:marBottom w:val="0"/>
              <w:divBdr>
                <w:top w:val="none" w:sz="0" w:space="0" w:color="auto"/>
                <w:left w:val="none" w:sz="0" w:space="0" w:color="auto"/>
                <w:bottom w:val="none" w:sz="0" w:space="0" w:color="auto"/>
                <w:right w:val="none" w:sz="0" w:space="0" w:color="auto"/>
              </w:divBdr>
            </w:div>
          </w:divsChild>
        </w:div>
        <w:div w:id="1785345157">
          <w:marLeft w:val="0"/>
          <w:marRight w:val="0"/>
          <w:marTop w:val="0"/>
          <w:marBottom w:val="0"/>
          <w:divBdr>
            <w:top w:val="none" w:sz="0" w:space="0" w:color="auto"/>
            <w:left w:val="none" w:sz="0" w:space="0" w:color="auto"/>
            <w:bottom w:val="none" w:sz="0" w:space="0" w:color="auto"/>
            <w:right w:val="none" w:sz="0" w:space="0" w:color="auto"/>
          </w:divBdr>
          <w:divsChild>
            <w:div w:id="1696464915">
              <w:marLeft w:val="0"/>
              <w:marRight w:val="0"/>
              <w:marTop w:val="0"/>
              <w:marBottom w:val="0"/>
              <w:divBdr>
                <w:top w:val="none" w:sz="0" w:space="0" w:color="auto"/>
                <w:left w:val="none" w:sz="0" w:space="0" w:color="auto"/>
                <w:bottom w:val="none" w:sz="0" w:space="0" w:color="auto"/>
                <w:right w:val="none" w:sz="0" w:space="0" w:color="auto"/>
              </w:divBdr>
            </w:div>
          </w:divsChild>
        </w:div>
        <w:div w:id="1513300103">
          <w:marLeft w:val="0"/>
          <w:marRight w:val="0"/>
          <w:marTop w:val="0"/>
          <w:marBottom w:val="0"/>
          <w:divBdr>
            <w:top w:val="none" w:sz="0" w:space="0" w:color="auto"/>
            <w:left w:val="none" w:sz="0" w:space="0" w:color="auto"/>
            <w:bottom w:val="none" w:sz="0" w:space="0" w:color="auto"/>
            <w:right w:val="none" w:sz="0" w:space="0" w:color="auto"/>
          </w:divBdr>
          <w:divsChild>
            <w:div w:id="1906061624">
              <w:marLeft w:val="0"/>
              <w:marRight w:val="0"/>
              <w:marTop w:val="0"/>
              <w:marBottom w:val="0"/>
              <w:divBdr>
                <w:top w:val="none" w:sz="0" w:space="0" w:color="auto"/>
                <w:left w:val="none" w:sz="0" w:space="0" w:color="auto"/>
                <w:bottom w:val="none" w:sz="0" w:space="0" w:color="auto"/>
                <w:right w:val="none" w:sz="0" w:space="0" w:color="auto"/>
              </w:divBdr>
            </w:div>
          </w:divsChild>
        </w:div>
        <w:div w:id="451247720">
          <w:marLeft w:val="0"/>
          <w:marRight w:val="0"/>
          <w:marTop w:val="0"/>
          <w:marBottom w:val="0"/>
          <w:divBdr>
            <w:top w:val="none" w:sz="0" w:space="0" w:color="auto"/>
            <w:left w:val="none" w:sz="0" w:space="0" w:color="auto"/>
            <w:bottom w:val="none" w:sz="0" w:space="0" w:color="auto"/>
            <w:right w:val="none" w:sz="0" w:space="0" w:color="auto"/>
          </w:divBdr>
          <w:divsChild>
            <w:div w:id="1552110795">
              <w:marLeft w:val="0"/>
              <w:marRight w:val="0"/>
              <w:marTop w:val="0"/>
              <w:marBottom w:val="0"/>
              <w:divBdr>
                <w:top w:val="none" w:sz="0" w:space="0" w:color="auto"/>
                <w:left w:val="none" w:sz="0" w:space="0" w:color="auto"/>
                <w:bottom w:val="none" w:sz="0" w:space="0" w:color="auto"/>
                <w:right w:val="none" w:sz="0" w:space="0" w:color="auto"/>
              </w:divBdr>
            </w:div>
          </w:divsChild>
        </w:div>
        <w:div w:id="1928221637">
          <w:marLeft w:val="0"/>
          <w:marRight w:val="0"/>
          <w:marTop w:val="0"/>
          <w:marBottom w:val="0"/>
          <w:divBdr>
            <w:top w:val="none" w:sz="0" w:space="0" w:color="auto"/>
            <w:left w:val="none" w:sz="0" w:space="0" w:color="auto"/>
            <w:bottom w:val="none" w:sz="0" w:space="0" w:color="auto"/>
            <w:right w:val="none" w:sz="0" w:space="0" w:color="auto"/>
          </w:divBdr>
          <w:divsChild>
            <w:div w:id="64381635">
              <w:marLeft w:val="0"/>
              <w:marRight w:val="0"/>
              <w:marTop w:val="0"/>
              <w:marBottom w:val="0"/>
              <w:divBdr>
                <w:top w:val="none" w:sz="0" w:space="0" w:color="auto"/>
                <w:left w:val="none" w:sz="0" w:space="0" w:color="auto"/>
                <w:bottom w:val="none" w:sz="0" w:space="0" w:color="auto"/>
                <w:right w:val="none" w:sz="0" w:space="0" w:color="auto"/>
              </w:divBdr>
            </w:div>
          </w:divsChild>
        </w:div>
        <w:div w:id="830633952">
          <w:marLeft w:val="0"/>
          <w:marRight w:val="0"/>
          <w:marTop w:val="0"/>
          <w:marBottom w:val="0"/>
          <w:divBdr>
            <w:top w:val="none" w:sz="0" w:space="0" w:color="auto"/>
            <w:left w:val="none" w:sz="0" w:space="0" w:color="auto"/>
            <w:bottom w:val="none" w:sz="0" w:space="0" w:color="auto"/>
            <w:right w:val="none" w:sz="0" w:space="0" w:color="auto"/>
          </w:divBdr>
          <w:divsChild>
            <w:div w:id="1409114223">
              <w:marLeft w:val="0"/>
              <w:marRight w:val="0"/>
              <w:marTop w:val="0"/>
              <w:marBottom w:val="0"/>
              <w:divBdr>
                <w:top w:val="none" w:sz="0" w:space="0" w:color="auto"/>
                <w:left w:val="none" w:sz="0" w:space="0" w:color="auto"/>
                <w:bottom w:val="none" w:sz="0" w:space="0" w:color="auto"/>
                <w:right w:val="none" w:sz="0" w:space="0" w:color="auto"/>
              </w:divBdr>
            </w:div>
          </w:divsChild>
        </w:div>
        <w:div w:id="2005085978">
          <w:marLeft w:val="0"/>
          <w:marRight w:val="0"/>
          <w:marTop w:val="0"/>
          <w:marBottom w:val="0"/>
          <w:divBdr>
            <w:top w:val="none" w:sz="0" w:space="0" w:color="auto"/>
            <w:left w:val="none" w:sz="0" w:space="0" w:color="auto"/>
            <w:bottom w:val="none" w:sz="0" w:space="0" w:color="auto"/>
            <w:right w:val="none" w:sz="0" w:space="0" w:color="auto"/>
          </w:divBdr>
          <w:divsChild>
            <w:div w:id="1835754753">
              <w:marLeft w:val="0"/>
              <w:marRight w:val="0"/>
              <w:marTop w:val="0"/>
              <w:marBottom w:val="0"/>
              <w:divBdr>
                <w:top w:val="none" w:sz="0" w:space="0" w:color="auto"/>
                <w:left w:val="none" w:sz="0" w:space="0" w:color="auto"/>
                <w:bottom w:val="none" w:sz="0" w:space="0" w:color="auto"/>
                <w:right w:val="none" w:sz="0" w:space="0" w:color="auto"/>
              </w:divBdr>
            </w:div>
          </w:divsChild>
        </w:div>
        <w:div w:id="1855417893">
          <w:marLeft w:val="0"/>
          <w:marRight w:val="0"/>
          <w:marTop w:val="0"/>
          <w:marBottom w:val="0"/>
          <w:divBdr>
            <w:top w:val="none" w:sz="0" w:space="0" w:color="auto"/>
            <w:left w:val="none" w:sz="0" w:space="0" w:color="auto"/>
            <w:bottom w:val="none" w:sz="0" w:space="0" w:color="auto"/>
            <w:right w:val="none" w:sz="0" w:space="0" w:color="auto"/>
          </w:divBdr>
          <w:divsChild>
            <w:div w:id="130051860">
              <w:marLeft w:val="0"/>
              <w:marRight w:val="0"/>
              <w:marTop w:val="0"/>
              <w:marBottom w:val="0"/>
              <w:divBdr>
                <w:top w:val="none" w:sz="0" w:space="0" w:color="auto"/>
                <w:left w:val="none" w:sz="0" w:space="0" w:color="auto"/>
                <w:bottom w:val="none" w:sz="0" w:space="0" w:color="auto"/>
                <w:right w:val="none" w:sz="0" w:space="0" w:color="auto"/>
              </w:divBdr>
            </w:div>
          </w:divsChild>
        </w:div>
        <w:div w:id="1179083906">
          <w:marLeft w:val="0"/>
          <w:marRight w:val="0"/>
          <w:marTop w:val="0"/>
          <w:marBottom w:val="0"/>
          <w:divBdr>
            <w:top w:val="none" w:sz="0" w:space="0" w:color="auto"/>
            <w:left w:val="none" w:sz="0" w:space="0" w:color="auto"/>
            <w:bottom w:val="none" w:sz="0" w:space="0" w:color="auto"/>
            <w:right w:val="none" w:sz="0" w:space="0" w:color="auto"/>
          </w:divBdr>
          <w:divsChild>
            <w:div w:id="785929340">
              <w:marLeft w:val="0"/>
              <w:marRight w:val="0"/>
              <w:marTop w:val="0"/>
              <w:marBottom w:val="0"/>
              <w:divBdr>
                <w:top w:val="none" w:sz="0" w:space="0" w:color="auto"/>
                <w:left w:val="none" w:sz="0" w:space="0" w:color="auto"/>
                <w:bottom w:val="none" w:sz="0" w:space="0" w:color="auto"/>
                <w:right w:val="none" w:sz="0" w:space="0" w:color="auto"/>
              </w:divBdr>
            </w:div>
          </w:divsChild>
        </w:div>
        <w:div w:id="1916625610">
          <w:marLeft w:val="0"/>
          <w:marRight w:val="0"/>
          <w:marTop w:val="0"/>
          <w:marBottom w:val="0"/>
          <w:divBdr>
            <w:top w:val="none" w:sz="0" w:space="0" w:color="auto"/>
            <w:left w:val="none" w:sz="0" w:space="0" w:color="auto"/>
            <w:bottom w:val="none" w:sz="0" w:space="0" w:color="auto"/>
            <w:right w:val="none" w:sz="0" w:space="0" w:color="auto"/>
          </w:divBdr>
          <w:divsChild>
            <w:div w:id="86850664">
              <w:marLeft w:val="0"/>
              <w:marRight w:val="0"/>
              <w:marTop w:val="0"/>
              <w:marBottom w:val="0"/>
              <w:divBdr>
                <w:top w:val="none" w:sz="0" w:space="0" w:color="auto"/>
                <w:left w:val="none" w:sz="0" w:space="0" w:color="auto"/>
                <w:bottom w:val="none" w:sz="0" w:space="0" w:color="auto"/>
                <w:right w:val="none" w:sz="0" w:space="0" w:color="auto"/>
              </w:divBdr>
            </w:div>
          </w:divsChild>
        </w:div>
        <w:div w:id="579829466">
          <w:marLeft w:val="0"/>
          <w:marRight w:val="0"/>
          <w:marTop w:val="0"/>
          <w:marBottom w:val="0"/>
          <w:divBdr>
            <w:top w:val="none" w:sz="0" w:space="0" w:color="auto"/>
            <w:left w:val="none" w:sz="0" w:space="0" w:color="auto"/>
            <w:bottom w:val="none" w:sz="0" w:space="0" w:color="auto"/>
            <w:right w:val="none" w:sz="0" w:space="0" w:color="auto"/>
          </w:divBdr>
          <w:divsChild>
            <w:div w:id="1923181139">
              <w:marLeft w:val="0"/>
              <w:marRight w:val="0"/>
              <w:marTop w:val="0"/>
              <w:marBottom w:val="0"/>
              <w:divBdr>
                <w:top w:val="none" w:sz="0" w:space="0" w:color="auto"/>
                <w:left w:val="none" w:sz="0" w:space="0" w:color="auto"/>
                <w:bottom w:val="none" w:sz="0" w:space="0" w:color="auto"/>
                <w:right w:val="none" w:sz="0" w:space="0" w:color="auto"/>
              </w:divBdr>
            </w:div>
          </w:divsChild>
        </w:div>
        <w:div w:id="1347052450">
          <w:marLeft w:val="0"/>
          <w:marRight w:val="0"/>
          <w:marTop w:val="0"/>
          <w:marBottom w:val="0"/>
          <w:divBdr>
            <w:top w:val="none" w:sz="0" w:space="0" w:color="auto"/>
            <w:left w:val="none" w:sz="0" w:space="0" w:color="auto"/>
            <w:bottom w:val="none" w:sz="0" w:space="0" w:color="auto"/>
            <w:right w:val="none" w:sz="0" w:space="0" w:color="auto"/>
          </w:divBdr>
          <w:divsChild>
            <w:div w:id="426460257">
              <w:marLeft w:val="0"/>
              <w:marRight w:val="0"/>
              <w:marTop w:val="0"/>
              <w:marBottom w:val="0"/>
              <w:divBdr>
                <w:top w:val="none" w:sz="0" w:space="0" w:color="auto"/>
                <w:left w:val="none" w:sz="0" w:space="0" w:color="auto"/>
                <w:bottom w:val="none" w:sz="0" w:space="0" w:color="auto"/>
                <w:right w:val="none" w:sz="0" w:space="0" w:color="auto"/>
              </w:divBdr>
            </w:div>
          </w:divsChild>
        </w:div>
        <w:div w:id="2048798142">
          <w:marLeft w:val="0"/>
          <w:marRight w:val="0"/>
          <w:marTop w:val="0"/>
          <w:marBottom w:val="0"/>
          <w:divBdr>
            <w:top w:val="none" w:sz="0" w:space="0" w:color="auto"/>
            <w:left w:val="none" w:sz="0" w:space="0" w:color="auto"/>
            <w:bottom w:val="none" w:sz="0" w:space="0" w:color="auto"/>
            <w:right w:val="none" w:sz="0" w:space="0" w:color="auto"/>
          </w:divBdr>
          <w:divsChild>
            <w:div w:id="1369330517">
              <w:marLeft w:val="0"/>
              <w:marRight w:val="0"/>
              <w:marTop w:val="0"/>
              <w:marBottom w:val="0"/>
              <w:divBdr>
                <w:top w:val="none" w:sz="0" w:space="0" w:color="auto"/>
                <w:left w:val="none" w:sz="0" w:space="0" w:color="auto"/>
                <w:bottom w:val="none" w:sz="0" w:space="0" w:color="auto"/>
                <w:right w:val="none" w:sz="0" w:space="0" w:color="auto"/>
              </w:divBdr>
            </w:div>
          </w:divsChild>
        </w:div>
        <w:div w:id="941572352">
          <w:marLeft w:val="0"/>
          <w:marRight w:val="0"/>
          <w:marTop w:val="0"/>
          <w:marBottom w:val="0"/>
          <w:divBdr>
            <w:top w:val="none" w:sz="0" w:space="0" w:color="auto"/>
            <w:left w:val="none" w:sz="0" w:space="0" w:color="auto"/>
            <w:bottom w:val="none" w:sz="0" w:space="0" w:color="auto"/>
            <w:right w:val="none" w:sz="0" w:space="0" w:color="auto"/>
          </w:divBdr>
          <w:divsChild>
            <w:div w:id="1478569949">
              <w:marLeft w:val="0"/>
              <w:marRight w:val="0"/>
              <w:marTop w:val="0"/>
              <w:marBottom w:val="0"/>
              <w:divBdr>
                <w:top w:val="none" w:sz="0" w:space="0" w:color="auto"/>
                <w:left w:val="none" w:sz="0" w:space="0" w:color="auto"/>
                <w:bottom w:val="none" w:sz="0" w:space="0" w:color="auto"/>
                <w:right w:val="none" w:sz="0" w:space="0" w:color="auto"/>
              </w:divBdr>
            </w:div>
          </w:divsChild>
        </w:div>
        <w:div w:id="1292401635">
          <w:marLeft w:val="0"/>
          <w:marRight w:val="0"/>
          <w:marTop w:val="0"/>
          <w:marBottom w:val="0"/>
          <w:divBdr>
            <w:top w:val="none" w:sz="0" w:space="0" w:color="auto"/>
            <w:left w:val="none" w:sz="0" w:space="0" w:color="auto"/>
            <w:bottom w:val="none" w:sz="0" w:space="0" w:color="auto"/>
            <w:right w:val="none" w:sz="0" w:space="0" w:color="auto"/>
          </w:divBdr>
          <w:divsChild>
            <w:div w:id="655958831">
              <w:marLeft w:val="0"/>
              <w:marRight w:val="0"/>
              <w:marTop w:val="0"/>
              <w:marBottom w:val="0"/>
              <w:divBdr>
                <w:top w:val="none" w:sz="0" w:space="0" w:color="auto"/>
                <w:left w:val="none" w:sz="0" w:space="0" w:color="auto"/>
                <w:bottom w:val="none" w:sz="0" w:space="0" w:color="auto"/>
                <w:right w:val="none" w:sz="0" w:space="0" w:color="auto"/>
              </w:divBdr>
            </w:div>
          </w:divsChild>
        </w:div>
        <w:div w:id="661851653">
          <w:marLeft w:val="0"/>
          <w:marRight w:val="0"/>
          <w:marTop w:val="0"/>
          <w:marBottom w:val="0"/>
          <w:divBdr>
            <w:top w:val="none" w:sz="0" w:space="0" w:color="auto"/>
            <w:left w:val="none" w:sz="0" w:space="0" w:color="auto"/>
            <w:bottom w:val="none" w:sz="0" w:space="0" w:color="auto"/>
            <w:right w:val="none" w:sz="0" w:space="0" w:color="auto"/>
          </w:divBdr>
          <w:divsChild>
            <w:div w:id="1691909463">
              <w:marLeft w:val="0"/>
              <w:marRight w:val="0"/>
              <w:marTop w:val="0"/>
              <w:marBottom w:val="0"/>
              <w:divBdr>
                <w:top w:val="none" w:sz="0" w:space="0" w:color="auto"/>
                <w:left w:val="none" w:sz="0" w:space="0" w:color="auto"/>
                <w:bottom w:val="none" w:sz="0" w:space="0" w:color="auto"/>
                <w:right w:val="none" w:sz="0" w:space="0" w:color="auto"/>
              </w:divBdr>
            </w:div>
          </w:divsChild>
        </w:div>
        <w:div w:id="1278945770">
          <w:marLeft w:val="0"/>
          <w:marRight w:val="0"/>
          <w:marTop w:val="0"/>
          <w:marBottom w:val="0"/>
          <w:divBdr>
            <w:top w:val="none" w:sz="0" w:space="0" w:color="auto"/>
            <w:left w:val="none" w:sz="0" w:space="0" w:color="auto"/>
            <w:bottom w:val="none" w:sz="0" w:space="0" w:color="auto"/>
            <w:right w:val="none" w:sz="0" w:space="0" w:color="auto"/>
          </w:divBdr>
          <w:divsChild>
            <w:div w:id="1535069872">
              <w:marLeft w:val="0"/>
              <w:marRight w:val="0"/>
              <w:marTop w:val="0"/>
              <w:marBottom w:val="0"/>
              <w:divBdr>
                <w:top w:val="none" w:sz="0" w:space="0" w:color="auto"/>
                <w:left w:val="none" w:sz="0" w:space="0" w:color="auto"/>
                <w:bottom w:val="none" w:sz="0" w:space="0" w:color="auto"/>
                <w:right w:val="none" w:sz="0" w:space="0" w:color="auto"/>
              </w:divBdr>
            </w:div>
          </w:divsChild>
        </w:div>
        <w:div w:id="1393428463">
          <w:marLeft w:val="0"/>
          <w:marRight w:val="0"/>
          <w:marTop w:val="0"/>
          <w:marBottom w:val="0"/>
          <w:divBdr>
            <w:top w:val="none" w:sz="0" w:space="0" w:color="auto"/>
            <w:left w:val="none" w:sz="0" w:space="0" w:color="auto"/>
            <w:bottom w:val="none" w:sz="0" w:space="0" w:color="auto"/>
            <w:right w:val="none" w:sz="0" w:space="0" w:color="auto"/>
          </w:divBdr>
          <w:divsChild>
            <w:div w:id="296565376">
              <w:marLeft w:val="0"/>
              <w:marRight w:val="0"/>
              <w:marTop w:val="0"/>
              <w:marBottom w:val="0"/>
              <w:divBdr>
                <w:top w:val="none" w:sz="0" w:space="0" w:color="auto"/>
                <w:left w:val="none" w:sz="0" w:space="0" w:color="auto"/>
                <w:bottom w:val="none" w:sz="0" w:space="0" w:color="auto"/>
                <w:right w:val="none" w:sz="0" w:space="0" w:color="auto"/>
              </w:divBdr>
            </w:div>
          </w:divsChild>
        </w:div>
        <w:div w:id="186720572">
          <w:marLeft w:val="0"/>
          <w:marRight w:val="0"/>
          <w:marTop w:val="0"/>
          <w:marBottom w:val="0"/>
          <w:divBdr>
            <w:top w:val="none" w:sz="0" w:space="0" w:color="auto"/>
            <w:left w:val="none" w:sz="0" w:space="0" w:color="auto"/>
            <w:bottom w:val="none" w:sz="0" w:space="0" w:color="auto"/>
            <w:right w:val="none" w:sz="0" w:space="0" w:color="auto"/>
          </w:divBdr>
          <w:divsChild>
            <w:div w:id="1680430773">
              <w:marLeft w:val="0"/>
              <w:marRight w:val="0"/>
              <w:marTop w:val="0"/>
              <w:marBottom w:val="0"/>
              <w:divBdr>
                <w:top w:val="none" w:sz="0" w:space="0" w:color="auto"/>
                <w:left w:val="none" w:sz="0" w:space="0" w:color="auto"/>
                <w:bottom w:val="none" w:sz="0" w:space="0" w:color="auto"/>
                <w:right w:val="none" w:sz="0" w:space="0" w:color="auto"/>
              </w:divBdr>
            </w:div>
          </w:divsChild>
        </w:div>
        <w:div w:id="1952080170">
          <w:marLeft w:val="0"/>
          <w:marRight w:val="0"/>
          <w:marTop w:val="0"/>
          <w:marBottom w:val="0"/>
          <w:divBdr>
            <w:top w:val="none" w:sz="0" w:space="0" w:color="auto"/>
            <w:left w:val="none" w:sz="0" w:space="0" w:color="auto"/>
            <w:bottom w:val="none" w:sz="0" w:space="0" w:color="auto"/>
            <w:right w:val="none" w:sz="0" w:space="0" w:color="auto"/>
          </w:divBdr>
          <w:divsChild>
            <w:div w:id="2121534628">
              <w:marLeft w:val="0"/>
              <w:marRight w:val="0"/>
              <w:marTop w:val="0"/>
              <w:marBottom w:val="0"/>
              <w:divBdr>
                <w:top w:val="none" w:sz="0" w:space="0" w:color="auto"/>
                <w:left w:val="none" w:sz="0" w:space="0" w:color="auto"/>
                <w:bottom w:val="none" w:sz="0" w:space="0" w:color="auto"/>
                <w:right w:val="none" w:sz="0" w:space="0" w:color="auto"/>
              </w:divBdr>
            </w:div>
          </w:divsChild>
        </w:div>
        <w:div w:id="2147313174">
          <w:marLeft w:val="0"/>
          <w:marRight w:val="0"/>
          <w:marTop w:val="0"/>
          <w:marBottom w:val="0"/>
          <w:divBdr>
            <w:top w:val="none" w:sz="0" w:space="0" w:color="auto"/>
            <w:left w:val="none" w:sz="0" w:space="0" w:color="auto"/>
            <w:bottom w:val="none" w:sz="0" w:space="0" w:color="auto"/>
            <w:right w:val="none" w:sz="0" w:space="0" w:color="auto"/>
          </w:divBdr>
          <w:divsChild>
            <w:div w:id="612129818">
              <w:marLeft w:val="0"/>
              <w:marRight w:val="0"/>
              <w:marTop w:val="0"/>
              <w:marBottom w:val="0"/>
              <w:divBdr>
                <w:top w:val="none" w:sz="0" w:space="0" w:color="auto"/>
                <w:left w:val="none" w:sz="0" w:space="0" w:color="auto"/>
                <w:bottom w:val="none" w:sz="0" w:space="0" w:color="auto"/>
                <w:right w:val="none" w:sz="0" w:space="0" w:color="auto"/>
              </w:divBdr>
            </w:div>
          </w:divsChild>
        </w:div>
        <w:div w:id="295188576">
          <w:marLeft w:val="0"/>
          <w:marRight w:val="0"/>
          <w:marTop w:val="0"/>
          <w:marBottom w:val="0"/>
          <w:divBdr>
            <w:top w:val="none" w:sz="0" w:space="0" w:color="auto"/>
            <w:left w:val="none" w:sz="0" w:space="0" w:color="auto"/>
            <w:bottom w:val="none" w:sz="0" w:space="0" w:color="auto"/>
            <w:right w:val="none" w:sz="0" w:space="0" w:color="auto"/>
          </w:divBdr>
          <w:divsChild>
            <w:div w:id="42143659">
              <w:marLeft w:val="0"/>
              <w:marRight w:val="0"/>
              <w:marTop w:val="0"/>
              <w:marBottom w:val="0"/>
              <w:divBdr>
                <w:top w:val="none" w:sz="0" w:space="0" w:color="auto"/>
                <w:left w:val="none" w:sz="0" w:space="0" w:color="auto"/>
                <w:bottom w:val="none" w:sz="0" w:space="0" w:color="auto"/>
                <w:right w:val="none" w:sz="0" w:space="0" w:color="auto"/>
              </w:divBdr>
            </w:div>
          </w:divsChild>
        </w:div>
        <w:div w:id="495147509">
          <w:marLeft w:val="0"/>
          <w:marRight w:val="0"/>
          <w:marTop w:val="0"/>
          <w:marBottom w:val="0"/>
          <w:divBdr>
            <w:top w:val="none" w:sz="0" w:space="0" w:color="auto"/>
            <w:left w:val="none" w:sz="0" w:space="0" w:color="auto"/>
            <w:bottom w:val="none" w:sz="0" w:space="0" w:color="auto"/>
            <w:right w:val="none" w:sz="0" w:space="0" w:color="auto"/>
          </w:divBdr>
          <w:divsChild>
            <w:div w:id="1431969465">
              <w:marLeft w:val="0"/>
              <w:marRight w:val="0"/>
              <w:marTop w:val="0"/>
              <w:marBottom w:val="0"/>
              <w:divBdr>
                <w:top w:val="none" w:sz="0" w:space="0" w:color="auto"/>
                <w:left w:val="none" w:sz="0" w:space="0" w:color="auto"/>
                <w:bottom w:val="none" w:sz="0" w:space="0" w:color="auto"/>
                <w:right w:val="none" w:sz="0" w:space="0" w:color="auto"/>
              </w:divBdr>
            </w:div>
          </w:divsChild>
        </w:div>
        <w:div w:id="401831427">
          <w:marLeft w:val="0"/>
          <w:marRight w:val="0"/>
          <w:marTop w:val="0"/>
          <w:marBottom w:val="0"/>
          <w:divBdr>
            <w:top w:val="none" w:sz="0" w:space="0" w:color="auto"/>
            <w:left w:val="none" w:sz="0" w:space="0" w:color="auto"/>
            <w:bottom w:val="none" w:sz="0" w:space="0" w:color="auto"/>
            <w:right w:val="none" w:sz="0" w:space="0" w:color="auto"/>
          </w:divBdr>
          <w:divsChild>
            <w:div w:id="1088502538">
              <w:marLeft w:val="0"/>
              <w:marRight w:val="0"/>
              <w:marTop w:val="0"/>
              <w:marBottom w:val="0"/>
              <w:divBdr>
                <w:top w:val="none" w:sz="0" w:space="0" w:color="auto"/>
                <w:left w:val="none" w:sz="0" w:space="0" w:color="auto"/>
                <w:bottom w:val="none" w:sz="0" w:space="0" w:color="auto"/>
                <w:right w:val="none" w:sz="0" w:space="0" w:color="auto"/>
              </w:divBdr>
            </w:div>
          </w:divsChild>
        </w:div>
        <w:div w:id="636758771">
          <w:marLeft w:val="0"/>
          <w:marRight w:val="0"/>
          <w:marTop w:val="0"/>
          <w:marBottom w:val="0"/>
          <w:divBdr>
            <w:top w:val="none" w:sz="0" w:space="0" w:color="auto"/>
            <w:left w:val="none" w:sz="0" w:space="0" w:color="auto"/>
            <w:bottom w:val="none" w:sz="0" w:space="0" w:color="auto"/>
            <w:right w:val="none" w:sz="0" w:space="0" w:color="auto"/>
          </w:divBdr>
          <w:divsChild>
            <w:div w:id="1928418491">
              <w:marLeft w:val="0"/>
              <w:marRight w:val="0"/>
              <w:marTop w:val="0"/>
              <w:marBottom w:val="0"/>
              <w:divBdr>
                <w:top w:val="none" w:sz="0" w:space="0" w:color="auto"/>
                <w:left w:val="none" w:sz="0" w:space="0" w:color="auto"/>
                <w:bottom w:val="none" w:sz="0" w:space="0" w:color="auto"/>
                <w:right w:val="none" w:sz="0" w:space="0" w:color="auto"/>
              </w:divBdr>
            </w:div>
          </w:divsChild>
        </w:div>
        <w:div w:id="139616298">
          <w:marLeft w:val="0"/>
          <w:marRight w:val="0"/>
          <w:marTop w:val="0"/>
          <w:marBottom w:val="0"/>
          <w:divBdr>
            <w:top w:val="none" w:sz="0" w:space="0" w:color="auto"/>
            <w:left w:val="none" w:sz="0" w:space="0" w:color="auto"/>
            <w:bottom w:val="none" w:sz="0" w:space="0" w:color="auto"/>
            <w:right w:val="none" w:sz="0" w:space="0" w:color="auto"/>
          </w:divBdr>
          <w:divsChild>
            <w:div w:id="1148060669">
              <w:marLeft w:val="0"/>
              <w:marRight w:val="0"/>
              <w:marTop w:val="0"/>
              <w:marBottom w:val="0"/>
              <w:divBdr>
                <w:top w:val="none" w:sz="0" w:space="0" w:color="auto"/>
                <w:left w:val="none" w:sz="0" w:space="0" w:color="auto"/>
                <w:bottom w:val="none" w:sz="0" w:space="0" w:color="auto"/>
                <w:right w:val="none" w:sz="0" w:space="0" w:color="auto"/>
              </w:divBdr>
            </w:div>
          </w:divsChild>
        </w:div>
        <w:div w:id="1311210300">
          <w:marLeft w:val="0"/>
          <w:marRight w:val="0"/>
          <w:marTop w:val="0"/>
          <w:marBottom w:val="0"/>
          <w:divBdr>
            <w:top w:val="none" w:sz="0" w:space="0" w:color="auto"/>
            <w:left w:val="none" w:sz="0" w:space="0" w:color="auto"/>
            <w:bottom w:val="none" w:sz="0" w:space="0" w:color="auto"/>
            <w:right w:val="none" w:sz="0" w:space="0" w:color="auto"/>
          </w:divBdr>
          <w:divsChild>
            <w:div w:id="1532110199">
              <w:marLeft w:val="0"/>
              <w:marRight w:val="0"/>
              <w:marTop w:val="0"/>
              <w:marBottom w:val="0"/>
              <w:divBdr>
                <w:top w:val="none" w:sz="0" w:space="0" w:color="auto"/>
                <w:left w:val="none" w:sz="0" w:space="0" w:color="auto"/>
                <w:bottom w:val="none" w:sz="0" w:space="0" w:color="auto"/>
                <w:right w:val="none" w:sz="0" w:space="0" w:color="auto"/>
              </w:divBdr>
            </w:div>
          </w:divsChild>
        </w:div>
        <w:div w:id="645010879">
          <w:marLeft w:val="0"/>
          <w:marRight w:val="0"/>
          <w:marTop w:val="0"/>
          <w:marBottom w:val="0"/>
          <w:divBdr>
            <w:top w:val="none" w:sz="0" w:space="0" w:color="auto"/>
            <w:left w:val="none" w:sz="0" w:space="0" w:color="auto"/>
            <w:bottom w:val="none" w:sz="0" w:space="0" w:color="auto"/>
            <w:right w:val="none" w:sz="0" w:space="0" w:color="auto"/>
          </w:divBdr>
          <w:divsChild>
            <w:div w:id="1566799958">
              <w:marLeft w:val="0"/>
              <w:marRight w:val="0"/>
              <w:marTop w:val="0"/>
              <w:marBottom w:val="0"/>
              <w:divBdr>
                <w:top w:val="none" w:sz="0" w:space="0" w:color="auto"/>
                <w:left w:val="none" w:sz="0" w:space="0" w:color="auto"/>
                <w:bottom w:val="none" w:sz="0" w:space="0" w:color="auto"/>
                <w:right w:val="none" w:sz="0" w:space="0" w:color="auto"/>
              </w:divBdr>
            </w:div>
          </w:divsChild>
        </w:div>
        <w:div w:id="1741782270">
          <w:marLeft w:val="0"/>
          <w:marRight w:val="0"/>
          <w:marTop w:val="0"/>
          <w:marBottom w:val="0"/>
          <w:divBdr>
            <w:top w:val="none" w:sz="0" w:space="0" w:color="auto"/>
            <w:left w:val="none" w:sz="0" w:space="0" w:color="auto"/>
            <w:bottom w:val="none" w:sz="0" w:space="0" w:color="auto"/>
            <w:right w:val="none" w:sz="0" w:space="0" w:color="auto"/>
          </w:divBdr>
          <w:divsChild>
            <w:div w:id="1179999771">
              <w:marLeft w:val="0"/>
              <w:marRight w:val="0"/>
              <w:marTop w:val="0"/>
              <w:marBottom w:val="0"/>
              <w:divBdr>
                <w:top w:val="none" w:sz="0" w:space="0" w:color="auto"/>
                <w:left w:val="none" w:sz="0" w:space="0" w:color="auto"/>
                <w:bottom w:val="none" w:sz="0" w:space="0" w:color="auto"/>
                <w:right w:val="none" w:sz="0" w:space="0" w:color="auto"/>
              </w:divBdr>
            </w:div>
          </w:divsChild>
        </w:div>
        <w:div w:id="604504816">
          <w:marLeft w:val="0"/>
          <w:marRight w:val="0"/>
          <w:marTop w:val="0"/>
          <w:marBottom w:val="0"/>
          <w:divBdr>
            <w:top w:val="none" w:sz="0" w:space="0" w:color="auto"/>
            <w:left w:val="none" w:sz="0" w:space="0" w:color="auto"/>
            <w:bottom w:val="none" w:sz="0" w:space="0" w:color="auto"/>
            <w:right w:val="none" w:sz="0" w:space="0" w:color="auto"/>
          </w:divBdr>
          <w:divsChild>
            <w:div w:id="1075398565">
              <w:marLeft w:val="0"/>
              <w:marRight w:val="0"/>
              <w:marTop w:val="0"/>
              <w:marBottom w:val="0"/>
              <w:divBdr>
                <w:top w:val="none" w:sz="0" w:space="0" w:color="auto"/>
                <w:left w:val="none" w:sz="0" w:space="0" w:color="auto"/>
                <w:bottom w:val="none" w:sz="0" w:space="0" w:color="auto"/>
                <w:right w:val="none" w:sz="0" w:space="0" w:color="auto"/>
              </w:divBdr>
            </w:div>
          </w:divsChild>
        </w:div>
        <w:div w:id="1516847911">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
          </w:divsChild>
        </w:div>
        <w:div w:id="1433552303">
          <w:marLeft w:val="0"/>
          <w:marRight w:val="0"/>
          <w:marTop w:val="0"/>
          <w:marBottom w:val="0"/>
          <w:divBdr>
            <w:top w:val="none" w:sz="0" w:space="0" w:color="auto"/>
            <w:left w:val="none" w:sz="0" w:space="0" w:color="auto"/>
            <w:bottom w:val="none" w:sz="0" w:space="0" w:color="auto"/>
            <w:right w:val="none" w:sz="0" w:space="0" w:color="auto"/>
          </w:divBdr>
          <w:divsChild>
            <w:div w:id="1469006464">
              <w:marLeft w:val="0"/>
              <w:marRight w:val="0"/>
              <w:marTop w:val="0"/>
              <w:marBottom w:val="0"/>
              <w:divBdr>
                <w:top w:val="none" w:sz="0" w:space="0" w:color="auto"/>
                <w:left w:val="none" w:sz="0" w:space="0" w:color="auto"/>
                <w:bottom w:val="none" w:sz="0" w:space="0" w:color="auto"/>
                <w:right w:val="none" w:sz="0" w:space="0" w:color="auto"/>
              </w:divBdr>
            </w:div>
          </w:divsChild>
        </w:div>
        <w:div w:id="317538515">
          <w:marLeft w:val="0"/>
          <w:marRight w:val="0"/>
          <w:marTop w:val="0"/>
          <w:marBottom w:val="0"/>
          <w:divBdr>
            <w:top w:val="none" w:sz="0" w:space="0" w:color="auto"/>
            <w:left w:val="none" w:sz="0" w:space="0" w:color="auto"/>
            <w:bottom w:val="none" w:sz="0" w:space="0" w:color="auto"/>
            <w:right w:val="none" w:sz="0" w:space="0" w:color="auto"/>
          </w:divBdr>
          <w:divsChild>
            <w:div w:id="1530559420">
              <w:marLeft w:val="0"/>
              <w:marRight w:val="0"/>
              <w:marTop w:val="0"/>
              <w:marBottom w:val="0"/>
              <w:divBdr>
                <w:top w:val="none" w:sz="0" w:space="0" w:color="auto"/>
                <w:left w:val="none" w:sz="0" w:space="0" w:color="auto"/>
                <w:bottom w:val="none" w:sz="0" w:space="0" w:color="auto"/>
                <w:right w:val="none" w:sz="0" w:space="0" w:color="auto"/>
              </w:divBdr>
            </w:div>
          </w:divsChild>
        </w:div>
        <w:div w:id="757408481">
          <w:marLeft w:val="0"/>
          <w:marRight w:val="0"/>
          <w:marTop w:val="0"/>
          <w:marBottom w:val="0"/>
          <w:divBdr>
            <w:top w:val="none" w:sz="0" w:space="0" w:color="auto"/>
            <w:left w:val="none" w:sz="0" w:space="0" w:color="auto"/>
            <w:bottom w:val="none" w:sz="0" w:space="0" w:color="auto"/>
            <w:right w:val="none" w:sz="0" w:space="0" w:color="auto"/>
          </w:divBdr>
          <w:divsChild>
            <w:div w:id="1987858746">
              <w:marLeft w:val="0"/>
              <w:marRight w:val="0"/>
              <w:marTop w:val="0"/>
              <w:marBottom w:val="0"/>
              <w:divBdr>
                <w:top w:val="none" w:sz="0" w:space="0" w:color="auto"/>
                <w:left w:val="none" w:sz="0" w:space="0" w:color="auto"/>
                <w:bottom w:val="none" w:sz="0" w:space="0" w:color="auto"/>
                <w:right w:val="none" w:sz="0" w:space="0" w:color="auto"/>
              </w:divBdr>
            </w:div>
          </w:divsChild>
        </w:div>
        <w:div w:id="292103923">
          <w:marLeft w:val="0"/>
          <w:marRight w:val="0"/>
          <w:marTop w:val="0"/>
          <w:marBottom w:val="0"/>
          <w:divBdr>
            <w:top w:val="none" w:sz="0" w:space="0" w:color="auto"/>
            <w:left w:val="none" w:sz="0" w:space="0" w:color="auto"/>
            <w:bottom w:val="none" w:sz="0" w:space="0" w:color="auto"/>
            <w:right w:val="none" w:sz="0" w:space="0" w:color="auto"/>
          </w:divBdr>
          <w:divsChild>
            <w:div w:id="379716629">
              <w:marLeft w:val="0"/>
              <w:marRight w:val="0"/>
              <w:marTop w:val="0"/>
              <w:marBottom w:val="0"/>
              <w:divBdr>
                <w:top w:val="none" w:sz="0" w:space="0" w:color="auto"/>
                <w:left w:val="none" w:sz="0" w:space="0" w:color="auto"/>
                <w:bottom w:val="none" w:sz="0" w:space="0" w:color="auto"/>
                <w:right w:val="none" w:sz="0" w:space="0" w:color="auto"/>
              </w:divBdr>
            </w:div>
          </w:divsChild>
        </w:div>
        <w:div w:id="749541032">
          <w:marLeft w:val="0"/>
          <w:marRight w:val="0"/>
          <w:marTop w:val="0"/>
          <w:marBottom w:val="0"/>
          <w:divBdr>
            <w:top w:val="none" w:sz="0" w:space="0" w:color="auto"/>
            <w:left w:val="none" w:sz="0" w:space="0" w:color="auto"/>
            <w:bottom w:val="none" w:sz="0" w:space="0" w:color="auto"/>
            <w:right w:val="none" w:sz="0" w:space="0" w:color="auto"/>
          </w:divBdr>
          <w:divsChild>
            <w:div w:id="1437211224">
              <w:marLeft w:val="0"/>
              <w:marRight w:val="0"/>
              <w:marTop w:val="0"/>
              <w:marBottom w:val="0"/>
              <w:divBdr>
                <w:top w:val="none" w:sz="0" w:space="0" w:color="auto"/>
                <w:left w:val="none" w:sz="0" w:space="0" w:color="auto"/>
                <w:bottom w:val="none" w:sz="0" w:space="0" w:color="auto"/>
                <w:right w:val="none" w:sz="0" w:space="0" w:color="auto"/>
              </w:divBdr>
            </w:div>
          </w:divsChild>
        </w:div>
        <w:div w:id="965693547">
          <w:marLeft w:val="0"/>
          <w:marRight w:val="0"/>
          <w:marTop w:val="0"/>
          <w:marBottom w:val="0"/>
          <w:divBdr>
            <w:top w:val="none" w:sz="0" w:space="0" w:color="auto"/>
            <w:left w:val="none" w:sz="0" w:space="0" w:color="auto"/>
            <w:bottom w:val="none" w:sz="0" w:space="0" w:color="auto"/>
            <w:right w:val="none" w:sz="0" w:space="0" w:color="auto"/>
          </w:divBdr>
          <w:divsChild>
            <w:div w:id="1068530821">
              <w:marLeft w:val="0"/>
              <w:marRight w:val="0"/>
              <w:marTop w:val="0"/>
              <w:marBottom w:val="0"/>
              <w:divBdr>
                <w:top w:val="none" w:sz="0" w:space="0" w:color="auto"/>
                <w:left w:val="none" w:sz="0" w:space="0" w:color="auto"/>
                <w:bottom w:val="none" w:sz="0" w:space="0" w:color="auto"/>
                <w:right w:val="none" w:sz="0" w:space="0" w:color="auto"/>
              </w:divBdr>
            </w:div>
          </w:divsChild>
        </w:div>
        <w:div w:id="1385104060">
          <w:marLeft w:val="0"/>
          <w:marRight w:val="0"/>
          <w:marTop w:val="0"/>
          <w:marBottom w:val="0"/>
          <w:divBdr>
            <w:top w:val="none" w:sz="0" w:space="0" w:color="auto"/>
            <w:left w:val="none" w:sz="0" w:space="0" w:color="auto"/>
            <w:bottom w:val="none" w:sz="0" w:space="0" w:color="auto"/>
            <w:right w:val="none" w:sz="0" w:space="0" w:color="auto"/>
          </w:divBdr>
          <w:divsChild>
            <w:div w:id="1152871677">
              <w:marLeft w:val="0"/>
              <w:marRight w:val="0"/>
              <w:marTop w:val="0"/>
              <w:marBottom w:val="0"/>
              <w:divBdr>
                <w:top w:val="none" w:sz="0" w:space="0" w:color="auto"/>
                <w:left w:val="none" w:sz="0" w:space="0" w:color="auto"/>
                <w:bottom w:val="none" w:sz="0" w:space="0" w:color="auto"/>
                <w:right w:val="none" w:sz="0" w:space="0" w:color="auto"/>
              </w:divBdr>
            </w:div>
          </w:divsChild>
        </w:div>
        <w:div w:id="1172571885">
          <w:marLeft w:val="0"/>
          <w:marRight w:val="0"/>
          <w:marTop w:val="0"/>
          <w:marBottom w:val="0"/>
          <w:divBdr>
            <w:top w:val="none" w:sz="0" w:space="0" w:color="auto"/>
            <w:left w:val="none" w:sz="0" w:space="0" w:color="auto"/>
            <w:bottom w:val="none" w:sz="0" w:space="0" w:color="auto"/>
            <w:right w:val="none" w:sz="0" w:space="0" w:color="auto"/>
          </w:divBdr>
          <w:divsChild>
            <w:div w:id="1997147115">
              <w:marLeft w:val="0"/>
              <w:marRight w:val="0"/>
              <w:marTop w:val="0"/>
              <w:marBottom w:val="0"/>
              <w:divBdr>
                <w:top w:val="none" w:sz="0" w:space="0" w:color="auto"/>
                <w:left w:val="none" w:sz="0" w:space="0" w:color="auto"/>
                <w:bottom w:val="none" w:sz="0" w:space="0" w:color="auto"/>
                <w:right w:val="none" w:sz="0" w:space="0" w:color="auto"/>
              </w:divBdr>
            </w:div>
          </w:divsChild>
        </w:div>
        <w:div w:id="947197614">
          <w:marLeft w:val="0"/>
          <w:marRight w:val="0"/>
          <w:marTop w:val="0"/>
          <w:marBottom w:val="0"/>
          <w:divBdr>
            <w:top w:val="none" w:sz="0" w:space="0" w:color="auto"/>
            <w:left w:val="none" w:sz="0" w:space="0" w:color="auto"/>
            <w:bottom w:val="none" w:sz="0" w:space="0" w:color="auto"/>
            <w:right w:val="none" w:sz="0" w:space="0" w:color="auto"/>
          </w:divBdr>
          <w:divsChild>
            <w:div w:id="1030034672">
              <w:marLeft w:val="0"/>
              <w:marRight w:val="0"/>
              <w:marTop w:val="0"/>
              <w:marBottom w:val="0"/>
              <w:divBdr>
                <w:top w:val="none" w:sz="0" w:space="0" w:color="auto"/>
                <w:left w:val="none" w:sz="0" w:space="0" w:color="auto"/>
                <w:bottom w:val="none" w:sz="0" w:space="0" w:color="auto"/>
                <w:right w:val="none" w:sz="0" w:space="0" w:color="auto"/>
              </w:divBdr>
            </w:div>
          </w:divsChild>
        </w:div>
        <w:div w:id="1104762421">
          <w:marLeft w:val="0"/>
          <w:marRight w:val="0"/>
          <w:marTop w:val="0"/>
          <w:marBottom w:val="0"/>
          <w:divBdr>
            <w:top w:val="none" w:sz="0" w:space="0" w:color="auto"/>
            <w:left w:val="none" w:sz="0" w:space="0" w:color="auto"/>
            <w:bottom w:val="none" w:sz="0" w:space="0" w:color="auto"/>
            <w:right w:val="none" w:sz="0" w:space="0" w:color="auto"/>
          </w:divBdr>
          <w:divsChild>
            <w:div w:id="665861693">
              <w:marLeft w:val="0"/>
              <w:marRight w:val="0"/>
              <w:marTop w:val="0"/>
              <w:marBottom w:val="0"/>
              <w:divBdr>
                <w:top w:val="none" w:sz="0" w:space="0" w:color="auto"/>
                <w:left w:val="none" w:sz="0" w:space="0" w:color="auto"/>
                <w:bottom w:val="none" w:sz="0" w:space="0" w:color="auto"/>
                <w:right w:val="none" w:sz="0" w:space="0" w:color="auto"/>
              </w:divBdr>
            </w:div>
          </w:divsChild>
        </w:div>
        <w:div w:id="573786064">
          <w:marLeft w:val="0"/>
          <w:marRight w:val="0"/>
          <w:marTop w:val="0"/>
          <w:marBottom w:val="0"/>
          <w:divBdr>
            <w:top w:val="none" w:sz="0" w:space="0" w:color="auto"/>
            <w:left w:val="none" w:sz="0" w:space="0" w:color="auto"/>
            <w:bottom w:val="none" w:sz="0" w:space="0" w:color="auto"/>
            <w:right w:val="none" w:sz="0" w:space="0" w:color="auto"/>
          </w:divBdr>
          <w:divsChild>
            <w:div w:id="1603999673">
              <w:marLeft w:val="0"/>
              <w:marRight w:val="0"/>
              <w:marTop w:val="0"/>
              <w:marBottom w:val="0"/>
              <w:divBdr>
                <w:top w:val="none" w:sz="0" w:space="0" w:color="auto"/>
                <w:left w:val="none" w:sz="0" w:space="0" w:color="auto"/>
                <w:bottom w:val="none" w:sz="0" w:space="0" w:color="auto"/>
                <w:right w:val="none" w:sz="0" w:space="0" w:color="auto"/>
              </w:divBdr>
            </w:div>
          </w:divsChild>
        </w:div>
        <w:div w:id="923417750">
          <w:marLeft w:val="0"/>
          <w:marRight w:val="0"/>
          <w:marTop w:val="0"/>
          <w:marBottom w:val="0"/>
          <w:divBdr>
            <w:top w:val="none" w:sz="0" w:space="0" w:color="auto"/>
            <w:left w:val="none" w:sz="0" w:space="0" w:color="auto"/>
            <w:bottom w:val="none" w:sz="0" w:space="0" w:color="auto"/>
            <w:right w:val="none" w:sz="0" w:space="0" w:color="auto"/>
          </w:divBdr>
          <w:divsChild>
            <w:div w:id="3180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2037">
      <w:bodyDiv w:val="1"/>
      <w:marLeft w:val="0"/>
      <w:marRight w:val="0"/>
      <w:marTop w:val="0"/>
      <w:marBottom w:val="0"/>
      <w:divBdr>
        <w:top w:val="none" w:sz="0" w:space="0" w:color="auto"/>
        <w:left w:val="none" w:sz="0" w:space="0" w:color="auto"/>
        <w:bottom w:val="none" w:sz="0" w:space="0" w:color="auto"/>
        <w:right w:val="none" w:sz="0" w:space="0" w:color="auto"/>
      </w:divBdr>
    </w:div>
    <w:div w:id="1821075232">
      <w:bodyDiv w:val="1"/>
      <w:marLeft w:val="0"/>
      <w:marRight w:val="0"/>
      <w:marTop w:val="0"/>
      <w:marBottom w:val="0"/>
      <w:divBdr>
        <w:top w:val="none" w:sz="0" w:space="0" w:color="auto"/>
        <w:left w:val="none" w:sz="0" w:space="0" w:color="auto"/>
        <w:bottom w:val="none" w:sz="0" w:space="0" w:color="auto"/>
        <w:right w:val="none" w:sz="0" w:space="0" w:color="auto"/>
      </w:divBdr>
    </w:div>
    <w:div w:id="1824546724">
      <w:bodyDiv w:val="1"/>
      <w:marLeft w:val="0"/>
      <w:marRight w:val="0"/>
      <w:marTop w:val="0"/>
      <w:marBottom w:val="0"/>
      <w:divBdr>
        <w:top w:val="none" w:sz="0" w:space="0" w:color="auto"/>
        <w:left w:val="none" w:sz="0" w:space="0" w:color="auto"/>
        <w:bottom w:val="none" w:sz="0" w:space="0" w:color="auto"/>
        <w:right w:val="none" w:sz="0" w:space="0" w:color="auto"/>
      </w:divBdr>
    </w:div>
    <w:div w:id="1838300788">
      <w:bodyDiv w:val="1"/>
      <w:marLeft w:val="0"/>
      <w:marRight w:val="0"/>
      <w:marTop w:val="0"/>
      <w:marBottom w:val="0"/>
      <w:divBdr>
        <w:top w:val="none" w:sz="0" w:space="0" w:color="auto"/>
        <w:left w:val="none" w:sz="0" w:space="0" w:color="auto"/>
        <w:bottom w:val="none" w:sz="0" w:space="0" w:color="auto"/>
        <w:right w:val="none" w:sz="0" w:space="0" w:color="auto"/>
      </w:divBdr>
    </w:div>
    <w:div w:id="1885018161">
      <w:bodyDiv w:val="1"/>
      <w:marLeft w:val="0"/>
      <w:marRight w:val="0"/>
      <w:marTop w:val="0"/>
      <w:marBottom w:val="0"/>
      <w:divBdr>
        <w:top w:val="none" w:sz="0" w:space="0" w:color="auto"/>
        <w:left w:val="none" w:sz="0" w:space="0" w:color="auto"/>
        <w:bottom w:val="none" w:sz="0" w:space="0" w:color="auto"/>
        <w:right w:val="none" w:sz="0" w:space="0" w:color="auto"/>
      </w:divBdr>
    </w:div>
    <w:div w:id="1965962182">
      <w:bodyDiv w:val="1"/>
      <w:marLeft w:val="0"/>
      <w:marRight w:val="0"/>
      <w:marTop w:val="0"/>
      <w:marBottom w:val="0"/>
      <w:divBdr>
        <w:top w:val="none" w:sz="0" w:space="0" w:color="auto"/>
        <w:left w:val="none" w:sz="0" w:space="0" w:color="auto"/>
        <w:bottom w:val="none" w:sz="0" w:space="0" w:color="auto"/>
        <w:right w:val="none" w:sz="0" w:space="0" w:color="auto"/>
      </w:divBdr>
    </w:div>
    <w:div w:id="2060519505">
      <w:bodyDiv w:val="1"/>
      <w:marLeft w:val="0"/>
      <w:marRight w:val="0"/>
      <w:marTop w:val="0"/>
      <w:marBottom w:val="0"/>
      <w:divBdr>
        <w:top w:val="none" w:sz="0" w:space="0" w:color="auto"/>
        <w:left w:val="none" w:sz="0" w:space="0" w:color="auto"/>
        <w:bottom w:val="none" w:sz="0" w:space="0" w:color="auto"/>
        <w:right w:val="none" w:sz="0" w:space="0" w:color="auto"/>
      </w:divBdr>
    </w:div>
    <w:div w:id="21249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g@creg.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CBD1C30B9271B4A8142D16C0D4FCAAC" ma:contentTypeVersion="14" ma:contentTypeDescription="Crear nuevo documento." ma:contentTypeScope="" ma:versionID="a574fdb3583045e3361eab7c255e01b2">
  <xsd:schema xmlns:xsd="http://www.w3.org/2001/XMLSchema" xmlns:xs="http://www.w3.org/2001/XMLSchema" xmlns:p="http://schemas.microsoft.com/office/2006/metadata/properties" xmlns:ns3="0cdf49e4-302e-4a5e-bb93-492006730266" xmlns:ns4="8e268271-eda8-41d6-9fdb-3e9d111bbb00" targetNamespace="http://schemas.microsoft.com/office/2006/metadata/properties" ma:root="true" ma:fieldsID="e5de8a7533221428e38a38362e8a644b" ns3:_="" ns4:_="">
    <xsd:import namespace="0cdf49e4-302e-4a5e-bb93-492006730266"/>
    <xsd:import namespace="8e268271-eda8-41d6-9fdb-3e9d111bbb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49e4-302e-4a5e-bb93-492006730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268271-eda8-41d6-9fdb-3e9d111bbb00"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4A564-E627-4E98-803E-1950672C017E}">
  <ds:schemaRefs>
    <ds:schemaRef ds:uri="http://schemas.openxmlformats.org/officeDocument/2006/bibliography"/>
  </ds:schemaRefs>
</ds:datastoreItem>
</file>

<file path=customXml/itemProps2.xml><?xml version="1.0" encoding="utf-8"?>
<ds:datastoreItem xmlns:ds="http://schemas.openxmlformats.org/officeDocument/2006/customXml" ds:itemID="{C021B031-F344-4100-9E7A-EC2C38F07E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16CA04-D040-4CC0-A3D9-B153D5F82F81}">
  <ds:schemaRefs>
    <ds:schemaRef ds:uri="http://schemas.microsoft.com/sharepoint/v3/contenttype/forms"/>
  </ds:schemaRefs>
</ds:datastoreItem>
</file>

<file path=customXml/itemProps4.xml><?xml version="1.0" encoding="utf-8"?>
<ds:datastoreItem xmlns:ds="http://schemas.openxmlformats.org/officeDocument/2006/customXml" ds:itemID="{4D2885A5-957D-49F4-9C33-B92F8E839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49e4-302e-4a5e-bb93-492006730266"/>
    <ds:schemaRef ds:uri="8e268271-eda8-41d6-9fdb-3e9d111bb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5</TotalTime>
  <Pages>16</Pages>
  <Words>6495</Words>
  <Characters>35545</Characters>
  <Application>Microsoft Office Word</Application>
  <DocSecurity>0</DocSecurity>
  <Lines>296</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CREG</Company>
  <LinksUpToDate>false</LinksUpToDate>
  <CharactersWithSpaces>41957</CharactersWithSpaces>
  <SharedDoc>false</SharedDoc>
  <HLinks>
    <vt:vector size="6" baseType="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Eliana Rodriguez Fonseca</cp:lastModifiedBy>
  <cp:revision>2</cp:revision>
  <cp:lastPrinted>2023-09-22T15:08:00Z</cp:lastPrinted>
  <dcterms:created xsi:type="dcterms:W3CDTF">2023-10-09T14:58:00Z</dcterms:created>
  <dcterms:modified xsi:type="dcterms:W3CDTF">2023-10-09T14:58:00Z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0x0101008CBD1C30B9271B4A8142D16C0D4FCAAC</vt:lpwstr>
  </property>
</Properties>
</file>