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A0CD20" w14:textId="77777777" w:rsidR="00A408E4" w:rsidRPr="003D56B2" w:rsidRDefault="0009079D" w:rsidP="00512A00">
      <w:pPr>
        <w:pStyle w:val="Textodenotaalfinal"/>
        <w:widowControl/>
        <w:jc w:val="center"/>
        <w:rPr>
          <w:rFonts w:ascii="Arial" w:hAnsi="Arial" w:cs="Arial"/>
          <w:noProof/>
          <w:lang w:val="es-CO"/>
        </w:rPr>
      </w:pPr>
      <w:r w:rsidRPr="003D56B2">
        <w:rPr>
          <w:rFonts w:ascii="Arial" w:hAnsi="Arial" w:cs="Arial"/>
          <w:noProof/>
          <w:lang w:val="es-CO" w:eastAsia="es-CO"/>
        </w:rPr>
        <w:drawing>
          <wp:inline distT="0" distB="0" distL="0" distR="0" wp14:anchorId="6F3EEABF" wp14:editId="42B5EA31">
            <wp:extent cx="1961515" cy="1092835"/>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961515" cy="1092835"/>
                    </a:xfrm>
                    <a:prstGeom prst="rect">
                      <a:avLst/>
                    </a:prstGeom>
                    <a:noFill/>
                    <a:ln>
                      <a:noFill/>
                    </a:ln>
                  </pic:spPr>
                </pic:pic>
              </a:graphicData>
            </a:graphic>
          </wp:inline>
        </w:drawing>
      </w:r>
    </w:p>
    <w:p w14:paraId="57BE9A4C" w14:textId="77777777" w:rsidR="00837E4F" w:rsidRPr="003D56B2" w:rsidRDefault="00837E4F">
      <w:pPr>
        <w:rPr>
          <w:rFonts w:cs="Arial"/>
        </w:rPr>
      </w:pPr>
    </w:p>
    <w:p w14:paraId="3D497C4B" w14:textId="040662F2" w:rsidR="00916813" w:rsidRPr="003D56B2" w:rsidRDefault="00916813">
      <w:pPr>
        <w:rPr>
          <w:rFonts w:cs="Arial"/>
        </w:rPr>
      </w:pPr>
    </w:p>
    <w:p w14:paraId="47321A52" w14:textId="77777777" w:rsidR="00916813" w:rsidRPr="003D56B2" w:rsidRDefault="00916813">
      <w:pPr>
        <w:rPr>
          <w:rFonts w:cs="Arial"/>
        </w:rPr>
      </w:pPr>
    </w:p>
    <w:p w14:paraId="682883CB" w14:textId="77777777" w:rsidR="00F5430C" w:rsidRPr="003D56B2" w:rsidRDefault="00F5430C">
      <w:pPr>
        <w:rPr>
          <w:rFonts w:cs="Arial"/>
        </w:rPr>
      </w:pPr>
    </w:p>
    <w:p w14:paraId="7554F1F0" w14:textId="77777777" w:rsidR="00916813" w:rsidRPr="003D56B2" w:rsidRDefault="00916813">
      <w:pPr>
        <w:rPr>
          <w:rFonts w:cs="Arial"/>
        </w:rPr>
      </w:pPr>
    </w:p>
    <w:p w14:paraId="65B7183C" w14:textId="77777777" w:rsidR="00733F06" w:rsidRPr="003D56B2" w:rsidRDefault="00733F06" w:rsidP="00733F06">
      <w:pPr>
        <w:rPr>
          <w:rFonts w:cs="Arial"/>
          <w:b/>
          <w:sz w:val="40"/>
        </w:rPr>
      </w:pPr>
    </w:p>
    <w:p w14:paraId="3377F0DA" w14:textId="3EA5EEFD" w:rsidR="004138B8" w:rsidRPr="003D56B2" w:rsidRDefault="00733F06" w:rsidP="00733F06">
      <w:pPr>
        <w:jc w:val="center"/>
        <w:rPr>
          <w:rFonts w:cs="Arial"/>
          <w:b/>
          <w:sz w:val="40"/>
        </w:rPr>
      </w:pPr>
      <w:bookmarkStart w:id="0" w:name="_Hlk141962176"/>
      <w:r w:rsidRPr="003D56B2">
        <w:rPr>
          <w:rFonts w:cs="Arial"/>
          <w:b/>
          <w:sz w:val="40"/>
        </w:rPr>
        <w:t xml:space="preserve">ENERGÍA REACTIVA </w:t>
      </w:r>
    </w:p>
    <w:p w14:paraId="70C4E430" w14:textId="437325A5" w:rsidR="00CD4024" w:rsidRPr="003D56B2" w:rsidRDefault="00733F06" w:rsidP="00733F06">
      <w:pPr>
        <w:jc w:val="center"/>
        <w:rPr>
          <w:rFonts w:cs="Arial"/>
          <w:b/>
          <w:sz w:val="40"/>
        </w:rPr>
      </w:pPr>
      <w:r w:rsidRPr="003D56B2">
        <w:rPr>
          <w:rFonts w:cs="Arial"/>
          <w:b/>
          <w:sz w:val="40"/>
        </w:rPr>
        <w:t>REVISIÓN DE ESTÁNDARES</w:t>
      </w:r>
    </w:p>
    <w:bookmarkEnd w:id="0"/>
    <w:p w14:paraId="4C72ED36" w14:textId="77777777" w:rsidR="00CD4024" w:rsidRPr="003D56B2" w:rsidRDefault="00CD4024">
      <w:pPr>
        <w:rPr>
          <w:rFonts w:cs="Arial"/>
          <w:b/>
          <w:sz w:val="40"/>
        </w:rPr>
      </w:pPr>
    </w:p>
    <w:p w14:paraId="43021627" w14:textId="77777777" w:rsidR="00916813" w:rsidRPr="003D56B2" w:rsidRDefault="00916813" w:rsidP="00916813"/>
    <w:p w14:paraId="0E9204BE" w14:textId="77777777" w:rsidR="0030762B" w:rsidRDefault="0030762B" w:rsidP="0030762B"/>
    <w:p w14:paraId="12CCA393" w14:textId="5B9F53EC" w:rsidR="0030762B" w:rsidRDefault="0030762B" w:rsidP="0030762B">
      <w:pPr>
        <w:rPr>
          <w:b/>
          <w:caps/>
          <w:sz w:val="36"/>
          <w:lang w:val="es-ES"/>
        </w:rPr>
      </w:pPr>
      <w:r>
        <w:rPr>
          <w:b/>
          <w:caps/>
          <w:sz w:val="28"/>
          <w:lang w:val="es-ES"/>
        </w:rPr>
        <w:t xml:space="preserve">DOCUMENTO </w:t>
      </w:r>
      <w:r>
        <w:rPr>
          <w:b/>
          <w:caps/>
          <w:sz w:val="40"/>
          <w:lang w:val="es-ES"/>
        </w:rPr>
        <w:t>CREG-</w:t>
      </w:r>
      <w:r w:rsidR="0055575E">
        <w:rPr>
          <w:rFonts w:cs="Arial"/>
          <w:b/>
          <w:bCs w:val="0"/>
          <w:sz w:val="40"/>
          <w:szCs w:val="40"/>
          <w:lang w:val="es-MX"/>
        </w:rPr>
        <w:t xml:space="preserve"> 901 056</w:t>
      </w:r>
    </w:p>
    <w:p w14:paraId="41D165D1" w14:textId="7362232D" w:rsidR="00916813" w:rsidRPr="003D56B2" w:rsidRDefault="00443CCF" w:rsidP="0030762B">
      <w:r>
        <w:rPr>
          <w:rFonts w:cs="Arial"/>
          <w:b/>
          <w:bCs w:val="0"/>
          <w:sz w:val="28"/>
          <w:szCs w:val="28"/>
          <w:lang w:val="es-MX"/>
        </w:rPr>
        <w:t xml:space="preserve">30 </w:t>
      </w:r>
      <w:r w:rsidR="00921394">
        <w:rPr>
          <w:rFonts w:cs="Arial"/>
          <w:b/>
          <w:bCs w:val="0"/>
          <w:sz w:val="28"/>
          <w:szCs w:val="28"/>
          <w:lang w:val="es-MX"/>
        </w:rPr>
        <w:t>DE ENERO DE</w:t>
      </w:r>
      <w:r>
        <w:rPr>
          <w:rFonts w:cs="Arial"/>
          <w:b/>
          <w:bCs w:val="0"/>
          <w:sz w:val="28"/>
          <w:szCs w:val="28"/>
          <w:lang w:val="es-MX"/>
        </w:rPr>
        <w:t xml:space="preserve"> 2024</w:t>
      </w:r>
      <w:r w:rsidR="0030762B">
        <w:rPr>
          <w:rFonts w:cs="Arial"/>
          <w:b/>
          <w:sz w:val="28"/>
          <w:szCs w:val="28"/>
          <w:lang w:val="es-MX"/>
        </w:rPr>
        <w:t xml:space="preserve">      </w:t>
      </w:r>
    </w:p>
    <w:p w14:paraId="13C12AE2" w14:textId="2ABF164B" w:rsidR="0055575E" w:rsidRPr="0055575E" w:rsidRDefault="0055575E" w:rsidP="0055575E">
      <w:pPr>
        <w:spacing w:before="0" w:after="0"/>
        <w:jc w:val="left"/>
        <w:rPr>
          <w:rFonts w:cs="Arial"/>
          <w:b/>
          <w:bCs w:val="0"/>
          <w:sz w:val="28"/>
        </w:rPr>
      </w:pPr>
    </w:p>
    <w:p w14:paraId="7496ECC0" w14:textId="139C62A4" w:rsidR="0055575E" w:rsidRPr="0055575E" w:rsidRDefault="00921394" w:rsidP="00921394">
      <w:pPr>
        <w:spacing w:before="0" w:after="0"/>
        <w:ind w:left="2124"/>
        <w:jc w:val="center"/>
        <w:rPr>
          <w:rFonts w:cs="Arial"/>
          <w:b/>
          <w:bCs w:val="0"/>
          <w:sz w:val="24"/>
        </w:rPr>
      </w:pPr>
      <w:r>
        <w:rPr>
          <w:rFonts w:cs="Arial"/>
          <w:b/>
          <w:bCs w:val="0"/>
          <w:sz w:val="24"/>
        </w:rPr>
        <w:t xml:space="preserve">      </w:t>
      </w:r>
      <w:r w:rsidR="0055575E" w:rsidRPr="0055575E">
        <w:rPr>
          <w:rFonts w:cs="Arial"/>
          <w:b/>
          <w:bCs w:val="0"/>
          <w:sz w:val="24"/>
        </w:rPr>
        <w:t>CIRCULACIÓN:</w:t>
      </w:r>
    </w:p>
    <w:p w14:paraId="5D057AFC" w14:textId="69658E29" w:rsidR="0055575E" w:rsidRPr="0055575E" w:rsidRDefault="0055575E" w:rsidP="00921394">
      <w:pPr>
        <w:spacing w:before="0" w:after="0"/>
        <w:ind w:left="4248" w:firstLine="708"/>
        <w:rPr>
          <w:rFonts w:cs="Arial"/>
          <w:b/>
          <w:bCs w:val="0"/>
          <w:sz w:val="24"/>
        </w:rPr>
      </w:pPr>
      <w:r w:rsidRPr="0055575E">
        <w:rPr>
          <w:rFonts w:cs="Arial"/>
          <w:b/>
          <w:bCs w:val="0"/>
          <w:sz w:val="24"/>
        </w:rPr>
        <w:t>MIEMBROS DE LA COMISIÓN DE</w:t>
      </w:r>
    </w:p>
    <w:p w14:paraId="3923F892" w14:textId="74E4EB64" w:rsidR="00F5430C" w:rsidRPr="0055575E" w:rsidRDefault="00921394" w:rsidP="00921394">
      <w:pPr>
        <w:spacing w:before="0" w:after="0"/>
        <w:ind w:left="4248"/>
        <w:jc w:val="center"/>
        <w:rPr>
          <w:rFonts w:cs="Arial"/>
          <w:b/>
          <w:bCs w:val="0"/>
          <w:sz w:val="24"/>
        </w:rPr>
      </w:pPr>
      <w:r>
        <w:rPr>
          <w:rFonts w:cs="Arial"/>
          <w:b/>
          <w:bCs w:val="0"/>
          <w:sz w:val="24"/>
        </w:rPr>
        <w:t xml:space="preserve">       </w:t>
      </w:r>
      <w:r w:rsidR="0055575E" w:rsidRPr="0055575E">
        <w:rPr>
          <w:rFonts w:cs="Arial"/>
          <w:b/>
          <w:bCs w:val="0"/>
          <w:sz w:val="24"/>
        </w:rPr>
        <w:t>REGULACIÓN DE ENERGÍA Y GAS</w:t>
      </w:r>
    </w:p>
    <w:p w14:paraId="0ED7D456" w14:textId="77777777" w:rsidR="0055575E" w:rsidRDefault="0055575E" w:rsidP="0055575E">
      <w:pPr>
        <w:spacing w:before="0" w:after="0"/>
        <w:jc w:val="left"/>
        <w:rPr>
          <w:rFonts w:cs="Arial"/>
          <w:b/>
          <w:bCs w:val="0"/>
          <w:sz w:val="28"/>
        </w:rPr>
      </w:pPr>
    </w:p>
    <w:p w14:paraId="6DF8B0C0" w14:textId="77777777" w:rsidR="0055575E" w:rsidRDefault="0055575E" w:rsidP="0055575E">
      <w:pPr>
        <w:spacing w:before="0" w:after="0"/>
        <w:jc w:val="left"/>
        <w:rPr>
          <w:rFonts w:cs="Arial"/>
          <w:b/>
          <w:bCs w:val="0"/>
          <w:sz w:val="28"/>
        </w:rPr>
      </w:pPr>
    </w:p>
    <w:p w14:paraId="6CA07C79" w14:textId="77777777" w:rsidR="0055575E" w:rsidRDefault="0055575E" w:rsidP="0055575E">
      <w:pPr>
        <w:spacing w:before="0" w:after="0"/>
        <w:jc w:val="left"/>
        <w:rPr>
          <w:rFonts w:cs="Arial"/>
          <w:b/>
          <w:bCs w:val="0"/>
          <w:sz w:val="28"/>
        </w:rPr>
      </w:pPr>
    </w:p>
    <w:p w14:paraId="5E0CEBDD" w14:textId="77777777" w:rsidR="0055575E" w:rsidRDefault="0055575E" w:rsidP="0055575E">
      <w:pPr>
        <w:spacing w:before="0" w:after="0"/>
        <w:jc w:val="left"/>
        <w:rPr>
          <w:rFonts w:cs="Arial"/>
          <w:b/>
          <w:bCs w:val="0"/>
          <w:sz w:val="28"/>
        </w:rPr>
      </w:pPr>
    </w:p>
    <w:p w14:paraId="1A47AE31" w14:textId="77777777" w:rsidR="00921394" w:rsidRDefault="00921394" w:rsidP="0055575E">
      <w:pPr>
        <w:spacing w:before="0" w:after="0"/>
        <w:jc w:val="left"/>
        <w:rPr>
          <w:rFonts w:cs="Arial"/>
          <w:b/>
          <w:bCs w:val="0"/>
          <w:sz w:val="28"/>
        </w:rPr>
      </w:pPr>
    </w:p>
    <w:p w14:paraId="4F22FFE6" w14:textId="77777777" w:rsidR="00921394" w:rsidRDefault="00921394" w:rsidP="0055575E">
      <w:pPr>
        <w:spacing w:before="0" w:after="0"/>
        <w:jc w:val="left"/>
        <w:rPr>
          <w:rFonts w:cs="Arial"/>
          <w:b/>
          <w:bCs w:val="0"/>
          <w:sz w:val="28"/>
        </w:rPr>
      </w:pPr>
    </w:p>
    <w:p w14:paraId="3AFB7945" w14:textId="77777777" w:rsidR="00921394" w:rsidRDefault="00921394" w:rsidP="0055575E">
      <w:pPr>
        <w:spacing w:before="0" w:after="0"/>
        <w:jc w:val="left"/>
        <w:rPr>
          <w:rFonts w:cs="Arial"/>
          <w:b/>
          <w:bCs w:val="0"/>
          <w:sz w:val="28"/>
        </w:rPr>
      </w:pPr>
    </w:p>
    <w:p w14:paraId="2104B828" w14:textId="77777777" w:rsidR="00921394" w:rsidRDefault="00921394" w:rsidP="0055575E">
      <w:pPr>
        <w:spacing w:before="0" w:after="0"/>
        <w:jc w:val="left"/>
        <w:rPr>
          <w:rFonts w:cs="Arial"/>
          <w:b/>
          <w:bCs w:val="0"/>
          <w:sz w:val="28"/>
        </w:rPr>
      </w:pPr>
    </w:p>
    <w:p w14:paraId="073D7583" w14:textId="77777777" w:rsidR="0055575E" w:rsidRPr="003D56B2" w:rsidRDefault="0055575E" w:rsidP="0055575E">
      <w:pPr>
        <w:spacing w:before="0" w:after="0"/>
        <w:jc w:val="left"/>
        <w:rPr>
          <w:rFonts w:cs="Arial"/>
          <w:b/>
          <w:bCs w:val="0"/>
          <w:sz w:val="28"/>
        </w:rPr>
      </w:pPr>
    </w:p>
    <w:p w14:paraId="3403BB94" w14:textId="77777777" w:rsidR="00A408E4" w:rsidRPr="003D56B2" w:rsidRDefault="00A408E4">
      <w:pPr>
        <w:pStyle w:val="Encabezado"/>
        <w:tabs>
          <w:tab w:val="clear" w:pos="4252"/>
          <w:tab w:val="clear" w:pos="8504"/>
        </w:tabs>
        <w:jc w:val="center"/>
        <w:rPr>
          <w:rFonts w:ascii="Arial" w:hAnsi="Arial" w:cs="Arial"/>
          <w:b/>
          <w:bCs w:val="0"/>
          <w:sz w:val="28"/>
        </w:rPr>
      </w:pPr>
      <w:r w:rsidRPr="003D56B2">
        <w:rPr>
          <w:rFonts w:ascii="Arial" w:hAnsi="Arial" w:cs="Arial"/>
          <w:b/>
          <w:bCs w:val="0"/>
          <w:sz w:val="28"/>
        </w:rPr>
        <w:lastRenderedPageBreak/>
        <w:t>TABLA DE CONTENIDO</w:t>
      </w:r>
    </w:p>
    <w:sdt>
      <w:sdtPr>
        <w:rPr>
          <w:rFonts w:ascii="Arial" w:eastAsia="Times New Roman" w:hAnsi="Arial" w:cs="Times New Roman"/>
          <w:bCs/>
          <w:color w:val="auto"/>
          <w:sz w:val="22"/>
          <w:szCs w:val="24"/>
          <w:lang w:eastAsia="es-ES"/>
        </w:rPr>
        <w:id w:val="2063053060"/>
        <w:docPartObj>
          <w:docPartGallery w:val="Table of Contents"/>
          <w:docPartUnique/>
        </w:docPartObj>
      </w:sdtPr>
      <w:sdtEndPr>
        <w:rPr>
          <w:b/>
        </w:rPr>
      </w:sdtEndPr>
      <w:sdtContent>
        <w:p w14:paraId="0E3FDBA2" w14:textId="4238D318" w:rsidR="00CB0E17" w:rsidRPr="003D56B2" w:rsidRDefault="00CB0E17" w:rsidP="000A458D">
          <w:pPr>
            <w:pStyle w:val="TtuloTDC"/>
            <w:jc w:val="center"/>
            <w:rPr>
              <w:b/>
              <w:color w:val="000000" w:themeColor="text1"/>
            </w:rPr>
          </w:pPr>
        </w:p>
        <w:p w14:paraId="3DB0F181" w14:textId="573E4CE0" w:rsidR="004F376F" w:rsidRDefault="00CB0E17">
          <w:pPr>
            <w:pStyle w:val="TDC1"/>
            <w:rPr>
              <w:rFonts w:asciiTheme="minorHAnsi" w:eastAsiaTheme="minorEastAsia" w:hAnsiTheme="minorHAnsi" w:cstheme="minorBidi"/>
              <w:b w:val="0"/>
              <w:bCs w:val="0"/>
              <w:caps w:val="0"/>
              <w:kern w:val="2"/>
              <w:szCs w:val="22"/>
              <w:lang w:eastAsia="es-CO"/>
              <w14:ligatures w14:val="standardContextual"/>
            </w:rPr>
          </w:pPr>
          <w:r w:rsidRPr="003D56B2">
            <w:fldChar w:fldCharType="begin"/>
          </w:r>
          <w:r w:rsidRPr="003D56B2">
            <w:instrText xml:space="preserve"> TOC \o "1-3" \h \z \u </w:instrText>
          </w:r>
          <w:r w:rsidRPr="003D56B2">
            <w:fldChar w:fldCharType="separate"/>
          </w:r>
          <w:hyperlink w:anchor="_Toc157689780" w:history="1">
            <w:r w:rsidR="004F376F" w:rsidRPr="00306460">
              <w:rPr>
                <w:rStyle w:val="Hipervnculo"/>
              </w:rPr>
              <w:t>1</w:t>
            </w:r>
            <w:r w:rsidR="004F376F">
              <w:rPr>
                <w:rFonts w:asciiTheme="minorHAnsi" w:eastAsiaTheme="minorEastAsia" w:hAnsiTheme="minorHAnsi" w:cstheme="minorBidi"/>
                <w:b w:val="0"/>
                <w:bCs w:val="0"/>
                <w:caps w:val="0"/>
                <w:kern w:val="2"/>
                <w:szCs w:val="22"/>
                <w:lang w:eastAsia="es-CO"/>
                <w14:ligatures w14:val="standardContextual"/>
              </w:rPr>
              <w:tab/>
            </w:r>
            <w:r w:rsidR="004F376F" w:rsidRPr="00306460">
              <w:rPr>
                <w:rStyle w:val="Hipervnculo"/>
              </w:rPr>
              <w:t>ANTECEDENTES</w:t>
            </w:r>
            <w:r w:rsidR="004F376F">
              <w:rPr>
                <w:webHidden/>
              </w:rPr>
              <w:tab/>
            </w:r>
            <w:r w:rsidR="004F376F">
              <w:rPr>
                <w:webHidden/>
              </w:rPr>
              <w:fldChar w:fldCharType="begin"/>
            </w:r>
            <w:r w:rsidR="004F376F">
              <w:rPr>
                <w:webHidden/>
              </w:rPr>
              <w:instrText xml:space="preserve"> PAGEREF _Toc157689780 \h </w:instrText>
            </w:r>
            <w:r w:rsidR="004F376F">
              <w:rPr>
                <w:webHidden/>
              </w:rPr>
            </w:r>
            <w:r w:rsidR="004F376F">
              <w:rPr>
                <w:webHidden/>
              </w:rPr>
              <w:fldChar w:fldCharType="separate"/>
            </w:r>
            <w:r w:rsidR="00DC6708">
              <w:rPr>
                <w:webHidden/>
              </w:rPr>
              <w:t>3</w:t>
            </w:r>
            <w:r w:rsidR="004F376F">
              <w:rPr>
                <w:webHidden/>
              </w:rPr>
              <w:fldChar w:fldCharType="end"/>
            </w:r>
          </w:hyperlink>
        </w:p>
        <w:p w14:paraId="482DB5B5" w14:textId="4F2A384B" w:rsidR="004F376F" w:rsidRDefault="00DC6708">
          <w:pPr>
            <w:pStyle w:val="TDC1"/>
            <w:rPr>
              <w:rFonts w:asciiTheme="minorHAnsi" w:eastAsiaTheme="minorEastAsia" w:hAnsiTheme="minorHAnsi" w:cstheme="minorBidi"/>
              <w:b w:val="0"/>
              <w:bCs w:val="0"/>
              <w:caps w:val="0"/>
              <w:kern w:val="2"/>
              <w:szCs w:val="22"/>
              <w:lang w:eastAsia="es-CO"/>
              <w14:ligatures w14:val="standardContextual"/>
            </w:rPr>
          </w:pPr>
          <w:hyperlink w:anchor="_Toc157689781" w:history="1">
            <w:r w:rsidR="004F376F" w:rsidRPr="00306460">
              <w:rPr>
                <w:rStyle w:val="Hipervnculo"/>
              </w:rPr>
              <w:t>2</w:t>
            </w:r>
            <w:r w:rsidR="004F376F">
              <w:rPr>
                <w:rFonts w:asciiTheme="minorHAnsi" w:eastAsiaTheme="minorEastAsia" w:hAnsiTheme="minorHAnsi" w:cstheme="minorBidi"/>
                <w:b w:val="0"/>
                <w:bCs w:val="0"/>
                <w:caps w:val="0"/>
                <w:kern w:val="2"/>
                <w:szCs w:val="22"/>
                <w:lang w:eastAsia="es-CO"/>
                <w14:ligatures w14:val="standardContextual"/>
              </w:rPr>
              <w:tab/>
            </w:r>
            <w:r w:rsidR="004F376F" w:rsidRPr="00306460">
              <w:rPr>
                <w:rStyle w:val="Hipervnculo"/>
              </w:rPr>
              <w:t>INFORMACIÓN GENERAL</w:t>
            </w:r>
            <w:r w:rsidR="004F376F">
              <w:rPr>
                <w:webHidden/>
              </w:rPr>
              <w:tab/>
            </w:r>
            <w:r w:rsidR="004F376F">
              <w:rPr>
                <w:webHidden/>
              </w:rPr>
              <w:fldChar w:fldCharType="begin"/>
            </w:r>
            <w:r w:rsidR="004F376F">
              <w:rPr>
                <w:webHidden/>
              </w:rPr>
              <w:instrText xml:space="preserve"> PAGEREF _Toc157689781 \h </w:instrText>
            </w:r>
            <w:r w:rsidR="004F376F">
              <w:rPr>
                <w:webHidden/>
              </w:rPr>
            </w:r>
            <w:r w:rsidR="004F376F">
              <w:rPr>
                <w:webHidden/>
              </w:rPr>
              <w:fldChar w:fldCharType="separate"/>
            </w:r>
            <w:r>
              <w:rPr>
                <w:webHidden/>
              </w:rPr>
              <w:t>7</w:t>
            </w:r>
            <w:r w:rsidR="004F376F">
              <w:rPr>
                <w:webHidden/>
              </w:rPr>
              <w:fldChar w:fldCharType="end"/>
            </w:r>
          </w:hyperlink>
        </w:p>
        <w:p w14:paraId="1CA0C469" w14:textId="22B56549" w:rsidR="004F376F" w:rsidRDefault="00DC6708">
          <w:pPr>
            <w:pStyle w:val="TDC1"/>
            <w:rPr>
              <w:rFonts w:asciiTheme="minorHAnsi" w:eastAsiaTheme="minorEastAsia" w:hAnsiTheme="minorHAnsi" w:cstheme="minorBidi"/>
              <w:b w:val="0"/>
              <w:bCs w:val="0"/>
              <w:caps w:val="0"/>
              <w:kern w:val="2"/>
              <w:szCs w:val="22"/>
              <w:lang w:eastAsia="es-CO"/>
              <w14:ligatures w14:val="standardContextual"/>
            </w:rPr>
          </w:pPr>
          <w:hyperlink w:anchor="_Toc157689782" w:history="1">
            <w:r w:rsidR="004F376F" w:rsidRPr="00306460">
              <w:rPr>
                <w:rStyle w:val="Hipervnculo"/>
              </w:rPr>
              <w:t>3</w:t>
            </w:r>
            <w:r w:rsidR="004F376F">
              <w:rPr>
                <w:rFonts w:asciiTheme="minorHAnsi" w:eastAsiaTheme="minorEastAsia" w:hAnsiTheme="minorHAnsi" w:cstheme="minorBidi"/>
                <w:b w:val="0"/>
                <w:bCs w:val="0"/>
                <w:caps w:val="0"/>
                <w:kern w:val="2"/>
                <w:szCs w:val="22"/>
                <w:lang w:eastAsia="es-CO"/>
                <w14:ligatures w14:val="standardContextual"/>
              </w:rPr>
              <w:tab/>
            </w:r>
            <w:r w:rsidR="004F376F" w:rsidRPr="00306460">
              <w:rPr>
                <w:rStyle w:val="Hipervnculo"/>
              </w:rPr>
              <w:t>DEFINICIÓN DEL PROBLEMA</w:t>
            </w:r>
            <w:r w:rsidR="004F376F">
              <w:rPr>
                <w:webHidden/>
              </w:rPr>
              <w:tab/>
            </w:r>
            <w:r w:rsidR="004F376F">
              <w:rPr>
                <w:webHidden/>
              </w:rPr>
              <w:fldChar w:fldCharType="begin"/>
            </w:r>
            <w:r w:rsidR="004F376F">
              <w:rPr>
                <w:webHidden/>
              </w:rPr>
              <w:instrText xml:space="preserve"> PAGEREF _Toc157689782 \h </w:instrText>
            </w:r>
            <w:r w:rsidR="004F376F">
              <w:rPr>
                <w:webHidden/>
              </w:rPr>
            </w:r>
            <w:r w:rsidR="004F376F">
              <w:rPr>
                <w:webHidden/>
              </w:rPr>
              <w:fldChar w:fldCharType="separate"/>
            </w:r>
            <w:r>
              <w:rPr>
                <w:webHidden/>
              </w:rPr>
              <w:t>9</w:t>
            </w:r>
            <w:r w:rsidR="004F376F">
              <w:rPr>
                <w:webHidden/>
              </w:rPr>
              <w:fldChar w:fldCharType="end"/>
            </w:r>
          </w:hyperlink>
        </w:p>
        <w:p w14:paraId="5E9BB9F3" w14:textId="7F0C28DF" w:rsidR="004F376F" w:rsidRDefault="00DC6708">
          <w:pPr>
            <w:pStyle w:val="TDC1"/>
            <w:rPr>
              <w:rFonts w:asciiTheme="minorHAnsi" w:eastAsiaTheme="minorEastAsia" w:hAnsiTheme="minorHAnsi" w:cstheme="minorBidi"/>
              <w:b w:val="0"/>
              <w:bCs w:val="0"/>
              <w:caps w:val="0"/>
              <w:kern w:val="2"/>
              <w:szCs w:val="22"/>
              <w:lang w:eastAsia="es-CO"/>
              <w14:ligatures w14:val="standardContextual"/>
            </w:rPr>
          </w:pPr>
          <w:hyperlink w:anchor="_Toc157689783" w:history="1">
            <w:r w:rsidR="004F376F" w:rsidRPr="00306460">
              <w:rPr>
                <w:rStyle w:val="Hipervnculo"/>
              </w:rPr>
              <w:t>4</w:t>
            </w:r>
            <w:r w:rsidR="004F376F">
              <w:rPr>
                <w:rFonts w:asciiTheme="minorHAnsi" w:eastAsiaTheme="minorEastAsia" w:hAnsiTheme="minorHAnsi" w:cstheme="minorBidi"/>
                <w:b w:val="0"/>
                <w:bCs w:val="0"/>
                <w:caps w:val="0"/>
                <w:kern w:val="2"/>
                <w:szCs w:val="22"/>
                <w:lang w:eastAsia="es-CO"/>
                <w14:ligatures w14:val="standardContextual"/>
              </w:rPr>
              <w:tab/>
            </w:r>
            <w:r w:rsidR="004F376F" w:rsidRPr="00306460">
              <w:rPr>
                <w:rStyle w:val="Hipervnculo"/>
              </w:rPr>
              <w:t>OBJETIVOS</w:t>
            </w:r>
            <w:r w:rsidR="004F376F">
              <w:rPr>
                <w:webHidden/>
              </w:rPr>
              <w:tab/>
            </w:r>
            <w:r w:rsidR="004F376F">
              <w:rPr>
                <w:webHidden/>
              </w:rPr>
              <w:fldChar w:fldCharType="begin"/>
            </w:r>
            <w:r w:rsidR="004F376F">
              <w:rPr>
                <w:webHidden/>
              </w:rPr>
              <w:instrText xml:space="preserve"> PAGEREF _Toc157689783 \h </w:instrText>
            </w:r>
            <w:r w:rsidR="004F376F">
              <w:rPr>
                <w:webHidden/>
              </w:rPr>
            </w:r>
            <w:r w:rsidR="004F376F">
              <w:rPr>
                <w:webHidden/>
              </w:rPr>
              <w:fldChar w:fldCharType="separate"/>
            </w:r>
            <w:r>
              <w:rPr>
                <w:webHidden/>
              </w:rPr>
              <w:t>9</w:t>
            </w:r>
            <w:r w:rsidR="004F376F">
              <w:rPr>
                <w:webHidden/>
              </w:rPr>
              <w:fldChar w:fldCharType="end"/>
            </w:r>
          </w:hyperlink>
        </w:p>
        <w:p w14:paraId="173975E6" w14:textId="6E57F436" w:rsidR="004F376F" w:rsidRDefault="00DC6708">
          <w:pPr>
            <w:pStyle w:val="TDC1"/>
            <w:rPr>
              <w:rFonts w:asciiTheme="minorHAnsi" w:eastAsiaTheme="minorEastAsia" w:hAnsiTheme="minorHAnsi" w:cstheme="minorBidi"/>
              <w:b w:val="0"/>
              <w:bCs w:val="0"/>
              <w:caps w:val="0"/>
              <w:kern w:val="2"/>
              <w:szCs w:val="22"/>
              <w:lang w:eastAsia="es-CO"/>
              <w14:ligatures w14:val="standardContextual"/>
            </w:rPr>
          </w:pPr>
          <w:hyperlink w:anchor="_Toc157689784" w:history="1">
            <w:r w:rsidR="004F376F" w:rsidRPr="00306460">
              <w:rPr>
                <w:rStyle w:val="Hipervnculo"/>
              </w:rPr>
              <w:t>5</w:t>
            </w:r>
            <w:r w:rsidR="004F376F">
              <w:rPr>
                <w:rFonts w:asciiTheme="minorHAnsi" w:eastAsiaTheme="minorEastAsia" w:hAnsiTheme="minorHAnsi" w:cstheme="minorBidi"/>
                <w:b w:val="0"/>
                <w:bCs w:val="0"/>
                <w:caps w:val="0"/>
                <w:kern w:val="2"/>
                <w:szCs w:val="22"/>
                <w:lang w:eastAsia="es-CO"/>
                <w14:ligatures w14:val="standardContextual"/>
              </w:rPr>
              <w:tab/>
            </w:r>
            <w:r w:rsidR="004F376F" w:rsidRPr="00306460">
              <w:rPr>
                <w:rStyle w:val="Hipervnculo"/>
              </w:rPr>
              <w:t>ALTERNATIVAS</w:t>
            </w:r>
            <w:r w:rsidR="004F376F">
              <w:rPr>
                <w:webHidden/>
              </w:rPr>
              <w:tab/>
            </w:r>
            <w:r w:rsidR="004F376F">
              <w:rPr>
                <w:webHidden/>
              </w:rPr>
              <w:fldChar w:fldCharType="begin"/>
            </w:r>
            <w:r w:rsidR="004F376F">
              <w:rPr>
                <w:webHidden/>
              </w:rPr>
              <w:instrText xml:space="preserve"> PAGEREF _Toc157689784 \h </w:instrText>
            </w:r>
            <w:r w:rsidR="004F376F">
              <w:rPr>
                <w:webHidden/>
              </w:rPr>
            </w:r>
            <w:r w:rsidR="004F376F">
              <w:rPr>
                <w:webHidden/>
              </w:rPr>
              <w:fldChar w:fldCharType="separate"/>
            </w:r>
            <w:r>
              <w:rPr>
                <w:webHidden/>
              </w:rPr>
              <w:t>9</w:t>
            </w:r>
            <w:r w:rsidR="004F376F">
              <w:rPr>
                <w:webHidden/>
              </w:rPr>
              <w:fldChar w:fldCharType="end"/>
            </w:r>
          </w:hyperlink>
        </w:p>
        <w:p w14:paraId="126CAB22" w14:textId="2F80EF7C" w:rsidR="004F376F" w:rsidRDefault="00DC6708">
          <w:pPr>
            <w:pStyle w:val="TDC1"/>
            <w:rPr>
              <w:rFonts w:asciiTheme="minorHAnsi" w:eastAsiaTheme="minorEastAsia" w:hAnsiTheme="minorHAnsi" w:cstheme="minorBidi"/>
              <w:b w:val="0"/>
              <w:bCs w:val="0"/>
              <w:caps w:val="0"/>
              <w:kern w:val="2"/>
              <w:szCs w:val="22"/>
              <w:lang w:eastAsia="es-CO"/>
              <w14:ligatures w14:val="standardContextual"/>
            </w:rPr>
          </w:pPr>
          <w:hyperlink w:anchor="_Toc157689785" w:history="1">
            <w:r w:rsidR="004F376F" w:rsidRPr="00306460">
              <w:rPr>
                <w:rStyle w:val="Hipervnculo"/>
              </w:rPr>
              <w:t>6</w:t>
            </w:r>
            <w:r w:rsidR="004F376F">
              <w:rPr>
                <w:rFonts w:asciiTheme="minorHAnsi" w:eastAsiaTheme="minorEastAsia" w:hAnsiTheme="minorHAnsi" w:cstheme="minorBidi"/>
                <w:b w:val="0"/>
                <w:bCs w:val="0"/>
                <w:caps w:val="0"/>
                <w:kern w:val="2"/>
                <w:szCs w:val="22"/>
                <w:lang w:eastAsia="es-CO"/>
                <w14:ligatures w14:val="standardContextual"/>
              </w:rPr>
              <w:tab/>
            </w:r>
            <w:r w:rsidR="004F376F" w:rsidRPr="00306460">
              <w:rPr>
                <w:rStyle w:val="Hipervnculo"/>
              </w:rPr>
              <w:t>ANÁLISIS DE IMPACTOS</w:t>
            </w:r>
            <w:r w:rsidR="004F376F">
              <w:rPr>
                <w:webHidden/>
              </w:rPr>
              <w:tab/>
            </w:r>
            <w:r w:rsidR="004F376F">
              <w:rPr>
                <w:webHidden/>
              </w:rPr>
              <w:fldChar w:fldCharType="begin"/>
            </w:r>
            <w:r w:rsidR="004F376F">
              <w:rPr>
                <w:webHidden/>
              </w:rPr>
              <w:instrText xml:space="preserve"> PAGEREF _Toc157689785 \h </w:instrText>
            </w:r>
            <w:r w:rsidR="004F376F">
              <w:rPr>
                <w:webHidden/>
              </w:rPr>
            </w:r>
            <w:r w:rsidR="004F376F">
              <w:rPr>
                <w:webHidden/>
              </w:rPr>
              <w:fldChar w:fldCharType="separate"/>
            </w:r>
            <w:r>
              <w:rPr>
                <w:webHidden/>
              </w:rPr>
              <w:t>11</w:t>
            </w:r>
            <w:r w:rsidR="004F376F">
              <w:rPr>
                <w:webHidden/>
              </w:rPr>
              <w:fldChar w:fldCharType="end"/>
            </w:r>
          </w:hyperlink>
        </w:p>
        <w:p w14:paraId="6DEE0221" w14:textId="6D3D9767" w:rsidR="004F376F" w:rsidRDefault="00DC6708">
          <w:pPr>
            <w:pStyle w:val="TDC1"/>
            <w:rPr>
              <w:rFonts w:asciiTheme="minorHAnsi" w:eastAsiaTheme="minorEastAsia" w:hAnsiTheme="minorHAnsi" w:cstheme="minorBidi"/>
              <w:b w:val="0"/>
              <w:bCs w:val="0"/>
              <w:caps w:val="0"/>
              <w:kern w:val="2"/>
              <w:szCs w:val="22"/>
              <w:lang w:eastAsia="es-CO"/>
              <w14:ligatures w14:val="standardContextual"/>
            </w:rPr>
          </w:pPr>
          <w:hyperlink w:anchor="_Toc157689786" w:history="1">
            <w:r w:rsidR="004F376F" w:rsidRPr="00306460">
              <w:rPr>
                <w:rStyle w:val="Hipervnculo"/>
              </w:rPr>
              <w:t>7</w:t>
            </w:r>
            <w:r w:rsidR="004F376F">
              <w:rPr>
                <w:rFonts w:asciiTheme="minorHAnsi" w:eastAsiaTheme="minorEastAsia" w:hAnsiTheme="minorHAnsi" w:cstheme="minorBidi"/>
                <w:b w:val="0"/>
                <w:bCs w:val="0"/>
                <w:caps w:val="0"/>
                <w:kern w:val="2"/>
                <w:szCs w:val="22"/>
                <w:lang w:eastAsia="es-CO"/>
                <w14:ligatures w14:val="standardContextual"/>
              </w:rPr>
              <w:tab/>
            </w:r>
            <w:r w:rsidR="004F376F" w:rsidRPr="00306460">
              <w:rPr>
                <w:rStyle w:val="Hipervnculo"/>
              </w:rPr>
              <w:t>ANÁLISIS DE LA PROPUESTA</w:t>
            </w:r>
            <w:r w:rsidR="004F376F">
              <w:rPr>
                <w:webHidden/>
              </w:rPr>
              <w:tab/>
            </w:r>
            <w:r w:rsidR="004F376F">
              <w:rPr>
                <w:webHidden/>
              </w:rPr>
              <w:fldChar w:fldCharType="begin"/>
            </w:r>
            <w:r w:rsidR="004F376F">
              <w:rPr>
                <w:webHidden/>
              </w:rPr>
              <w:instrText xml:space="preserve"> PAGEREF _Toc157689786 \h </w:instrText>
            </w:r>
            <w:r w:rsidR="004F376F">
              <w:rPr>
                <w:webHidden/>
              </w:rPr>
            </w:r>
            <w:r w:rsidR="004F376F">
              <w:rPr>
                <w:webHidden/>
              </w:rPr>
              <w:fldChar w:fldCharType="separate"/>
            </w:r>
            <w:r>
              <w:rPr>
                <w:webHidden/>
              </w:rPr>
              <w:t>11</w:t>
            </w:r>
            <w:r w:rsidR="004F376F">
              <w:rPr>
                <w:webHidden/>
              </w:rPr>
              <w:fldChar w:fldCharType="end"/>
            </w:r>
          </w:hyperlink>
        </w:p>
        <w:p w14:paraId="5ED49077" w14:textId="111A91E2" w:rsidR="004F376F" w:rsidRDefault="00DC6708">
          <w:pPr>
            <w:pStyle w:val="TDC2"/>
            <w:rPr>
              <w:rFonts w:asciiTheme="minorHAnsi" w:eastAsiaTheme="minorEastAsia" w:hAnsiTheme="minorHAnsi" w:cstheme="minorBidi"/>
              <w:bCs w:val="0"/>
              <w:caps w:val="0"/>
              <w:noProof/>
              <w:kern w:val="2"/>
              <w:szCs w:val="22"/>
              <w:lang w:eastAsia="es-CO"/>
              <w14:ligatures w14:val="standardContextual"/>
            </w:rPr>
          </w:pPr>
          <w:hyperlink w:anchor="_Toc157689787" w:history="1">
            <w:r w:rsidR="004F376F" w:rsidRPr="00306460">
              <w:rPr>
                <w:rStyle w:val="Hipervnculo"/>
                <w:noProof/>
              </w:rPr>
              <w:t>7.1</w:t>
            </w:r>
            <w:r w:rsidR="004F376F">
              <w:rPr>
                <w:rFonts w:asciiTheme="minorHAnsi" w:eastAsiaTheme="minorEastAsia" w:hAnsiTheme="minorHAnsi" w:cstheme="minorBidi"/>
                <w:bCs w:val="0"/>
                <w:caps w:val="0"/>
                <w:noProof/>
                <w:kern w:val="2"/>
                <w:szCs w:val="22"/>
                <w:lang w:eastAsia="es-CO"/>
                <w14:ligatures w14:val="standardContextual"/>
              </w:rPr>
              <w:tab/>
            </w:r>
            <w:r w:rsidR="004F376F" w:rsidRPr="00306460">
              <w:rPr>
                <w:rStyle w:val="Hipervnculo"/>
                <w:noProof/>
              </w:rPr>
              <w:t>Estándares internacionales</w:t>
            </w:r>
            <w:r w:rsidR="004F376F">
              <w:rPr>
                <w:noProof/>
                <w:webHidden/>
              </w:rPr>
              <w:tab/>
            </w:r>
            <w:r w:rsidR="004F376F">
              <w:rPr>
                <w:noProof/>
                <w:webHidden/>
              </w:rPr>
              <w:fldChar w:fldCharType="begin"/>
            </w:r>
            <w:r w:rsidR="004F376F">
              <w:rPr>
                <w:noProof/>
                <w:webHidden/>
              </w:rPr>
              <w:instrText xml:space="preserve"> PAGEREF _Toc157689787 \h </w:instrText>
            </w:r>
            <w:r w:rsidR="004F376F">
              <w:rPr>
                <w:noProof/>
                <w:webHidden/>
              </w:rPr>
            </w:r>
            <w:r w:rsidR="004F376F">
              <w:rPr>
                <w:noProof/>
                <w:webHidden/>
              </w:rPr>
              <w:fldChar w:fldCharType="separate"/>
            </w:r>
            <w:r>
              <w:rPr>
                <w:noProof/>
                <w:webHidden/>
              </w:rPr>
              <w:t>12</w:t>
            </w:r>
            <w:r w:rsidR="004F376F">
              <w:rPr>
                <w:noProof/>
                <w:webHidden/>
              </w:rPr>
              <w:fldChar w:fldCharType="end"/>
            </w:r>
          </w:hyperlink>
        </w:p>
        <w:p w14:paraId="1BB71567" w14:textId="22259B48" w:rsidR="004F376F" w:rsidRDefault="00DC6708">
          <w:pPr>
            <w:pStyle w:val="TDC2"/>
            <w:rPr>
              <w:rFonts w:asciiTheme="minorHAnsi" w:eastAsiaTheme="minorEastAsia" w:hAnsiTheme="minorHAnsi" w:cstheme="minorBidi"/>
              <w:bCs w:val="0"/>
              <w:caps w:val="0"/>
              <w:noProof/>
              <w:kern w:val="2"/>
              <w:szCs w:val="22"/>
              <w:lang w:eastAsia="es-CO"/>
              <w14:ligatures w14:val="standardContextual"/>
            </w:rPr>
          </w:pPr>
          <w:hyperlink w:anchor="_Toc157689788" w:history="1">
            <w:r w:rsidR="004F376F" w:rsidRPr="00306460">
              <w:rPr>
                <w:rStyle w:val="Hipervnculo"/>
                <w:noProof/>
              </w:rPr>
              <w:t>7.2</w:t>
            </w:r>
            <w:r w:rsidR="004F376F">
              <w:rPr>
                <w:rFonts w:asciiTheme="minorHAnsi" w:eastAsiaTheme="minorEastAsia" w:hAnsiTheme="minorHAnsi" w:cstheme="minorBidi"/>
                <w:bCs w:val="0"/>
                <w:caps w:val="0"/>
                <w:noProof/>
                <w:kern w:val="2"/>
                <w:szCs w:val="22"/>
                <w:lang w:eastAsia="es-CO"/>
                <w14:ligatures w14:val="standardContextual"/>
              </w:rPr>
              <w:tab/>
            </w:r>
            <w:r w:rsidR="004F376F" w:rsidRPr="00306460">
              <w:rPr>
                <w:rStyle w:val="Hipervnculo"/>
                <w:noProof/>
              </w:rPr>
              <w:t>Análisis numéricos</w:t>
            </w:r>
            <w:r w:rsidR="004F376F">
              <w:rPr>
                <w:noProof/>
                <w:webHidden/>
              </w:rPr>
              <w:tab/>
            </w:r>
            <w:r w:rsidR="004F376F">
              <w:rPr>
                <w:noProof/>
                <w:webHidden/>
              </w:rPr>
              <w:fldChar w:fldCharType="begin"/>
            </w:r>
            <w:r w:rsidR="004F376F">
              <w:rPr>
                <w:noProof/>
                <w:webHidden/>
              </w:rPr>
              <w:instrText xml:space="preserve"> PAGEREF _Toc157689788 \h </w:instrText>
            </w:r>
            <w:r w:rsidR="004F376F">
              <w:rPr>
                <w:noProof/>
                <w:webHidden/>
              </w:rPr>
            </w:r>
            <w:r w:rsidR="004F376F">
              <w:rPr>
                <w:noProof/>
                <w:webHidden/>
              </w:rPr>
              <w:fldChar w:fldCharType="separate"/>
            </w:r>
            <w:r>
              <w:rPr>
                <w:noProof/>
                <w:webHidden/>
              </w:rPr>
              <w:t>13</w:t>
            </w:r>
            <w:r w:rsidR="004F376F">
              <w:rPr>
                <w:noProof/>
                <w:webHidden/>
              </w:rPr>
              <w:fldChar w:fldCharType="end"/>
            </w:r>
          </w:hyperlink>
        </w:p>
        <w:p w14:paraId="59BCC0AC" w14:textId="27033698" w:rsidR="004F376F" w:rsidRDefault="00DC6708">
          <w:pPr>
            <w:pStyle w:val="TDC1"/>
            <w:rPr>
              <w:rFonts w:asciiTheme="minorHAnsi" w:eastAsiaTheme="minorEastAsia" w:hAnsiTheme="minorHAnsi" w:cstheme="minorBidi"/>
              <w:b w:val="0"/>
              <w:bCs w:val="0"/>
              <w:caps w:val="0"/>
              <w:kern w:val="2"/>
              <w:szCs w:val="22"/>
              <w:lang w:eastAsia="es-CO"/>
              <w14:ligatures w14:val="standardContextual"/>
            </w:rPr>
          </w:pPr>
          <w:hyperlink w:anchor="_Toc157689789" w:history="1">
            <w:r w:rsidR="004F376F" w:rsidRPr="00306460">
              <w:rPr>
                <w:rStyle w:val="Hipervnculo"/>
              </w:rPr>
              <w:t>8</w:t>
            </w:r>
            <w:r w:rsidR="004F376F">
              <w:rPr>
                <w:rFonts w:asciiTheme="minorHAnsi" w:eastAsiaTheme="minorEastAsia" w:hAnsiTheme="minorHAnsi" w:cstheme="minorBidi"/>
                <w:b w:val="0"/>
                <w:bCs w:val="0"/>
                <w:caps w:val="0"/>
                <w:kern w:val="2"/>
                <w:szCs w:val="22"/>
                <w:lang w:eastAsia="es-CO"/>
                <w14:ligatures w14:val="standardContextual"/>
              </w:rPr>
              <w:tab/>
            </w:r>
            <w:r w:rsidR="004F376F" w:rsidRPr="00306460">
              <w:rPr>
                <w:rStyle w:val="Hipervnculo"/>
              </w:rPr>
              <w:t>CONSULTA PÚBLICA</w:t>
            </w:r>
            <w:r w:rsidR="004F376F">
              <w:rPr>
                <w:webHidden/>
              </w:rPr>
              <w:tab/>
            </w:r>
            <w:r w:rsidR="004F376F">
              <w:rPr>
                <w:webHidden/>
              </w:rPr>
              <w:fldChar w:fldCharType="begin"/>
            </w:r>
            <w:r w:rsidR="004F376F">
              <w:rPr>
                <w:webHidden/>
              </w:rPr>
              <w:instrText xml:space="preserve"> PAGEREF _Toc157689789 \h </w:instrText>
            </w:r>
            <w:r w:rsidR="004F376F">
              <w:rPr>
                <w:webHidden/>
              </w:rPr>
            </w:r>
            <w:r w:rsidR="004F376F">
              <w:rPr>
                <w:webHidden/>
              </w:rPr>
              <w:fldChar w:fldCharType="separate"/>
            </w:r>
            <w:r>
              <w:rPr>
                <w:webHidden/>
              </w:rPr>
              <w:t>17</w:t>
            </w:r>
            <w:r w:rsidR="004F376F">
              <w:rPr>
                <w:webHidden/>
              </w:rPr>
              <w:fldChar w:fldCharType="end"/>
            </w:r>
          </w:hyperlink>
        </w:p>
        <w:p w14:paraId="39385F6D" w14:textId="099AC786" w:rsidR="004F376F" w:rsidRDefault="00DC6708">
          <w:pPr>
            <w:pStyle w:val="TDC2"/>
            <w:rPr>
              <w:rFonts w:asciiTheme="minorHAnsi" w:eastAsiaTheme="minorEastAsia" w:hAnsiTheme="minorHAnsi" w:cstheme="minorBidi"/>
              <w:bCs w:val="0"/>
              <w:caps w:val="0"/>
              <w:noProof/>
              <w:kern w:val="2"/>
              <w:szCs w:val="22"/>
              <w:lang w:eastAsia="es-CO"/>
              <w14:ligatures w14:val="standardContextual"/>
            </w:rPr>
          </w:pPr>
          <w:hyperlink w:anchor="_Toc157689790" w:history="1">
            <w:r w:rsidR="004F376F" w:rsidRPr="00306460">
              <w:rPr>
                <w:rStyle w:val="Hipervnculo"/>
                <w:noProof/>
              </w:rPr>
              <w:t>8.1</w:t>
            </w:r>
            <w:r w:rsidR="004F376F">
              <w:rPr>
                <w:rFonts w:asciiTheme="minorHAnsi" w:eastAsiaTheme="minorEastAsia" w:hAnsiTheme="minorHAnsi" w:cstheme="minorBidi"/>
                <w:bCs w:val="0"/>
                <w:caps w:val="0"/>
                <w:noProof/>
                <w:kern w:val="2"/>
                <w:szCs w:val="22"/>
                <w:lang w:eastAsia="es-CO"/>
                <w14:ligatures w14:val="standardContextual"/>
              </w:rPr>
              <w:tab/>
            </w:r>
            <w:r w:rsidR="004F376F" w:rsidRPr="00306460">
              <w:rPr>
                <w:rStyle w:val="Hipervnculo"/>
                <w:noProof/>
              </w:rPr>
              <w:t>Divulgación de la propuesta</w:t>
            </w:r>
            <w:r w:rsidR="004F376F">
              <w:rPr>
                <w:noProof/>
                <w:webHidden/>
              </w:rPr>
              <w:tab/>
            </w:r>
            <w:r w:rsidR="004F376F">
              <w:rPr>
                <w:noProof/>
                <w:webHidden/>
              </w:rPr>
              <w:fldChar w:fldCharType="begin"/>
            </w:r>
            <w:r w:rsidR="004F376F">
              <w:rPr>
                <w:noProof/>
                <w:webHidden/>
              </w:rPr>
              <w:instrText xml:space="preserve"> PAGEREF _Toc157689790 \h </w:instrText>
            </w:r>
            <w:r w:rsidR="004F376F">
              <w:rPr>
                <w:noProof/>
                <w:webHidden/>
              </w:rPr>
            </w:r>
            <w:r w:rsidR="004F376F">
              <w:rPr>
                <w:noProof/>
                <w:webHidden/>
              </w:rPr>
              <w:fldChar w:fldCharType="separate"/>
            </w:r>
            <w:r>
              <w:rPr>
                <w:noProof/>
                <w:webHidden/>
              </w:rPr>
              <w:t>18</w:t>
            </w:r>
            <w:r w:rsidR="004F376F">
              <w:rPr>
                <w:noProof/>
                <w:webHidden/>
              </w:rPr>
              <w:fldChar w:fldCharType="end"/>
            </w:r>
          </w:hyperlink>
        </w:p>
        <w:p w14:paraId="42B1A360" w14:textId="1CB2307B" w:rsidR="004F376F" w:rsidRDefault="00DC6708">
          <w:pPr>
            <w:pStyle w:val="TDC2"/>
            <w:rPr>
              <w:rFonts w:asciiTheme="minorHAnsi" w:eastAsiaTheme="minorEastAsia" w:hAnsiTheme="minorHAnsi" w:cstheme="minorBidi"/>
              <w:bCs w:val="0"/>
              <w:caps w:val="0"/>
              <w:noProof/>
              <w:kern w:val="2"/>
              <w:szCs w:val="22"/>
              <w:lang w:eastAsia="es-CO"/>
              <w14:ligatures w14:val="standardContextual"/>
            </w:rPr>
          </w:pPr>
          <w:hyperlink w:anchor="_Toc157689791" w:history="1">
            <w:r w:rsidR="004F376F" w:rsidRPr="00306460">
              <w:rPr>
                <w:rStyle w:val="Hipervnculo"/>
                <w:noProof/>
              </w:rPr>
              <w:t>8.2</w:t>
            </w:r>
            <w:r w:rsidR="004F376F">
              <w:rPr>
                <w:rFonts w:asciiTheme="minorHAnsi" w:eastAsiaTheme="minorEastAsia" w:hAnsiTheme="minorHAnsi" w:cstheme="minorBidi"/>
                <w:bCs w:val="0"/>
                <w:caps w:val="0"/>
                <w:noProof/>
                <w:kern w:val="2"/>
                <w:szCs w:val="22"/>
                <w:lang w:eastAsia="es-CO"/>
                <w14:ligatures w14:val="standardContextual"/>
              </w:rPr>
              <w:tab/>
            </w:r>
            <w:r w:rsidR="004F376F" w:rsidRPr="00306460">
              <w:rPr>
                <w:rStyle w:val="Hipervnculo"/>
                <w:noProof/>
              </w:rPr>
              <w:t>Comentarios recibidos</w:t>
            </w:r>
            <w:r w:rsidR="004F376F">
              <w:rPr>
                <w:noProof/>
                <w:webHidden/>
              </w:rPr>
              <w:tab/>
            </w:r>
            <w:r w:rsidR="004F376F">
              <w:rPr>
                <w:noProof/>
                <w:webHidden/>
              </w:rPr>
              <w:fldChar w:fldCharType="begin"/>
            </w:r>
            <w:r w:rsidR="004F376F">
              <w:rPr>
                <w:noProof/>
                <w:webHidden/>
              </w:rPr>
              <w:instrText xml:space="preserve"> PAGEREF _Toc157689791 \h </w:instrText>
            </w:r>
            <w:r w:rsidR="004F376F">
              <w:rPr>
                <w:noProof/>
                <w:webHidden/>
              </w:rPr>
            </w:r>
            <w:r w:rsidR="004F376F">
              <w:rPr>
                <w:noProof/>
                <w:webHidden/>
              </w:rPr>
              <w:fldChar w:fldCharType="separate"/>
            </w:r>
            <w:r>
              <w:rPr>
                <w:noProof/>
                <w:webHidden/>
              </w:rPr>
              <w:t>21</w:t>
            </w:r>
            <w:r w:rsidR="004F376F">
              <w:rPr>
                <w:noProof/>
                <w:webHidden/>
              </w:rPr>
              <w:fldChar w:fldCharType="end"/>
            </w:r>
          </w:hyperlink>
        </w:p>
        <w:p w14:paraId="33D57E5B" w14:textId="7C1625EC" w:rsidR="004F376F" w:rsidRDefault="00DC6708">
          <w:pPr>
            <w:pStyle w:val="TDC3"/>
            <w:rPr>
              <w:rFonts w:asciiTheme="minorHAnsi" w:eastAsiaTheme="minorEastAsia" w:hAnsiTheme="minorHAnsi" w:cstheme="minorBidi"/>
              <w:bCs w:val="0"/>
              <w:noProof/>
              <w:kern w:val="2"/>
              <w:szCs w:val="22"/>
              <w:lang w:eastAsia="es-CO"/>
              <w14:ligatures w14:val="standardContextual"/>
            </w:rPr>
          </w:pPr>
          <w:hyperlink w:anchor="_Toc157689792" w:history="1">
            <w:r w:rsidR="004F376F" w:rsidRPr="00306460">
              <w:rPr>
                <w:rStyle w:val="Hipervnculo"/>
                <w:noProof/>
              </w:rPr>
              <w:t>8.2.1</w:t>
            </w:r>
            <w:r w:rsidR="004F376F">
              <w:rPr>
                <w:rFonts w:asciiTheme="minorHAnsi" w:eastAsiaTheme="minorEastAsia" w:hAnsiTheme="minorHAnsi" w:cstheme="minorBidi"/>
                <w:bCs w:val="0"/>
                <w:noProof/>
                <w:kern w:val="2"/>
                <w:szCs w:val="22"/>
                <w:lang w:eastAsia="es-CO"/>
                <w14:ligatures w14:val="standardContextual"/>
              </w:rPr>
              <w:tab/>
            </w:r>
            <w:r w:rsidR="004F376F" w:rsidRPr="00306460">
              <w:rPr>
                <w:rStyle w:val="Hipervnculo"/>
                <w:noProof/>
              </w:rPr>
              <w:t>Aplicación de la medida.</w:t>
            </w:r>
            <w:r w:rsidR="004F376F">
              <w:rPr>
                <w:noProof/>
                <w:webHidden/>
              </w:rPr>
              <w:tab/>
            </w:r>
            <w:r w:rsidR="004F376F">
              <w:rPr>
                <w:noProof/>
                <w:webHidden/>
              </w:rPr>
              <w:fldChar w:fldCharType="begin"/>
            </w:r>
            <w:r w:rsidR="004F376F">
              <w:rPr>
                <w:noProof/>
                <w:webHidden/>
              </w:rPr>
              <w:instrText xml:space="preserve"> PAGEREF _Toc157689792 \h </w:instrText>
            </w:r>
            <w:r w:rsidR="004F376F">
              <w:rPr>
                <w:noProof/>
                <w:webHidden/>
              </w:rPr>
            </w:r>
            <w:r w:rsidR="004F376F">
              <w:rPr>
                <w:noProof/>
                <w:webHidden/>
              </w:rPr>
              <w:fldChar w:fldCharType="separate"/>
            </w:r>
            <w:r>
              <w:rPr>
                <w:noProof/>
                <w:webHidden/>
              </w:rPr>
              <w:t>27</w:t>
            </w:r>
            <w:r w:rsidR="004F376F">
              <w:rPr>
                <w:noProof/>
                <w:webHidden/>
              </w:rPr>
              <w:fldChar w:fldCharType="end"/>
            </w:r>
          </w:hyperlink>
        </w:p>
        <w:p w14:paraId="205D32CA" w14:textId="0A75A840" w:rsidR="004F376F" w:rsidRDefault="00DC6708">
          <w:pPr>
            <w:pStyle w:val="TDC3"/>
            <w:rPr>
              <w:rFonts w:asciiTheme="minorHAnsi" w:eastAsiaTheme="minorEastAsia" w:hAnsiTheme="minorHAnsi" w:cstheme="minorBidi"/>
              <w:bCs w:val="0"/>
              <w:noProof/>
              <w:kern w:val="2"/>
              <w:szCs w:val="22"/>
              <w:lang w:eastAsia="es-CO"/>
              <w14:ligatures w14:val="standardContextual"/>
            </w:rPr>
          </w:pPr>
          <w:hyperlink w:anchor="_Toc157689793" w:history="1">
            <w:r w:rsidR="004F376F" w:rsidRPr="00306460">
              <w:rPr>
                <w:rStyle w:val="Hipervnculo"/>
                <w:noProof/>
              </w:rPr>
              <w:t>8.2.2</w:t>
            </w:r>
            <w:r w:rsidR="004F376F">
              <w:rPr>
                <w:rFonts w:asciiTheme="minorHAnsi" w:eastAsiaTheme="minorEastAsia" w:hAnsiTheme="minorHAnsi" w:cstheme="minorBidi"/>
                <w:bCs w:val="0"/>
                <w:noProof/>
                <w:kern w:val="2"/>
                <w:szCs w:val="22"/>
                <w:lang w:eastAsia="es-CO"/>
                <w14:ligatures w14:val="standardContextual"/>
              </w:rPr>
              <w:tab/>
            </w:r>
            <w:r w:rsidR="004F376F" w:rsidRPr="00306460">
              <w:rPr>
                <w:rStyle w:val="Hipervnculo"/>
                <w:noProof/>
              </w:rPr>
              <w:t>Corrección del factor de potencia</w:t>
            </w:r>
            <w:r w:rsidR="004F376F">
              <w:rPr>
                <w:noProof/>
                <w:webHidden/>
              </w:rPr>
              <w:tab/>
            </w:r>
            <w:r w:rsidR="004F376F">
              <w:rPr>
                <w:noProof/>
                <w:webHidden/>
              </w:rPr>
              <w:fldChar w:fldCharType="begin"/>
            </w:r>
            <w:r w:rsidR="004F376F">
              <w:rPr>
                <w:noProof/>
                <w:webHidden/>
              </w:rPr>
              <w:instrText xml:space="preserve"> PAGEREF _Toc157689793 \h </w:instrText>
            </w:r>
            <w:r w:rsidR="004F376F">
              <w:rPr>
                <w:noProof/>
                <w:webHidden/>
              </w:rPr>
            </w:r>
            <w:r w:rsidR="004F376F">
              <w:rPr>
                <w:noProof/>
                <w:webHidden/>
              </w:rPr>
              <w:fldChar w:fldCharType="separate"/>
            </w:r>
            <w:r>
              <w:rPr>
                <w:noProof/>
                <w:webHidden/>
              </w:rPr>
              <w:t>29</w:t>
            </w:r>
            <w:r w:rsidR="004F376F">
              <w:rPr>
                <w:noProof/>
                <w:webHidden/>
              </w:rPr>
              <w:fldChar w:fldCharType="end"/>
            </w:r>
          </w:hyperlink>
        </w:p>
        <w:p w14:paraId="32723F08" w14:textId="2C1C8174" w:rsidR="004F376F" w:rsidRDefault="00DC6708">
          <w:pPr>
            <w:pStyle w:val="TDC3"/>
            <w:rPr>
              <w:rFonts w:asciiTheme="minorHAnsi" w:eastAsiaTheme="minorEastAsia" w:hAnsiTheme="minorHAnsi" w:cstheme="minorBidi"/>
              <w:bCs w:val="0"/>
              <w:noProof/>
              <w:kern w:val="2"/>
              <w:szCs w:val="22"/>
              <w:lang w:eastAsia="es-CO"/>
              <w14:ligatures w14:val="standardContextual"/>
            </w:rPr>
          </w:pPr>
          <w:hyperlink w:anchor="_Toc157689794" w:history="1">
            <w:r w:rsidR="004F376F" w:rsidRPr="00306460">
              <w:rPr>
                <w:rStyle w:val="Hipervnculo"/>
                <w:noProof/>
              </w:rPr>
              <w:t>8.2.3</w:t>
            </w:r>
            <w:r w:rsidR="004F376F">
              <w:rPr>
                <w:rFonts w:asciiTheme="minorHAnsi" w:eastAsiaTheme="minorEastAsia" w:hAnsiTheme="minorHAnsi" w:cstheme="minorBidi"/>
                <w:bCs w:val="0"/>
                <w:noProof/>
                <w:kern w:val="2"/>
                <w:szCs w:val="22"/>
                <w:lang w:eastAsia="es-CO"/>
                <w14:ligatures w14:val="standardContextual"/>
              </w:rPr>
              <w:tab/>
            </w:r>
            <w:r w:rsidR="004F376F" w:rsidRPr="00306460">
              <w:rPr>
                <w:rStyle w:val="Hipervnculo"/>
                <w:noProof/>
              </w:rPr>
              <w:t>Comentarios al análisis numérico</w:t>
            </w:r>
            <w:r w:rsidR="004F376F">
              <w:rPr>
                <w:noProof/>
                <w:webHidden/>
              </w:rPr>
              <w:tab/>
            </w:r>
            <w:r w:rsidR="004F376F">
              <w:rPr>
                <w:noProof/>
                <w:webHidden/>
              </w:rPr>
              <w:fldChar w:fldCharType="begin"/>
            </w:r>
            <w:r w:rsidR="004F376F">
              <w:rPr>
                <w:noProof/>
                <w:webHidden/>
              </w:rPr>
              <w:instrText xml:space="preserve"> PAGEREF _Toc157689794 \h </w:instrText>
            </w:r>
            <w:r w:rsidR="004F376F">
              <w:rPr>
                <w:noProof/>
                <w:webHidden/>
              </w:rPr>
            </w:r>
            <w:r w:rsidR="004F376F">
              <w:rPr>
                <w:noProof/>
                <w:webHidden/>
              </w:rPr>
              <w:fldChar w:fldCharType="separate"/>
            </w:r>
            <w:r>
              <w:rPr>
                <w:noProof/>
                <w:webHidden/>
              </w:rPr>
              <w:t>29</w:t>
            </w:r>
            <w:r w:rsidR="004F376F">
              <w:rPr>
                <w:noProof/>
                <w:webHidden/>
              </w:rPr>
              <w:fldChar w:fldCharType="end"/>
            </w:r>
          </w:hyperlink>
        </w:p>
        <w:p w14:paraId="63E8F2F7" w14:textId="59A31F80" w:rsidR="004F376F" w:rsidRDefault="00DC6708">
          <w:pPr>
            <w:pStyle w:val="TDC3"/>
            <w:rPr>
              <w:rFonts w:asciiTheme="minorHAnsi" w:eastAsiaTheme="minorEastAsia" w:hAnsiTheme="minorHAnsi" w:cstheme="minorBidi"/>
              <w:bCs w:val="0"/>
              <w:noProof/>
              <w:kern w:val="2"/>
              <w:szCs w:val="22"/>
              <w:lang w:eastAsia="es-CO"/>
              <w14:ligatures w14:val="standardContextual"/>
            </w:rPr>
          </w:pPr>
          <w:hyperlink w:anchor="_Toc157689795" w:history="1">
            <w:r w:rsidR="004F376F" w:rsidRPr="00306460">
              <w:rPr>
                <w:rStyle w:val="Hipervnculo"/>
                <w:noProof/>
              </w:rPr>
              <w:t>8.2.4</w:t>
            </w:r>
            <w:r w:rsidR="004F376F">
              <w:rPr>
                <w:rFonts w:asciiTheme="minorHAnsi" w:eastAsiaTheme="minorEastAsia" w:hAnsiTheme="minorHAnsi" w:cstheme="minorBidi"/>
                <w:bCs w:val="0"/>
                <w:noProof/>
                <w:kern w:val="2"/>
                <w:szCs w:val="22"/>
                <w:lang w:eastAsia="es-CO"/>
                <w14:ligatures w14:val="standardContextual"/>
              </w:rPr>
              <w:tab/>
            </w:r>
            <w:r w:rsidR="004F376F" w:rsidRPr="00306460">
              <w:rPr>
                <w:rStyle w:val="Hipervnculo"/>
                <w:noProof/>
              </w:rPr>
              <w:t>Solicitud de concepto al CNO</w:t>
            </w:r>
            <w:r w:rsidR="004F376F">
              <w:rPr>
                <w:noProof/>
                <w:webHidden/>
              </w:rPr>
              <w:tab/>
            </w:r>
            <w:r w:rsidR="004F376F">
              <w:rPr>
                <w:noProof/>
                <w:webHidden/>
              </w:rPr>
              <w:fldChar w:fldCharType="begin"/>
            </w:r>
            <w:r w:rsidR="004F376F">
              <w:rPr>
                <w:noProof/>
                <w:webHidden/>
              </w:rPr>
              <w:instrText xml:space="preserve"> PAGEREF _Toc157689795 \h </w:instrText>
            </w:r>
            <w:r w:rsidR="004F376F">
              <w:rPr>
                <w:noProof/>
                <w:webHidden/>
              </w:rPr>
            </w:r>
            <w:r w:rsidR="004F376F">
              <w:rPr>
                <w:noProof/>
                <w:webHidden/>
              </w:rPr>
              <w:fldChar w:fldCharType="separate"/>
            </w:r>
            <w:r>
              <w:rPr>
                <w:noProof/>
                <w:webHidden/>
              </w:rPr>
              <w:t>30</w:t>
            </w:r>
            <w:r w:rsidR="004F376F">
              <w:rPr>
                <w:noProof/>
                <w:webHidden/>
              </w:rPr>
              <w:fldChar w:fldCharType="end"/>
            </w:r>
          </w:hyperlink>
        </w:p>
        <w:p w14:paraId="7ABDDE7F" w14:textId="271C97B1" w:rsidR="004F376F" w:rsidRDefault="00DC6708">
          <w:pPr>
            <w:pStyle w:val="TDC2"/>
            <w:rPr>
              <w:rFonts w:asciiTheme="minorHAnsi" w:eastAsiaTheme="minorEastAsia" w:hAnsiTheme="minorHAnsi" w:cstheme="minorBidi"/>
              <w:bCs w:val="0"/>
              <w:caps w:val="0"/>
              <w:noProof/>
              <w:kern w:val="2"/>
              <w:szCs w:val="22"/>
              <w:lang w:eastAsia="es-CO"/>
              <w14:ligatures w14:val="standardContextual"/>
            </w:rPr>
          </w:pPr>
          <w:hyperlink w:anchor="_Toc157689796" w:history="1">
            <w:r w:rsidR="004F376F" w:rsidRPr="00306460">
              <w:rPr>
                <w:rStyle w:val="Hipervnculo"/>
                <w:noProof/>
              </w:rPr>
              <w:t>8.3</w:t>
            </w:r>
            <w:r w:rsidR="004F376F">
              <w:rPr>
                <w:rFonts w:asciiTheme="minorHAnsi" w:eastAsiaTheme="minorEastAsia" w:hAnsiTheme="minorHAnsi" w:cstheme="minorBidi"/>
                <w:bCs w:val="0"/>
                <w:caps w:val="0"/>
                <w:noProof/>
                <w:kern w:val="2"/>
                <w:szCs w:val="22"/>
                <w:lang w:eastAsia="es-CO"/>
                <w14:ligatures w14:val="standardContextual"/>
              </w:rPr>
              <w:tab/>
            </w:r>
            <w:r w:rsidR="004F376F" w:rsidRPr="00306460">
              <w:rPr>
                <w:rStyle w:val="Hipervnculo"/>
                <w:noProof/>
              </w:rPr>
              <w:t>Análisis de factor de potencia para usuarios en nivel de tensión 4</w:t>
            </w:r>
            <w:r w:rsidR="004F376F">
              <w:rPr>
                <w:noProof/>
                <w:webHidden/>
              </w:rPr>
              <w:tab/>
            </w:r>
            <w:r w:rsidR="004F376F">
              <w:rPr>
                <w:noProof/>
                <w:webHidden/>
              </w:rPr>
              <w:fldChar w:fldCharType="begin"/>
            </w:r>
            <w:r w:rsidR="004F376F">
              <w:rPr>
                <w:noProof/>
                <w:webHidden/>
              </w:rPr>
              <w:instrText xml:space="preserve"> PAGEREF _Toc157689796 \h </w:instrText>
            </w:r>
            <w:r w:rsidR="004F376F">
              <w:rPr>
                <w:noProof/>
                <w:webHidden/>
              </w:rPr>
            </w:r>
            <w:r w:rsidR="004F376F">
              <w:rPr>
                <w:noProof/>
                <w:webHidden/>
              </w:rPr>
              <w:fldChar w:fldCharType="separate"/>
            </w:r>
            <w:r>
              <w:rPr>
                <w:noProof/>
                <w:webHidden/>
              </w:rPr>
              <w:t>30</w:t>
            </w:r>
            <w:r w:rsidR="004F376F">
              <w:rPr>
                <w:noProof/>
                <w:webHidden/>
              </w:rPr>
              <w:fldChar w:fldCharType="end"/>
            </w:r>
          </w:hyperlink>
        </w:p>
        <w:p w14:paraId="610D9623" w14:textId="49A1F05B" w:rsidR="004F376F" w:rsidRDefault="00DC6708">
          <w:pPr>
            <w:pStyle w:val="TDC1"/>
            <w:rPr>
              <w:rFonts w:asciiTheme="minorHAnsi" w:eastAsiaTheme="minorEastAsia" w:hAnsiTheme="minorHAnsi" w:cstheme="minorBidi"/>
              <w:b w:val="0"/>
              <w:bCs w:val="0"/>
              <w:caps w:val="0"/>
              <w:kern w:val="2"/>
              <w:szCs w:val="22"/>
              <w:lang w:eastAsia="es-CO"/>
              <w14:ligatures w14:val="standardContextual"/>
            </w:rPr>
          </w:pPr>
          <w:hyperlink w:anchor="_Toc157689797" w:history="1">
            <w:r w:rsidR="004F376F" w:rsidRPr="00306460">
              <w:rPr>
                <w:rStyle w:val="Hipervnculo"/>
              </w:rPr>
              <w:t>9</w:t>
            </w:r>
            <w:r w:rsidR="004F376F">
              <w:rPr>
                <w:rFonts w:asciiTheme="minorHAnsi" w:eastAsiaTheme="minorEastAsia" w:hAnsiTheme="minorHAnsi" w:cstheme="minorBidi"/>
                <w:b w:val="0"/>
                <w:bCs w:val="0"/>
                <w:caps w:val="0"/>
                <w:kern w:val="2"/>
                <w:szCs w:val="22"/>
                <w:lang w:eastAsia="es-CO"/>
                <w14:ligatures w14:val="standardContextual"/>
              </w:rPr>
              <w:tab/>
            </w:r>
            <w:r w:rsidR="004F376F" w:rsidRPr="00306460">
              <w:rPr>
                <w:rStyle w:val="Hipervnculo"/>
              </w:rPr>
              <w:t>INDICADORES DE SEGUIMIENTO</w:t>
            </w:r>
            <w:r w:rsidR="004F376F">
              <w:rPr>
                <w:webHidden/>
              </w:rPr>
              <w:tab/>
            </w:r>
            <w:r w:rsidR="004F376F">
              <w:rPr>
                <w:webHidden/>
              </w:rPr>
              <w:fldChar w:fldCharType="begin"/>
            </w:r>
            <w:r w:rsidR="004F376F">
              <w:rPr>
                <w:webHidden/>
              </w:rPr>
              <w:instrText xml:space="preserve"> PAGEREF _Toc157689797 \h </w:instrText>
            </w:r>
            <w:r w:rsidR="004F376F">
              <w:rPr>
                <w:webHidden/>
              </w:rPr>
            </w:r>
            <w:r w:rsidR="004F376F">
              <w:rPr>
                <w:webHidden/>
              </w:rPr>
              <w:fldChar w:fldCharType="separate"/>
            </w:r>
            <w:r>
              <w:rPr>
                <w:webHidden/>
              </w:rPr>
              <w:t>32</w:t>
            </w:r>
            <w:r w:rsidR="004F376F">
              <w:rPr>
                <w:webHidden/>
              </w:rPr>
              <w:fldChar w:fldCharType="end"/>
            </w:r>
          </w:hyperlink>
        </w:p>
        <w:p w14:paraId="61459B0C" w14:textId="4F60D2AD" w:rsidR="004F376F" w:rsidRDefault="00DC6708">
          <w:pPr>
            <w:pStyle w:val="TDC1"/>
            <w:rPr>
              <w:rFonts w:asciiTheme="minorHAnsi" w:eastAsiaTheme="minorEastAsia" w:hAnsiTheme="minorHAnsi" w:cstheme="minorBidi"/>
              <w:b w:val="0"/>
              <w:bCs w:val="0"/>
              <w:caps w:val="0"/>
              <w:kern w:val="2"/>
              <w:szCs w:val="22"/>
              <w:lang w:eastAsia="es-CO"/>
              <w14:ligatures w14:val="standardContextual"/>
            </w:rPr>
          </w:pPr>
          <w:hyperlink w:anchor="_Toc157689798" w:history="1">
            <w:r w:rsidR="004F376F" w:rsidRPr="00306460">
              <w:rPr>
                <w:rStyle w:val="Hipervnculo"/>
              </w:rPr>
              <w:t>10</w:t>
            </w:r>
            <w:r w:rsidR="004F376F">
              <w:rPr>
                <w:rFonts w:asciiTheme="minorHAnsi" w:eastAsiaTheme="minorEastAsia" w:hAnsiTheme="minorHAnsi" w:cstheme="minorBidi"/>
                <w:b w:val="0"/>
                <w:bCs w:val="0"/>
                <w:caps w:val="0"/>
                <w:kern w:val="2"/>
                <w:szCs w:val="22"/>
                <w:lang w:eastAsia="es-CO"/>
                <w14:ligatures w14:val="standardContextual"/>
              </w:rPr>
              <w:tab/>
            </w:r>
            <w:r w:rsidR="004F376F" w:rsidRPr="00306460">
              <w:rPr>
                <w:rStyle w:val="Hipervnculo"/>
              </w:rPr>
              <w:t>CONCLUSIONES</w:t>
            </w:r>
            <w:r w:rsidR="004F376F">
              <w:rPr>
                <w:webHidden/>
              </w:rPr>
              <w:tab/>
            </w:r>
            <w:r w:rsidR="004F376F">
              <w:rPr>
                <w:webHidden/>
              </w:rPr>
              <w:fldChar w:fldCharType="begin"/>
            </w:r>
            <w:r w:rsidR="004F376F">
              <w:rPr>
                <w:webHidden/>
              </w:rPr>
              <w:instrText xml:space="preserve"> PAGEREF _Toc157689798 \h </w:instrText>
            </w:r>
            <w:r w:rsidR="004F376F">
              <w:rPr>
                <w:webHidden/>
              </w:rPr>
            </w:r>
            <w:r w:rsidR="004F376F">
              <w:rPr>
                <w:webHidden/>
              </w:rPr>
              <w:fldChar w:fldCharType="separate"/>
            </w:r>
            <w:r>
              <w:rPr>
                <w:webHidden/>
              </w:rPr>
              <w:t>33</w:t>
            </w:r>
            <w:r w:rsidR="004F376F">
              <w:rPr>
                <w:webHidden/>
              </w:rPr>
              <w:fldChar w:fldCharType="end"/>
            </w:r>
          </w:hyperlink>
        </w:p>
        <w:p w14:paraId="465A0F80" w14:textId="369BB701" w:rsidR="004F376F" w:rsidRDefault="00DC6708">
          <w:pPr>
            <w:pStyle w:val="TDC1"/>
            <w:rPr>
              <w:rFonts w:asciiTheme="minorHAnsi" w:eastAsiaTheme="minorEastAsia" w:hAnsiTheme="minorHAnsi" w:cstheme="minorBidi"/>
              <w:b w:val="0"/>
              <w:bCs w:val="0"/>
              <w:caps w:val="0"/>
              <w:kern w:val="2"/>
              <w:szCs w:val="22"/>
              <w:lang w:eastAsia="es-CO"/>
              <w14:ligatures w14:val="standardContextual"/>
            </w:rPr>
          </w:pPr>
          <w:hyperlink w:anchor="_Toc157689799" w:history="1">
            <w:r w:rsidR="004F376F" w:rsidRPr="00306460">
              <w:rPr>
                <w:rStyle w:val="Hipervnculo"/>
              </w:rPr>
              <w:t>11</w:t>
            </w:r>
            <w:r w:rsidR="004F376F">
              <w:rPr>
                <w:rFonts w:asciiTheme="minorHAnsi" w:eastAsiaTheme="minorEastAsia" w:hAnsiTheme="minorHAnsi" w:cstheme="minorBidi"/>
                <w:b w:val="0"/>
                <w:bCs w:val="0"/>
                <w:caps w:val="0"/>
                <w:kern w:val="2"/>
                <w:szCs w:val="22"/>
                <w:lang w:eastAsia="es-CO"/>
                <w14:ligatures w14:val="standardContextual"/>
              </w:rPr>
              <w:tab/>
            </w:r>
            <w:r w:rsidR="004F376F" w:rsidRPr="00306460">
              <w:rPr>
                <w:rStyle w:val="Hipervnculo"/>
              </w:rPr>
              <w:t>ANEXOS</w:t>
            </w:r>
            <w:r w:rsidR="004F376F">
              <w:rPr>
                <w:webHidden/>
              </w:rPr>
              <w:tab/>
            </w:r>
            <w:r w:rsidR="004F376F">
              <w:rPr>
                <w:webHidden/>
              </w:rPr>
              <w:fldChar w:fldCharType="begin"/>
            </w:r>
            <w:r w:rsidR="004F376F">
              <w:rPr>
                <w:webHidden/>
              </w:rPr>
              <w:instrText xml:space="preserve"> PAGEREF _Toc157689799 \h </w:instrText>
            </w:r>
            <w:r w:rsidR="004F376F">
              <w:rPr>
                <w:webHidden/>
              </w:rPr>
            </w:r>
            <w:r w:rsidR="004F376F">
              <w:rPr>
                <w:webHidden/>
              </w:rPr>
              <w:fldChar w:fldCharType="separate"/>
            </w:r>
            <w:r>
              <w:rPr>
                <w:webHidden/>
              </w:rPr>
              <w:t>34</w:t>
            </w:r>
            <w:r w:rsidR="004F376F">
              <w:rPr>
                <w:webHidden/>
              </w:rPr>
              <w:fldChar w:fldCharType="end"/>
            </w:r>
          </w:hyperlink>
        </w:p>
        <w:p w14:paraId="081169CF" w14:textId="3D33BFAA" w:rsidR="004F376F" w:rsidRDefault="00DC6708">
          <w:pPr>
            <w:pStyle w:val="TDC2"/>
            <w:rPr>
              <w:rFonts w:asciiTheme="minorHAnsi" w:eastAsiaTheme="minorEastAsia" w:hAnsiTheme="minorHAnsi" w:cstheme="minorBidi"/>
              <w:bCs w:val="0"/>
              <w:caps w:val="0"/>
              <w:noProof/>
              <w:kern w:val="2"/>
              <w:szCs w:val="22"/>
              <w:lang w:eastAsia="es-CO"/>
              <w14:ligatures w14:val="standardContextual"/>
            </w:rPr>
          </w:pPr>
          <w:hyperlink w:anchor="_Toc157689800" w:history="1">
            <w:r w:rsidR="004F376F" w:rsidRPr="00306460">
              <w:rPr>
                <w:rStyle w:val="Hipervnculo"/>
                <w:noProof/>
              </w:rPr>
              <w:t>11.1</w:t>
            </w:r>
            <w:r w:rsidR="004F376F">
              <w:rPr>
                <w:rFonts w:asciiTheme="minorHAnsi" w:eastAsiaTheme="minorEastAsia" w:hAnsiTheme="minorHAnsi" w:cstheme="minorBidi"/>
                <w:bCs w:val="0"/>
                <w:caps w:val="0"/>
                <w:noProof/>
                <w:kern w:val="2"/>
                <w:szCs w:val="22"/>
                <w:lang w:eastAsia="es-CO"/>
                <w14:ligatures w14:val="standardContextual"/>
              </w:rPr>
              <w:tab/>
            </w:r>
            <w:r w:rsidR="004F376F" w:rsidRPr="00306460">
              <w:rPr>
                <w:rStyle w:val="Hipervnculo"/>
                <w:noProof/>
              </w:rPr>
              <w:t>Indicadores estadísticos - energía reactiva capacitiva</w:t>
            </w:r>
            <w:r w:rsidR="004F376F">
              <w:rPr>
                <w:noProof/>
                <w:webHidden/>
              </w:rPr>
              <w:tab/>
            </w:r>
            <w:r w:rsidR="004F376F">
              <w:rPr>
                <w:noProof/>
                <w:webHidden/>
              </w:rPr>
              <w:fldChar w:fldCharType="begin"/>
            </w:r>
            <w:r w:rsidR="004F376F">
              <w:rPr>
                <w:noProof/>
                <w:webHidden/>
              </w:rPr>
              <w:instrText xml:space="preserve"> PAGEREF _Toc157689800 \h </w:instrText>
            </w:r>
            <w:r w:rsidR="004F376F">
              <w:rPr>
                <w:noProof/>
                <w:webHidden/>
              </w:rPr>
            </w:r>
            <w:r w:rsidR="004F376F">
              <w:rPr>
                <w:noProof/>
                <w:webHidden/>
              </w:rPr>
              <w:fldChar w:fldCharType="separate"/>
            </w:r>
            <w:r>
              <w:rPr>
                <w:noProof/>
                <w:webHidden/>
              </w:rPr>
              <w:t>34</w:t>
            </w:r>
            <w:r w:rsidR="004F376F">
              <w:rPr>
                <w:noProof/>
                <w:webHidden/>
              </w:rPr>
              <w:fldChar w:fldCharType="end"/>
            </w:r>
          </w:hyperlink>
        </w:p>
        <w:p w14:paraId="1F14E88B" w14:textId="6BA11645" w:rsidR="004F376F" w:rsidRDefault="00DC6708">
          <w:pPr>
            <w:pStyle w:val="TDC2"/>
            <w:rPr>
              <w:rFonts w:asciiTheme="minorHAnsi" w:eastAsiaTheme="minorEastAsia" w:hAnsiTheme="minorHAnsi" w:cstheme="minorBidi"/>
              <w:bCs w:val="0"/>
              <w:caps w:val="0"/>
              <w:noProof/>
              <w:kern w:val="2"/>
              <w:szCs w:val="22"/>
              <w:lang w:eastAsia="es-CO"/>
              <w14:ligatures w14:val="standardContextual"/>
            </w:rPr>
          </w:pPr>
          <w:hyperlink w:anchor="_Toc157689801" w:history="1">
            <w:r w:rsidR="004F376F" w:rsidRPr="00306460">
              <w:rPr>
                <w:rStyle w:val="Hipervnculo"/>
                <w:noProof/>
              </w:rPr>
              <w:t>11.2</w:t>
            </w:r>
            <w:r w:rsidR="004F376F">
              <w:rPr>
                <w:rFonts w:asciiTheme="minorHAnsi" w:eastAsiaTheme="minorEastAsia" w:hAnsiTheme="minorHAnsi" w:cstheme="minorBidi"/>
                <w:bCs w:val="0"/>
                <w:caps w:val="0"/>
                <w:noProof/>
                <w:kern w:val="2"/>
                <w:szCs w:val="22"/>
                <w:lang w:eastAsia="es-CO"/>
                <w14:ligatures w14:val="standardContextual"/>
              </w:rPr>
              <w:tab/>
            </w:r>
            <w:r w:rsidR="004F376F" w:rsidRPr="00306460">
              <w:rPr>
                <w:rStyle w:val="Hipervnculo"/>
                <w:noProof/>
              </w:rPr>
              <w:t>Transporte de energía reactiva capacitiva</w:t>
            </w:r>
            <w:r w:rsidR="004F376F">
              <w:rPr>
                <w:noProof/>
                <w:webHidden/>
              </w:rPr>
              <w:tab/>
            </w:r>
            <w:r w:rsidR="004F376F">
              <w:rPr>
                <w:noProof/>
                <w:webHidden/>
              </w:rPr>
              <w:fldChar w:fldCharType="begin"/>
            </w:r>
            <w:r w:rsidR="004F376F">
              <w:rPr>
                <w:noProof/>
                <w:webHidden/>
              </w:rPr>
              <w:instrText xml:space="preserve"> PAGEREF _Toc157689801 \h </w:instrText>
            </w:r>
            <w:r w:rsidR="004F376F">
              <w:rPr>
                <w:noProof/>
                <w:webHidden/>
              </w:rPr>
            </w:r>
            <w:r w:rsidR="004F376F">
              <w:rPr>
                <w:noProof/>
                <w:webHidden/>
              </w:rPr>
              <w:fldChar w:fldCharType="separate"/>
            </w:r>
            <w:r>
              <w:rPr>
                <w:noProof/>
                <w:webHidden/>
              </w:rPr>
              <w:t>34</w:t>
            </w:r>
            <w:r w:rsidR="004F376F">
              <w:rPr>
                <w:noProof/>
                <w:webHidden/>
              </w:rPr>
              <w:fldChar w:fldCharType="end"/>
            </w:r>
          </w:hyperlink>
        </w:p>
        <w:p w14:paraId="0029D4C5" w14:textId="3D883F9D" w:rsidR="004F376F" w:rsidRDefault="00DC6708">
          <w:pPr>
            <w:pStyle w:val="TDC3"/>
            <w:rPr>
              <w:rFonts w:asciiTheme="minorHAnsi" w:eastAsiaTheme="minorEastAsia" w:hAnsiTheme="minorHAnsi" w:cstheme="minorBidi"/>
              <w:bCs w:val="0"/>
              <w:noProof/>
              <w:kern w:val="2"/>
              <w:szCs w:val="22"/>
              <w:lang w:eastAsia="es-CO"/>
              <w14:ligatures w14:val="standardContextual"/>
            </w:rPr>
          </w:pPr>
          <w:hyperlink w:anchor="_Toc157689802" w:history="1">
            <w:r w:rsidR="004F376F" w:rsidRPr="00306460">
              <w:rPr>
                <w:rStyle w:val="Hipervnculo"/>
                <w:noProof/>
              </w:rPr>
              <w:t>11.2.1</w:t>
            </w:r>
            <w:r w:rsidR="004F376F">
              <w:rPr>
                <w:rFonts w:asciiTheme="minorHAnsi" w:eastAsiaTheme="minorEastAsia" w:hAnsiTheme="minorHAnsi" w:cstheme="minorBidi"/>
                <w:bCs w:val="0"/>
                <w:noProof/>
                <w:kern w:val="2"/>
                <w:szCs w:val="22"/>
                <w:lang w:eastAsia="es-CO"/>
                <w14:ligatures w14:val="standardContextual"/>
              </w:rPr>
              <w:tab/>
            </w:r>
            <w:r w:rsidR="004F376F" w:rsidRPr="00306460">
              <w:rPr>
                <w:rStyle w:val="Hipervnculo"/>
                <w:noProof/>
              </w:rPr>
              <w:t>Energía capacitiva por nivel de tensión</w:t>
            </w:r>
            <w:r w:rsidR="004F376F">
              <w:rPr>
                <w:noProof/>
                <w:webHidden/>
              </w:rPr>
              <w:tab/>
            </w:r>
            <w:r w:rsidR="004F376F">
              <w:rPr>
                <w:noProof/>
                <w:webHidden/>
              </w:rPr>
              <w:fldChar w:fldCharType="begin"/>
            </w:r>
            <w:r w:rsidR="004F376F">
              <w:rPr>
                <w:noProof/>
                <w:webHidden/>
              </w:rPr>
              <w:instrText xml:space="preserve"> PAGEREF _Toc157689802 \h </w:instrText>
            </w:r>
            <w:r w:rsidR="004F376F">
              <w:rPr>
                <w:noProof/>
                <w:webHidden/>
              </w:rPr>
            </w:r>
            <w:r w:rsidR="004F376F">
              <w:rPr>
                <w:noProof/>
                <w:webHidden/>
              </w:rPr>
              <w:fldChar w:fldCharType="separate"/>
            </w:r>
            <w:r>
              <w:rPr>
                <w:noProof/>
                <w:webHidden/>
              </w:rPr>
              <w:t>37</w:t>
            </w:r>
            <w:r w:rsidR="004F376F">
              <w:rPr>
                <w:noProof/>
                <w:webHidden/>
              </w:rPr>
              <w:fldChar w:fldCharType="end"/>
            </w:r>
          </w:hyperlink>
        </w:p>
        <w:p w14:paraId="5FD44CDA" w14:textId="444FE37D" w:rsidR="004F376F" w:rsidRDefault="00DC6708">
          <w:pPr>
            <w:pStyle w:val="TDC3"/>
            <w:rPr>
              <w:rFonts w:asciiTheme="minorHAnsi" w:eastAsiaTheme="minorEastAsia" w:hAnsiTheme="minorHAnsi" w:cstheme="minorBidi"/>
              <w:bCs w:val="0"/>
              <w:noProof/>
              <w:kern w:val="2"/>
              <w:szCs w:val="22"/>
              <w:lang w:eastAsia="es-CO"/>
              <w14:ligatures w14:val="standardContextual"/>
            </w:rPr>
          </w:pPr>
          <w:hyperlink w:anchor="_Toc157689803" w:history="1">
            <w:r w:rsidR="004F376F" w:rsidRPr="00306460">
              <w:rPr>
                <w:rStyle w:val="Hipervnculo"/>
                <w:noProof/>
              </w:rPr>
              <w:t>11.2.2</w:t>
            </w:r>
            <w:r w:rsidR="004F376F">
              <w:rPr>
                <w:rFonts w:asciiTheme="minorHAnsi" w:eastAsiaTheme="minorEastAsia" w:hAnsiTheme="minorHAnsi" w:cstheme="minorBidi"/>
                <w:bCs w:val="0"/>
                <w:noProof/>
                <w:kern w:val="2"/>
                <w:szCs w:val="22"/>
                <w:lang w:eastAsia="es-CO"/>
                <w14:ligatures w14:val="standardContextual"/>
              </w:rPr>
              <w:tab/>
            </w:r>
            <w:r w:rsidR="004F376F" w:rsidRPr="00306460">
              <w:rPr>
                <w:rStyle w:val="Hipervnculo"/>
                <w:noProof/>
              </w:rPr>
              <w:t>Transporte de energía reactiva capacitiva – por OR</w:t>
            </w:r>
            <w:r w:rsidR="004F376F">
              <w:rPr>
                <w:noProof/>
                <w:webHidden/>
              </w:rPr>
              <w:tab/>
            </w:r>
            <w:r w:rsidR="004F376F">
              <w:rPr>
                <w:noProof/>
                <w:webHidden/>
              </w:rPr>
              <w:fldChar w:fldCharType="begin"/>
            </w:r>
            <w:r w:rsidR="004F376F">
              <w:rPr>
                <w:noProof/>
                <w:webHidden/>
              </w:rPr>
              <w:instrText xml:space="preserve"> PAGEREF _Toc157689803 \h </w:instrText>
            </w:r>
            <w:r w:rsidR="004F376F">
              <w:rPr>
                <w:noProof/>
                <w:webHidden/>
              </w:rPr>
            </w:r>
            <w:r w:rsidR="004F376F">
              <w:rPr>
                <w:noProof/>
                <w:webHidden/>
              </w:rPr>
              <w:fldChar w:fldCharType="separate"/>
            </w:r>
            <w:r>
              <w:rPr>
                <w:noProof/>
                <w:webHidden/>
              </w:rPr>
              <w:t>41</w:t>
            </w:r>
            <w:r w:rsidR="004F376F">
              <w:rPr>
                <w:noProof/>
                <w:webHidden/>
              </w:rPr>
              <w:fldChar w:fldCharType="end"/>
            </w:r>
          </w:hyperlink>
        </w:p>
        <w:p w14:paraId="6E952561" w14:textId="1F03B02D" w:rsidR="004F376F" w:rsidRDefault="00DC6708">
          <w:pPr>
            <w:pStyle w:val="TDC2"/>
            <w:rPr>
              <w:rFonts w:asciiTheme="minorHAnsi" w:eastAsiaTheme="minorEastAsia" w:hAnsiTheme="minorHAnsi" w:cstheme="minorBidi"/>
              <w:bCs w:val="0"/>
              <w:caps w:val="0"/>
              <w:noProof/>
              <w:kern w:val="2"/>
              <w:szCs w:val="22"/>
              <w:lang w:eastAsia="es-CO"/>
              <w14:ligatures w14:val="standardContextual"/>
            </w:rPr>
          </w:pPr>
          <w:hyperlink w:anchor="_Toc157689804" w:history="1">
            <w:r w:rsidR="004F376F" w:rsidRPr="00306460">
              <w:rPr>
                <w:rStyle w:val="Hipervnculo"/>
                <w:noProof/>
              </w:rPr>
              <w:t>11.3</w:t>
            </w:r>
            <w:r w:rsidR="004F376F">
              <w:rPr>
                <w:rFonts w:asciiTheme="minorHAnsi" w:eastAsiaTheme="minorEastAsia" w:hAnsiTheme="minorHAnsi" w:cstheme="minorBidi"/>
                <w:bCs w:val="0"/>
                <w:caps w:val="0"/>
                <w:noProof/>
                <w:kern w:val="2"/>
                <w:szCs w:val="22"/>
                <w:lang w:eastAsia="es-CO"/>
                <w14:ligatures w14:val="standardContextual"/>
              </w:rPr>
              <w:tab/>
            </w:r>
            <w:r w:rsidR="004F376F" w:rsidRPr="00306460">
              <w:rPr>
                <w:rStyle w:val="Hipervnculo"/>
                <w:noProof/>
              </w:rPr>
              <w:t>Listado de comentarios recibidos al proyecto en consulta</w:t>
            </w:r>
            <w:r w:rsidR="004F376F">
              <w:rPr>
                <w:noProof/>
                <w:webHidden/>
              </w:rPr>
              <w:tab/>
            </w:r>
            <w:r w:rsidR="004F376F">
              <w:rPr>
                <w:noProof/>
                <w:webHidden/>
              </w:rPr>
              <w:fldChar w:fldCharType="begin"/>
            </w:r>
            <w:r w:rsidR="004F376F">
              <w:rPr>
                <w:noProof/>
                <w:webHidden/>
              </w:rPr>
              <w:instrText xml:space="preserve"> PAGEREF _Toc157689804 \h </w:instrText>
            </w:r>
            <w:r w:rsidR="004F376F">
              <w:rPr>
                <w:noProof/>
                <w:webHidden/>
              </w:rPr>
            </w:r>
            <w:r w:rsidR="004F376F">
              <w:rPr>
                <w:noProof/>
                <w:webHidden/>
              </w:rPr>
              <w:fldChar w:fldCharType="separate"/>
            </w:r>
            <w:r>
              <w:rPr>
                <w:noProof/>
                <w:webHidden/>
              </w:rPr>
              <w:t>68</w:t>
            </w:r>
            <w:r w:rsidR="004F376F">
              <w:rPr>
                <w:noProof/>
                <w:webHidden/>
              </w:rPr>
              <w:fldChar w:fldCharType="end"/>
            </w:r>
          </w:hyperlink>
        </w:p>
        <w:p w14:paraId="6AC7EED3" w14:textId="38C33736" w:rsidR="004F376F" w:rsidRDefault="00DC6708">
          <w:pPr>
            <w:pStyle w:val="TDC2"/>
            <w:rPr>
              <w:rFonts w:asciiTheme="minorHAnsi" w:eastAsiaTheme="minorEastAsia" w:hAnsiTheme="minorHAnsi" w:cstheme="minorBidi"/>
              <w:bCs w:val="0"/>
              <w:caps w:val="0"/>
              <w:noProof/>
              <w:kern w:val="2"/>
              <w:szCs w:val="22"/>
              <w:lang w:eastAsia="es-CO"/>
              <w14:ligatures w14:val="standardContextual"/>
            </w:rPr>
          </w:pPr>
          <w:hyperlink w:anchor="_Toc157689805" w:history="1">
            <w:r w:rsidR="004F376F" w:rsidRPr="00306460">
              <w:rPr>
                <w:rStyle w:val="Hipervnculo"/>
                <w:noProof/>
              </w:rPr>
              <w:t>11.4</w:t>
            </w:r>
            <w:r w:rsidR="004F376F">
              <w:rPr>
                <w:rFonts w:asciiTheme="minorHAnsi" w:eastAsiaTheme="minorEastAsia" w:hAnsiTheme="minorHAnsi" w:cstheme="minorBidi"/>
                <w:bCs w:val="0"/>
                <w:caps w:val="0"/>
                <w:noProof/>
                <w:kern w:val="2"/>
                <w:szCs w:val="22"/>
                <w:lang w:eastAsia="es-CO"/>
                <w14:ligatures w14:val="standardContextual"/>
              </w:rPr>
              <w:tab/>
            </w:r>
            <w:r w:rsidR="004F376F" w:rsidRPr="00306460">
              <w:rPr>
                <w:rStyle w:val="Hipervnculo"/>
                <w:noProof/>
              </w:rPr>
              <w:t>Cuestionario de abogacía de la competencia</w:t>
            </w:r>
            <w:r w:rsidR="004F376F">
              <w:rPr>
                <w:noProof/>
                <w:webHidden/>
              </w:rPr>
              <w:tab/>
            </w:r>
            <w:r w:rsidR="004F376F">
              <w:rPr>
                <w:noProof/>
                <w:webHidden/>
              </w:rPr>
              <w:fldChar w:fldCharType="begin"/>
            </w:r>
            <w:r w:rsidR="004F376F">
              <w:rPr>
                <w:noProof/>
                <w:webHidden/>
              </w:rPr>
              <w:instrText xml:space="preserve"> PAGEREF _Toc157689805 \h </w:instrText>
            </w:r>
            <w:r w:rsidR="004F376F">
              <w:rPr>
                <w:noProof/>
                <w:webHidden/>
              </w:rPr>
            </w:r>
            <w:r w:rsidR="004F376F">
              <w:rPr>
                <w:noProof/>
                <w:webHidden/>
              </w:rPr>
              <w:fldChar w:fldCharType="separate"/>
            </w:r>
            <w:r>
              <w:rPr>
                <w:noProof/>
                <w:webHidden/>
              </w:rPr>
              <w:t>88</w:t>
            </w:r>
            <w:r w:rsidR="004F376F">
              <w:rPr>
                <w:noProof/>
                <w:webHidden/>
              </w:rPr>
              <w:fldChar w:fldCharType="end"/>
            </w:r>
          </w:hyperlink>
        </w:p>
        <w:p w14:paraId="60CC6AAA" w14:textId="132206C5" w:rsidR="00CB0E17" w:rsidRPr="003D56B2" w:rsidRDefault="00CB0E17">
          <w:r w:rsidRPr="003D56B2">
            <w:rPr>
              <w:b/>
            </w:rPr>
            <w:lastRenderedPageBreak/>
            <w:fldChar w:fldCharType="end"/>
          </w:r>
        </w:p>
      </w:sdtContent>
    </w:sdt>
    <w:p w14:paraId="7F902D63" w14:textId="420FD9FD" w:rsidR="00ED024A" w:rsidRPr="003D56B2" w:rsidRDefault="00ED024A" w:rsidP="00ED024A">
      <w:pPr>
        <w:tabs>
          <w:tab w:val="left" w:pos="2412"/>
        </w:tabs>
        <w:rPr>
          <w:rFonts w:ascii="CG Times" w:hAnsi="CG Times"/>
        </w:rPr>
      </w:pPr>
      <w:r w:rsidRPr="003D56B2">
        <w:rPr>
          <w:rFonts w:ascii="CG Times" w:hAnsi="CG Times"/>
        </w:rPr>
        <w:tab/>
      </w:r>
    </w:p>
    <w:p w14:paraId="6F16870C" w14:textId="17F05F2D" w:rsidR="00243F4C" w:rsidRPr="003D56B2" w:rsidRDefault="00ED024A" w:rsidP="006C534B">
      <w:pPr>
        <w:tabs>
          <w:tab w:val="left" w:pos="2412"/>
        </w:tabs>
        <w:rPr>
          <w:b/>
        </w:rPr>
      </w:pPr>
      <w:r w:rsidRPr="003D56B2">
        <w:tab/>
      </w:r>
      <w:r w:rsidR="00730F23" w:rsidRPr="003D56B2">
        <w:rPr>
          <w:b/>
        </w:rPr>
        <w:t>ENERGÍA REACTIVA – REVISIÓN DE ESTÁNDARES</w:t>
      </w:r>
    </w:p>
    <w:p w14:paraId="29EE5D2C" w14:textId="0141E98F" w:rsidR="00F31E19" w:rsidRPr="003D56B2" w:rsidRDefault="00F31E19" w:rsidP="00F31E19">
      <w:pPr>
        <w:pStyle w:val="Ttulo1"/>
        <w:rPr>
          <w:lang w:val="es-CO"/>
        </w:rPr>
      </w:pPr>
      <w:bookmarkStart w:id="1" w:name="_Ref86399114"/>
      <w:bookmarkStart w:id="2" w:name="_Toc157689780"/>
      <w:r w:rsidRPr="003D56B2">
        <w:rPr>
          <w:lang w:val="es-CO"/>
        </w:rPr>
        <w:t>ANTECEDENTES</w:t>
      </w:r>
      <w:bookmarkEnd w:id="1"/>
      <w:bookmarkEnd w:id="2"/>
    </w:p>
    <w:p w14:paraId="3DE5659B" w14:textId="3C850C3D" w:rsidR="00E13D6E" w:rsidRPr="003D56B2" w:rsidRDefault="00E13D6E" w:rsidP="00E13D6E">
      <w:pPr>
        <w:rPr>
          <w:lang w:eastAsia="es-CO"/>
        </w:rPr>
      </w:pPr>
      <w:r w:rsidRPr="003D56B2">
        <w:rPr>
          <w:lang w:eastAsia="es-CO"/>
        </w:rPr>
        <w:t xml:space="preserve">En ejercicio de sus funciones, la Comisión ha adoptado varias disposiciones para regular </w:t>
      </w:r>
      <w:r w:rsidR="00D476DE" w:rsidRPr="003D56B2">
        <w:rPr>
          <w:lang w:eastAsia="es-CO"/>
        </w:rPr>
        <w:t xml:space="preserve">el tema de la </w:t>
      </w:r>
      <w:r w:rsidRPr="003D56B2">
        <w:rPr>
          <w:lang w:eastAsia="es-CO"/>
        </w:rPr>
        <w:t>energía reactiva en el sistema:</w:t>
      </w:r>
    </w:p>
    <w:p w14:paraId="1E693BCB" w14:textId="77777777" w:rsidR="00E13D6E" w:rsidRPr="003D56B2" w:rsidRDefault="00E13D6E" w:rsidP="00826981">
      <w:pPr>
        <w:numPr>
          <w:ilvl w:val="0"/>
          <w:numId w:val="4"/>
        </w:numPr>
        <w:ind w:left="426"/>
        <w:rPr>
          <w:lang w:eastAsia="es-CO"/>
        </w:rPr>
      </w:pPr>
      <w:r w:rsidRPr="003D56B2">
        <w:rPr>
          <w:b/>
          <w:lang w:eastAsia="es-CO"/>
        </w:rPr>
        <w:t>Resolución CREG 024 de 1995:</w:t>
      </w:r>
      <w:r w:rsidRPr="003D56B2">
        <w:rPr>
          <w:lang w:eastAsia="es-CO"/>
        </w:rPr>
        <w:t xml:space="preserve"> por la cual se reglamentan los aspectos comerciales del mercado mayorista de energía en el sistema interconectado nacional, que hacen parte del Reglamento de Operación.</w:t>
      </w:r>
    </w:p>
    <w:p w14:paraId="4627A6F3" w14:textId="77777777" w:rsidR="00E13D6E" w:rsidRPr="003D56B2" w:rsidRDefault="00E13D6E" w:rsidP="00DC319A">
      <w:pPr>
        <w:ind w:left="426"/>
        <w:rPr>
          <w:lang w:eastAsia="es-CO"/>
        </w:rPr>
      </w:pPr>
      <w:r w:rsidRPr="003D56B2">
        <w:rPr>
          <w:lang w:eastAsia="es-CO"/>
        </w:rPr>
        <w:t xml:space="preserve">Esta resolución establece que la potencia reactiva es un servicio asociado a la generación de energía y es considerada como un servicio complementario. </w:t>
      </w:r>
    </w:p>
    <w:p w14:paraId="7F2ECC8B" w14:textId="77777777" w:rsidR="00E13D6E" w:rsidRPr="003D56B2" w:rsidRDefault="00E13D6E" w:rsidP="00826981">
      <w:pPr>
        <w:numPr>
          <w:ilvl w:val="0"/>
          <w:numId w:val="4"/>
        </w:numPr>
        <w:ind w:left="426" w:hanging="284"/>
        <w:rPr>
          <w:lang w:eastAsia="es-CO"/>
        </w:rPr>
      </w:pPr>
      <w:r w:rsidRPr="003D56B2">
        <w:rPr>
          <w:b/>
          <w:lang w:eastAsia="es-CO"/>
        </w:rPr>
        <w:t>Resolución CREG 025 de 1995</w:t>
      </w:r>
      <w:r w:rsidRPr="003D56B2">
        <w:rPr>
          <w:lang w:eastAsia="es-CO"/>
        </w:rPr>
        <w:t>: por la cual se establece el código de redes como parte del reglamento de operación del Sistema Interconectado Nacional.</w:t>
      </w:r>
    </w:p>
    <w:p w14:paraId="4169EDB4" w14:textId="77777777" w:rsidR="00E13D6E" w:rsidRPr="003D56B2" w:rsidRDefault="00E13D6E" w:rsidP="00DC319A">
      <w:pPr>
        <w:ind w:left="426"/>
        <w:rPr>
          <w:lang w:eastAsia="es-CO"/>
        </w:rPr>
      </w:pPr>
      <w:r w:rsidRPr="003D56B2">
        <w:rPr>
          <w:lang w:eastAsia="es-CO"/>
        </w:rPr>
        <w:t xml:space="preserve">En ella se indica que los generadores deben proveer control de tensión y potencia reactiva debido a que dicha potencia es un servicio asociado a la generación. También, establece la necesidad de compensación reactiva como parte del análisis de planeamiento operativo y los equipos que se usan para ello (condensadores y reactores). Finalmente, dispone que el CND debe supervisar en tiempo real los flujos de potencia reactiva por las líneas y transformadores y la generación reactiva de las unidades despachadas centralmente. </w:t>
      </w:r>
    </w:p>
    <w:p w14:paraId="17D0D9F3" w14:textId="77777777" w:rsidR="00E13D6E" w:rsidRPr="003D56B2" w:rsidRDefault="00E13D6E" w:rsidP="00826981">
      <w:pPr>
        <w:numPr>
          <w:ilvl w:val="0"/>
          <w:numId w:val="4"/>
        </w:numPr>
        <w:ind w:left="426"/>
        <w:rPr>
          <w:lang w:eastAsia="es-CO"/>
        </w:rPr>
      </w:pPr>
      <w:r w:rsidRPr="003D56B2">
        <w:rPr>
          <w:b/>
          <w:lang w:eastAsia="es-CO"/>
        </w:rPr>
        <w:t>Resolución CREG 009 de 1996:</w:t>
      </w:r>
      <w:r w:rsidRPr="003D56B2">
        <w:rPr>
          <w:lang w:eastAsia="es-CO"/>
        </w:rPr>
        <w:t xml:space="preserve"> por la cual se modifica y complementa la Resolución CREG 080 de 1995 y se adoptan decisiones en materia de tarifas de energía eléctrica.</w:t>
      </w:r>
    </w:p>
    <w:p w14:paraId="424604A9" w14:textId="164338C7" w:rsidR="00E13D6E" w:rsidRPr="003D56B2" w:rsidRDefault="00E13D6E" w:rsidP="006C0D5C">
      <w:pPr>
        <w:ind w:left="426"/>
        <w:rPr>
          <w:lang w:eastAsia="es-CO"/>
        </w:rPr>
      </w:pPr>
      <w:r w:rsidRPr="003D56B2">
        <w:rPr>
          <w:lang w:eastAsia="es-CO"/>
        </w:rPr>
        <w:t xml:space="preserve">Esta resolución establece que “cuando la energía reactiva registrada sea mayor o igual al 50% de la energía activa consumida, durante el mismo periodo de facturación, las empresas liquidarán los excedentes sobre este 50% de esta energía reactiva con la tarifa de la respectiva energía activa”. </w:t>
      </w:r>
    </w:p>
    <w:p w14:paraId="132DA8E1" w14:textId="71D7C119" w:rsidR="00E13D6E" w:rsidRPr="003D56B2" w:rsidRDefault="00E13D6E" w:rsidP="006C0D5C">
      <w:pPr>
        <w:ind w:left="426"/>
        <w:rPr>
          <w:lang w:eastAsia="es-CO"/>
        </w:rPr>
      </w:pPr>
      <w:r w:rsidRPr="003D56B2">
        <w:rPr>
          <w:lang w:eastAsia="es-CO"/>
        </w:rPr>
        <w:t>Vale la pena indicar que un consumo de energía reactiva mayor o igual a un 50% de la energía activa consumida corresponde a un factor de potencia en la demanda igual a 0.9 (puntualmente, a 0.894). Según la revisión del marco regulatorio, esta resolución es la primera que establece cobros por consumo de reactivos</w:t>
      </w:r>
      <w:r w:rsidR="009A661E" w:rsidRPr="003D56B2">
        <w:rPr>
          <w:lang w:eastAsia="es-CO"/>
        </w:rPr>
        <w:t xml:space="preserve"> </w:t>
      </w:r>
      <w:r w:rsidR="00A352A6" w:rsidRPr="003D56B2">
        <w:rPr>
          <w:lang w:eastAsia="es-CO"/>
        </w:rPr>
        <w:t>en exceso sobre este límite</w:t>
      </w:r>
      <w:r w:rsidRPr="003D56B2">
        <w:rPr>
          <w:lang w:eastAsia="es-CO"/>
        </w:rPr>
        <w:t xml:space="preserve">. </w:t>
      </w:r>
    </w:p>
    <w:p w14:paraId="7C83A1D4" w14:textId="77777777" w:rsidR="00E13D6E" w:rsidRPr="003D56B2" w:rsidRDefault="00E13D6E" w:rsidP="00826981">
      <w:pPr>
        <w:numPr>
          <w:ilvl w:val="0"/>
          <w:numId w:val="4"/>
        </w:numPr>
        <w:ind w:left="426"/>
        <w:rPr>
          <w:lang w:eastAsia="es-CO"/>
        </w:rPr>
      </w:pPr>
      <w:r w:rsidRPr="003D56B2">
        <w:rPr>
          <w:b/>
          <w:lang w:eastAsia="es-CO"/>
        </w:rPr>
        <w:t>Resolución CREG 099 de 1997:</w:t>
      </w:r>
      <w:r w:rsidRPr="003D56B2">
        <w:rPr>
          <w:lang w:eastAsia="es-CO"/>
        </w:rPr>
        <w:t xml:space="preserve"> por la cual se aprueban los principios generales y la metodología para el establecimiento de los cargos por uso de los Sistemas de Transmisión Regional y/o Distribución Local.</w:t>
      </w:r>
    </w:p>
    <w:p w14:paraId="60E43674" w14:textId="77777777" w:rsidR="00E13D6E" w:rsidRPr="003D56B2" w:rsidRDefault="00E13D6E" w:rsidP="00A352A6">
      <w:pPr>
        <w:ind w:left="426"/>
        <w:rPr>
          <w:lang w:eastAsia="es-CO"/>
        </w:rPr>
      </w:pPr>
      <w:r w:rsidRPr="003D56B2">
        <w:rPr>
          <w:lang w:eastAsia="es-CO"/>
        </w:rPr>
        <w:t>En esta resolución se reglamenta que el suministro y consumo de energía reactiva en el SIN es el 50% de la energía activa entregada a un usuario. Así, el exceso sobre este límite se considera como energía activa para efectos de liquidar el cargo por uso del respectivo sistema. Se aclara el hecho que la liquidación del exceso de la energía reactiva debe ser liquidada como energía activa con el cargo por uso.</w:t>
      </w:r>
    </w:p>
    <w:p w14:paraId="4C8EB1C0" w14:textId="1297DC7C" w:rsidR="00E13D6E" w:rsidRPr="003D56B2" w:rsidRDefault="00E13D6E" w:rsidP="00826981">
      <w:pPr>
        <w:numPr>
          <w:ilvl w:val="0"/>
          <w:numId w:val="4"/>
        </w:numPr>
        <w:ind w:left="426"/>
        <w:rPr>
          <w:lang w:eastAsia="es-CO"/>
        </w:rPr>
      </w:pPr>
      <w:r w:rsidRPr="003D56B2">
        <w:rPr>
          <w:b/>
          <w:lang w:eastAsia="es-CO"/>
        </w:rPr>
        <w:t>Resolución CREG 108 de 1997:</w:t>
      </w:r>
      <w:r w:rsidRPr="003D56B2">
        <w:rPr>
          <w:lang w:eastAsia="es-CO"/>
        </w:rPr>
        <w:t xml:space="preserve"> por la cual se señalan criterios generales sobre protección de los derechos de los usuarios de los servicios públicos domiciliarios de </w:t>
      </w:r>
      <w:r w:rsidRPr="003D56B2">
        <w:rPr>
          <w:lang w:eastAsia="es-CO"/>
        </w:rPr>
        <w:lastRenderedPageBreak/>
        <w:t xml:space="preserve">energía eléctrica y gas combustible por red física, en relación con la facturación, comercialización y demás asuntos relativos a la relación entre la empresa y el usuario, y se dictan otras disposiciones. </w:t>
      </w:r>
    </w:p>
    <w:p w14:paraId="1945EAA5" w14:textId="1FE45D91" w:rsidR="00E13D6E" w:rsidRPr="003D56B2" w:rsidRDefault="00D47E3C" w:rsidP="002E74F4">
      <w:pPr>
        <w:ind w:left="426"/>
        <w:rPr>
          <w:lang w:eastAsia="es-CO"/>
        </w:rPr>
      </w:pPr>
      <w:r w:rsidRPr="003D56B2">
        <w:rPr>
          <w:lang w:eastAsia="es-CO"/>
        </w:rPr>
        <w:t xml:space="preserve">Allí se </w:t>
      </w:r>
      <w:r w:rsidR="00E13D6E" w:rsidRPr="003D56B2">
        <w:rPr>
          <w:lang w:eastAsia="es-CO"/>
        </w:rPr>
        <w:t>establece que el factor de potencia inductivo debe ser igual o superior a 0.90. A su vez, el OR debe exigir a aquellas instalaciones que violen este límite la instalación de equipos apropiados para controlar y medir la energía reactiva. Cabe resaltar que a diferencia de la Resolución CREG 009 de 1996, en esta resolución se especifica que el factor de potencia para el cual se exige la instalación de equipos de control y medición de energía reactiva es de naturaleza inductiva.</w:t>
      </w:r>
    </w:p>
    <w:p w14:paraId="2A4771E4" w14:textId="3CCD9C31" w:rsidR="00E13D6E" w:rsidRPr="003D56B2" w:rsidRDefault="00E13D6E" w:rsidP="002E74F4">
      <w:pPr>
        <w:ind w:left="426"/>
        <w:rPr>
          <w:lang w:eastAsia="es-CO"/>
        </w:rPr>
      </w:pPr>
      <w:r w:rsidRPr="003D56B2">
        <w:rPr>
          <w:lang w:eastAsia="es-CO"/>
        </w:rPr>
        <w:t>También, establece que en la prestación del servicio público domiciliario de energía eléctrica se controla el factor de potencia de los usuarios no residenciales, como también de los residenciales conectados a un nivel de tensión superior al 1</w:t>
      </w:r>
      <w:r w:rsidR="009853C5" w:rsidRPr="003D56B2">
        <w:rPr>
          <w:lang w:eastAsia="es-CO"/>
        </w:rPr>
        <w:t xml:space="preserve"> (este aspecto fue derogado en la Resolución CREG 047 de 2004)</w:t>
      </w:r>
      <w:r w:rsidRPr="003D56B2">
        <w:rPr>
          <w:lang w:eastAsia="es-CO"/>
        </w:rPr>
        <w:t>.</w:t>
      </w:r>
    </w:p>
    <w:p w14:paraId="11E90947" w14:textId="77777777" w:rsidR="00E13D6E" w:rsidRPr="003D56B2" w:rsidRDefault="00E13D6E" w:rsidP="00826981">
      <w:pPr>
        <w:numPr>
          <w:ilvl w:val="0"/>
          <w:numId w:val="4"/>
        </w:numPr>
        <w:ind w:left="426" w:hanging="426"/>
        <w:rPr>
          <w:lang w:eastAsia="es-CO"/>
        </w:rPr>
      </w:pPr>
      <w:r w:rsidRPr="003D56B2">
        <w:rPr>
          <w:b/>
          <w:lang w:eastAsia="es-CO"/>
        </w:rPr>
        <w:t>Resolución CREG 070 de 1998:</w:t>
      </w:r>
      <w:r w:rsidRPr="003D56B2">
        <w:rPr>
          <w:lang w:eastAsia="es-CO"/>
        </w:rPr>
        <w:t xml:space="preserve"> por la cual se establece el Reglamento de Distribución de Energía Eléctrica, como parte del Reglamento de Operación del Sistema Interconectado Nacional. </w:t>
      </w:r>
    </w:p>
    <w:p w14:paraId="3415AD47" w14:textId="19CA5A3D" w:rsidR="00E13D6E" w:rsidRPr="003D56B2" w:rsidRDefault="002E74F4" w:rsidP="0061323E">
      <w:pPr>
        <w:ind w:left="426"/>
        <w:rPr>
          <w:lang w:eastAsia="es-CO"/>
        </w:rPr>
      </w:pPr>
      <w:r w:rsidRPr="003D56B2">
        <w:rPr>
          <w:lang w:eastAsia="es-CO"/>
        </w:rPr>
        <w:t>S</w:t>
      </w:r>
      <w:r w:rsidR="00E13D6E" w:rsidRPr="003D56B2">
        <w:rPr>
          <w:lang w:eastAsia="es-CO"/>
        </w:rPr>
        <w:t>e establece</w:t>
      </w:r>
      <w:r w:rsidRPr="003D56B2">
        <w:rPr>
          <w:lang w:eastAsia="es-CO"/>
        </w:rPr>
        <w:t>n</w:t>
      </w:r>
      <w:r w:rsidR="00E13D6E" w:rsidRPr="003D56B2">
        <w:rPr>
          <w:lang w:eastAsia="es-CO"/>
        </w:rPr>
        <w:t xml:space="preserve"> los requisitos generales de los equipos de medida, entre ellos los medidores de potencia reactiva y menciona que el factor de potencia de la carga conectada por el usuario no deberá ser inferior al establecido en la Resolución CREG 108 de 1997 o las normas que la modifiquen y sustituyan, esto es 0.90.</w:t>
      </w:r>
    </w:p>
    <w:p w14:paraId="6816153A" w14:textId="77777777" w:rsidR="00E13D6E" w:rsidRPr="003D56B2" w:rsidRDefault="00E13D6E" w:rsidP="00826981">
      <w:pPr>
        <w:numPr>
          <w:ilvl w:val="0"/>
          <w:numId w:val="4"/>
        </w:numPr>
        <w:ind w:left="426"/>
        <w:rPr>
          <w:lang w:eastAsia="es-CO"/>
        </w:rPr>
      </w:pPr>
      <w:r w:rsidRPr="003D56B2">
        <w:rPr>
          <w:b/>
          <w:lang w:eastAsia="es-CO"/>
        </w:rPr>
        <w:t>Resolución CREG 082 de 2002:</w:t>
      </w:r>
      <w:r w:rsidRPr="003D56B2">
        <w:rPr>
          <w:lang w:eastAsia="es-CO"/>
        </w:rPr>
        <w:t xml:space="preserve"> por la cual se aprueban los principios generales y la metodología para el establecimiento de los cargos por uso de los Sistemas de Transmisión Regional y Distribución Local. </w:t>
      </w:r>
    </w:p>
    <w:p w14:paraId="32394EFA" w14:textId="5265A982" w:rsidR="00E13D6E" w:rsidRPr="003D56B2" w:rsidRDefault="00E13D6E" w:rsidP="0061323E">
      <w:pPr>
        <w:ind w:left="426"/>
        <w:rPr>
          <w:lang w:eastAsia="es-CO"/>
        </w:rPr>
      </w:pPr>
      <w:r w:rsidRPr="003D56B2">
        <w:rPr>
          <w:lang w:eastAsia="es-CO"/>
        </w:rPr>
        <w:t xml:space="preserve">Esta resolución incluye el exceso sobre el límite de energía reactiva (energía reactiva consumida por un </w:t>
      </w:r>
      <w:r w:rsidR="00774995" w:rsidRPr="003D56B2">
        <w:rPr>
          <w:lang w:eastAsia="es-CO"/>
        </w:rPr>
        <w:t>u</w:t>
      </w:r>
      <w:r w:rsidRPr="003D56B2">
        <w:rPr>
          <w:lang w:eastAsia="es-CO"/>
        </w:rPr>
        <w:t>suario, sea mayor al 50% de la energía activa) en la liquidación mensual del cargo por uso del sistema.</w:t>
      </w:r>
    </w:p>
    <w:p w14:paraId="5B979ECA" w14:textId="35023461" w:rsidR="00E13D6E" w:rsidRPr="003D56B2" w:rsidRDefault="00E13D6E" w:rsidP="0061323E">
      <w:pPr>
        <w:ind w:left="426"/>
        <w:rPr>
          <w:lang w:eastAsia="es-CO"/>
        </w:rPr>
      </w:pPr>
      <w:r w:rsidRPr="003D56B2">
        <w:rPr>
          <w:lang w:eastAsia="es-CO"/>
        </w:rPr>
        <w:t xml:space="preserve">También, indica que los OR pueden conectar equipos de medida de energía reactiva para aquellos usuarios </w:t>
      </w:r>
      <w:r w:rsidR="007E4460" w:rsidRPr="003D56B2">
        <w:rPr>
          <w:lang w:eastAsia="es-CO"/>
        </w:rPr>
        <w:t>residenciales</w:t>
      </w:r>
      <w:r w:rsidRPr="003D56B2">
        <w:rPr>
          <w:lang w:eastAsia="es-CO"/>
        </w:rPr>
        <w:t>, no residenciales o fronteras comerciales, con el fin de establecer cobro de energía reactiva.</w:t>
      </w:r>
    </w:p>
    <w:p w14:paraId="62B3A0A5" w14:textId="77777777" w:rsidR="00E13D6E" w:rsidRPr="003D56B2" w:rsidRDefault="00E13D6E" w:rsidP="00826981">
      <w:pPr>
        <w:numPr>
          <w:ilvl w:val="0"/>
          <w:numId w:val="4"/>
        </w:numPr>
        <w:ind w:left="426"/>
        <w:rPr>
          <w:lang w:eastAsia="es-CO"/>
        </w:rPr>
      </w:pPr>
      <w:r w:rsidRPr="003D56B2">
        <w:rPr>
          <w:b/>
          <w:lang w:eastAsia="es-CO"/>
        </w:rPr>
        <w:t>Resolución CREG 047 de 2004:</w:t>
      </w:r>
      <w:r w:rsidRPr="003D56B2">
        <w:rPr>
          <w:lang w:eastAsia="es-CO"/>
        </w:rPr>
        <w:t xml:space="preserve"> por la cual se modifica la resolución CREG 108 de 1997. </w:t>
      </w:r>
    </w:p>
    <w:p w14:paraId="2026BE0C" w14:textId="77777777" w:rsidR="00E13D6E" w:rsidRPr="003D56B2" w:rsidRDefault="00E13D6E" w:rsidP="009521D3">
      <w:pPr>
        <w:ind w:left="426"/>
        <w:rPr>
          <w:lang w:eastAsia="es-CO"/>
        </w:rPr>
      </w:pPr>
      <w:r w:rsidRPr="003D56B2">
        <w:rPr>
          <w:lang w:eastAsia="es-CO"/>
        </w:rPr>
        <w:t xml:space="preserve">En esta normativa se define la potencia reactiva como la cantidad de </w:t>
      </w:r>
      <w:proofErr w:type="spellStart"/>
      <w:r w:rsidRPr="003D56B2">
        <w:rPr>
          <w:lang w:eastAsia="es-CO"/>
        </w:rPr>
        <w:t>kVArh</w:t>
      </w:r>
      <w:proofErr w:type="spellEnd"/>
      <w:r w:rsidRPr="003D56B2">
        <w:rPr>
          <w:lang w:eastAsia="es-CO"/>
        </w:rPr>
        <w:t xml:space="preserve"> transportados a través de las redes que conforman los STR y SDL registrados mediante los equipos de medida de energía reactiva ubicados en las fronteras comerciales de los respectivos usuarios.</w:t>
      </w:r>
    </w:p>
    <w:p w14:paraId="09559F9D" w14:textId="7B5977FC" w:rsidR="00E13D6E" w:rsidRPr="003D56B2" w:rsidRDefault="00E13D6E" w:rsidP="009521D3">
      <w:pPr>
        <w:ind w:left="426"/>
        <w:rPr>
          <w:lang w:eastAsia="es-CO"/>
        </w:rPr>
      </w:pPr>
      <w:r w:rsidRPr="003D56B2">
        <w:rPr>
          <w:lang w:eastAsia="es-CO"/>
        </w:rPr>
        <w:t xml:space="preserve">Esta resolución modifica el artículo 25 de la 108 de 1997, indicando que el control del factor de potencia se da en el consumo de energía reactiva de los usuarios finales, para los que se liquida y cobra siguiendo el artículo 11 de la Resolución CREG 082 de 2002. De igual forma, se </w:t>
      </w:r>
      <w:r w:rsidR="0082663C" w:rsidRPr="003D56B2">
        <w:rPr>
          <w:lang w:eastAsia="es-CO"/>
        </w:rPr>
        <w:t>define</w:t>
      </w:r>
      <w:r w:rsidRPr="003D56B2">
        <w:rPr>
          <w:lang w:eastAsia="es-CO"/>
        </w:rPr>
        <w:t xml:space="preserve"> que el cobro se calcula solamente con el componente de distribución y no con el valor total de la tarifa.</w:t>
      </w:r>
    </w:p>
    <w:p w14:paraId="34D907ED" w14:textId="77777777" w:rsidR="00E13D6E" w:rsidRPr="003D56B2" w:rsidRDefault="00E13D6E" w:rsidP="00F76F8D">
      <w:pPr>
        <w:ind w:left="426"/>
        <w:rPr>
          <w:lang w:eastAsia="es-CO"/>
        </w:rPr>
      </w:pPr>
      <w:r w:rsidRPr="003D56B2">
        <w:rPr>
          <w:lang w:eastAsia="es-CO"/>
        </w:rPr>
        <w:t>Finalmente, se indica que el OR puede exigir a las instalaciones que excedan el factor de potencia inductivo (0.90) que instalen equipos apropiados para controlar y medir la energía reactiva.</w:t>
      </w:r>
      <w:r w:rsidRPr="003D56B2">
        <w:rPr>
          <w:lang w:eastAsia="es-CO"/>
        </w:rPr>
        <w:tab/>
      </w:r>
    </w:p>
    <w:p w14:paraId="1B55CE89" w14:textId="77777777" w:rsidR="00E13D6E" w:rsidRPr="003D56B2" w:rsidRDefault="00E13D6E" w:rsidP="00826981">
      <w:pPr>
        <w:numPr>
          <w:ilvl w:val="0"/>
          <w:numId w:val="4"/>
        </w:numPr>
        <w:ind w:left="426"/>
        <w:rPr>
          <w:lang w:eastAsia="es-CO"/>
        </w:rPr>
      </w:pPr>
      <w:r w:rsidRPr="003D56B2">
        <w:rPr>
          <w:b/>
          <w:lang w:eastAsia="es-CO"/>
        </w:rPr>
        <w:lastRenderedPageBreak/>
        <w:t>Resolución CREG 097 de 2008:</w:t>
      </w:r>
      <w:r w:rsidRPr="003D56B2">
        <w:rPr>
          <w:lang w:eastAsia="es-CO"/>
        </w:rPr>
        <w:t xml:space="preserve"> por la cual se aprueban los principios generales y la metodología para el establecimiento de los cargos por uso de los Sistemas de Transmisión Regional y Distribución Local. </w:t>
      </w:r>
    </w:p>
    <w:p w14:paraId="45E11358" w14:textId="77777777" w:rsidR="00E13D6E" w:rsidRPr="003D56B2" w:rsidRDefault="00E13D6E" w:rsidP="00EC0793">
      <w:pPr>
        <w:ind w:left="426"/>
        <w:rPr>
          <w:lang w:eastAsia="es-CO"/>
        </w:rPr>
      </w:pPr>
      <w:r w:rsidRPr="003D56B2">
        <w:rPr>
          <w:lang w:eastAsia="es-CO"/>
        </w:rPr>
        <w:t xml:space="preserve">En esta resolución se establece la función del comercializador como recaudador de los costos del transporte de energía reactiva en exceso. Relacionado con el transporte de energía reactiva, se especifica que en caso de que la energía reactiva consumida por un usuario del STR o SDL sea mayor al 50% de la energía activa que le es entregada en cada periodo horario, el exceso sobre este límite, en cada periodo, se considerará como energía activa para efectos de liquidar mensualmente el cargo por uso del respectivo sistema. </w:t>
      </w:r>
    </w:p>
    <w:p w14:paraId="66AFEBEF" w14:textId="77777777" w:rsidR="00E13D6E" w:rsidRPr="003D56B2" w:rsidRDefault="00E13D6E" w:rsidP="00350455">
      <w:pPr>
        <w:ind w:left="426"/>
        <w:rPr>
          <w:lang w:eastAsia="es-CO"/>
        </w:rPr>
      </w:pPr>
      <w:r w:rsidRPr="003D56B2">
        <w:rPr>
          <w:lang w:eastAsia="es-CO"/>
        </w:rPr>
        <w:t>También, la resolución enuncia que los costos del transporte de la energía reactiva en exceso son recaudados por el comercializador.</w:t>
      </w:r>
    </w:p>
    <w:p w14:paraId="05FB2F48" w14:textId="77777777" w:rsidR="00E13D6E" w:rsidRPr="003D56B2" w:rsidRDefault="00E13D6E" w:rsidP="00350455">
      <w:pPr>
        <w:ind w:left="426"/>
        <w:rPr>
          <w:lang w:eastAsia="es-CO"/>
        </w:rPr>
      </w:pPr>
      <w:r w:rsidRPr="4A044BE5">
        <w:rPr>
          <w:lang w:eastAsia="es-CO"/>
        </w:rPr>
        <w:t>Finalmente, se establece que el OR puede conectar equipos de medida de energía reactiva para identificar a aquellos usuarios o fronteras comerciales que, por su consumo de energía reactiva, estén obligados al pago de esta.</w:t>
      </w:r>
    </w:p>
    <w:p w14:paraId="23FB4A77" w14:textId="77777777" w:rsidR="00E13D6E" w:rsidRPr="003D56B2" w:rsidRDefault="00E13D6E" w:rsidP="00826981">
      <w:pPr>
        <w:numPr>
          <w:ilvl w:val="0"/>
          <w:numId w:val="4"/>
        </w:numPr>
        <w:ind w:left="426"/>
        <w:rPr>
          <w:lang w:eastAsia="es-CO"/>
        </w:rPr>
      </w:pPr>
      <w:r w:rsidRPr="003D56B2">
        <w:rPr>
          <w:b/>
          <w:lang w:eastAsia="es-CO"/>
        </w:rPr>
        <w:t>Resolución CREG 015 de 2018:</w:t>
      </w:r>
      <w:r w:rsidRPr="003D56B2">
        <w:rPr>
          <w:lang w:eastAsia="es-CO"/>
        </w:rPr>
        <w:t xml:space="preserve"> por la cual se establece la metodología para la remuneración de la actividad de distribución de energía eléctrica en el Sistema Interconectado Nacional.</w:t>
      </w:r>
    </w:p>
    <w:p w14:paraId="7A6481B5" w14:textId="77777777" w:rsidR="00E13D6E" w:rsidRPr="003D56B2" w:rsidRDefault="00E13D6E" w:rsidP="00350455">
      <w:pPr>
        <w:ind w:left="426"/>
        <w:rPr>
          <w:lang w:eastAsia="es-CO"/>
        </w:rPr>
      </w:pPr>
      <w:r w:rsidRPr="003D56B2">
        <w:rPr>
          <w:lang w:eastAsia="es-CO"/>
        </w:rPr>
        <w:t>Dicha resolución, en el capítulo 12, desarrolla todo lo relacionado con los causales de los costos de transporte de energía reactiva, como lo son los consumos de energía activa reactiva inductiva por parte de un OR y por el usuario final, a la vez que por mediciones de transporte de energía reactiva capacitiva (costo sobre la totalidad del registro).</w:t>
      </w:r>
    </w:p>
    <w:p w14:paraId="7CD0EBB8" w14:textId="77777777" w:rsidR="00E13D6E" w:rsidRPr="003D56B2" w:rsidRDefault="00E13D6E" w:rsidP="00350455">
      <w:pPr>
        <w:ind w:left="426"/>
        <w:rPr>
          <w:lang w:eastAsia="es-CO"/>
        </w:rPr>
      </w:pPr>
      <w:r w:rsidRPr="003D56B2">
        <w:rPr>
          <w:lang w:eastAsia="es-CO"/>
        </w:rPr>
        <w:t>También, “se exceptúa de pago del costo de transporte de energía reactiva a las plantas generadoras, las cuales están obligadas a participar en el control de tensión por medio de la generación o absorción de potencia reactiva”.</w:t>
      </w:r>
    </w:p>
    <w:p w14:paraId="26350315" w14:textId="1964CAAC" w:rsidR="007766AE" w:rsidRPr="003D56B2" w:rsidRDefault="007766AE" w:rsidP="00F76F8D">
      <w:pPr>
        <w:ind w:left="426"/>
        <w:rPr>
          <w:lang w:eastAsia="es-CO"/>
        </w:rPr>
      </w:pPr>
      <w:r w:rsidRPr="003D56B2">
        <w:rPr>
          <w:lang w:eastAsia="es-CO"/>
        </w:rPr>
        <w:t xml:space="preserve">En esta resolución se mantiene el estándar </w:t>
      </w:r>
      <w:r w:rsidR="0088365F" w:rsidRPr="003D56B2">
        <w:rPr>
          <w:lang w:eastAsia="es-CO"/>
        </w:rPr>
        <w:t xml:space="preserve">del factor de potencia en 0,9 para el caso del transporte de la energía reactiva inductiva mientras que </w:t>
      </w:r>
      <w:r w:rsidR="00CF7FD4" w:rsidRPr="003D56B2">
        <w:rPr>
          <w:lang w:eastAsia="es-CO"/>
        </w:rPr>
        <w:t xml:space="preserve">establece que el factor de potencia para </w:t>
      </w:r>
      <w:r w:rsidR="0088365F" w:rsidRPr="003D56B2">
        <w:rPr>
          <w:lang w:eastAsia="es-CO"/>
        </w:rPr>
        <w:t>la energía reactiva capacitiva</w:t>
      </w:r>
      <w:r w:rsidR="00CF7FD4" w:rsidRPr="003D56B2">
        <w:rPr>
          <w:lang w:eastAsia="es-CO"/>
        </w:rPr>
        <w:t xml:space="preserve"> debe ser igual a la unidad (FP = 1)</w:t>
      </w:r>
      <w:r w:rsidR="00661AA1" w:rsidRPr="003D56B2">
        <w:rPr>
          <w:lang w:eastAsia="es-CO"/>
        </w:rPr>
        <w:t>, ante la ausencia de dicho estándar en el sistema.</w:t>
      </w:r>
    </w:p>
    <w:p w14:paraId="5EC9A022" w14:textId="06CD6E09" w:rsidR="00A85088" w:rsidRPr="003D56B2" w:rsidRDefault="00E13D6E" w:rsidP="00F76F8D">
      <w:pPr>
        <w:ind w:left="426"/>
        <w:rPr>
          <w:lang w:eastAsia="es-CO"/>
        </w:rPr>
      </w:pPr>
      <w:r w:rsidRPr="003D56B2">
        <w:rPr>
          <w:lang w:eastAsia="es-CO"/>
        </w:rPr>
        <w:t xml:space="preserve">Finalmente, esta resolución incluye un factor multiplicador M </w:t>
      </w:r>
      <w:r w:rsidR="00661AA1" w:rsidRPr="003D56B2">
        <w:rPr>
          <w:lang w:eastAsia="es-CO"/>
        </w:rPr>
        <w:t xml:space="preserve">que influye en el cobro de un usuario </w:t>
      </w:r>
      <w:r w:rsidR="00C70206" w:rsidRPr="003D56B2">
        <w:rPr>
          <w:lang w:eastAsia="es-CO"/>
        </w:rPr>
        <w:t>que se encuentra por fuera de los límites (FP=0,9 en atraso o FP=1 en adelanto)</w:t>
      </w:r>
      <w:r w:rsidR="009B7B15" w:rsidRPr="003D56B2">
        <w:rPr>
          <w:lang w:eastAsia="es-CO"/>
        </w:rPr>
        <w:t xml:space="preserve"> de m</w:t>
      </w:r>
      <w:r w:rsidRPr="003D56B2">
        <w:rPr>
          <w:lang w:eastAsia="es-CO"/>
        </w:rPr>
        <w:t>anera</w:t>
      </w:r>
      <w:r w:rsidR="009B7B15" w:rsidRPr="003D56B2">
        <w:rPr>
          <w:lang w:eastAsia="es-CO"/>
        </w:rPr>
        <w:t xml:space="preserve"> que</w:t>
      </w:r>
      <w:r w:rsidRPr="003D56B2">
        <w:rPr>
          <w:lang w:eastAsia="es-CO"/>
        </w:rPr>
        <w:t>, si no se realiza una corrección adecuada, el costo por energía reactiva crecerá mensualmente</w:t>
      </w:r>
      <w:r w:rsidR="005F352E" w:rsidRPr="003D56B2">
        <w:rPr>
          <w:lang w:eastAsia="es-CO"/>
        </w:rPr>
        <w:t>,</w:t>
      </w:r>
      <w:r w:rsidRPr="003D56B2">
        <w:rPr>
          <w:lang w:eastAsia="es-CO"/>
        </w:rPr>
        <w:t xml:space="preserve"> hasta </w:t>
      </w:r>
      <w:r w:rsidR="005F352E" w:rsidRPr="003D56B2">
        <w:rPr>
          <w:lang w:eastAsia="es-CO"/>
        </w:rPr>
        <w:t xml:space="preserve">alcanzar </w:t>
      </w:r>
      <w:r w:rsidRPr="003D56B2">
        <w:rPr>
          <w:lang w:eastAsia="es-CO"/>
        </w:rPr>
        <w:t xml:space="preserve">un factor </w:t>
      </w:r>
      <w:r w:rsidR="005F352E" w:rsidRPr="003D56B2">
        <w:rPr>
          <w:lang w:eastAsia="es-CO"/>
        </w:rPr>
        <w:t>igual a</w:t>
      </w:r>
      <w:r w:rsidRPr="003D56B2">
        <w:rPr>
          <w:lang w:eastAsia="es-CO"/>
        </w:rPr>
        <w:t xml:space="preserve"> 12. </w:t>
      </w:r>
    </w:p>
    <w:p w14:paraId="75EFF27E" w14:textId="7347345F" w:rsidR="00E13D6E" w:rsidRPr="003D56B2" w:rsidRDefault="005F352E" w:rsidP="00F76F8D">
      <w:pPr>
        <w:ind w:left="426"/>
        <w:rPr>
          <w:lang w:eastAsia="es-CO"/>
        </w:rPr>
      </w:pPr>
      <w:r w:rsidRPr="003D56B2">
        <w:rPr>
          <w:lang w:eastAsia="es-CO"/>
        </w:rPr>
        <w:t>E</w:t>
      </w:r>
      <w:r w:rsidR="00E13D6E" w:rsidRPr="003D56B2">
        <w:rPr>
          <w:lang w:eastAsia="es-CO"/>
        </w:rPr>
        <w:t xml:space="preserve">l costo </w:t>
      </w:r>
      <w:r w:rsidR="00A85088" w:rsidRPr="003D56B2">
        <w:rPr>
          <w:lang w:eastAsia="es-CO"/>
        </w:rPr>
        <w:t xml:space="preserve">incremental </w:t>
      </w:r>
      <w:r w:rsidR="00E13D6E" w:rsidRPr="003D56B2">
        <w:rPr>
          <w:lang w:eastAsia="es-CO"/>
        </w:rPr>
        <w:t>de</w:t>
      </w:r>
      <w:r w:rsidR="00A85088" w:rsidRPr="003D56B2">
        <w:rPr>
          <w:lang w:eastAsia="es-CO"/>
        </w:rPr>
        <w:t xml:space="preserve">l transporte de </w:t>
      </w:r>
      <w:r w:rsidR="00E13D6E" w:rsidRPr="003D56B2">
        <w:rPr>
          <w:lang w:eastAsia="es-CO"/>
        </w:rPr>
        <w:t xml:space="preserve">energía </w:t>
      </w:r>
      <w:r w:rsidR="00A85088" w:rsidRPr="003D56B2">
        <w:rPr>
          <w:lang w:eastAsia="es-CO"/>
        </w:rPr>
        <w:t xml:space="preserve">reactiva en exceso sobre los límites </w:t>
      </w:r>
      <w:r w:rsidR="00F93DE7" w:rsidRPr="003D56B2">
        <w:rPr>
          <w:lang w:eastAsia="es-CO"/>
        </w:rPr>
        <w:t xml:space="preserve">a quien no haya </w:t>
      </w:r>
      <w:r w:rsidRPr="003D56B2">
        <w:rPr>
          <w:lang w:eastAsia="es-CO"/>
        </w:rPr>
        <w:t xml:space="preserve">corregido </w:t>
      </w:r>
      <w:r w:rsidR="00F93DE7" w:rsidRPr="003D56B2">
        <w:rPr>
          <w:lang w:eastAsia="es-CO"/>
        </w:rPr>
        <w:t>sus instalaciones particulares para evitar</w:t>
      </w:r>
      <w:r w:rsidR="000E4DB2" w:rsidRPr="003D56B2">
        <w:rPr>
          <w:lang w:eastAsia="es-CO"/>
        </w:rPr>
        <w:t>lo</w:t>
      </w:r>
      <w:r w:rsidR="00D67BF0" w:rsidRPr="003D56B2">
        <w:rPr>
          <w:lang w:eastAsia="es-CO"/>
        </w:rPr>
        <w:t xml:space="preserve">, </w:t>
      </w:r>
      <w:r w:rsidR="000E4DB2" w:rsidRPr="003D56B2">
        <w:rPr>
          <w:lang w:eastAsia="es-CO"/>
        </w:rPr>
        <w:t>es</w:t>
      </w:r>
      <w:r w:rsidR="00C81433" w:rsidRPr="003D56B2">
        <w:rPr>
          <w:lang w:eastAsia="es-CO"/>
        </w:rPr>
        <w:t xml:space="preserve"> </w:t>
      </w:r>
      <w:r w:rsidR="00D67BF0" w:rsidRPr="003D56B2">
        <w:rPr>
          <w:lang w:eastAsia="es-CO"/>
        </w:rPr>
        <w:t xml:space="preserve">el principal incentivo para que dicho usuario alcance su </w:t>
      </w:r>
      <w:r w:rsidR="00C863FA" w:rsidRPr="003D56B2">
        <w:rPr>
          <w:lang w:eastAsia="es-CO"/>
        </w:rPr>
        <w:t xml:space="preserve">motivación económica </w:t>
      </w:r>
      <w:r w:rsidR="000E4DB2" w:rsidRPr="003D56B2">
        <w:rPr>
          <w:lang w:eastAsia="es-CO"/>
        </w:rPr>
        <w:t xml:space="preserve">y pueda </w:t>
      </w:r>
      <w:r w:rsidR="00C863FA" w:rsidRPr="003D56B2">
        <w:rPr>
          <w:lang w:eastAsia="es-CO"/>
        </w:rPr>
        <w:t xml:space="preserve">efectuar las correcciones particulares, en beneficio del resto de usuarios </w:t>
      </w:r>
      <w:r w:rsidR="0003688B" w:rsidRPr="003D56B2">
        <w:rPr>
          <w:lang w:eastAsia="es-CO"/>
        </w:rPr>
        <w:t xml:space="preserve">del sistema </w:t>
      </w:r>
      <w:r w:rsidR="00C863FA" w:rsidRPr="003D56B2">
        <w:rPr>
          <w:lang w:eastAsia="es-CO"/>
        </w:rPr>
        <w:t>quienes</w:t>
      </w:r>
      <w:r w:rsidR="0003688B" w:rsidRPr="003D56B2">
        <w:rPr>
          <w:lang w:eastAsia="es-CO"/>
        </w:rPr>
        <w:t xml:space="preserve"> soportan los costos de los problemas producidos por el transporte de energía reactiva en exceso (mayores pérdidas de energía, menor capacidad de transporte en la infraestructura disponible y variación de voltaje descontrolada)</w:t>
      </w:r>
      <w:r w:rsidR="00C863FA" w:rsidRPr="003D56B2">
        <w:rPr>
          <w:lang w:eastAsia="es-CO"/>
        </w:rPr>
        <w:t xml:space="preserve">, mientras el usuario </w:t>
      </w:r>
      <w:r w:rsidR="0003688B" w:rsidRPr="003D56B2">
        <w:rPr>
          <w:lang w:eastAsia="es-CO"/>
        </w:rPr>
        <w:t xml:space="preserve">que incurre en el transporte en exceso </w:t>
      </w:r>
      <w:r w:rsidR="00C863FA" w:rsidRPr="003D56B2">
        <w:rPr>
          <w:lang w:eastAsia="es-CO"/>
        </w:rPr>
        <w:t xml:space="preserve">no efectúe las correcciones necesarias, </w:t>
      </w:r>
    </w:p>
    <w:p w14:paraId="06B25D7B" w14:textId="579DA446" w:rsidR="00C81433" w:rsidRPr="003D56B2" w:rsidRDefault="00C81433" w:rsidP="00894387">
      <w:pPr>
        <w:ind w:left="426"/>
        <w:rPr>
          <w:lang w:eastAsia="es-CO"/>
        </w:rPr>
      </w:pPr>
      <w:r w:rsidRPr="003D56B2">
        <w:rPr>
          <w:lang w:eastAsia="es-CO"/>
        </w:rPr>
        <w:lastRenderedPageBreak/>
        <w:t xml:space="preserve">Así, los recursos </w:t>
      </w:r>
      <w:r w:rsidR="00931D18" w:rsidRPr="003D56B2">
        <w:rPr>
          <w:lang w:eastAsia="es-CO"/>
        </w:rPr>
        <w:t>a</w:t>
      </w:r>
      <w:r w:rsidRPr="003D56B2">
        <w:rPr>
          <w:lang w:eastAsia="es-CO"/>
        </w:rPr>
        <w:t>porta</w:t>
      </w:r>
      <w:r w:rsidR="00931D18" w:rsidRPr="003D56B2">
        <w:rPr>
          <w:lang w:eastAsia="es-CO"/>
        </w:rPr>
        <w:t>dos</w:t>
      </w:r>
      <w:r w:rsidRPr="003D56B2">
        <w:rPr>
          <w:lang w:eastAsia="es-CO"/>
        </w:rPr>
        <w:t xml:space="preserve"> al sistema </w:t>
      </w:r>
      <w:r w:rsidR="00931D18" w:rsidRPr="003D56B2">
        <w:rPr>
          <w:lang w:eastAsia="es-CO"/>
        </w:rPr>
        <w:t>por parte de los usuarios que incurren en exceso sobre los límites son distribuidos entre los usuarios (50% disminuyendo las tarifas) y el OR del sistema afectado.</w:t>
      </w:r>
    </w:p>
    <w:p w14:paraId="7D89CF95" w14:textId="0463F4AF" w:rsidR="00E13D6E" w:rsidRPr="003D56B2" w:rsidRDefault="00E13D6E" w:rsidP="00826981">
      <w:pPr>
        <w:numPr>
          <w:ilvl w:val="0"/>
          <w:numId w:val="4"/>
        </w:numPr>
        <w:ind w:left="426"/>
        <w:rPr>
          <w:lang w:eastAsia="es-CO"/>
        </w:rPr>
      </w:pPr>
      <w:r w:rsidRPr="003D56B2">
        <w:rPr>
          <w:b/>
          <w:lang w:eastAsia="es-CO"/>
        </w:rPr>
        <w:t>Resolución CREG 1</w:t>
      </w:r>
      <w:r w:rsidR="00683ADC">
        <w:rPr>
          <w:b/>
          <w:lang w:eastAsia="es-CO"/>
        </w:rPr>
        <w:t>9</w:t>
      </w:r>
      <w:r w:rsidRPr="003D56B2">
        <w:rPr>
          <w:b/>
          <w:lang w:eastAsia="es-CO"/>
        </w:rPr>
        <w:t>9 de 2019:</w:t>
      </w:r>
      <w:r w:rsidRPr="003D56B2">
        <w:rPr>
          <w:lang w:eastAsia="es-CO"/>
        </w:rPr>
        <w:t xml:space="preserve"> por la cual se modifican algunas disposiciones de la Resolución CREG 015 de 2018.</w:t>
      </w:r>
    </w:p>
    <w:p w14:paraId="747384CD" w14:textId="0504573F" w:rsidR="00E13D6E" w:rsidRPr="003D56B2" w:rsidRDefault="00417E21" w:rsidP="00D476DE">
      <w:pPr>
        <w:ind w:left="426"/>
        <w:rPr>
          <w:lang w:eastAsia="es-CO"/>
        </w:rPr>
      </w:pPr>
      <w:r w:rsidRPr="003D56B2">
        <w:rPr>
          <w:lang w:eastAsia="es-CO"/>
        </w:rPr>
        <w:t>E</w:t>
      </w:r>
      <w:r w:rsidR="00E13D6E" w:rsidRPr="003D56B2">
        <w:rPr>
          <w:lang w:eastAsia="es-CO"/>
        </w:rPr>
        <w:t xml:space="preserve">n esta resolución la Comisión </w:t>
      </w:r>
      <w:r w:rsidRPr="003D56B2">
        <w:rPr>
          <w:lang w:eastAsia="es-CO"/>
        </w:rPr>
        <w:t xml:space="preserve">aplaza </w:t>
      </w:r>
      <w:r w:rsidR="0031047B" w:rsidRPr="003D56B2">
        <w:rPr>
          <w:lang w:eastAsia="es-CO"/>
        </w:rPr>
        <w:t xml:space="preserve">la </w:t>
      </w:r>
      <w:proofErr w:type="gramStart"/>
      <w:r w:rsidR="0031047B" w:rsidRPr="003D56B2">
        <w:rPr>
          <w:lang w:eastAsia="es-CO"/>
        </w:rPr>
        <w:t>entrada en vigencia</w:t>
      </w:r>
      <w:proofErr w:type="gramEnd"/>
      <w:r w:rsidR="0031047B" w:rsidRPr="003D56B2">
        <w:rPr>
          <w:lang w:eastAsia="es-CO"/>
        </w:rPr>
        <w:t xml:space="preserve"> del crecimiento del factor M en </w:t>
      </w:r>
      <w:r w:rsidR="00E13D6E" w:rsidRPr="003D56B2">
        <w:rPr>
          <w:lang w:eastAsia="es-CO"/>
        </w:rPr>
        <w:t>un año</w:t>
      </w:r>
      <w:r w:rsidR="0031047B" w:rsidRPr="003D56B2">
        <w:rPr>
          <w:lang w:eastAsia="es-CO"/>
        </w:rPr>
        <w:t xml:space="preserve">, con el objeto de permitir que </w:t>
      </w:r>
      <w:r w:rsidR="004854AD" w:rsidRPr="003D56B2">
        <w:rPr>
          <w:lang w:eastAsia="es-CO"/>
        </w:rPr>
        <w:t xml:space="preserve">algunos usuarios pudiesen </w:t>
      </w:r>
      <w:r w:rsidR="0031047B" w:rsidRPr="003D56B2">
        <w:rPr>
          <w:lang w:eastAsia="es-CO"/>
        </w:rPr>
        <w:t>efectuar las</w:t>
      </w:r>
      <w:r w:rsidR="00E13D6E" w:rsidRPr="003D56B2">
        <w:rPr>
          <w:lang w:eastAsia="es-CO"/>
        </w:rPr>
        <w:t xml:space="preserve"> inversiones </w:t>
      </w:r>
      <w:r w:rsidR="009A3133" w:rsidRPr="003D56B2">
        <w:rPr>
          <w:lang w:eastAsia="es-CO"/>
        </w:rPr>
        <w:t>necesarias para cumplir con los límites permitidos.</w:t>
      </w:r>
      <w:r w:rsidR="00E13D6E" w:rsidRPr="003D56B2">
        <w:rPr>
          <w:lang w:eastAsia="es-CO"/>
        </w:rPr>
        <w:t xml:space="preserve"> los rangos permitidos.</w:t>
      </w:r>
    </w:p>
    <w:p w14:paraId="0EBA9321" w14:textId="082E3E68" w:rsidR="00E13D6E" w:rsidRPr="003D56B2" w:rsidRDefault="00E13D6E" w:rsidP="00D476DE">
      <w:pPr>
        <w:ind w:left="426"/>
        <w:rPr>
          <w:lang w:eastAsia="es-CO"/>
        </w:rPr>
      </w:pPr>
      <w:r w:rsidRPr="003D56B2">
        <w:rPr>
          <w:lang w:eastAsia="es-CO"/>
        </w:rPr>
        <w:t xml:space="preserve">Respecto al factor M, se tienen los siguientes cambios </w:t>
      </w:r>
      <w:r w:rsidRPr="003D56B2">
        <w:rPr>
          <w:szCs w:val="22"/>
          <w:lang w:eastAsia="es-CO"/>
        </w:rPr>
        <w:t xml:space="preserve">(ver </w:t>
      </w:r>
      <w:r w:rsidR="00A262F4" w:rsidRPr="003D56B2">
        <w:rPr>
          <w:szCs w:val="22"/>
          <w:lang w:eastAsia="es-CO"/>
        </w:rPr>
        <w:fldChar w:fldCharType="begin"/>
      </w:r>
      <w:r w:rsidR="00A262F4" w:rsidRPr="003D56B2">
        <w:rPr>
          <w:szCs w:val="22"/>
          <w:lang w:eastAsia="es-CO"/>
        </w:rPr>
        <w:instrText xml:space="preserve"> REF _Ref142135109 \h  \* MERGEFORMAT </w:instrText>
      </w:r>
      <w:r w:rsidR="00A262F4" w:rsidRPr="003D56B2">
        <w:rPr>
          <w:szCs w:val="22"/>
          <w:lang w:eastAsia="es-CO"/>
        </w:rPr>
      </w:r>
      <w:r w:rsidR="00A262F4" w:rsidRPr="003D56B2">
        <w:rPr>
          <w:szCs w:val="22"/>
          <w:lang w:eastAsia="es-CO"/>
        </w:rPr>
        <w:fldChar w:fldCharType="separate"/>
      </w:r>
      <w:r w:rsidR="00DC6708" w:rsidRPr="00DC6708">
        <w:rPr>
          <w:szCs w:val="22"/>
          <w:lang w:eastAsia="es-CO"/>
        </w:rPr>
        <w:t>Figura 1</w:t>
      </w:r>
      <w:r w:rsidR="00A262F4" w:rsidRPr="003D56B2">
        <w:rPr>
          <w:szCs w:val="22"/>
          <w:lang w:eastAsia="es-CO"/>
        </w:rPr>
        <w:fldChar w:fldCharType="end"/>
      </w:r>
      <w:r w:rsidR="00A262F4" w:rsidRPr="003D56B2">
        <w:rPr>
          <w:szCs w:val="22"/>
          <w:lang w:eastAsia="es-CO"/>
        </w:rPr>
        <w:t>)</w:t>
      </w:r>
    </w:p>
    <w:p w14:paraId="721D29DA" w14:textId="77777777" w:rsidR="00E75EB2" w:rsidRPr="003D56B2" w:rsidRDefault="00E13D6E" w:rsidP="00826981">
      <w:pPr>
        <w:pStyle w:val="Prrafodelista"/>
        <w:numPr>
          <w:ilvl w:val="0"/>
          <w:numId w:val="8"/>
        </w:numPr>
        <w:ind w:left="851"/>
        <w:rPr>
          <w:lang w:eastAsia="es-CO"/>
        </w:rPr>
      </w:pPr>
      <w:r w:rsidRPr="003D56B2">
        <w:rPr>
          <w:lang w:eastAsia="es-CO"/>
        </w:rPr>
        <w:t xml:space="preserve">Cuando el exceso de energía reactiva se presente </w:t>
      </w:r>
      <w:r w:rsidRPr="003D56B2">
        <w:rPr>
          <w:lang w:eastAsia="es-CO"/>
        </w:rPr>
        <w:br/>
        <w:t xml:space="preserve">durante cualquier período horario, en 10 días o menos de un mismo mes calendario, entonces la variable M será igual a 1. </w:t>
      </w:r>
    </w:p>
    <w:p w14:paraId="0A2F8CBC" w14:textId="2B40B57D" w:rsidR="00E13D6E" w:rsidRPr="003D56B2" w:rsidRDefault="00E13D6E" w:rsidP="00D476DE">
      <w:pPr>
        <w:pStyle w:val="Prrafodelista"/>
        <w:ind w:left="851"/>
        <w:rPr>
          <w:lang w:eastAsia="es-CO"/>
        </w:rPr>
      </w:pPr>
      <w:r w:rsidRPr="003D56B2">
        <w:rPr>
          <w:lang w:eastAsia="es-CO"/>
        </w:rPr>
        <w:t xml:space="preserve">En caso contrario, si dicha duración se da por más de 10 días en un mismo mes calendario, la variable M será igual a 1 durante los primeros 12 meses en los que se presente esta circunstancia, contando desde los consumos del mes de enero de 2020. Este comportamiento se aprecia con la línea verde en la </w:t>
      </w:r>
      <w:r w:rsidR="00A262F4" w:rsidRPr="003D56B2">
        <w:rPr>
          <w:lang w:eastAsia="es-CO"/>
        </w:rPr>
        <w:fldChar w:fldCharType="begin"/>
      </w:r>
      <w:r w:rsidR="00A262F4" w:rsidRPr="003D56B2">
        <w:rPr>
          <w:lang w:eastAsia="es-CO"/>
        </w:rPr>
        <w:instrText xml:space="preserve"> REF _Ref142135109 \h  \* MERGEFORMAT </w:instrText>
      </w:r>
      <w:r w:rsidR="00A262F4" w:rsidRPr="003D56B2">
        <w:rPr>
          <w:lang w:eastAsia="es-CO"/>
        </w:rPr>
      </w:r>
      <w:r w:rsidR="00A262F4" w:rsidRPr="003D56B2">
        <w:rPr>
          <w:lang w:eastAsia="es-CO"/>
        </w:rPr>
        <w:fldChar w:fldCharType="separate"/>
      </w:r>
      <w:r w:rsidR="00DC6708" w:rsidRPr="00DC6708">
        <w:rPr>
          <w:lang w:eastAsia="es-CO"/>
        </w:rPr>
        <w:t>Figura 1</w:t>
      </w:r>
      <w:r w:rsidR="00A262F4" w:rsidRPr="003D56B2">
        <w:rPr>
          <w:lang w:eastAsia="es-CO"/>
        </w:rPr>
        <w:fldChar w:fldCharType="end"/>
      </w:r>
      <w:r w:rsidRPr="003D56B2">
        <w:rPr>
          <w:lang w:eastAsia="es-CO"/>
        </w:rPr>
        <w:t>.</w:t>
      </w:r>
    </w:p>
    <w:p w14:paraId="5D36C19E" w14:textId="1DF77395" w:rsidR="00E13D6E" w:rsidRPr="003D56B2" w:rsidRDefault="00E13D6E" w:rsidP="00826981">
      <w:pPr>
        <w:pStyle w:val="Prrafodelista"/>
        <w:numPr>
          <w:ilvl w:val="0"/>
          <w:numId w:val="8"/>
        </w:numPr>
        <w:ind w:left="851"/>
        <w:rPr>
          <w:lang w:eastAsia="es-CO"/>
        </w:rPr>
      </w:pPr>
      <w:r w:rsidRPr="003D56B2">
        <w:rPr>
          <w:lang w:eastAsia="es-CO"/>
        </w:rPr>
        <w:t xml:space="preserve">A partir del décimo tercer mes de transporte de energía reactiva con la misma condición, esta M se incrementará mensualmente en una unidad hasta alcanzar el valor de 6 (ver línea gris en la </w:t>
      </w:r>
      <w:r w:rsidR="00A262F4" w:rsidRPr="003D56B2">
        <w:rPr>
          <w:lang w:eastAsia="es-CO"/>
        </w:rPr>
        <w:fldChar w:fldCharType="begin"/>
      </w:r>
      <w:r w:rsidR="00A262F4" w:rsidRPr="003D56B2">
        <w:rPr>
          <w:lang w:eastAsia="es-CO"/>
        </w:rPr>
        <w:instrText xml:space="preserve"> REF _Ref142135109 \h  \* MERGEFORMAT </w:instrText>
      </w:r>
      <w:r w:rsidR="00A262F4" w:rsidRPr="003D56B2">
        <w:rPr>
          <w:lang w:eastAsia="es-CO"/>
        </w:rPr>
      </w:r>
      <w:r w:rsidR="00A262F4" w:rsidRPr="003D56B2">
        <w:rPr>
          <w:lang w:eastAsia="es-CO"/>
        </w:rPr>
        <w:fldChar w:fldCharType="separate"/>
      </w:r>
      <w:r w:rsidR="00DC6708" w:rsidRPr="00DC6708">
        <w:rPr>
          <w:lang w:eastAsia="es-CO"/>
        </w:rPr>
        <w:t>Figura 1</w:t>
      </w:r>
      <w:r w:rsidR="00A262F4" w:rsidRPr="003D56B2">
        <w:rPr>
          <w:lang w:eastAsia="es-CO"/>
        </w:rPr>
        <w:fldChar w:fldCharType="end"/>
      </w:r>
      <w:r w:rsidRPr="003D56B2">
        <w:rPr>
          <w:lang w:eastAsia="es-CO"/>
        </w:rPr>
        <w:t xml:space="preserve">) y se mantendrá durante 12 meses consecutivos (ver línea roja en la </w:t>
      </w:r>
      <w:r w:rsidR="00A262F4" w:rsidRPr="003D56B2">
        <w:rPr>
          <w:lang w:eastAsia="es-CO"/>
        </w:rPr>
        <w:fldChar w:fldCharType="begin"/>
      </w:r>
      <w:r w:rsidR="00A262F4" w:rsidRPr="003D56B2">
        <w:rPr>
          <w:lang w:eastAsia="es-CO"/>
        </w:rPr>
        <w:instrText xml:space="preserve"> REF _Ref142135109 \h  \* MERGEFORMAT </w:instrText>
      </w:r>
      <w:r w:rsidR="00A262F4" w:rsidRPr="003D56B2">
        <w:rPr>
          <w:lang w:eastAsia="es-CO"/>
        </w:rPr>
      </w:r>
      <w:r w:rsidR="00A262F4" w:rsidRPr="003D56B2">
        <w:rPr>
          <w:lang w:eastAsia="es-CO"/>
        </w:rPr>
        <w:fldChar w:fldCharType="separate"/>
      </w:r>
      <w:r w:rsidR="00DC6708" w:rsidRPr="00DC6708">
        <w:rPr>
          <w:lang w:eastAsia="es-CO"/>
        </w:rPr>
        <w:t>Figura 1</w:t>
      </w:r>
      <w:r w:rsidR="00A262F4" w:rsidRPr="003D56B2">
        <w:rPr>
          <w:lang w:eastAsia="es-CO"/>
        </w:rPr>
        <w:fldChar w:fldCharType="end"/>
      </w:r>
      <w:r w:rsidRPr="003D56B2">
        <w:rPr>
          <w:lang w:eastAsia="es-CO"/>
        </w:rPr>
        <w:t>).</w:t>
      </w:r>
    </w:p>
    <w:p w14:paraId="18AEA284" w14:textId="3F7633FE" w:rsidR="00E13D6E" w:rsidRPr="003D56B2" w:rsidRDefault="00E13D6E" w:rsidP="00826981">
      <w:pPr>
        <w:pStyle w:val="Prrafodelista"/>
        <w:numPr>
          <w:ilvl w:val="0"/>
          <w:numId w:val="8"/>
        </w:numPr>
        <w:ind w:left="851"/>
        <w:rPr>
          <w:lang w:eastAsia="es-CO"/>
        </w:rPr>
      </w:pPr>
      <w:r w:rsidRPr="003D56B2">
        <w:rPr>
          <w:lang w:eastAsia="es-CO"/>
        </w:rPr>
        <w:t xml:space="preserve">En caso de persistir el </w:t>
      </w:r>
      <w:r w:rsidR="002807F5">
        <w:rPr>
          <w:lang w:eastAsia="es-CO"/>
        </w:rPr>
        <w:t>transporte</w:t>
      </w:r>
      <w:r w:rsidR="002807F5" w:rsidRPr="003D56B2">
        <w:rPr>
          <w:lang w:eastAsia="es-CO"/>
        </w:rPr>
        <w:t xml:space="preserve"> </w:t>
      </w:r>
      <w:r w:rsidRPr="003D56B2">
        <w:rPr>
          <w:lang w:eastAsia="es-CO"/>
        </w:rPr>
        <w:t xml:space="preserve">de energía reactiva en exceso, a partir del mes siguiente la variable continuará incrementándose mensualmente en una unidad hasta alcanzar el valor de 12 (ver línea amarilla en la </w:t>
      </w:r>
      <w:r w:rsidR="00A262F4" w:rsidRPr="003D56B2">
        <w:rPr>
          <w:lang w:eastAsia="es-CO"/>
        </w:rPr>
        <w:fldChar w:fldCharType="begin"/>
      </w:r>
      <w:r w:rsidR="00A262F4" w:rsidRPr="003D56B2">
        <w:rPr>
          <w:lang w:eastAsia="es-CO"/>
        </w:rPr>
        <w:instrText xml:space="preserve"> REF _Ref142135109 \h  \* MERGEFORMAT </w:instrText>
      </w:r>
      <w:r w:rsidR="00A262F4" w:rsidRPr="003D56B2">
        <w:rPr>
          <w:lang w:eastAsia="es-CO"/>
        </w:rPr>
      </w:r>
      <w:r w:rsidR="00A262F4" w:rsidRPr="003D56B2">
        <w:rPr>
          <w:lang w:eastAsia="es-CO"/>
        </w:rPr>
        <w:fldChar w:fldCharType="separate"/>
      </w:r>
      <w:r w:rsidR="00DC6708" w:rsidRPr="00DC6708">
        <w:rPr>
          <w:lang w:eastAsia="es-CO"/>
        </w:rPr>
        <w:t>Figura 1</w:t>
      </w:r>
      <w:r w:rsidR="00A262F4" w:rsidRPr="003D56B2">
        <w:rPr>
          <w:lang w:eastAsia="es-CO"/>
        </w:rPr>
        <w:fldChar w:fldCharType="end"/>
      </w:r>
      <w:r w:rsidRPr="003D56B2">
        <w:rPr>
          <w:lang w:eastAsia="es-CO"/>
        </w:rPr>
        <w:t>).</w:t>
      </w:r>
    </w:p>
    <w:p w14:paraId="7E9D6CCE" w14:textId="5E4295C2" w:rsidR="00E13D6E" w:rsidRPr="003D56B2" w:rsidRDefault="00E13D6E" w:rsidP="00826981">
      <w:pPr>
        <w:pStyle w:val="Prrafodelista"/>
        <w:numPr>
          <w:ilvl w:val="0"/>
          <w:numId w:val="8"/>
        </w:numPr>
        <w:ind w:left="851"/>
        <w:rPr>
          <w:lang w:eastAsia="es-CO"/>
        </w:rPr>
      </w:pPr>
      <w:r w:rsidRPr="003D56B2">
        <w:rPr>
          <w:lang w:eastAsia="es-CO"/>
        </w:rPr>
        <w:t xml:space="preserve">Si la energía reactiva sobre el límite desaparece durante más de tres meses consecutivos, la variable M reiniciará a partir de 1, en caso contrario, seguirá con un valor de 12 en la variable M (ver línea azul en la </w:t>
      </w:r>
      <w:r w:rsidR="00A262F4" w:rsidRPr="003D56B2">
        <w:rPr>
          <w:lang w:eastAsia="es-CO"/>
        </w:rPr>
        <w:fldChar w:fldCharType="begin"/>
      </w:r>
      <w:r w:rsidR="00A262F4" w:rsidRPr="003D56B2">
        <w:rPr>
          <w:lang w:eastAsia="es-CO"/>
        </w:rPr>
        <w:instrText xml:space="preserve"> REF _Ref142135109 \h  \* MERGEFORMAT </w:instrText>
      </w:r>
      <w:r w:rsidR="00A262F4" w:rsidRPr="003D56B2">
        <w:rPr>
          <w:lang w:eastAsia="es-CO"/>
        </w:rPr>
      </w:r>
      <w:r w:rsidR="00A262F4" w:rsidRPr="003D56B2">
        <w:rPr>
          <w:lang w:eastAsia="es-CO"/>
        </w:rPr>
        <w:fldChar w:fldCharType="separate"/>
      </w:r>
      <w:r w:rsidR="00DC6708" w:rsidRPr="00DC6708">
        <w:rPr>
          <w:lang w:eastAsia="es-CO"/>
        </w:rPr>
        <w:t>Figura 1</w:t>
      </w:r>
      <w:r w:rsidR="00A262F4" w:rsidRPr="003D56B2">
        <w:rPr>
          <w:lang w:eastAsia="es-CO"/>
        </w:rPr>
        <w:fldChar w:fldCharType="end"/>
      </w:r>
      <w:r w:rsidRPr="003D56B2">
        <w:rPr>
          <w:lang w:eastAsia="es-CO"/>
        </w:rPr>
        <w:t xml:space="preserve">). </w:t>
      </w:r>
    </w:p>
    <w:p w14:paraId="78640648" w14:textId="77777777" w:rsidR="00E13D6E" w:rsidRPr="003D56B2" w:rsidRDefault="00E13D6E" w:rsidP="00D476DE">
      <w:pPr>
        <w:ind w:left="851"/>
        <w:rPr>
          <w:lang w:eastAsia="es-CO"/>
        </w:rPr>
      </w:pPr>
      <w:r w:rsidRPr="003D56B2">
        <w:rPr>
          <w:lang w:eastAsia="es-CO"/>
        </w:rPr>
        <w:t>Por último, el costo de transporte de energía reactiva en exceso será liquidado y facturado directamente por el OR al comercializador que represente el usuario causante del transporte de energía reactiva, quien a su vez trasladará este cobro al usuario final.</w:t>
      </w:r>
    </w:p>
    <w:p w14:paraId="3051E447" w14:textId="77777777" w:rsidR="00E13D6E" w:rsidRPr="003D56B2" w:rsidRDefault="00E13D6E" w:rsidP="00FF7E50">
      <w:pPr>
        <w:jc w:val="center"/>
        <w:rPr>
          <w:lang w:eastAsia="es-CO"/>
        </w:rPr>
      </w:pPr>
      <w:r w:rsidRPr="003D56B2">
        <w:rPr>
          <w:noProof/>
          <w:lang w:eastAsia="es-CO"/>
        </w:rPr>
        <w:drawing>
          <wp:inline distT="0" distB="0" distL="0" distR="0" wp14:anchorId="7A97EF31" wp14:editId="5AB976C6">
            <wp:extent cx="4076700" cy="1892723"/>
            <wp:effectExtent l="0" t="0" r="0" b="0"/>
            <wp:docPr id="1079930581" name="Picture 1079930581"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930581" name="Imagen 1" descr="Gráfico, Gráfico de líneas&#10;&#10;Descripción generada automáticament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099937" cy="1903511"/>
                    </a:xfrm>
                    <a:prstGeom prst="rect">
                      <a:avLst/>
                    </a:prstGeom>
                    <a:noFill/>
                    <a:ln>
                      <a:noFill/>
                    </a:ln>
                  </pic:spPr>
                </pic:pic>
              </a:graphicData>
            </a:graphic>
          </wp:inline>
        </w:drawing>
      </w:r>
    </w:p>
    <w:p w14:paraId="50AF55D4" w14:textId="087E68EF" w:rsidR="00E13D6E" w:rsidRPr="003D56B2" w:rsidRDefault="00E13D6E" w:rsidP="00FA266F">
      <w:pPr>
        <w:jc w:val="center"/>
        <w:rPr>
          <w:i/>
          <w:iCs/>
          <w:sz w:val="18"/>
          <w:szCs w:val="20"/>
          <w:lang w:eastAsia="es-CO"/>
        </w:rPr>
      </w:pPr>
      <w:bookmarkStart w:id="3" w:name="_Ref142135109"/>
      <w:bookmarkStart w:id="4" w:name="_Ref142125292"/>
      <w:r w:rsidRPr="003D56B2">
        <w:rPr>
          <w:i/>
          <w:iCs/>
          <w:sz w:val="18"/>
          <w:szCs w:val="20"/>
          <w:lang w:eastAsia="es-CO"/>
        </w:rPr>
        <w:t xml:space="preserve">Figura </w:t>
      </w:r>
      <w:r w:rsidRPr="003D56B2">
        <w:rPr>
          <w:i/>
          <w:iCs/>
          <w:sz w:val="18"/>
          <w:szCs w:val="20"/>
          <w:lang w:eastAsia="es-CO"/>
        </w:rPr>
        <w:fldChar w:fldCharType="begin"/>
      </w:r>
      <w:r w:rsidRPr="003D56B2">
        <w:rPr>
          <w:i/>
          <w:iCs/>
          <w:sz w:val="18"/>
          <w:szCs w:val="20"/>
          <w:lang w:eastAsia="es-CO"/>
        </w:rPr>
        <w:instrText xml:space="preserve"> SEQ Figura \* ARABIC </w:instrText>
      </w:r>
      <w:r w:rsidRPr="003D56B2">
        <w:rPr>
          <w:i/>
          <w:iCs/>
          <w:sz w:val="18"/>
          <w:szCs w:val="20"/>
          <w:lang w:eastAsia="es-CO"/>
        </w:rPr>
        <w:fldChar w:fldCharType="separate"/>
      </w:r>
      <w:r w:rsidR="00DC6708">
        <w:rPr>
          <w:i/>
          <w:iCs/>
          <w:noProof/>
          <w:sz w:val="18"/>
          <w:szCs w:val="20"/>
          <w:lang w:eastAsia="es-CO"/>
        </w:rPr>
        <w:t>1</w:t>
      </w:r>
      <w:r w:rsidRPr="003D56B2">
        <w:rPr>
          <w:i/>
          <w:iCs/>
          <w:sz w:val="18"/>
          <w:szCs w:val="20"/>
          <w:lang w:eastAsia="es-CO"/>
        </w:rPr>
        <w:fldChar w:fldCharType="end"/>
      </w:r>
      <w:bookmarkEnd w:id="3"/>
      <w:r w:rsidRPr="003D56B2">
        <w:rPr>
          <w:i/>
          <w:iCs/>
          <w:sz w:val="18"/>
          <w:szCs w:val="20"/>
          <w:lang w:eastAsia="es-CO"/>
        </w:rPr>
        <w:t>. Valores de la variable M según Resolución CREG 119 de 2019.</w:t>
      </w:r>
      <w:bookmarkEnd w:id="4"/>
    </w:p>
    <w:p w14:paraId="717C7E47" w14:textId="77777777" w:rsidR="00E13D6E" w:rsidRPr="003D56B2" w:rsidRDefault="00E13D6E" w:rsidP="00826981">
      <w:pPr>
        <w:numPr>
          <w:ilvl w:val="0"/>
          <w:numId w:val="4"/>
        </w:numPr>
        <w:ind w:left="426"/>
        <w:rPr>
          <w:lang w:eastAsia="es-CO"/>
        </w:rPr>
      </w:pPr>
      <w:r w:rsidRPr="003D56B2">
        <w:rPr>
          <w:b/>
          <w:lang w:eastAsia="es-CO"/>
        </w:rPr>
        <w:lastRenderedPageBreak/>
        <w:t>Resolución CREG 195 de 2020:</w:t>
      </w:r>
      <w:r w:rsidRPr="003D56B2">
        <w:rPr>
          <w:lang w:eastAsia="es-CO"/>
        </w:rPr>
        <w:t xml:space="preserve"> por la cual se modifican algunas disposiciones de la Resolución CREG 015 de 2018.</w:t>
      </w:r>
    </w:p>
    <w:p w14:paraId="1BB6E810" w14:textId="3F8E2535" w:rsidR="00BF7894" w:rsidRPr="003D56B2" w:rsidRDefault="00E13D6E" w:rsidP="00894387">
      <w:pPr>
        <w:ind w:left="426"/>
        <w:rPr>
          <w:lang w:eastAsia="es-CO"/>
        </w:rPr>
      </w:pPr>
      <w:r w:rsidRPr="003D56B2">
        <w:rPr>
          <w:lang w:eastAsia="es-CO"/>
        </w:rPr>
        <w:t>Esta resolución modific</w:t>
      </w:r>
      <w:r w:rsidR="00894387" w:rsidRPr="003D56B2">
        <w:rPr>
          <w:lang w:eastAsia="es-CO"/>
        </w:rPr>
        <w:t>ó</w:t>
      </w:r>
      <w:r w:rsidRPr="003D56B2">
        <w:rPr>
          <w:lang w:eastAsia="es-CO"/>
        </w:rPr>
        <w:t xml:space="preserve"> el parágrafo 1 del Artículo 16 la </w:t>
      </w:r>
      <w:r w:rsidR="00894387" w:rsidRPr="003D56B2">
        <w:rPr>
          <w:lang w:eastAsia="es-CO"/>
        </w:rPr>
        <w:t xml:space="preserve">Resolución </w:t>
      </w:r>
      <w:r w:rsidRPr="003D56B2">
        <w:rPr>
          <w:lang w:eastAsia="es-CO"/>
        </w:rPr>
        <w:t>CREG 015 de 2018</w:t>
      </w:r>
      <w:r w:rsidR="00B516EE" w:rsidRPr="003D56B2">
        <w:rPr>
          <w:lang w:eastAsia="es-CO"/>
        </w:rPr>
        <w:t>,</w:t>
      </w:r>
      <w:r w:rsidR="00D83C4A" w:rsidRPr="003D56B2">
        <w:rPr>
          <w:lang w:eastAsia="es-CO"/>
        </w:rPr>
        <w:t xml:space="preserve"> aplazando </w:t>
      </w:r>
      <w:r w:rsidR="0036476F" w:rsidRPr="003D56B2">
        <w:rPr>
          <w:lang w:eastAsia="es-CO"/>
        </w:rPr>
        <w:t xml:space="preserve">nuevamente </w:t>
      </w:r>
      <w:r w:rsidR="00D83C4A" w:rsidRPr="003D56B2">
        <w:rPr>
          <w:lang w:eastAsia="es-CO"/>
        </w:rPr>
        <w:t xml:space="preserve">la </w:t>
      </w:r>
      <w:proofErr w:type="gramStart"/>
      <w:r w:rsidR="00D83C4A" w:rsidRPr="003D56B2">
        <w:rPr>
          <w:lang w:eastAsia="es-CO"/>
        </w:rPr>
        <w:t>entrada en vigencia</w:t>
      </w:r>
      <w:proofErr w:type="gramEnd"/>
      <w:r w:rsidR="00D83C4A" w:rsidRPr="003D56B2">
        <w:rPr>
          <w:lang w:eastAsia="es-CO"/>
        </w:rPr>
        <w:t xml:space="preserve"> </w:t>
      </w:r>
      <w:r w:rsidR="0036476F" w:rsidRPr="003D56B2">
        <w:rPr>
          <w:lang w:eastAsia="es-CO"/>
        </w:rPr>
        <w:t>de las disposiciones relacionadas con</w:t>
      </w:r>
      <w:r w:rsidR="00D83C4A" w:rsidRPr="003D56B2">
        <w:rPr>
          <w:lang w:eastAsia="es-CO"/>
        </w:rPr>
        <w:t xml:space="preserve"> el factor M considerando que </w:t>
      </w:r>
      <w:r w:rsidR="00BF02A4" w:rsidRPr="003D56B2">
        <w:rPr>
          <w:lang w:eastAsia="es-CO"/>
        </w:rPr>
        <w:t>las inversiones de algunos usuarios, previstas para solucionar el tema de la energía reactiva, tuvieron que ser desplazadas en el tiempo para atender aspectos impuestos por la pandemia</w:t>
      </w:r>
      <w:r w:rsidR="000B0284" w:rsidRPr="003D56B2">
        <w:rPr>
          <w:lang w:eastAsia="es-CO"/>
        </w:rPr>
        <w:t xml:space="preserve">. </w:t>
      </w:r>
    </w:p>
    <w:p w14:paraId="57305419" w14:textId="583E3D7C" w:rsidR="00B27046" w:rsidRPr="003D56B2" w:rsidRDefault="000B0284" w:rsidP="00350455">
      <w:pPr>
        <w:ind w:left="426"/>
        <w:rPr>
          <w:lang w:eastAsia="es-CO"/>
        </w:rPr>
      </w:pPr>
      <w:r w:rsidRPr="003D56B2">
        <w:rPr>
          <w:lang w:eastAsia="es-CO"/>
        </w:rPr>
        <w:t xml:space="preserve">Con este último aplazamiento, </w:t>
      </w:r>
      <w:r w:rsidR="00E13D6E" w:rsidRPr="003D56B2">
        <w:rPr>
          <w:lang w:eastAsia="es-CO"/>
        </w:rPr>
        <w:t>a partir de enero de 2021 se c</w:t>
      </w:r>
      <w:r w:rsidRPr="003D56B2">
        <w:rPr>
          <w:lang w:eastAsia="es-CO"/>
        </w:rPr>
        <w:t xml:space="preserve">uentan </w:t>
      </w:r>
      <w:r w:rsidR="00E13D6E" w:rsidRPr="003D56B2">
        <w:rPr>
          <w:lang w:eastAsia="es-CO"/>
        </w:rPr>
        <w:t>los doce meses antes del incremento de la variable M</w:t>
      </w:r>
      <w:r w:rsidRPr="003D56B2">
        <w:rPr>
          <w:lang w:eastAsia="es-CO"/>
        </w:rPr>
        <w:t xml:space="preserve"> para quienes </w:t>
      </w:r>
      <w:r w:rsidR="00BF7894" w:rsidRPr="003D56B2">
        <w:rPr>
          <w:lang w:eastAsia="es-CO"/>
        </w:rPr>
        <w:t>continúen excediendo los límites establecidos.</w:t>
      </w:r>
    </w:p>
    <w:p w14:paraId="03EFFCBB" w14:textId="744BADED" w:rsidR="00FF716D" w:rsidRPr="003D56B2" w:rsidRDefault="00BC3957" w:rsidP="00FF716D">
      <w:pPr>
        <w:pStyle w:val="Ttulo1"/>
        <w:rPr>
          <w:lang w:val="es-CO"/>
        </w:rPr>
      </w:pPr>
      <w:bookmarkStart w:id="5" w:name="_Toc157689781"/>
      <w:r w:rsidRPr="003D56B2">
        <w:rPr>
          <w:lang w:val="es-CO"/>
        </w:rPr>
        <w:t>INFORMACIÓN GENERAL</w:t>
      </w:r>
      <w:bookmarkEnd w:id="5"/>
    </w:p>
    <w:p w14:paraId="094818C0" w14:textId="77777777" w:rsidR="00423A9F" w:rsidRPr="003D56B2" w:rsidRDefault="00423A9F" w:rsidP="00423A9F">
      <w:r w:rsidRPr="003D56B2">
        <w:t>Las leyes 142 y 143 de 1994 confieren a la Comisión de Regulación de Energía y Gas la responsabilidad de fijar las normas de calidad y de establecer formulas tarifarias.</w:t>
      </w:r>
    </w:p>
    <w:p w14:paraId="0C892E95" w14:textId="77777777" w:rsidR="00423A9F" w:rsidRPr="003D56B2" w:rsidRDefault="00423A9F" w:rsidP="00423A9F">
      <w:r w:rsidRPr="003D56B2">
        <w:t>Las normas vigentes sobre calidad del servicio en los sistemas de transmisión regional y distribución local se dividen en dos grupos:</w:t>
      </w:r>
    </w:p>
    <w:p w14:paraId="1AB2538F" w14:textId="4C54BC13" w:rsidR="00423A9F" w:rsidRPr="003D56B2" w:rsidRDefault="000367B9" w:rsidP="00826981">
      <w:pPr>
        <w:pStyle w:val="Prrafodelista"/>
        <w:numPr>
          <w:ilvl w:val="0"/>
          <w:numId w:val="7"/>
        </w:numPr>
      </w:pPr>
      <w:r w:rsidRPr="003D56B2">
        <w:t>Las relacionadas con</w:t>
      </w:r>
      <w:r w:rsidR="00423A9F" w:rsidRPr="003D56B2">
        <w:t xml:space="preserve"> la calidad del servicio, establecidas principalmente en la Resolución CREG 015 de 2018, encaminadas a incentivar la disminución de la cantidad de interrupciones del servicio y su duración.</w:t>
      </w:r>
      <w:r w:rsidR="0036476F" w:rsidRPr="003D56B2">
        <w:t xml:space="preserve"> </w:t>
      </w:r>
    </w:p>
    <w:p w14:paraId="165679DC" w14:textId="77777777" w:rsidR="00423A9F" w:rsidRPr="003D56B2" w:rsidRDefault="00423A9F" w:rsidP="00826981">
      <w:pPr>
        <w:pStyle w:val="Prrafodelista"/>
        <w:numPr>
          <w:ilvl w:val="0"/>
          <w:numId w:val="7"/>
        </w:numPr>
      </w:pPr>
      <w:r w:rsidRPr="003D56B2">
        <w:t>Las relacionadas con la calidad de la potencia, establecidas principalmente en las resoluciones CREG 108 de 1997, 070 de 1998, 047 de 2004, 024 de 2005, 016 de 2007 y 015 de 2018, donde se establecen estándares técnicos, tanto para la calidad de la onda como para el manejo operativo de la red.</w:t>
      </w:r>
    </w:p>
    <w:p w14:paraId="6DE43178" w14:textId="118C9A30" w:rsidR="00423A9F" w:rsidRPr="003D56B2" w:rsidRDefault="00423A9F" w:rsidP="00423A9F">
      <w:r w:rsidRPr="003D56B2">
        <w:t xml:space="preserve">Dentro de los estándares establecidos en el segundo grupo, asociados con la calidad de la potencia, se han establecido los relacionados con el factor de potencia </w:t>
      </w:r>
      <w:r w:rsidR="002C7003" w:rsidRPr="003D56B2">
        <w:t xml:space="preserve">(FP) </w:t>
      </w:r>
      <w:r w:rsidRPr="003D56B2">
        <w:t>que deben ser cumplidos para una correcta operación de la red, en concordancia con el esquema de remuneración de la actividad de distribución de energía eléctrica en el país.</w:t>
      </w:r>
    </w:p>
    <w:p w14:paraId="179EF87E" w14:textId="77777777" w:rsidR="00354633" w:rsidRPr="003D56B2" w:rsidRDefault="00354633" w:rsidP="00354633">
      <w:r w:rsidRPr="003D56B2">
        <w:t>El factor de potencia es una medida que indica la eficiencia en la utilización de la energía eléctrica en un sistema. Se calcula como la relación entre la potencia activa (también conocida como potencia real) y la potencia aparente en un circuito eléctrico. Esta potencia activa (W) es aquella que se convierte en trabajo útil y realiza el trabajo real en un circuito, es decir, la potencia que efectivamente alimenta los dispositivos eléctricos.</w:t>
      </w:r>
    </w:p>
    <w:p w14:paraId="48AFC766" w14:textId="5B3E17C6" w:rsidR="00354633" w:rsidRPr="003D56B2" w:rsidRDefault="00354633" w:rsidP="00354633">
      <w:r w:rsidRPr="003D56B2">
        <w:t>Por otra parte, la potencia aparente (VA) sirve para dimensionar y diseñar correctamente los equipos eléctricos que deben manejar tanto la potencia activa como la reactiva. Finalmente, la</w:t>
      </w:r>
      <w:r w:rsidRPr="003D56B2" w:rsidDel="003B3585">
        <w:t xml:space="preserve"> </w:t>
      </w:r>
      <w:r w:rsidR="003B3585" w:rsidRPr="003D56B2">
        <w:t xml:space="preserve">energía </w:t>
      </w:r>
      <w:r w:rsidRPr="003D56B2">
        <w:t>reactiva (VAR) es la parte de la energía eléctrica que oscila entre los equipos inductivos y capacitivos y es necesaria para mantener la tensión en el sistema</w:t>
      </w:r>
      <w:r w:rsidR="00926CE3" w:rsidRPr="003D56B2">
        <w:t>.</w:t>
      </w:r>
    </w:p>
    <w:p w14:paraId="1A8174CA" w14:textId="3B0F9B93" w:rsidR="00354633" w:rsidRPr="003D56B2" w:rsidRDefault="00354633" w:rsidP="00354633">
      <w:r w:rsidRPr="003D56B2">
        <w:t>En un sistema eléctrico con cargas inductivas o capacitivas, el ángulo de desfase (cuyo coseno se convierte en el factor de potencia) determina la cantidad de potencia reactiva en el sistema: si el ángulo de desfase es positivo, existe una carga inductiva y la potencia reactiva será positiva</w:t>
      </w:r>
      <w:r w:rsidR="00CF6763" w:rsidRPr="003D56B2">
        <w:t xml:space="preserve"> (ver </w:t>
      </w:r>
      <w:r w:rsidR="00CF6763" w:rsidRPr="003D56B2">
        <w:fldChar w:fldCharType="begin"/>
      </w:r>
      <w:r w:rsidR="00CF6763" w:rsidRPr="003D56B2">
        <w:instrText xml:space="preserve"> REF _Ref142056147 \h </w:instrText>
      </w:r>
      <w:r w:rsidR="00CF6763" w:rsidRPr="003D56B2">
        <w:fldChar w:fldCharType="separate"/>
      </w:r>
      <w:r w:rsidR="00DC6708" w:rsidRPr="003D56B2">
        <w:t xml:space="preserve">Figura </w:t>
      </w:r>
      <w:r w:rsidR="00DC6708">
        <w:rPr>
          <w:noProof/>
        </w:rPr>
        <w:t>2</w:t>
      </w:r>
      <w:r w:rsidR="00CF6763" w:rsidRPr="003D56B2">
        <w:fldChar w:fldCharType="end"/>
      </w:r>
      <w:r w:rsidR="008F4F99" w:rsidRPr="003D56B2">
        <w:t>, lado izquierdo</w:t>
      </w:r>
      <w:r w:rsidR="00CF6763" w:rsidRPr="003D56B2">
        <w:t>)</w:t>
      </w:r>
      <w:r w:rsidRPr="003D56B2">
        <w:t>. Por otro lado, si el ángulo de desfase es negativo, una carga capacitiva está conectada a la red, por lo que la potencia reactiva será negativa</w:t>
      </w:r>
      <w:r w:rsidR="008F4F99" w:rsidRPr="003D56B2">
        <w:t xml:space="preserve"> (ver </w:t>
      </w:r>
      <w:r w:rsidR="008F4F99" w:rsidRPr="003D56B2">
        <w:fldChar w:fldCharType="begin"/>
      </w:r>
      <w:r w:rsidR="008F4F99" w:rsidRPr="003D56B2">
        <w:instrText xml:space="preserve"> REF _Ref142056147 \h </w:instrText>
      </w:r>
      <w:r w:rsidR="008F4F99" w:rsidRPr="003D56B2">
        <w:fldChar w:fldCharType="separate"/>
      </w:r>
      <w:r w:rsidR="00DC6708" w:rsidRPr="003D56B2">
        <w:t xml:space="preserve">Figura </w:t>
      </w:r>
      <w:r w:rsidR="00DC6708">
        <w:rPr>
          <w:noProof/>
        </w:rPr>
        <w:t>2</w:t>
      </w:r>
      <w:r w:rsidR="008F4F99" w:rsidRPr="003D56B2">
        <w:fldChar w:fldCharType="end"/>
      </w:r>
      <w:r w:rsidR="008F4F99" w:rsidRPr="003D56B2">
        <w:t>, lado derecho)</w:t>
      </w:r>
      <w:r w:rsidRPr="003D56B2">
        <w:t>.</w:t>
      </w:r>
      <w:r w:rsidR="001E17F3" w:rsidRPr="003D56B2">
        <w:t xml:space="preserve"> </w:t>
      </w:r>
    </w:p>
    <w:p w14:paraId="639EA322" w14:textId="4FE76355" w:rsidR="00071193" w:rsidRPr="003D56B2" w:rsidRDefault="00EA4A13" w:rsidP="001C348B">
      <w:pPr>
        <w:keepNext/>
        <w:jc w:val="center"/>
      </w:pPr>
      <w:r w:rsidRPr="003D56B2">
        <w:rPr>
          <w:noProof/>
        </w:rPr>
        <w:lastRenderedPageBreak/>
        <w:drawing>
          <wp:inline distT="0" distB="0" distL="0" distR="0" wp14:anchorId="25B5DED6" wp14:editId="4CB6BBE8">
            <wp:extent cx="3752740" cy="1960098"/>
            <wp:effectExtent l="0" t="0" r="635" b="2540"/>
            <wp:docPr id="1474124586" name="Picture 1474124586"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124586" name="Imagen 1" descr="Gráfico, Gráfico de líneas&#10;&#10;Descripción generada automáticamente"/>
                    <pic:cNvPicPr/>
                  </pic:nvPicPr>
                  <pic:blipFill>
                    <a:blip r:embed="rId13"/>
                    <a:stretch>
                      <a:fillRect/>
                    </a:stretch>
                  </pic:blipFill>
                  <pic:spPr>
                    <a:xfrm>
                      <a:off x="0" y="0"/>
                      <a:ext cx="3785598" cy="1977260"/>
                    </a:xfrm>
                    <a:prstGeom prst="rect">
                      <a:avLst/>
                    </a:prstGeom>
                  </pic:spPr>
                </pic:pic>
              </a:graphicData>
            </a:graphic>
          </wp:inline>
        </w:drawing>
      </w:r>
    </w:p>
    <w:p w14:paraId="1218A223" w14:textId="3D8958B1" w:rsidR="001E17F3" w:rsidRPr="003D56B2" w:rsidRDefault="00071193" w:rsidP="001C348B">
      <w:pPr>
        <w:pStyle w:val="Descripcin"/>
      </w:pPr>
      <w:bookmarkStart w:id="6" w:name="_Ref142056147"/>
      <w:r w:rsidRPr="003D56B2">
        <w:t xml:space="preserve">Figura </w:t>
      </w:r>
      <w:r>
        <w:fldChar w:fldCharType="begin"/>
      </w:r>
      <w:r>
        <w:instrText>SEQ Figura \* ARABIC</w:instrText>
      </w:r>
      <w:r>
        <w:fldChar w:fldCharType="separate"/>
      </w:r>
      <w:r w:rsidR="00DC6708">
        <w:rPr>
          <w:noProof/>
        </w:rPr>
        <w:t>2</w:t>
      </w:r>
      <w:r>
        <w:fldChar w:fldCharType="end"/>
      </w:r>
      <w:bookmarkEnd w:id="6"/>
      <w:r w:rsidRPr="003D56B2">
        <w:t>. Triángulo de potencias</w:t>
      </w:r>
      <w:r w:rsidR="00CF6763" w:rsidRPr="003D56B2">
        <w:t xml:space="preserve"> de desfase positivo </w:t>
      </w:r>
      <w:r w:rsidR="008F4F99" w:rsidRPr="003D56B2">
        <w:t>y negativo.</w:t>
      </w:r>
    </w:p>
    <w:p w14:paraId="544DEE76" w14:textId="77777777" w:rsidR="00DE5CEA" w:rsidRPr="003D56B2" w:rsidRDefault="00DE5CEA" w:rsidP="00DE5CEA">
      <w:r w:rsidRPr="003D56B2">
        <w:t>Un factor de potencia inductivo se encuentra usualmente al operar dispositivos y equipos como motores eléctricos, transformadores, lámparas fluorescentes con balasto de reactancia inductiva y demás dispositivos que tengan bobinas.</w:t>
      </w:r>
    </w:p>
    <w:p w14:paraId="4BBEF49E" w14:textId="1623CCD4" w:rsidR="00354633" w:rsidRPr="003D56B2" w:rsidRDefault="00DE5CEA" w:rsidP="00354633">
      <w:r w:rsidRPr="003D56B2">
        <w:t xml:space="preserve">Por su parte, </w:t>
      </w:r>
      <w:r w:rsidR="00163254" w:rsidRPr="003D56B2">
        <w:t xml:space="preserve">un factor de potencia capacitivo se puede encontrar en </w:t>
      </w:r>
      <w:r w:rsidR="00354633" w:rsidRPr="003D56B2" w:rsidDel="004D2F8A">
        <w:t xml:space="preserve">cargas </w:t>
      </w:r>
      <w:r w:rsidR="00163254" w:rsidRPr="003D56B2">
        <w:t>de</w:t>
      </w:r>
      <w:r w:rsidR="00354633" w:rsidRPr="003D56B2" w:rsidDel="005B37E7">
        <w:t xml:space="preserve"> </w:t>
      </w:r>
      <w:r w:rsidR="00354633" w:rsidRPr="003D56B2">
        <w:t xml:space="preserve">centros de datos (elementos como computadoras, sistemas de refrigeración y fuentes de alimentación conmutadas), edificios comerciales (por sus sistemas de iluminación LED y de climatización), hospitales y </w:t>
      </w:r>
      <w:r w:rsidR="006165B0" w:rsidRPr="003D56B2">
        <w:t xml:space="preserve">usuarios residenciales </w:t>
      </w:r>
      <w:r w:rsidR="00354633" w:rsidRPr="003D56B2">
        <w:t xml:space="preserve">que cuenten con equipos electrónicos o electrodomésticos </w:t>
      </w:r>
      <w:r w:rsidR="006C38BE" w:rsidRPr="003D56B2">
        <w:t xml:space="preserve">con </w:t>
      </w:r>
      <w:r w:rsidR="005B37E7" w:rsidRPr="003D56B2">
        <w:t>fuentes de alimentación</w:t>
      </w:r>
      <w:r w:rsidR="006C38BE" w:rsidRPr="003D56B2">
        <w:t xml:space="preserve"> electrónicas</w:t>
      </w:r>
      <w:r w:rsidR="00354633" w:rsidRPr="003D56B2">
        <w:t>.</w:t>
      </w:r>
    </w:p>
    <w:p w14:paraId="170AFEB1" w14:textId="133EC12F" w:rsidR="004D2F8A" w:rsidRPr="003D56B2" w:rsidRDefault="006F67B2" w:rsidP="004D2F8A">
      <w:r w:rsidRPr="003D56B2">
        <w:t xml:space="preserve">Todas las cargas que tengan un factor de potencia distinto a 1 </w:t>
      </w:r>
      <w:r w:rsidR="009F1569" w:rsidRPr="003D56B2">
        <w:t xml:space="preserve">consumen o inyectan </w:t>
      </w:r>
      <w:r w:rsidR="004D2F8A" w:rsidRPr="003D56B2">
        <w:t xml:space="preserve">energía reactiva </w:t>
      </w:r>
      <w:r w:rsidR="009F1569" w:rsidRPr="003D56B2">
        <w:t>a</w:t>
      </w:r>
      <w:r w:rsidR="004D2F8A" w:rsidRPr="003D56B2">
        <w:t xml:space="preserve"> la red para su funcionamiento. Este transporte de energía reactiva provoca un aumento en la utilización de la red</w:t>
      </w:r>
      <w:r w:rsidR="00FC528F" w:rsidRPr="003D56B2">
        <w:t xml:space="preserve"> que puede llevar a un uso ineficiente de la infraestructura para el transporte y distribución de energía</w:t>
      </w:r>
      <w:r w:rsidR="004D2F8A" w:rsidRPr="003D56B2">
        <w:t xml:space="preserve"> y puede </w:t>
      </w:r>
      <w:r w:rsidR="00FC528F" w:rsidRPr="003D56B2">
        <w:t xml:space="preserve">también </w:t>
      </w:r>
      <w:r w:rsidR="004D2F8A" w:rsidRPr="003D56B2">
        <w:t>llegar a afectar la estabilidad del sistema y la eficiencia de la transmisión y distribución de energía.</w:t>
      </w:r>
    </w:p>
    <w:p w14:paraId="5C6AFE46" w14:textId="10D3E82D" w:rsidR="00354633" w:rsidRPr="003D56B2" w:rsidRDefault="00605FFC" w:rsidP="00354633">
      <w:r w:rsidRPr="003D56B2">
        <w:t>De esta manera, si el</w:t>
      </w:r>
      <w:r w:rsidR="00354633" w:rsidRPr="003D56B2">
        <w:t xml:space="preserve"> factor de potencia es cercano a 1.0 indica una eficiente utilización de la energía eléctrica, ya que la mayor parte de la potencia suministrada se utiliza para realizar trabajo útil. Sin embargo, cuando el factor de potencia es bajo (más cercano a 0.0), puede indicar una ineficiencia en el uso de la energía y un aumento de las pérdidas de energía en el sistema. </w:t>
      </w:r>
    </w:p>
    <w:p w14:paraId="0FA9AAAF" w14:textId="4931B3A7" w:rsidR="00354633" w:rsidRPr="003D56B2" w:rsidRDefault="00354633" w:rsidP="00354633">
      <w:r w:rsidRPr="003D56B2">
        <w:t xml:space="preserve">Así, un bajo factor de potencia puede provocar problemas en las redes eléctricas como una mayor caída de voltaje, pérdida de eficiencia, aumento de pérdidas de energía, saturación de equipos, sobrecarga en redes eléctricas y mayores costos para los usuarios. </w:t>
      </w:r>
    </w:p>
    <w:p w14:paraId="4120FCCA" w14:textId="4EE264E4" w:rsidR="001A4FF5" w:rsidRPr="003D56B2" w:rsidRDefault="00354633" w:rsidP="000F05E8">
      <w:r w:rsidRPr="003D56B2">
        <w:t>Algunos mecanismos para mejorar el factor de potencia</w:t>
      </w:r>
      <w:r w:rsidR="003A17FA" w:rsidRPr="003D56B2">
        <w:t xml:space="preserve"> inductivo (o en atraso)</w:t>
      </w:r>
      <w:r w:rsidRPr="003D56B2">
        <w:t xml:space="preserve"> </w:t>
      </w:r>
      <w:r w:rsidR="00A5078D" w:rsidRPr="003D56B2">
        <w:t>y por ende la eficiencia en el funcionamiento del sistema eléctrico,</w:t>
      </w:r>
      <w:r w:rsidRPr="003D56B2">
        <w:t xml:space="preserve"> son el uso de bancos </w:t>
      </w:r>
      <w:r w:rsidR="00F741D9" w:rsidRPr="003D56B2">
        <w:t xml:space="preserve">de </w:t>
      </w:r>
      <w:r w:rsidRPr="003D56B2">
        <w:t xml:space="preserve">condensadores, el uso de compensadores estáticos y la reducción de cargas inductivas. </w:t>
      </w:r>
    </w:p>
    <w:p w14:paraId="2C0D0301" w14:textId="1D62FC55" w:rsidR="0014056E" w:rsidRPr="003D56B2" w:rsidRDefault="00354633" w:rsidP="000F05E8">
      <w:r w:rsidRPr="003D56B2">
        <w:t xml:space="preserve">Una práctica común por </w:t>
      </w:r>
      <w:r w:rsidR="0064770E" w:rsidRPr="003D56B2">
        <w:t xml:space="preserve">parte de </w:t>
      </w:r>
      <w:r w:rsidR="001A4FF5" w:rsidRPr="003D56B2">
        <w:t xml:space="preserve">los </w:t>
      </w:r>
      <w:r w:rsidR="00A5078D" w:rsidRPr="003D56B2">
        <w:t>reguladores</w:t>
      </w:r>
      <w:r w:rsidR="001A4FF5" w:rsidRPr="003D56B2">
        <w:t xml:space="preserve"> otras partes del mundo </w:t>
      </w:r>
      <w:r w:rsidR="00A5078D" w:rsidRPr="003D56B2">
        <w:t xml:space="preserve">al establecer esquemas tarifarios, principalmente de remuneración de redes eléctricas en lo que en Colombia se denomina distribución o transporte, </w:t>
      </w:r>
      <w:r w:rsidRPr="003D56B2">
        <w:t>es</w:t>
      </w:r>
      <w:r w:rsidR="000F05E8" w:rsidRPr="003D56B2">
        <w:t xml:space="preserve"> </w:t>
      </w:r>
      <w:r w:rsidR="00F139BB" w:rsidRPr="003D56B2">
        <w:t>la de</w:t>
      </w:r>
      <w:r w:rsidR="000F05E8" w:rsidRPr="003D56B2">
        <w:t xml:space="preserve"> establecer</w:t>
      </w:r>
      <w:r w:rsidR="0014056E" w:rsidRPr="003D56B2">
        <w:t xml:space="preserve"> incentivos por la gestión de energía reactiva, para promover a los usuarios a fomentar el uso eficiente de la energía en sus instalaciones eléctricas. Dichos costos, por ejemplo, pueden ser adicionales a las tarifas si los usuarios incurren en</w:t>
      </w:r>
      <w:r w:rsidR="00850C40" w:rsidRPr="003D56B2">
        <w:t xml:space="preserve"> un transporte en</w:t>
      </w:r>
      <w:r w:rsidR="0014056E" w:rsidRPr="003D56B2">
        <w:t xml:space="preserve"> exceso de energía reactiva.</w:t>
      </w:r>
    </w:p>
    <w:p w14:paraId="6A6B11A0" w14:textId="79B80B41" w:rsidR="00354633" w:rsidRPr="003D56B2" w:rsidRDefault="00354633" w:rsidP="00354633">
      <w:r w:rsidRPr="003D56B2">
        <w:lastRenderedPageBreak/>
        <w:t>Los estándares de cumplimiento del factor de potencia oscilan entre 0.9 y 1.0</w:t>
      </w:r>
      <w:r w:rsidR="0039280C" w:rsidRPr="003D56B2">
        <w:t xml:space="preserve">, como se puede ver con mayor detalle en la sección </w:t>
      </w:r>
      <w:r w:rsidR="000D58FF" w:rsidRPr="003D56B2">
        <w:fldChar w:fldCharType="begin"/>
      </w:r>
      <w:r w:rsidR="000D58FF" w:rsidRPr="003D56B2">
        <w:instrText xml:space="preserve"> REF _Ref142058195 \r \h </w:instrText>
      </w:r>
      <w:r w:rsidR="000D58FF" w:rsidRPr="003D56B2">
        <w:fldChar w:fldCharType="separate"/>
      </w:r>
      <w:r w:rsidR="00DC6708">
        <w:t>7</w:t>
      </w:r>
      <w:r w:rsidR="000D58FF" w:rsidRPr="003D56B2">
        <w:fldChar w:fldCharType="end"/>
      </w:r>
      <w:r w:rsidR="000D58FF" w:rsidRPr="003D56B2">
        <w:t xml:space="preserve"> del presente documento</w:t>
      </w:r>
      <w:r w:rsidRPr="003D56B2" w:rsidDel="0039280C">
        <w:t>.</w:t>
      </w:r>
      <w:r w:rsidRPr="003D56B2">
        <w:t xml:space="preserve"> En Colombia, la regulación </w:t>
      </w:r>
      <w:r w:rsidR="00F9463B" w:rsidRPr="003D56B2">
        <w:t xml:space="preserve">vigente </w:t>
      </w:r>
      <w:r w:rsidRPr="003D56B2">
        <w:t xml:space="preserve">dicta que el factor de potencia inductivo debe </w:t>
      </w:r>
      <w:r w:rsidR="0011261B" w:rsidRPr="003D56B2">
        <w:t>estar entre</w:t>
      </w:r>
      <w:r w:rsidRPr="003D56B2">
        <w:t xml:space="preserve"> 0.9</w:t>
      </w:r>
      <w:r w:rsidR="0011261B" w:rsidRPr="003D56B2">
        <w:t xml:space="preserve"> y 1</w:t>
      </w:r>
      <w:r w:rsidRPr="003D56B2">
        <w:t xml:space="preserve">, mientras que el capacitivo </w:t>
      </w:r>
      <w:r w:rsidR="00EC2079" w:rsidRPr="003D56B2">
        <w:t xml:space="preserve">debe ser </w:t>
      </w:r>
      <w:r w:rsidRPr="003D56B2">
        <w:t>exactamente 1</w:t>
      </w:r>
      <w:r w:rsidRPr="003D56B2" w:rsidDel="0011261B">
        <w:t>.</w:t>
      </w:r>
      <w:r w:rsidRPr="003D56B2">
        <w:t xml:space="preserve"> Estar por</w:t>
      </w:r>
      <w:r w:rsidRPr="003D56B2" w:rsidDel="00EC2079">
        <w:t xml:space="preserve"> </w:t>
      </w:r>
      <w:r w:rsidR="00EC2079" w:rsidRPr="003D56B2">
        <w:t xml:space="preserve">fuera </w:t>
      </w:r>
      <w:r w:rsidRPr="003D56B2">
        <w:t xml:space="preserve">de estos límites </w:t>
      </w:r>
      <w:r w:rsidR="00032AB4" w:rsidRPr="003D56B2">
        <w:t>implica la aplicación de un esquema de incentivos.</w:t>
      </w:r>
    </w:p>
    <w:p w14:paraId="469779E6" w14:textId="51F4C1EF" w:rsidR="00F84D45" w:rsidRPr="003D56B2" w:rsidRDefault="007E29C5" w:rsidP="00F84D45">
      <w:pPr>
        <w:pStyle w:val="Ttulo1"/>
        <w:rPr>
          <w:lang w:val="es-CO"/>
        </w:rPr>
      </w:pPr>
      <w:bookmarkStart w:id="7" w:name="_Toc157689782"/>
      <w:r w:rsidRPr="003D56B2">
        <w:rPr>
          <w:lang w:val="es-CO"/>
        </w:rPr>
        <w:t>DEFINICIÓN DEL PROBLEMA</w:t>
      </w:r>
      <w:bookmarkEnd w:id="7"/>
    </w:p>
    <w:p w14:paraId="038A06A5" w14:textId="74A0CBD2" w:rsidR="00AF2341" w:rsidRPr="003D56B2" w:rsidRDefault="0011261B" w:rsidP="0031265C">
      <w:r w:rsidRPr="003D56B2">
        <w:t xml:space="preserve">La </w:t>
      </w:r>
      <w:r w:rsidR="006F702A" w:rsidRPr="003D56B2">
        <w:t>definición del problema parte de</w:t>
      </w:r>
      <w:r w:rsidR="0031265C" w:rsidRPr="003D56B2">
        <w:t xml:space="preserve"> </w:t>
      </w:r>
      <w:r w:rsidR="002A6776" w:rsidRPr="003D56B2">
        <w:t>la atención de un requerimiento de política pública</w:t>
      </w:r>
      <w:r w:rsidR="0031265C" w:rsidRPr="003D56B2">
        <w:t xml:space="preserve"> establecido por el artículo 5 del Decreto 0929 de 2023 expedido por el Ministerio de Minas y Energía, en cual </w:t>
      </w:r>
      <w:r w:rsidR="00970982" w:rsidRPr="003D56B2">
        <w:t>dentro de la modificación del artículo 2.2.3.</w:t>
      </w:r>
      <w:r w:rsidR="000E2D69" w:rsidRPr="003D56B2">
        <w:t>2.5.2 del Decreto 1073 de 2015 adiciona un inciso el cual establece</w:t>
      </w:r>
      <w:r w:rsidR="00AF2341" w:rsidRPr="003D56B2">
        <w:t xml:space="preserve"> lo siguiente:</w:t>
      </w:r>
    </w:p>
    <w:p w14:paraId="45D38910" w14:textId="5BEEEB82" w:rsidR="00970982" w:rsidRPr="003D56B2" w:rsidRDefault="00970982" w:rsidP="00FA354C">
      <w:pPr>
        <w:ind w:left="708" w:right="332"/>
        <w:rPr>
          <w:i/>
          <w:iCs/>
          <w:sz w:val="20"/>
          <w:szCs w:val="20"/>
        </w:rPr>
      </w:pPr>
      <w:r w:rsidRPr="003D56B2">
        <w:rPr>
          <w:i/>
          <w:iCs/>
          <w:sz w:val="20"/>
          <w:szCs w:val="20"/>
        </w:rPr>
        <w:t>“ARTÍCULO 2.2.3.2.5.2. Adecuación de los mecanismos de medición a los usuarios residenciales, industriales y comerciales. La CREG analizará la factibilidad y la conveniencia de flexibilizar los requisitos de medida de los consumos de los usuarios.</w:t>
      </w:r>
    </w:p>
    <w:p w14:paraId="5BF008C3" w14:textId="22598811" w:rsidR="00AF2341" w:rsidRPr="003D56B2" w:rsidRDefault="00970982" w:rsidP="00FA354C">
      <w:pPr>
        <w:ind w:left="708" w:right="332"/>
        <w:rPr>
          <w:i/>
        </w:rPr>
      </w:pPr>
      <w:r w:rsidRPr="003D56B2">
        <w:rPr>
          <w:i/>
          <w:iCs/>
          <w:sz w:val="20"/>
          <w:szCs w:val="20"/>
        </w:rPr>
        <w:t xml:space="preserve">En el marco de lo anterior, en el caso de los sistemas de medida que registren energía activa y reactiva, la CREG deberá actualizar la regulación vigente frente a su cobro con el fin de evitar lesiones injustas a los usuarios. Para ello deberá revisar, entre otros, el cobro asimétrico de energía reactiva capacitiva e inductiva y las </w:t>
      </w:r>
      <w:r w:rsidRPr="003D56B2">
        <w:rPr>
          <w:i/>
          <w:sz w:val="20"/>
          <w:szCs w:val="20"/>
        </w:rPr>
        <w:t>penalizaciones por flujo reincidente de energía reactiva</w:t>
      </w:r>
      <w:r w:rsidRPr="003D56B2">
        <w:rPr>
          <w:i/>
          <w:iCs/>
          <w:sz w:val="20"/>
          <w:szCs w:val="20"/>
        </w:rPr>
        <w:t>.”</w:t>
      </w:r>
      <w:r w:rsidR="000E2D69" w:rsidRPr="003D56B2">
        <w:rPr>
          <w:i/>
          <w:iCs/>
          <w:sz w:val="20"/>
          <w:szCs w:val="20"/>
        </w:rPr>
        <w:t xml:space="preserve"> </w:t>
      </w:r>
    </w:p>
    <w:p w14:paraId="357FD385" w14:textId="1C80652E" w:rsidR="004E7948" w:rsidRPr="003D56B2" w:rsidRDefault="004E7948" w:rsidP="0031265C">
      <w:r w:rsidRPr="003D56B2">
        <w:t xml:space="preserve">Con base en </w:t>
      </w:r>
      <w:r w:rsidR="009040AB" w:rsidRPr="003D56B2">
        <w:t>lo establecido en</w:t>
      </w:r>
      <w:r w:rsidRPr="003D56B2">
        <w:t xml:space="preserve"> </w:t>
      </w:r>
      <w:r w:rsidR="008261B9" w:rsidRPr="003D56B2">
        <w:t xml:space="preserve">este decreto </w:t>
      </w:r>
      <w:r w:rsidRPr="003D56B2">
        <w:t xml:space="preserve">y </w:t>
      </w:r>
      <w:r w:rsidR="00D325B1" w:rsidRPr="003D56B2">
        <w:t>teniendo en cuenta</w:t>
      </w:r>
      <w:r w:rsidR="008261B9" w:rsidRPr="003D56B2">
        <w:t xml:space="preserve"> </w:t>
      </w:r>
      <w:r w:rsidRPr="003D56B2">
        <w:t xml:space="preserve">las reclamaciones </w:t>
      </w:r>
      <w:r w:rsidR="00D325B1" w:rsidRPr="003D56B2">
        <w:t>que se pueden estar presentando por parte de</w:t>
      </w:r>
      <w:r w:rsidR="00B339F0" w:rsidRPr="003D56B2">
        <w:t xml:space="preserve"> </w:t>
      </w:r>
      <w:r w:rsidR="00D325B1" w:rsidRPr="003D56B2">
        <w:t>los</w:t>
      </w:r>
      <w:r w:rsidR="00B339F0" w:rsidRPr="003D56B2">
        <w:t xml:space="preserve"> </w:t>
      </w:r>
      <w:r w:rsidRPr="003D56B2">
        <w:t xml:space="preserve">usuarios </w:t>
      </w:r>
      <w:r w:rsidR="0038630C" w:rsidRPr="003D56B2">
        <w:t xml:space="preserve">en torno al cumplimiento del estándar </w:t>
      </w:r>
      <w:r w:rsidR="007C1175" w:rsidRPr="003D56B2">
        <w:t xml:space="preserve">establecido para el transporte de energía </w:t>
      </w:r>
      <w:r w:rsidR="00086E30" w:rsidRPr="003D56B2">
        <w:t>reactiva</w:t>
      </w:r>
      <w:r w:rsidR="007C1175" w:rsidRPr="003D56B2">
        <w:t xml:space="preserve"> capacitiva</w:t>
      </w:r>
      <w:r w:rsidR="00CD02FF" w:rsidRPr="003D56B2">
        <w:t xml:space="preserve">, </w:t>
      </w:r>
      <w:r w:rsidR="00D325B1" w:rsidRPr="003D56B2">
        <w:t>el cual</w:t>
      </w:r>
      <w:r w:rsidR="005532D2" w:rsidRPr="003D56B2">
        <w:t xml:space="preserve"> no considera ningún margen de tolerancia para su cobro, </w:t>
      </w:r>
      <w:r w:rsidR="00E36BC9" w:rsidRPr="003D56B2">
        <w:t xml:space="preserve">la Comisión estima que el ejercicio de revisión solicitado en la norma implica </w:t>
      </w:r>
      <w:r w:rsidR="00631B9D" w:rsidRPr="003D56B2">
        <w:t>evaluar la posibilidad de modificar el estándar establecido</w:t>
      </w:r>
      <w:r w:rsidR="005532D2" w:rsidRPr="003D56B2">
        <w:t xml:space="preserve">. </w:t>
      </w:r>
      <w:r w:rsidR="00631B9D" w:rsidRPr="003D56B2">
        <w:t xml:space="preserve"> </w:t>
      </w:r>
    </w:p>
    <w:p w14:paraId="5C3FA0A2" w14:textId="00DF5A5A" w:rsidR="0031265C" w:rsidRPr="003D56B2" w:rsidRDefault="009D7068" w:rsidP="00142B07">
      <w:r>
        <w:t>Así mismo</w:t>
      </w:r>
      <w:r w:rsidR="0031417A">
        <w:t xml:space="preserve">, conforme a lo establecido en el mismo decreto y acorde con los lineamientos legales establecidos para la modificación de metodologías tarifarias, </w:t>
      </w:r>
      <w:r w:rsidR="00464611">
        <w:t xml:space="preserve">principalmente lo dispuesto en el artículo 126 de la Ley 142 de 1994, </w:t>
      </w:r>
      <w:r w:rsidR="006E7DFD">
        <w:t xml:space="preserve">la Comisión estima que </w:t>
      </w:r>
      <w:r w:rsidR="00D67551">
        <w:t xml:space="preserve">las revisiones relacionadas con </w:t>
      </w:r>
      <w:r w:rsidR="00FC1FF0">
        <w:t>la totalidad del esquema de inc</w:t>
      </w:r>
      <w:r w:rsidR="00655554">
        <w:t>e</w:t>
      </w:r>
      <w:r w:rsidR="00FC1FF0">
        <w:t>ntivos para la disminución del transporte de energía reactiva</w:t>
      </w:r>
      <w:r w:rsidR="00E900AD">
        <w:t>,</w:t>
      </w:r>
      <w:r w:rsidR="00D67551">
        <w:t xml:space="preserve"> </w:t>
      </w:r>
      <w:r w:rsidR="004A793A">
        <w:t>han de</w:t>
      </w:r>
      <w:r w:rsidR="00D67551">
        <w:t xml:space="preserve"> </w:t>
      </w:r>
      <w:r w:rsidR="00464611">
        <w:t>incluirse</w:t>
      </w:r>
      <w:r w:rsidR="00D67551">
        <w:t xml:space="preserve"> </w:t>
      </w:r>
      <w:r w:rsidR="00483B09">
        <w:t>dentro</w:t>
      </w:r>
      <w:r w:rsidR="00655554">
        <w:t xml:space="preserve"> de</w:t>
      </w:r>
      <w:r w:rsidR="00CF15EB">
        <w:t xml:space="preserve"> los estudios </w:t>
      </w:r>
      <w:r w:rsidR="00483B09">
        <w:t>que hagan parte de</w:t>
      </w:r>
      <w:r w:rsidR="00CF15EB">
        <w:t xml:space="preserve"> las bases de revisión para</w:t>
      </w:r>
      <w:r w:rsidR="00655554">
        <w:t xml:space="preserve"> la remuneración de la actividad de distribución de energía eléctrica</w:t>
      </w:r>
      <w:r w:rsidR="00CF15EB">
        <w:t xml:space="preserve">, que conduzcan a </w:t>
      </w:r>
      <w:r w:rsidR="009B76B4">
        <w:t>reempla</w:t>
      </w:r>
      <w:r w:rsidR="00CF15EB">
        <w:t xml:space="preserve">zar </w:t>
      </w:r>
      <w:r w:rsidR="004A7787">
        <w:t>el esquema</w:t>
      </w:r>
      <w:r w:rsidR="009B76B4">
        <w:t xml:space="preserve"> establecido mediante la Resolució</w:t>
      </w:r>
      <w:r w:rsidR="00D67551">
        <w:t>n</w:t>
      </w:r>
      <w:r w:rsidR="009B76B4">
        <w:t xml:space="preserve"> CREG 015 de 2018</w:t>
      </w:r>
      <w:r w:rsidR="00D968C4">
        <w:t>.</w:t>
      </w:r>
    </w:p>
    <w:p w14:paraId="6A82F739" w14:textId="6C4C766D" w:rsidR="00B7433C" w:rsidRPr="003D56B2" w:rsidRDefault="00B44F08" w:rsidP="005809BA">
      <w:pPr>
        <w:pStyle w:val="Ttulo1"/>
        <w:rPr>
          <w:lang w:val="es-CO"/>
        </w:rPr>
      </w:pPr>
      <w:bookmarkStart w:id="8" w:name="_Toc157689783"/>
      <w:r w:rsidRPr="003D56B2">
        <w:rPr>
          <w:lang w:val="es-CO"/>
        </w:rPr>
        <w:t>OBJETIVOS</w:t>
      </w:r>
      <w:bookmarkEnd w:id="8"/>
    </w:p>
    <w:p w14:paraId="5F5E2048" w14:textId="7FE090EA" w:rsidR="00B75BAE" w:rsidRPr="003D56B2" w:rsidRDefault="00A32C9E" w:rsidP="007813C3">
      <w:pPr>
        <w:rPr>
          <w:rFonts w:eastAsia="MS Mincho" w:cs="Arial"/>
          <w:szCs w:val="22"/>
        </w:rPr>
      </w:pPr>
      <w:r w:rsidRPr="003D56B2">
        <w:t xml:space="preserve">Teniendo en cuenta lo anterior, el presente proyecto </w:t>
      </w:r>
      <w:r w:rsidR="007E08EC" w:rsidRPr="003D56B2">
        <w:t>tiene como objetivo general</w:t>
      </w:r>
      <w:r w:rsidRPr="003D56B2">
        <w:t xml:space="preserve"> </w:t>
      </w:r>
      <w:r w:rsidR="007813C3" w:rsidRPr="003D56B2">
        <w:t xml:space="preserve">la </w:t>
      </w:r>
      <w:r w:rsidR="00D968C4">
        <w:t>revisión d</w:t>
      </w:r>
      <w:r w:rsidR="009926A0" w:rsidRPr="003D56B2">
        <w:rPr>
          <w:rFonts w:eastAsia="MS Mincho" w:cs="Arial"/>
          <w:szCs w:val="22"/>
        </w:rPr>
        <w:t xml:space="preserve">el </w:t>
      </w:r>
      <w:r w:rsidR="00F53A94" w:rsidRPr="003D56B2">
        <w:rPr>
          <w:rFonts w:eastAsia="MS Mincho" w:cs="Arial"/>
          <w:szCs w:val="22"/>
        </w:rPr>
        <w:t xml:space="preserve">límite técnico </w:t>
      </w:r>
      <w:r w:rsidR="009926A0" w:rsidRPr="003D56B2">
        <w:rPr>
          <w:rFonts w:eastAsia="MS Mincho" w:cs="Arial"/>
          <w:szCs w:val="22"/>
        </w:rPr>
        <w:t xml:space="preserve">establecido </w:t>
      </w:r>
      <w:r w:rsidR="00F53A94" w:rsidRPr="003D56B2" w:rsidDel="00560241">
        <w:rPr>
          <w:rFonts w:eastAsia="MS Mincho" w:cs="Arial"/>
          <w:szCs w:val="22"/>
        </w:rPr>
        <w:t xml:space="preserve">para el </w:t>
      </w:r>
      <w:r w:rsidR="00F53A94" w:rsidRPr="003D56B2">
        <w:rPr>
          <w:rFonts w:eastAsia="MS Mincho" w:cs="Arial"/>
          <w:szCs w:val="22"/>
        </w:rPr>
        <w:t>factor de potencia</w:t>
      </w:r>
      <w:r w:rsidR="009926A0" w:rsidRPr="003D56B2">
        <w:rPr>
          <w:rFonts w:eastAsia="MS Mincho" w:cs="Arial"/>
          <w:szCs w:val="22"/>
        </w:rPr>
        <w:t xml:space="preserve"> </w:t>
      </w:r>
      <w:r w:rsidR="001E6F73" w:rsidRPr="003D56B2">
        <w:rPr>
          <w:rFonts w:eastAsia="MS Mincho" w:cs="Arial"/>
          <w:szCs w:val="22"/>
        </w:rPr>
        <w:t>de</w:t>
      </w:r>
      <w:r w:rsidR="009926A0" w:rsidRPr="003D56B2">
        <w:rPr>
          <w:rFonts w:eastAsia="MS Mincho" w:cs="Arial"/>
          <w:szCs w:val="22"/>
        </w:rPr>
        <w:t xml:space="preserve"> la energía reactiva capacitiva</w:t>
      </w:r>
      <w:r w:rsidR="00D968C4">
        <w:rPr>
          <w:rFonts w:eastAsia="MS Mincho" w:cs="Arial"/>
          <w:szCs w:val="22"/>
        </w:rPr>
        <w:t>, con el fin de determinar la necesidad de su modificación</w:t>
      </w:r>
      <w:r w:rsidR="001E6F73" w:rsidRPr="003D56B2">
        <w:rPr>
          <w:rFonts w:eastAsia="MS Mincho" w:cs="Arial"/>
          <w:szCs w:val="22"/>
        </w:rPr>
        <w:t>.</w:t>
      </w:r>
    </w:p>
    <w:p w14:paraId="0A8B2C29" w14:textId="10D3F2CF" w:rsidR="00B07869" w:rsidRPr="003D56B2" w:rsidRDefault="004A1C3A" w:rsidP="007813C3">
      <w:pPr>
        <w:rPr>
          <w:rFonts w:eastAsia="MS Mincho" w:cs="Arial"/>
          <w:szCs w:val="22"/>
        </w:rPr>
      </w:pPr>
      <w:r w:rsidRPr="003D56B2">
        <w:rPr>
          <w:rFonts w:eastAsia="MS Mincho" w:cs="Arial"/>
          <w:szCs w:val="22"/>
        </w:rPr>
        <w:t>Otro de los objetivos es el de</w:t>
      </w:r>
      <w:r w:rsidR="0034619B" w:rsidRPr="003D56B2">
        <w:rPr>
          <w:rFonts w:eastAsia="MS Mincho" w:cs="Arial"/>
          <w:szCs w:val="22"/>
        </w:rPr>
        <w:t xml:space="preserve"> identifica</w:t>
      </w:r>
      <w:r w:rsidRPr="003D56B2">
        <w:rPr>
          <w:rFonts w:eastAsia="MS Mincho" w:cs="Arial"/>
          <w:szCs w:val="22"/>
        </w:rPr>
        <w:t xml:space="preserve">r </w:t>
      </w:r>
      <w:r w:rsidR="0034619B" w:rsidRPr="003D56B2">
        <w:rPr>
          <w:rFonts w:eastAsia="MS Mincho" w:cs="Arial"/>
          <w:szCs w:val="22"/>
        </w:rPr>
        <w:t>los posibles</w:t>
      </w:r>
      <w:r w:rsidR="00561859" w:rsidRPr="003D56B2">
        <w:rPr>
          <w:rFonts w:eastAsia="MS Mincho" w:cs="Arial"/>
          <w:szCs w:val="22"/>
        </w:rPr>
        <w:t xml:space="preserve"> efecto</w:t>
      </w:r>
      <w:r w:rsidR="0034619B" w:rsidRPr="003D56B2">
        <w:rPr>
          <w:rFonts w:eastAsia="MS Mincho" w:cs="Arial"/>
          <w:szCs w:val="22"/>
        </w:rPr>
        <w:t>s</w:t>
      </w:r>
      <w:r w:rsidR="00561859" w:rsidRPr="003D56B2">
        <w:rPr>
          <w:rFonts w:eastAsia="MS Mincho" w:cs="Arial"/>
          <w:szCs w:val="22"/>
        </w:rPr>
        <w:t xml:space="preserve"> </w:t>
      </w:r>
      <w:r w:rsidR="009B69D6" w:rsidRPr="003D56B2">
        <w:rPr>
          <w:rFonts w:eastAsia="MS Mincho" w:cs="Arial"/>
          <w:szCs w:val="22"/>
        </w:rPr>
        <w:t xml:space="preserve">sobre la operación de la red </w:t>
      </w:r>
      <w:r w:rsidR="00561859" w:rsidRPr="003D56B2">
        <w:rPr>
          <w:rFonts w:eastAsia="MS Mincho" w:cs="Arial"/>
          <w:szCs w:val="22"/>
        </w:rPr>
        <w:t xml:space="preserve">que </w:t>
      </w:r>
      <w:r w:rsidR="009B69D6" w:rsidRPr="003D56B2">
        <w:rPr>
          <w:rFonts w:eastAsia="MS Mincho" w:cs="Arial"/>
          <w:szCs w:val="22"/>
        </w:rPr>
        <w:t xml:space="preserve">puedan causarse por </w:t>
      </w:r>
      <w:r w:rsidR="00561859" w:rsidRPr="003D56B2">
        <w:rPr>
          <w:rFonts w:eastAsia="MS Mincho" w:cs="Arial"/>
          <w:szCs w:val="22"/>
        </w:rPr>
        <w:t xml:space="preserve">una modificación al factor de potencia </w:t>
      </w:r>
      <w:r w:rsidR="008B6616" w:rsidRPr="003D56B2">
        <w:rPr>
          <w:rFonts w:eastAsia="MS Mincho" w:cs="Arial"/>
          <w:szCs w:val="22"/>
        </w:rPr>
        <w:t>para la energía reactiva capacitiva</w:t>
      </w:r>
      <w:r w:rsidR="00902784" w:rsidRPr="003D56B2">
        <w:rPr>
          <w:rFonts w:eastAsia="MS Mincho" w:cs="Arial"/>
          <w:szCs w:val="22"/>
        </w:rPr>
        <w:t>.</w:t>
      </w:r>
    </w:p>
    <w:p w14:paraId="3D72A878" w14:textId="3BB3E07E" w:rsidR="00677C02" w:rsidRPr="003D56B2" w:rsidRDefault="00F53A94" w:rsidP="00677C02">
      <w:pPr>
        <w:pStyle w:val="Ttulo1"/>
        <w:rPr>
          <w:lang w:val="es-CO"/>
        </w:rPr>
      </w:pPr>
      <w:bookmarkStart w:id="9" w:name="_Toc157689784"/>
      <w:r w:rsidRPr="003D56B2">
        <w:rPr>
          <w:lang w:val="es-CO"/>
        </w:rPr>
        <w:t>ALTERNATIVAS</w:t>
      </w:r>
      <w:bookmarkEnd w:id="9"/>
    </w:p>
    <w:p w14:paraId="4F07D865" w14:textId="77777777" w:rsidR="004C6D1A" w:rsidRPr="003D56B2" w:rsidRDefault="004C6D1A" w:rsidP="004C6D1A">
      <w:r w:rsidRPr="003D56B2">
        <w:t>Las alternativas disponibles para el tratamiento del problema relacionado con el cobro de energía reactiva a los usuarios finales o a los OR son las siguientes:</w:t>
      </w:r>
    </w:p>
    <w:p w14:paraId="7B05677D" w14:textId="2F656061" w:rsidR="004C6D1A" w:rsidRPr="003D56B2" w:rsidRDefault="004C6D1A" w:rsidP="00826981">
      <w:pPr>
        <w:numPr>
          <w:ilvl w:val="0"/>
          <w:numId w:val="5"/>
        </w:numPr>
        <w:rPr>
          <w:b/>
          <w:bCs w:val="0"/>
        </w:rPr>
      </w:pPr>
      <w:r w:rsidRPr="003D56B2">
        <w:rPr>
          <w:b/>
          <w:bCs w:val="0"/>
        </w:rPr>
        <w:lastRenderedPageBreak/>
        <w:t xml:space="preserve">Mantener el </w:t>
      </w:r>
      <w:r w:rsidR="0007357A" w:rsidRPr="003D56B2">
        <w:rPr>
          <w:b/>
          <w:bCs w:val="0"/>
        </w:rPr>
        <w:t>límite actual, sin modificación alguna</w:t>
      </w:r>
      <w:r w:rsidRPr="003D56B2">
        <w:rPr>
          <w:b/>
          <w:bCs w:val="0"/>
        </w:rPr>
        <w:t xml:space="preserve">. </w:t>
      </w:r>
    </w:p>
    <w:p w14:paraId="6B594247" w14:textId="5F2F34B1" w:rsidR="006465D3" w:rsidRPr="003D56B2" w:rsidRDefault="004C6D1A" w:rsidP="004C6D1A">
      <w:r w:rsidRPr="003D56B2">
        <w:t>Esta alternativa</w:t>
      </w:r>
      <w:r w:rsidR="000C580C" w:rsidRPr="003D56B2">
        <w:t xml:space="preserve">, al </w:t>
      </w:r>
      <w:r w:rsidRPr="003D56B2">
        <w:t xml:space="preserve">no </w:t>
      </w:r>
      <w:r w:rsidR="000C580C" w:rsidRPr="003D56B2">
        <w:t>representar</w:t>
      </w:r>
      <w:r w:rsidRPr="003D56B2">
        <w:t xml:space="preserve"> cambio alguno</w:t>
      </w:r>
      <w:r w:rsidR="006465D3" w:rsidRPr="003D56B2">
        <w:t>,</w:t>
      </w:r>
      <w:r w:rsidRPr="003D56B2">
        <w:t xml:space="preserve"> </w:t>
      </w:r>
      <w:r w:rsidR="000C580C" w:rsidRPr="003D56B2">
        <w:t>no soluciona las reclamaciones por el aporte de pocos reactivos ca</w:t>
      </w:r>
      <w:r w:rsidR="00B34921" w:rsidRPr="003D56B2">
        <w:t>p</w:t>
      </w:r>
      <w:r w:rsidR="000C580C" w:rsidRPr="003D56B2">
        <w:t xml:space="preserve">acitivos a la red </w:t>
      </w:r>
      <w:r w:rsidR="00B34921" w:rsidRPr="003D56B2">
        <w:t>que son causantes de cobros elevados</w:t>
      </w:r>
      <w:r w:rsidR="005607DD" w:rsidRPr="003D56B2">
        <w:t>, ni atiende la revisión a que hace referencia el Decreto 929 de 2023</w:t>
      </w:r>
      <w:r w:rsidR="006465D3" w:rsidRPr="003D56B2">
        <w:t>.</w:t>
      </w:r>
    </w:p>
    <w:p w14:paraId="2E8C3EFA" w14:textId="37D1F827" w:rsidR="004C6D1A" w:rsidRPr="003D56B2" w:rsidRDefault="006465D3" w:rsidP="004C6D1A">
      <w:r w:rsidRPr="003D56B2">
        <w:t xml:space="preserve">No obstante, </w:t>
      </w:r>
      <w:r w:rsidR="0007357A" w:rsidRPr="003D56B2">
        <w:t xml:space="preserve">tampoco </w:t>
      </w:r>
      <w:r w:rsidR="00B34921" w:rsidRPr="003D56B2">
        <w:t xml:space="preserve">produce ningún </w:t>
      </w:r>
      <w:r w:rsidR="0007357A" w:rsidRPr="003D56B2">
        <w:t>cambio en las responsabilidades por la operación en la red</w:t>
      </w:r>
      <w:r w:rsidR="004C6D1A" w:rsidRPr="003D56B2">
        <w:t>.</w:t>
      </w:r>
    </w:p>
    <w:p w14:paraId="51C96077" w14:textId="375DDBEF" w:rsidR="009C1674" w:rsidRPr="003D56B2" w:rsidRDefault="00AC49CA" w:rsidP="00826981">
      <w:pPr>
        <w:pStyle w:val="Prrafodelista"/>
        <w:numPr>
          <w:ilvl w:val="0"/>
          <w:numId w:val="5"/>
        </w:numPr>
        <w:rPr>
          <w:rFonts w:eastAsia="Times New Roman" w:cs="Times New Roman"/>
          <w:b/>
          <w:bCs w:val="0"/>
          <w:szCs w:val="24"/>
          <w:lang w:eastAsia="es-ES"/>
        </w:rPr>
      </w:pPr>
      <w:r w:rsidRPr="003D56B2">
        <w:rPr>
          <w:rFonts w:eastAsia="Times New Roman" w:cs="Times New Roman"/>
          <w:b/>
          <w:bCs w:val="0"/>
          <w:szCs w:val="24"/>
          <w:lang w:eastAsia="es-ES"/>
        </w:rPr>
        <w:t>Modificar</w:t>
      </w:r>
      <w:r w:rsidR="009C1674" w:rsidRPr="003D56B2">
        <w:rPr>
          <w:rFonts w:eastAsia="Times New Roman" w:cs="Times New Roman"/>
          <w:b/>
          <w:bCs w:val="0"/>
          <w:szCs w:val="24"/>
          <w:lang w:eastAsia="es-ES"/>
        </w:rPr>
        <w:t xml:space="preserve"> </w:t>
      </w:r>
      <w:r w:rsidR="00697EF9" w:rsidRPr="003D56B2">
        <w:rPr>
          <w:rFonts w:eastAsia="Times New Roman" w:cs="Times New Roman"/>
          <w:b/>
          <w:bCs w:val="0"/>
          <w:szCs w:val="24"/>
          <w:lang w:eastAsia="es-ES"/>
        </w:rPr>
        <w:t>o incluir</w:t>
      </w:r>
      <w:r w:rsidR="009C1674" w:rsidRPr="003D56B2">
        <w:rPr>
          <w:rFonts w:eastAsia="Times New Roman" w:cs="Times New Roman"/>
          <w:b/>
          <w:bCs w:val="0"/>
          <w:szCs w:val="24"/>
          <w:lang w:eastAsia="es-ES"/>
        </w:rPr>
        <w:t xml:space="preserve"> incentivos económicos </w:t>
      </w:r>
      <w:r w:rsidR="00975A97" w:rsidRPr="003D56B2">
        <w:rPr>
          <w:rFonts w:eastAsia="Times New Roman" w:cs="Times New Roman"/>
          <w:b/>
          <w:bCs w:val="0"/>
          <w:szCs w:val="24"/>
          <w:lang w:eastAsia="es-ES"/>
        </w:rPr>
        <w:t xml:space="preserve">a los usuarios para la reducción de aportes en la energía reactiva capacitiva. </w:t>
      </w:r>
      <w:r w:rsidR="009C1674" w:rsidRPr="003D56B2">
        <w:rPr>
          <w:rFonts w:eastAsia="Times New Roman" w:cs="Times New Roman"/>
          <w:b/>
          <w:bCs w:val="0"/>
          <w:szCs w:val="24"/>
          <w:lang w:eastAsia="es-ES"/>
        </w:rPr>
        <w:t xml:space="preserve"> </w:t>
      </w:r>
    </w:p>
    <w:p w14:paraId="2E898D4C" w14:textId="77777777" w:rsidR="00BA074B" w:rsidRPr="003D56B2" w:rsidRDefault="00975A97" w:rsidP="00142B07">
      <w:r w:rsidRPr="003D56B2">
        <w:t xml:space="preserve">Esta alternativa implica </w:t>
      </w:r>
      <w:r w:rsidR="006B2AB3" w:rsidRPr="003D56B2">
        <w:t xml:space="preserve">la definición de elementos que </w:t>
      </w:r>
      <w:r w:rsidR="00697EF9" w:rsidRPr="003D56B2">
        <w:t xml:space="preserve">pueden </w:t>
      </w:r>
      <w:r w:rsidR="006B2AB3" w:rsidRPr="003D56B2">
        <w:t>afecta</w:t>
      </w:r>
      <w:r w:rsidR="00697EF9" w:rsidRPr="003D56B2">
        <w:t>r</w:t>
      </w:r>
      <w:r w:rsidR="006B2AB3" w:rsidRPr="003D56B2">
        <w:t xml:space="preserve"> metodologías tarifarias. Un ejercicio de este tipo requiere que la Comisión cuente con insumos suficientes a nivel de estudios e información</w:t>
      </w:r>
      <w:r w:rsidR="009D3E0F" w:rsidRPr="003D56B2">
        <w:t xml:space="preserve"> para su desarrollo en escenarios regulatorios más complejos como </w:t>
      </w:r>
      <w:r w:rsidR="006B395C" w:rsidRPr="003D56B2">
        <w:t>el mencionado</w:t>
      </w:r>
      <w:r w:rsidR="009D3E0F" w:rsidRPr="003D56B2">
        <w:t xml:space="preserve">. </w:t>
      </w:r>
    </w:p>
    <w:p w14:paraId="6E69970D" w14:textId="506AE350" w:rsidR="00975A97" w:rsidRPr="003D56B2" w:rsidRDefault="009D3E0F" w:rsidP="00142B07">
      <w:r w:rsidRPr="003D56B2">
        <w:t xml:space="preserve">Actualmente, la Comisión </w:t>
      </w:r>
      <w:r w:rsidR="005609CB" w:rsidRPr="003D56B2">
        <w:t xml:space="preserve">se encuentra en ejercicio de levantamiento </w:t>
      </w:r>
      <w:r w:rsidRPr="003D56B2">
        <w:t xml:space="preserve">de información. </w:t>
      </w:r>
      <w:r w:rsidR="005609CB" w:rsidRPr="003D56B2">
        <w:t xml:space="preserve">Los resultados de este ejercicio permitirán tomar acciones de mediano plazo y acciones </w:t>
      </w:r>
      <w:r w:rsidR="00915831" w:rsidRPr="003D56B2">
        <w:t>que hagan parte de las bases de revisión para la remuneración de la actividad de distribución de energía eléctrica que</w:t>
      </w:r>
      <w:r w:rsidR="00D968C4">
        <w:t xml:space="preserve">, posiblemente, </w:t>
      </w:r>
      <w:r w:rsidR="00915831" w:rsidRPr="003D56B2">
        <w:t>conduzcan a reemplazar el esquema establecido mediante la Resolución CREG 015 de 2018.</w:t>
      </w:r>
      <w:r w:rsidR="005609CB" w:rsidRPr="003D56B2">
        <w:t xml:space="preserve"> </w:t>
      </w:r>
      <w:r w:rsidR="00915831" w:rsidRPr="003D56B2">
        <w:t>Igualmente, esta alternativa cuenta con un menor grado de oportunidad e inmediatez frente a l</w:t>
      </w:r>
      <w:r w:rsidR="00460A9E" w:rsidRPr="003D56B2">
        <w:t>a revisión</w:t>
      </w:r>
      <w:r w:rsidR="00915831" w:rsidRPr="003D56B2">
        <w:t xml:space="preserve"> solicitad</w:t>
      </w:r>
      <w:r w:rsidR="00460A9E" w:rsidRPr="003D56B2">
        <w:t>a</w:t>
      </w:r>
      <w:r w:rsidR="00915831" w:rsidRPr="003D56B2">
        <w:t xml:space="preserve"> en el Decreto 929 de 2023</w:t>
      </w:r>
      <w:r w:rsidR="006B395C" w:rsidRPr="003D56B2">
        <w:t xml:space="preserve"> para su implementación</w:t>
      </w:r>
      <w:r w:rsidR="00915831" w:rsidRPr="003D56B2">
        <w:t xml:space="preserve">. </w:t>
      </w:r>
    </w:p>
    <w:p w14:paraId="5558C786" w14:textId="715A7CF3" w:rsidR="004C6D1A" w:rsidRPr="003D56B2" w:rsidRDefault="00081301" w:rsidP="00826981">
      <w:pPr>
        <w:numPr>
          <w:ilvl w:val="0"/>
          <w:numId w:val="5"/>
        </w:numPr>
        <w:rPr>
          <w:b/>
          <w:bCs w:val="0"/>
        </w:rPr>
      </w:pPr>
      <w:r w:rsidRPr="003D56B2">
        <w:rPr>
          <w:b/>
          <w:bCs w:val="0"/>
        </w:rPr>
        <w:t>Llevar a cabo una m</w:t>
      </w:r>
      <w:r w:rsidR="004C6D1A" w:rsidRPr="003D56B2">
        <w:rPr>
          <w:b/>
          <w:bCs w:val="0"/>
        </w:rPr>
        <w:t>odifica</w:t>
      </w:r>
      <w:r w:rsidRPr="003D56B2">
        <w:rPr>
          <w:b/>
          <w:bCs w:val="0"/>
        </w:rPr>
        <w:t>ción de la</w:t>
      </w:r>
      <w:r w:rsidR="004C6D1A" w:rsidRPr="003D56B2">
        <w:rPr>
          <w:b/>
          <w:bCs w:val="0"/>
        </w:rPr>
        <w:t xml:space="preserve"> regulación </w:t>
      </w:r>
      <w:r w:rsidRPr="003D56B2">
        <w:rPr>
          <w:b/>
          <w:bCs w:val="0"/>
        </w:rPr>
        <w:t xml:space="preserve">de carácter </w:t>
      </w:r>
      <w:r w:rsidR="004C6D1A" w:rsidRPr="003D56B2">
        <w:rPr>
          <w:b/>
          <w:bCs w:val="0"/>
        </w:rPr>
        <w:t>general para cambiar los estándares actuales.</w:t>
      </w:r>
    </w:p>
    <w:p w14:paraId="452BE857" w14:textId="77777777" w:rsidR="008A25F8" w:rsidRPr="003D56B2" w:rsidRDefault="004C6D1A" w:rsidP="004C6D1A">
      <w:r w:rsidRPr="003D56B2">
        <w:t xml:space="preserve">Esta alternativa </w:t>
      </w:r>
      <w:r w:rsidR="00EA73CF" w:rsidRPr="003D56B2">
        <w:t xml:space="preserve">considera </w:t>
      </w:r>
      <w:r w:rsidR="00915831" w:rsidRPr="003D56B2">
        <w:t xml:space="preserve">abordar el problema definido y el requerimiento de política a través de una revisión </w:t>
      </w:r>
      <w:r w:rsidR="006B395C" w:rsidRPr="003D56B2">
        <w:t xml:space="preserve">de la regulación de carácter general </w:t>
      </w:r>
      <w:r w:rsidR="00DB2013" w:rsidRPr="003D56B2">
        <w:t xml:space="preserve">en aspectos técnicos, como lo son </w:t>
      </w:r>
      <w:r w:rsidR="00EA73CF" w:rsidRPr="003D56B2">
        <w:t>los estándares de calidad de la potencia, establecidos originalmente en la Resolución CREG 070 de 1998</w:t>
      </w:r>
      <w:r w:rsidR="00DB2013" w:rsidRPr="003D56B2">
        <w:t xml:space="preserve">. </w:t>
      </w:r>
    </w:p>
    <w:p w14:paraId="25024E2E" w14:textId="77777777" w:rsidR="008A25F8" w:rsidRPr="003D56B2" w:rsidRDefault="00DB2013" w:rsidP="004C6D1A">
      <w:r w:rsidRPr="003D56B2">
        <w:t xml:space="preserve">Un ejercicio de revisión de estos estándares </w:t>
      </w:r>
      <w:r w:rsidR="0091154F" w:rsidRPr="003D56B2">
        <w:t xml:space="preserve">y su </w:t>
      </w:r>
      <w:r w:rsidR="008A25F8" w:rsidRPr="003D56B2">
        <w:t>modificación genera</w:t>
      </w:r>
      <w:r w:rsidR="00EA5393" w:rsidRPr="003D56B2">
        <w:t xml:space="preserve"> un efecto que recae </w:t>
      </w:r>
      <w:r w:rsidR="00EA73CF" w:rsidRPr="003D56B2">
        <w:t>sobre toda la regulación, de manera transversal, logra</w:t>
      </w:r>
      <w:r w:rsidR="00EA5393" w:rsidRPr="003D56B2">
        <w:t>ndo</w:t>
      </w:r>
      <w:r w:rsidR="00EA73CF" w:rsidRPr="003D56B2">
        <w:t xml:space="preserve"> </w:t>
      </w:r>
      <w:r w:rsidR="00803E30" w:rsidRPr="003D56B2">
        <w:t>el objetivo de minimizar o eliminar el cobro por el transporte de energía reactiva capacitiva causa</w:t>
      </w:r>
      <w:r w:rsidR="00591C5C" w:rsidRPr="003D56B2">
        <w:t xml:space="preserve">do </w:t>
      </w:r>
      <w:r w:rsidR="00803E30" w:rsidRPr="003D56B2">
        <w:t xml:space="preserve">por </w:t>
      </w:r>
      <w:r w:rsidR="00591C5C" w:rsidRPr="003D56B2">
        <w:t xml:space="preserve">algunos </w:t>
      </w:r>
      <w:r w:rsidR="00803E30" w:rsidRPr="003D56B2">
        <w:t xml:space="preserve">pocos reactivos </w:t>
      </w:r>
      <w:r w:rsidR="00591C5C" w:rsidRPr="003D56B2">
        <w:t>inyectados a la red</w:t>
      </w:r>
      <w:r w:rsidR="009C1674" w:rsidRPr="003D56B2">
        <w:t>.</w:t>
      </w:r>
      <w:r w:rsidR="00EA5393" w:rsidRPr="003D56B2">
        <w:t xml:space="preserve"> </w:t>
      </w:r>
    </w:p>
    <w:p w14:paraId="49F4F9DA" w14:textId="68DDEE0D" w:rsidR="00AB34E6" w:rsidRPr="003D56B2" w:rsidRDefault="006E368D" w:rsidP="004C6D1A">
      <w:r w:rsidRPr="003D56B2">
        <w:t>Así mismo, s</w:t>
      </w:r>
      <w:r w:rsidR="00EA5393" w:rsidRPr="003D56B2">
        <w:t xml:space="preserve">e considera que esta alternativa y la modificación de la Resolución CREG 070 de 1998 tiene una relación material directa con el objeto de la intervención y la revisión de los aspectos técnicos </w:t>
      </w:r>
      <w:r w:rsidR="00142B07" w:rsidRPr="003D56B2">
        <w:t xml:space="preserve">en torno al cumplimiento del estándar establecido para el transporte de energía reactiva capacitiva, </w:t>
      </w:r>
      <w:r w:rsidR="004F4D5C" w:rsidRPr="003D56B2">
        <w:t>así como guarda conexidad con</w:t>
      </w:r>
      <w:r w:rsidRPr="003D56B2">
        <w:t xml:space="preserve"> aspectos operativos del sistema de distribución. </w:t>
      </w:r>
    </w:p>
    <w:p w14:paraId="49EB3D31" w14:textId="761E3A67" w:rsidR="004C6D1A" w:rsidRPr="003D56B2" w:rsidRDefault="003305B2" w:rsidP="004C6D1A">
      <w:r w:rsidRPr="003D56B2">
        <w:t>Adicionalmente, para el desarrollo de esta alternativa</w:t>
      </w:r>
      <w:r w:rsidR="008A25F8" w:rsidRPr="003D56B2">
        <w:t>,</w:t>
      </w:r>
      <w:r w:rsidRPr="003D56B2">
        <w:t xml:space="preserve"> la Comisión cuenta con información suficiente a partir de la revisión de estándares internacionales y la revisión de</w:t>
      </w:r>
      <w:r w:rsidR="00D5782A">
        <w:t xml:space="preserve">l transporte </w:t>
      </w:r>
      <w:r w:rsidRPr="003D56B2">
        <w:t>de energía reactiva capacitiva para los usuarios del Sistema Interconectado Nacional</w:t>
      </w:r>
      <w:r w:rsidR="00A1008F" w:rsidRPr="003D56B2">
        <w:t xml:space="preserve"> – SIN. </w:t>
      </w:r>
      <w:r w:rsidR="006E368D" w:rsidRPr="003D56B2">
        <w:t>Finalmente</w:t>
      </w:r>
      <w:r w:rsidR="004F4D5C" w:rsidRPr="003D56B2">
        <w:t>, se considera que</w:t>
      </w:r>
      <w:r w:rsidR="006E368D" w:rsidRPr="003D56B2">
        <w:t xml:space="preserve"> </w:t>
      </w:r>
      <w:r w:rsidR="004F4D5C" w:rsidRPr="003D56B2">
        <w:t>esta alternativa cuenta con un mayor grado de oportunidad e inmediatez frente a l</w:t>
      </w:r>
      <w:r w:rsidR="00460A9E" w:rsidRPr="003D56B2">
        <w:t>a</w:t>
      </w:r>
      <w:r w:rsidR="004F4D5C" w:rsidRPr="003D56B2">
        <w:t xml:space="preserve"> </w:t>
      </w:r>
      <w:r w:rsidR="00460A9E" w:rsidRPr="003D56B2">
        <w:t xml:space="preserve">revisión </w:t>
      </w:r>
      <w:r w:rsidR="004F4D5C" w:rsidRPr="003D56B2">
        <w:t>solicitad</w:t>
      </w:r>
      <w:r w:rsidR="00460A9E" w:rsidRPr="003D56B2">
        <w:t>a</w:t>
      </w:r>
      <w:r w:rsidR="004F4D5C" w:rsidRPr="003D56B2">
        <w:t xml:space="preserve"> en el Decreto 929 de 2023 para su implementación.</w:t>
      </w:r>
    </w:p>
    <w:p w14:paraId="48491926" w14:textId="074549B1" w:rsidR="003E0267" w:rsidRPr="003D56B2" w:rsidRDefault="003470EC" w:rsidP="003E0267">
      <w:pPr>
        <w:pStyle w:val="Ttulo1"/>
        <w:rPr>
          <w:lang w:val="es-CO"/>
        </w:rPr>
      </w:pPr>
      <w:bookmarkStart w:id="10" w:name="_Toc157689785"/>
      <w:r w:rsidRPr="003D56B2">
        <w:rPr>
          <w:lang w:val="es-CO"/>
        </w:rPr>
        <w:lastRenderedPageBreak/>
        <w:t>ANÁLISIS DE IMPACTOS</w:t>
      </w:r>
      <w:bookmarkEnd w:id="10"/>
    </w:p>
    <w:p w14:paraId="07D3E3A4" w14:textId="2E427A25" w:rsidR="00225A22" w:rsidRPr="003D56B2" w:rsidRDefault="00225A22" w:rsidP="00225A22">
      <w:r w:rsidRPr="003D56B2">
        <w:t>El impacto identificado para cada alternativa es el siguiente:</w:t>
      </w:r>
    </w:p>
    <w:p w14:paraId="09845B93" w14:textId="7E3C7EB2" w:rsidR="003568A3" w:rsidRPr="003D56B2" w:rsidRDefault="003568A3" w:rsidP="003568A3">
      <w:r w:rsidRPr="003D56B2">
        <w:rPr>
          <w:b/>
        </w:rPr>
        <w:t xml:space="preserve">Impacto de la alternativa </w:t>
      </w:r>
      <w:r w:rsidR="001E7B06" w:rsidRPr="003D56B2">
        <w:rPr>
          <w:b/>
        </w:rPr>
        <w:t>a</w:t>
      </w:r>
      <w:r w:rsidRPr="003D56B2">
        <w:rPr>
          <w:b/>
        </w:rPr>
        <w:t xml:space="preserve">): </w:t>
      </w:r>
      <w:r w:rsidRPr="003D56B2">
        <w:t xml:space="preserve">con esta alternativa, </w:t>
      </w:r>
      <w:r w:rsidR="003926C2" w:rsidRPr="003D56B2">
        <w:t xml:space="preserve">se mantiene el problema identificado, y a usuarios con </w:t>
      </w:r>
      <w:r w:rsidR="008D3427" w:rsidRPr="003D56B2">
        <w:t>cantidades</w:t>
      </w:r>
      <w:r w:rsidR="000F558F" w:rsidRPr="003D56B2">
        <w:t xml:space="preserve"> bajas de transporte de reactiva capacitiva se les continuaría </w:t>
      </w:r>
      <w:r w:rsidR="001E7B06" w:rsidRPr="003D56B2">
        <w:t>efectuando</w:t>
      </w:r>
      <w:r w:rsidR="000F558F" w:rsidRPr="003D56B2">
        <w:t xml:space="preserve"> cobro</w:t>
      </w:r>
      <w:r w:rsidR="001E7B06" w:rsidRPr="003D56B2">
        <w:t>s</w:t>
      </w:r>
      <w:r w:rsidR="000F558F" w:rsidRPr="003D56B2">
        <w:t xml:space="preserve"> </w:t>
      </w:r>
      <w:r w:rsidR="00D21DCB" w:rsidRPr="003D56B2">
        <w:t>por toda la energía reactiva capacitiva transportada</w:t>
      </w:r>
      <w:r w:rsidRPr="003D56B2">
        <w:t>.</w:t>
      </w:r>
    </w:p>
    <w:p w14:paraId="0948639E" w14:textId="4EA8803B" w:rsidR="00985A3B" w:rsidRPr="003D56B2" w:rsidRDefault="003568A3" w:rsidP="009D3EB1">
      <w:r w:rsidRPr="003D56B2">
        <w:rPr>
          <w:b/>
        </w:rPr>
        <w:t xml:space="preserve">Impacto de la alternativa </w:t>
      </w:r>
      <w:r w:rsidR="001E7B06" w:rsidRPr="003D56B2">
        <w:rPr>
          <w:b/>
        </w:rPr>
        <w:t>b</w:t>
      </w:r>
      <w:r w:rsidRPr="003D56B2">
        <w:rPr>
          <w:b/>
        </w:rPr>
        <w:t>):</w:t>
      </w:r>
      <w:r w:rsidRPr="003D56B2">
        <w:t xml:space="preserve"> </w:t>
      </w:r>
      <w:r w:rsidR="00460A9E" w:rsidRPr="003D56B2">
        <w:t xml:space="preserve">se considera que </w:t>
      </w:r>
      <w:r w:rsidR="009D3EB1" w:rsidRPr="003D56B2">
        <w:t xml:space="preserve">esta alternativa cuenta con un mayor grado de </w:t>
      </w:r>
      <w:r w:rsidR="005609CB" w:rsidRPr="003D56B2">
        <w:t>esfuerzo</w:t>
      </w:r>
      <w:r w:rsidR="009D3EB1" w:rsidRPr="003D56B2">
        <w:t xml:space="preserve"> </w:t>
      </w:r>
      <w:r w:rsidR="005609CB" w:rsidRPr="003D56B2">
        <w:t xml:space="preserve">dado que involucra </w:t>
      </w:r>
      <w:r w:rsidR="0038373C" w:rsidRPr="003D56B2">
        <w:t xml:space="preserve">la revisión de </w:t>
      </w:r>
      <w:r w:rsidR="009D3EB1" w:rsidRPr="003D56B2">
        <w:t>una metodología tarifaria</w:t>
      </w:r>
      <w:r w:rsidR="0038373C" w:rsidRPr="003D56B2">
        <w:t xml:space="preserve"> y </w:t>
      </w:r>
      <w:r w:rsidR="00E369EA">
        <w:t>de</w:t>
      </w:r>
      <w:r w:rsidR="0038373C" w:rsidRPr="003D56B2">
        <w:t xml:space="preserve"> las argumentaciones que deriven en el cambio de </w:t>
      </w:r>
      <w:r w:rsidR="00E369EA" w:rsidRPr="003D56B2">
        <w:t>esta</w:t>
      </w:r>
      <w:r w:rsidR="0038373C" w:rsidRPr="003D56B2">
        <w:t>. P</w:t>
      </w:r>
      <w:r w:rsidR="009D3EB1" w:rsidRPr="003D56B2">
        <w:t>ara e</w:t>
      </w:r>
      <w:r w:rsidR="00E369EA">
        <w:t>ll</w:t>
      </w:r>
      <w:r w:rsidR="009D3EB1" w:rsidRPr="003D56B2">
        <w:t>o</w:t>
      </w:r>
      <w:r w:rsidR="0038373C" w:rsidRPr="003D56B2">
        <w:t>,</w:t>
      </w:r>
      <w:r w:rsidR="009D3EB1" w:rsidRPr="003D56B2">
        <w:t xml:space="preserve"> cualquier mecanismo que se incorpore requiere contar información suficiente y estudios que involucren costos de soluciones contra el valor del incentivo económico que le permitan a la Comisión adoptar una decisión adecuada y debidamente sustentada. </w:t>
      </w:r>
    </w:p>
    <w:p w14:paraId="620DFC3D" w14:textId="1179F92C" w:rsidR="003568A3" w:rsidRPr="003D56B2" w:rsidRDefault="003568A3" w:rsidP="003568A3">
      <w:r w:rsidRPr="003D56B2">
        <w:rPr>
          <w:b/>
        </w:rPr>
        <w:t xml:space="preserve">Impacto de la alternativa </w:t>
      </w:r>
      <w:r w:rsidR="001E7B06" w:rsidRPr="003D56B2">
        <w:rPr>
          <w:b/>
        </w:rPr>
        <w:t>c</w:t>
      </w:r>
      <w:r w:rsidRPr="003D56B2">
        <w:rPr>
          <w:b/>
        </w:rPr>
        <w:t xml:space="preserve">): </w:t>
      </w:r>
      <w:r w:rsidRPr="003D56B2">
        <w:t>esta alternativa requiere la modificación del reglamento de distribución, pero permite corregir</w:t>
      </w:r>
      <w:r w:rsidR="006D7932" w:rsidRPr="003D56B2">
        <w:t xml:space="preserve"> los</w:t>
      </w:r>
      <w:r w:rsidRPr="003D56B2">
        <w:t xml:space="preserve"> aspectos identificados en el problema. Además, </w:t>
      </w:r>
      <w:r w:rsidR="006D7932" w:rsidRPr="003D56B2">
        <w:t xml:space="preserve">es posible </w:t>
      </w:r>
      <w:r w:rsidRPr="003D56B2">
        <w:t>sustenta</w:t>
      </w:r>
      <w:r w:rsidR="006D7932" w:rsidRPr="003D56B2">
        <w:t>r</w:t>
      </w:r>
      <w:r w:rsidRPr="003D56B2">
        <w:t xml:space="preserve"> </w:t>
      </w:r>
      <w:r w:rsidR="006D7932" w:rsidRPr="003D56B2">
        <w:t xml:space="preserve">la modificación </w:t>
      </w:r>
      <w:r w:rsidRPr="003D56B2">
        <w:t xml:space="preserve">con la revisión de límites de factores de potencia de estándares internacionales </w:t>
      </w:r>
      <w:r w:rsidR="002645E3" w:rsidRPr="003D56B2">
        <w:t xml:space="preserve">y </w:t>
      </w:r>
      <w:r w:rsidRPr="003D56B2">
        <w:t>con una revisión de</w:t>
      </w:r>
      <w:r w:rsidR="002645E3" w:rsidRPr="003D56B2">
        <w:t xml:space="preserve">l transporte </w:t>
      </w:r>
      <w:r w:rsidRPr="003D56B2">
        <w:t>de energía capacitiva en el país para determinar la cantidad de usuarios que estarían incluidos en el nuevo rango de tolerancia propuesto</w:t>
      </w:r>
      <w:r w:rsidR="0079080C" w:rsidRPr="003D56B2">
        <w:t>.</w:t>
      </w:r>
    </w:p>
    <w:p w14:paraId="59F13BB1" w14:textId="48CEBE9E" w:rsidR="006D6B9E" w:rsidRPr="003D56B2" w:rsidRDefault="00E369EA" w:rsidP="003568A3">
      <w:r>
        <w:t>E</w:t>
      </w:r>
      <w:r w:rsidR="006D6B9E" w:rsidRPr="003D56B2">
        <w:t>sta alternativa es la que implica un menor nivel de costos de cumplimiento, financieros y de oportunidad.</w:t>
      </w:r>
    </w:p>
    <w:p w14:paraId="0E2C52DC" w14:textId="01F22CB8" w:rsidR="00CA6AD9" w:rsidRPr="003D56B2" w:rsidRDefault="00CA6AD9" w:rsidP="00CA6AD9">
      <w:r w:rsidRPr="003D56B2">
        <w:t xml:space="preserve">Con base en lo anterior, se considera que la alternativa </w:t>
      </w:r>
      <w:r w:rsidR="00DF25E2" w:rsidRPr="003D56B2">
        <w:t>c</w:t>
      </w:r>
      <w:r w:rsidRPr="003D56B2">
        <w:t xml:space="preserve">) </w:t>
      </w:r>
      <w:r w:rsidR="00B01F7C" w:rsidRPr="003D56B2">
        <w:t xml:space="preserve">es la opción </w:t>
      </w:r>
      <w:r w:rsidR="0038373C" w:rsidRPr="003D56B2">
        <w:t xml:space="preserve">de potencial aplicación y ajuste inmediato </w:t>
      </w:r>
      <w:r w:rsidR="001212DD" w:rsidRPr="003D56B2">
        <w:t xml:space="preserve">ya que con ella se cumple </w:t>
      </w:r>
      <w:r w:rsidR="0038373C" w:rsidRPr="003D56B2">
        <w:t>parte d</w:t>
      </w:r>
      <w:r w:rsidRPr="003D56B2">
        <w:t>el objetivo previsto</w:t>
      </w:r>
      <w:r w:rsidR="00D26907" w:rsidRPr="003D56B2">
        <w:t xml:space="preserve">, el cual es eliminar los cobros por transporte por exceso de energía reactiva capacitiva </w:t>
      </w:r>
      <w:r w:rsidR="00E41F0E" w:rsidRPr="003D56B2">
        <w:t>obedeciendo a un criterio técnic</w:t>
      </w:r>
      <w:r w:rsidR="00BC7BB6" w:rsidRPr="003D56B2">
        <w:t>o y manteniendo la estabilidad en la operación del sistema</w:t>
      </w:r>
      <w:r w:rsidRPr="003D56B2">
        <w:t>, dado que considera</w:t>
      </w:r>
      <w:r w:rsidR="009F43F1" w:rsidRPr="003D56B2">
        <w:t xml:space="preserve"> </w:t>
      </w:r>
      <w:r w:rsidRPr="003D56B2">
        <w:t xml:space="preserve">la modificación </w:t>
      </w:r>
      <w:r w:rsidR="00DD7AC6" w:rsidRPr="003D56B2">
        <w:t>del límite de</w:t>
      </w:r>
      <w:r w:rsidR="00023FBC" w:rsidRPr="003D56B2">
        <w:t>l factor de potencia</w:t>
      </w:r>
      <w:r w:rsidRPr="003D56B2">
        <w:t xml:space="preserve"> capacitivo</w:t>
      </w:r>
      <w:r w:rsidR="00D26907" w:rsidRPr="003D56B2">
        <w:t>.</w:t>
      </w:r>
    </w:p>
    <w:p w14:paraId="535C3C42" w14:textId="395ED4DE" w:rsidR="00D21DCB" w:rsidRPr="003D56B2" w:rsidRDefault="00697EF9" w:rsidP="00CA6AD9">
      <w:r w:rsidRPr="003D56B2">
        <w:t>Adicionalmente</w:t>
      </w:r>
      <w:r w:rsidR="00D21DCB" w:rsidRPr="003D56B2">
        <w:t xml:space="preserve">, </w:t>
      </w:r>
      <w:r w:rsidRPr="003D56B2">
        <w:t>se ha de tener en cuenta que</w:t>
      </w:r>
      <w:r w:rsidR="00E369EA">
        <w:t>,</w:t>
      </w:r>
      <w:r w:rsidRPr="003D56B2">
        <w:t xml:space="preserve"> </w:t>
      </w:r>
      <w:r w:rsidR="00D21DCB" w:rsidRPr="003D56B2">
        <w:t>al implementar un ajuste en el límite al factor de potencia capacitiva</w:t>
      </w:r>
      <w:r w:rsidRPr="003D56B2">
        <w:t xml:space="preserve"> a través de esta alternativa</w:t>
      </w:r>
      <w:r w:rsidR="00D21DCB" w:rsidRPr="003D56B2">
        <w:t xml:space="preserve">, el factor M </w:t>
      </w:r>
      <w:r w:rsidR="00E369EA">
        <w:t xml:space="preserve">de que trata la Resolución CREG 015 de 2018 </w:t>
      </w:r>
      <w:r w:rsidR="00D21DCB" w:rsidRPr="003D56B2">
        <w:t>desaparece para quienes estén dentro de</w:t>
      </w:r>
      <w:r w:rsidR="0035293B" w:rsidRPr="003D56B2">
        <w:t>l</w:t>
      </w:r>
      <w:r w:rsidR="00040C2A" w:rsidRPr="003D56B2">
        <w:t xml:space="preserve"> </w:t>
      </w:r>
      <w:r w:rsidR="00D21DCB" w:rsidRPr="003D56B2">
        <w:t>rango</w:t>
      </w:r>
      <w:r w:rsidR="0035293B" w:rsidRPr="003D56B2">
        <w:t xml:space="preserve"> permitido</w:t>
      </w:r>
      <w:r w:rsidR="00D21DCB" w:rsidRPr="003D56B2">
        <w:t>,</w:t>
      </w:r>
      <w:r w:rsidR="00040C2A" w:rsidRPr="003D56B2">
        <w:t xml:space="preserve"> </w:t>
      </w:r>
      <w:r w:rsidR="00F35A78" w:rsidRPr="003D56B2">
        <w:t>de tal manera que estos usuarios ya no verán ningún cobro asociado a este transporte.</w:t>
      </w:r>
    </w:p>
    <w:p w14:paraId="57FF8C5D" w14:textId="01DF6FA6" w:rsidR="00E36DD3" w:rsidRPr="003D56B2" w:rsidRDefault="006A2032" w:rsidP="00E22FCC">
      <w:pPr>
        <w:pStyle w:val="Ttulo1"/>
        <w:rPr>
          <w:lang w:val="es-CO"/>
        </w:rPr>
      </w:pPr>
      <w:bookmarkStart w:id="11" w:name="_Ref142058191"/>
      <w:bookmarkStart w:id="12" w:name="_Ref142058195"/>
      <w:bookmarkStart w:id="13" w:name="_Toc157689786"/>
      <w:r w:rsidRPr="003D56B2">
        <w:rPr>
          <w:caps w:val="0"/>
          <w:lang w:val="es-CO"/>
        </w:rPr>
        <w:t>ANÁLISIS DE LA PROPUESTA</w:t>
      </w:r>
      <w:bookmarkEnd w:id="11"/>
      <w:bookmarkEnd w:id="12"/>
      <w:bookmarkEnd w:id="13"/>
    </w:p>
    <w:p w14:paraId="4C36525A" w14:textId="4A2E65BE" w:rsidR="00114C9C" w:rsidRPr="003D56B2" w:rsidRDefault="001E0D11" w:rsidP="00114C9C">
      <w:r w:rsidRPr="003D56B2">
        <w:t>En la sección anterior se menciona que</w:t>
      </w:r>
      <w:r w:rsidR="002C26F4" w:rsidRPr="003D56B2">
        <w:t xml:space="preserve"> se propone desarrollar</w:t>
      </w:r>
      <w:r w:rsidRPr="003D56B2">
        <w:t xml:space="preserve"> la alternativa </w:t>
      </w:r>
      <w:r w:rsidR="008504E0" w:rsidRPr="003D56B2">
        <w:t>c)</w:t>
      </w:r>
      <w:r w:rsidRPr="003D56B2">
        <w:t>.</w:t>
      </w:r>
      <w:r w:rsidR="00551CBC" w:rsidRPr="003D56B2">
        <w:t xml:space="preserve"> </w:t>
      </w:r>
      <w:r w:rsidR="00E10262" w:rsidRPr="003D56B2">
        <w:t>De esta manera, a continuación</w:t>
      </w:r>
      <w:r w:rsidR="00531D21" w:rsidRPr="003D56B2">
        <w:t>,</w:t>
      </w:r>
      <w:r w:rsidR="00E10262" w:rsidRPr="003D56B2">
        <w:t xml:space="preserve"> se presentan</w:t>
      </w:r>
      <w:r w:rsidR="008504E0" w:rsidRPr="003D56B2">
        <w:t>:</w:t>
      </w:r>
      <w:r w:rsidR="00E10262" w:rsidRPr="003D56B2">
        <w:t xml:space="preserve"> </w:t>
      </w:r>
      <w:r w:rsidR="005852E8" w:rsidRPr="003D56B2">
        <w:t>i</w:t>
      </w:r>
      <w:r w:rsidR="00E10262" w:rsidRPr="003D56B2">
        <w:t xml:space="preserve">) una revisión </w:t>
      </w:r>
      <w:r w:rsidR="00D4230C" w:rsidRPr="003D56B2">
        <w:t>de estándares internacionales</w:t>
      </w:r>
      <w:r w:rsidR="00EF2C03" w:rsidRPr="003D56B2">
        <w:t xml:space="preserve"> y </w:t>
      </w:r>
      <w:proofErr w:type="spellStart"/>
      <w:r w:rsidR="005852E8" w:rsidRPr="003D56B2">
        <w:t>ii</w:t>
      </w:r>
      <w:proofErr w:type="spellEnd"/>
      <w:r w:rsidR="00EF2C03" w:rsidRPr="003D56B2">
        <w:t xml:space="preserve">) un análisis de la información </w:t>
      </w:r>
      <w:r w:rsidR="00D5782A">
        <w:t>del transporte</w:t>
      </w:r>
      <w:r w:rsidR="00EF2C03" w:rsidRPr="003D56B2">
        <w:t xml:space="preserve"> de energía reactiva capacitiva para todos los usuarios del país</w:t>
      </w:r>
      <w:r w:rsidR="005852E8" w:rsidRPr="003D56B2">
        <w:t>, consultad</w:t>
      </w:r>
      <w:r w:rsidR="009F2DBE" w:rsidRPr="003D56B2">
        <w:t>a</w:t>
      </w:r>
      <w:r w:rsidR="00D81A81" w:rsidRPr="003D56B2">
        <w:t xml:space="preserve"> </w:t>
      </w:r>
      <w:r w:rsidR="00E369EA">
        <w:t xml:space="preserve">los días </w:t>
      </w:r>
      <w:r w:rsidR="00040C2A" w:rsidRPr="003D56B2">
        <w:t>17 y 24 de julio de 2023</w:t>
      </w:r>
      <w:r w:rsidR="005852E8" w:rsidRPr="003D56B2">
        <w:t xml:space="preserve"> </w:t>
      </w:r>
      <w:r w:rsidR="009F2DBE" w:rsidRPr="003D56B2">
        <w:t xml:space="preserve">en </w:t>
      </w:r>
      <w:r w:rsidR="005852E8" w:rsidRPr="003D56B2">
        <w:t>el Sistema Único de Información, SUI, administrado por la Superintendencia de Servicios Públicos Domiciliarios, SSPD.</w:t>
      </w:r>
    </w:p>
    <w:p w14:paraId="52B873D9" w14:textId="1B96D478" w:rsidR="006374AE" w:rsidRPr="003D56B2" w:rsidRDefault="007813C3" w:rsidP="009626D9">
      <w:pPr>
        <w:pStyle w:val="Ttulo2"/>
      </w:pPr>
      <w:bookmarkStart w:id="14" w:name="_Toc157689787"/>
      <w:r w:rsidRPr="003D56B2">
        <w:lastRenderedPageBreak/>
        <w:t>Estándares internacionales</w:t>
      </w:r>
      <w:bookmarkEnd w:id="14"/>
    </w:p>
    <w:p w14:paraId="7C86B541" w14:textId="7BB6CCEE" w:rsidR="007813C3" w:rsidRPr="003D56B2" w:rsidRDefault="007813C3" w:rsidP="007813C3">
      <w:r w:rsidRPr="003D56B2">
        <w:t>Países como México</w:t>
      </w:r>
      <w:r w:rsidRPr="003D56B2">
        <w:rPr>
          <w:vertAlign w:val="superscript"/>
        </w:rPr>
        <w:footnoteReference w:id="2"/>
      </w:r>
      <w:r w:rsidRPr="003D56B2">
        <w:t xml:space="preserve"> e India</w:t>
      </w:r>
      <w:r w:rsidRPr="003D56B2">
        <w:rPr>
          <w:vertAlign w:val="superscript"/>
        </w:rPr>
        <w:footnoteReference w:id="3"/>
      </w:r>
      <w:r w:rsidRPr="003D56B2">
        <w:t xml:space="preserve"> tienen establecido el límite del factor de potencia en 0</w:t>
      </w:r>
      <w:r w:rsidR="000512DB">
        <w:t>,</w:t>
      </w:r>
      <w:r w:rsidRPr="003D56B2">
        <w:t>90 mientras que Ecuador</w:t>
      </w:r>
      <w:r w:rsidRPr="003D56B2">
        <w:rPr>
          <w:vertAlign w:val="superscript"/>
        </w:rPr>
        <w:footnoteReference w:id="4"/>
      </w:r>
      <w:r w:rsidRPr="003D56B2">
        <w:t xml:space="preserve"> en 0</w:t>
      </w:r>
      <w:r w:rsidR="000512DB">
        <w:t>,</w:t>
      </w:r>
      <w:r w:rsidRPr="003D56B2">
        <w:t>92. Perú</w:t>
      </w:r>
      <w:r w:rsidRPr="003D56B2">
        <w:rPr>
          <w:vertAlign w:val="superscript"/>
        </w:rPr>
        <w:footnoteReference w:id="5"/>
      </w:r>
      <w:r w:rsidRPr="003D56B2">
        <w:t>, Argentina</w:t>
      </w:r>
      <w:r w:rsidRPr="003D56B2">
        <w:rPr>
          <w:vertAlign w:val="superscript"/>
        </w:rPr>
        <w:footnoteReference w:id="6"/>
      </w:r>
      <w:r w:rsidRPr="003D56B2">
        <w:t xml:space="preserve"> y Escocia</w:t>
      </w:r>
      <w:r w:rsidRPr="003D56B2">
        <w:rPr>
          <w:vertAlign w:val="superscript"/>
        </w:rPr>
        <w:t>8</w:t>
      </w:r>
      <w:r w:rsidRPr="003D56B2">
        <w:t xml:space="preserve"> manejan </w:t>
      </w:r>
      <w:r w:rsidR="000512DB">
        <w:t>factores de potencia</w:t>
      </w:r>
      <w:r w:rsidRPr="003D56B2">
        <w:t xml:space="preserve"> alrededor de 0</w:t>
      </w:r>
      <w:r w:rsidR="000512DB">
        <w:t>,</w:t>
      </w:r>
      <w:r w:rsidRPr="003D56B2">
        <w:t xml:space="preserve">95. Estos países no realizan distinción alguna sobre si </w:t>
      </w:r>
      <w:r w:rsidR="000512DB">
        <w:t xml:space="preserve">sus estándares se diferencian entre </w:t>
      </w:r>
      <w:r w:rsidRPr="003D56B2">
        <w:t xml:space="preserve">inductivo o capacitivo, por lo que se intuye que es </w:t>
      </w:r>
      <w:r w:rsidR="003F246F" w:rsidRPr="003D56B2">
        <w:t>un límite</w:t>
      </w:r>
      <w:r w:rsidR="00AE432E" w:rsidRPr="003D56B2">
        <w:t xml:space="preserve"> que aplica para los dos fenómenos</w:t>
      </w:r>
      <w:r w:rsidRPr="003D56B2">
        <w:t>.</w:t>
      </w:r>
    </w:p>
    <w:p w14:paraId="56E47BE4" w14:textId="511E714E" w:rsidR="007813C3" w:rsidRPr="003D56B2" w:rsidRDefault="007813C3" w:rsidP="007813C3">
      <w:r w:rsidRPr="003D56B2">
        <w:t xml:space="preserve">Mercados </w:t>
      </w:r>
      <w:r w:rsidR="00E267D2" w:rsidRPr="003D56B2">
        <w:t xml:space="preserve">de América del Norte </w:t>
      </w:r>
      <w:r w:rsidRPr="003D56B2">
        <w:t>como PJM</w:t>
      </w:r>
      <w:r w:rsidRPr="003D56B2">
        <w:rPr>
          <w:vertAlign w:val="superscript"/>
        </w:rPr>
        <w:t>7</w:t>
      </w:r>
      <w:r w:rsidR="00E267D2" w:rsidRPr="003D56B2">
        <w:t>,</w:t>
      </w:r>
      <w:r w:rsidRPr="003D56B2">
        <w:t xml:space="preserve"> CAISO</w:t>
      </w:r>
      <w:r w:rsidRPr="003D56B2">
        <w:rPr>
          <w:vertAlign w:val="superscript"/>
        </w:rPr>
        <w:t>7</w:t>
      </w:r>
      <w:r w:rsidRPr="003D56B2">
        <w:t xml:space="preserve"> y Canadá distinguen los límites de factor de potencia en inductivo (0</w:t>
      </w:r>
      <w:r w:rsidR="000512DB">
        <w:t>,</w:t>
      </w:r>
      <w:r w:rsidRPr="003D56B2">
        <w:t>90) y capacitivo (0</w:t>
      </w:r>
      <w:r w:rsidR="000512DB">
        <w:t>,</w:t>
      </w:r>
      <w:r w:rsidRPr="003D56B2">
        <w:t>95); Sudáfrica</w:t>
      </w:r>
      <w:r w:rsidRPr="003D56B2">
        <w:rPr>
          <w:vertAlign w:val="superscript"/>
        </w:rPr>
        <w:t>6</w:t>
      </w:r>
      <w:r w:rsidRPr="003D56B2">
        <w:t xml:space="preserve"> tiene </w:t>
      </w:r>
      <w:r w:rsidR="00C456E4" w:rsidRPr="003D56B2">
        <w:t>un</w:t>
      </w:r>
      <w:r w:rsidRPr="003D56B2" w:rsidDel="00C456E4">
        <w:t xml:space="preserve"> </w:t>
      </w:r>
      <w:r w:rsidR="006B74C7" w:rsidRPr="003D56B2">
        <w:t xml:space="preserve">único </w:t>
      </w:r>
      <w:r w:rsidRPr="003D56B2">
        <w:t>índice (0</w:t>
      </w:r>
      <w:r w:rsidR="000512DB">
        <w:t>,</w:t>
      </w:r>
      <w:r w:rsidRPr="003D56B2">
        <w:t>90)</w:t>
      </w:r>
      <w:r w:rsidR="000512DB">
        <w:t xml:space="preserve"> mientras que</w:t>
      </w:r>
      <w:r w:rsidRPr="003D56B2">
        <w:t xml:space="preserve"> Brasil</w:t>
      </w:r>
      <w:r w:rsidRPr="003D56B2">
        <w:rPr>
          <w:vertAlign w:val="superscript"/>
        </w:rPr>
        <w:footnoteReference w:id="7"/>
      </w:r>
      <w:r w:rsidRPr="003D56B2">
        <w:t>, Chile</w:t>
      </w:r>
      <w:r w:rsidRPr="003D56B2">
        <w:rPr>
          <w:vertAlign w:val="superscript"/>
        </w:rPr>
        <w:footnoteReference w:id="8"/>
      </w:r>
      <w:r w:rsidRPr="003D56B2">
        <w:t xml:space="preserve">  y España</w:t>
      </w:r>
      <w:r w:rsidRPr="003D56B2">
        <w:rPr>
          <w:vertAlign w:val="superscript"/>
        </w:rPr>
        <w:footnoteReference w:id="9"/>
      </w:r>
      <w:r w:rsidRPr="003D56B2">
        <w:t xml:space="preserve"> </w:t>
      </w:r>
      <w:r w:rsidR="000512DB">
        <w:t>tienen</w:t>
      </w:r>
      <w:r w:rsidRPr="003D56B2">
        <w:t xml:space="preserve"> </w:t>
      </w:r>
      <w:r w:rsidR="000512DB">
        <w:t xml:space="preserve">factores de potencia variables </w:t>
      </w:r>
      <w:r w:rsidRPr="003D56B2">
        <w:t>dependiendo del nivel de tensión: entre 0</w:t>
      </w:r>
      <w:r w:rsidR="000512DB">
        <w:t>,</w:t>
      </w:r>
      <w:r w:rsidRPr="003D56B2">
        <w:t>92 y 0</w:t>
      </w:r>
      <w:r w:rsidR="000512DB">
        <w:t>,</w:t>
      </w:r>
      <w:r w:rsidRPr="003D56B2">
        <w:t>98 tanto para inductivo como capacitivo con Brasil, y entre 0</w:t>
      </w:r>
      <w:r w:rsidR="000512DB">
        <w:t>,</w:t>
      </w:r>
      <w:r w:rsidRPr="003D56B2">
        <w:t>93 y 0</w:t>
      </w:r>
      <w:r w:rsidR="000512DB">
        <w:t>,</w:t>
      </w:r>
      <w:r w:rsidRPr="003D56B2">
        <w:t>98 inductivo y 0</w:t>
      </w:r>
      <w:r w:rsidR="000512DB">
        <w:t>,</w:t>
      </w:r>
      <w:r w:rsidRPr="003D56B2">
        <w:t>96 y 1</w:t>
      </w:r>
      <w:r w:rsidR="000512DB">
        <w:t>,</w:t>
      </w:r>
      <w:r w:rsidRPr="003D56B2">
        <w:t xml:space="preserve">00 capacitivo para Chile. Finalmente, para España, tanto en </w:t>
      </w:r>
      <w:r w:rsidR="000512DB">
        <w:t>baja tensión como para alta tensión</w:t>
      </w:r>
      <w:r w:rsidRPr="003D56B2">
        <w:t xml:space="preserve"> manejan 0</w:t>
      </w:r>
      <w:r w:rsidR="000512DB">
        <w:t>,</w:t>
      </w:r>
      <w:r w:rsidRPr="003D56B2">
        <w:t xml:space="preserve">95 inductivo, pero no cobran en </w:t>
      </w:r>
      <w:r w:rsidR="000512DB">
        <w:t xml:space="preserve">baja tensión </w:t>
      </w:r>
      <w:r w:rsidRPr="003D56B2">
        <w:t xml:space="preserve">por consumo o inyección de reactivos mientras que en </w:t>
      </w:r>
      <w:r w:rsidR="000512DB">
        <w:t xml:space="preserve">alta tensión </w:t>
      </w:r>
      <w:r w:rsidRPr="003D56B2">
        <w:t xml:space="preserve">el </w:t>
      </w:r>
      <w:r w:rsidR="00065B95" w:rsidRPr="003D56B2">
        <w:t xml:space="preserve">límite </w:t>
      </w:r>
      <w:r w:rsidRPr="003D56B2">
        <w:t xml:space="preserve">del </w:t>
      </w:r>
      <w:r w:rsidR="000512DB">
        <w:t>factor de potencia</w:t>
      </w:r>
      <w:r w:rsidR="00065B95" w:rsidRPr="003D56B2">
        <w:t xml:space="preserve"> capacitivo</w:t>
      </w:r>
      <w:r w:rsidRPr="003D56B2">
        <w:t xml:space="preserve"> es </w:t>
      </w:r>
      <w:r w:rsidR="000512DB">
        <w:t xml:space="preserve">de </w:t>
      </w:r>
      <w:r w:rsidRPr="003D56B2">
        <w:t>0</w:t>
      </w:r>
      <w:r w:rsidR="000512DB">
        <w:t>,</w:t>
      </w:r>
      <w:r w:rsidRPr="003D56B2">
        <w:t>98.</w:t>
      </w:r>
    </w:p>
    <w:p w14:paraId="155DC694" w14:textId="69CADFFA" w:rsidR="00216E54" w:rsidRPr="003D56B2" w:rsidRDefault="00216E54" w:rsidP="007813C3">
      <w:r w:rsidRPr="003D56B2">
        <w:t xml:space="preserve">Esta información se </w:t>
      </w:r>
      <w:r w:rsidR="000512DB">
        <w:t>presenta</w:t>
      </w:r>
      <w:r w:rsidRPr="003D56B2">
        <w:t xml:space="preserve"> en la </w:t>
      </w:r>
      <w:r w:rsidR="00A26C3B" w:rsidRPr="003D56B2">
        <w:fldChar w:fldCharType="begin"/>
      </w:r>
      <w:r w:rsidR="00A26C3B" w:rsidRPr="003D56B2">
        <w:instrText xml:space="preserve"> REF _Ref142040322 \h </w:instrText>
      </w:r>
      <w:r w:rsidR="00A26C3B" w:rsidRPr="003D56B2">
        <w:fldChar w:fldCharType="separate"/>
      </w:r>
      <w:r w:rsidR="00DC6708" w:rsidRPr="003D56B2">
        <w:t xml:space="preserve">Tabla </w:t>
      </w:r>
      <w:r w:rsidR="00DC6708">
        <w:rPr>
          <w:noProof/>
        </w:rPr>
        <w:t>1</w:t>
      </w:r>
      <w:r w:rsidR="00A26C3B" w:rsidRPr="003D56B2">
        <w:fldChar w:fldCharType="end"/>
      </w:r>
      <w:r w:rsidR="00A26C3B" w:rsidRPr="003D56B2">
        <w:t>.</w:t>
      </w:r>
    </w:p>
    <w:p w14:paraId="3073A689" w14:textId="700C9EEA" w:rsidR="002E3A79" w:rsidRDefault="00BF71A7" w:rsidP="002E3A79">
      <w:r>
        <w:t xml:space="preserve">En resumen, los límites </w:t>
      </w:r>
      <w:r w:rsidR="00DC7303" w:rsidRPr="003D56B2">
        <w:t>para el</w:t>
      </w:r>
      <w:r w:rsidR="002E3A79" w:rsidRPr="003D56B2">
        <w:t xml:space="preserve"> factor de potencia</w:t>
      </w:r>
      <w:r w:rsidR="00DC7303" w:rsidRPr="003D56B2">
        <w:t xml:space="preserve"> capacitivo</w:t>
      </w:r>
      <w:r w:rsidR="002E3A79" w:rsidRPr="003D56B2">
        <w:t xml:space="preserve"> oscila</w:t>
      </w:r>
      <w:r>
        <w:t>n</w:t>
      </w:r>
      <w:r w:rsidR="002E3A79" w:rsidRPr="003D56B2">
        <w:t xml:space="preserve"> entre 0</w:t>
      </w:r>
      <w:r>
        <w:t>,</w:t>
      </w:r>
      <w:r w:rsidR="002E3A79" w:rsidRPr="003D56B2">
        <w:t>90 y 0</w:t>
      </w:r>
      <w:r>
        <w:t>,</w:t>
      </w:r>
      <w:r w:rsidR="002E3A79" w:rsidRPr="003D56B2">
        <w:t>98</w:t>
      </w:r>
      <w:r w:rsidR="00134E0B" w:rsidRPr="003D56B2">
        <w:t>, dependiendo del nivel de tensión al que se conecte el usuario</w:t>
      </w:r>
      <w:r>
        <w:t xml:space="preserve"> y un solo país cuenta con un factor de potencia igual a 1 como el caso colombiano</w:t>
      </w:r>
      <w:r w:rsidR="002E3A79" w:rsidRPr="003D56B2">
        <w:t>.</w:t>
      </w:r>
    </w:p>
    <w:p w14:paraId="7A8A2F45" w14:textId="66610532" w:rsidR="00A26C3B" w:rsidRPr="003D56B2" w:rsidRDefault="00A26C3B" w:rsidP="00A26C3B">
      <w:pPr>
        <w:pStyle w:val="Descripcin"/>
      </w:pPr>
      <w:bookmarkStart w:id="15" w:name="_Ref142040322"/>
      <w:r w:rsidRPr="003D56B2">
        <w:t xml:space="preserve">Tabla </w:t>
      </w:r>
      <w:r>
        <w:fldChar w:fldCharType="begin"/>
      </w:r>
      <w:r>
        <w:instrText>SEQ Tabla \* ARABIC</w:instrText>
      </w:r>
      <w:r>
        <w:fldChar w:fldCharType="separate"/>
      </w:r>
      <w:r w:rsidR="00DC6708">
        <w:rPr>
          <w:noProof/>
        </w:rPr>
        <w:t>1</w:t>
      </w:r>
      <w:r>
        <w:fldChar w:fldCharType="end"/>
      </w:r>
      <w:bookmarkEnd w:id="15"/>
      <w:r w:rsidRPr="003D56B2">
        <w:t>. Estándares internacionales de factores de potencia</w:t>
      </w:r>
    </w:p>
    <w:p w14:paraId="6EF3098C" w14:textId="4B387CBE" w:rsidR="00216E54" w:rsidRPr="003D56B2" w:rsidRDefault="003006EC" w:rsidP="00A26C3B">
      <w:pPr>
        <w:jc w:val="center"/>
      </w:pPr>
      <w:r w:rsidRPr="003D56B2">
        <w:rPr>
          <w:noProof/>
        </w:rPr>
        <w:drawing>
          <wp:inline distT="0" distB="0" distL="0" distR="0" wp14:anchorId="32412085" wp14:editId="3BEE8D65">
            <wp:extent cx="5791835" cy="2505075"/>
            <wp:effectExtent l="0" t="0" r="0" b="9525"/>
            <wp:docPr id="20535756" name="Picture 20535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91835" cy="2505075"/>
                    </a:xfrm>
                    <a:prstGeom prst="rect">
                      <a:avLst/>
                    </a:prstGeom>
                    <a:noFill/>
                    <a:ln>
                      <a:noFill/>
                    </a:ln>
                  </pic:spPr>
                </pic:pic>
              </a:graphicData>
            </a:graphic>
          </wp:inline>
        </w:drawing>
      </w:r>
    </w:p>
    <w:p w14:paraId="6D1B325B" w14:textId="7DB0574A" w:rsidR="00BF71A7" w:rsidRDefault="00BF71A7" w:rsidP="00047E6C">
      <w:r>
        <w:lastRenderedPageBreak/>
        <w:t>Con el fin de encontrar una aplicación directa entre el factor de potencia y la cantidad de energía reactiva, se calculó, para varios factores de potencia de los anteriormente revisados, la cantidad de energía reactiva para que, mediante su relación con la energía activa, permita la identificación de reglas sencillas, en términos de la relación de energía reactiva sobre la activa, que permitan una aplicación directa de los límites en cada caso.</w:t>
      </w:r>
    </w:p>
    <w:p w14:paraId="6E062177" w14:textId="5BD8AF0B" w:rsidR="00047E6C" w:rsidRPr="003D56B2" w:rsidRDefault="00BF71A7" w:rsidP="00047E6C">
      <w:r>
        <w:t>Así, l</w:t>
      </w:r>
      <w:r w:rsidR="00047E6C" w:rsidRPr="003D56B2">
        <w:t xml:space="preserve">a cantidad de energía reactiva que se puede absorber o inyectar a la red se relaciona con los límites del factor de potencia como se muestra en la </w:t>
      </w:r>
      <w:r w:rsidR="00047E6C" w:rsidRPr="003D56B2">
        <w:fldChar w:fldCharType="begin"/>
      </w:r>
      <w:r w:rsidR="00047E6C" w:rsidRPr="003D56B2">
        <w:instrText xml:space="preserve"> REF _Ref142039693 \h </w:instrText>
      </w:r>
      <w:r w:rsidR="00047E6C" w:rsidRPr="003D56B2">
        <w:fldChar w:fldCharType="separate"/>
      </w:r>
      <w:r w:rsidR="00DC6708" w:rsidRPr="003D56B2">
        <w:t xml:space="preserve">Tabla </w:t>
      </w:r>
      <w:r w:rsidR="00DC6708">
        <w:rPr>
          <w:noProof/>
        </w:rPr>
        <w:t>2</w:t>
      </w:r>
      <w:r w:rsidR="00047E6C" w:rsidRPr="003D56B2">
        <w:fldChar w:fldCharType="end"/>
      </w:r>
      <w:r w:rsidR="00047E6C" w:rsidRPr="003D56B2">
        <w:t>. De aquí se entiende que, si un usuario consume 100 unidades de energía activa P, dependiendo de los factores de potencia permitidos en su país (entre 0</w:t>
      </w:r>
      <w:r>
        <w:t>,</w:t>
      </w:r>
      <w:r w:rsidR="00047E6C" w:rsidRPr="003D56B2">
        <w:t>90 y 0</w:t>
      </w:r>
      <w:r>
        <w:t>,</w:t>
      </w:r>
      <w:r w:rsidR="00047E6C" w:rsidRPr="003D56B2">
        <w:t>98), tiene permitido consumir entre 20 y 50</w:t>
      </w:r>
      <w:r w:rsidR="00462A0F" w:rsidRPr="003D56B2">
        <w:t xml:space="preserve"> </w:t>
      </w:r>
      <w:proofErr w:type="spellStart"/>
      <w:r w:rsidR="00DD34F8">
        <w:t>kVArh</w:t>
      </w:r>
      <w:proofErr w:type="spellEnd"/>
      <w:r w:rsidR="00DD34F8">
        <w:t>-mes</w:t>
      </w:r>
      <w:r w:rsidR="00047E6C" w:rsidRPr="003D56B2">
        <w:t>.</w:t>
      </w:r>
    </w:p>
    <w:p w14:paraId="6051016D" w14:textId="2D973F74" w:rsidR="0069306E" w:rsidRPr="003D56B2" w:rsidRDefault="0069306E" w:rsidP="0069306E">
      <w:pPr>
        <w:pStyle w:val="Descripcin"/>
      </w:pPr>
      <w:bookmarkStart w:id="16" w:name="_Ref142039693"/>
      <w:r w:rsidRPr="003D56B2">
        <w:t xml:space="preserve">Tabla </w:t>
      </w:r>
      <w:r>
        <w:fldChar w:fldCharType="begin"/>
      </w:r>
      <w:r>
        <w:instrText>SEQ Tabla \* ARABIC</w:instrText>
      </w:r>
      <w:r>
        <w:fldChar w:fldCharType="separate"/>
      </w:r>
      <w:r w:rsidR="00DC6708">
        <w:rPr>
          <w:noProof/>
        </w:rPr>
        <w:t>2</w:t>
      </w:r>
      <w:r>
        <w:fldChar w:fldCharType="end"/>
      </w:r>
      <w:bookmarkEnd w:id="16"/>
      <w:r w:rsidRPr="003D56B2">
        <w:t>. Relación Q/P con base P=100</w:t>
      </w:r>
    </w:p>
    <w:p w14:paraId="2F02870F" w14:textId="3445414D" w:rsidR="0051516D" w:rsidRPr="003D56B2" w:rsidRDefault="00F05E0E" w:rsidP="0051516D">
      <w:pPr>
        <w:keepNext/>
        <w:jc w:val="center"/>
      </w:pPr>
      <w:r w:rsidRPr="003D56B2">
        <w:rPr>
          <w:noProof/>
        </w:rPr>
        <w:drawing>
          <wp:inline distT="0" distB="0" distL="0" distR="0" wp14:anchorId="3C84323D" wp14:editId="2248DFBC">
            <wp:extent cx="5064352" cy="946860"/>
            <wp:effectExtent l="19050" t="19050" r="22225" b="24765"/>
            <wp:docPr id="2034937777" name="Picture 2034937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937777" name="Picture 2034937777"/>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5064352" cy="946860"/>
                    </a:xfrm>
                    <a:prstGeom prst="rect">
                      <a:avLst/>
                    </a:prstGeom>
                    <a:noFill/>
                    <a:ln>
                      <a:solidFill>
                        <a:schemeClr val="tx1"/>
                      </a:solidFill>
                    </a:ln>
                  </pic:spPr>
                </pic:pic>
              </a:graphicData>
            </a:graphic>
          </wp:inline>
        </w:drawing>
      </w:r>
    </w:p>
    <w:p w14:paraId="5D59C5C6" w14:textId="77777777" w:rsidR="007813C3" w:rsidRPr="003D56B2" w:rsidRDefault="007813C3" w:rsidP="009626D9">
      <w:pPr>
        <w:pStyle w:val="Ttulo2"/>
      </w:pPr>
      <w:bookmarkStart w:id="17" w:name="_Ref148005072"/>
      <w:bookmarkStart w:id="18" w:name="_Ref149828859"/>
      <w:bookmarkStart w:id="19" w:name="_Toc157689788"/>
      <w:r w:rsidRPr="003D56B2">
        <w:t>Análisis numéricos</w:t>
      </w:r>
      <w:bookmarkEnd w:id="17"/>
      <w:bookmarkEnd w:id="18"/>
      <w:bookmarkEnd w:id="19"/>
    </w:p>
    <w:p w14:paraId="58051EEF" w14:textId="6F19F13D" w:rsidR="007813C3" w:rsidRPr="003D56B2" w:rsidRDefault="007813C3" w:rsidP="007813C3">
      <w:r w:rsidRPr="003D56B2">
        <w:t>Antes de iniciar con est</w:t>
      </w:r>
      <w:r w:rsidR="00F36C0D">
        <w:t>a</w:t>
      </w:r>
      <w:r w:rsidRPr="003D56B2">
        <w:t xml:space="preserve"> </w:t>
      </w:r>
      <w:r w:rsidR="00F36C0D">
        <w:t>revisión</w:t>
      </w:r>
      <w:r w:rsidRPr="003D56B2">
        <w:t>, se hace la claridad de que solo se revisa el comportamiento de la energía reactiva capacitiva, ya que</w:t>
      </w:r>
      <w:r w:rsidR="00B05B20" w:rsidRPr="003D56B2">
        <w:t xml:space="preserve"> el presente proyecto no </w:t>
      </w:r>
      <w:r w:rsidR="001252B2">
        <w:t>considera,</w:t>
      </w:r>
      <w:r w:rsidR="009F7EAB" w:rsidRPr="003D56B2">
        <w:t xml:space="preserve"> dentro de sus objetivos</w:t>
      </w:r>
      <w:r w:rsidR="001252B2">
        <w:t>,</w:t>
      </w:r>
      <w:r w:rsidR="009F7EAB" w:rsidRPr="003D56B2">
        <w:t xml:space="preserve"> ninguna modificación relacionada con el transporte de energía reactiva</w:t>
      </w:r>
      <w:r w:rsidRPr="003D56B2">
        <w:t xml:space="preserve"> inductiva.</w:t>
      </w:r>
    </w:p>
    <w:p w14:paraId="4BC03CFC" w14:textId="77777777" w:rsidR="00F7574F" w:rsidRDefault="00F7574F" w:rsidP="00F7574F">
      <w:r w:rsidRPr="003D56B2">
        <w:t xml:space="preserve">Inicialmente, es importante mencionar que hemos identificado que no todos los usuarios están sujetos a cobros por transporte de energía reactiva en exceso. </w:t>
      </w:r>
    </w:p>
    <w:p w14:paraId="28F06F88" w14:textId="77777777" w:rsidR="00F7574F" w:rsidRDefault="00F7574F" w:rsidP="00F7574F">
      <w:r w:rsidRPr="003D56B2">
        <w:t xml:space="preserve">Los pequeños consumidores domésticos con equipos eficientes generalmente no son objeto del cobro por transporte de reactiva. Sin embargo, con la implementación de equipos de medición avanzada, se han develado dificultades en cuanto al transporte de potencia reactiva a nivel residencial, especialmente en aquellos casos donde los usuarios poseen electrodomésticos ineficientes. </w:t>
      </w:r>
    </w:p>
    <w:p w14:paraId="2AF38209" w14:textId="77777777" w:rsidR="00F7574F" w:rsidRPr="003D56B2" w:rsidRDefault="00F7574F" w:rsidP="00F7574F">
      <w:r w:rsidRPr="003D56B2">
        <w:t>Por otra parte</w:t>
      </w:r>
      <w:r w:rsidRPr="003D56B2" w:rsidDel="00972056">
        <w:t>,</w:t>
      </w:r>
      <w:r w:rsidRPr="003D56B2">
        <w:t xml:space="preserve"> las empresas, comercios e industrias también pudieran ser objetos de estos cargos de tal forma que la metodología actual se ajusta al propósito que busca incentivar una mejora en</w:t>
      </w:r>
      <w:r w:rsidRPr="003D56B2" w:rsidDel="00440FC3">
        <w:t xml:space="preserve"> </w:t>
      </w:r>
      <w:r w:rsidRPr="003D56B2">
        <w:t xml:space="preserve">el factor de potencia de estos usuarios. </w:t>
      </w:r>
    </w:p>
    <w:p w14:paraId="5780A724" w14:textId="3DC203B2" w:rsidR="007813C3" w:rsidRPr="003D56B2" w:rsidRDefault="007813C3" w:rsidP="007813C3">
      <w:r w:rsidRPr="003D56B2">
        <w:t xml:space="preserve">Con el objetivo de conseguir validaciones de carácter numérico que </w:t>
      </w:r>
      <w:r w:rsidR="00060E9D" w:rsidRPr="003D56B2">
        <w:t>constituyan un</w:t>
      </w:r>
      <w:r w:rsidRPr="003D56B2">
        <w:t xml:space="preserve"> soporte técnico para las alternativas, </w:t>
      </w:r>
      <w:r w:rsidR="00B357CD" w:rsidRPr="003D56B2">
        <w:t xml:space="preserve">se </w:t>
      </w:r>
      <w:r w:rsidR="00C7687D">
        <w:t xml:space="preserve">extrajo el </w:t>
      </w:r>
      <w:r w:rsidR="001252B2">
        <w:t xml:space="preserve">campo de </w:t>
      </w:r>
      <w:r w:rsidR="00C7687D">
        <w:t>transporte de</w:t>
      </w:r>
      <w:r w:rsidR="00B357CD" w:rsidRPr="003D56B2">
        <w:t xml:space="preserve"> energía reactiva capacitiva para todos los usuarios del país, en el período entre junio 2021 y mayo 2023 </w:t>
      </w:r>
      <w:r w:rsidRPr="003D56B2">
        <w:t>del Maestro de Facturación del SUI</w:t>
      </w:r>
      <w:r w:rsidR="00512957" w:rsidRPr="003D56B2">
        <w:rPr>
          <w:rStyle w:val="Refdenotaalpie"/>
        </w:rPr>
        <w:footnoteReference w:id="10"/>
      </w:r>
      <w:r w:rsidRPr="003D56B2">
        <w:t>.</w:t>
      </w:r>
    </w:p>
    <w:p w14:paraId="5C423A47" w14:textId="77777777" w:rsidR="00F36C0D" w:rsidRDefault="007813C3" w:rsidP="007813C3">
      <w:r w:rsidRPr="003D56B2">
        <w:t xml:space="preserve">Esta información </w:t>
      </w:r>
      <w:r w:rsidR="00BD1C3A" w:rsidRPr="003D56B2">
        <w:t xml:space="preserve">contiene </w:t>
      </w:r>
      <w:r w:rsidR="007D6078" w:rsidRPr="003D56B2">
        <w:t>aproximadamente</w:t>
      </w:r>
      <w:r w:rsidR="00BD1C3A" w:rsidRPr="003D56B2">
        <w:t xml:space="preserve"> </w:t>
      </w:r>
      <w:r w:rsidRPr="003D56B2">
        <w:t xml:space="preserve">359 millones de </w:t>
      </w:r>
      <w:r w:rsidR="00F36C0D">
        <w:t>registros (</w:t>
      </w:r>
      <w:r w:rsidRPr="003D56B2">
        <w:t>facturas</w:t>
      </w:r>
      <w:r w:rsidR="00F36C0D">
        <w:t>)</w:t>
      </w:r>
      <w:r w:rsidRPr="003D56B2">
        <w:t xml:space="preserve">, representando una cantidad aproximada de 15 millones de usuarios. </w:t>
      </w:r>
      <w:r w:rsidR="007C33FB" w:rsidRPr="003D56B2">
        <w:t>De estos</w:t>
      </w:r>
      <w:r w:rsidRPr="003D56B2">
        <w:t xml:space="preserve">, cerca de </w:t>
      </w:r>
      <w:r w:rsidR="00B76F73" w:rsidRPr="003D56B2">
        <w:t>1</w:t>
      </w:r>
      <w:r w:rsidR="008E6591" w:rsidRPr="003D56B2">
        <w:t>5</w:t>
      </w:r>
      <w:r w:rsidRPr="003D56B2">
        <w:t xml:space="preserve"> mil </w:t>
      </w:r>
      <w:r w:rsidRPr="003D56B2">
        <w:lastRenderedPageBreak/>
        <w:t>usuarios</w:t>
      </w:r>
      <w:r w:rsidR="00C00883" w:rsidRPr="003D56B2">
        <w:t xml:space="preserve"> (aprox. 140 mil facturas)</w:t>
      </w:r>
      <w:r w:rsidRPr="003D56B2">
        <w:t xml:space="preserve"> cuentan con </w:t>
      </w:r>
      <w:r w:rsidR="007D6078" w:rsidRPr="003D56B2">
        <w:t xml:space="preserve">información de </w:t>
      </w:r>
      <w:r w:rsidR="000E6C29" w:rsidRPr="003D56B2">
        <w:t>transporte</w:t>
      </w:r>
      <w:r w:rsidRPr="003D56B2">
        <w:t xml:space="preserve"> de </w:t>
      </w:r>
      <w:r w:rsidR="007D6078" w:rsidRPr="003D56B2">
        <w:t xml:space="preserve">energía reactiva </w:t>
      </w:r>
      <w:r w:rsidRPr="003D56B2">
        <w:t>capacitiva.</w:t>
      </w:r>
      <w:r w:rsidR="00B550E4" w:rsidRPr="003D56B2">
        <w:t xml:space="preserve"> </w:t>
      </w:r>
      <w:r w:rsidR="00F36C0D">
        <w:t>E</w:t>
      </w:r>
      <w:r w:rsidR="00B550E4" w:rsidRPr="003D56B2">
        <w:t>stos usuarios representan cerca del 0.1% de</w:t>
      </w:r>
      <w:r w:rsidR="0003336B" w:rsidRPr="003D56B2">
        <w:t xml:space="preserve">l total de </w:t>
      </w:r>
      <w:r w:rsidR="00B550E4" w:rsidRPr="003D56B2">
        <w:t>usuarios</w:t>
      </w:r>
      <w:r w:rsidR="00F36C0D">
        <w:t>.</w:t>
      </w:r>
    </w:p>
    <w:p w14:paraId="6FEDBB8C" w14:textId="0FD77C33" w:rsidR="007813C3" w:rsidRPr="003D56B2" w:rsidRDefault="00F36C0D" w:rsidP="007813C3">
      <w:r>
        <w:t>A</w:t>
      </w:r>
      <w:r w:rsidR="001B289C" w:rsidRPr="003D56B2">
        <w:t xml:space="preserve"> </w:t>
      </w:r>
      <w:proofErr w:type="gramStart"/>
      <w:r w:rsidR="001B289C" w:rsidRPr="003D56B2">
        <w:t>cont</w:t>
      </w:r>
      <w:r w:rsidR="0003336B" w:rsidRPr="003D56B2">
        <w:t>inuación</w:t>
      </w:r>
      <w:proofErr w:type="gramEnd"/>
      <w:r w:rsidR="001B289C" w:rsidRPr="003D56B2">
        <w:t xml:space="preserve"> se presenta </w:t>
      </w:r>
      <w:r w:rsidR="0003336B" w:rsidRPr="003D56B2">
        <w:t xml:space="preserve">un análisis </w:t>
      </w:r>
      <w:r>
        <w:t>de la información obtenida</w:t>
      </w:r>
      <w:r w:rsidR="00C44193" w:rsidRPr="003D56B2">
        <w:t xml:space="preserve">, iniciando con su </w:t>
      </w:r>
      <w:r w:rsidR="0039359B" w:rsidRPr="003D56B2">
        <w:t xml:space="preserve">distribución de acuerdo con </w:t>
      </w:r>
      <w:r>
        <w:t xml:space="preserve">la cantidad de energía </w:t>
      </w:r>
      <w:r w:rsidR="0039359B" w:rsidRPr="003D56B2">
        <w:t xml:space="preserve">reactiva capacitiva </w:t>
      </w:r>
      <w:r w:rsidR="00C44193" w:rsidRPr="003D56B2">
        <w:t>por factura</w:t>
      </w:r>
      <w:r w:rsidR="0039359B" w:rsidRPr="003D56B2">
        <w:t xml:space="preserve"> registrad</w:t>
      </w:r>
      <w:r>
        <w:t>a</w:t>
      </w:r>
      <w:r w:rsidR="0039359B" w:rsidRPr="003D56B2">
        <w:t xml:space="preserve"> en el SUI.</w:t>
      </w:r>
    </w:p>
    <w:p w14:paraId="0E40DBD4" w14:textId="3B9AB0AF" w:rsidR="007813C3" w:rsidRPr="003D56B2" w:rsidRDefault="00AC35DA" w:rsidP="007813C3">
      <w:pPr>
        <w:jc w:val="center"/>
        <w:rPr>
          <w:i/>
          <w:iCs/>
          <w:sz w:val="18"/>
          <w:szCs w:val="18"/>
        </w:rPr>
      </w:pPr>
      <w:r w:rsidRPr="003D56B2">
        <w:rPr>
          <w:i/>
          <w:iCs/>
          <w:noProof/>
          <w:sz w:val="18"/>
          <w:szCs w:val="18"/>
        </w:rPr>
        <w:drawing>
          <wp:inline distT="0" distB="0" distL="0" distR="0" wp14:anchorId="59FC1843" wp14:editId="5C49FA43">
            <wp:extent cx="2438400" cy="1920240"/>
            <wp:effectExtent l="0" t="0" r="0" b="3810"/>
            <wp:docPr id="347235085" name="Picture 347235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38400" cy="1920240"/>
                    </a:xfrm>
                    <a:prstGeom prst="rect">
                      <a:avLst/>
                    </a:prstGeom>
                    <a:noFill/>
                    <a:ln>
                      <a:noFill/>
                    </a:ln>
                  </pic:spPr>
                </pic:pic>
              </a:graphicData>
            </a:graphic>
          </wp:inline>
        </w:drawing>
      </w:r>
    </w:p>
    <w:p w14:paraId="693E1221" w14:textId="1771EC73" w:rsidR="007813C3" w:rsidRPr="003D56B2" w:rsidRDefault="007813C3" w:rsidP="007813C3">
      <w:pPr>
        <w:jc w:val="center"/>
        <w:rPr>
          <w:i/>
          <w:iCs/>
          <w:sz w:val="18"/>
          <w:szCs w:val="18"/>
        </w:rPr>
      </w:pPr>
      <w:bookmarkStart w:id="20" w:name="_Ref142135497"/>
      <w:bookmarkStart w:id="21" w:name="_Ref141867044"/>
      <w:r w:rsidRPr="003D56B2">
        <w:rPr>
          <w:i/>
          <w:iCs/>
          <w:sz w:val="18"/>
          <w:szCs w:val="18"/>
        </w:rPr>
        <w:t xml:space="preserve">Figura </w:t>
      </w:r>
      <w:r w:rsidR="0067647C" w:rsidRPr="003D56B2">
        <w:rPr>
          <w:i/>
          <w:iCs/>
          <w:sz w:val="18"/>
          <w:szCs w:val="18"/>
        </w:rPr>
        <w:fldChar w:fldCharType="begin"/>
      </w:r>
      <w:r w:rsidR="0067647C" w:rsidRPr="003D56B2">
        <w:rPr>
          <w:i/>
          <w:iCs/>
          <w:sz w:val="18"/>
          <w:szCs w:val="18"/>
        </w:rPr>
        <w:instrText xml:space="preserve"> SEQ Figura \* ARABIC </w:instrText>
      </w:r>
      <w:r w:rsidR="0067647C" w:rsidRPr="003D56B2">
        <w:rPr>
          <w:i/>
          <w:iCs/>
          <w:sz w:val="18"/>
          <w:szCs w:val="18"/>
        </w:rPr>
        <w:fldChar w:fldCharType="separate"/>
      </w:r>
      <w:r w:rsidR="00DC6708">
        <w:rPr>
          <w:i/>
          <w:iCs/>
          <w:noProof/>
          <w:sz w:val="18"/>
          <w:szCs w:val="18"/>
        </w:rPr>
        <w:t>3</w:t>
      </w:r>
      <w:r w:rsidR="0067647C" w:rsidRPr="003D56B2">
        <w:rPr>
          <w:i/>
          <w:iCs/>
          <w:sz w:val="18"/>
          <w:szCs w:val="18"/>
        </w:rPr>
        <w:fldChar w:fldCharType="end"/>
      </w:r>
      <w:bookmarkEnd w:id="20"/>
      <w:r w:rsidR="0067647C" w:rsidRPr="003D56B2">
        <w:rPr>
          <w:i/>
          <w:iCs/>
          <w:sz w:val="18"/>
          <w:szCs w:val="18"/>
        </w:rPr>
        <w:t>.</w:t>
      </w:r>
      <w:bookmarkEnd w:id="21"/>
      <w:r w:rsidR="0067647C" w:rsidRPr="003D56B2">
        <w:rPr>
          <w:i/>
          <w:iCs/>
          <w:sz w:val="18"/>
          <w:szCs w:val="18"/>
        </w:rPr>
        <w:t xml:space="preserve"> </w:t>
      </w:r>
      <w:r w:rsidRPr="003D56B2">
        <w:rPr>
          <w:i/>
          <w:iCs/>
          <w:sz w:val="18"/>
          <w:szCs w:val="18"/>
        </w:rPr>
        <w:t xml:space="preserve">Cantidad de facturas </w:t>
      </w:r>
      <w:r w:rsidR="00202588" w:rsidRPr="003D56B2">
        <w:rPr>
          <w:i/>
          <w:iCs/>
          <w:sz w:val="18"/>
          <w:szCs w:val="18"/>
        </w:rPr>
        <w:t>en función de</w:t>
      </w:r>
      <w:r w:rsidR="00511AA6" w:rsidRPr="003D56B2">
        <w:rPr>
          <w:i/>
          <w:iCs/>
          <w:sz w:val="18"/>
          <w:szCs w:val="18"/>
        </w:rPr>
        <w:t>l transporte de energía reactiva capacitiva</w:t>
      </w:r>
    </w:p>
    <w:p w14:paraId="230A66D7" w14:textId="41F3BC10" w:rsidR="00F7574F" w:rsidRDefault="00D469BF" w:rsidP="007813C3">
      <w:r w:rsidRPr="003D56B2">
        <w:t>De</w:t>
      </w:r>
      <w:r w:rsidR="00924B89" w:rsidRPr="003D56B2">
        <w:t xml:space="preserve"> la </w:t>
      </w:r>
      <w:r w:rsidR="009C7D8E" w:rsidRPr="003D56B2">
        <w:fldChar w:fldCharType="begin"/>
      </w:r>
      <w:r w:rsidR="009C7D8E" w:rsidRPr="003D56B2">
        <w:instrText xml:space="preserve"> REF _Ref142135497 \h</w:instrText>
      </w:r>
      <w:r w:rsidR="007C546C" w:rsidRPr="003D56B2">
        <w:instrText xml:space="preserve"> \* MERGEFORMAT </w:instrText>
      </w:r>
      <w:r w:rsidR="009C7D8E" w:rsidRPr="003D56B2">
        <w:fldChar w:fldCharType="separate"/>
      </w:r>
      <w:r w:rsidR="00DC6708" w:rsidRPr="00DC6708">
        <w:t>Figura 3</w:t>
      </w:r>
      <w:r w:rsidR="009C7D8E" w:rsidRPr="003D56B2">
        <w:fldChar w:fldCharType="end"/>
      </w:r>
      <w:r w:rsidR="009C7D8E" w:rsidRPr="003D56B2">
        <w:t xml:space="preserve"> </w:t>
      </w:r>
      <w:r w:rsidR="007813C3" w:rsidRPr="003D56B2">
        <w:t xml:space="preserve">se observa que el </w:t>
      </w:r>
      <w:r w:rsidR="003332CA" w:rsidRPr="003D56B2">
        <w:t>7</w:t>
      </w:r>
      <w:r w:rsidR="007813C3" w:rsidRPr="003D56B2">
        <w:t xml:space="preserve">0% de las facturas contienen </w:t>
      </w:r>
      <w:r w:rsidR="003332CA" w:rsidRPr="003D56B2">
        <w:t xml:space="preserve">un transporte </w:t>
      </w:r>
      <w:r w:rsidR="007813C3" w:rsidRPr="003D56B2">
        <w:t>de energía reactiva</w:t>
      </w:r>
      <w:r w:rsidR="00905738" w:rsidRPr="003D56B2">
        <w:t xml:space="preserve"> </w:t>
      </w:r>
      <w:r w:rsidR="007813C3" w:rsidRPr="003D56B2">
        <w:t xml:space="preserve">capacitiva </w:t>
      </w:r>
      <w:r w:rsidR="00BE0429" w:rsidRPr="003D56B2">
        <w:t xml:space="preserve">menor a </w:t>
      </w:r>
      <w:r w:rsidR="003332CA" w:rsidRPr="003D56B2">
        <w:t>470</w:t>
      </w:r>
      <w:r w:rsidR="00BE0429" w:rsidRPr="003D56B2">
        <w:t xml:space="preserve"> </w:t>
      </w:r>
      <w:proofErr w:type="spellStart"/>
      <w:r w:rsidR="00BE0429" w:rsidRPr="003D56B2">
        <w:t>kVAr</w:t>
      </w:r>
      <w:r w:rsidR="00EF118D" w:rsidRPr="003D56B2">
        <w:t>h</w:t>
      </w:r>
      <w:proofErr w:type="spellEnd"/>
      <w:r w:rsidR="00BE0429" w:rsidRPr="003D56B2">
        <w:t>-mes</w:t>
      </w:r>
      <w:r w:rsidR="007813C3" w:rsidRPr="003D56B2">
        <w:t>. Ahora bien, si se compara</w:t>
      </w:r>
      <w:r w:rsidR="008D037C" w:rsidRPr="003D56B2">
        <w:t xml:space="preserve">n los valores presentados </w:t>
      </w:r>
      <w:r w:rsidR="00905738" w:rsidRPr="003D56B2">
        <w:t xml:space="preserve">contra </w:t>
      </w:r>
      <w:r w:rsidR="007813C3" w:rsidRPr="003D56B2">
        <w:t xml:space="preserve">el consumo promedio de </w:t>
      </w:r>
      <w:r w:rsidR="008D037C" w:rsidRPr="003D56B2">
        <w:t xml:space="preserve">energía activa para usuarios </w:t>
      </w:r>
      <w:r w:rsidR="007813C3" w:rsidRPr="003D56B2">
        <w:t>residencial</w:t>
      </w:r>
      <w:r w:rsidR="008D037C" w:rsidRPr="003D56B2">
        <w:t>es</w:t>
      </w:r>
      <w:r w:rsidR="007813C3" w:rsidRPr="003D56B2">
        <w:t xml:space="preserve"> </w:t>
      </w:r>
      <w:r w:rsidR="001E61DC" w:rsidRPr="003D56B2">
        <w:t>(alrededor de 200-300 kWh-mes)</w:t>
      </w:r>
      <w:r w:rsidR="007813C3" w:rsidRPr="003D56B2">
        <w:t xml:space="preserve">, se infiere que </w:t>
      </w:r>
      <w:r w:rsidR="00E86F2F" w:rsidRPr="003D56B2">
        <w:t xml:space="preserve">los </w:t>
      </w:r>
      <w:r w:rsidR="007813C3" w:rsidRPr="003D56B2">
        <w:t>consumos</w:t>
      </w:r>
      <w:r w:rsidR="00930583" w:rsidRPr="003D56B2">
        <w:t xml:space="preserve"> </w:t>
      </w:r>
      <w:r w:rsidR="00262430" w:rsidRPr="003D56B2">
        <w:t>con una diferencia mayor a un orden de magnitud</w:t>
      </w:r>
      <w:r w:rsidR="00E86F2F" w:rsidRPr="003D56B2">
        <w:t xml:space="preserve"> </w:t>
      </w:r>
      <w:r w:rsidR="00262430" w:rsidRPr="003D56B2">
        <w:t>de</w:t>
      </w:r>
      <w:r w:rsidR="00E86F2F" w:rsidRPr="003D56B2">
        <w:t xml:space="preserve"> este valor promedio</w:t>
      </w:r>
      <w:r w:rsidR="007813C3" w:rsidRPr="003D56B2" w:rsidDel="00E86F2F">
        <w:t xml:space="preserve"> </w:t>
      </w:r>
      <w:r w:rsidR="007813C3" w:rsidRPr="003D56B2">
        <w:t xml:space="preserve">pertenecen a usuarios comerciales o industriales grandes, para los que necesariamente su maquinaria u otros elementos hace que incurran en el aumento del consumo </w:t>
      </w:r>
      <w:r w:rsidR="00DF350A" w:rsidRPr="003D56B2">
        <w:t>y/o</w:t>
      </w:r>
      <w:r w:rsidR="007813C3" w:rsidRPr="003D56B2">
        <w:t xml:space="preserve"> inyección de reactivos.</w:t>
      </w:r>
      <w:r w:rsidR="000033CA" w:rsidRPr="003D56B2">
        <w:t xml:space="preserve"> </w:t>
      </w:r>
    </w:p>
    <w:p w14:paraId="0D4A6C16" w14:textId="4DE9D562" w:rsidR="007813C3" w:rsidRPr="003D56B2" w:rsidRDefault="000033CA" w:rsidP="007813C3">
      <w:r w:rsidRPr="003D56B2">
        <w:t xml:space="preserve">También, se puede suponer que los valores altos </w:t>
      </w:r>
      <w:r w:rsidR="00F7574F">
        <w:t xml:space="preserve">representan a usuarios con altas cifras </w:t>
      </w:r>
      <w:r w:rsidR="00730F8D" w:rsidRPr="003D56B2">
        <w:t xml:space="preserve">de reactivos </w:t>
      </w:r>
      <w:r w:rsidR="00F7574F">
        <w:t xml:space="preserve">que pueden </w:t>
      </w:r>
      <w:r w:rsidR="00730F8D" w:rsidRPr="003D56B2">
        <w:t>constitu</w:t>
      </w:r>
      <w:r w:rsidR="00F7574F">
        <w:t>ir</w:t>
      </w:r>
      <w:r w:rsidR="00730F8D" w:rsidRPr="003D56B2">
        <w:t xml:space="preserve"> </w:t>
      </w:r>
      <w:r w:rsidR="00D83A42" w:rsidRPr="003D56B2">
        <w:t>problemas de reporte</w:t>
      </w:r>
      <w:r w:rsidR="00730F8D" w:rsidRPr="003D56B2">
        <w:t xml:space="preserve"> por parte de los prestadores</w:t>
      </w:r>
      <w:r w:rsidRPr="003D56B2">
        <w:t>.</w:t>
      </w:r>
    </w:p>
    <w:p w14:paraId="521AFB09" w14:textId="244C7063" w:rsidR="006012F7" w:rsidRPr="003D56B2" w:rsidRDefault="00AC35DA" w:rsidP="006012F7">
      <w:pPr>
        <w:keepNext/>
        <w:jc w:val="center"/>
      </w:pPr>
      <w:r w:rsidRPr="003D56B2">
        <w:rPr>
          <w:noProof/>
        </w:rPr>
        <w:drawing>
          <wp:inline distT="0" distB="0" distL="0" distR="0" wp14:anchorId="37334BDC" wp14:editId="03F44103">
            <wp:extent cx="2804160" cy="1592580"/>
            <wp:effectExtent l="0" t="0" r="0" b="7620"/>
            <wp:docPr id="642744393" name="Picture 642744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04160" cy="1592580"/>
                    </a:xfrm>
                    <a:prstGeom prst="rect">
                      <a:avLst/>
                    </a:prstGeom>
                    <a:noFill/>
                    <a:ln>
                      <a:noFill/>
                    </a:ln>
                  </pic:spPr>
                </pic:pic>
              </a:graphicData>
            </a:graphic>
          </wp:inline>
        </w:drawing>
      </w:r>
    </w:p>
    <w:p w14:paraId="2A2FE150" w14:textId="45B46A9E" w:rsidR="001F5F61" w:rsidRPr="003D56B2" w:rsidRDefault="006012F7" w:rsidP="006012F7">
      <w:pPr>
        <w:pStyle w:val="Descripcin"/>
      </w:pPr>
      <w:bookmarkStart w:id="22" w:name="_Ref142125691"/>
      <w:bookmarkStart w:id="23" w:name="_Ref142051369"/>
      <w:r w:rsidRPr="003D56B2">
        <w:t xml:space="preserve">Figura </w:t>
      </w:r>
      <w:r>
        <w:fldChar w:fldCharType="begin"/>
      </w:r>
      <w:r>
        <w:instrText>SEQ Figura \* ARABIC</w:instrText>
      </w:r>
      <w:r>
        <w:fldChar w:fldCharType="separate"/>
      </w:r>
      <w:r w:rsidR="00DC6708">
        <w:rPr>
          <w:noProof/>
        </w:rPr>
        <w:t>4</w:t>
      </w:r>
      <w:r>
        <w:fldChar w:fldCharType="end"/>
      </w:r>
      <w:bookmarkEnd w:id="22"/>
      <w:r w:rsidR="0067647C" w:rsidRPr="003D56B2">
        <w:t>.</w:t>
      </w:r>
      <w:bookmarkEnd w:id="23"/>
      <w:r w:rsidR="0067647C" w:rsidRPr="003D56B2">
        <w:t xml:space="preserve"> </w:t>
      </w:r>
      <w:r w:rsidRPr="003D56B2">
        <w:t xml:space="preserve">Identificación de </w:t>
      </w:r>
      <w:proofErr w:type="spellStart"/>
      <w:r w:rsidRPr="003D56B2">
        <w:t>outliers</w:t>
      </w:r>
      <w:proofErr w:type="spellEnd"/>
      <w:r w:rsidRPr="003D56B2">
        <w:t>.</w:t>
      </w:r>
    </w:p>
    <w:p w14:paraId="438C6D4E" w14:textId="6968355B" w:rsidR="000A5B5B" w:rsidRPr="003D56B2" w:rsidRDefault="000A5B5B" w:rsidP="000A5B5B">
      <w:r w:rsidRPr="003D56B2">
        <w:t>En la validación de la información se encontraron valores atípicos</w:t>
      </w:r>
      <w:r w:rsidR="000F0AC6" w:rsidRPr="003D56B2">
        <w:t xml:space="preserve"> (ver </w:t>
      </w:r>
      <w:r w:rsidR="000F0AC6" w:rsidRPr="003D56B2">
        <w:fldChar w:fldCharType="begin"/>
      </w:r>
      <w:r w:rsidR="000F0AC6" w:rsidRPr="003D56B2">
        <w:instrText xml:space="preserve"> REF _Ref142125691 \h </w:instrText>
      </w:r>
      <w:r w:rsidR="000F0AC6" w:rsidRPr="003D56B2">
        <w:fldChar w:fldCharType="separate"/>
      </w:r>
      <w:r w:rsidR="00DC6708" w:rsidRPr="003D56B2">
        <w:t xml:space="preserve">Figura </w:t>
      </w:r>
      <w:r w:rsidR="00DC6708">
        <w:rPr>
          <w:noProof/>
        </w:rPr>
        <w:t>4</w:t>
      </w:r>
      <w:r w:rsidR="000F0AC6" w:rsidRPr="003D56B2">
        <w:fldChar w:fldCharType="end"/>
      </w:r>
      <w:r w:rsidR="00030CBF" w:rsidRPr="003D56B2">
        <w:t xml:space="preserve"> y los estadísticos mostrados en el Anexo </w:t>
      </w:r>
      <w:r w:rsidR="00030CBF" w:rsidRPr="003D56B2">
        <w:fldChar w:fldCharType="begin"/>
      </w:r>
      <w:r w:rsidR="00030CBF" w:rsidRPr="003D56B2">
        <w:instrText xml:space="preserve"> REF _Ref142061868 \r \h </w:instrText>
      </w:r>
      <w:r w:rsidR="00030CBF" w:rsidRPr="003D56B2">
        <w:fldChar w:fldCharType="separate"/>
      </w:r>
      <w:r w:rsidR="00DC6708">
        <w:t>11.1</w:t>
      </w:r>
      <w:r w:rsidR="00030CBF" w:rsidRPr="003D56B2">
        <w:fldChar w:fldCharType="end"/>
      </w:r>
      <w:r w:rsidR="000F0AC6" w:rsidRPr="003D56B2">
        <w:t xml:space="preserve">, donde se muestran facturas con transporte de reactiva capacitiva de hasta </w:t>
      </w:r>
      <w:r w:rsidR="007163DB" w:rsidRPr="003D56B2">
        <w:t xml:space="preserve">5.5 millones de </w:t>
      </w:r>
      <w:proofErr w:type="spellStart"/>
      <w:r w:rsidR="00377938" w:rsidRPr="003D56B2">
        <w:t>kVArh</w:t>
      </w:r>
      <w:proofErr w:type="spellEnd"/>
      <w:r w:rsidR="000F0AC6" w:rsidRPr="003D56B2">
        <w:t xml:space="preserve">), </w:t>
      </w:r>
      <w:r w:rsidR="00F7574F">
        <w:t xml:space="preserve">los cuales se consideran </w:t>
      </w:r>
      <w:proofErr w:type="spellStart"/>
      <w:r w:rsidRPr="003D56B2">
        <w:rPr>
          <w:i/>
          <w:iCs/>
        </w:rPr>
        <w:t>outliers</w:t>
      </w:r>
      <w:proofErr w:type="spellEnd"/>
      <w:r w:rsidR="000F0AC6" w:rsidRPr="003D56B2">
        <w:t>,</w:t>
      </w:r>
      <w:r w:rsidRPr="003D56B2">
        <w:t xml:space="preserve"> que distorsionan las medidas, aumentan la variabilidad de los datos </w:t>
      </w:r>
      <w:r w:rsidR="004309D8" w:rsidRPr="003D56B2">
        <w:t>y</w:t>
      </w:r>
      <w:r w:rsidR="00786BEE" w:rsidRPr="003D56B2">
        <w:t>,</w:t>
      </w:r>
      <w:r w:rsidR="004309D8" w:rsidRPr="003D56B2">
        <w:t xml:space="preserve"> de mantenerse en el análisis</w:t>
      </w:r>
      <w:r w:rsidR="00786BEE" w:rsidRPr="003D56B2">
        <w:t>,</w:t>
      </w:r>
      <w:r w:rsidR="004309D8" w:rsidRPr="003D56B2">
        <w:t xml:space="preserve"> </w:t>
      </w:r>
      <w:r w:rsidR="000F0AC6" w:rsidRPr="003D56B2">
        <w:t>pueden llevar a</w:t>
      </w:r>
      <w:r w:rsidR="00277F63" w:rsidRPr="003D56B2">
        <w:t xml:space="preserve"> </w:t>
      </w:r>
      <w:r w:rsidRPr="003D56B2">
        <w:t>conclusiones erróneas o sesgadas. Se desconoce la naturaleza de estos valores, pero una de las causas principales puede ser el</w:t>
      </w:r>
      <w:r w:rsidRPr="003D56B2" w:rsidDel="00C6287E">
        <w:t xml:space="preserve"> </w:t>
      </w:r>
      <w:r w:rsidRPr="003D56B2">
        <w:t>reporte erróneo en las plataformas de recopilación de datos (SUI).</w:t>
      </w:r>
    </w:p>
    <w:p w14:paraId="435DE939" w14:textId="2136FA90" w:rsidR="000033CA" w:rsidRPr="003D56B2" w:rsidRDefault="00DE77FF" w:rsidP="000033CA">
      <w:r w:rsidRPr="003D56B2">
        <w:lastRenderedPageBreak/>
        <w:t xml:space="preserve">Considerando que </w:t>
      </w:r>
      <w:r w:rsidR="004E2AF3" w:rsidRPr="003D56B2">
        <w:t>la información tiene valores atípicos, es necesario hacer un tratamiento estadístico antes de continuar con el análisis de la información</w:t>
      </w:r>
      <w:r w:rsidR="000033CA" w:rsidRPr="003D56B2">
        <w:t xml:space="preserve">. Para esto, es común </w:t>
      </w:r>
      <w:r w:rsidR="007C3F86" w:rsidRPr="003D56B2">
        <w:t xml:space="preserve">filtrar </w:t>
      </w:r>
      <w:r w:rsidR="002B44DA" w:rsidRPr="003D56B2">
        <w:t xml:space="preserve">los </w:t>
      </w:r>
      <w:r w:rsidR="007C3F86" w:rsidRPr="003D56B2">
        <w:t xml:space="preserve">datos cuyos valores excedan </w:t>
      </w:r>
      <w:r w:rsidR="00A1201C" w:rsidRPr="003D56B2">
        <w:t xml:space="preserve">cierta cantidad de </w:t>
      </w:r>
      <w:r w:rsidR="000033CA" w:rsidRPr="003D56B2">
        <w:t>desviaci</w:t>
      </w:r>
      <w:r w:rsidR="00A1201C" w:rsidRPr="003D56B2">
        <w:t>ones</w:t>
      </w:r>
      <w:r w:rsidR="000033CA" w:rsidRPr="003D56B2">
        <w:t xml:space="preserve"> estándar o </w:t>
      </w:r>
      <w:r w:rsidR="00A1201C" w:rsidRPr="003D56B2">
        <w:t>de</w:t>
      </w:r>
      <w:r w:rsidR="000033CA" w:rsidRPr="003D56B2">
        <w:t xml:space="preserve"> rango</w:t>
      </w:r>
      <w:r w:rsidR="00A1201C" w:rsidRPr="003D56B2">
        <w:t>s</w:t>
      </w:r>
      <w:r w:rsidR="000033CA" w:rsidRPr="003D56B2">
        <w:t xml:space="preserve"> intercuartílico</w:t>
      </w:r>
      <w:r w:rsidR="00A1201C" w:rsidRPr="003D56B2">
        <w:t>s</w:t>
      </w:r>
      <w:r w:rsidR="00366861" w:rsidRPr="003D56B2">
        <w:t>, IQR</w:t>
      </w:r>
      <w:r w:rsidR="000033CA" w:rsidRPr="003D56B2">
        <w:t xml:space="preserve">. En este caso, al revisar la desviación estándar de los datos </w:t>
      </w:r>
      <w:r w:rsidR="00065AA9" w:rsidRPr="003D56B2">
        <w:t>y su distribución se observa una alta dispersión</w:t>
      </w:r>
      <w:r w:rsidR="00901E67" w:rsidRPr="003D56B2">
        <w:t xml:space="preserve"> y una distribución que no es normal</w:t>
      </w:r>
      <w:r w:rsidR="00C24627" w:rsidRPr="003D56B2">
        <w:t xml:space="preserve"> (ver Anexo </w:t>
      </w:r>
      <w:r w:rsidR="00C24627" w:rsidRPr="003D56B2">
        <w:fldChar w:fldCharType="begin"/>
      </w:r>
      <w:r w:rsidR="00C24627" w:rsidRPr="003D56B2">
        <w:instrText xml:space="preserve"> REF _Ref142061868 \r \h </w:instrText>
      </w:r>
      <w:r w:rsidR="00C24627" w:rsidRPr="003D56B2">
        <w:fldChar w:fldCharType="separate"/>
      </w:r>
      <w:r w:rsidR="00DC6708">
        <w:t>11.1</w:t>
      </w:r>
      <w:r w:rsidR="00C24627" w:rsidRPr="003D56B2">
        <w:fldChar w:fldCharType="end"/>
      </w:r>
      <w:r w:rsidR="00C24627" w:rsidRPr="003D56B2">
        <w:t>)</w:t>
      </w:r>
      <w:r w:rsidR="00743702" w:rsidRPr="003D56B2">
        <w:t>.</w:t>
      </w:r>
      <w:r w:rsidR="0067647C" w:rsidRPr="003D56B2">
        <w:t xml:space="preserve"> </w:t>
      </w:r>
      <w:r w:rsidR="00743702" w:rsidRPr="003D56B2">
        <w:t xml:space="preserve">Como </w:t>
      </w:r>
      <w:r w:rsidR="0067647C" w:rsidRPr="003D56B2">
        <w:t>la mediana y la media de los datos difiere en</w:t>
      </w:r>
      <w:r w:rsidR="00F7574F">
        <w:t>,</w:t>
      </w:r>
      <w:r w:rsidR="0067647C" w:rsidRPr="003D56B2">
        <w:t xml:space="preserve"> aproximadamente</w:t>
      </w:r>
      <w:r w:rsidR="00F7574F">
        <w:t>,</w:t>
      </w:r>
      <w:r w:rsidR="0067647C" w:rsidRPr="003D56B2">
        <w:t xml:space="preserve"> tres órdenes de magnitud para los datos agregados </w:t>
      </w:r>
      <w:r w:rsidR="008F34F0" w:rsidRPr="003D56B2">
        <w:t>de t</w:t>
      </w:r>
      <w:r w:rsidR="0067647C" w:rsidRPr="003D56B2">
        <w:t>odo el país, es evidente que los datos están sesgados a la derecha</w:t>
      </w:r>
      <w:r w:rsidR="00E9205C" w:rsidRPr="003D56B2">
        <w:t>,</w:t>
      </w:r>
      <w:r w:rsidR="00901E67" w:rsidRPr="003D56B2">
        <w:t xml:space="preserve"> por lo que se</w:t>
      </w:r>
      <w:r w:rsidR="000033CA" w:rsidRPr="003D56B2">
        <w:t xml:space="preserve"> decide usar el rango intercuartílico</w:t>
      </w:r>
      <w:r w:rsidR="00893701" w:rsidRPr="003D56B2">
        <w:t xml:space="preserve"> para realizar el filtro de valores atípicos</w:t>
      </w:r>
      <w:r w:rsidR="000033CA" w:rsidRPr="003D56B2">
        <w:t>.</w:t>
      </w:r>
    </w:p>
    <w:p w14:paraId="7B3BCE0D" w14:textId="1A9DD8A8" w:rsidR="00691E59" w:rsidRPr="003D56B2" w:rsidRDefault="0030202A" w:rsidP="000033CA">
      <w:r w:rsidRPr="003D56B2">
        <w:t>Existen tres cuartiles principales: el primer cuartil (Q1), el segundo cuartil (Q2), que es igual a la mediana, y el tercer cuartil (Q3). Estos cuartiles dividen el conjunto de datos en cuatro partes iguales, siendo Q1 el valor que separa el 25% inferior de los datos, Q2 el valor que separa el 50% medio (mediana) y Q3 el valor que separa el 25% superior. Lo anterior, se puede observar en la</w:t>
      </w:r>
      <w:r w:rsidR="00AA58A8" w:rsidRPr="003D56B2">
        <w:t xml:space="preserve"> </w:t>
      </w:r>
      <w:r w:rsidR="00AA58A8" w:rsidRPr="003D56B2">
        <w:fldChar w:fldCharType="begin"/>
      </w:r>
      <w:r w:rsidR="00AA58A8" w:rsidRPr="003D56B2">
        <w:instrText xml:space="preserve"> REF _Ref142125949 \h </w:instrText>
      </w:r>
      <w:r w:rsidR="00AA58A8" w:rsidRPr="003D56B2">
        <w:fldChar w:fldCharType="separate"/>
      </w:r>
      <w:r w:rsidR="00DC6708" w:rsidRPr="003D56B2">
        <w:t xml:space="preserve">Figura </w:t>
      </w:r>
      <w:r w:rsidR="00DC6708">
        <w:rPr>
          <w:noProof/>
        </w:rPr>
        <w:t>5</w:t>
      </w:r>
      <w:r w:rsidR="00AA58A8" w:rsidRPr="003D56B2">
        <w:fldChar w:fldCharType="end"/>
      </w:r>
      <w:r w:rsidRPr="003D56B2">
        <w:t>.</w:t>
      </w:r>
    </w:p>
    <w:p w14:paraId="65ADC2AE" w14:textId="77777777" w:rsidR="00AA58A8" w:rsidRPr="003D56B2" w:rsidRDefault="00AA58A8" w:rsidP="000033CA"/>
    <w:p w14:paraId="12B18047" w14:textId="77777777" w:rsidR="000033CA" w:rsidRPr="003D56B2" w:rsidRDefault="000033CA" w:rsidP="000033CA">
      <w:pPr>
        <w:keepNext/>
        <w:jc w:val="center"/>
      </w:pPr>
      <w:r w:rsidRPr="003D56B2">
        <w:rPr>
          <w:noProof/>
        </w:rPr>
        <w:drawing>
          <wp:inline distT="0" distB="0" distL="0" distR="0" wp14:anchorId="2C22706D" wp14:editId="5C6F85E5">
            <wp:extent cx="2838340" cy="3094645"/>
            <wp:effectExtent l="0" t="0" r="0" b="2540"/>
            <wp:docPr id="1029217271" name="Graphic 1029217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217271" name="Gráfico 1029217271"/>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2838340" cy="3094645"/>
                    </a:xfrm>
                    <a:prstGeom prst="rect">
                      <a:avLst/>
                    </a:prstGeom>
                  </pic:spPr>
                </pic:pic>
              </a:graphicData>
            </a:graphic>
          </wp:inline>
        </w:drawing>
      </w:r>
    </w:p>
    <w:p w14:paraId="3E92D911" w14:textId="73457ECF" w:rsidR="000033CA" w:rsidRPr="003D56B2" w:rsidRDefault="000033CA" w:rsidP="000033CA">
      <w:pPr>
        <w:pStyle w:val="Descripcin"/>
        <w:rPr>
          <w:highlight w:val="lightGray"/>
        </w:rPr>
      </w:pPr>
      <w:bookmarkStart w:id="24" w:name="_Ref142125949"/>
      <w:r w:rsidRPr="003D56B2">
        <w:t xml:space="preserve">Figura </w:t>
      </w:r>
      <w:r>
        <w:fldChar w:fldCharType="begin"/>
      </w:r>
      <w:r>
        <w:instrText>SEQ Figura \* ARABIC</w:instrText>
      </w:r>
      <w:r>
        <w:fldChar w:fldCharType="separate"/>
      </w:r>
      <w:r w:rsidR="00DC6708">
        <w:rPr>
          <w:noProof/>
        </w:rPr>
        <w:t>5</w:t>
      </w:r>
      <w:r>
        <w:fldChar w:fldCharType="end"/>
      </w:r>
      <w:bookmarkEnd w:id="24"/>
      <w:r w:rsidR="0067647C" w:rsidRPr="003D56B2">
        <w:t xml:space="preserve">. </w:t>
      </w:r>
      <w:r w:rsidR="009C33F2" w:rsidRPr="003D56B2">
        <w:t xml:space="preserve">Función de densidad de probabilidad </w:t>
      </w:r>
      <w:r w:rsidR="005A127C" w:rsidRPr="003D56B2">
        <w:t xml:space="preserve">y diagrama de caja y bigotes para una </w:t>
      </w:r>
      <w:r w:rsidRPr="003D56B2">
        <w:t>distribución normal. Tomado de: Wikipedia.</w:t>
      </w:r>
    </w:p>
    <w:p w14:paraId="7556A0F0" w14:textId="56127B48" w:rsidR="00AA58A8" w:rsidRPr="003D56B2" w:rsidRDefault="00AA58A8" w:rsidP="00AA58A8">
      <w:r w:rsidRPr="003D56B2">
        <w:t xml:space="preserve">El rango intercuartílico (IQR por sus siglas en inglés, </w:t>
      </w:r>
      <w:proofErr w:type="spellStart"/>
      <w:r w:rsidRPr="003D56B2">
        <w:rPr>
          <w:i/>
          <w:iCs/>
        </w:rPr>
        <w:t>Interquartile</w:t>
      </w:r>
      <w:proofErr w:type="spellEnd"/>
      <w:r w:rsidRPr="003D56B2">
        <w:rPr>
          <w:i/>
          <w:iCs/>
        </w:rPr>
        <w:t xml:space="preserve"> </w:t>
      </w:r>
      <w:proofErr w:type="spellStart"/>
      <w:r w:rsidRPr="003D56B2">
        <w:rPr>
          <w:i/>
          <w:iCs/>
        </w:rPr>
        <w:t>Range</w:t>
      </w:r>
      <w:proofErr w:type="spellEnd"/>
      <w:r w:rsidRPr="003D56B2">
        <w:t>) se calcula como la diferencia entre el tercer cuartil</w:t>
      </w:r>
      <w:r w:rsidRPr="003D56B2">
        <w:rPr>
          <w:rStyle w:val="Refdenotaalpie"/>
        </w:rPr>
        <w:footnoteReference w:id="11"/>
      </w:r>
      <w:r w:rsidRPr="003D56B2">
        <w:t xml:space="preserve"> (Q3) y el primer cuartil (Q1) en un conjunto ordenado de datos.</w:t>
      </w:r>
    </w:p>
    <w:p w14:paraId="17690CFA" w14:textId="77777777" w:rsidR="00AA58A8" w:rsidRPr="003D56B2" w:rsidRDefault="00AA58A8" w:rsidP="00AA58A8">
      <m:oMathPara>
        <m:oMath>
          <m:r>
            <w:rPr>
              <w:rFonts w:ascii="Cambria Math" w:hAnsi="Cambria Math"/>
            </w:rPr>
            <w:lastRenderedPageBreak/>
            <m:t xml:space="preserve">IQR = Q3 - Q1 </m:t>
          </m:r>
        </m:oMath>
      </m:oMathPara>
    </w:p>
    <w:p w14:paraId="34239AFA" w14:textId="77777777" w:rsidR="00AA58A8" w:rsidRPr="003D56B2" w:rsidRDefault="00AA58A8" w:rsidP="00AA58A8">
      <w:r w:rsidRPr="003D56B2">
        <w:t xml:space="preserve">Para filtrar estos valores atípicos se toma en cuenta la regla de la distancia intercuartílica, IQR, donde los datos que tengan un valor superior a 1.5 veces el IQR se consideran datos atípicos y aquellos mayores a 3 veces el IQR se consideran valores atípicos extremos (Test de Tukey). </w:t>
      </w:r>
    </w:p>
    <w:p w14:paraId="54FD3F96" w14:textId="0C6629C8" w:rsidR="00AA58A8" w:rsidRPr="003D56B2" w:rsidRDefault="00AA58A8" w:rsidP="00AA58A8">
      <w:r w:rsidRPr="003D56B2">
        <w:t>De esta manera, se encuentra que alrededor del 14% de la información inicial contiene datos atípicos extremos. Filtrando estos valores</w:t>
      </w:r>
      <w:r w:rsidR="0011738F" w:rsidRPr="003D56B2">
        <w:t xml:space="preserve"> (mayores a 3*IQR)</w:t>
      </w:r>
      <w:r w:rsidRPr="003D56B2">
        <w:t>, se pasa de aproximadamente 150 mil a 129 mil facturas con reporte de consumo de energía reactiva capacitiva</w:t>
      </w:r>
      <w:r w:rsidR="008C0822" w:rsidRPr="003D56B2">
        <w:t>, con las cuáles se continuará el análisis.</w:t>
      </w:r>
    </w:p>
    <w:p w14:paraId="4BD811D7" w14:textId="713D5575" w:rsidR="00953B6C" w:rsidRPr="003D56B2" w:rsidRDefault="0088168F" w:rsidP="00953B6C">
      <w:r w:rsidRPr="003D56B2">
        <w:t xml:space="preserve">En cuanto a la modificación del </w:t>
      </w:r>
      <w:r w:rsidR="003C5935" w:rsidRPr="003D56B2">
        <w:t xml:space="preserve">límite al </w:t>
      </w:r>
      <w:r w:rsidRPr="003D56B2">
        <w:t>factor de potencia capacitivo,</w:t>
      </w:r>
      <w:r w:rsidR="00C82FFD" w:rsidRPr="003D56B2">
        <w:t xml:space="preserve"> teniendo en cuenta </w:t>
      </w:r>
      <w:r w:rsidR="003C5935" w:rsidRPr="003D56B2">
        <w:t>la revisión de estándares internacionales de la sección anterior,</w:t>
      </w:r>
      <w:r w:rsidRPr="003D56B2">
        <w:t xml:space="preserve"> se consideran dos alternativas: 0</w:t>
      </w:r>
      <w:r w:rsidR="00F7574F">
        <w:t>,</w:t>
      </w:r>
      <w:r w:rsidRPr="003D56B2">
        <w:t>90 y 0</w:t>
      </w:r>
      <w:r w:rsidR="00F7574F">
        <w:t>,</w:t>
      </w:r>
      <w:r w:rsidRPr="003D56B2">
        <w:t>95</w:t>
      </w:r>
      <w:r w:rsidR="00953B6C" w:rsidRPr="003D56B2">
        <w:rPr>
          <w:szCs w:val="22"/>
        </w:rPr>
        <w:t>.</w:t>
      </w:r>
      <w:r w:rsidR="00953B6C" w:rsidRPr="003D56B2">
        <w:t xml:space="preserve"> </w:t>
      </w:r>
      <w:r w:rsidR="00311685" w:rsidRPr="003D56B2">
        <w:t xml:space="preserve">Como se muestra en la </w:t>
      </w:r>
      <w:r w:rsidR="00311685" w:rsidRPr="003D56B2">
        <w:rPr>
          <w:szCs w:val="22"/>
        </w:rPr>
        <w:fldChar w:fldCharType="begin"/>
      </w:r>
      <w:r w:rsidR="00311685" w:rsidRPr="003D56B2">
        <w:rPr>
          <w:szCs w:val="22"/>
        </w:rPr>
        <w:instrText xml:space="preserve"> REF _Ref141868925 \h  \* MERGEFORMAT </w:instrText>
      </w:r>
      <w:r w:rsidR="00311685" w:rsidRPr="003D56B2">
        <w:rPr>
          <w:szCs w:val="22"/>
        </w:rPr>
      </w:r>
      <w:r w:rsidR="00311685" w:rsidRPr="003D56B2">
        <w:rPr>
          <w:szCs w:val="22"/>
        </w:rPr>
        <w:fldChar w:fldCharType="separate"/>
      </w:r>
      <w:r w:rsidR="00DC6708" w:rsidRPr="00DC6708">
        <w:rPr>
          <w:szCs w:val="22"/>
        </w:rPr>
        <w:t xml:space="preserve">Figura </w:t>
      </w:r>
      <w:r w:rsidR="00DC6708" w:rsidRPr="00DC6708">
        <w:rPr>
          <w:noProof/>
          <w:szCs w:val="22"/>
        </w:rPr>
        <w:t>6</w:t>
      </w:r>
      <w:r w:rsidR="00311685" w:rsidRPr="003D56B2">
        <w:rPr>
          <w:szCs w:val="22"/>
        </w:rPr>
        <w:fldChar w:fldCharType="end"/>
      </w:r>
      <w:r w:rsidR="00311685" w:rsidRPr="003D56B2">
        <w:rPr>
          <w:szCs w:val="22"/>
        </w:rPr>
        <w:t xml:space="preserve">, </w:t>
      </w:r>
      <w:r w:rsidR="00953B6C" w:rsidRPr="003D56B2">
        <w:t>con un factor de potencia de 0</w:t>
      </w:r>
      <w:r w:rsidR="00F7574F">
        <w:t>,</w:t>
      </w:r>
      <w:r w:rsidR="00953B6C" w:rsidRPr="003D56B2">
        <w:t xml:space="preserve">90, el </w:t>
      </w:r>
      <w:r w:rsidR="009B3B88" w:rsidRPr="003D56B2">
        <w:t>93</w:t>
      </w:r>
      <w:r w:rsidR="00F7574F">
        <w:t>,</w:t>
      </w:r>
      <w:r w:rsidR="009B3B88" w:rsidRPr="003D56B2">
        <w:t xml:space="preserve">6% </w:t>
      </w:r>
      <w:r w:rsidR="00953B6C" w:rsidRPr="003D56B2">
        <w:t xml:space="preserve">de los usuarios dejarían de percibir el cobro asociado al consumo e inyección de energía reactiva capacitiva a la red, mientras que con un </w:t>
      </w:r>
      <w:r w:rsidR="00F7574F">
        <w:t xml:space="preserve">factor de potencia </w:t>
      </w:r>
      <w:r w:rsidR="00953B6C" w:rsidRPr="003D56B2">
        <w:t>de 0</w:t>
      </w:r>
      <w:r w:rsidR="00F7574F">
        <w:t>,</w:t>
      </w:r>
      <w:r w:rsidR="00953B6C" w:rsidRPr="003D56B2">
        <w:t xml:space="preserve">95 serían alrededor del </w:t>
      </w:r>
      <w:r w:rsidR="00516977" w:rsidRPr="003D56B2">
        <w:t>91%</w:t>
      </w:r>
      <w:r w:rsidR="00953B6C" w:rsidRPr="003D56B2">
        <w:t xml:space="preserve"> los que estarían dentro del nuevo rango de tolerancia propuesto</w:t>
      </w:r>
      <w:r w:rsidR="001C4DC8" w:rsidRPr="003D56B2">
        <w:t>.</w:t>
      </w:r>
    </w:p>
    <w:p w14:paraId="404422A9" w14:textId="77777777" w:rsidR="00C22A1E" w:rsidRPr="003D56B2" w:rsidRDefault="00C22A1E" w:rsidP="00C22A1E">
      <w:pPr>
        <w:jc w:val="center"/>
        <w:rPr>
          <w:i/>
          <w:iCs/>
          <w:sz w:val="18"/>
          <w:szCs w:val="18"/>
        </w:rPr>
      </w:pPr>
      <w:r w:rsidRPr="003D56B2">
        <w:rPr>
          <w:i/>
          <w:iCs/>
          <w:noProof/>
          <w:sz w:val="18"/>
          <w:szCs w:val="18"/>
        </w:rPr>
        <w:drawing>
          <wp:inline distT="0" distB="0" distL="0" distR="0" wp14:anchorId="45574228" wp14:editId="3F91CA6E">
            <wp:extent cx="3665220" cy="2145445"/>
            <wp:effectExtent l="0" t="0" r="0" b="7620"/>
            <wp:docPr id="1324673368" name="Picture 1324673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673368" name=""/>
                    <pic:cNvPicPr/>
                  </pic:nvPicPr>
                  <pic:blipFill>
                    <a:blip r:embed="rId20"/>
                    <a:stretch>
                      <a:fillRect/>
                    </a:stretch>
                  </pic:blipFill>
                  <pic:spPr>
                    <a:xfrm>
                      <a:off x="0" y="0"/>
                      <a:ext cx="3690690" cy="2160354"/>
                    </a:xfrm>
                    <a:prstGeom prst="rect">
                      <a:avLst/>
                    </a:prstGeom>
                  </pic:spPr>
                </pic:pic>
              </a:graphicData>
            </a:graphic>
          </wp:inline>
        </w:drawing>
      </w:r>
    </w:p>
    <w:p w14:paraId="73AC9E5C" w14:textId="7E739746" w:rsidR="00C22A1E" w:rsidRPr="003D56B2" w:rsidRDefault="00C22A1E" w:rsidP="00C22A1E">
      <w:pPr>
        <w:jc w:val="center"/>
        <w:rPr>
          <w:i/>
          <w:iCs/>
          <w:sz w:val="18"/>
          <w:szCs w:val="18"/>
        </w:rPr>
      </w:pPr>
      <w:bookmarkStart w:id="25" w:name="_Ref141868925"/>
      <w:r w:rsidRPr="003D56B2">
        <w:rPr>
          <w:i/>
          <w:iCs/>
          <w:sz w:val="18"/>
          <w:szCs w:val="18"/>
        </w:rPr>
        <w:t xml:space="preserve">Figura </w:t>
      </w:r>
      <w:r w:rsidRPr="003D56B2">
        <w:rPr>
          <w:i/>
          <w:iCs/>
          <w:sz w:val="18"/>
          <w:szCs w:val="18"/>
        </w:rPr>
        <w:fldChar w:fldCharType="begin"/>
      </w:r>
      <w:r w:rsidRPr="003D56B2">
        <w:rPr>
          <w:i/>
          <w:iCs/>
          <w:sz w:val="18"/>
          <w:szCs w:val="18"/>
        </w:rPr>
        <w:instrText xml:space="preserve"> SEQ Figura \* ARABIC </w:instrText>
      </w:r>
      <w:r w:rsidRPr="003D56B2">
        <w:rPr>
          <w:i/>
          <w:iCs/>
          <w:sz w:val="18"/>
          <w:szCs w:val="18"/>
        </w:rPr>
        <w:fldChar w:fldCharType="separate"/>
      </w:r>
      <w:r w:rsidR="00DC6708">
        <w:rPr>
          <w:i/>
          <w:iCs/>
          <w:noProof/>
          <w:sz w:val="18"/>
          <w:szCs w:val="18"/>
        </w:rPr>
        <w:t>6</w:t>
      </w:r>
      <w:r w:rsidRPr="003D56B2">
        <w:rPr>
          <w:i/>
          <w:iCs/>
          <w:sz w:val="18"/>
          <w:szCs w:val="18"/>
        </w:rPr>
        <w:fldChar w:fldCharType="end"/>
      </w:r>
      <w:bookmarkEnd w:id="25"/>
      <w:r w:rsidRPr="003D56B2">
        <w:rPr>
          <w:i/>
          <w:iCs/>
          <w:sz w:val="18"/>
          <w:szCs w:val="18"/>
        </w:rPr>
        <w:t>. Cantidad de facturas en función de la relación de reactiva capacitiva contra activa</w:t>
      </w:r>
    </w:p>
    <w:p w14:paraId="6289175F" w14:textId="59EAF311" w:rsidR="00F321F0" w:rsidRPr="003D56B2" w:rsidRDefault="003D0FEA" w:rsidP="007813C3">
      <w:r w:rsidRPr="003D56B2">
        <w:t xml:space="preserve">Ahora bien, la cantidad de usuarios residenciales, industriales y comerciales cubiertos por el </w:t>
      </w:r>
      <w:r w:rsidR="00A2182C" w:rsidRPr="003D56B2">
        <w:t xml:space="preserve">límite al </w:t>
      </w:r>
      <w:r w:rsidRPr="003D56B2">
        <w:t>factor de potencia de 0</w:t>
      </w:r>
      <w:r w:rsidR="00F7574F">
        <w:t>,</w:t>
      </w:r>
      <w:r w:rsidRPr="003D56B2">
        <w:t>90 s</w:t>
      </w:r>
      <w:r w:rsidR="00D26AB6" w:rsidRPr="003D56B2">
        <w:t>erían</w:t>
      </w:r>
      <w:r w:rsidRPr="003D56B2">
        <w:t xml:space="preserve"> </w:t>
      </w:r>
      <w:r w:rsidR="001F1D90" w:rsidRPr="003D56B2">
        <w:t xml:space="preserve">el </w:t>
      </w:r>
      <w:r w:rsidRPr="003D56B2">
        <w:t>7</w:t>
      </w:r>
      <w:r w:rsidR="00A91138" w:rsidRPr="003D56B2">
        <w:t>2</w:t>
      </w:r>
      <w:r w:rsidR="00F7574F">
        <w:t>,</w:t>
      </w:r>
      <w:r w:rsidR="00A91138" w:rsidRPr="003D56B2">
        <w:t>9</w:t>
      </w:r>
      <w:r w:rsidR="00FB0186" w:rsidRPr="003D56B2">
        <w:t>%</w:t>
      </w:r>
      <w:r w:rsidRPr="003D56B2">
        <w:t xml:space="preserve">, </w:t>
      </w:r>
      <w:r w:rsidR="0056607D" w:rsidRPr="003D56B2">
        <w:t>97</w:t>
      </w:r>
      <w:r w:rsidR="00F7574F">
        <w:t>,</w:t>
      </w:r>
      <w:r w:rsidR="0056607D" w:rsidRPr="003D56B2">
        <w:t>5</w:t>
      </w:r>
      <w:r w:rsidR="00FB0186" w:rsidRPr="003D56B2">
        <w:t>%</w:t>
      </w:r>
      <w:r w:rsidRPr="003D56B2">
        <w:t xml:space="preserve"> y </w:t>
      </w:r>
      <w:r w:rsidR="0056607D" w:rsidRPr="003D56B2">
        <w:t>95</w:t>
      </w:r>
      <w:r w:rsidR="00F7574F">
        <w:t>,</w:t>
      </w:r>
      <w:r w:rsidR="0056607D" w:rsidRPr="003D56B2">
        <w:t>7</w:t>
      </w:r>
      <w:r w:rsidRPr="003D56B2">
        <w:t>% respectivamente</w:t>
      </w:r>
      <w:r w:rsidR="009764EA" w:rsidRPr="003D56B2">
        <w:t xml:space="preserve">, tal como se muestra en </w:t>
      </w:r>
      <w:r w:rsidR="00A40ACA" w:rsidRPr="003D56B2">
        <w:t xml:space="preserve">las figuras del Anexo </w:t>
      </w:r>
      <w:r w:rsidR="00A40ACA" w:rsidRPr="003D56B2">
        <w:fldChar w:fldCharType="begin"/>
      </w:r>
      <w:r w:rsidR="00A40ACA" w:rsidRPr="003D56B2">
        <w:instrText xml:space="preserve"> REF _Ref142124713 \r \h </w:instrText>
      </w:r>
      <w:r w:rsidR="00A40ACA" w:rsidRPr="003D56B2">
        <w:fldChar w:fldCharType="separate"/>
      </w:r>
      <w:r w:rsidR="00DC6708">
        <w:t>11.2</w:t>
      </w:r>
      <w:r w:rsidR="00A40ACA" w:rsidRPr="003D56B2">
        <w:fldChar w:fldCharType="end"/>
      </w:r>
      <w:r w:rsidRPr="003D56B2">
        <w:t xml:space="preserve">. En contraste, con </w:t>
      </w:r>
      <w:r w:rsidR="00ED4281" w:rsidRPr="003D56B2">
        <w:t xml:space="preserve">un límite del </w:t>
      </w:r>
      <w:r w:rsidR="00F7574F">
        <w:t xml:space="preserve">factor de potencia </w:t>
      </w:r>
      <w:r w:rsidRPr="003D56B2">
        <w:t>de 0</w:t>
      </w:r>
      <w:r w:rsidR="00F7574F">
        <w:t>,</w:t>
      </w:r>
      <w:r w:rsidRPr="003D56B2">
        <w:t>95, los mismos usuarios residenciales, industriales y comerciales</w:t>
      </w:r>
      <w:r w:rsidR="00ED4281" w:rsidRPr="003D56B2">
        <w:t xml:space="preserve"> cubiertos</w:t>
      </w:r>
      <w:r w:rsidRPr="003D56B2">
        <w:t xml:space="preserve"> </w:t>
      </w:r>
      <w:r w:rsidR="00D00CF2" w:rsidRPr="003D56B2">
        <w:t>serían</w:t>
      </w:r>
      <w:r w:rsidR="006B227A" w:rsidRPr="003D56B2">
        <w:t xml:space="preserve"> el</w:t>
      </w:r>
      <w:r w:rsidRPr="003D56B2">
        <w:t xml:space="preserve"> 64</w:t>
      </w:r>
      <w:r w:rsidR="00F7574F">
        <w:t>,</w:t>
      </w:r>
      <w:r w:rsidR="0056607D" w:rsidRPr="003D56B2">
        <w:t>7</w:t>
      </w:r>
      <w:r w:rsidR="00FB0186" w:rsidRPr="003D56B2">
        <w:t>%</w:t>
      </w:r>
      <w:r w:rsidRPr="003D56B2">
        <w:t xml:space="preserve">, </w:t>
      </w:r>
      <w:r w:rsidR="0056607D" w:rsidRPr="003D56B2">
        <w:t>96</w:t>
      </w:r>
      <w:r w:rsidR="00F7574F">
        <w:t>,</w:t>
      </w:r>
      <w:r w:rsidRPr="003D56B2">
        <w:t>4</w:t>
      </w:r>
      <w:r w:rsidR="00FB0186" w:rsidRPr="003D56B2">
        <w:t>%</w:t>
      </w:r>
      <w:r w:rsidRPr="003D56B2">
        <w:t xml:space="preserve"> y </w:t>
      </w:r>
      <w:r w:rsidR="0056607D" w:rsidRPr="003D56B2">
        <w:t>93</w:t>
      </w:r>
      <w:r w:rsidR="00F7574F">
        <w:t>,</w:t>
      </w:r>
      <w:r w:rsidR="0056607D" w:rsidRPr="003D56B2">
        <w:t>3%</w:t>
      </w:r>
      <w:r w:rsidRPr="003D56B2">
        <w:t>, respectivamente.</w:t>
      </w:r>
      <w:r w:rsidR="00F321F0" w:rsidRPr="003D56B2">
        <w:t xml:space="preserve"> </w:t>
      </w:r>
    </w:p>
    <w:p w14:paraId="43EA8E07" w14:textId="16724F91" w:rsidR="0032254D" w:rsidRPr="003D56B2" w:rsidRDefault="0032254D" w:rsidP="007813C3">
      <w:r w:rsidRPr="003D56B2">
        <w:t>También</w:t>
      </w:r>
      <w:r w:rsidR="007813C3" w:rsidRPr="003D56B2">
        <w:t xml:space="preserve"> es posible desglosar</w:t>
      </w:r>
      <w:r w:rsidRPr="003D56B2">
        <w:t xml:space="preserve"> </w:t>
      </w:r>
      <w:r w:rsidR="007813C3" w:rsidRPr="003D56B2">
        <w:t xml:space="preserve">la </w:t>
      </w:r>
      <w:r w:rsidRPr="003D56B2">
        <w:t xml:space="preserve">información </w:t>
      </w:r>
      <w:r w:rsidR="007813C3" w:rsidRPr="003D56B2">
        <w:t xml:space="preserve">por </w:t>
      </w:r>
      <w:r w:rsidR="00AC4B09" w:rsidRPr="003D56B2">
        <w:t>nivel de tensión</w:t>
      </w:r>
      <w:r w:rsidR="004B30EF" w:rsidRPr="003D56B2">
        <w:t>, tal como se muestra en las figuras del</w:t>
      </w:r>
      <w:r w:rsidRPr="003D56B2">
        <w:t xml:space="preserve"> Anexo </w:t>
      </w:r>
      <w:r w:rsidRPr="003D56B2">
        <w:fldChar w:fldCharType="begin"/>
      </w:r>
      <w:r w:rsidRPr="003D56B2">
        <w:instrText xml:space="preserve"> REF _Ref142124907 \r \h </w:instrText>
      </w:r>
      <w:r w:rsidRPr="003D56B2">
        <w:fldChar w:fldCharType="separate"/>
      </w:r>
      <w:r w:rsidR="00DC6708">
        <w:t>11.2.1</w:t>
      </w:r>
      <w:r w:rsidRPr="003D56B2">
        <w:fldChar w:fldCharType="end"/>
      </w:r>
      <w:r w:rsidR="001255DF" w:rsidRPr="003D56B2">
        <w:t xml:space="preserve">, </w:t>
      </w:r>
      <w:r w:rsidR="00F7574F">
        <w:t>donde</w:t>
      </w:r>
      <w:r w:rsidR="001255DF" w:rsidRPr="003D56B2">
        <w:t xml:space="preserve"> se presenta la distribución de facturas </w:t>
      </w:r>
      <w:r w:rsidR="00155D67" w:rsidRPr="003D56B2">
        <w:t>por rango de transporte de energía reactiva capacitiva</w:t>
      </w:r>
      <w:r w:rsidR="00F7574F">
        <w:t>, así como la</w:t>
      </w:r>
      <w:r w:rsidR="00AD4707" w:rsidRPr="003D56B2">
        <w:t xml:space="preserve"> relación entre </w:t>
      </w:r>
      <w:r w:rsidR="00107163" w:rsidRPr="003D56B2">
        <w:t>la energía activa y la reactiva capacitiva facturadas en cada periodo.</w:t>
      </w:r>
      <w:r w:rsidR="005D7AE5" w:rsidRPr="003D56B2">
        <w:t xml:space="preserve"> Se muestra la distribución total por nivel y </w:t>
      </w:r>
      <w:r w:rsidR="005740CF" w:rsidRPr="003D56B2">
        <w:t>las distribuciones para los sectores residencial, industrial y comercial.</w:t>
      </w:r>
    </w:p>
    <w:p w14:paraId="438E2AB6" w14:textId="1BF62563" w:rsidR="005740CF" w:rsidRPr="003D56B2" w:rsidRDefault="005740CF" w:rsidP="005740CF">
      <w:r w:rsidRPr="003D56B2">
        <w:t xml:space="preserve">Al </w:t>
      </w:r>
      <w:r w:rsidR="00EC14D9" w:rsidRPr="003D56B2">
        <w:t>detallar</w:t>
      </w:r>
      <w:r w:rsidRPr="003D56B2">
        <w:t xml:space="preserve"> las figuras desagregadas por nivel de tensión, se encuentra que, de las 12</w:t>
      </w:r>
      <w:r w:rsidR="0007160F" w:rsidRPr="003D56B2">
        <w:t>9 mil</w:t>
      </w:r>
      <w:r w:rsidRPr="003D56B2">
        <w:t xml:space="preserve"> facturas, 7</w:t>
      </w:r>
      <w:r w:rsidR="0007160F" w:rsidRPr="003D56B2">
        <w:t>9 mil</w:t>
      </w:r>
      <w:r w:rsidRPr="003D56B2">
        <w:t xml:space="preserve"> corresponden al nivel de tensión 1, 3</w:t>
      </w:r>
      <w:r w:rsidR="001D70C2" w:rsidRPr="003D56B2">
        <w:t>9 mil</w:t>
      </w:r>
      <w:r w:rsidRPr="003D56B2">
        <w:t xml:space="preserve"> a NT2, 10.5</w:t>
      </w:r>
      <w:r w:rsidR="001D70C2" w:rsidRPr="003D56B2">
        <w:t xml:space="preserve"> mil</w:t>
      </w:r>
      <w:r w:rsidRPr="003D56B2">
        <w:t xml:space="preserve"> a NT3 y </w:t>
      </w:r>
      <w:r w:rsidR="001D70C2" w:rsidRPr="003D56B2">
        <w:t xml:space="preserve">solo </w:t>
      </w:r>
      <w:r w:rsidRPr="003D56B2">
        <w:t xml:space="preserve">430 a </w:t>
      </w:r>
      <w:r w:rsidRPr="003D56B2">
        <w:lastRenderedPageBreak/>
        <w:t>NT4</w:t>
      </w:r>
      <w:r w:rsidRPr="003D56B2">
        <w:rPr>
          <w:rStyle w:val="Refdenotaalpie"/>
        </w:rPr>
        <w:footnoteReference w:id="12"/>
      </w:r>
      <w:r w:rsidRPr="003D56B2">
        <w:t xml:space="preserve">. Esto representa una cantidad de usuarios de 11.104, 4.581, 1.138 y 79 respectivamente. </w:t>
      </w:r>
    </w:p>
    <w:p w14:paraId="400956DE" w14:textId="55CF4A21" w:rsidR="005740CF" w:rsidRPr="003D56B2" w:rsidRDefault="005740CF" w:rsidP="005740CF">
      <w:r w:rsidRPr="003D56B2">
        <w:t xml:space="preserve">En los niveles de tensión de 2 a 4, independiente del </w:t>
      </w:r>
      <w:r w:rsidR="00907D1E" w:rsidRPr="003D56B2">
        <w:t xml:space="preserve">límite al </w:t>
      </w:r>
      <w:r w:rsidR="00F7574F">
        <w:t xml:space="preserve">factor de potencia </w:t>
      </w:r>
      <w:r w:rsidR="00907D1E" w:rsidRPr="003D56B2">
        <w:t xml:space="preserve">seleccionado </w:t>
      </w:r>
      <w:r w:rsidRPr="003D56B2">
        <w:t>(bien sea 0</w:t>
      </w:r>
      <w:r w:rsidR="00F7574F">
        <w:t>,</w:t>
      </w:r>
      <w:r w:rsidRPr="003D56B2">
        <w:t>9 o 0</w:t>
      </w:r>
      <w:r w:rsidR="00F7574F">
        <w:t>,</w:t>
      </w:r>
      <w:r w:rsidRPr="003D56B2">
        <w:t>95), más de</w:t>
      </w:r>
      <w:r w:rsidR="00AC5145" w:rsidRPr="003D56B2">
        <w:t>l</w:t>
      </w:r>
      <w:r w:rsidRPr="003D56B2">
        <w:t xml:space="preserve"> 98% de los usuarios residenciales, industriales y comerciales queda</w:t>
      </w:r>
      <w:r w:rsidR="003A74FA" w:rsidRPr="003D56B2">
        <w:t>rían</w:t>
      </w:r>
      <w:r w:rsidRPr="003D56B2">
        <w:t xml:space="preserve"> exentos del cobro por transporte de energía reactiva capacitiva.</w:t>
      </w:r>
    </w:p>
    <w:p w14:paraId="415658D1" w14:textId="5F9AC32F" w:rsidR="005740CF" w:rsidRPr="003D56B2" w:rsidRDefault="005740CF" w:rsidP="005740CF">
      <w:r w:rsidRPr="003D56B2">
        <w:t xml:space="preserve">Por otro lado, para nivel de tensión 1 más del 90% de los usuarios comerciales e industriales, que representan el 76% de los usuarios de este nivel, quedarían exentos con cualquiera de los límites al </w:t>
      </w:r>
      <w:r w:rsidR="00F7574F">
        <w:t xml:space="preserve">factore de potencia </w:t>
      </w:r>
      <w:r w:rsidRPr="003D56B2">
        <w:t>considerados. En cuanto a los usuarios residenciales se observa que</w:t>
      </w:r>
      <w:r w:rsidR="00F7574F">
        <w:t>,</w:t>
      </w:r>
      <w:r w:rsidRPr="003D56B2">
        <w:t xml:space="preserve"> si bien representan solamente el 17% de usuarios de nivel 1, tienen una relación Q/P en promedio más baja y dispersa en contraste con los usuarios de los demás niveles de tensión o de otros sectores</w:t>
      </w:r>
      <w:r w:rsidR="00625A2B" w:rsidRPr="003D56B2">
        <w:t>, de tal manera que c</w:t>
      </w:r>
      <w:r w:rsidRPr="003D56B2">
        <w:t>on los límites al factor de potencia propuestos de 0</w:t>
      </w:r>
      <w:r w:rsidR="00F7574F">
        <w:t>,</w:t>
      </w:r>
      <w:r w:rsidRPr="003D56B2">
        <w:t>90 o 0</w:t>
      </w:r>
      <w:r w:rsidR="00F7574F">
        <w:t>,</w:t>
      </w:r>
      <w:r w:rsidRPr="003D56B2">
        <w:t>95, el 59</w:t>
      </w:r>
      <w:r w:rsidR="00F7574F">
        <w:t>,</w:t>
      </w:r>
      <w:r w:rsidRPr="003D56B2">
        <w:t>1% o 68</w:t>
      </w:r>
      <w:r w:rsidR="00F7574F">
        <w:t>,</w:t>
      </w:r>
      <w:r w:rsidRPr="003D56B2">
        <w:t>5% de los usuarios quedarían exentos de los cobros, respectivamente.</w:t>
      </w:r>
    </w:p>
    <w:p w14:paraId="289A1F6C" w14:textId="47BFED00" w:rsidR="005740CF" w:rsidRPr="003D56B2" w:rsidRDefault="005740CF" w:rsidP="005740CF">
      <w:r w:rsidRPr="003D56B2">
        <w:t xml:space="preserve">Adicionalmente, se espera que el efecto ocasionado por el transporte de energía reactiva capacitiva de los usuarios conectados en baja o media tensión (niveles de tensión 1 y 2), dadas sus capacidades instaladas, sea menor que el de los usuarios conectados los niveles 3 y 4, por lo que </w:t>
      </w:r>
      <w:r w:rsidR="00A02FC5" w:rsidRPr="003D56B2">
        <w:t>sería</w:t>
      </w:r>
      <w:r w:rsidRPr="003D56B2">
        <w:t xml:space="preserve"> posible tener un margen más amplio de tolerancia en el factor de potencia capacitivo para los usuarios del primer grupo (niveles de tensión 1 y 2).</w:t>
      </w:r>
    </w:p>
    <w:p w14:paraId="39451D6F" w14:textId="07748CEC" w:rsidR="00F7574F" w:rsidRDefault="00041A83" w:rsidP="007813C3">
      <w:r w:rsidRPr="003D56B2">
        <w:t>En las figuras del</w:t>
      </w:r>
      <w:r w:rsidR="00AC4B09" w:rsidRPr="003D56B2">
        <w:t xml:space="preserve"> </w:t>
      </w:r>
      <w:r w:rsidRPr="003D56B2">
        <w:t xml:space="preserve">Anexo </w:t>
      </w:r>
      <w:r w:rsidRPr="003D56B2">
        <w:fldChar w:fldCharType="begin"/>
      </w:r>
      <w:r w:rsidRPr="003D56B2">
        <w:instrText xml:space="preserve"> REF _Ref142124797 \r \h </w:instrText>
      </w:r>
      <w:r w:rsidRPr="003D56B2">
        <w:fldChar w:fldCharType="separate"/>
      </w:r>
      <w:r w:rsidR="00DC6708">
        <w:t>11.2.2</w:t>
      </w:r>
      <w:r w:rsidRPr="003D56B2">
        <w:fldChar w:fldCharType="end"/>
      </w:r>
      <w:r w:rsidRPr="003D56B2">
        <w:t xml:space="preserve"> </w:t>
      </w:r>
      <w:r w:rsidR="00B13F26" w:rsidRPr="003D56B2">
        <w:t xml:space="preserve">se presenta de manera similar la distribución de facturas por rango de transporte de energía reactiva capacitiva y su relación entre la energía activa y la energía reactiva capacitiva facturadas en cada periodo </w:t>
      </w:r>
      <w:r w:rsidR="005019C3" w:rsidRPr="003D56B2">
        <w:t xml:space="preserve">desagregada </w:t>
      </w:r>
      <w:r w:rsidR="00AC4B09" w:rsidRPr="003D56B2">
        <w:t xml:space="preserve">por </w:t>
      </w:r>
      <w:r w:rsidR="007813C3" w:rsidRPr="003D56B2">
        <w:t>operadores de red</w:t>
      </w:r>
      <w:r w:rsidR="00DE0CF9" w:rsidRPr="003D56B2">
        <w:t xml:space="preserve">. </w:t>
      </w:r>
    </w:p>
    <w:p w14:paraId="36A1383B" w14:textId="534D591D" w:rsidR="007813C3" w:rsidRPr="003D56B2" w:rsidRDefault="00DE0CF9" w:rsidP="007813C3">
      <w:r w:rsidRPr="003D56B2">
        <w:t>En estas se puede observar</w:t>
      </w:r>
      <w:r w:rsidR="00AC4B09" w:rsidRPr="003D56B2">
        <w:t xml:space="preserve"> </w:t>
      </w:r>
      <w:r w:rsidR="007813C3" w:rsidRPr="003D56B2">
        <w:t xml:space="preserve">la </w:t>
      </w:r>
      <w:r w:rsidR="005D0A3F" w:rsidRPr="003D56B2">
        <w:t>proporción</w:t>
      </w:r>
      <w:r w:rsidR="007813C3" w:rsidRPr="003D56B2">
        <w:t xml:space="preserve"> de usuarios </w:t>
      </w:r>
      <w:r w:rsidR="00535A27" w:rsidRPr="003D56B2">
        <w:t xml:space="preserve">que quedarían </w:t>
      </w:r>
      <w:r w:rsidR="00A02D11" w:rsidRPr="003D56B2">
        <w:t xml:space="preserve">exentos del cobro por transporte de energía reactiva capacitiva </w:t>
      </w:r>
      <w:r w:rsidR="00403589" w:rsidRPr="003D56B2">
        <w:t xml:space="preserve">en cada mercado y en los sectores </w:t>
      </w:r>
      <w:r w:rsidR="004B335B" w:rsidRPr="003D56B2">
        <w:t>residencial, industrial y comercial</w:t>
      </w:r>
      <w:r w:rsidR="007813C3" w:rsidRPr="003D56B2">
        <w:t>.</w:t>
      </w:r>
    </w:p>
    <w:p w14:paraId="188EF748" w14:textId="7EBB2FF0" w:rsidR="003568A3" w:rsidRPr="003D56B2" w:rsidRDefault="006A2032" w:rsidP="003568A3">
      <w:pPr>
        <w:pStyle w:val="Ttulo1"/>
        <w:rPr>
          <w:lang w:val="es-CO"/>
        </w:rPr>
      </w:pPr>
      <w:bookmarkStart w:id="26" w:name="_Toc157689789"/>
      <w:r w:rsidRPr="003D56B2">
        <w:rPr>
          <w:lang w:val="es-CO"/>
        </w:rPr>
        <w:t>C</w:t>
      </w:r>
      <w:r w:rsidR="003568A3" w:rsidRPr="003D56B2">
        <w:rPr>
          <w:lang w:val="es-CO"/>
        </w:rPr>
        <w:t>ONSULTA PÚBLICA</w:t>
      </w:r>
      <w:bookmarkEnd w:id="26"/>
    </w:p>
    <w:p w14:paraId="76FE2B09" w14:textId="2E5695DA" w:rsidR="00F7574F" w:rsidRPr="003D56B2" w:rsidRDefault="00F7574F" w:rsidP="00F7574F">
      <w:r w:rsidRPr="003D56B2">
        <w:t xml:space="preserve">Teniendo en cuenta </w:t>
      </w:r>
      <w:r>
        <w:t>los elementos plantados anteriormente</w:t>
      </w:r>
      <w:r w:rsidRPr="003D56B2">
        <w:t xml:space="preserve">, se </w:t>
      </w:r>
      <w:r>
        <w:t xml:space="preserve">propuso </w:t>
      </w:r>
      <w:r w:rsidRPr="003D56B2">
        <w:t>una modificación de límite al factor de potencia capacitivo (o en adelanto) de la siguiente manera:</w:t>
      </w:r>
    </w:p>
    <w:p w14:paraId="0FC602E4" w14:textId="4F645B71" w:rsidR="00F7574F" w:rsidRPr="003D56B2" w:rsidRDefault="00F7574F" w:rsidP="00F7574F">
      <w:pPr>
        <w:pStyle w:val="Prrafodelista"/>
        <w:numPr>
          <w:ilvl w:val="0"/>
          <w:numId w:val="9"/>
        </w:numPr>
      </w:pPr>
      <w:r w:rsidRPr="003D56B2">
        <w:t>Para usuarios conectados a nivel</w:t>
      </w:r>
      <w:r w:rsidR="00A00C67">
        <w:t>es</w:t>
      </w:r>
      <w:r w:rsidRPr="003D56B2">
        <w:t xml:space="preserve"> de tensión 1 y 2 pasar de 1</w:t>
      </w:r>
      <w:r>
        <w:t>,</w:t>
      </w:r>
      <w:r w:rsidRPr="003D56B2">
        <w:t>00 a 0</w:t>
      </w:r>
      <w:r>
        <w:t>,</w:t>
      </w:r>
      <w:r w:rsidRPr="003D56B2">
        <w:t xml:space="preserve">90, es decir, considerar la migración de un consumo de reactivos de 0% (cobro por cualquier </w:t>
      </w:r>
      <w:proofErr w:type="spellStart"/>
      <w:r w:rsidRPr="003D56B2">
        <w:t>kVArh</w:t>
      </w:r>
      <w:proofErr w:type="spellEnd"/>
      <w:r w:rsidRPr="003D56B2">
        <w:t xml:space="preserve"> inyectado a la red) a</w:t>
      </w:r>
      <w:r>
        <w:t xml:space="preserve"> </w:t>
      </w:r>
      <w:r w:rsidR="00BA01A8">
        <w:t xml:space="preserve">cobro de </w:t>
      </w:r>
      <w:r>
        <w:t>los excesos sobre e</w:t>
      </w:r>
      <w:r w:rsidRPr="003D56B2">
        <w:t xml:space="preserve">l 50% respecto de la energía activa consumida. </w:t>
      </w:r>
    </w:p>
    <w:p w14:paraId="3A6999CE" w14:textId="3D1150AD" w:rsidR="00F7574F" w:rsidRPr="003D56B2" w:rsidRDefault="00F7574F" w:rsidP="00F7574F">
      <w:pPr>
        <w:pStyle w:val="Prrafodelista"/>
        <w:numPr>
          <w:ilvl w:val="0"/>
          <w:numId w:val="9"/>
        </w:numPr>
      </w:pPr>
      <w:r w:rsidRPr="003D56B2">
        <w:t>Para usuarios de niveles de tensión 3 y 4 pasar de 1</w:t>
      </w:r>
      <w:r>
        <w:t>,</w:t>
      </w:r>
      <w:r w:rsidRPr="003D56B2">
        <w:t>00 a 0</w:t>
      </w:r>
      <w:r>
        <w:t>,</w:t>
      </w:r>
      <w:r w:rsidRPr="003D56B2">
        <w:t xml:space="preserve">95, lo cual permitiría un transporte de reactivos capacitivos de hasta 33% respecto a la energía activa. </w:t>
      </w:r>
    </w:p>
    <w:p w14:paraId="003E376D" w14:textId="388E72D1" w:rsidR="00F7574F" w:rsidRPr="003D56B2" w:rsidRDefault="00F7574F" w:rsidP="00F7574F">
      <w:r w:rsidRPr="003D56B2">
        <w:t>Adicionalmente, se prop</w:t>
      </w:r>
      <w:r>
        <w:t>uso</w:t>
      </w:r>
      <w:r w:rsidRPr="003D56B2">
        <w:t xml:space="preserve"> que la evaluación de cumplimiento del factor de potencia se reali</w:t>
      </w:r>
      <w:r>
        <w:t>zara</w:t>
      </w:r>
      <w:r w:rsidRPr="003D56B2">
        <w:t xml:space="preserve"> mensualmente de tal manera que cualquier usuario tenga un factor de potencia dentro de los límites si la relación entre la energía reactiva (capacitiva o inductiva) y activa, medidas durante el mes se encuentra por debajo del límite (50% para niveles 1 y 2 y 33% para niveles 3 y 4)</w:t>
      </w:r>
      <w:r w:rsidR="00325BCE">
        <w:t>, independientemente de que el medidor tenga resolución horaria o no</w:t>
      </w:r>
      <w:r w:rsidRPr="003D56B2">
        <w:t>.</w:t>
      </w:r>
    </w:p>
    <w:p w14:paraId="6DE0FDED" w14:textId="7D93ABB7" w:rsidR="00F7574F" w:rsidRPr="003D56B2" w:rsidRDefault="00694A04" w:rsidP="00F7574F">
      <w:r>
        <w:lastRenderedPageBreak/>
        <w:t xml:space="preserve">Así, se propuso </w:t>
      </w:r>
      <w:r w:rsidR="00F7574F" w:rsidRPr="003D56B2">
        <w:t>implementar</w:t>
      </w:r>
      <w:r>
        <w:t xml:space="preserve"> la norma</w:t>
      </w:r>
      <w:r w:rsidR="00F7574F" w:rsidRPr="003D56B2">
        <w:t xml:space="preserve"> mediante una modificación al numeral 4.2.4 del reglamento de distribución establecido en la Resolución CREG 070 de 1998, que contiene, entre otros, los diversos aspectos operativos del sistema de distribución</w:t>
      </w:r>
      <w:r>
        <w:t xml:space="preserve"> vigentes</w:t>
      </w:r>
      <w:r w:rsidR="00F7574F" w:rsidRPr="003D56B2">
        <w:t>.</w:t>
      </w:r>
    </w:p>
    <w:p w14:paraId="6360CEA0" w14:textId="7D5D1236" w:rsidR="00F7574F" w:rsidRDefault="00F7574F" w:rsidP="00F7574F">
      <w:r w:rsidRPr="003D56B2">
        <w:t>De esta manera, se elimina</w:t>
      </w:r>
      <w:r w:rsidR="003D2C34">
        <w:t>ría</w:t>
      </w:r>
      <w:r w:rsidRPr="003D56B2">
        <w:t xml:space="preserve"> el cobro por transporte de energía reactiva capacitiva para los usuarios que tengan un factor de potencia calculado mensualmente dentro de los límites propuestos. Igualmente, </w:t>
      </w:r>
      <w:r w:rsidR="003D2C34">
        <w:t xml:space="preserve">dado </w:t>
      </w:r>
      <w:r w:rsidRPr="003D56B2">
        <w:t>que la propuesta modifica</w:t>
      </w:r>
      <w:r w:rsidR="003D2C34">
        <w:t>ría</w:t>
      </w:r>
      <w:r w:rsidRPr="003D56B2">
        <w:t xml:space="preserve"> el límite del factor de potencia capacitivo, la variable M del capítulo 12 de la Resolución CREG 015 de 2018 no aplicaría a aquellos usuarios que se encuentren dentro de los nuevos límites del factor de potencia</w:t>
      </w:r>
      <w:r>
        <w:t>, salvo que ya tuviesen un factor distinto a uno, caso en el cual, para los usuarios que se encuentren en la franja de tolerancia, dicho factor desaparecer</w:t>
      </w:r>
      <w:r w:rsidR="000B2FC6">
        <w:t>ía</w:t>
      </w:r>
      <w:r>
        <w:t xml:space="preserve"> tres meses posteriores al hecho de no registrar energía reactiva en exceso sobre el límite</w:t>
      </w:r>
      <w:r w:rsidRPr="003D56B2">
        <w:t>.</w:t>
      </w:r>
    </w:p>
    <w:p w14:paraId="21F8F88C" w14:textId="4312EFA3" w:rsidR="006374AE" w:rsidRPr="003D56B2" w:rsidRDefault="0096445A" w:rsidP="00E75EB2">
      <w:r>
        <w:t>El proyecto se sometió a una etapa</w:t>
      </w:r>
      <w:r w:rsidR="00F36628" w:rsidRPr="003D56B2">
        <w:t xml:space="preserve"> de consulta pública </w:t>
      </w:r>
      <w:r>
        <w:t xml:space="preserve">mediante </w:t>
      </w:r>
      <w:r w:rsidR="000C71D7">
        <w:t xml:space="preserve">el Documento </w:t>
      </w:r>
      <w:r>
        <w:t xml:space="preserve">CREG 701 017 de 2023 y </w:t>
      </w:r>
      <w:r w:rsidR="00F36628" w:rsidRPr="003D56B2">
        <w:t xml:space="preserve">se </w:t>
      </w:r>
      <w:r w:rsidR="00AE6D36" w:rsidRPr="003D56B2">
        <w:t>efectuaron</w:t>
      </w:r>
      <w:r w:rsidR="00E75EB2" w:rsidRPr="003D56B2">
        <w:t xml:space="preserve"> las siguientes actividades: </w:t>
      </w:r>
    </w:p>
    <w:p w14:paraId="2D545D88" w14:textId="205DA3AE" w:rsidR="003D56B2" w:rsidRPr="003D56B2" w:rsidRDefault="005A42BE" w:rsidP="00826981">
      <w:pPr>
        <w:pStyle w:val="Prrafodelista"/>
        <w:numPr>
          <w:ilvl w:val="0"/>
          <w:numId w:val="6"/>
        </w:numPr>
      </w:pPr>
      <w:r>
        <w:t>T</w:t>
      </w:r>
      <w:r w:rsidR="003D56B2" w:rsidRPr="003D56B2">
        <w:t>alleres de divulgación con usuarios interesados y operadores de red.</w:t>
      </w:r>
    </w:p>
    <w:p w14:paraId="6C14AD71" w14:textId="0A172EBF" w:rsidR="005C5204" w:rsidRPr="003D56B2" w:rsidRDefault="007E4532" w:rsidP="00826981">
      <w:pPr>
        <w:pStyle w:val="Prrafodelista"/>
        <w:numPr>
          <w:ilvl w:val="0"/>
          <w:numId w:val="6"/>
        </w:numPr>
      </w:pPr>
      <w:r w:rsidRPr="003D56B2">
        <w:t>Publica</w:t>
      </w:r>
      <w:r w:rsidR="005A42BE">
        <w:t>ción de</w:t>
      </w:r>
      <w:r w:rsidRPr="003D56B2">
        <w:t xml:space="preserve"> la</w:t>
      </w:r>
      <w:r w:rsidR="00E75EB2" w:rsidRPr="003D56B2">
        <w:t xml:space="preserve"> propuesta </w:t>
      </w:r>
      <w:r w:rsidRPr="003D56B2">
        <w:t xml:space="preserve">a consulta durante </w:t>
      </w:r>
      <w:r w:rsidR="00E75EB2" w:rsidRPr="003D56B2">
        <w:t>30 días</w:t>
      </w:r>
      <w:r w:rsidR="00394B1A" w:rsidRPr="003D56B2">
        <w:t xml:space="preserve"> calendario</w:t>
      </w:r>
      <w:r w:rsidR="00F82318" w:rsidRPr="003D56B2">
        <w:t xml:space="preserve">. </w:t>
      </w:r>
      <w:r w:rsidR="003D56B2" w:rsidRPr="003D56B2">
        <w:t>Se recibieron comentarios hasta el 3 de septiembre de 2023.</w:t>
      </w:r>
    </w:p>
    <w:p w14:paraId="5275FAA9" w14:textId="15EFE221" w:rsidR="00E75EB2" w:rsidRPr="003D56B2" w:rsidRDefault="00C36064" w:rsidP="00826981">
      <w:pPr>
        <w:pStyle w:val="Prrafodelista"/>
        <w:numPr>
          <w:ilvl w:val="0"/>
          <w:numId w:val="6"/>
        </w:numPr>
      </w:pPr>
      <w:r w:rsidRPr="003D56B2">
        <w:t>Solicit</w:t>
      </w:r>
      <w:r w:rsidR="005A42BE">
        <w:t>ud de</w:t>
      </w:r>
      <w:r w:rsidRPr="003D56B2">
        <w:t xml:space="preserve"> concepto </w:t>
      </w:r>
      <w:r w:rsidR="00E75EB2" w:rsidRPr="003D56B2">
        <w:t>al Consejo Nacional de Operación</w:t>
      </w:r>
      <w:r w:rsidRPr="003D56B2">
        <w:t xml:space="preserve"> en relación con </w:t>
      </w:r>
      <w:r w:rsidR="00AB34E6" w:rsidRPr="003D56B2">
        <w:rPr>
          <w:rFonts w:eastAsia="MS Mincho"/>
        </w:rPr>
        <w:t xml:space="preserve">posibles efectos sobre la operación de la red que puedan causarse por </w:t>
      </w:r>
      <w:r w:rsidR="003B342A" w:rsidRPr="003D56B2">
        <w:rPr>
          <w:rFonts w:eastAsia="MS Mincho"/>
        </w:rPr>
        <w:t>la</w:t>
      </w:r>
      <w:r w:rsidR="00AB34E6" w:rsidRPr="003D56B2">
        <w:rPr>
          <w:rFonts w:eastAsia="MS Mincho"/>
        </w:rPr>
        <w:t xml:space="preserve"> modificación al factor de potencia para la energía reactiva capacitiva</w:t>
      </w:r>
      <w:r w:rsidR="006C4C35" w:rsidRPr="003D56B2">
        <w:t>,</w:t>
      </w:r>
      <w:r w:rsidR="003B342A" w:rsidRPr="003D56B2">
        <w:t xml:space="preserve"> </w:t>
      </w:r>
      <w:r w:rsidR="00E75EB2" w:rsidRPr="003D56B2">
        <w:t xml:space="preserve">dado que se modifica el Reglamento de Distribución </w:t>
      </w:r>
      <w:r w:rsidR="00F62177" w:rsidRPr="003D56B2">
        <w:t>establecido</w:t>
      </w:r>
      <w:r w:rsidR="00E75EB2" w:rsidRPr="003D56B2">
        <w:t xml:space="preserve"> en la Resolución 070 de 1998.</w:t>
      </w:r>
      <w:r w:rsidR="008F3BE8" w:rsidRPr="003D56B2">
        <w:t xml:space="preserve"> Lo anterior, en atención a lo dispuesto en el </w:t>
      </w:r>
      <w:r w:rsidR="003305B2" w:rsidRPr="003D56B2">
        <w:t>literal i del artículo 23 de la Ley 143 de 1994.</w:t>
      </w:r>
    </w:p>
    <w:p w14:paraId="1014DC23" w14:textId="0228C9C7" w:rsidR="003D56B2" w:rsidRPr="003D56B2" w:rsidRDefault="003D56B2" w:rsidP="003D56B2">
      <w:r w:rsidRPr="003D56B2">
        <w:t xml:space="preserve">A </w:t>
      </w:r>
      <w:proofErr w:type="gramStart"/>
      <w:r w:rsidRPr="003D56B2">
        <w:t>continuación</w:t>
      </w:r>
      <w:proofErr w:type="gramEnd"/>
      <w:r w:rsidRPr="003D56B2">
        <w:t xml:space="preserve"> se presenta con más detalle cada etapa del proceso de consulta:</w:t>
      </w:r>
    </w:p>
    <w:p w14:paraId="3D76C0DC" w14:textId="1803D614" w:rsidR="003D56B2" w:rsidRPr="003D56B2" w:rsidRDefault="003D56B2" w:rsidP="009626D9">
      <w:pPr>
        <w:pStyle w:val="Ttulo2"/>
      </w:pPr>
      <w:bookmarkStart w:id="27" w:name="_Ref147169930"/>
      <w:bookmarkStart w:id="28" w:name="_Toc157689790"/>
      <w:r w:rsidRPr="003D56B2">
        <w:t>Divulgación de la propuesta</w:t>
      </w:r>
      <w:bookmarkEnd w:id="27"/>
      <w:bookmarkEnd w:id="28"/>
    </w:p>
    <w:p w14:paraId="3315B9DE" w14:textId="2294B933" w:rsidR="003D56B2" w:rsidRPr="003D56B2" w:rsidRDefault="003D56B2" w:rsidP="003D56B2">
      <w:r w:rsidRPr="003D56B2">
        <w:t xml:space="preserve">Con el fin de efectuar una completa divulgación de la propuesta regulatoria tratada en el presente documento y con el fin de recoger, de primera mano, experiencias en torno al cobro de energía reactiva en el país para que sirvan como insumo en los distintos análisis a realizar por parte de la CREG, bien sean como parte de los comentarios a la propuesta regulatoria en consulta o con miras a la revisión integral del tema conforme el proceso de revisión de la metodología de distribución de energía eléctrica para el próximo periodo tarifario, se </w:t>
      </w:r>
      <w:r>
        <w:t>llevaron a cabo</w:t>
      </w:r>
      <w:r w:rsidRPr="003D56B2">
        <w:t xml:space="preserve"> talleres con operadores de red y acercamientos con la comunidad</w:t>
      </w:r>
      <w:r w:rsidR="0096445A">
        <w:t xml:space="preserve"> de la siguiente manera:</w:t>
      </w:r>
    </w:p>
    <w:p w14:paraId="3D9A107A" w14:textId="67F2CF96" w:rsidR="003D56B2" w:rsidRPr="003D56B2" w:rsidRDefault="003D56B2" w:rsidP="00826981">
      <w:pPr>
        <w:pStyle w:val="Prrafodelista"/>
        <w:numPr>
          <w:ilvl w:val="0"/>
          <w:numId w:val="11"/>
        </w:numPr>
      </w:pPr>
      <w:r w:rsidRPr="003D56B2">
        <w:t>En Bucaramanga, el 28 de agosto de 2023 en la Universidad Industrial de Santander. Se presentó la propuesta</w:t>
      </w:r>
      <w:r w:rsidR="00F32EA9">
        <w:t>,</w:t>
      </w:r>
      <w:r w:rsidRPr="003D56B2">
        <w:t xml:space="preserve"> se </w:t>
      </w:r>
      <w:r w:rsidR="00700A22">
        <w:t>presenció</w:t>
      </w:r>
      <w:r w:rsidR="00915838">
        <w:t xml:space="preserve"> una presentación académica </w:t>
      </w:r>
      <w:r w:rsidRPr="003D56B2">
        <w:t xml:space="preserve">y </w:t>
      </w:r>
      <w:r w:rsidR="00F32EA9">
        <w:t xml:space="preserve">se escucharon </w:t>
      </w:r>
      <w:r w:rsidRPr="003D56B2">
        <w:t>casos presentados por algunas empresas y usuarios.</w:t>
      </w:r>
    </w:p>
    <w:p w14:paraId="5A76EBB7" w14:textId="1DC6085D" w:rsidR="003D56B2" w:rsidRPr="003D56B2" w:rsidRDefault="003D56B2" w:rsidP="00826981">
      <w:pPr>
        <w:pStyle w:val="Prrafodelista"/>
        <w:numPr>
          <w:ilvl w:val="0"/>
          <w:numId w:val="11"/>
        </w:numPr>
      </w:pPr>
      <w:r w:rsidRPr="003D56B2">
        <w:t>En Bogotá, el 28 de agosto de 2023 desde las oficinas de la C</w:t>
      </w:r>
      <w:r w:rsidR="008C44D0">
        <w:t>REG</w:t>
      </w:r>
      <w:r w:rsidRPr="003D56B2">
        <w:t xml:space="preserve"> se realizó un taller</w:t>
      </w:r>
      <w:r w:rsidR="008C44D0">
        <w:t>,</w:t>
      </w:r>
      <w:r w:rsidRPr="003D56B2">
        <w:t xml:space="preserve"> transmitido por el canal de YouTube de la Comisión, en el que se explicó la propuesta y se atendieron consultas e inquietudes de los asistentes.</w:t>
      </w:r>
    </w:p>
    <w:p w14:paraId="1F3DBA14" w14:textId="513BA9E8" w:rsidR="003D56B2" w:rsidRPr="003D56B2" w:rsidRDefault="003D56B2" w:rsidP="00826981">
      <w:pPr>
        <w:pStyle w:val="Prrafodelista"/>
        <w:numPr>
          <w:ilvl w:val="0"/>
          <w:numId w:val="11"/>
        </w:numPr>
      </w:pPr>
      <w:r w:rsidRPr="003D56B2">
        <w:t>En Bogotá, el 29 de agosto de 2023 se realizaron talleres presenciales en las oficinas de la Comisión con los operadores de red</w:t>
      </w:r>
      <w:r w:rsidR="008C44D0">
        <w:t>,</w:t>
      </w:r>
      <w:r w:rsidRPr="003D56B2">
        <w:t xml:space="preserve"> separados en tres grupos de acuerdo con el tamaño del mercado atendido</w:t>
      </w:r>
      <w:r w:rsidR="00700A22">
        <w:t>, donde igualmente fueron absueltas algunas inquietudes</w:t>
      </w:r>
      <w:r w:rsidRPr="003D56B2">
        <w:t>.</w:t>
      </w:r>
    </w:p>
    <w:p w14:paraId="793B6E9C" w14:textId="78F2061D" w:rsidR="00073318" w:rsidRDefault="003D56B2" w:rsidP="00826981">
      <w:pPr>
        <w:pStyle w:val="Prrafodelista"/>
        <w:numPr>
          <w:ilvl w:val="0"/>
          <w:numId w:val="11"/>
        </w:numPr>
      </w:pPr>
      <w:r w:rsidRPr="003D56B2">
        <w:lastRenderedPageBreak/>
        <w:t xml:space="preserve">En Medellín, el 1 de septiembre de 2023 </w:t>
      </w:r>
      <w:r w:rsidR="00073318">
        <w:t>se presentó el tema y se escuchó la presentación del estudio presentado por el Comité Asesor</w:t>
      </w:r>
      <w:r w:rsidRPr="003D56B2">
        <w:t xml:space="preserve"> de </w:t>
      </w:r>
      <w:r w:rsidR="00073318">
        <w:t>Comercialización</w:t>
      </w:r>
      <w:r w:rsidR="00692D76">
        <w:t>,</w:t>
      </w:r>
      <w:r w:rsidR="00073318">
        <w:t xml:space="preserve"> </w:t>
      </w:r>
      <w:r w:rsidR="00CB106D">
        <w:t>se escucharon pronunciamientos por parte de usuarios</w:t>
      </w:r>
      <w:r w:rsidR="00073318">
        <w:t xml:space="preserve"> </w:t>
      </w:r>
      <w:r w:rsidR="00692D76">
        <w:t xml:space="preserve">y se realizó una reunión con </w:t>
      </w:r>
      <w:r w:rsidR="003C2165">
        <w:t xml:space="preserve">un prestador del servicio donde se presentaron aspectos prácticos del consumo de energía reactiva </w:t>
      </w:r>
      <w:r w:rsidR="00DF7856">
        <w:t xml:space="preserve">y el registro medido según la conexión de algunas cargas al sistema. </w:t>
      </w:r>
    </w:p>
    <w:p w14:paraId="460351C5" w14:textId="75337C7B" w:rsidR="006005F2" w:rsidRPr="008D41DE" w:rsidRDefault="006005F2" w:rsidP="006706A2">
      <w:pPr>
        <w:keepNext/>
        <w:rPr>
          <w:b/>
          <w:bCs w:val="0"/>
          <w:i/>
          <w:iCs/>
        </w:rPr>
      </w:pPr>
      <w:r w:rsidRPr="008D41DE">
        <w:rPr>
          <w:b/>
          <w:bCs w:val="0"/>
          <w:i/>
          <w:iCs/>
        </w:rPr>
        <w:t>Bucaramanga</w:t>
      </w:r>
    </w:p>
    <w:p w14:paraId="38067E1C" w14:textId="77777777" w:rsidR="00374423" w:rsidRDefault="0047087B" w:rsidP="001D0E4C">
      <w:r>
        <w:t xml:space="preserve">De la presentación realizada por </w:t>
      </w:r>
      <w:r w:rsidR="006706A2">
        <w:t>personal académico</w:t>
      </w:r>
      <w:r>
        <w:t xml:space="preserve"> de la UIS, </w:t>
      </w:r>
      <w:r w:rsidR="00E4331D">
        <w:t xml:space="preserve">se destaca el tratamiento conceptual para </w:t>
      </w:r>
      <w:r w:rsidR="00205340">
        <w:t xml:space="preserve">el transporte de energía en dos </w:t>
      </w:r>
      <w:r w:rsidR="00FB340F">
        <w:t>tipos principales: energía útil y energía no útil.</w:t>
      </w:r>
      <w:r w:rsidR="00BF71D9">
        <w:t xml:space="preserve"> </w:t>
      </w:r>
    </w:p>
    <w:p w14:paraId="40D6E481" w14:textId="35812F75" w:rsidR="00BF71D9" w:rsidRDefault="00BF71D9" w:rsidP="001D0E4C">
      <w:r>
        <w:t xml:space="preserve">A </w:t>
      </w:r>
      <w:proofErr w:type="gramStart"/>
      <w:r>
        <w:t>continuación</w:t>
      </w:r>
      <w:proofErr w:type="gramEnd"/>
      <w:r>
        <w:t xml:space="preserve"> se resumen los aspectos revisados en dicha oportunidad:</w:t>
      </w:r>
    </w:p>
    <w:p w14:paraId="48ACBCF6" w14:textId="17F7D011" w:rsidR="00896625" w:rsidRDefault="0068075F" w:rsidP="002461EA">
      <w:pPr>
        <w:pStyle w:val="Prrafodelista"/>
        <w:numPr>
          <w:ilvl w:val="0"/>
          <w:numId w:val="14"/>
        </w:numPr>
        <w:ind w:left="284" w:hanging="284"/>
      </w:pPr>
      <w:r>
        <w:t>La energía útil mantiene la definición tradicional y es aquella capaz de producir trabajo</w:t>
      </w:r>
      <w:r w:rsidR="00896625">
        <w:t>,</w:t>
      </w:r>
      <w:r w:rsidR="00D86EC5">
        <w:t xml:space="preserve"> que se mide</w:t>
      </w:r>
      <w:r w:rsidR="00896625">
        <w:t xml:space="preserve"> normalmente</w:t>
      </w:r>
      <w:r w:rsidR="00D86EC5">
        <w:t xml:space="preserve"> </w:t>
      </w:r>
      <w:r w:rsidR="00896625">
        <w:t xml:space="preserve">en kWh, </w:t>
      </w:r>
      <w:r w:rsidR="00D86EC5">
        <w:t>y</w:t>
      </w:r>
      <w:r w:rsidR="00896625">
        <w:t xml:space="preserve"> que se</w:t>
      </w:r>
      <w:r w:rsidR="00D86EC5">
        <w:t xml:space="preserve"> factura </w:t>
      </w:r>
      <w:r w:rsidR="00896625">
        <w:t xml:space="preserve">a los usuarios. </w:t>
      </w:r>
    </w:p>
    <w:p w14:paraId="2BD4F2C3" w14:textId="5B981105" w:rsidR="00896625" w:rsidRDefault="00896625" w:rsidP="002461EA">
      <w:pPr>
        <w:pStyle w:val="Prrafodelista"/>
        <w:numPr>
          <w:ilvl w:val="0"/>
          <w:numId w:val="14"/>
        </w:numPr>
        <w:ind w:left="284" w:hanging="284"/>
      </w:pPr>
      <w:r>
        <w:t xml:space="preserve">Por </w:t>
      </w:r>
      <w:r w:rsidR="008E75AD">
        <w:t>su parte</w:t>
      </w:r>
      <w:r>
        <w:t xml:space="preserve">, la energía no útil es aquella </w:t>
      </w:r>
      <w:r w:rsidR="00FE377F">
        <w:t xml:space="preserve">que se presenta por distintos fenómenos eléctricos en la red y no produce trabajo, sino que </w:t>
      </w:r>
      <w:r w:rsidR="00BC2868">
        <w:t>solamente ocupa una porción de la capacidad de transporte de energía de las redes</w:t>
      </w:r>
      <w:r w:rsidR="00310729">
        <w:t xml:space="preserve"> e incrementa las pérdidas por efecto Joule</w:t>
      </w:r>
      <w:r w:rsidR="005345B3">
        <w:t xml:space="preserve"> (calentamiento)</w:t>
      </w:r>
      <w:r w:rsidR="00BC2868">
        <w:t>.</w:t>
      </w:r>
      <w:r w:rsidR="009919AF">
        <w:t xml:space="preserve"> De acuerdo con la explicación </w:t>
      </w:r>
      <w:r w:rsidR="00D06A6F">
        <w:t>ofrecida</w:t>
      </w:r>
      <w:r w:rsidR="009919AF">
        <w:t xml:space="preserve">, </w:t>
      </w:r>
      <w:r w:rsidR="0003125A">
        <w:t xml:space="preserve">pueden presentarse tres fenómenos principales que </w:t>
      </w:r>
      <w:r w:rsidR="00864A20">
        <w:t xml:space="preserve">conforman la energía no útil: i) la energía reactiva, </w:t>
      </w:r>
      <w:proofErr w:type="spellStart"/>
      <w:r w:rsidR="00864A20">
        <w:t>ii</w:t>
      </w:r>
      <w:proofErr w:type="spellEnd"/>
      <w:r w:rsidR="00864A20">
        <w:t xml:space="preserve">) la distorsión armónica y </w:t>
      </w:r>
      <w:proofErr w:type="spellStart"/>
      <w:r w:rsidR="00864A20">
        <w:t>iii</w:t>
      </w:r>
      <w:proofErr w:type="spellEnd"/>
      <w:r w:rsidR="00864A20">
        <w:t xml:space="preserve">) el desbalance de tensión. </w:t>
      </w:r>
    </w:p>
    <w:p w14:paraId="06CE9066" w14:textId="624B6D79" w:rsidR="00433E15" w:rsidRDefault="00433E15" w:rsidP="002461EA">
      <w:pPr>
        <w:pStyle w:val="Prrafodelista"/>
        <w:numPr>
          <w:ilvl w:val="0"/>
          <w:numId w:val="14"/>
        </w:numPr>
        <w:ind w:left="284" w:hanging="284"/>
      </w:pPr>
      <w:r>
        <w:t xml:space="preserve">En relación con la energía reactiva, </w:t>
      </w:r>
      <w:r w:rsidR="00B0635C">
        <w:t xml:space="preserve">esta </w:t>
      </w:r>
      <w:r w:rsidR="00434B53">
        <w:t xml:space="preserve">hace relación al fenómeno </w:t>
      </w:r>
      <w:r w:rsidR="005C537A">
        <w:t xml:space="preserve">que ya se ha incorporado en la regulación y es causado por los campos electromagnéticos </w:t>
      </w:r>
      <w:r w:rsidR="001C4521">
        <w:t>requeridos</w:t>
      </w:r>
      <w:r w:rsidR="005C537A">
        <w:t xml:space="preserve"> por las máquinas eléctricas</w:t>
      </w:r>
      <w:r w:rsidR="001C4521">
        <w:t>, principalmente motores, para su funcionamiento.</w:t>
      </w:r>
    </w:p>
    <w:p w14:paraId="713EE5A9" w14:textId="453D106A" w:rsidR="00E4043E" w:rsidRDefault="00E4043E" w:rsidP="002461EA">
      <w:pPr>
        <w:pStyle w:val="Prrafodelista"/>
        <w:numPr>
          <w:ilvl w:val="0"/>
          <w:numId w:val="14"/>
        </w:numPr>
        <w:ind w:left="284" w:hanging="284"/>
      </w:pPr>
      <w:r>
        <w:t xml:space="preserve">La distorsión armónica se presenta principalmente en las </w:t>
      </w:r>
      <w:r w:rsidR="001D78D8">
        <w:t xml:space="preserve">señales de corriente </w:t>
      </w:r>
      <w:r w:rsidR="006D32B1">
        <w:t>y hace parte de</w:t>
      </w:r>
      <w:r w:rsidR="00E94BFE">
        <w:t>l tema conocido como calidad de la energía o calidad de la potencia.</w:t>
      </w:r>
      <w:r w:rsidR="00284D61">
        <w:t xml:space="preserve"> Es causada por </w:t>
      </w:r>
      <w:r w:rsidR="008D26C4">
        <w:t xml:space="preserve">el funcionamiento de equipos con electrónica de potencia </w:t>
      </w:r>
      <w:r w:rsidR="003F6F4B">
        <w:t>que introducen a la red armónicos de la frecuencia base</w:t>
      </w:r>
      <w:r w:rsidR="00B74744">
        <w:rPr>
          <w:rStyle w:val="Refdenotaalpie"/>
        </w:rPr>
        <w:footnoteReference w:id="13"/>
      </w:r>
      <w:r w:rsidR="00E61D4B">
        <w:t xml:space="preserve"> que distorsionan o deforman la ond</w:t>
      </w:r>
      <w:r w:rsidR="00316BF4">
        <w:t>a de corriente, inicialmente senoidal</w:t>
      </w:r>
      <w:r w:rsidR="003F6F4B">
        <w:t>,</w:t>
      </w:r>
      <w:r w:rsidR="007A53B2">
        <w:t xml:space="preserve"> ocasionan u</w:t>
      </w:r>
      <w:r w:rsidR="001472EA">
        <w:t>na disminución del factor de potencia y por tanto de la energía útil</w:t>
      </w:r>
      <w:r w:rsidR="00A03AB2">
        <w:t xml:space="preserve"> que puede transportarse.</w:t>
      </w:r>
      <w:r w:rsidR="00EB5DB5">
        <w:t xml:space="preserve"> Adicionalmente pueden tener también efectos de interferencia en las comunicaciones PLC</w:t>
      </w:r>
      <w:r w:rsidR="00EB5DB5">
        <w:rPr>
          <w:rStyle w:val="Refdenotaalpie"/>
        </w:rPr>
        <w:footnoteReference w:id="14"/>
      </w:r>
      <w:r w:rsidR="003F6F4B">
        <w:t xml:space="preserve"> </w:t>
      </w:r>
      <w:r w:rsidR="00360BE9">
        <w:t>que pueden utilizar algunos aparatos electrónicos</w:t>
      </w:r>
      <w:r w:rsidR="00604A55">
        <w:t>.</w:t>
      </w:r>
    </w:p>
    <w:p w14:paraId="3D62736F" w14:textId="564C0836" w:rsidR="0033395B" w:rsidRDefault="0033395B" w:rsidP="002461EA">
      <w:pPr>
        <w:pStyle w:val="Prrafodelista"/>
        <w:numPr>
          <w:ilvl w:val="0"/>
          <w:numId w:val="14"/>
        </w:numPr>
        <w:ind w:left="284" w:hanging="284"/>
      </w:pPr>
      <w:r>
        <w:t xml:space="preserve">Finalmente, </w:t>
      </w:r>
      <w:r w:rsidR="007523C5">
        <w:t xml:space="preserve">el desbalance de tensión también es un fenómeno que puede </w:t>
      </w:r>
      <w:r w:rsidR="000622A0">
        <w:t>impactar</w:t>
      </w:r>
      <w:r w:rsidR="007523C5">
        <w:t xml:space="preserve"> el factor de potencia de una carga, causado por la distribución asimétrica de las cargas entre las diferentes fases de alimentación.</w:t>
      </w:r>
      <w:r w:rsidR="00562785">
        <w:t xml:space="preserve"> </w:t>
      </w:r>
      <w:r w:rsidR="00B8217C">
        <w:t xml:space="preserve">En este sentido, </w:t>
      </w:r>
      <w:r w:rsidR="009862A9">
        <w:t xml:space="preserve">se pueden presentar también mediciones </w:t>
      </w:r>
      <w:r w:rsidR="00BF0B12">
        <w:t>que no reflej</w:t>
      </w:r>
      <w:r w:rsidR="00607074">
        <w:t>e</w:t>
      </w:r>
      <w:r w:rsidR="00BF0B12">
        <w:t xml:space="preserve">n la realidad dependiendo del tipo de medidor </w:t>
      </w:r>
      <w:r w:rsidR="00607074">
        <w:t>y los algoritmos utilizados para el caso de medidores digitales.</w:t>
      </w:r>
    </w:p>
    <w:p w14:paraId="2EADEAC1" w14:textId="32647409" w:rsidR="005F0E5B" w:rsidRDefault="0020700C" w:rsidP="002461EA">
      <w:pPr>
        <w:pStyle w:val="Prrafodelista"/>
        <w:numPr>
          <w:ilvl w:val="0"/>
          <w:numId w:val="14"/>
        </w:numPr>
        <w:ind w:left="284" w:hanging="284"/>
      </w:pPr>
      <w:r>
        <w:t xml:space="preserve">En </w:t>
      </w:r>
      <w:r w:rsidR="00B60932">
        <w:t xml:space="preserve">relación con lo anterior, </w:t>
      </w:r>
      <w:r w:rsidR="008163EE">
        <w:t xml:space="preserve">se expresó que </w:t>
      </w:r>
      <w:r w:rsidR="00E9317F">
        <w:t>la Comisión debe</w:t>
      </w:r>
      <w:r w:rsidR="008163EE">
        <w:t>ría</w:t>
      </w:r>
      <w:r w:rsidR="00E9317F">
        <w:t xml:space="preserve"> analizar con mayor profundidad cuál debe</w:t>
      </w:r>
      <w:r w:rsidR="00096776">
        <w:t>ría</w:t>
      </w:r>
      <w:r w:rsidR="00E9317F">
        <w:t xml:space="preserve"> ser el tratamiento regulatorio para la energía </w:t>
      </w:r>
      <w:r w:rsidR="000461FA">
        <w:t>útil y la energía no útil, buscando un equilibrio</w:t>
      </w:r>
      <w:r w:rsidR="00740E6E">
        <w:t xml:space="preserve"> entre la practicidad que otorga un modelo simplificado y </w:t>
      </w:r>
      <w:r w:rsidR="006A0FBF">
        <w:t>las ventajas en exactitud que puede</w:t>
      </w:r>
      <w:r w:rsidR="00611774">
        <w:t>n</w:t>
      </w:r>
      <w:r w:rsidR="006A0FBF">
        <w:t xml:space="preserve"> aportar un tratamiento más complejo de los fenómenos eléctricos para efectos de la remuneración tanto a las empresas que hacen parte de la cadena de prestación del servicio como del valor a pagar por parte de los usuarios</w:t>
      </w:r>
      <w:r>
        <w:t xml:space="preserve">. </w:t>
      </w:r>
    </w:p>
    <w:p w14:paraId="6777E4B4" w14:textId="53392EAF" w:rsidR="0020700C" w:rsidRDefault="007837B7" w:rsidP="0020700C">
      <w:r>
        <w:lastRenderedPageBreak/>
        <w:t xml:space="preserve">En este sentido, </w:t>
      </w:r>
      <w:r w:rsidR="005F0E5B">
        <w:t xml:space="preserve">aunque algunos de estos conceptos </w:t>
      </w:r>
      <w:r w:rsidR="002E495B">
        <w:t xml:space="preserve">se </w:t>
      </w:r>
      <w:r w:rsidR="005F0E5B">
        <w:t xml:space="preserve">encuentran fuera </w:t>
      </w:r>
      <w:r w:rsidR="002E495B">
        <w:t>del alcance del presente proyecto</w:t>
      </w:r>
      <w:r w:rsidR="000C2A04">
        <w:t>,</w:t>
      </w:r>
      <w:r w:rsidR="002E495B">
        <w:t xml:space="preserve"> </w:t>
      </w:r>
      <w:r w:rsidR="005F0E5B">
        <w:t xml:space="preserve">podrá </w:t>
      </w:r>
      <w:r w:rsidR="002E495B">
        <w:t xml:space="preserve">ser analizado </w:t>
      </w:r>
      <w:r w:rsidR="00B02FEF">
        <w:t xml:space="preserve">con mayor detalle </w:t>
      </w:r>
      <w:r w:rsidR="002E495B">
        <w:t xml:space="preserve">por la Comisión </w:t>
      </w:r>
      <w:r w:rsidR="0095784A">
        <w:t>cuando se revisen los tema</w:t>
      </w:r>
      <w:r w:rsidR="005F0E5B">
        <w:t>s respectivos.</w:t>
      </w:r>
    </w:p>
    <w:p w14:paraId="551A4BE7" w14:textId="45F190B3" w:rsidR="006005F2" w:rsidRPr="00144AF2" w:rsidRDefault="006005F2" w:rsidP="006005F2">
      <w:pPr>
        <w:rPr>
          <w:b/>
          <w:bCs w:val="0"/>
          <w:i/>
          <w:iCs/>
        </w:rPr>
      </w:pPr>
      <w:r>
        <w:rPr>
          <w:b/>
          <w:bCs w:val="0"/>
          <w:i/>
          <w:iCs/>
        </w:rPr>
        <w:t>Medellín</w:t>
      </w:r>
    </w:p>
    <w:p w14:paraId="01D09C65" w14:textId="59156A37" w:rsidR="00ED7292" w:rsidRDefault="00385993" w:rsidP="0020700C">
      <w:r>
        <w:t xml:space="preserve">En </w:t>
      </w:r>
      <w:r w:rsidR="00DD6FB2">
        <w:t>una de las</w:t>
      </w:r>
      <w:r>
        <w:t xml:space="preserve"> jornada</w:t>
      </w:r>
      <w:r w:rsidR="00DD6FB2">
        <w:t>s</w:t>
      </w:r>
      <w:r>
        <w:t xml:space="preserve"> de divulgación </w:t>
      </w:r>
      <w:r w:rsidR="00DD6FB2">
        <w:t xml:space="preserve">en Medellín, </w:t>
      </w:r>
      <w:r w:rsidR="001910DF">
        <w:t>los representantes</w:t>
      </w:r>
      <w:r w:rsidR="00DD6FB2">
        <w:t xml:space="preserve"> </w:t>
      </w:r>
      <w:r w:rsidR="009C72F0">
        <w:t xml:space="preserve">de </w:t>
      </w:r>
      <w:r w:rsidR="001910DF">
        <w:t xml:space="preserve">un usuario no regulado </w:t>
      </w:r>
      <w:r w:rsidR="009C72F0">
        <w:t>realiz</w:t>
      </w:r>
      <w:r w:rsidR="001910DF">
        <w:t>aron</w:t>
      </w:r>
      <w:r w:rsidR="009C72F0">
        <w:t xml:space="preserve"> una presentación donde </w:t>
      </w:r>
      <w:r w:rsidR="002461EA">
        <w:t xml:space="preserve">se </w:t>
      </w:r>
      <w:r w:rsidR="009C72F0">
        <w:t>evidenci</w:t>
      </w:r>
      <w:r w:rsidR="00D50263">
        <w:t xml:space="preserve">ó </w:t>
      </w:r>
      <w:r w:rsidR="003A40BB">
        <w:t xml:space="preserve">el comportamiento del transporte de energía reactiva, el cual </w:t>
      </w:r>
      <w:r w:rsidR="009F5DD6">
        <w:t>sucedía</w:t>
      </w:r>
      <w:r w:rsidR="003A40BB">
        <w:t xml:space="preserve"> en todas las horas del </w:t>
      </w:r>
      <w:r w:rsidR="009F28E3">
        <w:t>día,</w:t>
      </w:r>
      <w:r w:rsidR="003A40BB">
        <w:t xml:space="preserve"> pero </w:t>
      </w:r>
      <w:r w:rsidR="009F5DD6">
        <w:t>con</w:t>
      </w:r>
      <w:r w:rsidR="003A40BB">
        <w:t xml:space="preserve"> picos </w:t>
      </w:r>
      <w:r w:rsidR="002461EA">
        <w:t xml:space="preserve">especialmente </w:t>
      </w:r>
      <w:r w:rsidR="003A40BB">
        <w:t xml:space="preserve">entre </w:t>
      </w:r>
      <w:r w:rsidR="009F5DD6">
        <w:t>las</w:t>
      </w:r>
      <w:r w:rsidR="003A40BB">
        <w:t xml:space="preserve"> 23</w:t>
      </w:r>
      <w:r w:rsidR="009F5DD6">
        <w:t>:00</w:t>
      </w:r>
      <w:r w:rsidR="003A40BB">
        <w:t xml:space="preserve"> y </w:t>
      </w:r>
      <w:r w:rsidR="009F5DD6">
        <w:t xml:space="preserve">las </w:t>
      </w:r>
      <w:r w:rsidR="003A40BB">
        <w:t>5</w:t>
      </w:r>
      <w:r w:rsidR="009F5DD6">
        <w:t>:00 horas</w:t>
      </w:r>
      <w:r w:rsidR="003A40BB">
        <w:t>.</w:t>
      </w:r>
      <w:r w:rsidR="00FE44CA">
        <w:t xml:space="preserve"> </w:t>
      </w:r>
      <w:r w:rsidR="007C333E">
        <w:t>Indica</w:t>
      </w:r>
      <w:r w:rsidR="004A05D4">
        <w:t xml:space="preserve">ron </w:t>
      </w:r>
      <w:r w:rsidR="007C333E">
        <w:t xml:space="preserve">que </w:t>
      </w:r>
      <w:r w:rsidR="004A05D4">
        <w:t xml:space="preserve">debido </w:t>
      </w:r>
      <w:r w:rsidR="00073FA7">
        <w:t xml:space="preserve">a los aspectos sobre el cobro del transporte </w:t>
      </w:r>
      <w:r w:rsidR="00493BFA">
        <w:t xml:space="preserve">de energía reactiva en exceso </w:t>
      </w:r>
      <w:r w:rsidR="00073FA7">
        <w:t xml:space="preserve">establecidos en la </w:t>
      </w:r>
      <w:r w:rsidR="00D50263" w:rsidRPr="00D50263">
        <w:t>Res</w:t>
      </w:r>
      <w:r w:rsidR="00D37D2C">
        <w:t>olución CREG</w:t>
      </w:r>
      <w:r w:rsidR="00D50263" w:rsidRPr="00D50263">
        <w:t xml:space="preserve"> 015 de 2018, en el 2020 realizaron cambio de medidores</w:t>
      </w:r>
      <w:r w:rsidR="00875BA6">
        <w:t xml:space="preserve"> y ese mismo año inici</w:t>
      </w:r>
      <w:r w:rsidR="00D37D2C">
        <w:t>ó</w:t>
      </w:r>
      <w:r w:rsidR="00875BA6">
        <w:t xml:space="preserve"> el cobro </w:t>
      </w:r>
      <w:r w:rsidR="00D37D2C">
        <w:t>de transporte de energía reactiva</w:t>
      </w:r>
      <w:r w:rsidR="00875BA6">
        <w:t xml:space="preserve"> </w:t>
      </w:r>
      <w:r w:rsidR="00ED7292">
        <w:t>capacitiva</w:t>
      </w:r>
      <w:r w:rsidR="004F0B28">
        <w:t xml:space="preserve">. </w:t>
      </w:r>
    </w:p>
    <w:p w14:paraId="42FC72F3" w14:textId="22486EFE" w:rsidR="00D50263" w:rsidRDefault="00874467" w:rsidP="0020700C">
      <w:r>
        <w:t>En</w:t>
      </w:r>
      <w:r w:rsidR="00E72B78">
        <w:t xml:space="preserve"> el año </w:t>
      </w:r>
      <w:r w:rsidR="00D50263" w:rsidRPr="00D50263">
        <w:t xml:space="preserve">2021 el factor M </w:t>
      </w:r>
      <w:r w:rsidR="00E871C6">
        <w:t>empezó a increme</w:t>
      </w:r>
      <w:r w:rsidR="00637927">
        <w:t>n</w:t>
      </w:r>
      <w:r w:rsidR="00E871C6">
        <w:t>tar</w:t>
      </w:r>
      <w:r w:rsidR="00D50263" w:rsidRPr="00D50263">
        <w:t xml:space="preserve"> hasta </w:t>
      </w:r>
      <w:r w:rsidR="00250227">
        <w:t xml:space="preserve">que llegó a un valor de </w:t>
      </w:r>
      <w:r w:rsidR="0020772E" w:rsidRPr="00D50263">
        <w:t>M=9</w:t>
      </w:r>
      <w:r w:rsidR="00406051">
        <w:t xml:space="preserve"> en julio de 2023</w:t>
      </w:r>
      <w:r w:rsidR="0020772E">
        <w:t xml:space="preserve">. </w:t>
      </w:r>
      <w:r w:rsidR="001A305D">
        <w:t>D</w:t>
      </w:r>
      <w:r w:rsidR="0020772E">
        <w:t>icho incremento en los cobros</w:t>
      </w:r>
      <w:r w:rsidR="00D50263" w:rsidRPr="00D50263">
        <w:t xml:space="preserve"> por transporte de energía reactiva en exceso </w:t>
      </w:r>
      <w:r w:rsidR="0008726F">
        <w:t xml:space="preserve">incentivó </w:t>
      </w:r>
      <w:r w:rsidR="00971E1A">
        <w:t xml:space="preserve">desde 2021 </w:t>
      </w:r>
      <w:r w:rsidR="00567BFB">
        <w:t>los estudios y contratación</w:t>
      </w:r>
      <w:r w:rsidR="00D50263" w:rsidRPr="00D50263">
        <w:t xml:space="preserve"> de un sistema de compensación dinámico de energía reactiva</w:t>
      </w:r>
      <w:r w:rsidR="00472F0A">
        <w:t>.</w:t>
      </w:r>
      <w:r w:rsidR="000133E9">
        <w:t xml:space="preserve"> </w:t>
      </w:r>
    </w:p>
    <w:p w14:paraId="4D7F2827" w14:textId="46731532" w:rsidR="00417653" w:rsidRDefault="00417653" w:rsidP="0020700C">
      <w:r>
        <w:t xml:space="preserve">Como conclusión de dicha presentación se encontró que el factor M efectivamente motivó las inversiones </w:t>
      </w:r>
      <w:r w:rsidR="00F96611">
        <w:t xml:space="preserve">para instalar la solución que además permitió solucionar temas de continuidad en su sistema de producción, mejorando </w:t>
      </w:r>
      <w:r w:rsidR="008C44D0">
        <w:t xml:space="preserve">la eficiencia en su </w:t>
      </w:r>
      <w:r w:rsidR="00F96611">
        <w:t>proceso.</w:t>
      </w:r>
    </w:p>
    <w:p w14:paraId="01CF35C6" w14:textId="20E943A2" w:rsidR="00AF5E5F" w:rsidRDefault="007E7B07" w:rsidP="0020700C">
      <w:r>
        <w:t>También</w:t>
      </w:r>
      <w:r w:rsidR="00AF5E5F">
        <w:t xml:space="preserve"> en Medellín, </w:t>
      </w:r>
      <w:r w:rsidR="009F28E3">
        <w:t xml:space="preserve">un prestador del servicio </w:t>
      </w:r>
      <w:r w:rsidR="005B2347">
        <w:t xml:space="preserve">presentó </w:t>
      </w:r>
      <w:r w:rsidR="00950396">
        <w:t xml:space="preserve">aspectos asociados con </w:t>
      </w:r>
      <w:r w:rsidR="005B2347">
        <w:t>el proyecto piloto de AMI</w:t>
      </w:r>
      <w:r w:rsidR="00681E08">
        <w:t xml:space="preserve"> para la medición de energía reactiva</w:t>
      </w:r>
      <w:r w:rsidR="002C089D">
        <w:t xml:space="preserve"> tanto de usuarios residenciales como autogeneradores</w:t>
      </w:r>
      <w:r w:rsidR="00F21563">
        <w:t xml:space="preserve"> y comercios pequeños</w:t>
      </w:r>
      <w:r w:rsidR="00E77FD6">
        <w:t xml:space="preserve"> y los</w:t>
      </w:r>
      <w:r w:rsidR="00681E08">
        <w:t xml:space="preserve"> </w:t>
      </w:r>
      <w:r w:rsidR="00C3234A">
        <w:t>valores de factor de potencia para estaciones de carga de vehículos eléctricos</w:t>
      </w:r>
      <w:r w:rsidR="00E77FD6">
        <w:t>.</w:t>
      </w:r>
    </w:p>
    <w:p w14:paraId="137F4390" w14:textId="48D7823A" w:rsidR="00E77FD6" w:rsidRDefault="00E77FD6" w:rsidP="0020700C">
      <w:r>
        <w:t xml:space="preserve">De igual manera, </w:t>
      </w:r>
      <w:r w:rsidR="009F28E3">
        <w:t xml:space="preserve">el prestador </w:t>
      </w:r>
      <w:r>
        <w:t>realiz</w:t>
      </w:r>
      <w:r w:rsidR="00187C09">
        <w:t>ó</w:t>
      </w:r>
      <w:r>
        <w:t xml:space="preserve"> </w:t>
      </w:r>
      <w:r w:rsidR="00604764">
        <w:t>pruebas</w:t>
      </w:r>
      <w:r w:rsidR="009C48E8">
        <w:t xml:space="preserve"> </w:t>
      </w:r>
      <w:r>
        <w:t xml:space="preserve">con el objetivo de </w:t>
      </w:r>
      <w:r w:rsidR="005F2405">
        <w:t xml:space="preserve">verificar el impacto de </w:t>
      </w:r>
      <w:r w:rsidR="009648AF">
        <w:t xml:space="preserve">algunos electrodomésticos comunes </w:t>
      </w:r>
      <w:r w:rsidR="00A57370">
        <w:t>en la medición del factor de potencia de una red.</w:t>
      </w:r>
      <w:r w:rsidR="0002194F">
        <w:t xml:space="preserve"> </w:t>
      </w:r>
      <w:r w:rsidR="003069AE">
        <w:t>Se evidenció que l</w:t>
      </w:r>
      <w:r w:rsidR="00D17B39">
        <w:t>os elementos que usan electrónica de potencia (cargadores de baterías, iluminación LED</w:t>
      </w:r>
      <w:r w:rsidR="003069AE">
        <w:t>, convertidores, inversores, entre otros)</w:t>
      </w:r>
      <w:r w:rsidR="001F75ED">
        <w:t xml:space="preserve"> </w:t>
      </w:r>
      <w:r w:rsidR="001F75ED" w:rsidRPr="001F75ED">
        <w:t xml:space="preserve">suelen tener un </w:t>
      </w:r>
      <w:r w:rsidR="001F75ED">
        <w:t xml:space="preserve">FP </w:t>
      </w:r>
      <w:r w:rsidR="001F75ED" w:rsidRPr="001F75ED">
        <w:t>m</w:t>
      </w:r>
      <w:r w:rsidR="00FA428A">
        <w:t>á</w:t>
      </w:r>
      <w:r w:rsidR="00D664E7">
        <w:t>s bajo que 0</w:t>
      </w:r>
      <w:r w:rsidR="004A3A45">
        <w:t>,</w:t>
      </w:r>
      <w:r w:rsidR="00D664E7">
        <w:t>9</w:t>
      </w:r>
      <w:r w:rsidR="004A3A45">
        <w:t xml:space="preserve"> sin que el usuario de nivel de tensión 1 tenga oportunidad de gestión</w:t>
      </w:r>
      <w:r w:rsidR="00EB1698">
        <w:t>.</w:t>
      </w:r>
    </w:p>
    <w:p w14:paraId="216C090A" w14:textId="7C2A2458" w:rsidR="00C4390D" w:rsidRDefault="002A47ED" w:rsidP="0020700C">
      <w:r>
        <w:t>Asimismo</w:t>
      </w:r>
      <w:r w:rsidR="006D37BB">
        <w:t xml:space="preserve">, </w:t>
      </w:r>
      <w:r>
        <w:t xml:space="preserve">se evidenció </w:t>
      </w:r>
      <w:r w:rsidR="2B82B14D">
        <w:t>que,</w:t>
      </w:r>
      <w:r>
        <w:t xml:space="preserve"> </w:t>
      </w:r>
      <w:r w:rsidR="00EC5FDB">
        <w:t xml:space="preserve">para </w:t>
      </w:r>
      <w:r>
        <w:t xml:space="preserve">algunas de las cargas no lineales </w:t>
      </w:r>
      <w:r w:rsidR="00875FFB">
        <w:t>mencionad</w:t>
      </w:r>
      <w:r>
        <w:t>a</w:t>
      </w:r>
      <w:r w:rsidR="00875FFB">
        <w:t xml:space="preserve">s anteriormente, </w:t>
      </w:r>
      <w:r w:rsidR="00EC5FDB">
        <w:t xml:space="preserve">el factor de potencia </w:t>
      </w:r>
      <w:r w:rsidR="009422F0">
        <w:t xml:space="preserve">presenta valores en </w:t>
      </w:r>
      <w:r w:rsidR="00EC5FDB">
        <w:t xml:space="preserve">atraso </w:t>
      </w:r>
      <w:r w:rsidR="009422F0">
        <w:t>o</w:t>
      </w:r>
      <w:r w:rsidR="00EC5FDB">
        <w:t xml:space="preserve"> </w:t>
      </w:r>
      <w:r w:rsidR="009422F0">
        <w:t xml:space="preserve">en </w:t>
      </w:r>
      <w:r w:rsidR="00EC5FDB">
        <w:t>adelanto</w:t>
      </w:r>
      <w:r w:rsidR="009422F0">
        <w:t xml:space="preserve"> dependiendo del momento en que se mida</w:t>
      </w:r>
      <w:r w:rsidR="00875FFB">
        <w:t xml:space="preserve">, por lo que </w:t>
      </w:r>
      <w:r w:rsidR="00C07857">
        <w:t xml:space="preserve">el prestador del servicio </w:t>
      </w:r>
      <w:r w:rsidR="00875FFB">
        <w:t>resalt</w:t>
      </w:r>
      <w:r w:rsidR="00C07857">
        <w:t>ó</w:t>
      </w:r>
      <w:r w:rsidR="00875FFB">
        <w:t xml:space="preserve"> que </w:t>
      </w:r>
      <w:r w:rsidR="005A14EB">
        <w:t xml:space="preserve">podrían presentarse errores de medición </w:t>
      </w:r>
      <w:r w:rsidR="0085567C">
        <w:t>e identificación de energía reactiva capacitiva e inductiva</w:t>
      </w:r>
      <w:r w:rsidR="00790D3B">
        <w:t xml:space="preserve">. </w:t>
      </w:r>
    </w:p>
    <w:p w14:paraId="703CEE55" w14:textId="7F165AB7" w:rsidR="000C2A04" w:rsidRDefault="00B01C08" w:rsidP="001D0E4C">
      <w:r>
        <w:t xml:space="preserve">Tanto en las presentaciones de la propuesta realizadas en Bucaramanga, como las </w:t>
      </w:r>
      <w:r w:rsidR="00010BDF">
        <w:t>realizadas en</w:t>
      </w:r>
      <w:r>
        <w:t xml:space="preserve"> Medellín y Bogotá </w:t>
      </w:r>
      <w:r w:rsidR="005F7A9F">
        <w:t>se evidenció</w:t>
      </w:r>
      <w:r w:rsidR="00C90D1E">
        <w:t>, en general,</w:t>
      </w:r>
      <w:r w:rsidR="005F7A9F">
        <w:t xml:space="preserve"> u</w:t>
      </w:r>
      <w:r w:rsidR="00CF4F3F">
        <w:t>na recepción positiva del ajuste propuesto</w:t>
      </w:r>
      <w:r w:rsidR="00DC57C3">
        <w:t>.</w:t>
      </w:r>
    </w:p>
    <w:p w14:paraId="309598A4" w14:textId="5A8BEDDC" w:rsidR="00F1071B" w:rsidRDefault="00DC1DB9" w:rsidP="001D0E4C">
      <w:r>
        <w:t xml:space="preserve">Por otro lado, </w:t>
      </w:r>
      <w:r w:rsidR="00AB12F6">
        <w:t xml:space="preserve">los usuarios </w:t>
      </w:r>
      <w:r w:rsidR="00782AD8">
        <w:t xml:space="preserve">y algunas empresas de consultoría </w:t>
      </w:r>
      <w:r w:rsidR="00461E90">
        <w:t xml:space="preserve">o instalación de soluciones </w:t>
      </w:r>
      <w:r w:rsidR="00F3730C">
        <w:t xml:space="preserve">para autogeneración con fuentes renovables manifestaron </w:t>
      </w:r>
      <w:r w:rsidR="00515B39">
        <w:t xml:space="preserve">inconvenientes con los cobros realizados </w:t>
      </w:r>
      <w:r w:rsidR="00A02FB0">
        <w:t xml:space="preserve">a los usuarios autogeneradores </w:t>
      </w:r>
      <w:r w:rsidR="00515B39">
        <w:t xml:space="preserve">previa publicación del decreto </w:t>
      </w:r>
      <w:r w:rsidR="00A54AC2">
        <w:t>0929 del Ministerio de Minas y Energía</w:t>
      </w:r>
      <w:r w:rsidR="00641A24">
        <w:t>, lo que</w:t>
      </w:r>
      <w:r w:rsidR="004A3A45">
        <w:t>,</w:t>
      </w:r>
      <w:r w:rsidR="00641A24">
        <w:t xml:space="preserve"> </w:t>
      </w:r>
      <w:r w:rsidR="005D6E10">
        <w:t>según</w:t>
      </w:r>
      <w:r w:rsidR="00641A24">
        <w:t xml:space="preserve"> lo manifestado, ocasionó pérdida de rentabilidad por la actividad de autogeneración y desincentivó su </w:t>
      </w:r>
      <w:r w:rsidR="00F1071B">
        <w:t>uso</w:t>
      </w:r>
      <w:r w:rsidR="00A54AC2">
        <w:t>.</w:t>
      </w:r>
    </w:p>
    <w:p w14:paraId="5EA62FC3" w14:textId="5BD2D55D" w:rsidR="00B01C08" w:rsidRDefault="00F1071B" w:rsidP="001D0E4C">
      <w:r>
        <w:t xml:space="preserve">En este sentido, cabe aclarar que la Comisión ha </w:t>
      </w:r>
      <w:r w:rsidR="00A45F1D">
        <w:t>expuesto,</w:t>
      </w:r>
      <w:r>
        <w:t xml:space="preserve"> a través de diversos conceptos</w:t>
      </w:r>
      <w:r w:rsidR="00A45F1D">
        <w:t>,</w:t>
      </w:r>
      <w:r>
        <w:t xml:space="preserve"> que todo generador, incluyendo a los usuarios autogeneradores, de acuerdo con la Resolución CREG 015 de 2018 se encuentra exento</w:t>
      </w:r>
      <w:r w:rsidR="00A54AC2">
        <w:t xml:space="preserve"> </w:t>
      </w:r>
      <w:r w:rsidR="00EA698B">
        <w:t xml:space="preserve">de cualquier cobro por transporte de reactiva siempre y cuando cuente con un controlador de tensión instalado en coordinación con el operador de </w:t>
      </w:r>
      <w:r w:rsidR="00EA698B">
        <w:lastRenderedPageBreak/>
        <w:t xml:space="preserve">red y que cualquier posible caso de incumplimiento </w:t>
      </w:r>
      <w:r w:rsidR="002E6F09">
        <w:t>de la regulación debe ser revisado por la Superintendencia de Servicios Públicos Domiciliarios, SSPD</w:t>
      </w:r>
      <w:r w:rsidR="00EA698B">
        <w:t>.</w:t>
      </w:r>
    </w:p>
    <w:p w14:paraId="5E97E1A3" w14:textId="78259FD4" w:rsidR="00BF6B19" w:rsidRPr="003D56B2" w:rsidRDefault="00EE6F69" w:rsidP="001D0E4C">
      <w:r>
        <w:t xml:space="preserve">Los usuarios y empresas de instalación de soluciones para autogeneración también </w:t>
      </w:r>
      <w:r w:rsidR="00E45E93">
        <w:t>realizaron</w:t>
      </w:r>
      <w:r>
        <w:t xml:space="preserve"> </w:t>
      </w:r>
      <w:r w:rsidR="00E45E93">
        <w:t xml:space="preserve">comentarios en el sentido de </w:t>
      </w:r>
      <w:r w:rsidR="0086479F">
        <w:t xml:space="preserve">obtener </w:t>
      </w:r>
      <w:r w:rsidR="0036009F">
        <w:t>una</w:t>
      </w:r>
      <w:r w:rsidR="0086479F">
        <w:t xml:space="preserve"> devolución de lo pagado por transporte de energía reactiva capacitiva en exceso </w:t>
      </w:r>
      <w:r w:rsidR="00EE4168">
        <w:t>en periodos pasados. En este sentido,</w:t>
      </w:r>
      <w:r w:rsidR="00143462">
        <w:t xml:space="preserve"> como se detalla en la sección </w:t>
      </w:r>
      <w:r w:rsidR="00143462">
        <w:fldChar w:fldCharType="begin"/>
      </w:r>
      <w:r w:rsidR="00143462">
        <w:instrText xml:space="preserve"> REF _Ref147167352 \r \h </w:instrText>
      </w:r>
      <w:r w:rsidR="00143462">
        <w:fldChar w:fldCharType="separate"/>
      </w:r>
      <w:r w:rsidR="00DC6708">
        <w:t>8.2.1</w:t>
      </w:r>
      <w:r w:rsidR="00143462">
        <w:fldChar w:fldCharType="end"/>
      </w:r>
      <w:r w:rsidR="00143462">
        <w:t xml:space="preserve">, </w:t>
      </w:r>
      <w:r w:rsidR="0036009F">
        <w:t xml:space="preserve">no </w:t>
      </w:r>
      <w:r w:rsidR="00E33F6C">
        <w:t xml:space="preserve">es posible </w:t>
      </w:r>
      <w:r w:rsidR="004D0578">
        <w:t>tener efectos retroactivos</w:t>
      </w:r>
      <w:r w:rsidR="009E65E4">
        <w:t xml:space="preserve"> en la propuesta</w:t>
      </w:r>
      <w:r w:rsidR="004D0578">
        <w:t xml:space="preserve"> dada la vigencia de los actos administrativos expedidos por la Comisión, que solamente aplican </w:t>
      </w:r>
      <w:r w:rsidR="004F37E6">
        <w:t xml:space="preserve">a partir </w:t>
      </w:r>
      <w:r w:rsidR="004D0578">
        <w:t>de su vigencia.</w:t>
      </w:r>
    </w:p>
    <w:p w14:paraId="31F3128A" w14:textId="2EEAF914" w:rsidR="003D56B2" w:rsidRDefault="003D56B2" w:rsidP="009626D9">
      <w:pPr>
        <w:pStyle w:val="Ttulo2"/>
      </w:pPr>
      <w:bookmarkStart w:id="29" w:name="_Toc157689791"/>
      <w:r w:rsidRPr="003D56B2">
        <w:t>Comentarios recibidos</w:t>
      </w:r>
      <w:bookmarkEnd w:id="29"/>
    </w:p>
    <w:p w14:paraId="04919F39" w14:textId="795CCE9D" w:rsidR="00AF7689" w:rsidRDefault="0034650E" w:rsidP="00AF7689">
      <w:r>
        <w:t xml:space="preserve">Como resultado del proceso de consulta </w:t>
      </w:r>
      <w:r w:rsidR="00C91B03">
        <w:rPr>
          <w:lang w:val="es-MX"/>
        </w:rPr>
        <w:t>se</w:t>
      </w:r>
      <w:r w:rsidRPr="0034650E">
        <w:rPr>
          <w:lang w:val="es-MX"/>
        </w:rPr>
        <w:t xml:space="preserve"> recibieron 95 comentarios de 24 agentes e interesados, distribuidos de la siguiente manera</w:t>
      </w:r>
      <w:r>
        <w:rPr>
          <w:lang w:val="es-MX"/>
        </w:rPr>
        <w:t>:</w:t>
      </w:r>
    </w:p>
    <w:p w14:paraId="24D77F9F" w14:textId="45EC2F38" w:rsidR="00D85B2D" w:rsidRDefault="00D85B2D" w:rsidP="008D41DE">
      <w:pPr>
        <w:pStyle w:val="Descripcin"/>
      </w:pPr>
      <w:r>
        <w:t xml:space="preserve">Tabla </w:t>
      </w:r>
      <w:r>
        <w:fldChar w:fldCharType="begin"/>
      </w:r>
      <w:r>
        <w:instrText>SEQ Tabla \* ARABIC</w:instrText>
      </w:r>
      <w:r>
        <w:fldChar w:fldCharType="separate"/>
      </w:r>
      <w:r w:rsidR="00DC6708">
        <w:rPr>
          <w:noProof/>
        </w:rPr>
        <w:t>3</w:t>
      </w:r>
      <w:r>
        <w:fldChar w:fldCharType="end"/>
      </w:r>
      <w:r>
        <w:t xml:space="preserve"> Comentarios recibidos durante el periodo de consulta</w:t>
      </w:r>
    </w:p>
    <w:tbl>
      <w:tblPr>
        <w:tblW w:w="0" w:type="auto"/>
        <w:jc w:val="center"/>
        <w:tblCellMar>
          <w:left w:w="70" w:type="dxa"/>
          <w:right w:w="70" w:type="dxa"/>
        </w:tblCellMar>
        <w:tblLook w:val="04A0" w:firstRow="1" w:lastRow="0" w:firstColumn="1" w:lastColumn="0" w:noHBand="0" w:noVBand="1"/>
      </w:tblPr>
      <w:tblGrid>
        <w:gridCol w:w="4371"/>
        <w:gridCol w:w="2082"/>
      </w:tblGrid>
      <w:tr w:rsidR="00AF7689" w:rsidRPr="0037236A" w14:paraId="105B77E3" w14:textId="77777777">
        <w:trPr>
          <w:trHeight w:val="290"/>
          <w:tblHeader/>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9C8E68" w14:textId="786F63E7" w:rsidR="00AF7689" w:rsidRPr="0037236A" w:rsidRDefault="00AF7689">
            <w:pPr>
              <w:spacing w:before="0" w:after="0"/>
              <w:jc w:val="center"/>
              <w:rPr>
                <w:rFonts w:cs="Calibri"/>
                <w:b/>
                <w:bCs w:val="0"/>
                <w:color w:val="000000"/>
                <w:sz w:val="18"/>
                <w:szCs w:val="18"/>
                <w:lang w:eastAsia="es-CO"/>
              </w:rPr>
            </w:pPr>
            <w:r w:rsidRPr="0037236A">
              <w:rPr>
                <w:rFonts w:cs="Calibri"/>
                <w:b/>
                <w:color w:val="000000"/>
                <w:sz w:val="18"/>
                <w:szCs w:val="18"/>
                <w:lang w:eastAsia="es-CO"/>
              </w:rPr>
              <w:t>EMPRESA/INTERESADO</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2101F8B" w14:textId="77777777" w:rsidR="00AF7689" w:rsidRPr="0037236A" w:rsidRDefault="00AF7689">
            <w:pPr>
              <w:spacing w:before="0" w:after="0"/>
              <w:jc w:val="center"/>
              <w:rPr>
                <w:rFonts w:cs="Calibri"/>
                <w:b/>
                <w:bCs w:val="0"/>
                <w:color w:val="000000"/>
                <w:sz w:val="18"/>
                <w:szCs w:val="18"/>
                <w:lang w:eastAsia="es-CO"/>
              </w:rPr>
            </w:pPr>
            <w:r w:rsidRPr="0037236A">
              <w:rPr>
                <w:rFonts w:cs="Calibri"/>
                <w:b/>
                <w:color w:val="000000"/>
                <w:sz w:val="18"/>
                <w:szCs w:val="18"/>
                <w:lang w:eastAsia="es-CO"/>
              </w:rPr>
              <w:t>RADICADO</w:t>
            </w:r>
          </w:p>
        </w:tc>
      </w:tr>
      <w:tr w:rsidR="00AF7689" w:rsidRPr="0037236A" w14:paraId="50E7CA6B" w14:textId="77777777" w:rsidTr="00AF7689">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012F5F1" w14:textId="77777777" w:rsidR="00AF7689" w:rsidRPr="0037236A" w:rsidRDefault="00AF7689">
            <w:pPr>
              <w:spacing w:before="0" w:after="0"/>
              <w:jc w:val="left"/>
              <w:rPr>
                <w:rFonts w:cs="Calibri"/>
                <w:color w:val="000000"/>
                <w:sz w:val="18"/>
                <w:szCs w:val="18"/>
                <w:lang w:eastAsia="es-CO"/>
              </w:rPr>
            </w:pPr>
            <w:r w:rsidRPr="0037236A">
              <w:rPr>
                <w:rFonts w:cs="Calibri"/>
                <w:color w:val="000000"/>
                <w:sz w:val="18"/>
                <w:szCs w:val="18"/>
                <w:lang w:eastAsia="es-CO"/>
              </w:rPr>
              <w:t>ENERAMBIENTE S.A.S.</w:t>
            </w:r>
          </w:p>
        </w:tc>
        <w:tc>
          <w:tcPr>
            <w:tcW w:w="0" w:type="auto"/>
            <w:tcBorders>
              <w:top w:val="nil"/>
              <w:left w:val="nil"/>
              <w:bottom w:val="single" w:sz="4" w:space="0" w:color="auto"/>
              <w:right w:val="single" w:sz="4" w:space="0" w:color="auto"/>
            </w:tcBorders>
            <w:shd w:val="clear" w:color="auto" w:fill="auto"/>
            <w:vAlign w:val="center"/>
            <w:hideMark/>
          </w:tcPr>
          <w:p w14:paraId="5D94BF8B" w14:textId="77777777" w:rsidR="00AF7689" w:rsidRPr="0037236A" w:rsidRDefault="00AF7689" w:rsidP="008D41DE">
            <w:pPr>
              <w:spacing w:before="0" w:after="0"/>
              <w:jc w:val="center"/>
              <w:rPr>
                <w:rFonts w:cs="Calibri"/>
                <w:color w:val="000000"/>
                <w:sz w:val="18"/>
                <w:szCs w:val="18"/>
                <w:lang w:eastAsia="es-CO"/>
              </w:rPr>
            </w:pPr>
            <w:r w:rsidRPr="0037236A">
              <w:rPr>
                <w:rFonts w:cs="Calibri"/>
                <w:color w:val="000000"/>
                <w:sz w:val="18"/>
                <w:szCs w:val="18"/>
                <w:lang w:eastAsia="es-CO"/>
              </w:rPr>
              <w:t>E2023015464</w:t>
            </w:r>
          </w:p>
          <w:p w14:paraId="1271D40D" w14:textId="2E852C63" w:rsidR="00C4454C" w:rsidRPr="0037236A" w:rsidRDefault="00C4454C" w:rsidP="008D41DE">
            <w:pPr>
              <w:spacing w:before="0" w:after="0"/>
              <w:jc w:val="center"/>
              <w:rPr>
                <w:rFonts w:cs="Calibri"/>
                <w:color w:val="000000"/>
                <w:sz w:val="18"/>
                <w:szCs w:val="18"/>
                <w:lang w:eastAsia="es-CO"/>
              </w:rPr>
            </w:pPr>
            <w:r w:rsidRPr="0037236A">
              <w:rPr>
                <w:rFonts w:cs="Calibri"/>
                <w:color w:val="000000"/>
                <w:sz w:val="18"/>
                <w:szCs w:val="18"/>
                <w:lang w:eastAsia="es-CO"/>
              </w:rPr>
              <w:t>E2023015490</w:t>
            </w:r>
          </w:p>
        </w:tc>
      </w:tr>
      <w:tr w:rsidR="00AF7689" w:rsidRPr="0037236A" w14:paraId="4F4177E0" w14:textId="77777777" w:rsidTr="00AF7689">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A3DCDE8" w14:textId="77777777" w:rsidR="00AF7689" w:rsidRPr="0037236A" w:rsidRDefault="00AF7689">
            <w:pPr>
              <w:spacing w:before="0" w:after="0"/>
              <w:jc w:val="left"/>
              <w:rPr>
                <w:rFonts w:cs="Calibri"/>
                <w:color w:val="000000"/>
                <w:sz w:val="18"/>
                <w:szCs w:val="18"/>
                <w:lang w:eastAsia="es-CO"/>
              </w:rPr>
            </w:pPr>
            <w:r w:rsidRPr="0037236A">
              <w:rPr>
                <w:rFonts w:cs="Calibri"/>
                <w:color w:val="000000"/>
                <w:sz w:val="18"/>
                <w:szCs w:val="18"/>
                <w:lang w:eastAsia="es-CO"/>
              </w:rPr>
              <w:t>ELECMURI S.A. E.S.P.</w:t>
            </w:r>
          </w:p>
        </w:tc>
        <w:tc>
          <w:tcPr>
            <w:tcW w:w="0" w:type="auto"/>
            <w:tcBorders>
              <w:top w:val="nil"/>
              <w:left w:val="nil"/>
              <w:bottom w:val="single" w:sz="4" w:space="0" w:color="auto"/>
              <w:right w:val="single" w:sz="4" w:space="0" w:color="auto"/>
            </w:tcBorders>
            <w:shd w:val="clear" w:color="auto" w:fill="auto"/>
            <w:vAlign w:val="center"/>
            <w:hideMark/>
          </w:tcPr>
          <w:p w14:paraId="0010FF5F" w14:textId="77777777" w:rsidR="00AF7689" w:rsidRPr="0037236A" w:rsidRDefault="00AF7689" w:rsidP="008D41DE">
            <w:pPr>
              <w:spacing w:before="0" w:after="0"/>
              <w:jc w:val="center"/>
              <w:rPr>
                <w:rFonts w:cs="Calibri"/>
                <w:color w:val="000000"/>
                <w:sz w:val="18"/>
                <w:szCs w:val="18"/>
                <w:lang w:eastAsia="es-CO"/>
              </w:rPr>
            </w:pPr>
            <w:r w:rsidRPr="0037236A">
              <w:rPr>
                <w:rFonts w:cs="Calibri"/>
                <w:color w:val="000000"/>
                <w:sz w:val="18"/>
                <w:szCs w:val="18"/>
                <w:lang w:eastAsia="es-CO"/>
              </w:rPr>
              <w:t>E2023015805</w:t>
            </w:r>
          </w:p>
        </w:tc>
      </w:tr>
      <w:tr w:rsidR="00AF7689" w:rsidRPr="0037236A" w14:paraId="36F18E37" w14:textId="77777777" w:rsidTr="00AF7689">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DA0A491" w14:textId="77777777" w:rsidR="00AF7689" w:rsidRPr="0037236A" w:rsidRDefault="00AF7689">
            <w:pPr>
              <w:spacing w:before="0" w:after="0"/>
              <w:jc w:val="left"/>
              <w:rPr>
                <w:rFonts w:cs="Calibri"/>
                <w:color w:val="000000"/>
                <w:sz w:val="18"/>
                <w:szCs w:val="18"/>
                <w:lang w:eastAsia="es-CO"/>
              </w:rPr>
            </w:pPr>
            <w:r w:rsidRPr="0037236A">
              <w:rPr>
                <w:rFonts w:cs="Calibri"/>
                <w:color w:val="000000"/>
                <w:sz w:val="18"/>
                <w:szCs w:val="18"/>
                <w:lang w:eastAsia="es-CO"/>
              </w:rPr>
              <w:t>ASOCODIS</w:t>
            </w:r>
          </w:p>
        </w:tc>
        <w:tc>
          <w:tcPr>
            <w:tcW w:w="0" w:type="auto"/>
            <w:tcBorders>
              <w:top w:val="nil"/>
              <w:left w:val="nil"/>
              <w:bottom w:val="single" w:sz="4" w:space="0" w:color="auto"/>
              <w:right w:val="single" w:sz="4" w:space="0" w:color="auto"/>
            </w:tcBorders>
            <w:shd w:val="clear" w:color="auto" w:fill="auto"/>
            <w:vAlign w:val="center"/>
            <w:hideMark/>
          </w:tcPr>
          <w:p w14:paraId="36D62080" w14:textId="77777777" w:rsidR="00AF7689" w:rsidRPr="0037236A" w:rsidRDefault="00AF7689" w:rsidP="008D41DE">
            <w:pPr>
              <w:spacing w:before="0" w:after="0"/>
              <w:jc w:val="center"/>
              <w:rPr>
                <w:rFonts w:cs="Calibri"/>
                <w:color w:val="000000"/>
                <w:sz w:val="18"/>
                <w:szCs w:val="18"/>
                <w:lang w:eastAsia="es-CO"/>
              </w:rPr>
            </w:pPr>
            <w:r w:rsidRPr="0037236A">
              <w:rPr>
                <w:rFonts w:cs="Calibri"/>
                <w:color w:val="000000"/>
                <w:sz w:val="18"/>
                <w:szCs w:val="18"/>
                <w:lang w:eastAsia="es-CO"/>
              </w:rPr>
              <w:t>E2023015928</w:t>
            </w:r>
          </w:p>
        </w:tc>
      </w:tr>
      <w:tr w:rsidR="00AF7689" w:rsidRPr="0037236A" w14:paraId="528FECAF" w14:textId="77777777" w:rsidTr="00AF7689">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BE9A07B" w14:textId="77777777" w:rsidR="00AF7689" w:rsidRPr="0037236A" w:rsidRDefault="00AF7689">
            <w:pPr>
              <w:spacing w:before="0" w:after="0"/>
              <w:jc w:val="left"/>
              <w:rPr>
                <w:rFonts w:cs="Calibri"/>
                <w:color w:val="000000"/>
                <w:sz w:val="18"/>
                <w:szCs w:val="18"/>
                <w:lang w:eastAsia="es-CO"/>
              </w:rPr>
            </w:pPr>
            <w:r w:rsidRPr="0037236A">
              <w:rPr>
                <w:rFonts w:cs="Calibri"/>
                <w:color w:val="000000"/>
                <w:sz w:val="18"/>
                <w:szCs w:val="18"/>
                <w:lang w:eastAsia="es-CO"/>
              </w:rPr>
              <w:t>ECOPETROL S.A.</w:t>
            </w:r>
          </w:p>
        </w:tc>
        <w:tc>
          <w:tcPr>
            <w:tcW w:w="0" w:type="auto"/>
            <w:tcBorders>
              <w:top w:val="nil"/>
              <w:left w:val="nil"/>
              <w:bottom w:val="single" w:sz="4" w:space="0" w:color="auto"/>
              <w:right w:val="single" w:sz="4" w:space="0" w:color="auto"/>
            </w:tcBorders>
            <w:shd w:val="clear" w:color="auto" w:fill="auto"/>
            <w:vAlign w:val="center"/>
            <w:hideMark/>
          </w:tcPr>
          <w:p w14:paraId="7CBE79FA" w14:textId="77777777" w:rsidR="00AF7689" w:rsidRPr="0037236A" w:rsidRDefault="00AF7689" w:rsidP="008D41DE">
            <w:pPr>
              <w:spacing w:before="0" w:after="0"/>
              <w:jc w:val="center"/>
              <w:rPr>
                <w:rFonts w:cs="Calibri"/>
                <w:color w:val="000000"/>
                <w:sz w:val="18"/>
                <w:szCs w:val="18"/>
                <w:lang w:eastAsia="es-CO"/>
              </w:rPr>
            </w:pPr>
            <w:r w:rsidRPr="0037236A">
              <w:rPr>
                <w:rFonts w:cs="Calibri"/>
                <w:color w:val="000000"/>
                <w:sz w:val="18"/>
                <w:szCs w:val="18"/>
                <w:lang w:eastAsia="es-CO"/>
              </w:rPr>
              <w:t>E2023015931</w:t>
            </w:r>
          </w:p>
        </w:tc>
      </w:tr>
      <w:tr w:rsidR="00AF7689" w:rsidRPr="0037236A" w14:paraId="317CB8A3" w14:textId="77777777" w:rsidTr="00AF7689">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677D554" w14:textId="77777777" w:rsidR="00AF7689" w:rsidRPr="0037236A" w:rsidRDefault="00AF7689">
            <w:pPr>
              <w:spacing w:before="0" w:after="0"/>
              <w:jc w:val="left"/>
              <w:rPr>
                <w:rFonts w:cs="Calibri"/>
                <w:color w:val="000000"/>
                <w:sz w:val="18"/>
                <w:szCs w:val="18"/>
                <w:lang w:eastAsia="es-CO"/>
              </w:rPr>
            </w:pPr>
            <w:r w:rsidRPr="0037236A">
              <w:rPr>
                <w:rFonts w:cs="Calibri"/>
                <w:color w:val="000000"/>
                <w:sz w:val="18"/>
                <w:szCs w:val="18"/>
                <w:lang w:eastAsia="es-CO"/>
              </w:rPr>
              <w:t>ANDESCO</w:t>
            </w:r>
          </w:p>
        </w:tc>
        <w:tc>
          <w:tcPr>
            <w:tcW w:w="0" w:type="auto"/>
            <w:tcBorders>
              <w:top w:val="nil"/>
              <w:left w:val="nil"/>
              <w:bottom w:val="single" w:sz="4" w:space="0" w:color="auto"/>
              <w:right w:val="single" w:sz="4" w:space="0" w:color="auto"/>
            </w:tcBorders>
            <w:shd w:val="clear" w:color="auto" w:fill="auto"/>
            <w:vAlign w:val="center"/>
            <w:hideMark/>
          </w:tcPr>
          <w:p w14:paraId="6E3FFCF6" w14:textId="77777777" w:rsidR="00AF7689" w:rsidRPr="0037236A" w:rsidRDefault="00AF7689" w:rsidP="008D41DE">
            <w:pPr>
              <w:spacing w:before="0" w:after="0"/>
              <w:jc w:val="center"/>
              <w:rPr>
                <w:rFonts w:cs="Calibri"/>
                <w:color w:val="000000"/>
                <w:sz w:val="18"/>
                <w:szCs w:val="18"/>
                <w:lang w:eastAsia="es-CO"/>
              </w:rPr>
            </w:pPr>
            <w:r w:rsidRPr="0037236A">
              <w:rPr>
                <w:rFonts w:cs="Calibri"/>
                <w:color w:val="000000"/>
                <w:sz w:val="18"/>
                <w:szCs w:val="18"/>
                <w:lang w:eastAsia="es-CO"/>
              </w:rPr>
              <w:t>E2023015932</w:t>
            </w:r>
          </w:p>
        </w:tc>
      </w:tr>
      <w:tr w:rsidR="00AF7689" w:rsidRPr="0037236A" w14:paraId="32A35E4E" w14:textId="77777777" w:rsidTr="00AF7689">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8C40A27" w14:textId="77777777" w:rsidR="00AF7689" w:rsidRPr="0037236A" w:rsidRDefault="00AF7689">
            <w:pPr>
              <w:spacing w:before="0" w:after="0"/>
              <w:jc w:val="left"/>
              <w:rPr>
                <w:rFonts w:cs="Calibri"/>
                <w:color w:val="000000"/>
                <w:sz w:val="18"/>
                <w:szCs w:val="18"/>
                <w:lang w:eastAsia="es-CO"/>
              </w:rPr>
            </w:pPr>
            <w:r w:rsidRPr="0037236A">
              <w:rPr>
                <w:rFonts w:cs="Calibri"/>
                <w:color w:val="000000"/>
                <w:sz w:val="18"/>
                <w:szCs w:val="18"/>
                <w:lang w:eastAsia="es-CO"/>
              </w:rPr>
              <w:t>EMPRESA DE ENERGÍA DE PEREIRA S.A. E.S.P.</w:t>
            </w:r>
          </w:p>
        </w:tc>
        <w:tc>
          <w:tcPr>
            <w:tcW w:w="0" w:type="auto"/>
            <w:tcBorders>
              <w:top w:val="nil"/>
              <w:left w:val="nil"/>
              <w:bottom w:val="single" w:sz="4" w:space="0" w:color="auto"/>
              <w:right w:val="single" w:sz="4" w:space="0" w:color="auto"/>
            </w:tcBorders>
            <w:shd w:val="clear" w:color="auto" w:fill="auto"/>
            <w:vAlign w:val="center"/>
            <w:hideMark/>
          </w:tcPr>
          <w:p w14:paraId="33C631D7" w14:textId="77777777" w:rsidR="00AF7689" w:rsidRPr="0037236A" w:rsidRDefault="00AF7689" w:rsidP="008D41DE">
            <w:pPr>
              <w:spacing w:before="0" w:after="0"/>
              <w:jc w:val="center"/>
              <w:rPr>
                <w:rFonts w:cs="Calibri"/>
                <w:color w:val="000000"/>
                <w:sz w:val="18"/>
                <w:szCs w:val="18"/>
                <w:lang w:eastAsia="es-CO"/>
              </w:rPr>
            </w:pPr>
            <w:r w:rsidRPr="0037236A">
              <w:rPr>
                <w:rFonts w:cs="Calibri"/>
                <w:color w:val="000000"/>
                <w:sz w:val="18"/>
                <w:szCs w:val="18"/>
                <w:lang w:eastAsia="es-CO"/>
              </w:rPr>
              <w:t>E2023015939</w:t>
            </w:r>
          </w:p>
        </w:tc>
      </w:tr>
      <w:tr w:rsidR="00AF7689" w:rsidRPr="0037236A" w14:paraId="5E869602" w14:textId="77777777" w:rsidTr="00AF7689">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065932E" w14:textId="77777777" w:rsidR="00AF7689" w:rsidRPr="0037236A" w:rsidRDefault="00AF7689">
            <w:pPr>
              <w:spacing w:before="0" w:after="0"/>
              <w:jc w:val="left"/>
              <w:rPr>
                <w:rFonts w:cs="Calibri"/>
                <w:color w:val="000000"/>
                <w:sz w:val="18"/>
                <w:szCs w:val="18"/>
                <w:lang w:eastAsia="es-CO"/>
              </w:rPr>
            </w:pPr>
            <w:r w:rsidRPr="0037236A">
              <w:rPr>
                <w:rFonts w:cs="Calibri"/>
                <w:color w:val="000000"/>
                <w:sz w:val="18"/>
                <w:szCs w:val="18"/>
                <w:lang w:eastAsia="es-CO"/>
              </w:rPr>
              <w:t>RSA CONSULTORES</w:t>
            </w:r>
          </w:p>
        </w:tc>
        <w:tc>
          <w:tcPr>
            <w:tcW w:w="0" w:type="auto"/>
            <w:tcBorders>
              <w:top w:val="nil"/>
              <w:left w:val="nil"/>
              <w:bottom w:val="single" w:sz="4" w:space="0" w:color="auto"/>
              <w:right w:val="single" w:sz="4" w:space="0" w:color="auto"/>
            </w:tcBorders>
            <w:shd w:val="clear" w:color="auto" w:fill="auto"/>
            <w:vAlign w:val="center"/>
            <w:hideMark/>
          </w:tcPr>
          <w:p w14:paraId="13CC1212" w14:textId="77777777" w:rsidR="00AF7689" w:rsidRPr="0037236A" w:rsidRDefault="00AF7689" w:rsidP="008D41DE">
            <w:pPr>
              <w:spacing w:before="0" w:after="0"/>
              <w:jc w:val="center"/>
              <w:rPr>
                <w:rFonts w:cs="Calibri"/>
                <w:color w:val="000000"/>
                <w:sz w:val="18"/>
                <w:szCs w:val="18"/>
                <w:lang w:eastAsia="es-CO"/>
              </w:rPr>
            </w:pPr>
            <w:r w:rsidRPr="0037236A">
              <w:rPr>
                <w:rFonts w:cs="Calibri"/>
                <w:color w:val="000000"/>
                <w:sz w:val="18"/>
                <w:szCs w:val="18"/>
                <w:lang w:eastAsia="es-CO"/>
              </w:rPr>
              <w:t>E2023015943</w:t>
            </w:r>
          </w:p>
        </w:tc>
      </w:tr>
      <w:tr w:rsidR="00AF7689" w:rsidRPr="0037236A" w14:paraId="5675FABA" w14:textId="77777777" w:rsidTr="00AF7689">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C35AAA2" w14:textId="77777777" w:rsidR="00AF7689" w:rsidRPr="0037236A" w:rsidRDefault="00AF7689">
            <w:pPr>
              <w:spacing w:before="0" w:after="0"/>
              <w:jc w:val="left"/>
              <w:rPr>
                <w:rFonts w:cs="Calibri"/>
                <w:color w:val="000000"/>
                <w:sz w:val="18"/>
                <w:szCs w:val="18"/>
                <w:lang w:eastAsia="es-CO"/>
              </w:rPr>
            </w:pPr>
            <w:r w:rsidRPr="0037236A">
              <w:rPr>
                <w:rFonts w:cs="Calibri"/>
                <w:color w:val="000000"/>
                <w:sz w:val="18"/>
                <w:szCs w:val="18"/>
                <w:lang w:eastAsia="es-CO"/>
              </w:rPr>
              <w:t>XM S.A. E.S.P.</w:t>
            </w:r>
          </w:p>
        </w:tc>
        <w:tc>
          <w:tcPr>
            <w:tcW w:w="0" w:type="auto"/>
            <w:tcBorders>
              <w:top w:val="nil"/>
              <w:left w:val="nil"/>
              <w:bottom w:val="single" w:sz="4" w:space="0" w:color="auto"/>
              <w:right w:val="single" w:sz="4" w:space="0" w:color="auto"/>
            </w:tcBorders>
            <w:shd w:val="clear" w:color="auto" w:fill="auto"/>
            <w:vAlign w:val="center"/>
            <w:hideMark/>
          </w:tcPr>
          <w:p w14:paraId="2B5071EC" w14:textId="77777777" w:rsidR="00AF7689" w:rsidRPr="0037236A" w:rsidRDefault="00AF7689" w:rsidP="008D41DE">
            <w:pPr>
              <w:spacing w:before="0" w:after="0"/>
              <w:jc w:val="center"/>
              <w:rPr>
                <w:rFonts w:cs="Calibri"/>
                <w:color w:val="000000"/>
                <w:sz w:val="18"/>
                <w:szCs w:val="18"/>
                <w:lang w:eastAsia="es-CO"/>
              </w:rPr>
            </w:pPr>
            <w:r w:rsidRPr="0037236A">
              <w:rPr>
                <w:rFonts w:cs="Calibri"/>
                <w:color w:val="000000"/>
                <w:sz w:val="18"/>
                <w:szCs w:val="18"/>
                <w:lang w:eastAsia="es-CO"/>
              </w:rPr>
              <w:t>E2023015956</w:t>
            </w:r>
          </w:p>
          <w:p w14:paraId="6B1DADA3" w14:textId="77777777" w:rsidR="00E9245D" w:rsidRPr="0037236A" w:rsidRDefault="00E9245D" w:rsidP="008D41DE">
            <w:pPr>
              <w:spacing w:before="0" w:after="0"/>
              <w:jc w:val="center"/>
              <w:rPr>
                <w:rFonts w:cs="Calibri"/>
                <w:color w:val="000000"/>
                <w:sz w:val="18"/>
                <w:szCs w:val="18"/>
                <w:lang w:eastAsia="es-CO"/>
              </w:rPr>
            </w:pPr>
            <w:r w:rsidRPr="0037236A">
              <w:rPr>
                <w:rFonts w:cs="Calibri"/>
                <w:color w:val="000000"/>
                <w:sz w:val="18"/>
                <w:szCs w:val="18"/>
                <w:lang w:eastAsia="es-CO"/>
              </w:rPr>
              <w:t>E2023015957</w:t>
            </w:r>
          </w:p>
          <w:p w14:paraId="61DFF5DF" w14:textId="6C9B36E8" w:rsidR="00E9245D" w:rsidRPr="0037236A" w:rsidRDefault="00E9245D" w:rsidP="008D41DE">
            <w:pPr>
              <w:spacing w:before="0" w:after="0"/>
              <w:jc w:val="center"/>
              <w:rPr>
                <w:rFonts w:cs="Calibri"/>
                <w:color w:val="000000"/>
                <w:sz w:val="18"/>
                <w:szCs w:val="18"/>
                <w:lang w:eastAsia="es-CO"/>
              </w:rPr>
            </w:pPr>
            <w:r w:rsidRPr="0037236A">
              <w:rPr>
                <w:rFonts w:cs="Calibri"/>
                <w:color w:val="000000"/>
                <w:sz w:val="18"/>
                <w:szCs w:val="18"/>
                <w:lang w:eastAsia="es-CO"/>
              </w:rPr>
              <w:t>E2023015958</w:t>
            </w:r>
          </w:p>
        </w:tc>
      </w:tr>
      <w:tr w:rsidR="00AF7689" w:rsidRPr="0037236A" w14:paraId="4BEC9AE2" w14:textId="77777777" w:rsidTr="00AF7689">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E555428" w14:textId="77777777" w:rsidR="00AF7689" w:rsidRPr="0037236A" w:rsidRDefault="00AF7689">
            <w:pPr>
              <w:spacing w:before="0" w:after="0"/>
              <w:jc w:val="left"/>
              <w:rPr>
                <w:rFonts w:cs="Calibri"/>
                <w:color w:val="000000"/>
                <w:sz w:val="18"/>
                <w:szCs w:val="18"/>
                <w:lang w:eastAsia="es-CO"/>
              </w:rPr>
            </w:pPr>
            <w:r w:rsidRPr="0037236A">
              <w:rPr>
                <w:rFonts w:cs="Calibri"/>
                <w:color w:val="000000"/>
                <w:sz w:val="18"/>
                <w:szCs w:val="18"/>
                <w:lang w:eastAsia="es-CO"/>
              </w:rPr>
              <w:t>Andrés Torres</w:t>
            </w:r>
          </w:p>
        </w:tc>
        <w:tc>
          <w:tcPr>
            <w:tcW w:w="0" w:type="auto"/>
            <w:tcBorders>
              <w:top w:val="nil"/>
              <w:left w:val="nil"/>
              <w:bottom w:val="single" w:sz="4" w:space="0" w:color="auto"/>
              <w:right w:val="single" w:sz="4" w:space="0" w:color="auto"/>
            </w:tcBorders>
            <w:shd w:val="clear" w:color="auto" w:fill="auto"/>
            <w:vAlign w:val="center"/>
            <w:hideMark/>
          </w:tcPr>
          <w:p w14:paraId="5A8A7CE3" w14:textId="77777777" w:rsidR="00AF7689" w:rsidRPr="0037236A" w:rsidRDefault="00AF7689" w:rsidP="008D41DE">
            <w:pPr>
              <w:spacing w:before="0" w:after="0"/>
              <w:jc w:val="center"/>
              <w:rPr>
                <w:rFonts w:cs="Calibri"/>
                <w:color w:val="000000"/>
                <w:sz w:val="18"/>
                <w:szCs w:val="18"/>
                <w:lang w:eastAsia="es-CO"/>
              </w:rPr>
            </w:pPr>
            <w:r w:rsidRPr="0037236A">
              <w:rPr>
                <w:rFonts w:cs="Calibri"/>
                <w:color w:val="000000"/>
                <w:sz w:val="18"/>
                <w:szCs w:val="18"/>
                <w:lang w:eastAsia="es-CO"/>
              </w:rPr>
              <w:t>E2023015968</w:t>
            </w:r>
          </w:p>
        </w:tc>
      </w:tr>
      <w:tr w:rsidR="00AF7689" w:rsidRPr="0037236A" w14:paraId="11524378" w14:textId="77777777" w:rsidTr="00AF7689">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EFEA359" w14:textId="77777777" w:rsidR="00AF7689" w:rsidRPr="0037236A" w:rsidRDefault="00AF7689">
            <w:pPr>
              <w:spacing w:before="0" w:after="0"/>
              <w:jc w:val="left"/>
              <w:rPr>
                <w:rFonts w:cs="Calibri"/>
                <w:color w:val="000000"/>
                <w:sz w:val="18"/>
                <w:szCs w:val="18"/>
                <w:lang w:eastAsia="es-CO"/>
              </w:rPr>
            </w:pPr>
            <w:r w:rsidRPr="0037236A">
              <w:rPr>
                <w:rFonts w:cs="Calibri"/>
                <w:color w:val="000000"/>
                <w:sz w:val="18"/>
                <w:szCs w:val="18"/>
                <w:lang w:eastAsia="es-CO"/>
              </w:rPr>
              <w:t>ANDI</w:t>
            </w:r>
          </w:p>
        </w:tc>
        <w:tc>
          <w:tcPr>
            <w:tcW w:w="0" w:type="auto"/>
            <w:tcBorders>
              <w:top w:val="nil"/>
              <w:left w:val="nil"/>
              <w:bottom w:val="single" w:sz="4" w:space="0" w:color="auto"/>
              <w:right w:val="single" w:sz="4" w:space="0" w:color="auto"/>
            </w:tcBorders>
            <w:shd w:val="clear" w:color="auto" w:fill="auto"/>
            <w:vAlign w:val="center"/>
            <w:hideMark/>
          </w:tcPr>
          <w:p w14:paraId="19CD5F9B" w14:textId="77777777" w:rsidR="00AF7689" w:rsidRPr="0037236A" w:rsidRDefault="00AF7689" w:rsidP="008D41DE">
            <w:pPr>
              <w:spacing w:before="0" w:after="0"/>
              <w:jc w:val="center"/>
              <w:rPr>
                <w:rFonts w:cs="Calibri"/>
                <w:color w:val="000000"/>
                <w:sz w:val="18"/>
                <w:szCs w:val="18"/>
                <w:lang w:eastAsia="es-CO"/>
              </w:rPr>
            </w:pPr>
            <w:r w:rsidRPr="0037236A">
              <w:rPr>
                <w:rFonts w:cs="Calibri"/>
                <w:color w:val="000000"/>
                <w:sz w:val="18"/>
                <w:szCs w:val="18"/>
                <w:lang w:eastAsia="es-CO"/>
              </w:rPr>
              <w:t>E2023015970</w:t>
            </w:r>
          </w:p>
        </w:tc>
      </w:tr>
      <w:tr w:rsidR="00AF7689" w:rsidRPr="0037236A" w14:paraId="2F620BF2" w14:textId="77777777" w:rsidTr="00AF7689">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BF2FAFC" w14:textId="77777777" w:rsidR="00AF7689" w:rsidRPr="0037236A" w:rsidRDefault="00AF7689">
            <w:pPr>
              <w:spacing w:before="0" w:after="0"/>
              <w:jc w:val="left"/>
              <w:rPr>
                <w:rFonts w:cs="Calibri"/>
                <w:color w:val="000000"/>
                <w:sz w:val="18"/>
                <w:szCs w:val="18"/>
                <w:lang w:eastAsia="es-CO"/>
              </w:rPr>
            </w:pPr>
            <w:r w:rsidRPr="0037236A">
              <w:rPr>
                <w:rFonts w:cs="Calibri"/>
                <w:color w:val="000000"/>
                <w:sz w:val="18"/>
                <w:szCs w:val="18"/>
                <w:lang w:eastAsia="es-CO"/>
              </w:rPr>
              <w:t>ENERGITEL S.A.S.</w:t>
            </w:r>
          </w:p>
        </w:tc>
        <w:tc>
          <w:tcPr>
            <w:tcW w:w="0" w:type="auto"/>
            <w:tcBorders>
              <w:top w:val="nil"/>
              <w:left w:val="nil"/>
              <w:bottom w:val="single" w:sz="4" w:space="0" w:color="auto"/>
              <w:right w:val="single" w:sz="4" w:space="0" w:color="auto"/>
            </w:tcBorders>
            <w:shd w:val="clear" w:color="auto" w:fill="auto"/>
            <w:vAlign w:val="center"/>
            <w:hideMark/>
          </w:tcPr>
          <w:p w14:paraId="43E1DCFA" w14:textId="77777777" w:rsidR="00AF7689" w:rsidRPr="0037236A" w:rsidRDefault="00AF7689" w:rsidP="008D41DE">
            <w:pPr>
              <w:spacing w:before="0" w:after="0"/>
              <w:jc w:val="center"/>
              <w:rPr>
                <w:rFonts w:cs="Calibri"/>
                <w:color w:val="000000"/>
                <w:sz w:val="18"/>
                <w:szCs w:val="18"/>
                <w:lang w:eastAsia="es-CO"/>
              </w:rPr>
            </w:pPr>
            <w:r w:rsidRPr="0037236A">
              <w:rPr>
                <w:rFonts w:cs="Calibri"/>
                <w:color w:val="000000"/>
                <w:sz w:val="18"/>
                <w:szCs w:val="18"/>
                <w:lang w:eastAsia="es-CO"/>
              </w:rPr>
              <w:t>E2023015992</w:t>
            </w:r>
          </w:p>
          <w:p w14:paraId="5393455A" w14:textId="4AE72C53" w:rsidR="00EA160E" w:rsidRPr="0037236A" w:rsidRDefault="00EA160E" w:rsidP="008D41DE">
            <w:pPr>
              <w:spacing w:before="0" w:after="0"/>
              <w:jc w:val="center"/>
              <w:rPr>
                <w:rFonts w:cs="Calibri"/>
                <w:color w:val="000000"/>
                <w:sz w:val="18"/>
                <w:szCs w:val="18"/>
                <w:lang w:eastAsia="es-CO"/>
              </w:rPr>
            </w:pPr>
            <w:r w:rsidRPr="0037236A">
              <w:rPr>
                <w:rFonts w:cs="Calibri"/>
                <w:color w:val="000000"/>
                <w:sz w:val="18"/>
                <w:szCs w:val="18"/>
                <w:lang w:eastAsia="es-CO"/>
              </w:rPr>
              <w:t>E2023015993</w:t>
            </w:r>
          </w:p>
        </w:tc>
      </w:tr>
      <w:tr w:rsidR="00AF7689" w:rsidRPr="0037236A" w14:paraId="1718E700" w14:textId="77777777" w:rsidTr="00AF7689">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38DEBAB" w14:textId="77777777" w:rsidR="00AF7689" w:rsidRPr="0037236A" w:rsidRDefault="00AF7689">
            <w:pPr>
              <w:spacing w:before="0" w:after="0"/>
              <w:jc w:val="left"/>
              <w:rPr>
                <w:rFonts w:cs="Calibri"/>
                <w:color w:val="000000"/>
                <w:sz w:val="18"/>
                <w:szCs w:val="18"/>
                <w:lang w:eastAsia="es-CO"/>
              </w:rPr>
            </w:pPr>
            <w:r w:rsidRPr="0037236A">
              <w:rPr>
                <w:rFonts w:cs="Calibri"/>
                <w:color w:val="000000"/>
                <w:sz w:val="18"/>
                <w:szCs w:val="18"/>
                <w:lang w:eastAsia="es-CO"/>
              </w:rPr>
              <w:t>GRUPO EPM</w:t>
            </w:r>
          </w:p>
        </w:tc>
        <w:tc>
          <w:tcPr>
            <w:tcW w:w="0" w:type="auto"/>
            <w:tcBorders>
              <w:top w:val="nil"/>
              <w:left w:val="nil"/>
              <w:bottom w:val="single" w:sz="4" w:space="0" w:color="auto"/>
              <w:right w:val="single" w:sz="4" w:space="0" w:color="auto"/>
            </w:tcBorders>
            <w:shd w:val="clear" w:color="auto" w:fill="auto"/>
            <w:vAlign w:val="center"/>
            <w:hideMark/>
          </w:tcPr>
          <w:p w14:paraId="3696C51B" w14:textId="77777777" w:rsidR="00AF7689" w:rsidRPr="0037236A" w:rsidRDefault="00AF7689" w:rsidP="008D41DE">
            <w:pPr>
              <w:spacing w:before="0" w:after="0"/>
              <w:jc w:val="center"/>
              <w:rPr>
                <w:rFonts w:cs="Calibri"/>
                <w:color w:val="000000"/>
                <w:sz w:val="18"/>
                <w:szCs w:val="18"/>
                <w:lang w:eastAsia="es-CO"/>
              </w:rPr>
            </w:pPr>
            <w:r w:rsidRPr="0037236A">
              <w:rPr>
                <w:rFonts w:cs="Calibri"/>
                <w:color w:val="000000"/>
                <w:sz w:val="18"/>
                <w:szCs w:val="18"/>
                <w:lang w:eastAsia="es-CO"/>
              </w:rPr>
              <w:t>E2023016016</w:t>
            </w:r>
          </w:p>
        </w:tc>
      </w:tr>
      <w:tr w:rsidR="00AF7689" w:rsidRPr="0037236A" w14:paraId="68292F56" w14:textId="77777777" w:rsidTr="00AF7689">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162A2AC" w14:textId="77777777" w:rsidR="00AF7689" w:rsidRPr="0037236A" w:rsidRDefault="00AF7689">
            <w:pPr>
              <w:spacing w:before="0" w:after="0"/>
              <w:jc w:val="left"/>
              <w:rPr>
                <w:rFonts w:cs="Calibri"/>
                <w:color w:val="000000"/>
                <w:sz w:val="18"/>
                <w:szCs w:val="18"/>
                <w:lang w:eastAsia="es-CO"/>
              </w:rPr>
            </w:pPr>
            <w:r w:rsidRPr="0037236A">
              <w:rPr>
                <w:rFonts w:cs="Calibri"/>
                <w:color w:val="000000"/>
                <w:sz w:val="18"/>
                <w:szCs w:val="18"/>
                <w:lang w:eastAsia="es-CO"/>
              </w:rPr>
              <w:t xml:space="preserve">COMITÉ ASESOR DE COMERCIALIZACIÓN C.A.C.  </w:t>
            </w:r>
          </w:p>
        </w:tc>
        <w:tc>
          <w:tcPr>
            <w:tcW w:w="0" w:type="auto"/>
            <w:tcBorders>
              <w:top w:val="nil"/>
              <w:left w:val="nil"/>
              <w:bottom w:val="single" w:sz="4" w:space="0" w:color="auto"/>
              <w:right w:val="single" w:sz="4" w:space="0" w:color="auto"/>
            </w:tcBorders>
            <w:shd w:val="clear" w:color="auto" w:fill="auto"/>
            <w:vAlign w:val="center"/>
            <w:hideMark/>
          </w:tcPr>
          <w:p w14:paraId="300778C0" w14:textId="77777777" w:rsidR="00AF7689" w:rsidRPr="0037236A" w:rsidRDefault="00AF7689" w:rsidP="008D41DE">
            <w:pPr>
              <w:spacing w:before="0" w:after="0"/>
              <w:jc w:val="center"/>
              <w:rPr>
                <w:rFonts w:cs="Calibri"/>
                <w:color w:val="000000"/>
                <w:sz w:val="18"/>
                <w:szCs w:val="18"/>
                <w:lang w:eastAsia="es-CO"/>
              </w:rPr>
            </w:pPr>
            <w:r w:rsidRPr="0037236A">
              <w:rPr>
                <w:rFonts w:cs="Calibri"/>
                <w:color w:val="000000"/>
                <w:sz w:val="18"/>
                <w:szCs w:val="18"/>
                <w:lang w:eastAsia="es-CO"/>
              </w:rPr>
              <w:t>E2023016037</w:t>
            </w:r>
          </w:p>
        </w:tc>
      </w:tr>
      <w:tr w:rsidR="00AF7689" w:rsidRPr="0037236A" w14:paraId="085CA71C" w14:textId="77777777" w:rsidTr="00AF7689">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F09E2F7" w14:textId="77777777" w:rsidR="00AF7689" w:rsidRPr="0037236A" w:rsidRDefault="00AF7689">
            <w:pPr>
              <w:spacing w:before="0" w:after="0"/>
              <w:jc w:val="left"/>
              <w:rPr>
                <w:rFonts w:cs="Calibri"/>
                <w:color w:val="000000"/>
                <w:sz w:val="18"/>
                <w:szCs w:val="18"/>
                <w:lang w:eastAsia="es-CO"/>
              </w:rPr>
            </w:pPr>
            <w:r w:rsidRPr="0037236A">
              <w:rPr>
                <w:rFonts w:cs="Calibri"/>
                <w:color w:val="000000"/>
                <w:sz w:val="18"/>
                <w:szCs w:val="18"/>
                <w:lang w:eastAsia="es-CO"/>
              </w:rPr>
              <w:t>GECELCA S.A. E.S.P.</w:t>
            </w:r>
          </w:p>
        </w:tc>
        <w:tc>
          <w:tcPr>
            <w:tcW w:w="0" w:type="auto"/>
            <w:tcBorders>
              <w:top w:val="nil"/>
              <w:left w:val="nil"/>
              <w:bottom w:val="single" w:sz="4" w:space="0" w:color="auto"/>
              <w:right w:val="single" w:sz="4" w:space="0" w:color="auto"/>
            </w:tcBorders>
            <w:shd w:val="clear" w:color="auto" w:fill="auto"/>
            <w:vAlign w:val="center"/>
            <w:hideMark/>
          </w:tcPr>
          <w:p w14:paraId="0954E6B7" w14:textId="77777777" w:rsidR="00AF7689" w:rsidRPr="0037236A" w:rsidRDefault="00AF7689" w:rsidP="008D41DE">
            <w:pPr>
              <w:spacing w:before="0" w:after="0"/>
              <w:jc w:val="center"/>
              <w:rPr>
                <w:rFonts w:cs="Calibri"/>
                <w:color w:val="000000"/>
                <w:sz w:val="18"/>
                <w:szCs w:val="18"/>
                <w:lang w:eastAsia="es-CO"/>
              </w:rPr>
            </w:pPr>
            <w:r w:rsidRPr="0037236A">
              <w:rPr>
                <w:rFonts w:cs="Calibri"/>
                <w:color w:val="000000"/>
                <w:sz w:val="18"/>
                <w:szCs w:val="18"/>
                <w:lang w:eastAsia="es-CO"/>
              </w:rPr>
              <w:t>E2023016045</w:t>
            </w:r>
          </w:p>
        </w:tc>
      </w:tr>
      <w:tr w:rsidR="00AF7689" w:rsidRPr="0037236A" w14:paraId="67E2F2C0" w14:textId="77777777" w:rsidTr="00AF7689">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583A3D4" w14:textId="77777777" w:rsidR="00AF7689" w:rsidRPr="0037236A" w:rsidRDefault="00AF7689">
            <w:pPr>
              <w:spacing w:before="0" w:after="0"/>
              <w:jc w:val="left"/>
              <w:rPr>
                <w:rFonts w:cs="Calibri"/>
                <w:color w:val="000000"/>
                <w:sz w:val="18"/>
                <w:szCs w:val="18"/>
                <w:lang w:eastAsia="es-CO"/>
              </w:rPr>
            </w:pPr>
            <w:r w:rsidRPr="0037236A">
              <w:rPr>
                <w:rFonts w:cs="Calibri"/>
                <w:color w:val="000000"/>
                <w:sz w:val="18"/>
                <w:szCs w:val="18"/>
                <w:lang w:eastAsia="es-CO"/>
              </w:rPr>
              <w:t>ENEL COLOMBIA S.A. E.S.P.</w:t>
            </w:r>
          </w:p>
        </w:tc>
        <w:tc>
          <w:tcPr>
            <w:tcW w:w="0" w:type="auto"/>
            <w:tcBorders>
              <w:top w:val="nil"/>
              <w:left w:val="nil"/>
              <w:bottom w:val="single" w:sz="4" w:space="0" w:color="auto"/>
              <w:right w:val="single" w:sz="4" w:space="0" w:color="auto"/>
            </w:tcBorders>
            <w:shd w:val="clear" w:color="auto" w:fill="auto"/>
            <w:vAlign w:val="center"/>
            <w:hideMark/>
          </w:tcPr>
          <w:p w14:paraId="0630E0DF" w14:textId="77777777" w:rsidR="00AF7689" w:rsidRPr="0037236A" w:rsidRDefault="00AF7689" w:rsidP="008D41DE">
            <w:pPr>
              <w:spacing w:before="0" w:after="0"/>
              <w:jc w:val="center"/>
              <w:rPr>
                <w:rFonts w:cs="Calibri"/>
                <w:color w:val="000000"/>
                <w:sz w:val="18"/>
                <w:szCs w:val="18"/>
                <w:lang w:eastAsia="es-CO"/>
              </w:rPr>
            </w:pPr>
            <w:r w:rsidRPr="0037236A">
              <w:rPr>
                <w:rFonts w:cs="Calibri"/>
                <w:color w:val="000000"/>
                <w:sz w:val="18"/>
                <w:szCs w:val="18"/>
                <w:lang w:eastAsia="es-CO"/>
              </w:rPr>
              <w:t>E2023016052</w:t>
            </w:r>
          </w:p>
        </w:tc>
      </w:tr>
      <w:tr w:rsidR="00AF7689" w:rsidRPr="0037236A" w14:paraId="400B3156" w14:textId="77777777" w:rsidTr="00AF7689">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8878EB0" w14:textId="77777777" w:rsidR="00AF7689" w:rsidRPr="0037236A" w:rsidRDefault="00AF7689">
            <w:pPr>
              <w:spacing w:before="0" w:after="0"/>
              <w:jc w:val="left"/>
              <w:rPr>
                <w:rFonts w:cs="Calibri"/>
                <w:color w:val="000000"/>
                <w:sz w:val="18"/>
                <w:szCs w:val="18"/>
                <w:lang w:eastAsia="es-CO"/>
              </w:rPr>
            </w:pPr>
            <w:r w:rsidRPr="0037236A">
              <w:rPr>
                <w:rFonts w:cs="Calibri"/>
                <w:color w:val="000000"/>
                <w:sz w:val="18"/>
                <w:szCs w:val="18"/>
                <w:lang w:eastAsia="es-CO"/>
              </w:rPr>
              <w:t>CELSIA S.A. E.S.P.</w:t>
            </w:r>
          </w:p>
        </w:tc>
        <w:tc>
          <w:tcPr>
            <w:tcW w:w="0" w:type="auto"/>
            <w:tcBorders>
              <w:top w:val="nil"/>
              <w:left w:val="nil"/>
              <w:bottom w:val="single" w:sz="4" w:space="0" w:color="auto"/>
              <w:right w:val="single" w:sz="4" w:space="0" w:color="auto"/>
            </w:tcBorders>
            <w:shd w:val="clear" w:color="auto" w:fill="auto"/>
            <w:vAlign w:val="center"/>
            <w:hideMark/>
          </w:tcPr>
          <w:p w14:paraId="5379AEBB" w14:textId="77777777" w:rsidR="00AF7689" w:rsidRPr="0037236A" w:rsidRDefault="00AF7689" w:rsidP="008D41DE">
            <w:pPr>
              <w:spacing w:before="0" w:after="0"/>
              <w:jc w:val="center"/>
              <w:rPr>
                <w:rFonts w:cs="Calibri"/>
                <w:color w:val="000000"/>
                <w:sz w:val="18"/>
                <w:szCs w:val="18"/>
                <w:lang w:eastAsia="es-CO"/>
              </w:rPr>
            </w:pPr>
            <w:r w:rsidRPr="0037236A">
              <w:rPr>
                <w:rFonts w:cs="Calibri"/>
                <w:color w:val="000000"/>
                <w:sz w:val="18"/>
                <w:szCs w:val="18"/>
                <w:lang w:eastAsia="es-CO"/>
              </w:rPr>
              <w:t>E2023016056</w:t>
            </w:r>
          </w:p>
        </w:tc>
      </w:tr>
      <w:tr w:rsidR="00AF7689" w:rsidRPr="0037236A" w14:paraId="4B2DFE90" w14:textId="77777777" w:rsidTr="00AF7689">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8709912" w14:textId="77777777" w:rsidR="00AF7689" w:rsidRPr="0037236A" w:rsidRDefault="00AF7689">
            <w:pPr>
              <w:spacing w:before="0" w:after="0"/>
              <w:jc w:val="left"/>
              <w:rPr>
                <w:rFonts w:cs="Calibri"/>
                <w:color w:val="000000"/>
                <w:sz w:val="18"/>
                <w:szCs w:val="18"/>
                <w:lang w:eastAsia="es-CO"/>
              </w:rPr>
            </w:pPr>
            <w:r w:rsidRPr="0037236A">
              <w:rPr>
                <w:rFonts w:cs="Calibri"/>
                <w:color w:val="000000"/>
                <w:sz w:val="18"/>
                <w:szCs w:val="18"/>
                <w:lang w:eastAsia="es-CO"/>
              </w:rPr>
              <w:t>VATIA S.A. E.S.P.</w:t>
            </w:r>
          </w:p>
        </w:tc>
        <w:tc>
          <w:tcPr>
            <w:tcW w:w="0" w:type="auto"/>
            <w:tcBorders>
              <w:top w:val="nil"/>
              <w:left w:val="nil"/>
              <w:bottom w:val="single" w:sz="4" w:space="0" w:color="auto"/>
              <w:right w:val="single" w:sz="4" w:space="0" w:color="auto"/>
            </w:tcBorders>
            <w:shd w:val="clear" w:color="auto" w:fill="auto"/>
            <w:vAlign w:val="center"/>
            <w:hideMark/>
          </w:tcPr>
          <w:p w14:paraId="62ACFF6F" w14:textId="77777777" w:rsidR="00AF7689" w:rsidRPr="0037236A" w:rsidRDefault="00AF7689" w:rsidP="008D41DE">
            <w:pPr>
              <w:spacing w:before="0" w:after="0"/>
              <w:jc w:val="center"/>
              <w:rPr>
                <w:rFonts w:cs="Calibri"/>
                <w:color w:val="000000"/>
                <w:sz w:val="18"/>
                <w:szCs w:val="18"/>
                <w:lang w:eastAsia="es-CO"/>
              </w:rPr>
            </w:pPr>
            <w:r w:rsidRPr="0037236A">
              <w:rPr>
                <w:rFonts w:cs="Calibri"/>
                <w:color w:val="000000"/>
                <w:sz w:val="18"/>
                <w:szCs w:val="18"/>
                <w:lang w:eastAsia="es-CO"/>
              </w:rPr>
              <w:t>E2023016059</w:t>
            </w:r>
          </w:p>
        </w:tc>
      </w:tr>
      <w:tr w:rsidR="00AF7689" w:rsidRPr="0037236A" w14:paraId="518714C0" w14:textId="77777777" w:rsidTr="00AF7689">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E8BBEA4" w14:textId="77777777" w:rsidR="00AF7689" w:rsidRPr="0037236A" w:rsidRDefault="00AF7689">
            <w:pPr>
              <w:spacing w:before="0" w:after="0"/>
              <w:jc w:val="left"/>
              <w:rPr>
                <w:rFonts w:cs="Calibri"/>
                <w:color w:val="000000"/>
                <w:sz w:val="18"/>
                <w:szCs w:val="18"/>
                <w:lang w:eastAsia="es-CO"/>
              </w:rPr>
            </w:pPr>
            <w:r w:rsidRPr="0037236A">
              <w:rPr>
                <w:rFonts w:cs="Calibri"/>
                <w:color w:val="000000"/>
                <w:sz w:val="18"/>
                <w:szCs w:val="18"/>
                <w:lang w:eastAsia="es-CO"/>
              </w:rPr>
              <w:t>ERCO ENERGÍA S.A.S.</w:t>
            </w:r>
          </w:p>
        </w:tc>
        <w:tc>
          <w:tcPr>
            <w:tcW w:w="0" w:type="auto"/>
            <w:tcBorders>
              <w:top w:val="nil"/>
              <w:left w:val="nil"/>
              <w:bottom w:val="single" w:sz="4" w:space="0" w:color="auto"/>
              <w:right w:val="single" w:sz="4" w:space="0" w:color="auto"/>
            </w:tcBorders>
            <w:shd w:val="clear" w:color="auto" w:fill="auto"/>
            <w:vAlign w:val="center"/>
            <w:hideMark/>
          </w:tcPr>
          <w:p w14:paraId="121D7BBD" w14:textId="77777777" w:rsidR="00AF7689" w:rsidRPr="0037236A" w:rsidRDefault="00AF7689" w:rsidP="008D41DE">
            <w:pPr>
              <w:spacing w:before="0" w:after="0"/>
              <w:jc w:val="center"/>
              <w:rPr>
                <w:rFonts w:cs="Calibri"/>
                <w:color w:val="000000"/>
                <w:sz w:val="18"/>
                <w:szCs w:val="18"/>
                <w:lang w:eastAsia="es-CO"/>
              </w:rPr>
            </w:pPr>
            <w:r w:rsidRPr="0037236A">
              <w:rPr>
                <w:rFonts w:cs="Calibri"/>
                <w:color w:val="000000"/>
                <w:sz w:val="18"/>
                <w:szCs w:val="18"/>
                <w:lang w:eastAsia="es-CO"/>
              </w:rPr>
              <w:t>E2023016060</w:t>
            </w:r>
          </w:p>
        </w:tc>
      </w:tr>
      <w:tr w:rsidR="00AF7689" w:rsidRPr="0037236A" w14:paraId="77108ED6" w14:textId="77777777" w:rsidTr="00AF7689">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633DB32" w14:textId="77777777" w:rsidR="00AF7689" w:rsidRPr="0037236A" w:rsidRDefault="00AF7689">
            <w:pPr>
              <w:spacing w:before="0" w:after="0"/>
              <w:jc w:val="left"/>
              <w:rPr>
                <w:rFonts w:cs="Calibri"/>
                <w:color w:val="000000"/>
                <w:sz w:val="18"/>
                <w:szCs w:val="18"/>
                <w:lang w:eastAsia="es-CO"/>
              </w:rPr>
            </w:pPr>
            <w:r w:rsidRPr="0037236A">
              <w:rPr>
                <w:rFonts w:cs="Calibri"/>
                <w:color w:val="000000"/>
                <w:sz w:val="18"/>
                <w:szCs w:val="18"/>
                <w:lang w:eastAsia="es-CO"/>
              </w:rPr>
              <w:t>ENERTOTAL S.A. E.S.P.</w:t>
            </w:r>
          </w:p>
        </w:tc>
        <w:tc>
          <w:tcPr>
            <w:tcW w:w="0" w:type="auto"/>
            <w:tcBorders>
              <w:top w:val="nil"/>
              <w:left w:val="nil"/>
              <w:bottom w:val="single" w:sz="4" w:space="0" w:color="auto"/>
              <w:right w:val="single" w:sz="4" w:space="0" w:color="auto"/>
            </w:tcBorders>
            <w:shd w:val="clear" w:color="auto" w:fill="auto"/>
            <w:vAlign w:val="center"/>
            <w:hideMark/>
          </w:tcPr>
          <w:p w14:paraId="4E6CF803" w14:textId="77777777" w:rsidR="00AF7689" w:rsidRPr="0037236A" w:rsidRDefault="00AF7689" w:rsidP="008D41DE">
            <w:pPr>
              <w:spacing w:before="0" w:after="0"/>
              <w:jc w:val="center"/>
              <w:rPr>
                <w:rFonts w:cs="Calibri"/>
                <w:color w:val="000000"/>
                <w:sz w:val="18"/>
                <w:szCs w:val="18"/>
                <w:lang w:eastAsia="es-CO"/>
              </w:rPr>
            </w:pPr>
            <w:r w:rsidRPr="0037236A">
              <w:rPr>
                <w:rFonts w:cs="Calibri"/>
                <w:color w:val="000000"/>
                <w:sz w:val="18"/>
                <w:szCs w:val="18"/>
                <w:lang w:eastAsia="es-CO"/>
              </w:rPr>
              <w:t>E2023016063</w:t>
            </w:r>
          </w:p>
        </w:tc>
      </w:tr>
      <w:tr w:rsidR="00AF7689" w:rsidRPr="0037236A" w14:paraId="3158344C" w14:textId="77777777" w:rsidTr="00767977">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144A4A6" w14:textId="77777777" w:rsidR="00AF7689" w:rsidRPr="0037236A" w:rsidRDefault="00AF7689">
            <w:pPr>
              <w:spacing w:before="0" w:after="0"/>
              <w:jc w:val="left"/>
              <w:rPr>
                <w:rFonts w:cs="Calibri"/>
                <w:color w:val="000000"/>
                <w:sz w:val="18"/>
                <w:szCs w:val="18"/>
                <w:lang w:eastAsia="es-CO"/>
              </w:rPr>
            </w:pPr>
            <w:r w:rsidRPr="0037236A">
              <w:rPr>
                <w:rFonts w:cs="Calibri"/>
                <w:color w:val="000000"/>
                <w:sz w:val="18"/>
                <w:szCs w:val="18"/>
                <w:lang w:eastAsia="es-CO"/>
              </w:rPr>
              <w:t>GRUPO BIOS</w:t>
            </w:r>
          </w:p>
        </w:tc>
        <w:tc>
          <w:tcPr>
            <w:tcW w:w="0" w:type="auto"/>
            <w:tcBorders>
              <w:top w:val="nil"/>
              <w:left w:val="nil"/>
              <w:bottom w:val="single" w:sz="4" w:space="0" w:color="auto"/>
              <w:right w:val="single" w:sz="4" w:space="0" w:color="auto"/>
            </w:tcBorders>
            <w:shd w:val="clear" w:color="auto" w:fill="auto"/>
            <w:vAlign w:val="center"/>
            <w:hideMark/>
          </w:tcPr>
          <w:p w14:paraId="516D465A" w14:textId="77777777" w:rsidR="00AF7689" w:rsidRPr="0037236A" w:rsidRDefault="00AF7689" w:rsidP="008D41DE">
            <w:pPr>
              <w:spacing w:before="0" w:after="0"/>
              <w:jc w:val="center"/>
              <w:rPr>
                <w:rFonts w:cs="Calibri"/>
                <w:color w:val="000000"/>
                <w:sz w:val="18"/>
                <w:szCs w:val="18"/>
                <w:lang w:eastAsia="es-CO"/>
              </w:rPr>
            </w:pPr>
            <w:r w:rsidRPr="0037236A">
              <w:rPr>
                <w:rFonts w:cs="Calibri"/>
                <w:color w:val="000000"/>
                <w:sz w:val="18"/>
                <w:szCs w:val="18"/>
                <w:lang w:eastAsia="es-CO"/>
              </w:rPr>
              <w:t>E2023016097</w:t>
            </w:r>
          </w:p>
        </w:tc>
      </w:tr>
      <w:tr w:rsidR="00B1666C" w:rsidRPr="0037236A" w14:paraId="40B730EA" w14:textId="77777777" w:rsidTr="00767977">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236DD0A6" w14:textId="460E8274" w:rsidR="00B1666C" w:rsidRPr="0037236A" w:rsidRDefault="001A3C78">
            <w:pPr>
              <w:spacing w:before="0" w:after="0"/>
              <w:jc w:val="left"/>
              <w:rPr>
                <w:rFonts w:cs="Calibri"/>
                <w:color w:val="000000"/>
                <w:sz w:val="18"/>
                <w:szCs w:val="18"/>
                <w:lang w:eastAsia="es-CO"/>
              </w:rPr>
            </w:pPr>
            <w:r w:rsidRPr="0037236A">
              <w:rPr>
                <w:rFonts w:cs="Calibri"/>
                <w:color w:val="000000"/>
                <w:sz w:val="18"/>
                <w:szCs w:val="18"/>
                <w:lang w:eastAsia="es-CO"/>
              </w:rPr>
              <w:t>DANIEL ZAPATA</w:t>
            </w:r>
          </w:p>
        </w:tc>
        <w:tc>
          <w:tcPr>
            <w:tcW w:w="0" w:type="auto"/>
            <w:tcBorders>
              <w:top w:val="nil"/>
              <w:left w:val="nil"/>
              <w:bottom w:val="single" w:sz="4" w:space="0" w:color="auto"/>
              <w:right w:val="single" w:sz="4" w:space="0" w:color="auto"/>
            </w:tcBorders>
            <w:shd w:val="clear" w:color="auto" w:fill="auto"/>
            <w:vAlign w:val="center"/>
          </w:tcPr>
          <w:p w14:paraId="46EA36F6" w14:textId="28E1A409" w:rsidR="00B1666C" w:rsidRPr="0037236A" w:rsidRDefault="00093133" w:rsidP="008D41DE">
            <w:pPr>
              <w:spacing w:before="0" w:after="0"/>
              <w:jc w:val="center"/>
              <w:rPr>
                <w:rFonts w:cs="Calibri"/>
                <w:color w:val="000000"/>
                <w:sz w:val="18"/>
                <w:szCs w:val="18"/>
                <w:lang w:eastAsia="es-CO"/>
              </w:rPr>
            </w:pPr>
            <w:r w:rsidRPr="0037236A">
              <w:rPr>
                <w:rFonts w:cs="Calibri"/>
                <w:color w:val="000000"/>
                <w:sz w:val="18"/>
                <w:szCs w:val="18"/>
                <w:lang w:eastAsia="es-CO"/>
              </w:rPr>
              <w:t>E2023017567</w:t>
            </w:r>
          </w:p>
        </w:tc>
      </w:tr>
      <w:tr w:rsidR="000B54C7" w:rsidRPr="0037236A" w14:paraId="130D85C2" w14:textId="77777777" w:rsidTr="00767977">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3D535C05" w14:textId="14F00F8B" w:rsidR="000B54C7" w:rsidRPr="0037236A" w:rsidRDefault="00DE3065" w:rsidP="000B54C7">
            <w:pPr>
              <w:spacing w:before="0" w:after="0"/>
              <w:jc w:val="left"/>
              <w:rPr>
                <w:rFonts w:cs="Calibri"/>
                <w:color w:val="000000"/>
                <w:sz w:val="18"/>
                <w:szCs w:val="18"/>
                <w:lang w:eastAsia="es-CO"/>
              </w:rPr>
            </w:pPr>
            <w:r w:rsidRPr="0037236A">
              <w:rPr>
                <w:rFonts w:cs="Calibri"/>
                <w:color w:val="000000"/>
                <w:sz w:val="18"/>
                <w:szCs w:val="18"/>
                <w:lang w:eastAsia="es-CO"/>
              </w:rPr>
              <w:t>METRO DE MEDELLÍN</w:t>
            </w:r>
          </w:p>
        </w:tc>
        <w:tc>
          <w:tcPr>
            <w:tcW w:w="0" w:type="auto"/>
            <w:tcBorders>
              <w:top w:val="nil"/>
              <w:left w:val="nil"/>
              <w:bottom w:val="single" w:sz="4" w:space="0" w:color="auto"/>
              <w:right w:val="single" w:sz="4" w:space="0" w:color="auto"/>
            </w:tcBorders>
            <w:shd w:val="clear" w:color="auto" w:fill="auto"/>
            <w:vAlign w:val="center"/>
          </w:tcPr>
          <w:p w14:paraId="41FE0DE6" w14:textId="52DABAD6" w:rsidR="000B54C7" w:rsidRPr="0037236A" w:rsidRDefault="000B54C7" w:rsidP="008D41DE">
            <w:pPr>
              <w:spacing w:before="0" w:after="0"/>
              <w:jc w:val="center"/>
              <w:rPr>
                <w:rFonts w:cs="Calibri"/>
                <w:color w:val="000000"/>
                <w:sz w:val="18"/>
                <w:szCs w:val="18"/>
                <w:lang w:eastAsia="es-CO"/>
              </w:rPr>
            </w:pPr>
            <w:r w:rsidRPr="0037236A">
              <w:rPr>
                <w:rFonts w:cs="Calibri"/>
                <w:color w:val="000000"/>
                <w:sz w:val="18"/>
                <w:szCs w:val="18"/>
                <w:lang w:eastAsia="es-CO"/>
              </w:rPr>
              <w:t>Jornadas de divulgación</w:t>
            </w:r>
          </w:p>
        </w:tc>
      </w:tr>
      <w:tr w:rsidR="000B54C7" w:rsidRPr="0037236A" w14:paraId="5545A6D3" w14:textId="77777777" w:rsidTr="00767977">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00CC6417" w14:textId="3D6068D3" w:rsidR="000B54C7" w:rsidRPr="0037236A" w:rsidRDefault="00DE3065" w:rsidP="000B54C7">
            <w:pPr>
              <w:spacing w:before="0" w:after="0"/>
              <w:jc w:val="left"/>
              <w:rPr>
                <w:rFonts w:cs="Calibri"/>
                <w:color w:val="000000"/>
                <w:sz w:val="18"/>
                <w:szCs w:val="18"/>
                <w:lang w:eastAsia="es-CO"/>
              </w:rPr>
            </w:pPr>
            <w:r w:rsidRPr="0037236A">
              <w:rPr>
                <w:rFonts w:cs="Calibri"/>
                <w:color w:val="000000"/>
                <w:sz w:val="18"/>
                <w:szCs w:val="18"/>
                <w:lang w:eastAsia="es-CO"/>
              </w:rPr>
              <w:t>GABRIEL ORDOÑEZ - UIS</w:t>
            </w:r>
          </w:p>
        </w:tc>
        <w:tc>
          <w:tcPr>
            <w:tcW w:w="0" w:type="auto"/>
            <w:tcBorders>
              <w:top w:val="nil"/>
              <w:left w:val="nil"/>
              <w:bottom w:val="single" w:sz="4" w:space="0" w:color="auto"/>
              <w:right w:val="single" w:sz="4" w:space="0" w:color="auto"/>
            </w:tcBorders>
            <w:shd w:val="clear" w:color="auto" w:fill="auto"/>
            <w:vAlign w:val="center"/>
          </w:tcPr>
          <w:p w14:paraId="3C28763C" w14:textId="2C3E8B12" w:rsidR="000B54C7" w:rsidRPr="0037236A" w:rsidRDefault="000B54C7" w:rsidP="008D41DE">
            <w:pPr>
              <w:spacing w:before="0" w:after="0"/>
              <w:jc w:val="center"/>
              <w:rPr>
                <w:rFonts w:cs="Calibri"/>
                <w:color w:val="000000"/>
                <w:sz w:val="18"/>
                <w:szCs w:val="18"/>
                <w:lang w:eastAsia="es-CO"/>
              </w:rPr>
            </w:pPr>
            <w:r w:rsidRPr="0037236A">
              <w:rPr>
                <w:rFonts w:cs="Calibri"/>
                <w:color w:val="000000"/>
                <w:sz w:val="18"/>
                <w:szCs w:val="18"/>
                <w:lang w:eastAsia="es-CO"/>
              </w:rPr>
              <w:t>Jornadas de divulgación</w:t>
            </w:r>
          </w:p>
        </w:tc>
      </w:tr>
    </w:tbl>
    <w:p w14:paraId="5ADDCC5F" w14:textId="77777777" w:rsidR="008C5042" w:rsidRDefault="008C5042" w:rsidP="008D41DE">
      <w:pPr>
        <w:pStyle w:val="Descripcin"/>
      </w:pPr>
    </w:p>
    <w:p w14:paraId="378DCA02" w14:textId="23A2653A" w:rsidR="00D85B2D" w:rsidRDefault="00D85B2D" w:rsidP="008D41DE">
      <w:pPr>
        <w:pStyle w:val="Descripcin"/>
      </w:pPr>
      <w:r>
        <w:t xml:space="preserve">Tabla </w:t>
      </w:r>
      <w:r>
        <w:fldChar w:fldCharType="begin"/>
      </w:r>
      <w:r>
        <w:instrText>SEQ Tabla \* ARABIC</w:instrText>
      </w:r>
      <w:r>
        <w:fldChar w:fldCharType="separate"/>
      </w:r>
      <w:r w:rsidR="00DC6708">
        <w:rPr>
          <w:noProof/>
        </w:rPr>
        <w:t>4</w:t>
      </w:r>
      <w:r>
        <w:fldChar w:fldCharType="end"/>
      </w:r>
      <w:r>
        <w:t xml:space="preserve"> Cantidad de comentarios recibidos por grupo de interés</w:t>
      </w:r>
    </w:p>
    <w:tbl>
      <w:tblPr>
        <w:tblStyle w:val="Tablaconcuadrcula"/>
        <w:tblW w:w="2954" w:type="pct"/>
        <w:jc w:val="center"/>
        <w:tblLook w:val="04A0" w:firstRow="1" w:lastRow="0" w:firstColumn="1" w:lastColumn="0" w:noHBand="0" w:noVBand="1"/>
      </w:tblPr>
      <w:tblGrid>
        <w:gridCol w:w="3824"/>
        <w:gridCol w:w="1559"/>
      </w:tblGrid>
      <w:tr w:rsidR="002C29FB" w:rsidRPr="00E21037" w14:paraId="79161788" w14:textId="77777777" w:rsidTr="00E21037">
        <w:trPr>
          <w:trHeight w:val="288"/>
          <w:jc w:val="center"/>
        </w:trPr>
        <w:tc>
          <w:tcPr>
            <w:tcW w:w="3552" w:type="pct"/>
            <w:noWrap/>
            <w:vAlign w:val="center"/>
            <w:hideMark/>
          </w:tcPr>
          <w:p w14:paraId="225BE358" w14:textId="77777777" w:rsidR="002C29FB" w:rsidRPr="00E21037" w:rsidRDefault="002C29FB" w:rsidP="002C29FB">
            <w:pPr>
              <w:spacing w:before="0" w:after="0"/>
              <w:jc w:val="center"/>
              <w:rPr>
                <w:rFonts w:cs="Calibri"/>
                <w:b/>
                <w:color w:val="000000"/>
                <w:sz w:val="18"/>
                <w:szCs w:val="18"/>
                <w:lang w:eastAsia="es-CO"/>
              </w:rPr>
            </w:pPr>
            <w:r w:rsidRPr="00E21037">
              <w:rPr>
                <w:rFonts w:cs="Calibri"/>
                <w:b/>
                <w:color w:val="000000"/>
                <w:sz w:val="18"/>
                <w:szCs w:val="18"/>
                <w:lang w:eastAsia="es-CO"/>
              </w:rPr>
              <w:t>Clasificación grupo de interés</w:t>
            </w:r>
          </w:p>
        </w:tc>
        <w:tc>
          <w:tcPr>
            <w:tcW w:w="1448" w:type="pct"/>
            <w:noWrap/>
            <w:vAlign w:val="center"/>
            <w:hideMark/>
          </w:tcPr>
          <w:p w14:paraId="3A2D5B58" w14:textId="77777777" w:rsidR="002C29FB" w:rsidRPr="00E21037" w:rsidRDefault="002C29FB" w:rsidP="002C29FB">
            <w:pPr>
              <w:spacing w:before="0" w:after="0"/>
              <w:jc w:val="center"/>
              <w:rPr>
                <w:rFonts w:cs="Calibri"/>
                <w:b/>
                <w:color w:val="000000"/>
                <w:sz w:val="18"/>
                <w:szCs w:val="18"/>
                <w:lang w:eastAsia="es-CO"/>
              </w:rPr>
            </w:pPr>
            <w:r w:rsidRPr="00E21037">
              <w:rPr>
                <w:rFonts w:cs="Calibri"/>
                <w:b/>
                <w:color w:val="000000"/>
                <w:sz w:val="18"/>
                <w:szCs w:val="18"/>
                <w:lang w:eastAsia="es-CO"/>
              </w:rPr>
              <w:t>Cantidad</w:t>
            </w:r>
          </w:p>
        </w:tc>
      </w:tr>
      <w:tr w:rsidR="002C29FB" w:rsidRPr="00E21037" w14:paraId="658BFC11" w14:textId="77777777" w:rsidTr="00E21037">
        <w:trPr>
          <w:trHeight w:val="288"/>
          <w:jc w:val="center"/>
        </w:trPr>
        <w:tc>
          <w:tcPr>
            <w:tcW w:w="3552" w:type="pct"/>
            <w:noWrap/>
            <w:vAlign w:val="center"/>
            <w:hideMark/>
          </w:tcPr>
          <w:p w14:paraId="5F91B111" w14:textId="77777777" w:rsidR="002C29FB" w:rsidRPr="00E21037" w:rsidRDefault="002C29FB" w:rsidP="002C29FB">
            <w:pPr>
              <w:spacing w:before="0" w:after="0"/>
              <w:jc w:val="left"/>
              <w:rPr>
                <w:rFonts w:cs="Calibri"/>
                <w:color w:val="000000"/>
                <w:sz w:val="18"/>
                <w:szCs w:val="18"/>
                <w:lang w:eastAsia="es-CO"/>
              </w:rPr>
            </w:pPr>
            <w:r w:rsidRPr="00E21037">
              <w:rPr>
                <w:rFonts w:cs="Calibri"/>
                <w:color w:val="000000"/>
                <w:sz w:val="18"/>
                <w:szCs w:val="18"/>
                <w:lang w:eastAsia="es-CO"/>
              </w:rPr>
              <w:t>Agentes</w:t>
            </w:r>
          </w:p>
        </w:tc>
        <w:tc>
          <w:tcPr>
            <w:tcW w:w="1448" w:type="pct"/>
            <w:noWrap/>
            <w:vAlign w:val="center"/>
            <w:hideMark/>
          </w:tcPr>
          <w:p w14:paraId="7342D255" w14:textId="77777777" w:rsidR="002C29FB" w:rsidRPr="00E21037" w:rsidRDefault="002C29FB" w:rsidP="002C29FB">
            <w:pPr>
              <w:spacing w:before="0" w:after="0"/>
              <w:jc w:val="center"/>
              <w:rPr>
                <w:rFonts w:cs="Calibri"/>
                <w:color w:val="000000"/>
                <w:sz w:val="18"/>
                <w:szCs w:val="18"/>
                <w:lang w:eastAsia="es-CO"/>
              </w:rPr>
            </w:pPr>
            <w:r w:rsidRPr="00E21037">
              <w:rPr>
                <w:rFonts w:cs="Calibri"/>
                <w:color w:val="000000"/>
                <w:sz w:val="18"/>
                <w:szCs w:val="18"/>
                <w:lang w:eastAsia="es-CO"/>
              </w:rPr>
              <w:t>12</w:t>
            </w:r>
          </w:p>
        </w:tc>
      </w:tr>
      <w:tr w:rsidR="002C29FB" w:rsidRPr="00E21037" w14:paraId="24EEB935" w14:textId="77777777" w:rsidTr="00E21037">
        <w:trPr>
          <w:trHeight w:val="288"/>
          <w:jc w:val="center"/>
        </w:trPr>
        <w:tc>
          <w:tcPr>
            <w:tcW w:w="3552" w:type="pct"/>
            <w:noWrap/>
            <w:vAlign w:val="center"/>
            <w:hideMark/>
          </w:tcPr>
          <w:p w14:paraId="4651F550" w14:textId="77777777" w:rsidR="002C29FB" w:rsidRPr="00E21037" w:rsidRDefault="002C29FB" w:rsidP="002C29FB">
            <w:pPr>
              <w:spacing w:before="0" w:after="0"/>
              <w:jc w:val="left"/>
              <w:rPr>
                <w:rFonts w:cs="Calibri"/>
                <w:color w:val="000000"/>
                <w:sz w:val="18"/>
                <w:szCs w:val="18"/>
                <w:lang w:eastAsia="es-CO"/>
              </w:rPr>
            </w:pPr>
            <w:r w:rsidRPr="00E21037">
              <w:rPr>
                <w:rFonts w:cs="Calibri"/>
                <w:color w:val="000000"/>
                <w:sz w:val="18"/>
                <w:szCs w:val="18"/>
                <w:lang w:eastAsia="es-CO"/>
              </w:rPr>
              <w:t>Agremiaciones</w:t>
            </w:r>
          </w:p>
        </w:tc>
        <w:tc>
          <w:tcPr>
            <w:tcW w:w="1448" w:type="pct"/>
            <w:noWrap/>
            <w:vAlign w:val="center"/>
            <w:hideMark/>
          </w:tcPr>
          <w:p w14:paraId="513CCF6F" w14:textId="77777777" w:rsidR="002C29FB" w:rsidRPr="00E21037" w:rsidRDefault="002C29FB" w:rsidP="002C29FB">
            <w:pPr>
              <w:spacing w:before="0" w:after="0"/>
              <w:jc w:val="center"/>
              <w:rPr>
                <w:rFonts w:cs="Calibri"/>
                <w:color w:val="000000"/>
                <w:sz w:val="18"/>
                <w:szCs w:val="18"/>
                <w:lang w:eastAsia="es-CO"/>
              </w:rPr>
            </w:pPr>
            <w:r w:rsidRPr="00E21037">
              <w:rPr>
                <w:rFonts w:cs="Calibri"/>
                <w:color w:val="000000"/>
                <w:sz w:val="18"/>
                <w:szCs w:val="18"/>
                <w:lang w:eastAsia="es-CO"/>
              </w:rPr>
              <w:t>5</w:t>
            </w:r>
          </w:p>
        </w:tc>
      </w:tr>
      <w:tr w:rsidR="002C29FB" w:rsidRPr="00E21037" w14:paraId="193F72AB" w14:textId="77777777" w:rsidTr="00E21037">
        <w:trPr>
          <w:trHeight w:val="288"/>
          <w:jc w:val="center"/>
        </w:trPr>
        <w:tc>
          <w:tcPr>
            <w:tcW w:w="3552" w:type="pct"/>
            <w:noWrap/>
            <w:vAlign w:val="center"/>
            <w:hideMark/>
          </w:tcPr>
          <w:p w14:paraId="7543DE99" w14:textId="1250C3CB" w:rsidR="002C29FB" w:rsidRPr="00E21037" w:rsidRDefault="00DC40EE" w:rsidP="002C29FB">
            <w:pPr>
              <w:spacing w:before="0" w:after="0"/>
              <w:jc w:val="left"/>
              <w:rPr>
                <w:rFonts w:cs="Calibri"/>
                <w:color w:val="000000"/>
                <w:sz w:val="18"/>
                <w:szCs w:val="18"/>
                <w:lang w:eastAsia="es-CO"/>
              </w:rPr>
            </w:pPr>
            <w:r w:rsidRPr="00E21037">
              <w:rPr>
                <w:rFonts w:cs="Calibri"/>
                <w:color w:val="000000"/>
                <w:sz w:val="18"/>
                <w:szCs w:val="18"/>
                <w:lang w:eastAsia="es-CO"/>
              </w:rPr>
              <w:t>Usuarios</w:t>
            </w:r>
          </w:p>
        </w:tc>
        <w:tc>
          <w:tcPr>
            <w:tcW w:w="1448" w:type="pct"/>
            <w:noWrap/>
            <w:vAlign w:val="center"/>
            <w:hideMark/>
          </w:tcPr>
          <w:p w14:paraId="47BF8433" w14:textId="5647777F" w:rsidR="002C29FB" w:rsidRPr="00E21037" w:rsidRDefault="00DC40EE" w:rsidP="002C29FB">
            <w:pPr>
              <w:spacing w:before="0" w:after="0"/>
              <w:jc w:val="center"/>
              <w:rPr>
                <w:rFonts w:cs="Calibri"/>
                <w:color w:val="000000"/>
                <w:sz w:val="18"/>
                <w:szCs w:val="18"/>
                <w:lang w:eastAsia="es-CO"/>
              </w:rPr>
            </w:pPr>
            <w:r w:rsidRPr="00E21037">
              <w:rPr>
                <w:rFonts w:cs="Calibri"/>
                <w:color w:val="000000"/>
                <w:sz w:val="18"/>
                <w:szCs w:val="18"/>
                <w:lang w:eastAsia="es-CO"/>
              </w:rPr>
              <w:t>3</w:t>
            </w:r>
          </w:p>
        </w:tc>
      </w:tr>
      <w:tr w:rsidR="002C29FB" w:rsidRPr="00E21037" w14:paraId="1E6F2840" w14:textId="77777777" w:rsidTr="00E21037">
        <w:trPr>
          <w:trHeight w:val="288"/>
          <w:jc w:val="center"/>
        </w:trPr>
        <w:tc>
          <w:tcPr>
            <w:tcW w:w="3552" w:type="pct"/>
            <w:noWrap/>
            <w:vAlign w:val="center"/>
            <w:hideMark/>
          </w:tcPr>
          <w:p w14:paraId="321ED14E" w14:textId="27EC1717" w:rsidR="002C29FB" w:rsidRPr="00E21037" w:rsidRDefault="00DC40EE" w:rsidP="002C29FB">
            <w:pPr>
              <w:spacing w:before="0" w:after="0"/>
              <w:jc w:val="left"/>
              <w:rPr>
                <w:rFonts w:cs="Calibri"/>
                <w:color w:val="000000"/>
                <w:sz w:val="18"/>
                <w:szCs w:val="18"/>
                <w:lang w:eastAsia="es-CO"/>
              </w:rPr>
            </w:pPr>
            <w:r w:rsidRPr="00E21037">
              <w:rPr>
                <w:rFonts w:cs="Calibri"/>
                <w:color w:val="000000"/>
                <w:sz w:val="18"/>
                <w:szCs w:val="18"/>
                <w:lang w:eastAsia="es-CO"/>
              </w:rPr>
              <w:t>Jornadas de divulgación</w:t>
            </w:r>
          </w:p>
        </w:tc>
        <w:tc>
          <w:tcPr>
            <w:tcW w:w="1448" w:type="pct"/>
            <w:noWrap/>
            <w:vAlign w:val="center"/>
            <w:hideMark/>
          </w:tcPr>
          <w:p w14:paraId="6350663D" w14:textId="6EEB0064" w:rsidR="002C29FB" w:rsidRPr="00E21037" w:rsidRDefault="00DC40EE" w:rsidP="002C29FB">
            <w:pPr>
              <w:spacing w:before="0" w:after="0"/>
              <w:jc w:val="center"/>
              <w:rPr>
                <w:rFonts w:cs="Calibri"/>
                <w:color w:val="000000"/>
                <w:sz w:val="18"/>
                <w:szCs w:val="18"/>
                <w:lang w:eastAsia="es-CO"/>
              </w:rPr>
            </w:pPr>
            <w:r w:rsidRPr="00E21037">
              <w:rPr>
                <w:rFonts w:cs="Calibri"/>
                <w:color w:val="000000"/>
                <w:sz w:val="18"/>
                <w:szCs w:val="18"/>
                <w:lang w:eastAsia="es-CO"/>
              </w:rPr>
              <w:t>2</w:t>
            </w:r>
          </w:p>
        </w:tc>
      </w:tr>
      <w:tr w:rsidR="002C29FB" w:rsidRPr="00E21037" w14:paraId="6F1A940A" w14:textId="77777777" w:rsidTr="00E21037">
        <w:trPr>
          <w:trHeight w:val="288"/>
          <w:jc w:val="center"/>
        </w:trPr>
        <w:tc>
          <w:tcPr>
            <w:tcW w:w="3552" w:type="pct"/>
            <w:noWrap/>
            <w:vAlign w:val="center"/>
            <w:hideMark/>
          </w:tcPr>
          <w:p w14:paraId="2967DCEB" w14:textId="77777777" w:rsidR="002C29FB" w:rsidRPr="00E21037" w:rsidRDefault="002C29FB" w:rsidP="002C29FB">
            <w:pPr>
              <w:spacing w:before="0" w:after="0"/>
              <w:jc w:val="left"/>
              <w:rPr>
                <w:rFonts w:cs="Calibri"/>
                <w:color w:val="000000"/>
                <w:sz w:val="18"/>
                <w:szCs w:val="18"/>
                <w:lang w:eastAsia="es-CO"/>
              </w:rPr>
            </w:pPr>
            <w:r w:rsidRPr="00E21037">
              <w:rPr>
                <w:rFonts w:cs="Calibri"/>
                <w:color w:val="000000"/>
                <w:sz w:val="18"/>
                <w:szCs w:val="18"/>
                <w:lang w:eastAsia="es-CO"/>
              </w:rPr>
              <w:t>Otros grupos de interés*</w:t>
            </w:r>
          </w:p>
        </w:tc>
        <w:tc>
          <w:tcPr>
            <w:tcW w:w="1448" w:type="pct"/>
            <w:noWrap/>
            <w:vAlign w:val="center"/>
            <w:hideMark/>
          </w:tcPr>
          <w:p w14:paraId="1092E9A8" w14:textId="77777777" w:rsidR="002C29FB" w:rsidRPr="00E21037" w:rsidRDefault="002C29FB" w:rsidP="002C29FB">
            <w:pPr>
              <w:spacing w:before="0" w:after="0"/>
              <w:jc w:val="center"/>
              <w:rPr>
                <w:rFonts w:cs="Calibri"/>
                <w:color w:val="000000"/>
                <w:sz w:val="18"/>
                <w:szCs w:val="18"/>
                <w:lang w:eastAsia="es-CO"/>
              </w:rPr>
            </w:pPr>
            <w:r w:rsidRPr="00E21037">
              <w:rPr>
                <w:rFonts w:cs="Calibri"/>
                <w:color w:val="000000"/>
                <w:sz w:val="18"/>
                <w:szCs w:val="18"/>
                <w:lang w:eastAsia="es-CO"/>
              </w:rPr>
              <w:t>2</w:t>
            </w:r>
          </w:p>
        </w:tc>
      </w:tr>
      <w:tr w:rsidR="002C29FB" w:rsidRPr="00E21037" w14:paraId="4C274FE8" w14:textId="77777777" w:rsidTr="00E21037">
        <w:trPr>
          <w:trHeight w:val="288"/>
          <w:jc w:val="center"/>
        </w:trPr>
        <w:tc>
          <w:tcPr>
            <w:tcW w:w="3552" w:type="pct"/>
            <w:tcBorders>
              <w:bottom w:val="single" w:sz="4" w:space="0" w:color="auto"/>
            </w:tcBorders>
            <w:noWrap/>
            <w:vAlign w:val="center"/>
            <w:hideMark/>
          </w:tcPr>
          <w:p w14:paraId="27D5D16B" w14:textId="77777777" w:rsidR="002C29FB" w:rsidRPr="00E21037" w:rsidRDefault="002C29FB" w:rsidP="008D41DE">
            <w:pPr>
              <w:spacing w:before="0" w:after="0"/>
              <w:jc w:val="center"/>
              <w:rPr>
                <w:rFonts w:cs="Calibri"/>
                <w:b/>
                <w:color w:val="000000"/>
                <w:sz w:val="18"/>
                <w:szCs w:val="18"/>
                <w:lang w:eastAsia="es-CO"/>
              </w:rPr>
            </w:pPr>
            <w:r w:rsidRPr="00E21037">
              <w:rPr>
                <w:rFonts w:cs="Calibri"/>
                <w:b/>
                <w:color w:val="000000"/>
                <w:sz w:val="18"/>
                <w:szCs w:val="18"/>
                <w:lang w:eastAsia="es-CO"/>
              </w:rPr>
              <w:t>TOTAL</w:t>
            </w:r>
          </w:p>
        </w:tc>
        <w:tc>
          <w:tcPr>
            <w:tcW w:w="1448" w:type="pct"/>
            <w:tcBorders>
              <w:bottom w:val="single" w:sz="4" w:space="0" w:color="auto"/>
            </w:tcBorders>
            <w:noWrap/>
            <w:vAlign w:val="center"/>
            <w:hideMark/>
          </w:tcPr>
          <w:p w14:paraId="50CFBA34" w14:textId="77777777" w:rsidR="002C29FB" w:rsidRPr="00E21037" w:rsidRDefault="002C29FB" w:rsidP="002C29FB">
            <w:pPr>
              <w:spacing w:before="0" w:after="0"/>
              <w:jc w:val="center"/>
              <w:rPr>
                <w:rFonts w:cs="Calibri"/>
                <w:b/>
                <w:color w:val="000000"/>
                <w:sz w:val="18"/>
                <w:szCs w:val="18"/>
                <w:lang w:eastAsia="es-CO"/>
              </w:rPr>
            </w:pPr>
            <w:r w:rsidRPr="00E21037">
              <w:rPr>
                <w:rFonts w:cs="Calibri"/>
                <w:b/>
                <w:color w:val="000000"/>
                <w:sz w:val="18"/>
                <w:szCs w:val="18"/>
                <w:lang w:eastAsia="es-CO"/>
              </w:rPr>
              <w:t>24</w:t>
            </w:r>
          </w:p>
        </w:tc>
      </w:tr>
      <w:tr w:rsidR="002C29FB" w:rsidRPr="00E21037" w14:paraId="29FDA962" w14:textId="77777777" w:rsidTr="00E21037">
        <w:trPr>
          <w:trHeight w:val="288"/>
          <w:jc w:val="center"/>
        </w:trPr>
        <w:tc>
          <w:tcPr>
            <w:tcW w:w="3552" w:type="pct"/>
            <w:tcBorders>
              <w:top w:val="single" w:sz="4" w:space="0" w:color="auto"/>
              <w:left w:val="nil"/>
              <w:bottom w:val="nil"/>
              <w:right w:val="nil"/>
            </w:tcBorders>
            <w:noWrap/>
            <w:hideMark/>
          </w:tcPr>
          <w:p w14:paraId="1B314A28" w14:textId="77777777" w:rsidR="002C29FB" w:rsidRPr="00E21037" w:rsidRDefault="002C29FB" w:rsidP="002C29FB">
            <w:pPr>
              <w:spacing w:before="0" w:after="0"/>
              <w:jc w:val="left"/>
              <w:rPr>
                <w:rFonts w:ascii="Helvetica" w:hAnsi="Helvetica" w:cs="Calibri"/>
                <w:bCs w:val="0"/>
                <w:color w:val="000000"/>
                <w:sz w:val="18"/>
                <w:szCs w:val="18"/>
                <w:lang w:eastAsia="es-CO"/>
              </w:rPr>
            </w:pPr>
            <w:r w:rsidRPr="00E21037">
              <w:rPr>
                <w:rFonts w:cs="Calibri"/>
                <w:color w:val="000000"/>
                <w:sz w:val="18"/>
                <w:szCs w:val="18"/>
                <w:lang w:eastAsia="es-CO"/>
              </w:rPr>
              <w:t>*Grupo BIOS y ENERAMBIENTE</w:t>
            </w:r>
          </w:p>
        </w:tc>
        <w:tc>
          <w:tcPr>
            <w:tcW w:w="1448" w:type="pct"/>
            <w:tcBorders>
              <w:top w:val="single" w:sz="4" w:space="0" w:color="auto"/>
              <w:left w:val="nil"/>
              <w:bottom w:val="nil"/>
              <w:right w:val="nil"/>
            </w:tcBorders>
            <w:noWrap/>
            <w:hideMark/>
          </w:tcPr>
          <w:p w14:paraId="4CF68FF6" w14:textId="77777777" w:rsidR="002C29FB" w:rsidRPr="00E21037" w:rsidRDefault="002C29FB" w:rsidP="002C29FB">
            <w:pPr>
              <w:spacing w:before="0" w:after="0"/>
              <w:jc w:val="left"/>
              <w:rPr>
                <w:rFonts w:ascii="Helvetica" w:hAnsi="Helvetica" w:cs="Calibri"/>
                <w:bCs w:val="0"/>
                <w:color w:val="000000"/>
                <w:sz w:val="18"/>
                <w:szCs w:val="18"/>
                <w:lang w:eastAsia="es-CO"/>
              </w:rPr>
            </w:pPr>
          </w:p>
        </w:tc>
      </w:tr>
    </w:tbl>
    <w:p w14:paraId="2DD6E27A" w14:textId="50F9C978" w:rsidR="002F066F" w:rsidRDefault="00F737B4">
      <w:r>
        <w:t>De la totalidad de comentarios recibidos se reg</w:t>
      </w:r>
      <w:r w:rsidR="00774A67">
        <w:t>i</w:t>
      </w:r>
      <w:r>
        <w:t xml:space="preserve">straron varios asociados con temas </w:t>
      </w:r>
      <w:r w:rsidR="00774A67">
        <w:t xml:space="preserve">cuyo alcance excede el ámbito de aplicación de la propuesta publicada con ocasión del documento 701 017 de 2023, razón por la cual serán </w:t>
      </w:r>
      <w:r w:rsidR="002F066F">
        <w:t>analizados</w:t>
      </w:r>
      <w:r w:rsidR="00774A67">
        <w:t xml:space="preserve"> en la </w:t>
      </w:r>
      <w:r w:rsidR="002F066F">
        <w:t>oportunidad de la revisión de</w:t>
      </w:r>
      <w:r w:rsidR="00980249">
        <w:t xml:space="preserve"> </w:t>
      </w:r>
      <w:r w:rsidR="002F066F">
        <w:t>los temas a</w:t>
      </w:r>
      <w:r>
        <w:t xml:space="preserve"> que </w:t>
      </w:r>
      <w:r w:rsidR="002F066F">
        <w:t>aluden.</w:t>
      </w:r>
    </w:p>
    <w:p w14:paraId="1F423143" w14:textId="5D355AF7" w:rsidR="00F10C64" w:rsidRDefault="00762BEE">
      <w:r>
        <w:t xml:space="preserve">A continuación, se presenta </w:t>
      </w:r>
      <w:r w:rsidR="00FD1408">
        <w:t xml:space="preserve">un resumen por tema de los comentarios recibidos y la respuesta dada por la Comisión. En el </w:t>
      </w:r>
      <w:r w:rsidR="004A099A">
        <w:t xml:space="preserve">numeral </w:t>
      </w:r>
      <w:r w:rsidR="00237542">
        <w:fldChar w:fldCharType="begin"/>
      </w:r>
      <w:r w:rsidR="00237542">
        <w:instrText xml:space="preserve"> REF _Ref147166566 \r \h </w:instrText>
      </w:r>
      <w:r w:rsidR="00237542">
        <w:fldChar w:fldCharType="separate"/>
      </w:r>
      <w:r w:rsidR="00DC6708">
        <w:t>11.3</w:t>
      </w:r>
      <w:r w:rsidR="00237542">
        <w:fldChar w:fldCharType="end"/>
      </w:r>
      <w:r w:rsidR="00237542">
        <w:t xml:space="preserve"> se presenta</w:t>
      </w:r>
      <w:r w:rsidR="0080526D">
        <w:t>n en detalle los comentarios recibidos y las respuestas individuales.</w:t>
      </w:r>
    </w:p>
    <w:p w14:paraId="51739B27" w14:textId="0344E809" w:rsidR="00D85B2D" w:rsidRDefault="00D85B2D" w:rsidP="008D41DE">
      <w:pPr>
        <w:pStyle w:val="Descripcin"/>
      </w:pPr>
      <w:r>
        <w:t xml:space="preserve">Tabla </w:t>
      </w:r>
      <w:r>
        <w:fldChar w:fldCharType="begin"/>
      </w:r>
      <w:r>
        <w:instrText>SEQ Tabla \* ARABIC</w:instrText>
      </w:r>
      <w:r>
        <w:fldChar w:fldCharType="separate"/>
      </w:r>
      <w:r w:rsidR="00DC6708">
        <w:rPr>
          <w:noProof/>
        </w:rPr>
        <w:t>5</w:t>
      </w:r>
      <w:r>
        <w:fldChar w:fldCharType="end"/>
      </w:r>
      <w:r>
        <w:t xml:space="preserve"> Resumen de los comentarios recibidos por tema</w:t>
      </w:r>
    </w:p>
    <w:tbl>
      <w:tblPr>
        <w:tblW w:w="9580" w:type="dxa"/>
        <w:tblCellMar>
          <w:left w:w="70" w:type="dxa"/>
          <w:right w:w="70" w:type="dxa"/>
        </w:tblCellMar>
        <w:tblLook w:val="04A0" w:firstRow="1" w:lastRow="0" w:firstColumn="1" w:lastColumn="0" w:noHBand="0" w:noVBand="1"/>
      </w:tblPr>
      <w:tblGrid>
        <w:gridCol w:w="5125"/>
        <w:gridCol w:w="4455"/>
      </w:tblGrid>
      <w:tr w:rsidR="0076337E" w:rsidRPr="0076337E" w14:paraId="381FF4C0" w14:textId="77777777" w:rsidTr="0085002A">
        <w:trPr>
          <w:trHeight w:val="290"/>
          <w:tblHeader/>
        </w:trPr>
        <w:tc>
          <w:tcPr>
            <w:tcW w:w="51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432DA1" w14:textId="77777777" w:rsidR="0076337E" w:rsidRPr="0076337E" w:rsidRDefault="0076337E" w:rsidP="0076337E">
            <w:pPr>
              <w:spacing w:before="0" w:after="0"/>
              <w:jc w:val="center"/>
              <w:rPr>
                <w:rFonts w:cs="Arial"/>
                <w:b/>
                <w:color w:val="000000"/>
                <w:sz w:val="20"/>
                <w:szCs w:val="20"/>
                <w:lang w:eastAsia="es-CO"/>
              </w:rPr>
            </w:pPr>
            <w:r w:rsidRPr="0076337E">
              <w:rPr>
                <w:rFonts w:cs="Calibri"/>
                <w:b/>
                <w:color w:val="000000"/>
                <w:sz w:val="20"/>
                <w:szCs w:val="20"/>
                <w:lang w:eastAsia="es-CO"/>
              </w:rPr>
              <w:t>COMENTARIOS</w:t>
            </w:r>
          </w:p>
        </w:tc>
        <w:tc>
          <w:tcPr>
            <w:tcW w:w="4455" w:type="dxa"/>
            <w:tcBorders>
              <w:top w:val="single" w:sz="4" w:space="0" w:color="auto"/>
              <w:left w:val="nil"/>
              <w:bottom w:val="single" w:sz="4" w:space="0" w:color="auto"/>
              <w:right w:val="single" w:sz="4" w:space="0" w:color="auto"/>
            </w:tcBorders>
            <w:shd w:val="clear" w:color="auto" w:fill="auto"/>
            <w:vAlign w:val="center"/>
            <w:hideMark/>
          </w:tcPr>
          <w:p w14:paraId="603A501B" w14:textId="77777777" w:rsidR="0076337E" w:rsidRPr="0076337E" w:rsidRDefault="0076337E" w:rsidP="0076337E">
            <w:pPr>
              <w:spacing w:before="0" w:after="0"/>
              <w:jc w:val="center"/>
              <w:rPr>
                <w:rFonts w:cs="Arial"/>
                <w:b/>
                <w:color w:val="000000"/>
                <w:sz w:val="20"/>
                <w:szCs w:val="20"/>
                <w:lang w:eastAsia="es-CO"/>
              </w:rPr>
            </w:pPr>
            <w:r w:rsidRPr="0076337E">
              <w:rPr>
                <w:rFonts w:cs="Calibri"/>
                <w:b/>
                <w:color w:val="000000"/>
                <w:sz w:val="20"/>
                <w:szCs w:val="20"/>
                <w:lang w:eastAsia="es-CO"/>
              </w:rPr>
              <w:t>RESPUESTA</w:t>
            </w:r>
          </w:p>
        </w:tc>
      </w:tr>
      <w:tr w:rsidR="0076337E" w:rsidRPr="0076337E" w14:paraId="58D50385" w14:textId="77777777" w:rsidTr="0076337E">
        <w:trPr>
          <w:trHeight w:val="290"/>
        </w:trPr>
        <w:tc>
          <w:tcPr>
            <w:tcW w:w="958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CFD3487" w14:textId="77777777" w:rsidR="0076337E" w:rsidRPr="0076337E" w:rsidRDefault="0076337E" w:rsidP="0076337E">
            <w:pPr>
              <w:spacing w:before="0" w:after="0"/>
              <w:jc w:val="center"/>
              <w:rPr>
                <w:rFonts w:cs="Arial"/>
                <w:b/>
                <w:color w:val="000000"/>
                <w:sz w:val="20"/>
                <w:szCs w:val="20"/>
                <w:lang w:eastAsia="es-CO"/>
              </w:rPr>
            </w:pPr>
            <w:r w:rsidRPr="0076337E">
              <w:rPr>
                <w:rFonts w:cs="Calibri"/>
                <w:b/>
                <w:color w:val="000000"/>
                <w:sz w:val="20"/>
                <w:szCs w:val="20"/>
                <w:lang w:eastAsia="es-CO"/>
              </w:rPr>
              <w:t xml:space="preserve">Tiempo de aplicación </w:t>
            </w:r>
          </w:p>
        </w:tc>
      </w:tr>
      <w:tr w:rsidR="0076337E" w:rsidRPr="0076337E" w14:paraId="036124E3" w14:textId="77777777" w:rsidTr="0085002A">
        <w:trPr>
          <w:trHeight w:val="1500"/>
        </w:trPr>
        <w:tc>
          <w:tcPr>
            <w:tcW w:w="5125" w:type="dxa"/>
            <w:tcBorders>
              <w:top w:val="nil"/>
              <w:left w:val="single" w:sz="4" w:space="0" w:color="auto"/>
              <w:bottom w:val="single" w:sz="4" w:space="0" w:color="auto"/>
              <w:right w:val="single" w:sz="4" w:space="0" w:color="auto"/>
            </w:tcBorders>
            <w:shd w:val="clear" w:color="auto" w:fill="auto"/>
            <w:vAlign w:val="center"/>
            <w:hideMark/>
          </w:tcPr>
          <w:p w14:paraId="7EF4F568" w14:textId="77777777" w:rsidR="0076337E" w:rsidRPr="0076337E" w:rsidRDefault="0076337E" w:rsidP="0076337E">
            <w:pPr>
              <w:spacing w:before="0" w:after="0"/>
              <w:jc w:val="left"/>
              <w:rPr>
                <w:rFonts w:cs="Arial"/>
                <w:bCs w:val="0"/>
                <w:color w:val="000000"/>
                <w:sz w:val="20"/>
                <w:szCs w:val="20"/>
                <w:lang w:eastAsia="es-CO"/>
              </w:rPr>
            </w:pPr>
            <w:r w:rsidRPr="0076337E">
              <w:rPr>
                <w:rFonts w:cs="Calibri"/>
                <w:bCs w:val="0"/>
                <w:color w:val="000000"/>
                <w:sz w:val="20"/>
                <w:szCs w:val="20"/>
                <w:lang w:eastAsia="es-CO"/>
              </w:rPr>
              <w:t xml:space="preserve">Se considera que un mes puede ser poco tiempo para los procesos de divulgación y aclaración de las modificaciones propuestas. Se sugiere evaluar la posibilidad de ampliar los plazos de divulgación de las medidas a 3 meses a partir de la fecha de </w:t>
            </w:r>
            <w:proofErr w:type="gramStart"/>
            <w:r w:rsidRPr="0076337E">
              <w:rPr>
                <w:rFonts w:cs="Calibri"/>
                <w:bCs w:val="0"/>
                <w:color w:val="000000"/>
                <w:sz w:val="20"/>
                <w:szCs w:val="20"/>
                <w:lang w:eastAsia="es-CO"/>
              </w:rPr>
              <w:t>entrada en vigencia</w:t>
            </w:r>
            <w:proofErr w:type="gramEnd"/>
            <w:r w:rsidRPr="0076337E">
              <w:rPr>
                <w:rFonts w:cs="Calibri"/>
                <w:bCs w:val="0"/>
                <w:color w:val="000000"/>
                <w:sz w:val="20"/>
                <w:szCs w:val="20"/>
                <w:lang w:eastAsia="es-CO"/>
              </w:rPr>
              <w:t xml:space="preserve"> de la Resolución definitiva.</w:t>
            </w:r>
          </w:p>
        </w:tc>
        <w:tc>
          <w:tcPr>
            <w:tcW w:w="4455" w:type="dxa"/>
            <w:tcBorders>
              <w:top w:val="nil"/>
              <w:left w:val="nil"/>
              <w:bottom w:val="single" w:sz="4" w:space="0" w:color="auto"/>
              <w:right w:val="single" w:sz="4" w:space="0" w:color="auto"/>
            </w:tcBorders>
            <w:shd w:val="clear" w:color="auto" w:fill="auto"/>
            <w:vAlign w:val="center"/>
            <w:hideMark/>
          </w:tcPr>
          <w:p w14:paraId="16778CCC" w14:textId="77777777" w:rsidR="0076337E" w:rsidRPr="0076337E" w:rsidRDefault="0076337E" w:rsidP="0076337E">
            <w:pPr>
              <w:spacing w:before="0" w:after="0"/>
              <w:jc w:val="left"/>
              <w:rPr>
                <w:rFonts w:cs="Arial"/>
                <w:bCs w:val="0"/>
                <w:color w:val="000000"/>
                <w:sz w:val="20"/>
                <w:szCs w:val="20"/>
                <w:lang w:eastAsia="es-CO"/>
              </w:rPr>
            </w:pPr>
            <w:r w:rsidRPr="0076337E">
              <w:rPr>
                <w:rFonts w:cs="Calibri"/>
                <w:bCs w:val="0"/>
                <w:color w:val="000000"/>
                <w:sz w:val="20"/>
                <w:szCs w:val="20"/>
                <w:lang w:eastAsia="es-CO"/>
              </w:rPr>
              <w:t xml:space="preserve">Se ajusta el tiempo de divulgación a 3 meses. </w:t>
            </w:r>
          </w:p>
        </w:tc>
      </w:tr>
      <w:tr w:rsidR="0076337E" w:rsidRPr="0076337E" w14:paraId="23E7DCD7" w14:textId="77777777" w:rsidTr="0076337E">
        <w:trPr>
          <w:trHeight w:val="290"/>
        </w:trPr>
        <w:tc>
          <w:tcPr>
            <w:tcW w:w="958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0D0C379" w14:textId="77777777" w:rsidR="0076337E" w:rsidRPr="0076337E" w:rsidRDefault="0076337E" w:rsidP="0076337E">
            <w:pPr>
              <w:spacing w:before="0" w:after="0"/>
              <w:jc w:val="center"/>
              <w:rPr>
                <w:rFonts w:cs="Arial"/>
                <w:b/>
                <w:color w:val="000000"/>
                <w:sz w:val="20"/>
                <w:szCs w:val="20"/>
                <w:lang w:eastAsia="es-CO"/>
              </w:rPr>
            </w:pPr>
            <w:r w:rsidRPr="0076337E">
              <w:rPr>
                <w:rFonts w:cs="Calibri"/>
                <w:b/>
                <w:color w:val="000000"/>
                <w:sz w:val="20"/>
                <w:szCs w:val="20"/>
                <w:lang w:eastAsia="es-CO"/>
              </w:rPr>
              <w:t>Compensación Reactiva</w:t>
            </w:r>
          </w:p>
        </w:tc>
      </w:tr>
      <w:tr w:rsidR="0076337E" w:rsidRPr="0076337E" w14:paraId="2E79B4C2" w14:textId="77777777" w:rsidTr="0085002A">
        <w:trPr>
          <w:trHeight w:val="1750"/>
        </w:trPr>
        <w:tc>
          <w:tcPr>
            <w:tcW w:w="5125" w:type="dxa"/>
            <w:tcBorders>
              <w:top w:val="nil"/>
              <w:left w:val="single" w:sz="4" w:space="0" w:color="auto"/>
              <w:bottom w:val="single" w:sz="4" w:space="0" w:color="auto"/>
              <w:right w:val="single" w:sz="4" w:space="0" w:color="auto"/>
            </w:tcBorders>
            <w:shd w:val="clear" w:color="auto" w:fill="auto"/>
            <w:vAlign w:val="center"/>
            <w:hideMark/>
          </w:tcPr>
          <w:p w14:paraId="110FDC74" w14:textId="77777777" w:rsidR="0076337E" w:rsidRPr="0076337E" w:rsidRDefault="0076337E" w:rsidP="0076337E">
            <w:pPr>
              <w:spacing w:before="0" w:after="0"/>
              <w:jc w:val="left"/>
              <w:rPr>
                <w:rFonts w:cs="Arial"/>
                <w:bCs w:val="0"/>
                <w:color w:val="000000"/>
                <w:sz w:val="20"/>
                <w:szCs w:val="20"/>
                <w:lang w:eastAsia="es-CO"/>
              </w:rPr>
            </w:pPr>
            <w:r w:rsidRPr="0076337E">
              <w:rPr>
                <w:rFonts w:cs="Calibri"/>
                <w:bCs w:val="0"/>
                <w:color w:val="000000"/>
                <w:sz w:val="20"/>
                <w:szCs w:val="20"/>
                <w:lang w:eastAsia="es-CO"/>
              </w:rPr>
              <w:t>Se pone en consideración ampliar las tecnologías a las cuales los OR pueden solicitar la información de las características técnicas, a fin de que posteriormente el CND pueda realizar los modelamientos y verificaciones del comportamiento dinámico de estos equipos en conjunto con los OR, cuando así se requiera.</w:t>
            </w:r>
          </w:p>
        </w:tc>
        <w:tc>
          <w:tcPr>
            <w:tcW w:w="4455" w:type="dxa"/>
            <w:vMerge w:val="restart"/>
            <w:tcBorders>
              <w:top w:val="nil"/>
              <w:left w:val="single" w:sz="4" w:space="0" w:color="auto"/>
              <w:bottom w:val="single" w:sz="4" w:space="0" w:color="auto"/>
              <w:right w:val="single" w:sz="4" w:space="0" w:color="auto"/>
            </w:tcBorders>
            <w:shd w:val="clear" w:color="auto" w:fill="auto"/>
            <w:vAlign w:val="center"/>
            <w:hideMark/>
          </w:tcPr>
          <w:p w14:paraId="28891865" w14:textId="7AF38C9E" w:rsidR="0076337E" w:rsidRPr="0076337E" w:rsidRDefault="0076337E" w:rsidP="0076337E">
            <w:pPr>
              <w:spacing w:before="0" w:after="0"/>
              <w:jc w:val="left"/>
              <w:rPr>
                <w:rFonts w:cs="Arial"/>
                <w:bCs w:val="0"/>
                <w:color w:val="000000"/>
                <w:sz w:val="20"/>
                <w:szCs w:val="20"/>
                <w:lang w:eastAsia="es-CO"/>
              </w:rPr>
            </w:pPr>
            <w:r w:rsidRPr="0076337E">
              <w:rPr>
                <w:rFonts w:cs="Calibri"/>
                <w:bCs w:val="0"/>
                <w:color w:val="000000"/>
                <w:sz w:val="20"/>
                <w:szCs w:val="20"/>
                <w:lang w:eastAsia="es-CO"/>
              </w:rPr>
              <w:t>En la resolución definitiva se establece que los dispositivos conectados a niveles de tensión II, III y IV que puedan mejorar el factor de potencia como bancos de condensadores, reactores, filtros de armónicos y demás, deben ser aprobados por el OR</w:t>
            </w:r>
            <w:r w:rsidR="00A75054">
              <w:rPr>
                <w:rFonts w:cs="Calibri"/>
                <w:bCs w:val="0"/>
                <w:color w:val="000000"/>
                <w:sz w:val="20"/>
                <w:szCs w:val="20"/>
                <w:lang w:eastAsia="es-CO"/>
              </w:rPr>
              <w:t>, quienes</w:t>
            </w:r>
            <w:r w:rsidRPr="0076337E">
              <w:rPr>
                <w:rFonts w:cs="Calibri"/>
                <w:bCs w:val="0"/>
                <w:color w:val="000000"/>
                <w:sz w:val="20"/>
                <w:szCs w:val="20"/>
                <w:lang w:eastAsia="es-CO"/>
              </w:rPr>
              <w:t xml:space="preserve"> pueden solicitar información tanto de las características técnicas </w:t>
            </w:r>
            <w:r w:rsidRPr="0076337E">
              <w:rPr>
                <w:rFonts w:cs="Calibri"/>
                <w:bCs w:val="0"/>
                <w:color w:val="000000"/>
                <w:sz w:val="20"/>
                <w:szCs w:val="20"/>
                <w:lang w:eastAsia="es-CO"/>
              </w:rPr>
              <w:lastRenderedPageBreak/>
              <w:t>de dichos dispositivos como las instalaciones internas de los usuarios.</w:t>
            </w:r>
          </w:p>
        </w:tc>
      </w:tr>
      <w:tr w:rsidR="0076337E" w:rsidRPr="0076337E" w14:paraId="0994F2DE" w14:textId="77777777" w:rsidTr="0085002A">
        <w:trPr>
          <w:trHeight w:val="3581"/>
        </w:trPr>
        <w:tc>
          <w:tcPr>
            <w:tcW w:w="5125" w:type="dxa"/>
            <w:tcBorders>
              <w:top w:val="nil"/>
              <w:left w:val="single" w:sz="4" w:space="0" w:color="auto"/>
              <w:bottom w:val="single" w:sz="4" w:space="0" w:color="auto"/>
              <w:right w:val="single" w:sz="4" w:space="0" w:color="auto"/>
            </w:tcBorders>
            <w:shd w:val="clear" w:color="auto" w:fill="auto"/>
            <w:vAlign w:val="center"/>
            <w:hideMark/>
          </w:tcPr>
          <w:p w14:paraId="0E1836B2" w14:textId="77777777" w:rsidR="0076337E" w:rsidRPr="0076337E" w:rsidRDefault="0076337E" w:rsidP="0076337E">
            <w:pPr>
              <w:spacing w:before="0" w:after="0"/>
              <w:jc w:val="left"/>
              <w:rPr>
                <w:rFonts w:cs="Arial"/>
                <w:bCs w:val="0"/>
                <w:color w:val="000000"/>
                <w:sz w:val="20"/>
                <w:szCs w:val="20"/>
                <w:lang w:eastAsia="es-CO"/>
              </w:rPr>
            </w:pPr>
            <w:r w:rsidRPr="0076337E">
              <w:rPr>
                <w:rFonts w:cs="Arial"/>
                <w:bCs w:val="0"/>
                <w:color w:val="000000"/>
                <w:sz w:val="20"/>
                <w:szCs w:val="20"/>
                <w:lang w:eastAsia="es-CO"/>
              </w:rPr>
              <w:lastRenderedPageBreak/>
              <w:t>De igual forma, se entiende que el usuario interesado en conectar equipos de compensación (estática o dinámica) para reducir el transporte de energía reactiva deberá informarlo al respectivo operador de red, el cual deberá aprobar dicha conexión, previo a su puesta en operación. Asimismo, se entiende que este análisis por parte del OR es diferente al estudio de conexión que se realiza a los usuarios para conectarse al servicio y, por tanto, no implica el cumplimiento del proceso de asignación de capacidad de transporte establecido en la Resolución CREG 075 de 2021, ni costos adicionales para el usuario. Por lo tanto, se propone analizar si se deben condicionar los proyectos nuevos con parámetros mínimos de cumplimiento del factor de potencia al momento de su conexión.</w:t>
            </w:r>
          </w:p>
        </w:tc>
        <w:tc>
          <w:tcPr>
            <w:tcW w:w="4455" w:type="dxa"/>
            <w:vMerge/>
            <w:tcBorders>
              <w:top w:val="nil"/>
              <w:left w:val="single" w:sz="4" w:space="0" w:color="auto"/>
              <w:bottom w:val="single" w:sz="4" w:space="0" w:color="auto"/>
              <w:right w:val="single" w:sz="4" w:space="0" w:color="auto"/>
            </w:tcBorders>
            <w:vAlign w:val="center"/>
            <w:hideMark/>
          </w:tcPr>
          <w:p w14:paraId="51F6F154" w14:textId="77777777" w:rsidR="0076337E" w:rsidRPr="0076337E" w:rsidRDefault="0076337E" w:rsidP="0076337E">
            <w:pPr>
              <w:spacing w:before="0" w:after="0"/>
              <w:jc w:val="left"/>
              <w:rPr>
                <w:rFonts w:cs="Arial"/>
                <w:bCs w:val="0"/>
                <w:color w:val="000000"/>
                <w:sz w:val="20"/>
                <w:szCs w:val="20"/>
                <w:lang w:eastAsia="es-CO"/>
              </w:rPr>
            </w:pPr>
          </w:p>
        </w:tc>
      </w:tr>
      <w:tr w:rsidR="0076337E" w:rsidRPr="0076337E" w14:paraId="5A3EBFA1" w14:textId="77777777" w:rsidTr="0076337E">
        <w:trPr>
          <w:trHeight w:val="290"/>
        </w:trPr>
        <w:tc>
          <w:tcPr>
            <w:tcW w:w="958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235EFD6" w14:textId="77777777" w:rsidR="0076337E" w:rsidRPr="0076337E" w:rsidRDefault="0076337E" w:rsidP="0076337E">
            <w:pPr>
              <w:spacing w:before="0" w:after="0"/>
              <w:jc w:val="center"/>
              <w:rPr>
                <w:rFonts w:cs="Arial"/>
                <w:b/>
                <w:color w:val="000000"/>
                <w:sz w:val="20"/>
                <w:szCs w:val="20"/>
                <w:lang w:eastAsia="es-CO"/>
              </w:rPr>
            </w:pPr>
            <w:r w:rsidRPr="0076337E">
              <w:rPr>
                <w:rFonts w:cs="Calibri"/>
                <w:b/>
                <w:color w:val="000000"/>
                <w:sz w:val="20"/>
                <w:szCs w:val="20"/>
                <w:lang w:eastAsia="es-CO"/>
              </w:rPr>
              <w:t>Cálculo de cumplimiento de límites</w:t>
            </w:r>
          </w:p>
        </w:tc>
      </w:tr>
      <w:tr w:rsidR="0076337E" w:rsidRPr="0076337E" w14:paraId="5D46BF59" w14:textId="77777777" w:rsidTr="0085002A">
        <w:trPr>
          <w:trHeight w:val="1250"/>
        </w:trPr>
        <w:tc>
          <w:tcPr>
            <w:tcW w:w="5125" w:type="dxa"/>
            <w:tcBorders>
              <w:top w:val="nil"/>
              <w:left w:val="single" w:sz="4" w:space="0" w:color="auto"/>
              <w:bottom w:val="single" w:sz="4" w:space="0" w:color="auto"/>
              <w:right w:val="single" w:sz="4" w:space="0" w:color="auto"/>
            </w:tcBorders>
            <w:shd w:val="clear" w:color="auto" w:fill="auto"/>
            <w:vAlign w:val="center"/>
            <w:hideMark/>
          </w:tcPr>
          <w:p w14:paraId="344A69FE" w14:textId="77777777" w:rsidR="0076337E" w:rsidRPr="0076337E" w:rsidRDefault="0076337E" w:rsidP="0076337E">
            <w:pPr>
              <w:spacing w:before="0" w:after="0"/>
              <w:jc w:val="left"/>
              <w:rPr>
                <w:rFonts w:cs="Arial"/>
                <w:bCs w:val="0"/>
                <w:color w:val="000000"/>
                <w:sz w:val="20"/>
                <w:szCs w:val="20"/>
                <w:lang w:eastAsia="es-CO"/>
              </w:rPr>
            </w:pPr>
            <w:r w:rsidRPr="0076337E">
              <w:rPr>
                <w:rFonts w:cs="Calibri"/>
                <w:bCs w:val="0"/>
                <w:color w:val="000000"/>
                <w:sz w:val="20"/>
                <w:szCs w:val="20"/>
                <w:lang w:eastAsia="es-CO"/>
              </w:rPr>
              <w:t>Existen confusiones e interpretaciones difusas del cálculo del cumplimiento del factor de potencia capacitivo.</w:t>
            </w:r>
          </w:p>
        </w:tc>
        <w:tc>
          <w:tcPr>
            <w:tcW w:w="4455" w:type="dxa"/>
            <w:tcBorders>
              <w:top w:val="nil"/>
              <w:left w:val="nil"/>
              <w:bottom w:val="single" w:sz="4" w:space="0" w:color="auto"/>
              <w:right w:val="single" w:sz="4" w:space="0" w:color="auto"/>
            </w:tcBorders>
            <w:shd w:val="clear" w:color="auto" w:fill="auto"/>
            <w:vAlign w:val="center"/>
            <w:hideMark/>
          </w:tcPr>
          <w:p w14:paraId="25D0FB55" w14:textId="77777777" w:rsidR="0076337E" w:rsidRPr="0076337E" w:rsidRDefault="0076337E" w:rsidP="0076337E">
            <w:pPr>
              <w:spacing w:before="0" w:after="0"/>
              <w:jc w:val="left"/>
              <w:rPr>
                <w:rFonts w:cs="Arial"/>
                <w:bCs w:val="0"/>
                <w:color w:val="000000"/>
                <w:sz w:val="20"/>
                <w:szCs w:val="20"/>
                <w:lang w:eastAsia="es-CO"/>
              </w:rPr>
            </w:pPr>
            <w:r w:rsidRPr="0076337E">
              <w:rPr>
                <w:rFonts w:cs="Calibri"/>
                <w:bCs w:val="0"/>
                <w:color w:val="000000"/>
                <w:sz w:val="20"/>
                <w:szCs w:val="20"/>
                <w:lang w:eastAsia="es-CO"/>
              </w:rPr>
              <w:t>El cumplimiento de los límites de factor de potencia se calculará mediante la relación entre la suma aritmética de la energía reactiva capacitiva durante un periodo mensual respecto de la cantidad de energía activa en el mismo periodo</w:t>
            </w:r>
          </w:p>
        </w:tc>
      </w:tr>
      <w:tr w:rsidR="0076337E" w:rsidRPr="0076337E" w14:paraId="715836F5" w14:textId="77777777" w:rsidTr="0085002A">
        <w:trPr>
          <w:trHeight w:val="1000"/>
        </w:trPr>
        <w:tc>
          <w:tcPr>
            <w:tcW w:w="5125" w:type="dxa"/>
            <w:tcBorders>
              <w:top w:val="nil"/>
              <w:left w:val="single" w:sz="4" w:space="0" w:color="auto"/>
              <w:bottom w:val="single" w:sz="4" w:space="0" w:color="auto"/>
              <w:right w:val="single" w:sz="4" w:space="0" w:color="auto"/>
            </w:tcBorders>
            <w:shd w:val="clear" w:color="auto" w:fill="auto"/>
            <w:vAlign w:val="center"/>
            <w:hideMark/>
          </w:tcPr>
          <w:p w14:paraId="7E27A081" w14:textId="77777777" w:rsidR="0076337E" w:rsidRPr="0076337E" w:rsidRDefault="0076337E" w:rsidP="0076337E">
            <w:pPr>
              <w:spacing w:before="0" w:after="0"/>
              <w:jc w:val="left"/>
              <w:rPr>
                <w:rFonts w:cs="Arial"/>
                <w:bCs w:val="0"/>
                <w:color w:val="000000"/>
                <w:sz w:val="20"/>
                <w:szCs w:val="20"/>
                <w:lang w:eastAsia="es-CO"/>
              </w:rPr>
            </w:pPr>
            <w:r w:rsidRPr="0076337E">
              <w:rPr>
                <w:rFonts w:cs="Arial"/>
                <w:bCs w:val="0"/>
                <w:color w:val="000000"/>
                <w:sz w:val="20"/>
                <w:szCs w:val="20"/>
                <w:lang w:eastAsia="es-CO"/>
              </w:rPr>
              <w:t>También, respecto al manejo que los OR deben tener con las solicitudes nuevas.</w:t>
            </w:r>
          </w:p>
        </w:tc>
        <w:tc>
          <w:tcPr>
            <w:tcW w:w="4455" w:type="dxa"/>
            <w:tcBorders>
              <w:top w:val="nil"/>
              <w:left w:val="nil"/>
              <w:bottom w:val="single" w:sz="4" w:space="0" w:color="auto"/>
              <w:right w:val="single" w:sz="4" w:space="0" w:color="auto"/>
            </w:tcBorders>
            <w:shd w:val="clear" w:color="auto" w:fill="auto"/>
            <w:vAlign w:val="center"/>
            <w:hideMark/>
          </w:tcPr>
          <w:p w14:paraId="514579A3" w14:textId="596F18DD" w:rsidR="0076337E" w:rsidRPr="0076337E" w:rsidRDefault="0076337E" w:rsidP="0076337E">
            <w:pPr>
              <w:spacing w:before="0" w:after="0"/>
              <w:jc w:val="left"/>
              <w:rPr>
                <w:rFonts w:cs="Arial"/>
                <w:bCs w:val="0"/>
                <w:color w:val="000000"/>
                <w:sz w:val="20"/>
                <w:szCs w:val="20"/>
                <w:lang w:eastAsia="es-CO"/>
              </w:rPr>
            </w:pPr>
            <w:r w:rsidRPr="0076337E">
              <w:rPr>
                <w:rFonts w:cs="Arial"/>
                <w:bCs w:val="0"/>
                <w:color w:val="000000"/>
                <w:sz w:val="20"/>
                <w:szCs w:val="20"/>
                <w:lang w:eastAsia="es-CO"/>
              </w:rPr>
              <w:t>Se recuerda que los OR son los responsables por la operación de su sistema y están encargados de aprobar la conexión de equipos que se instalen para mejorar el factor de potencia.</w:t>
            </w:r>
          </w:p>
        </w:tc>
      </w:tr>
      <w:tr w:rsidR="0076337E" w:rsidRPr="0076337E" w14:paraId="422FE973" w14:textId="77777777" w:rsidTr="0076337E">
        <w:trPr>
          <w:trHeight w:val="290"/>
        </w:trPr>
        <w:tc>
          <w:tcPr>
            <w:tcW w:w="958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0413F8D" w14:textId="77777777" w:rsidR="0076337E" w:rsidRPr="0076337E" w:rsidRDefault="0076337E" w:rsidP="0076337E">
            <w:pPr>
              <w:spacing w:before="0" w:after="0"/>
              <w:jc w:val="center"/>
              <w:rPr>
                <w:rFonts w:cs="Arial"/>
                <w:b/>
                <w:color w:val="000000"/>
                <w:sz w:val="20"/>
                <w:szCs w:val="20"/>
                <w:lang w:eastAsia="es-CO"/>
              </w:rPr>
            </w:pPr>
            <w:r w:rsidRPr="0076337E">
              <w:rPr>
                <w:rFonts w:cs="Calibri"/>
                <w:b/>
                <w:color w:val="000000"/>
                <w:sz w:val="20"/>
                <w:szCs w:val="20"/>
                <w:lang w:eastAsia="es-CO"/>
              </w:rPr>
              <w:t>Límites factor de potencia</w:t>
            </w:r>
          </w:p>
        </w:tc>
      </w:tr>
      <w:tr w:rsidR="0076337E" w:rsidRPr="0076337E" w14:paraId="4318B0BC" w14:textId="77777777" w:rsidTr="0085002A">
        <w:trPr>
          <w:trHeight w:val="1826"/>
        </w:trPr>
        <w:tc>
          <w:tcPr>
            <w:tcW w:w="5125" w:type="dxa"/>
            <w:tcBorders>
              <w:top w:val="nil"/>
              <w:left w:val="single" w:sz="4" w:space="0" w:color="auto"/>
              <w:bottom w:val="single" w:sz="4" w:space="0" w:color="auto"/>
              <w:right w:val="single" w:sz="4" w:space="0" w:color="auto"/>
            </w:tcBorders>
            <w:shd w:val="clear" w:color="auto" w:fill="auto"/>
            <w:vAlign w:val="center"/>
            <w:hideMark/>
          </w:tcPr>
          <w:p w14:paraId="431BC9D4" w14:textId="2B2792A2" w:rsidR="0076337E" w:rsidRPr="0076337E" w:rsidRDefault="0076337E" w:rsidP="0076337E">
            <w:pPr>
              <w:spacing w:before="0" w:after="0"/>
              <w:jc w:val="left"/>
              <w:rPr>
                <w:rFonts w:cs="Arial"/>
                <w:bCs w:val="0"/>
                <w:color w:val="000000"/>
                <w:sz w:val="20"/>
                <w:szCs w:val="20"/>
                <w:lang w:eastAsia="es-CO"/>
              </w:rPr>
            </w:pPr>
            <w:r w:rsidRPr="0076337E">
              <w:rPr>
                <w:rFonts w:cs="Calibri"/>
                <w:bCs w:val="0"/>
                <w:color w:val="000000"/>
                <w:sz w:val="20"/>
                <w:szCs w:val="20"/>
                <w:lang w:eastAsia="es-CO"/>
              </w:rPr>
              <w:t>De acuerdo con análisis de las diferentes empresas, es importante considerar no modificar el FP igual a 1 para el nivel de tensión 4, esto considerando que para este se tienen equipos más especializados y que es posible un mayor control de reactivos y que es fundamental para la operación de los STR. De la mano, se sugiere conveniente incluir el nivel de tensión III en el 0.90 capacitivo</w:t>
            </w:r>
          </w:p>
        </w:tc>
        <w:tc>
          <w:tcPr>
            <w:tcW w:w="4455" w:type="dxa"/>
            <w:tcBorders>
              <w:top w:val="nil"/>
              <w:left w:val="nil"/>
              <w:bottom w:val="single" w:sz="4" w:space="0" w:color="auto"/>
              <w:right w:val="single" w:sz="4" w:space="0" w:color="auto"/>
            </w:tcBorders>
            <w:shd w:val="clear" w:color="auto" w:fill="auto"/>
            <w:vAlign w:val="center"/>
            <w:hideMark/>
          </w:tcPr>
          <w:p w14:paraId="1C1A96D2" w14:textId="320E4851" w:rsidR="0076337E" w:rsidRPr="00864487" w:rsidRDefault="009F70E9" w:rsidP="0076337E">
            <w:pPr>
              <w:spacing w:before="0" w:after="0"/>
              <w:jc w:val="left"/>
              <w:rPr>
                <w:rFonts w:cs="Arial"/>
                <w:bCs w:val="0"/>
                <w:color w:val="000000"/>
                <w:sz w:val="20"/>
                <w:szCs w:val="20"/>
                <w:highlight w:val="yellow"/>
                <w:lang w:eastAsia="es-CO"/>
              </w:rPr>
            </w:pPr>
            <w:r w:rsidRPr="004A3A45">
              <w:rPr>
                <w:rFonts w:cs="Calibri"/>
                <w:bCs w:val="0"/>
                <w:color w:val="000000"/>
                <w:sz w:val="20"/>
                <w:szCs w:val="20"/>
                <w:lang w:eastAsia="es-CO"/>
              </w:rPr>
              <w:t xml:space="preserve">Teniendo en cuenta </w:t>
            </w:r>
            <w:r w:rsidR="0026698A" w:rsidRPr="004A3A45">
              <w:rPr>
                <w:rFonts w:cs="Calibri"/>
                <w:bCs w:val="0"/>
                <w:color w:val="000000"/>
                <w:sz w:val="20"/>
                <w:szCs w:val="20"/>
                <w:lang w:eastAsia="es-CO"/>
              </w:rPr>
              <w:t xml:space="preserve">tanto </w:t>
            </w:r>
            <w:r w:rsidRPr="004A3A45">
              <w:rPr>
                <w:rFonts w:cs="Calibri"/>
                <w:bCs w:val="0"/>
                <w:color w:val="000000"/>
                <w:sz w:val="20"/>
                <w:szCs w:val="20"/>
                <w:lang w:eastAsia="es-CO"/>
              </w:rPr>
              <w:t>los resultados de las simulaciones aportad</w:t>
            </w:r>
            <w:r w:rsidR="00FF6C75" w:rsidRPr="004A3A45">
              <w:rPr>
                <w:rFonts w:cs="Calibri"/>
                <w:bCs w:val="0"/>
                <w:color w:val="000000"/>
                <w:sz w:val="20"/>
                <w:szCs w:val="20"/>
                <w:lang w:eastAsia="es-CO"/>
              </w:rPr>
              <w:t>a</w:t>
            </w:r>
            <w:r w:rsidRPr="004A3A45">
              <w:rPr>
                <w:rFonts w:cs="Calibri"/>
                <w:bCs w:val="0"/>
                <w:color w:val="000000"/>
                <w:sz w:val="20"/>
                <w:szCs w:val="20"/>
                <w:lang w:eastAsia="es-CO"/>
              </w:rPr>
              <w:t>s por el CNO</w:t>
            </w:r>
            <w:r w:rsidR="0026698A" w:rsidRPr="004A3A45">
              <w:rPr>
                <w:rFonts w:cs="Calibri"/>
                <w:bCs w:val="0"/>
                <w:color w:val="000000"/>
                <w:sz w:val="20"/>
                <w:szCs w:val="20"/>
                <w:lang w:eastAsia="es-CO"/>
              </w:rPr>
              <w:t xml:space="preserve"> como el objetivo de </w:t>
            </w:r>
            <w:r w:rsidR="00061DAB" w:rsidRPr="004A3A45">
              <w:rPr>
                <w:rFonts w:cs="Calibri"/>
                <w:bCs w:val="0"/>
                <w:color w:val="000000"/>
                <w:sz w:val="20"/>
                <w:szCs w:val="20"/>
                <w:lang w:eastAsia="es-CO"/>
              </w:rPr>
              <w:t xml:space="preserve">lograr una exención en el pago de transporte de </w:t>
            </w:r>
            <w:r w:rsidR="00886D27" w:rsidRPr="004A3A45">
              <w:rPr>
                <w:rFonts w:cs="Calibri"/>
                <w:bCs w:val="0"/>
                <w:color w:val="000000"/>
                <w:sz w:val="20"/>
                <w:szCs w:val="20"/>
                <w:lang w:eastAsia="es-CO"/>
              </w:rPr>
              <w:t xml:space="preserve">energía </w:t>
            </w:r>
            <w:r w:rsidR="00061DAB" w:rsidRPr="004A3A45">
              <w:rPr>
                <w:rFonts w:cs="Calibri"/>
                <w:bCs w:val="0"/>
                <w:color w:val="000000"/>
                <w:sz w:val="20"/>
                <w:szCs w:val="20"/>
                <w:lang w:eastAsia="es-CO"/>
              </w:rPr>
              <w:t xml:space="preserve">reactiva capacitiva </w:t>
            </w:r>
            <w:r w:rsidR="00C23268" w:rsidRPr="004A3A45">
              <w:rPr>
                <w:rFonts w:cs="Calibri"/>
                <w:bCs w:val="0"/>
                <w:color w:val="000000"/>
                <w:sz w:val="20"/>
                <w:szCs w:val="20"/>
                <w:lang w:eastAsia="es-CO"/>
              </w:rPr>
              <w:t xml:space="preserve">para la mayor cantidad posible de usuarios </w:t>
            </w:r>
            <w:r w:rsidR="00061DAB" w:rsidRPr="004A3A45">
              <w:rPr>
                <w:rFonts w:cs="Calibri"/>
                <w:bCs w:val="0"/>
                <w:color w:val="000000"/>
                <w:sz w:val="20"/>
                <w:szCs w:val="20"/>
                <w:lang w:eastAsia="es-CO"/>
              </w:rPr>
              <w:t>sin</w:t>
            </w:r>
            <w:r w:rsidR="00C23268" w:rsidRPr="004A3A45">
              <w:rPr>
                <w:rFonts w:cs="Calibri"/>
                <w:bCs w:val="0"/>
                <w:color w:val="000000"/>
                <w:sz w:val="20"/>
                <w:szCs w:val="20"/>
                <w:lang w:eastAsia="es-CO"/>
              </w:rPr>
              <w:t xml:space="preserve"> afectar la estabilidad del sistema, se propone ajustar el límite del FP capacitivo para nivel 4 a 0</w:t>
            </w:r>
            <w:r w:rsidR="004A3A45">
              <w:rPr>
                <w:rFonts w:cs="Calibri"/>
                <w:bCs w:val="0"/>
                <w:color w:val="000000"/>
                <w:sz w:val="20"/>
                <w:szCs w:val="20"/>
                <w:lang w:eastAsia="es-CO"/>
              </w:rPr>
              <w:t>,</w:t>
            </w:r>
            <w:r w:rsidR="00C23268" w:rsidRPr="004A3A45">
              <w:rPr>
                <w:rFonts w:cs="Calibri"/>
                <w:bCs w:val="0"/>
                <w:color w:val="000000"/>
                <w:sz w:val="20"/>
                <w:szCs w:val="20"/>
                <w:lang w:eastAsia="es-CO"/>
              </w:rPr>
              <w:t>98</w:t>
            </w:r>
            <w:r w:rsidR="00061DAB" w:rsidRPr="004A3A45">
              <w:rPr>
                <w:rFonts w:cs="Calibri"/>
                <w:bCs w:val="0"/>
                <w:color w:val="000000"/>
                <w:sz w:val="20"/>
                <w:szCs w:val="20"/>
                <w:lang w:eastAsia="es-CO"/>
              </w:rPr>
              <w:t xml:space="preserve"> </w:t>
            </w:r>
          </w:p>
        </w:tc>
      </w:tr>
      <w:tr w:rsidR="0076337E" w:rsidRPr="0076337E" w14:paraId="398ECF49" w14:textId="77777777" w:rsidTr="0085002A">
        <w:trPr>
          <w:trHeight w:val="750"/>
        </w:trPr>
        <w:tc>
          <w:tcPr>
            <w:tcW w:w="5125" w:type="dxa"/>
            <w:tcBorders>
              <w:top w:val="nil"/>
              <w:left w:val="single" w:sz="4" w:space="0" w:color="auto"/>
              <w:bottom w:val="single" w:sz="4" w:space="0" w:color="auto"/>
              <w:right w:val="single" w:sz="4" w:space="0" w:color="auto"/>
            </w:tcBorders>
            <w:shd w:val="clear" w:color="auto" w:fill="auto"/>
            <w:vAlign w:val="center"/>
            <w:hideMark/>
          </w:tcPr>
          <w:p w14:paraId="2540E9DA" w14:textId="77777777" w:rsidR="0076337E" w:rsidRPr="0076337E" w:rsidRDefault="0076337E" w:rsidP="0076337E">
            <w:pPr>
              <w:spacing w:before="0" w:after="0"/>
              <w:jc w:val="left"/>
              <w:rPr>
                <w:rFonts w:cs="Arial"/>
                <w:bCs w:val="0"/>
                <w:color w:val="000000"/>
                <w:sz w:val="20"/>
                <w:szCs w:val="20"/>
                <w:lang w:eastAsia="es-CO"/>
              </w:rPr>
            </w:pPr>
            <w:r w:rsidRPr="0076337E">
              <w:rPr>
                <w:rFonts w:cs="Arial"/>
                <w:bCs w:val="0"/>
                <w:color w:val="000000"/>
                <w:sz w:val="20"/>
                <w:szCs w:val="20"/>
                <w:lang w:eastAsia="es-CO"/>
              </w:rPr>
              <w:t>Se propone segmentar los límites de factor de potencia no por nivel de tensión sino por tipo de cliente.</w:t>
            </w:r>
          </w:p>
        </w:tc>
        <w:tc>
          <w:tcPr>
            <w:tcW w:w="4455" w:type="dxa"/>
            <w:tcBorders>
              <w:top w:val="nil"/>
              <w:left w:val="nil"/>
              <w:bottom w:val="single" w:sz="4" w:space="0" w:color="auto"/>
              <w:right w:val="single" w:sz="4" w:space="0" w:color="auto"/>
            </w:tcBorders>
            <w:shd w:val="clear" w:color="auto" w:fill="auto"/>
            <w:vAlign w:val="center"/>
            <w:hideMark/>
          </w:tcPr>
          <w:p w14:paraId="46580399" w14:textId="77777777" w:rsidR="0076337E" w:rsidRPr="0076337E" w:rsidRDefault="0076337E" w:rsidP="0076337E">
            <w:pPr>
              <w:spacing w:before="0" w:after="0"/>
              <w:jc w:val="left"/>
              <w:rPr>
                <w:rFonts w:cs="Arial"/>
                <w:bCs w:val="0"/>
                <w:color w:val="000000"/>
                <w:sz w:val="20"/>
                <w:szCs w:val="20"/>
                <w:lang w:eastAsia="es-CO"/>
              </w:rPr>
            </w:pPr>
            <w:r w:rsidRPr="0076337E">
              <w:rPr>
                <w:rFonts w:cs="Arial"/>
                <w:bCs w:val="0"/>
                <w:color w:val="000000"/>
                <w:sz w:val="20"/>
                <w:szCs w:val="20"/>
                <w:lang w:eastAsia="es-CO"/>
              </w:rPr>
              <w:t xml:space="preserve">Las diferencias que se efectúan en la remuneración de la red se hacen con base en los niveles de tensión, no con base en el uso de la energía. </w:t>
            </w:r>
          </w:p>
        </w:tc>
      </w:tr>
      <w:tr w:rsidR="0076337E" w:rsidRPr="0076337E" w14:paraId="0C3B5DC3" w14:textId="77777777" w:rsidTr="0076337E">
        <w:trPr>
          <w:trHeight w:val="290"/>
        </w:trPr>
        <w:tc>
          <w:tcPr>
            <w:tcW w:w="958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6B30108" w14:textId="77777777" w:rsidR="0076337E" w:rsidRPr="0076337E" w:rsidRDefault="0076337E" w:rsidP="0076337E">
            <w:pPr>
              <w:spacing w:before="0" w:after="0"/>
              <w:jc w:val="center"/>
              <w:rPr>
                <w:rFonts w:cs="Arial"/>
                <w:b/>
                <w:color w:val="000000"/>
                <w:sz w:val="20"/>
                <w:szCs w:val="20"/>
                <w:lang w:eastAsia="es-CO"/>
              </w:rPr>
            </w:pPr>
            <w:r w:rsidRPr="0076337E">
              <w:rPr>
                <w:rFonts w:cs="Calibri"/>
                <w:b/>
                <w:color w:val="000000"/>
                <w:sz w:val="20"/>
                <w:szCs w:val="20"/>
                <w:lang w:eastAsia="es-CO"/>
              </w:rPr>
              <w:t>Factor M</w:t>
            </w:r>
          </w:p>
        </w:tc>
      </w:tr>
      <w:tr w:rsidR="0076337E" w:rsidRPr="0076337E" w14:paraId="0AAE63E4" w14:textId="77777777" w:rsidTr="0085002A">
        <w:trPr>
          <w:trHeight w:val="1628"/>
        </w:trPr>
        <w:tc>
          <w:tcPr>
            <w:tcW w:w="5125" w:type="dxa"/>
            <w:tcBorders>
              <w:top w:val="nil"/>
              <w:left w:val="single" w:sz="4" w:space="0" w:color="auto"/>
              <w:bottom w:val="single" w:sz="4" w:space="0" w:color="auto"/>
              <w:right w:val="single" w:sz="4" w:space="0" w:color="auto"/>
            </w:tcBorders>
            <w:shd w:val="clear" w:color="auto" w:fill="auto"/>
            <w:vAlign w:val="center"/>
            <w:hideMark/>
          </w:tcPr>
          <w:p w14:paraId="5C88AAC0" w14:textId="77777777" w:rsidR="0076337E" w:rsidRPr="0076337E" w:rsidRDefault="0076337E" w:rsidP="0076337E">
            <w:pPr>
              <w:spacing w:before="0" w:after="0"/>
              <w:jc w:val="left"/>
              <w:rPr>
                <w:rFonts w:cs="Arial"/>
                <w:bCs w:val="0"/>
                <w:color w:val="000000"/>
                <w:sz w:val="20"/>
                <w:szCs w:val="20"/>
                <w:lang w:eastAsia="es-CO"/>
              </w:rPr>
            </w:pPr>
            <w:r w:rsidRPr="0076337E">
              <w:rPr>
                <w:rFonts w:cs="Calibri"/>
                <w:bCs w:val="0"/>
                <w:color w:val="000000"/>
                <w:sz w:val="20"/>
                <w:szCs w:val="20"/>
                <w:lang w:eastAsia="es-CO"/>
              </w:rPr>
              <w:t>El factor M del capítulo 12 de la Resolución CREG 015 de 2018 se calcula con base de los consumos horarios reactivos inductivos y capacitivos penalizados, y dado que el proyecto resolución busca calcular consumos capacitivos penalizados de forma mensual y no horariamente, no hay cohesión de la propuesta con el capítulo 12 de la Res CREG 015 de 2018.</w:t>
            </w:r>
          </w:p>
        </w:tc>
        <w:tc>
          <w:tcPr>
            <w:tcW w:w="4455" w:type="dxa"/>
            <w:tcBorders>
              <w:top w:val="nil"/>
              <w:left w:val="nil"/>
              <w:bottom w:val="single" w:sz="4" w:space="0" w:color="auto"/>
              <w:right w:val="single" w:sz="4" w:space="0" w:color="auto"/>
            </w:tcBorders>
            <w:shd w:val="clear" w:color="auto" w:fill="auto"/>
            <w:vAlign w:val="center"/>
            <w:hideMark/>
          </w:tcPr>
          <w:p w14:paraId="30C86A94" w14:textId="77777777" w:rsidR="0076337E" w:rsidRDefault="0076337E" w:rsidP="0076337E">
            <w:pPr>
              <w:spacing w:before="0" w:after="0"/>
              <w:jc w:val="left"/>
              <w:rPr>
                <w:rFonts w:cs="Calibri"/>
                <w:bCs w:val="0"/>
                <w:color w:val="000000"/>
                <w:sz w:val="20"/>
                <w:szCs w:val="20"/>
                <w:lang w:eastAsia="es-CO"/>
              </w:rPr>
            </w:pPr>
            <w:r w:rsidRPr="0076337E">
              <w:rPr>
                <w:rFonts w:cs="Calibri"/>
                <w:bCs w:val="0"/>
                <w:color w:val="000000"/>
                <w:sz w:val="20"/>
                <w:szCs w:val="20"/>
                <w:lang w:eastAsia="es-CO"/>
              </w:rPr>
              <w:t>En la nueva metodología se revisará el desempeño del esquema de incentivos (Factor M) para reducir el transporte de reactiva en exceso y se analizará la solicitud de establecer reglas para estructurar un mercado de energía reactiva.</w:t>
            </w:r>
          </w:p>
          <w:p w14:paraId="02375FFD" w14:textId="77777777" w:rsidR="00A84450" w:rsidRDefault="00A84450" w:rsidP="0076337E">
            <w:pPr>
              <w:spacing w:before="0" w:after="0"/>
              <w:jc w:val="left"/>
              <w:rPr>
                <w:rFonts w:cs="Calibri"/>
                <w:bCs w:val="0"/>
                <w:color w:val="000000"/>
                <w:sz w:val="20"/>
                <w:szCs w:val="20"/>
                <w:lang w:eastAsia="es-CO"/>
              </w:rPr>
            </w:pPr>
          </w:p>
          <w:p w14:paraId="2FB08A0A" w14:textId="39C54ECC" w:rsidR="0064407D" w:rsidRDefault="00A84450" w:rsidP="0076337E">
            <w:pPr>
              <w:spacing w:before="0" w:after="0"/>
              <w:jc w:val="left"/>
              <w:rPr>
                <w:rFonts w:cs="Arial"/>
                <w:color w:val="000000"/>
                <w:sz w:val="20"/>
                <w:szCs w:val="20"/>
                <w:lang w:eastAsia="es-CO"/>
              </w:rPr>
            </w:pPr>
            <w:r>
              <w:rPr>
                <w:rFonts w:cs="Calibri"/>
                <w:bCs w:val="0"/>
                <w:color w:val="000000"/>
                <w:sz w:val="20"/>
                <w:szCs w:val="20"/>
                <w:lang w:eastAsia="es-CO"/>
              </w:rPr>
              <w:t xml:space="preserve">Se resalta que la metodología para el cobro de transporte de energía reactiva en exceso sobre los límites es una metodología de incentivos y </w:t>
            </w:r>
            <w:r w:rsidR="00C74E93">
              <w:rPr>
                <w:rFonts w:cs="Calibri"/>
                <w:bCs w:val="0"/>
                <w:color w:val="000000"/>
                <w:sz w:val="20"/>
                <w:szCs w:val="20"/>
                <w:lang w:eastAsia="es-CO"/>
              </w:rPr>
              <w:lastRenderedPageBreak/>
              <w:t>los cobros no son, de ninguna forma, penalizaciones.</w:t>
            </w:r>
            <w:r w:rsidR="0064407D">
              <w:rPr>
                <w:rFonts w:cs="Calibri"/>
                <w:bCs w:val="0"/>
                <w:color w:val="000000"/>
                <w:sz w:val="20"/>
                <w:szCs w:val="20"/>
                <w:lang w:eastAsia="es-CO"/>
              </w:rPr>
              <w:t xml:space="preserve"> A través de los cobros se</w:t>
            </w:r>
            <w:r w:rsidR="00093DFD">
              <w:rPr>
                <w:rFonts w:cs="Calibri"/>
                <w:bCs w:val="0"/>
                <w:color w:val="000000"/>
                <w:sz w:val="20"/>
                <w:szCs w:val="20"/>
                <w:lang w:eastAsia="es-CO"/>
              </w:rPr>
              <w:t xml:space="preserve"> busca que el usuario que produce transporte en exceso pueda tener l</w:t>
            </w:r>
            <w:r w:rsidR="00166D33">
              <w:rPr>
                <w:rFonts w:cs="Calibri"/>
                <w:bCs w:val="0"/>
                <w:color w:val="000000"/>
                <w:sz w:val="20"/>
                <w:szCs w:val="20"/>
                <w:lang w:eastAsia="es-CO"/>
              </w:rPr>
              <w:t>a</w:t>
            </w:r>
            <w:r w:rsidR="00093DFD">
              <w:rPr>
                <w:rFonts w:cs="Calibri"/>
                <w:bCs w:val="0"/>
                <w:color w:val="000000"/>
                <w:sz w:val="20"/>
                <w:szCs w:val="20"/>
                <w:lang w:eastAsia="es-CO"/>
              </w:rPr>
              <w:t xml:space="preserve"> oportunidad de evaluar los cobros efectuados respecto de las soluciones técnicas que los podrían evitar para permitirle la posibilidad de que mejore sus instalaciones internas y no produzca transportes excesivos que </w:t>
            </w:r>
            <w:r w:rsidR="00166D33">
              <w:rPr>
                <w:rFonts w:cs="Calibri"/>
                <w:bCs w:val="0"/>
                <w:color w:val="000000"/>
                <w:sz w:val="20"/>
                <w:szCs w:val="20"/>
                <w:lang w:eastAsia="es-CO"/>
              </w:rPr>
              <w:t>afectan a los demás usuarios.</w:t>
            </w:r>
          </w:p>
          <w:p w14:paraId="020B6856" w14:textId="7DEEB74E" w:rsidR="0064407D" w:rsidRPr="0076337E" w:rsidRDefault="0064407D" w:rsidP="0076337E">
            <w:pPr>
              <w:spacing w:before="0" w:after="0"/>
              <w:jc w:val="left"/>
              <w:rPr>
                <w:rFonts w:cs="Arial"/>
                <w:bCs w:val="0"/>
                <w:color w:val="000000"/>
                <w:sz w:val="20"/>
                <w:szCs w:val="20"/>
                <w:lang w:eastAsia="es-CO"/>
              </w:rPr>
            </w:pPr>
          </w:p>
        </w:tc>
      </w:tr>
      <w:tr w:rsidR="0076337E" w:rsidRPr="0076337E" w14:paraId="5E408F78" w14:textId="77777777" w:rsidTr="0085002A">
        <w:trPr>
          <w:trHeight w:val="1750"/>
        </w:trPr>
        <w:tc>
          <w:tcPr>
            <w:tcW w:w="5125" w:type="dxa"/>
            <w:tcBorders>
              <w:top w:val="nil"/>
              <w:left w:val="single" w:sz="4" w:space="0" w:color="auto"/>
              <w:bottom w:val="single" w:sz="4" w:space="0" w:color="auto"/>
              <w:right w:val="single" w:sz="4" w:space="0" w:color="auto"/>
            </w:tcBorders>
            <w:shd w:val="clear" w:color="auto" w:fill="auto"/>
            <w:vAlign w:val="center"/>
            <w:hideMark/>
          </w:tcPr>
          <w:p w14:paraId="5F3AE198" w14:textId="77777777" w:rsidR="0076337E" w:rsidRPr="0076337E" w:rsidRDefault="0076337E" w:rsidP="0076337E">
            <w:pPr>
              <w:spacing w:before="0" w:after="0"/>
              <w:jc w:val="left"/>
              <w:rPr>
                <w:rFonts w:cs="Arial"/>
                <w:bCs w:val="0"/>
                <w:color w:val="000000"/>
                <w:sz w:val="20"/>
                <w:szCs w:val="20"/>
                <w:lang w:eastAsia="es-CO"/>
              </w:rPr>
            </w:pPr>
            <w:r w:rsidRPr="0076337E">
              <w:rPr>
                <w:rFonts w:cs="Arial"/>
                <w:bCs w:val="0"/>
                <w:color w:val="000000"/>
                <w:sz w:val="20"/>
                <w:szCs w:val="20"/>
                <w:lang w:eastAsia="es-CO"/>
              </w:rPr>
              <w:lastRenderedPageBreak/>
              <w:t>Dado que se va a cambiar la metodología en los consumos reactivos penalizados, se propone reiniciar el factor M a 1 y limitarlo en un máximo valor de 3.</w:t>
            </w:r>
          </w:p>
        </w:tc>
        <w:tc>
          <w:tcPr>
            <w:tcW w:w="4455" w:type="dxa"/>
            <w:tcBorders>
              <w:top w:val="nil"/>
              <w:left w:val="nil"/>
              <w:bottom w:val="single" w:sz="4" w:space="0" w:color="auto"/>
              <w:right w:val="single" w:sz="4" w:space="0" w:color="auto"/>
            </w:tcBorders>
            <w:shd w:val="clear" w:color="auto" w:fill="auto"/>
            <w:vAlign w:val="center"/>
            <w:hideMark/>
          </w:tcPr>
          <w:p w14:paraId="377ECFC2" w14:textId="61730D32" w:rsidR="002D0F84" w:rsidRDefault="0076337E" w:rsidP="0076337E">
            <w:pPr>
              <w:spacing w:before="0" w:after="0"/>
              <w:jc w:val="left"/>
              <w:rPr>
                <w:rFonts w:cs="Arial"/>
                <w:bCs w:val="0"/>
                <w:color w:val="000000"/>
                <w:sz w:val="20"/>
                <w:szCs w:val="20"/>
                <w:lang w:eastAsia="es-CO"/>
              </w:rPr>
            </w:pPr>
            <w:r w:rsidRPr="0076337E">
              <w:rPr>
                <w:rFonts w:cs="Arial"/>
                <w:bCs w:val="0"/>
                <w:color w:val="000000"/>
                <w:sz w:val="20"/>
                <w:szCs w:val="20"/>
                <w:lang w:eastAsia="es-CO"/>
              </w:rPr>
              <w:t>Modificar el Reglamento de Distribución es la solución para atender en el corto plazo al Decreto del Ministerio</w:t>
            </w:r>
            <w:r w:rsidR="00CC3937">
              <w:rPr>
                <w:rFonts w:cs="Arial"/>
                <w:bCs w:val="0"/>
                <w:color w:val="000000"/>
                <w:sz w:val="20"/>
                <w:szCs w:val="20"/>
                <w:lang w:eastAsia="es-CO"/>
              </w:rPr>
              <w:t xml:space="preserve"> y lo propuesto no modifica, en ninguna forma, </w:t>
            </w:r>
            <w:r w:rsidR="00DA1967">
              <w:rPr>
                <w:rFonts w:cs="Arial"/>
                <w:bCs w:val="0"/>
                <w:color w:val="000000"/>
                <w:sz w:val="20"/>
                <w:szCs w:val="20"/>
                <w:lang w:eastAsia="es-CO"/>
              </w:rPr>
              <w:t>el método de cobro establecido en la Resolución CREG 015 de 2018 ni el factor M</w:t>
            </w:r>
            <w:r w:rsidR="00DA28A9">
              <w:rPr>
                <w:rFonts w:cs="Arial"/>
                <w:bCs w:val="0"/>
                <w:color w:val="000000"/>
                <w:sz w:val="20"/>
                <w:szCs w:val="20"/>
                <w:lang w:eastAsia="es-CO"/>
              </w:rPr>
              <w:t xml:space="preserve"> allí establecido</w:t>
            </w:r>
            <w:r w:rsidRPr="0076337E">
              <w:rPr>
                <w:rFonts w:cs="Arial"/>
                <w:bCs w:val="0"/>
                <w:color w:val="000000"/>
                <w:sz w:val="20"/>
                <w:szCs w:val="20"/>
                <w:lang w:eastAsia="es-CO"/>
              </w:rPr>
              <w:t>.</w:t>
            </w:r>
          </w:p>
          <w:p w14:paraId="73ACFFD4" w14:textId="77777777" w:rsidR="00CC3937" w:rsidRDefault="00CC3937" w:rsidP="0076337E">
            <w:pPr>
              <w:spacing w:before="0" w:after="0"/>
              <w:jc w:val="left"/>
              <w:rPr>
                <w:rFonts w:cs="Arial"/>
                <w:bCs w:val="0"/>
                <w:color w:val="000000"/>
                <w:sz w:val="20"/>
                <w:szCs w:val="20"/>
                <w:lang w:eastAsia="es-CO"/>
              </w:rPr>
            </w:pPr>
          </w:p>
          <w:p w14:paraId="092EC4CF" w14:textId="77777777" w:rsidR="0076337E" w:rsidRDefault="0076337E" w:rsidP="0076337E">
            <w:pPr>
              <w:spacing w:before="0" w:after="0"/>
              <w:jc w:val="left"/>
              <w:rPr>
                <w:rFonts w:cs="Arial"/>
                <w:bCs w:val="0"/>
                <w:color w:val="000000"/>
                <w:sz w:val="20"/>
                <w:szCs w:val="20"/>
                <w:lang w:eastAsia="es-CO"/>
              </w:rPr>
            </w:pPr>
            <w:r w:rsidRPr="0076337E">
              <w:rPr>
                <w:rFonts w:cs="Arial"/>
                <w:bCs w:val="0"/>
                <w:color w:val="000000"/>
                <w:sz w:val="20"/>
                <w:szCs w:val="20"/>
                <w:lang w:eastAsia="es-CO"/>
              </w:rPr>
              <w:t>En la nueva metodología se revisará el desempeño del esquema de incentivos (Factor M) para reducir el transporte de reactiva en exceso, y se analizará la solicitud de modificar su rango.</w:t>
            </w:r>
          </w:p>
          <w:p w14:paraId="6FC19AA5" w14:textId="77777777" w:rsidR="00DA28A9" w:rsidRDefault="00DA28A9" w:rsidP="0076337E">
            <w:pPr>
              <w:spacing w:before="0" w:after="0"/>
              <w:jc w:val="left"/>
              <w:rPr>
                <w:rFonts w:cs="Arial"/>
                <w:bCs w:val="0"/>
                <w:color w:val="000000"/>
                <w:sz w:val="20"/>
                <w:szCs w:val="20"/>
                <w:lang w:eastAsia="es-CO"/>
              </w:rPr>
            </w:pPr>
          </w:p>
          <w:p w14:paraId="70ED64CA" w14:textId="43DA5D64" w:rsidR="00DA28A9" w:rsidRPr="0076337E" w:rsidRDefault="00DA28A9" w:rsidP="0076337E">
            <w:pPr>
              <w:spacing w:before="0" w:after="0"/>
              <w:jc w:val="left"/>
              <w:rPr>
                <w:rFonts w:cs="Arial"/>
                <w:bCs w:val="0"/>
                <w:color w:val="000000"/>
                <w:sz w:val="20"/>
                <w:szCs w:val="20"/>
                <w:lang w:eastAsia="es-CO"/>
              </w:rPr>
            </w:pPr>
            <w:r>
              <w:rPr>
                <w:rFonts w:cs="Arial"/>
                <w:bCs w:val="0"/>
                <w:color w:val="000000"/>
                <w:sz w:val="20"/>
                <w:szCs w:val="20"/>
                <w:lang w:eastAsia="es-CO"/>
              </w:rPr>
              <w:t xml:space="preserve">No obstante, es claro </w:t>
            </w:r>
            <w:r w:rsidR="00144B6F">
              <w:rPr>
                <w:rFonts w:cs="Arial"/>
                <w:bCs w:val="0"/>
                <w:color w:val="000000"/>
                <w:sz w:val="20"/>
                <w:szCs w:val="20"/>
                <w:lang w:eastAsia="es-CO"/>
              </w:rPr>
              <w:t>que,</w:t>
            </w:r>
            <w:r>
              <w:rPr>
                <w:rFonts w:cs="Arial"/>
                <w:bCs w:val="0"/>
                <w:color w:val="000000"/>
                <w:sz w:val="20"/>
                <w:szCs w:val="20"/>
                <w:lang w:eastAsia="es-CO"/>
              </w:rPr>
              <w:t xml:space="preserve"> si un usuario que anteriormente presentaba excesos de transporte de energía reactiva capacitiva </w:t>
            </w:r>
            <w:r w:rsidR="00453F24">
              <w:rPr>
                <w:rFonts w:cs="Arial"/>
                <w:bCs w:val="0"/>
                <w:color w:val="000000"/>
                <w:sz w:val="20"/>
                <w:szCs w:val="20"/>
                <w:lang w:eastAsia="es-CO"/>
              </w:rPr>
              <w:t xml:space="preserve">y ahora se encuentra dentro del rango de tolerancia de cada nivel de tensión, </w:t>
            </w:r>
            <w:r w:rsidR="001E6620">
              <w:rPr>
                <w:rFonts w:cs="Arial"/>
                <w:bCs w:val="0"/>
                <w:color w:val="000000"/>
                <w:sz w:val="20"/>
                <w:szCs w:val="20"/>
                <w:lang w:eastAsia="es-CO"/>
              </w:rPr>
              <w:t xml:space="preserve">para este no se </w:t>
            </w:r>
            <w:r w:rsidR="00CC643C">
              <w:rPr>
                <w:rFonts w:cs="Arial"/>
                <w:bCs w:val="0"/>
                <w:color w:val="000000"/>
                <w:sz w:val="20"/>
                <w:szCs w:val="20"/>
                <w:lang w:eastAsia="es-CO"/>
              </w:rPr>
              <w:t xml:space="preserve">activará el pago </w:t>
            </w:r>
            <w:r w:rsidR="002A1EA0">
              <w:rPr>
                <w:rFonts w:cs="Arial"/>
                <w:bCs w:val="0"/>
                <w:color w:val="000000"/>
                <w:sz w:val="20"/>
                <w:szCs w:val="20"/>
                <w:lang w:eastAsia="es-CO"/>
              </w:rPr>
              <w:t>y,</w:t>
            </w:r>
            <w:r w:rsidR="00CC643C">
              <w:rPr>
                <w:rFonts w:cs="Arial"/>
                <w:bCs w:val="0"/>
                <w:color w:val="000000"/>
                <w:sz w:val="20"/>
                <w:szCs w:val="20"/>
                <w:lang w:eastAsia="es-CO"/>
              </w:rPr>
              <w:t xml:space="preserve"> por ende, luego de tres meses de no presentar condiciones de transpor</w:t>
            </w:r>
            <w:r w:rsidR="00144B6F">
              <w:rPr>
                <w:rFonts w:cs="Arial"/>
                <w:bCs w:val="0"/>
                <w:color w:val="000000"/>
                <w:sz w:val="20"/>
                <w:szCs w:val="20"/>
                <w:lang w:eastAsia="es-CO"/>
              </w:rPr>
              <w:t>t</w:t>
            </w:r>
            <w:r w:rsidR="00CC643C">
              <w:rPr>
                <w:rFonts w:cs="Arial"/>
                <w:bCs w:val="0"/>
                <w:color w:val="000000"/>
                <w:sz w:val="20"/>
                <w:szCs w:val="20"/>
                <w:lang w:eastAsia="es-CO"/>
              </w:rPr>
              <w:t>e en exceso, el factor M se reinicia a 1</w:t>
            </w:r>
            <w:r w:rsidR="00144B6F">
              <w:rPr>
                <w:rFonts w:cs="Arial"/>
                <w:bCs w:val="0"/>
                <w:color w:val="000000"/>
                <w:sz w:val="20"/>
                <w:szCs w:val="20"/>
                <w:lang w:eastAsia="es-CO"/>
              </w:rPr>
              <w:t>.</w:t>
            </w:r>
          </w:p>
        </w:tc>
      </w:tr>
      <w:tr w:rsidR="0076337E" w:rsidRPr="0076337E" w14:paraId="06D1204F" w14:textId="77777777" w:rsidTr="0085002A">
        <w:trPr>
          <w:trHeight w:val="1250"/>
        </w:trPr>
        <w:tc>
          <w:tcPr>
            <w:tcW w:w="5125" w:type="dxa"/>
            <w:tcBorders>
              <w:top w:val="nil"/>
              <w:left w:val="single" w:sz="4" w:space="0" w:color="auto"/>
              <w:bottom w:val="single" w:sz="4" w:space="0" w:color="auto"/>
              <w:right w:val="single" w:sz="4" w:space="0" w:color="auto"/>
            </w:tcBorders>
            <w:shd w:val="clear" w:color="auto" w:fill="auto"/>
            <w:vAlign w:val="center"/>
            <w:hideMark/>
          </w:tcPr>
          <w:p w14:paraId="6DCCD29F" w14:textId="77777777" w:rsidR="0076337E" w:rsidRPr="0076337E" w:rsidRDefault="0076337E" w:rsidP="0076337E">
            <w:pPr>
              <w:spacing w:before="0" w:after="0"/>
              <w:jc w:val="left"/>
              <w:rPr>
                <w:rFonts w:cs="Arial"/>
                <w:bCs w:val="0"/>
                <w:color w:val="000000"/>
                <w:sz w:val="20"/>
                <w:szCs w:val="20"/>
                <w:lang w:eastAsia="es-CO"/>
              </w:rPr>
            </w:pPr>
            <w:r w:rsidRPr="0076337E">
              <w:rPr>
                <w:rFonts w:cs="Arial"/>
                <w:bCs w:val="0"/>
                <w:color w:val="000000"/>
                <w:sz w:val="20"/>
                <w:szCs w:val="20"/>
                <w:lang w:eastAsia="es-CO"/>
              </w:rPr>
              <w:t xml:space="preserve">No obstante, se percibe al factor M como una penalización (no un incentivo) porque se castiga al usuario por no ajustarse a un valor permitido de consumo de energía reactiva.  </w:t>
            </w:r>
          </w:p>
        </w:tc>
        <w:tc>
          <w:tcPr>
            <w:tcW w:w="4455" w:type="dxa"/>
            <w:tcBorders>
              <w:top w:val="nil"/>
              <w:left w:val="nil"/>
              <w:bottom w:val="single" w:sz="4" w:space="0" w:color="auto"/>
              <w:right w:val="single" w:sz="4" w:space="0" w:color="auto"/>
            </w:tcBorders>
            <w:shd w:val="clear" w:color="auto" w:fill="auto"/>
            <w:vAlign w:val="center"/>
            <w:hideMark/>
          </w:tcPr>
          <w:p w14:paraId="65B90A68" w14:textId="77777777" w:rsidR="0076337E" w:rsidRPr="0076337E" w:rsidRDefault="0076337E" w:rsidP="0076337E">
            <w:pPr>
              <w:spacing w:before="0" w:after="0"/>
              <w:jc w:val="left"/>
              <w:rPr>
                <w:rFonts w:cs="Arial"/>
                <w:bCs w:val="0"/>
                <w:color w:val="000000"/>
                <w:sz w:val="20"/>
                <w:szCs w:val="20"/>
                <w:lang w:eastAsia="es-CO"/>
              </w:rPr>
            </w:pPr>
            <w:r w:rsidRPr="0076337E">
              <w:rPr>
                <w:rFonts w:cs="Arial"/>
                <w:bCs w:val="0"/>
                <w:color w:val="000000"/>
                <w:sz w:val="20"/>
                <w:szCs w:val="20"/>
                <w:lang w:eastAsia="es-CO"/>
              </w:rPr>
              <w:t>Se aclara que el mecanismo de cobro para el transporte de energía reactiva en exceso no es una penalización, sino un esquema de incentivos que busca reducir este transporte cuando exceda los límites previstos en la regulación.</w:t>
            </w:r>
          </w:p>
        </w:tc>
      </w:tr>
      <w:tr w:rsidR="0076337E" w:rsidRPr="0076337E" w14:paraId="3887D849" w14:textId="77777777" w:rsidTr="0076337E">
        <w:trPr>
          <w:trHeight w:val="290"/>
        </w:trPr>
        <w:tc>
          <w:tcPr>
            <w:tcW w:w="958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FD13917" w14:textId="77777777" w:rsidR="0076337E" w:rsidRPr="0076337E" w:rsidRDefault="0076337E" w:rsidP="0076337E">
            <w:pPr>
              <w:spacing w:before="0" w:after="0"/>
              <w:jc w:val="center"/>
              <w:rPr>
                <w:rFonts w:cs="Arial"/>
                <w:b/>
                <w:color w:val="000000"/>
                <w:sz w:val="20"/>
                <w:szCs w:val="20"/>
                <w:lang w:eastAsia="es-CO"/>
              </w:rPr>
            </w:pPr>
            <w:r w:rsidRPr="0076337E">
              <w:rPr>
                <w:rFonts w:cs="Calibri"/>
                <w:b/>
                <w:color w:val="000000"/>
                <w:sz w:val="20"/>
                <w:szCs w:val="20"/>
                <w:lang w:eastAsia="es-CO"/>
              </w:rPr>
              <w:t>General</w:t>
            </w:r>
          </w:p>
        </w:tc>
      </w:tr>
      <w:tr w:rsidR="0076337E" w:rsidRPr="0076337E" w14:paraId="7D3742DD" w14:textId="77777777" w:rsidTr="0085002A">
        <w:trPr>
          <w:trHeight w:val="494"/>
        </w:trPr>
        <w:tc>
          <w:tcPr>
            <w:tcW w:w="5125" w:type="dxa"/>
            <w:tcBorders>
              <w:top w:val="nil"/>
              <w:left w:val="single" w:sz="4" w:space="0" w:color="auto"/>
              <w:bottom w:val="single" w:sz="4" w:space="0" w:color="auto"/>
              <w:right w:val="single" w:sz="4" w:space="0" w:color="auto"/>
            </w:tcBorders>
            <w:shd w:val="clear" w:color="auto" w:fill="auto"/>
            <w:vAlign w:val="center"/>
            <w:hideMark/>
          </w:tcPr>
          <w:p w14:paraId="4E813372" w14:textId="77777777" w:rsidR="0076337E" w:rsidRPr="0076337E" w:rsidRDefault="0076337E" w:rsidP="0076337E">
            <w:pPr>
              <w:spacing w:before="0" w:after="0"/>
              <w:jc w:val="left"/>
              <w:rPr>
                <w:rFonts w:cs="Arial"/>
                <w:bCs w:val="0"/>
                <w:color w:val="000000"/>
                <w:sz w:val="20"/>
                <w:szCs w:val="20"/>
                <w:lang w:eastAsia="es-CO"/>
              </w:rPr>
            </w:pPr>
            <w:r w:rsidRPr="0076337E">
              <w:rPr>
                <w:rFonts w:cs="Calibri"/>
                <w:bCs w:val="0"/>
                <w:color w:val="000000"/>
                <w:sz w:val="20"/>
                <w:szCs w:val="20"/>
                <w:lang w:eastAsia="es-CO"/>
              </w:rPr>
              <w:t>Se sugiere que, en conjunto con el Ministerio de Minas y Energía y demás entes responsables del manejo de temas afines, se estudie la posibilidad de incluir un lineamiento sobre etiquetado de elementos eléctricos, electrónicos y electrodomésticos, complementando el esquema de etiquetado vigente con medidas adicionales que lleven a que se brinde información a los usuarios sobre los aparatos que más ingresen energía reactiva a la red. Lo anterior con el fin de reglamentar la acreditación de electrodomésticos y equipos eléctricos, en general los factores de potencia admisibles.</w:t>
            </w:r>
          </w:p>
        </w:tc>
        <w:tc>
          <w:tcPr>
            <w:tcW w:w="4455" w:type="dxa"/>
            <w:tcBorders>
              <w:top w:val="nil"/>
              <w:left w:val="nil"/>
              <w:bottom w:val="single" w:sz="4" w:space="0" w:color="auto"/>
              <w:right w:val="single" w:sz="4" w:space="0" w:color="auto"/>
            </w:tcBorders>
            <w:shd w:val="clear" w:color="auto" w:fill="auto"/>
            <w:vAlign w:val="center"/>
            <w:hideMark/>
          </w:tcPr>
          <w:p w14:paraId="4D9F8ED4" w14:textId="77777777" w:rsidR="0076337E" w:rsidRPr="0076337E" w:rsidRDefault="0076337E" w:rsidP="0076337E">
            <w:pPr>
              <w:spacing w:before="0" w:after="0"/>
              <w:jc w:val="left"/>
              <w:rPr>
                <w:rFonts w:cs="Arial"/>
                <w:bCs w:val="0"/>
                <w:color w:val="000000"/>
                <w:sz w:val="20"/>
                <w:szCs w:val="20"/>
                <w:lang w:eastAsia="es-CO"/>
              </w:rPr>
            </w:pPr>
            <w:r w:rsidRPr="0076337E">
              <w:rPr>
                <w:rFonts w:cs="Calibri"/>
                <w:bCs w:val="0"/>
                <w:color w:val="000000"/>
                <w:sz w:val="20"/>
                <w:szCs w:val="20"/>
                <w:lang w:eastAsia="es-CO"/>
              </w:rPr>
              <w:t>Realizar exigencias técnicas de equipos y aparatos que se importan o producen en el país no hace parte de las funciones de la Comisión.</w:t>
            </w:r>
            <w:r w:rsidRPr="0076337E">
              <w:rPr>
                <w:rFonts w:cs="Calibri"/>
                <w:bCs w:val="0"/>
                <w:color w:val="000000"/>
                <w:sz w:val="20"/>
                <w:szCs w:val="20"/>
                <w:lang w:eastAsia="es-CO"/>
              </w:rPr>
              <w:br/>
            </w:r>
            <w:r w:rsidRPr="0076337E">
              <w:rPr>
                <w:rFonts w:cs="Calibri"/>
                <w:bCs w:val="0"/>
                <w:color w:val="000000"/>
                <w:sz w:val="20"/>
                <w:szCs w:val="20"/>
                <w:lang w:eastAsia="es-CO"/>
              </w:rPr>
              <w:br/>
              <w:t>No obstante, se compartirá la solicitud con la Superintendencia de Industria y Comercio y con el Ministerio de Minas y Energía para analizar la posible modificación de reglamentos.</w:t>
            </w:r>
          </w:p>
        </w:tc>
      </w:tr>
      <w:tr w:rsidR="0076337E" w:rsidRPr="0076337E" w14:paraId="2C071574" w14:textId="77777777" w:rsidTr="0076337E">
        <w:trPr>
          <w:trHeight w:val="290"/>
        </w:trPr>
        <w:tc>
          <w:tcPr>
            <w:tcW w:w="958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C0D0F0C" w14:textId="77777777" w:rsidR="0076337E" w:rsidRPr="0076337E" w:rsidRDefault="0076337E" w:rsidP="00CB2471">
            <w:pPr>
              <w:keepNext/>
              <w:spacing w:before="0" w:after="0"/>
              <w:jc w:val="center"/>
              <w:rPr>
                <w:rFonts w:cs="Arial"/>
                <w:b/>
                <w:color w:val="000000"/>
                <w:sz w:val="20"/>
                <w:szCs w:val="20"/>
                <w:lang w:eastAsia="es-CO"/>
              </w:rPr>
            </w:pPr>
            <w:r w:rsidRPr="0076337E">
              <w:rPr>
                <w:rFonts w:cs="Calibri"/>
                <w:b/>
                <w:color w:val="000000"/>
                <w:sz w:val="20"/>
                <w:szCs w:val="20"/>
                <w:lang w:eastAsia="es-CO"/>
              </w:rPr>
              <w:lastRenderedPageBreak/>
              <w:t>AMI</w:t>
            </w:r>
          </w:p>
        </w:tc>
      </w:tr>
      <w:tr w:rsidR="0076337E" w:rsidRPr="0076337E" w14:paraId="4221E775" w14:textId="77777777" w:rsidTr="0085002A">
        <w:trPr>
          <w:trHeight w:val="1000"/>
        </w:trPr>
        <w:tc>
          <w:tcPr>
            <w:tcW w:w="5125" w:type="dxa"/>
            <w:tcBorders>
              <w:top w:val="nil"/>
              <w:left w:val="single" w:sz="4" w:space="0" w:color="auto"/>
              <w:bottom w:val="single" w:sz="4" w:space="0" w:color="auto"/>
              <w:right w:val="single" w:sz="4" w:space="0" w:color="auto"/>
            </w:tcBorders>
            <w:shd w:val="clear" w:color="auto" w:fill="auto"/>
            <w:vAlign w:val="center"/>
            <w:hideMark/>
          </w:tcPr>
          <w:p w14:paraId="26CED1AB" w14:textId="77777777" w:rsidR="0076337E" w:rsidRPr="0076337E" w:rsidRDefault="0076337E" w:rsidP="0076337E">
            <w:pPr>
              <w:spacing w:before="0" w:after="0"/>
              <w:jc w:val="left"/>
              <w:rPr>
                <w:rFonts w:cs="Arial"/>
                <w:bCs w:val="0"/>
                <w:color w:val="000000"/>
                <w:sz w:val="20"/>
                <w:szCs w:val="20"/>
                <w:lang w:eastAsia="es-CO"/>
              </w:rPr>
            </w:pPr>
            <w:r w:rsidRPr="0076337E">
              <w:rPr>
                <w:rFonts w:cs="Calibri"/>
                <w:bCs w:val="0"/>
                <w:color w:val="000000"/>
                <w:sz w:val="20"/>
                <w:szCs w:val="20"/>
                <w:lang w:eastAsia="es-CO"/>
              </w:rPr>
              <w:t>Es necesario que la Comisión realice un seguimiento periódico ante un escenario de masificación de AMI, medidores digitales para tomar las medidas correctas oportunamente.</w:t>
            </w:r>
          </w:p>
        </w:tc>
        <w:tc>
          <w:tcPr>
            <w:tcW w:w="4455" w:type="dxa"/>
            <w:tcBorders>
              <w:top w:val="nil"/>
              <w:left w:val="nil"/>
              <w:bottom w:val="single" w:sz="4" w:space="0" w:color="auto"/>
              <w:right w:val="single" w:sz="4" w:space="0" w:color="auto"/>
            </w:tcBorders>
            <w:shd w:val="clear" w:color="auto" w:fill="auto"/>
            <w:vAlign w:val="center"/>
            <w:hideMark/>
          </w:tcPr>
          <w:p w14:paraId="674E4E62" w14:textId="77777777" w:rsidR="0076337E" w:rsidRPr="0076337E" w:rsidRDefault="0076337E" w:rsidP="0076337E">
            <w:pPr>
              <w:spacing w:before="0" w:after="0"/>
              <w:jc w:val="left"/>
              <w:rPr>
                <w:rFonts w:cs="Arial"/>
                <w:bCs w:val="0"/>
                <w:color w:val="000000"/>
                <w:sz w:val="20"/>
                <w:szCs w:val="20"/>
                <w:lang w:eastAsia="es-CO"/>
              </w:rPr>
            </w:pPr>
            <w:r w:rsidRPr="0076337E">
              <w:rPr>
                <w:rFonts w:cs="Calibri"/>
                <w:bCs w:val="0"/>
                <w:color w:val="000000"/>
                <w:sz w:val="20"/>
                <w:szCs w:val="20"/>
                <w:lang w:eastAsia="es-CO"/>
              </w:rPr>
              <w:t>Este tema será considerado en la oportunidad de la revisión y expedición del esquema de AMI.</w:t>
            </w:r>
          </w:p>
        </w:tc>
      </w:tr>
      <w:tr w:rsidR="0076337E" w:rsidRPr="0076337E" w14:paraId="4620ABE6" w14:textId="77777777" w:rsidTr="0076337E">
        <w:trPr>
          <w:trHeight w:val="290"/>
        </w:trPr>
        <w:tc>
          <w:tcPr>
            <w:tcW w:w="958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9B955E3" w14:textId="77777777" w:rsidR="0076337E" w:rsidRPr="0076337E" w:rsidRDefault="0076337E" w:rsidP="0076337E">
            <w:pPr>
              <w:spacing w:before="0" w:after="0"/>
              <w:jc w:val="center"/>
              <w:rPr>
                <w:rFonts w:cs="Arial"/>
                <w:b/>
                <w:color w:val="000000"/>
                <w:sz w:val="20"/>
                <w:szCs w:val="20"/>
                <w:lang w:eastAsia="es-CO"/>
              </w:rPr>
            </w:pPr>
            <w:r w:rsidRPr="0076337E">
              <w:rPr>
                <w:rFonts w:cs="Calibri"/>
                <w:b/>
                <w:color w:val="000000"/>
                <w:sz w:val="20"/>
                <w:szCs w:val="20"/>
                <w:lang w:eastAsia="es-CO"/>
              </w:rPr>
              <w:t>Competencia</w:t>
            </w:r>
          </w:p>
        </w:tc>
      </w:tr>
      <w:tr w:rsidR="0076337E" w:rsidRPr="0076337E" w14:paraId="495AC3C2" w14:textId="77777777" w:rsidTr="0085002A">
        <w:trPr>
          <w:trHeight w:val="2807"/>
        </w:trPr>
        <w:tc>
          <w:tcPr>
            <w:tcW w:w="5125" w:type="dxa"/>
            <w:tcBorders>
              <w:top w:val="nil"/>
              <w:left w:val="single" w:sz="4" w:space="0" w:color="auto"/>
              <w:bottom w:val="single" w:sz="4" w:space="0" w:color="auto"/>
              <w:right w:val="single" w:sz="4" w:space="0" w:color="auto"/>
            </w:tcBorders>
            <w:shd w:val="clear" w:color="auto" w:fill="auto"/>
            <w:vAlign w:val="center"/>
            <w:hideMark/>
          </w:tcPr>
          <w:p w14:paraId="6E6F6680" w14:textId="77777777" w:rsidR="0076337E" w:rsidRPr="0076337E" w:rsidRDefault="0076337E" w:rsidP="0076337E">
            <w:pPr>
              <w:spacing w:before="0" w:after="0"/>
              <w:jc w:val="left"/>
              <w:rPr>
                <w:rFonts w:cs="Arial"/>
                <w:bCs w:val="0"/>
                <w:color w:val="000000"/>
                <w:sz w:val="20"/>
                <w:szCs w:val="20"/>
                <w:lang w:eastAsia="es-CO"/>
              </w:rPr>
            </w:pPr>
            <w:r w:rsidRPr="0076337E">
              <w:rPr>
                <w:rFonts w:cs="Calibri"/>
                <w:bCs w:val="0"/>
                <w:color w:val="000000"/>
                <w:sz w:val="20"/>
                <w:szCs w:val="20"/>
                <w:lang w:eastAsia="es-CO"/>
              </w:rPr>
              <w:t>Se entiende que uno de los objetivos que se busca corregir es la asimetría existente en el cobro de la energía reactiva, originada por el tipo de medidor que tiene un usuario. Actualmente los usuarios de bajo consumo que tienen medida convencional no afectan la operación de los sistemas, razón por la cual, no se les aplica cobro de energía reactiva (inductiva, capacitiva). Sin embargo, cuando un usuario realiza un cambio de comercializador o del sistema de medida (a un medidor con perfil horario o por sistemas AMI) sus registros horarios pueden reflejar flujos de energía reactiva que, aunque poco significativos, son cobrados por los OR.</w:t>
            </w:r>
          </w:p>
        </w:tc>
        <w:tc>
          <w:tcPr>
            <w:tcW w:w="4455" w:type="dxa"/>
            <w:tcBorders>
              <w:top w:val="nil"/>
              <w:left w:val="nil"/>
              <w:bottom w:val="single" w:sz="4" w:space="0" w:color="auto"/>
              <w:right w:val="single" w:sz="4" w:space="0" w:color="auto"/>
            </w:tcBorders>
            <w:shd w:val="clear" w:color="auto" w:fill="auto"/>
            <w:vAlign w:val="center"/>
            <w:hideMark/>
          </w:tcPr>
          <w:p w14:paraId="7A1E5CDB" w14:textId="77777777" w:rsidR="00BC3228" w:rsidRDefault="0076337E" w:rsidP="0076337E">
            <w:pPr>
              <w:spacing w:before="0" w:after="0"/>
              <w:jc w:val="left"/>
              <w:rPr>
                <w:rFonts w:cs="Calibri"/>
                <w:bCs w:val="0"/>
                <w:color w:val="000000"/>
                <w:sz w:val="20"/>
                <w:szCs w:val="20"/>
                <w:lang w:eastAsia="es-CO"/>
              </w:rPr>
            </w:pPr>
            <w:r w:rsidRPr="0076337E">
              <w:rPr>
                <w:rFonts w:cs="Calibri"/>
                <w:bCs w:val="0"/>
                <w:color w:val="000000"/>
                <w:sz w:val="20"/>
                <w:szCs w:val="20"/>
                <w:lang w:eastAsia="es-CO"/>
              </w:rPr>
              <w:t>Cuando se realice la implementación de AMI todos los usuarios que tengan el nuevo medidor tendrán medida de activa y de reactiva, entre otras funcionalidades adicionales, independiente del comercializador que los atienda.</w:t>
            </w:r>
          </w:p>
          <w:p w14:paraId="38BC6665" w14:textId="77777777" w:rsidR="00BC3228" w:rsidRDefault="00BC3228" w:rsidP="0076337E">
            <w:pPr>
              <w:spacing w:before="0" w:after="0"/>
              <w:jc w:val="left"/>
              <w:rPr>
                <w:rFonts w:cs="Calibri"/>
                <w:bCs w:val="0"/>
                <w:color w:val="000000"/>
                <w:sz w:val="20"/>
                <w:szCs w:val="20"/>
                <w:lang w:eastAsia="es-CO"/>
              </w:rPr>
            </w:pPr>
          </w:p>
          <w:p w14:paraId="6E08518A" w14:textId="77777777" w:rsidR="0076337E" w:rsidRDefault="0076337E" w:rsidP="0076337E">
            <w:pPr>
              <w:spacing w:before="0" w:after="0"/>
              <w:jc w:val="left"/>
              <w:rPr>
                <w:rFonts w:cs="Calibri"/>
                <w:bCs w:val="0"/>
                <w:color w:val="000000"/>
                <w:sz w:val="20"/>
                <w:szCs w:val="20"/>
                <w:lang w:eastAsia="es-CO"/>
              </w:rPr>
            </w:pPr>
            <w:r w:rsidRPr="0076337E">
              <w:rPr>
                <w:rFonts w:cs="Calibri"/>
                <w:bCs w:val="0"/>
                <w:color w:val="000000"/>
                <w:sz w:val="20"/>
                <w:szCs w:val="20"/>
                <w:lang w:eastAsia="es-CO"/>
              </w:rPr>
              <w:t>De esta manera, una vez el cliente cuente con medición de energía reactiva, si efectivamente se ve que existe transporte de reactivos la medición debe mantenerse sin importar el cambio de comercializador.</w:t>
            </w:r>
          </w:p>
          <w:p w14:paraId="690C3733" w14:textId="77777777" w:rsidR="00F21A6B" w:rsidRDefault="00F21A6B" w:rsidP="0076337E">
            <w:pPr>
              <w:spacing w:before="0" w:after="0"/>
              <w:jc w:val="left"/>
              <w:rPr>
                <w:rFonts w:cs="Calibri"/>
                <w:bCs w:val="0"/>
                <w:color w:val="000000"/>
                <w:sz w:val="20"/>
                <w:szCs w:val="20"/>
                <w:lang w:eastAsia="es-CO"/>
              </w:rPr>
            </w:pPr>
          </w:p>
          <w:p w14:paraId="42BC356F" w14:textId="4928F1EA" w:rsidR="00F21A6B" w:rsidRPr="0076337E" w:rsidRDefault="00F21A6B" w:rsidP="0076337E">
            <w:pPr>
              <w:spacing w:before="0" w:after="0"/>
              <w:jc w:val="left"/>
              <w:rPr>
                <w:rFonts w:cs="Arial"/>
                <w:bCs w:val="0"/>
                <w:color w:val="000000"/>
                <w:sz w:val="20"/>
                <w:szCs w:val="20"/>
                <w:lang w:eastAsia="es-CO"/>
              </w:rPr>
            </w:pPr>
            <w:r>
              <w:rPr>
                <w:rFonts w:cs="Calibri"/>
                <w:bCs w:val="0"/>
                <w:color w:val="000000"/>
                <w:sz w:val="20"/>
                <w:szCs w:val="20"/>
                <w:lang w:eastAsia="es-CO"/>
              </w:rPr>
              <w:t xml:space="preserve">Adicionalmente a lo expuesto, el tema de cobro de reactivos será revisado </w:t>
            </w:r>
            <w:r w:rsidR="0097390D">
              <w:rPr>
                <w:rFonts w:cs="Calibri"/>
                <w:bCs w:val="0"/>
                <w:color w:val="000000"/>
                <w:sz w:val="20"/>
                <w:szCs w:val="20"/>
                <w:lang w:eastAsia="es-CO"/>
              </w:rPr>
              <w:t>en la oportunidad de modificación de la reglamentación asociada con AMI.</w:t>
            </w:r>
          </w:p>
        </w:tc>
      </w:tr>
      <w:tr w:rsidR="0076337E" w:rsidRPr="0076337E" w14:paraId="2C954F44" w14:textId="77777777" w:rsidTr="0085002A">
        <w:trPr>
          <w:trHeight w:val="1250"/>
        </w:trPr>
        <w:tc>
          <w:tcPr>
            <w:tcW w:w="5125" w:type="dxa"/>
            <w:tcBorders>
              <w:top w:val="nil"/>
              <w:left w:val="single" w:sz="4" w:space="0" w:color="auto"/>
              <w:bottom w:val="single" w:sz="4" w:space="0" w:color="auto"/>
              <w:right w:val="single" w:sz="4" w:space="0" w:color="auto"/>
            </w:tcBorders>
            <w:shd w:val="clear" w:color="auto" w:fill="auto"/>
            <w:vAlign w:val="center"/>
            <w:hideMark/>
          </w:tcPr>
          <w:p w14:paraId="3A14BA8D" w14:textId="77777777" w:rsidR="0076337E" w:rsidRPr="0076337E" w:rsidRDefault="0076337E" w:rsidP="0076337E">
            <w:pPr>
              <w:spacing w:before="0" w:after="0"/>
              <w:jc w:val="left"/>
              <w:rPr>
                <w:rFonts w:cs="Arial"/>
                <w:bCs w:val="0"/>
                <w:color w:val="000000"/>
                <w:sz w:val="20"/>
                <w:szCs w:val="20"/>
                <w:lang w:eastAsia="es-CO"/>
              </w:rPr>
            </w:pPr>
            <w:r w:rsidRPr="0076337E">
              <w:rPr>
                <w:rFonts w:cs="Arial"/>
                <w:bCs w:val="0"/>
                <w:color w:val="000000"/>
                <w:sz w:val="20"/>
                <w:szCs w:val="20"/>
                <w:lang w:eastAsia="es-CO"/>
              </w:rPr>
              <w:t>Esta situación, que se origina solamente en una condición de cambio de sistema de medida y no de comportamiento o usos en los consumos de energía eléctrica, ha dado origen a una asimetría y una barrera para la profundización de la competencia en el mercado minorista.</w:t>
            </w:r>
          </w:p>
        </w:tc>
        <w:tc>
          <w:tcPr>
            <w:tcW w:w="4455" w:type="dxa"/>
            <w:tcBorders>
              <w:top w:val="nil"/>
              <w:left w:val="nil"/>
              <w:bottom w:val="single" w:sz="4" w:space="0" w:color="auto"/>
              <w:right w:val="single" w:sz="4" w:space="0" w:color="auto"/>
            </w:tcBorders>
            <w:shd w:val="clear" w:color="auto" w:fill="auto"/>
            <w:vAlign w:val="center"/>
            <w:hideMark/>
          </w:tcPr>
          <w:p w14:paraId="48457B3B" w14:textId="33312422" w:rsidR="0076337E" w:rsidRPr="0076337E" w:rsidRDefault="004A3A45" w:rsidP="0076337E">
            <w:pPr>
              <w:spacing w:before="0" w:after="0"/>
              <w:jc w:val="left"/>
              <w:rPr>
                <w:rFonts w:cs="Arial"/>
                <w:bCs w:val="0"/>
                <w:color w:val="000000"/>
                <w:sz w:val="20"/>
                <w:szCs w:val="20"/>
                <w:lang w:eastAsia="es-CO"/>
              </w:rPr>
            </w:pPr>
            <w:r>
              <w:rPr>
                <w:rFonts w:cs="Arial"/>
                <w:bCs w:val="0"/>
                <w:color w:val="000000"/>
                <w:sz w:val="20"/>
                <w:szCs w:val="20"/>
                <w:lang w:eastAsia="es-CO"/>
              </w:rPr>
              <w:t>L</w:t>
            </w:r>
            <w:r w:rsidR="0076337E" w:rsidRPr="0076337E">
              <w:rPr>
                <w:rFonts w:cs="Arial"/>
                <w:bCs w:val="0"/>
                <w:color w:val="000000"/>
                <w:sz w:val="20"/>
                <w:szCs w:val="20"/>
                <w:lang w:eastAsia="es-CO"/>
              </w:rPr>
              <w:t xml:space="preserve">a modificación del límite al factor de potencia capacitivo, que aplica para todos los usuarios, </w:t>
            </w:r>
            <w:r>
              <w:rPr>
                <w:rFonts w:cs="Arial"/>
                <w:bCs w:val="0"/>
                <w:color w:val="000000"/>
                <w:sz w:val="20"/>
                <w:szCs w:val="20"/>
                <w:lang w:eastAsia="es-CO"/>
              </w:rPr>
              <w:t>n</w:t>
            </w:r>
            <w:r>
              <w:rPr>
                <w:bCs w:val="0"/>
                <w:color w:val="000000"/>
                <w:sz w:val="20"/>
                <w:szCs w:val="20"/>
                <w:lang w:eastAsia="es-CO"/>
              </w:rPr>
              <w:t xml:space="preserve">o </w:t>
            </w:r>
            <w:r w:rsidR="0076337E" w:rsidRPr="0076337E">
              <w:rPr>
                <w:rFonts w:cs="Arial"/>
                <w:bCs w:val="0"/>
                <w:color w:val="000000"/>
                <w:sz w:val="20"/>
                <w:szCs w:val="20"/>
                <w:lang w:eastAsia="es-CO"/>
              </w:rPr>
              <w:t>t</w:t>
            </w:r>
            <w:r>
              <w:rPr>
                <w:rFonts w:cs="Arial"/>
                <w:bCs w:val="0"/>
                <w:color w:val="000000"/>
                <w:sz w:val="20"/>
                <w:szCs w:val="20"/>
                <w:lang w:eastAsia="es-CO"/>
              </w:rPr>
              <w:t>i</w:t>
            </w:r>
            <w:r>
              <w:rPr>
                <w:bCs w:val="0"/>
                <w:color w:val="000000"/>
                <w:sz w:val="20"/>
                <w:szCs w:val="20"/>
                <w:lang w:eastAsia="es-CO"/>
              </w:rPr>
              <w:t xml:space="preserve">ene </w:t>
            </w:r>
            <w:r w:rsidR="0076337E" w:rsidRPr="0076337E">
              <w:rPr>
                <w:rFonts w:cs="Arial"/>
                <w:bCs w:val="0"/>
                <w:color w:val="000000"/>
                <w:sz w:val="20"/>
                <w:szCs w:val="20"/>
                <w:lang w:eastAsia="es-CO"/>
              </w:rPr>
              <w:t>efectos en la competencia.</w:t>
            </w:r>
          </w:p>
        </w:tc>
      </w:tr>
      <w:tr w:rsidR="0076337E" w:rsidRPr="0076337E" w14:paraId="08FAECA8" w14:textId="77777777" w:rsidTr="0076337E">
        <w:trPr>
          <w:trHeight w:val="290"/>
        </w:trPr>
        <w:tc>
          <w:tcPr>
            <w:tcW w:w="958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70EAC75" w14:textId="77777777" w:rsidR="0076337E" w:rsidRPr="0076337E" w:rsidRDefault="0076337E" w:rsidP="0076337E">
            <w:pPr>
              <w:spacing w:before="0" w:after="0"/>
              <w:jc w:val="center"/>
              <w:rPr>
                <w:rFonts w:cs="Arial"/>
                <w:b/>
                <w:color w:val="000000"/>
                <w:sz w:val="20"/>
                <w:szCs w:val="20"/>
                <w:lang w:eastAsia="es-CO"/>
              </w:rPr>
            </w:pPr>
            <w:r w:rsidRPr="0076337E">
              <w:rPr>
                <w:rFonts w:cs="Calibri"/>
                <w:b/>
                <w:color w:val="000000"/>
                <w:sz w:val="20"/>
                <w:szCs w:val="20"/>
                <w:lang w:eastAsia="es-CO"/>
              </w:rPr>
              <w:t>Medición</w:t>
            </w:r>
          </w:p>
        </w:tc>
      </w:tr>
      <w:tr w:rsidR="0076337E" w:rsidRPr="0076337E" w14:paraId="35CCFDD4" w14:textId="77777777" w:rsidTr="0085002A">
        <w:trPr>
          <w:trHeight w:val="2250"/>
        </w:trPr>
        <w:tc>
          <w:tcPr>
            <w:tcW w:w="5125" w:type="dxa"/>
            <w:tcBorders>
              <w:top w:val="nil"/>
              <w:left w:val="single" w:sz="4" w:space="0" w:color="auto"/>
              <w:bottom w:val="single" w:sz="4" w:space="0" w:color="auto"/>
              <w:right w:val="single" w:sz="4" w:space="0" w:color="auto"/>
            </w:tcBorders>
            <w:shd w:val="clear" w:color="auto" w:fill="auto"/>
            <w:vAlign w:val="center"/>
            <w:hideMark/>
          </w:tcPr>
          <w:p w14:paraId="1D55AF17" w14:textId="77777777" w:rsidR="0076337E" w:rsidRPr="0076337E" w:rsidRDefault="0076337E" w:rsidP="0076337E">
            <w:pPr>
              <w:spacing w:before="0" w:after="0"/>
              <w:jc w:val="left"/>
              <w:rPr>
                <w:rFonts w:cs="Arial"/>
                <w:bCs w:val="0"/>
                <w:color w:val="000000"/>
                <w:sz w:val="20"/>
                <w:szCs w:val="20"/>
                <w:lang w:eastAsia="es-CO"/>
              </w:rPr>
            </w:pPr>
            <w:r w:rsidRPr="0076337E">
              <w:rPr>
                <w:rFonts w:cs="Calibri"/>
                <w:bCs w:val="0"/>
                <w:color w:val="000000"/>
                <w:sz w:val="20"/>
                <w:szCs w:val="20"/>
                <w:lang w:eastAsia="es-CO"/>
              </w:rPr>
              <w:t>Se propone analizar si con lo dispuesto en el código de medida de la Resolución CREG 038 de 2014, los comercializadores están en la obligación de instalar para cualquier nivel de tensión un medidor que permita la lectura de la energía reactiva bidireccional que permita identificar tanto la capacitiva como la inductiva de sus usuarios pues según la norma en mención, al parecer solo se exige para niveles de tensión superiores a 57,5 kV.</w:t>
            </w:r>
          </w:p>
        </w:tc>
        <w:tc>
          <w:tcPr>
            <w:tcW w:w="4455" w:type="dxa"/>
            <w:tcBorders>
              <w:top w:val="nil"/>
              <w:left w:val="nil"/>
              <w:bottom w:val="single" w:sz="4" w:space="0" w:color="auto"/>
              <w:right w:val="single" w:sz="4" w:space="0" w:color="auto"/>
            </w:tcBorders>
            <w:shd w:val="clear" w:color="auto" w:fill="auto"/>
            <w:vAlign w:val="center"/>
            <w:hideMark/>
          </w:tcPr>
          <w:p w14:paraId="7B2AD8D3" w14:textId="77777777" w:rsidR="0076337E" w:rsidRPr="0076337E" w:rsidRDefault="0076337E" w:rsidP="0076337E">
            <w:pPr>
              <w:spacing w:before="0" w:after="0"/>
              <w:jc w:val="left"/>
              <w:rPr>
                <w:rFonts w:cs="Arial"/>
                <w:bCs w:val="0"/>
                <w:color w:val="000000"/>
                <w:sz w:val="20"/>
                <w:szCs w:val="20"/>
                <w:lang w:eastAsia="es-CO"/>
              </w:rPr>
            </w:pPr>
            <w:r w:rsidRPr="0076337E">
              <w:rPr>
                <w:rFonts w:cs="Calibri"/>
                <w:bCs w:val="0"/>
                <w:color w:val="000000"/>
                <w:sz w:val="20"/>
                <w:szCs w:val="20"/>
                <w:lang w:eastAsia="es-CO"/>
              </w:rPr>
              <w:t>La situación expuesta no está al alcance de la propuesta. No obstante, no se modifican las exigencias del medidor establecidas en la Resolución CREG 038 de 2014, en los Artículos 8 (ítem e y h) y 15.</w:t>
            </w:r>
          </w:p>
        </w:tc>
      </w:tr>
      <w:tr w:rsidR="0076337E" w:rsidRPr="0076337E" w14:paraId="58408C0B" w14:textId="77777777" w:rsidTr="0085002A">
        <w:trPr>
          <w:trHeight w:val="1500"/>
        </w:trPr>
        <w:tc>
          <w:tcPr>
            <w:tcW w:w="5125" w:type="dxa"/>
            <w:tcBorders>
              <w:top w:val="nil"/>
              <w:left w:val="single" w:sz="4" w:space="0" w:color="auto"/>
              <w:bottom w:val="single" w:sz="4" w:space="0" w:color="auto"/>
              <w:right w:val="single" w:sz="4" w:space="0" w:color="auto"/>
            </w:tcBorders>
            <w:shd w:val="clear" w:color="auto" w:fill="auto"/>
            <w:vAlign w:val="center"/>
            <w:hideMark/>
          </w:tcPr>
          <w:p w14:paraId="14328C81" w14:textId="77777777" w:rsidR="0076337E" w:rsidRPr="0076337E" w:rsidRDefault="0076337E" w:rsidP="0076337E">
            <w:pPr>
              <w:spacing w:before="0" w:after="0"/>
              <w:jc w:val="left"/>
              <w:rPr>
                <w:rFonts w:cs="Arial"/>
                <w:bCs w:val="0"/>
                <w:color w:val="000000"/>
                <w:sz w:val="20"/>
                <w:szCs w:val="20"/>
                <w:lang w:eastAsia="es-CO"/>
              </w:rPr>
            </w:pPr>
            <w:r w:rsidRPr="0076337E">
              <w:rPr>
                <w:rFonts w:cs="Arial"/>
                <w:bCs w:val="0"/>
                <w:color w:val="000000"/>
                <w:sz w:val="20"/>
                <w:szCs w:val="20"/>
                <w:lang w:eastAsia="es-CO"/>
              </w:rPr>
              <w:t xml:space="preserve">Por último, es de todo el interés que el proyecto de resolución no genere una asimetría en las condiciones de competencia entre los distribuidores - comercializadores y los comercializadores entrantes, y no limite la libre elección de los usuarios respecto de la opción de cambiarse de comercializador. </w:t>
            </w:r>
          </w:p>
        </w:tc>
        <w:tc>
          <w:tcPr>
            <w:tcW w:w="4455" w:type="dxa"/>
            <w:tcBorders>
              <w:top w:val="nil"/>
              <w:left w:val="nil"/>
              <w:bottom w:val="single" w:sz="4" w:space="0" w:color="auto"/>
              <w:right w:val="single" w:sz="4" w:space="0" w:color="auto"/>
            </w:tcBorders>
            <w:shd w:val="clear" w:color="auto" w:fill="auto"/>
            <w:vAlign w:val="center"/>
            <w:hideMark/>
          </w:tcPr>
          <w:p w14:paraId="7244E636" w14:textId="22DCFAA2" w:rsidR="00D13C3A" w:rsidRPr="0076337E" w:rsidRDefault="00747745" w:rsidP="0076337E">
            <w:pPr>
              <w:spacing w:before="0" w:after="0"/>
              <w:jc w:val="left"/>
              <w:rPr>
                <w:rFonts w:cs="Arial"/>
                <w:bCs w:val="0"/>
                <w:color w:val="000000"/>
                <w:sz w:val="20"/>
                <w:szCs w:val="20"/>
                <w:lang w:eastAsia="es-CO"/>
              </w:rPr>
            </w:pPr>
            <w:r>
              <w:rPr>
                <w:rFonts w:cs="Arial"/>
                <w:bCs w:val="0"/>
                <w:color w:val="000000"/>
                <w:sz w:val="20"/>
                <w:szCs w:val="20"/>
                <w:lang w:eastAsia="es-CO"/>
              </w:rPr>
              <w:t>L</w:t>
            </w:r>
            <w:r w:rsidR="0076337E" w:rsidRPr="0076337E">
              <w:rPr>
                <w:rFonts w:cs="Arial"/>
                <w:bCs w:val="0"/>
                <w:color w:val="000000"/>
                <w:sz w:val="20"/>
                <w:szCs w:val="20"/>
                <w:lang w:eastAsia="es-CO"/>
              </w:rPr>
              <w:t xml:space="preserve">a modificación del límite al factor de potencia capacitivo, que aplica para todos los usuarios, </w:t>
            </w:r>
            <w:r>
              <w:rPr>
                <w:rFonts w:cs="Arial"/>
                <w:bCs w:val="0"/>
                <w:color w:val="000000"/>
                <w:sz w:val="20"/>
                <w:szCs w:val="20"/>
                <w:lang w:eastAsia="es-CO"/>
              </w:rPr>
              <w:t>no</w:t>
            </w:r>
            <w:r w:rsidR="0076337E" w:rsidRPr="0076337E">
              <w:rPr>
                <w:rFonts w:cs="Arial"/>
                <w:bCs w:val="0"/>
                <w:color w:val="000000"/>
                <w:sz w:val="20"/>
                <w:szCs w:val="20"/>
                <w:lang w:eastAsia="es-CO"/>
              </w:rPr>
              <w:t xml:space="preserve"> </w:t>
            </w:r>
            <w:r>
              <w:rPr>
                <w:rFonts w:cs="Arial"/>
                <w:bCs w:val="0"/>
                <w:color w:val="000000"/>
                <w:sz w:val="20"/>
                <w:szCs w:val="20"/>
                <w:lang w:eastAsia="es-CO"/>
              </w:rPr>
              <w:t xml:space="preserve">tiene </w:t>
            </w:r>
            <w:r w:rsidR="0076337E" w:rsidRPr="0076337E">
              <w:rPr>
                <w:rFonts w:cs="Arial"/>
                <w:bCs w:val="0"/>
                <w:color w:val="000000"/>
                <w:sz w:val="20"/>
                <w:szCs w:val="20"/>
                <w:lang w:eastAsia="es-CO"/>
              </w:rPr>
              <w:t>efectos en la competencia.</w:t>
            </w:r>
          </w:p>
        </w:tc>
      </w:tr>
      <w:tr w:rsidR="0076337E" w:rsidRPr="0076337E" w14:paraId="7E155E3C" w14:textId="77777777" w:rsidTr="0076337E">
        <w:trPr>
          <w:trHeight w:val="290"/>
        </w:trPr>
        <w:tc>
          <w:tcPr>
            <w:tcW w:w="958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F496786" w14:textId="77777777" w:rsidR="0076337E" w:rsidRPr="0076337E" w:rsidRDefault="0076337E" w:rsidP="0076337E">
            <w:pPr>
              <w:spacing w:before="0" w:after="0"/>
              <w:jc w:val="center"/>
              <w:rPr>
                <w:rFonts w:cs="Arial"/>
                <w:b/>
                <w:color w:val="000000"/>
                <w:sz w:val="20"/>
                <w:szCs w:val="20"/>
                <w:lang w:eastAsia="es-CO"/>
              </w:rPr>
            </w:pPr>
            <w:r w:rsidRPr="0076337E">
              <w:rPr>
                <w:rFonts w:cs="Calibri"/>
                <w:b/>
                <w:color w:val="000000"/>
                <w:sz w:val="20"/>
                <w:szCs w:val="20"/>
                <w:lang w:eastAsia="es-CO"/>
              </w:rPr>
              <w:t>Autogeneración</w:t>
            </w:r>
          </w:p>
        </w:tc>
      </w:tr>
      <w:tr w:rsidR="0076337E" w:rsidRPr="0076337E" w14:paraId="4EF17FD8" w14:textId="77777777" w:rsidTr="0085002A">
        <w:trPr>
          <w:trHeight w:val="3194"/>
        </w:trPr>
        <w:tc>
          <w:tcPr>
            <w:tcW w:w="5125" w:type="dxa"/>
            <w:tcBorders>
              <w:top w:val="nil"/>
              <w:left w:val="single" w:sz="4" w:space="0" w:color="auto"/>
              <w:bottom w:val="single" w:sz="4" w:space="0" w:color="auto"/>
              <w:right w:val="single" w:sz="4" w:space="0" w:color="auto"/>
            </w:tcBorders>
            <w:shd w:val="clear" w:color="auto" w:fill="auto"/>
            <w:vAlign w:val="center"/>
            <w:hideMark/>
          </w:tcPr>
          <w:p w14:paraId="14CD2CD8" w14:textId="7F43F896" w:rsidR="0076337E" w:rsidRPr="0076337E" w:rsidRDefault="0076337E" w:rsidP="0076337E">
            <w:pPr>
              <w:spacing w:before="0" w:after="0"/>
              <w:jc w:val="left"/>
              <w:rPr>
                <w:rFonts w:cs="Arial"/>
                <w:bCs w:val="0"/>
                <w:color w:val="000000"/>
                <w:sz w:val="20"/>
                <w:szCs w:val="20"/>
                <w:lang w:eastAsia="es-CO"/>
              </w:rPr>
            </w:pPr>
            <w:r w:rsidRPr="0076337E">
              <w:rPr>
                <w:rFonts w:cs="Calibri"/>
                <w:bCs w:val="0"/>
                <w:color w:val="000000"/>
                <w:sz w:val="20"/>
                <w:szCs w:val="20"/>
                <w:lang w:eastAsia="es-CO"/>
              </w:rPr>
              <w:lastRenderedPageBreak/>
              <w:t xml:space="preserve">El Decreto 929 de 2023 exime del cobro de energía reactiva a los proyectos de Autogeneración a pequeña escala (AGPE) que generan por medio de Fuentes no Convencionales de Energía Renovable (FNCER). Dicha exención podría generar problemas para el sistema eléctrico ya que usuarios industriales con consumos importantes de energía reactiva se estarían buscando convertirse en AGPE para evitar pagar el costo de transporte de dicha energía. En ese sentido, es necesario definir en la Resolución las reglas para el cumplimiento de las condiciones técnicas por parte de los usuarios AGPE con FNCER, esto independiente de que se generen cobros por el transporte de </w:t>
            </w:r>
            <w:proofErr w:type="gramStart"/>
            <w:r w:rsidRPr="0076337E">
              <w:rPr>
                <w:rFonts w:cs="Calibri"/>
                <w:bCs w:val="0"/>
                <w:color w:val="000000"/>
                <w:sz w:val="20"/>
                <w:szCs w:val="20"/>
                <w:lang w:eastAsia="es-CO"/>
              </w:rPr>
              <w:t>la misma</w:t>
            </w:r>
            <w:proofErr w:type="gramEnd"/>
            <w:r w:rsidRPr="0076337E">
              <w:rPr>
                <w:rFonts w:cs="Calibri"/>
                <w:bCs w:val="0"/>
                <w:color w:val="000000"/>
                <w:sz w:val="20"/>
                <w:szCs w:val="20"/>
                <w:lang w:eastAsia="es-CO"/>
              </w:rPr>
              <w:t>.</w:t>
            </w:r>
            <w:r w:rsidRPr="0076337E">
              <w:rPr>
                <w:rFonts w:cs="Calibri"/>
                <w:bCs w:val="0"/>
                <w:color w:val="000000"/>
                <w:sz w:val="20"/>
                <w:szCs w:val="20"/>
                <w:lang w:eastAsia="es-CO"/>
              </w:rPr>
              <w:br/>
            </w:r>
            <w:r w:rsidRPr="0076337E">
              <w:rPr>
                <w:rFonts w:cs="Calibri"/>
                <w:bCs w:val="0"/>
                <w:color w:val="000000"/>
                <w:sz w:val="20"/>
                <w:szCs w:val="20"/>
                <w:lang w:eastAsia="es-CO"/>
              </w:rPr>
              <w:br/>
              <w:t>Además, se considera conveniente que la Comisión expida prontamente la resolución definitiva del proyecto de resolución CREG 701 027 de 2022.</w:t>
            </w:r>
          </w:p>
        </w:tc>
        <w:tc>
          <w:tcPr>
            <w:tcW w:w="4455" w:type="dxa"/>
            <w:tcBorders>
              <w:top w:val="nil"/>
              <w:left w:val="nil"/>
              <w:bottom w:val="single" w:sz="4" w:space="0" w:color="auto"/>
              <w:right w:val="single" w:sz="4" w:space="0" w:color="auto"/>
            </w:tcBorders>
            <w:shd w:val="clear" w:color="auto" w:fill="auto"/>
            <w:vAlign w:val="center"/>
            <w:hideMark/>
          </w:tcPr>
          <w:p w14:paraId="1E3E167D" w14:textId="5684A56E" w:rsidR="0076337E" w:rsidRPr="0076337E" w:rsidRDefault="0076337E" w:rsidP="0076337E">
            <w:pPr>
              <w:spacing w:before="0" w:after="0"/>
              <w:jc w:val="left"/>
              <w:rPr>
                <w:rFonts w:cs="Arial"/>
                <w:bCs w:val="0"/>
                <w:color w:val="000000"/>
                <w:sz w:val="20"/>
                <w:szCs w:val="20"/>
                <w:lang w:eastAsia="es-CO"/>
              </w:rPr>
            </w:pPr>
            <w:r w:rsidRPr="0076337E">
              <w:rPr>
                <w:rFonts w:cs="Calibri"/>
                <w:bCs w:val="0"/>
                <w:color w:val="000000"/>
                <w:sz w:val="20"/>
                <w:szCs w:val="20"/>
                <w:lang w:eastAsia="es-CO"/>
              </w:rPr>
              <w:t>El proyecto resolución 701 017 se enmarca en atender el requerimiento de política pública establecido en el artículo 5 del Decreto 0929 de 2023 expedido por el Ministerio de Minas y Energía, por lo tanto, no hacen parte del alcance los aspectos referentes a AGPE y AGGE</w:t>
            </w:r>
            <w:r w:rsidR="00241032">
              <w:rPr>
                <w:rFonts w:cs="Calibri"/>
                <w:bCs w:val="0"/>
                <w:color w:val="000000"/>
                <w:sz w:val="20"/>
                <w:szCs w:val="20"/>
                <w:lang w:eastAsia="es-CO"/>
              </w:rPr>
              <w:t xml:space="preserve"> mencionados en otra normatividad</w:t>
            </w:r>
            <w:r w:rsidRPr="0076337E">
              <w:rPr>
                <w:rFonts w:cs="Calibri"/>
                <w:bCs w:val="0"/>
                <w:color w:val="000000"/>
                <w:sz w:val="20"/>
                <w:szCs w:val="20"/>
                <w:lang w:eastAsia="es-CO"/>
              </w:rPr>
              <w:t>.</w:t>
            </w:r>
          </w:p>
        </w:tc>
      </w:tr>
      <w:tr w:rsidR="0076337E" w:rsidRPr="0076337E" w14:paraId="36BA4871" w14:textId="77777777" w:rsidTr="0076337E">
        <w:trPr>
          <w:trHeight w:val="290"/>
        </w:trPr>
        <w:tc>
          <w:tcPr>
            <w:tcW w:w="958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1C2516B" w14:textId="77777777" w:rsidR="0076337E" w:rsidRPr="0076337E" w:rsidRDefault="0076337E" w:rsidP="00241032">
            <w:pPr>
              <w:keepNext/>
              <w:spacing w:before="0" w:after="0"/>
              <w:jc w:val="center"/>
              <w:rPr>
                <w:rFonts w:cs="Arial"/>
                <w:b/>
                <w:color w:val="000000"/>
                <w:sz w:val="20"/>
                <w:szCs w:val="20"/>
                <w:lang w:eastAsia="es-CO"/>
              </w:rPr>
            </w:pPr>
            <w:r w:rsidRPr="0076337E">
              <w:rPr>
                <w:rFonts w:cs="Calibri"/>
                <w:b/>
                <w:color w:val="000000"/>
                <w:sz w:val="20"/>
                <w:szCs w:val="20"/>
                <w:lang w:eastAsia="es-CO"/>
              </w:rPr>
              <w:t>Documento soporte</w:t>
            </w:r>
          </w:p>
        </w:tc>
      </w:tr>
      <w:tr w:rsidR="0076337E" w:rsidRPr="0076337E" w14:paraId="712E967C" w14:textId="77777777" w:rsidTr="0085002A">
        <w:trPr>
          <w:trHeight w:val="2222"/>
        </w:trPr>
        <w:tc>
          <w:tcPr>
            <w:tcW w:w="5125" w:type="dxa"/>
            <w:tcBorders>
              <w:top w:val="nil"/>
              <w:left w:val="single" w:sz="4" w:space="0" w:color="auto"/>
              <w:bottom w:val="single" w:sz="4" w:space="0" w:color="auto"/>
              <w:right w:val="single" w:sz="4" w:space="0" w:color="auto"/>
            </w:tcBorders>
            <w:shd w:val="clear" w:color="auto" w:fill="auto"/>
            <w:vAlign w:val="center"/>
            <w:hideMark/>
          </w:tcPr>
          <w:p w14:paraId="2379F756" w14:textId="77777777" w:rsidR="0076337E" w:rsidRPr="0076337E" w:rsidRDefault="0076337E" w:rsidP="0076337E">
            <w:pPr>
              <w:spacing w:before="0" w:after="0"/>
              <w:jc w:val="left"/>
              <w:rPr>
                <w:rFonts w:cs="Arial"/>
                <w:bCs w:val="0"/>
                <w:color w:val="000000"/>
                <w:sz w:val="20"/>
                <w:szCs w:val="20"/>
                <w:lang w:eastAsia="es-CO"/>
              </w:rPr>
            </w:pPr>
            <w:r w:rsidRPr="0076337E">
              <w:rPr>
                <w:rFonts w:cs="Calibri"/>
                <w:bCs w:val="0"/>
                <w:color w:val="000000"/>
                <w:sz w:val="20"/>
                <w:szCs w:val="20"/>
                <w:lang w:eastAsia="es-CO"/>
              </w:rPr>
              <w:t>En el documento soporte del proyecto resolución se analizan 3 alternativas para abordar la solicitud de revisión de energía reactiva realizada por el MME. Una de ellas sugiere la modificación de la metodología tarifaria contenida en la resolución CREG 015 de 2018, que finalmente no es seleccionada porque implica escenarios regulatorios más complejos. Sin embargo, esta resolución ya ha tenido modificaciones que no necesariamente se han soportado con el desarrollo de escenarios regulatorios complejos, ajustando temas generales necesarios para el buen funcionamiento del mercado.</w:t>
            </w:r>
          </w:p>
        </w:tc>
        <w:tc>
          <w:tcPr>
            <w:tcW w:w="4455" w:type="dxa"/>
            <w:tcBorders>
              <w:top w:val="nil"/>
              <w:left w:val="nil"/>
              <w:bottom w:val="single" w:sz="4" w:space="0" w:color="auto"/>
              <w:right w:val="single" w:sz="4" w:space="0" w:color="auto"/>
            </w:tcBorders>
            <w:shd w:val="clear" w:color="auto" w:fill="auto"/>
            <w:vAlign w:val="center"/>
            <w:hideMark/>
          </w:tcPr>
          <w:p w14:paraId="2A335FF4" w14:textId="40C17029" w:rsidR="000641CA" w:rsidRDefault="000641CA" w:rsidP="0076337E">
            <w:pPr>
              <w:spacing w:before="0" w:after="0"/>
              <w:jc w:val="left"/>
              <w:rPr>
                <w:rFonts w:cs="Calibri"/>
                <w:bCs w:val="0"/>
                <w:color w:val="000000"/>
                <w:sz w:val="20"/>
                <w:szCs w:val="20"/>
                <w:lang w:eastAsia="es-CO"/>
              </w:rPr>
            </w:pPr>
            <w:r>
              <w:rPr>
                <w:rFonts w:cs="Calibri"/>
                <w:bCs w:val="0"/>
                <w:color w:val="000000"/>
                <w:sz w:val="20"/>
                <w:szCs w:val="20"/>
                <w:lang w:eastAsia="es-CO"/>
              </w:rPr>
              <w:t>No es claro el comentario sobre el soporte adecuado que debe tener la modificación de una resolución metodológica como la de la CREG 015 de 2018.</w:t>
            </w:r>
          </w:p>
          <w:p w14:paraId="0B0AAFB8" w14:textId="77777777" w:rsidR="007660B3" w:rsidRDefault="007660B3" w:rsidP="0076337E">
            <w:pPr>
              <w:spacing w:before="0" w:after="0"/>
              <w:jc w:val="left"/>
              <w:rPr>
                <w:rFonts w:cs="Calibri"/>
                <w:bCs w:val="0"/>
                <w:color w:val="000000"/>
                <w:sz w:val="20"/>
                <w:szCs w:val="20"/>
                <w:lang w:eastAsia="es-CO"/>
              </w:rPr>
            </w:pPr>
          </w:p>
          <w:p w14:paraId="14A37137" w14:textId="1683389B" w:rsidR="007660B3" w:rsidRDefault="007660B3" w:rsidP="0076337E">
            <w:pPr>
              <w:spacing w:before="0" w:after="0"/>
              <w:jc w:val="left"/>
              <w:rPr>
                <w:rFonts w:cs="Calibri"/>
                <w:bCs w:val="0"/>
                <w:color w:val="000000"/>
                <w:sz w:val="20"/>
                <w:szCs w:val="20"/>
                <w:lang w:eastAsia="es-CO"/>
              </w:rPr>
            </w:pPr>
            <w:r>
              <w:rPr>
                <w:rFonts w:cs="Calibri"/>
                <w:bCs w:val="0"/>
                <w:color w:val="000000"/>
                <w:sz w:val="20"/>
                <w:szCs w:val="20"/>
                <w:lang w:eastAsia="es-CO"/>
              </w:rPr>
              <w:t xml:space="preserve">Cada modificación tiene el soporte </w:t>
            </w:r>
            <w:r w:rsidR="00AD76E9">
              <w:rPr>
                <w:rFonts w:cs="Calibri"/>
                <w:bCs w:val="0"/>
                <w:color w:val="000000"/>
                <w:sz w:val="20"/>
                <w:szCs w:val="20"/>
                <w:lang w:eastAsia="es-CO"/>
              </w:rPr>
              <w:t xml:space="preserve">correspondiente </w:t>
            </w:r>
            <w:r>
              <w:rPr>
                <w:rFonts w:cs="Calibri"/>
                <w:bCs w:val="0"/>
                <w:color w:val="000000"/>
                <w:sz w:val="20"/>
                <w:szCs w:val="20"/>
                <w:lang w:eastAsia="es-CO"/>
              </w:rPr>
              <w:t>según las condiciones del momento y que se encuentra tanto en la parte motiva de las resoluciones como en sus documentos soporte.</w:t>
            </w:r>
          </w:p>
          <w:p w14:paraId="3F75D9D1" w14:textId="77777777" w:rsidR="000641CA" w:rsidRDefault="000641CA" w:rsidP="0076337E">
            <w:pPr>
              <w:spacing w:before="0" w:after="0"/>
              <w:jc w:val="left"/>
              <w:rPr>
                <w:rFonts w:cs="Calibri"/>
                <w:bCs w:val="0"/>
                <w:color w:val="000000"/>
                <w:sz w:val="20"/>
                <w:szCs w:val="20"/>
                <w:lang w:eastAsia="es-CO"/>
              </w:rPr>
            </w:pPr>
          </w:p>
          <w:p w14:paraId="19126161" w14:textId="0FF4DAAD" w:rsidR="0076337E" w:rsidRPr="0076337E" w:rsidRDefault="0076337E" w:rsidP="0076337E">
            <w:pPr>
              <w:spacing w:before="0" w:after="0"/>
              <w:jc w:val="left"/>
              <w:rPr>
                <w:rFonts w:cs="Arial"/>
                <w:bCs w:val="0"/>
                <w:color w:val="000000"/>
                <w:sz w:val="20"/>
                <w:szCs w:val="20"/>
                <w:lang w:eastAsia="es-CO"/>
              </w:rPr>
            </w:pPr>
            <w:r w:rsidRPr="0076337E">
              <w:rPr>
                <w:rFonts w:cs="Calibri"/>
                <w:bCs w:val="0"/>
                <w:color w:val="000000"/>
                <w:sz w:val="20"/>
                <w:szCs w:val="20"/>
                <w:lang w:eastAsia="es-CO"/>
              </w:rPr>
              <w:t>Como se mencionó en una respuesta anterior, el tema de la revisión del capítulo 12 de la Resolución CREG 015 de 2018 se considerará en la revisión y expedición de la siguiente metodología de distribución.</w:t>
            </w:r>
          </w:p>
        </w:tc>
      </w:tr>
      <w:tr w:rsidR="0076337E" w:rsidRPr="0076337E" w14:paraId="337FA1C7" w14:textId="77777777" w:rsidTr="0085002A">
        <w:trPr>
          <w:trHeight w:val="1574"/>
        </w:trPr>
        <w:tc>
          <w:tcPr>
            <w:tcW w:w="5125" w:type="dxa"/>
            <w:tcBorders>
              <w:top w:val="nil"/>
              <w:left w:val="single" w:sz="4" w:space="0" w:color="auto"/>
              <w:bottom w:val="single" w:sz="4" w:space="0" w:color="auto"/>
              <w:right w:val="single" w:sz="4" w:space="0" w:color="auto"/>
            </w:tcBorders>
            <w:shd w:val="clear" w:color="auto" w:fill="auto"/>
            <w:vAlign w:val="center"/>
            <w:hideMark/>
          </w:tcPr>
          <w:p w14:paraId="2350017E" w14:textId="77777777" w:rsidR="0076337E" w:rsidRPr="0076337E" w:rsidRDefault="0076337E" w:rsidP="0076337E">
            <w:pPr>
              <w:spacing w:before="0" w:after="0"/>
              <w:jc w:val="left"/>
              <w:rPr>
                <w:rFonts w:cs="Arial"/>
                <w:bCs w:val="0"/>
                <w:color w:val="000000"/>
                <w:sz w:val="20"/>
                <w:szCs w:val="20"/>
                <w:lang w:eastAsia="es-CO"/>
              </w:rPr>
            </w:pPr>
            <w:r w:rsidRPr="0076337E">
              <w:rPr>
                <w:rFonts w:cs="Arial"/>
                <w:bCs w:val="0"/>
                <w:color w:val="000000"/>
                <w:sz w:val="20"/>
                <w:szCs w:val="20"/>
                <w:lang w:eastAsia="es-CO"/>
              </w:rPr>
              <w:t>Se sugiere la revisión en el corto plazo del capítulo 12 de la resolución CREG 015 de 2018, considerando que el artículo 126 de la Ley 142 de 1994 establece que excepcionalmente podrán modificarse de oficio o a petición de parte (en este caso el Ministerio de Minas y energía), cuando sea evidente que se cometieron graves errores en su cálculo, que lesionan injustamente los intereses de los usuarios o de la empresa.</w:t>
            </w:r>
          </w:p>
        </w:tc>
        <w:tc>
          <w:tcPr>
            <w:tcW w:w="4455" w:type="dxa"/>
            <w:tcBorders>
              <w:top w:val="nil"/>
              <w:left w:val="nil"/>
              <w:bottom w:val="single" w:sz="4" w:space="0" w:color="auto"/>
              <w:right w:val="single" w:sz="4" w:space="0" w:color="auto"/>
            </w:tcBorders>
            <w:shd w:val="clear" w:color="auto" w:fill="auto"/>
            <w:vAlign w:val="center"/>
            <w:hideMark/>
          </w:tcPr>
          <w:p w14:paraId="4F560EB9" w14:textId="24547D62" w:rsidR="0076337E" w:rsidRPr="0076337E" w:rsidRDefault="0076337E" w:rsidP="0076337E">
            <w:pPr>
              <w:spacing w:before="0" w:after="0"/>
              <w:jc w:val="left"/>
              <w:rPr>
                <w:rFonts w:cs="Arial"/>
                <w:bCs w:val="0"/>
                <w:color w:val="000000"/>
                <w:sz w:val="20"/>
                <w:szCs w:val="20"/>
                <w:lang w:eastAsia="es-CO"/>
              </w:rPr>
            </w:pPr>
            <w:r w:rsidRPr="0076337E">
              <w:rPr>
                <w:rFonts w:cs="Arial"/>
                <w:bCs w:val="0"/>
                <w:color w:val="000000"/>
                <w:sz w:val="20"/>
                <w:szCs w:val="20"/>
                <w:lang w:eastAsia="es-CO"/>
              </w:rPr>
              <w:t>Si la persona interesada cuenta con información y evidencias que permitan soportar los "graves errores de cálculo"</w:t>
            </w:r>
            <w:r w:rsidR="00CC0BE5">
              <w:rPr>
                <w:rFonts w:cs="Arial"/>
                <w:bCs w:val="0"/>
                <w:color w:val="000000"/>
                <w:sz w:val="20"/>
                <w:szCs w:val="20"/>
                <w:lang w:eastAsia="es-CO"/>
              </w:rPr>
              <w:t xml:space="preserve"> o las “lesiones injustas”</w:t>
            </w:r>
            <w:r w:rsidRPr="0076337E">
              <w:rPr>
                <w:rFonts w:cs="Arial"/>
                <w:bCs w:val="0"/>
                <w:color w:val="000000"/>
                <w:sz w:val="20"/>
                <w:szCs w:val="20"/>
                <w:lang w:eastAsia="es-CO"/>
              </w:rPr>
              <w:t xml:space="preserve">, se </w:t>
            </w:r>
            <w:r w:rsidR="00902DFE">
              <w:rPr>
                <w:rFonts w:cs="Arial"/>
                <w:bCs w:val="0"/>
                <w:color w:val="000000"/>
                <w:sz w:val="20"/>
                <w:szCs w:val="20"/>
                <w:lang w:eastAsia="es-CO"/>
              </w:rPr>
              <w:t xml:space="preserve">solicita enviar </w:t>
            </w:r>
            <w:r w:rsidRPr="0076337E">
              <w:rPr>
                <w:rFonts w:cs="Arial"/>
                <w:bCs w:val="0"/>
                <w:color w:val="000000"/>
                <w:sz w:val="20"/>
                <w:szCs w:val="20"/>
                <w:lang w:eastAsia="es-CO"/>
              </w:rPr>
              <w:t>esta información a la Comisión para su revisión.</w:t>
            </w:r>
          </w:p>
        </w:tc>
      </w:tr>
      <w:tr w:rsidR="0076337E" w:rsidRPr="0076337E" w14:paraId="182403E7" w14:textId="77777777" w:rsidTr="0076337E">
        <w:trPr>
          <w:trHeight w:val="290"/>
        </w:trPr>
        <w:tc>
          <w:tcPr>
            <w:tcW w:w="958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26E2F93" w14:textId="77777777" w:rsidR="0076337E" w:rsidRPr="0076337E" w:rsidRDefault="0076337E" w:rsidP="0076337E">
            <w:pPr>
              <w:spacing w:before="0" w:after="0"/>
              <w:jc w:val="center"/>
              <w:rPr>
                <w:rFonts w:cs="Arial"/>
                <w:b/>
                <w:color w:val="000000"/>
                <w:sz w:val="20"/>
                <w:szCs w:val="20"/>
                <w:lang w:eastAsia="es-CO"/>
              </w:rPr>
            </w:pPr>
            <w:r w:rsidRPr="0076337E">
              <w:rPr>
                <w:rFonts w:cs="Calibri"/>
                <w:b/>
                <w:color w:val="000000"/>
                <w:sz w:val="20"/>
                <w:szCs w:val="20"/>
                <w:lang w:eastAsia="es-CO"/>
              </w:rPr>
              <w:t>Capítulo 12 - Res. CREG 015 de 2018</w:t>
            </w:r>
          </w:p>
        </w:tc>
      </w:tr>
      <w:tr w:rsidR="0076337E" w:rsidRPr="0076337E" w14:paraId="4E18EB30" w14:textId="77777777" w:rsidTr="00852864">
        <w:trPr>
          <w:trHeight w:val="477"/>
        </w:trPr>
        <w:tc>
          <w:tcPr>
            <w:tcW w:w="5125" w:type="dxa"/>
            <w:tcBorders>
              <w:top w:val="nil"/>
              <w:left w:val="single" w:sz="4" w:space="0" w:color="auto"/>
              <w:bottom w:val="single" w:sz="4" w:space="0" w:color="auto"/>
              <w:right w:val="single" w:sz="4" w:space="0" w:color="auto"/>
            </w:tcBorders>
            <w:shd w:val="clear" w:color="auto" w:fill="auto"/>
            <w:vAlign w:val="center"/>
            <w:hideMark/>
          </w:tcPr>
          <w:p w14:paraId="38B6852B" w14:textId="77777777" w:rsidR="0076337E" w:rsidRPr="0076337E" w:rsidRDefault="0076337E" w:rsidP="0076337E">
            <w:pPr>
              <w:spacing w:before="0" w:after="0"/>
              <w:jc w:val="left"/>
              <w:rPr>
                <w:rFonts w:cs="Arial"/>
                <w:bCs w:val="0"/>
                <w:color w:val="000000"/>
                <w:sz w:val="20"/>
                <w:szCs w:val="20"/>
                <w:lang w:eastAsia="es-CO"/>
              </w:rPr>
            </w:pPr>
            <w:r w:rsidRPr="0076337E">
              <w:rPr>
                <w:rFonts w:cs="Calibri"/>
                <w:bCs w:val="0"/>
                <w:color w:val="000000"/>
                <w:sz w:val="20"/>
                <w:szCs w:val="20"/>
                <w:lang w:eastAsia="es-CO"/>
              </w:rPr>
              <w:t>Se sugiere armonizar las metodologías para determinar si el factor de potencia capacitivo cumple los limites indicados, lo anterior considerado los lineamientos de la Resolución CREG 015 de 2018.</w:t>
            </w:r>
          </w:p>
        </w:tc>
        <w:tc>
          <w:tcPr>
            <w:tcW w:w="4455" w:type="dxa"/>
            <w:tcBorders>
              <w:top w:val="nil"/>
              <w:left w:val="nil"/>
              <w:bottom w:val="single" w:sz="4" w:space="0" w:color="auto"/>
              <w:right w:val="single" w:sz="4" w:space="0" w:color="auto"/>
            </w:tcBorders>
            <w:shd w:val="clear" w:color="auto" w:fill="auto"/>
            <w:vAlign w:val="center"/>
            <w:hideMark/>
          </w:tcPr>
          <w:p w14:paraId="1A22C3D2" w14:textId="1327F6E0" w:rsidR="00420CA6" w:rsidRDefault="00420CA6" w:rsidP="0076337E">
            <w:pPr>
              <w:spacing w:before="0" w:after="0"/>
              <w:jc w:val="left"/>
              <w:rPr>
                <w:rFonts w:cs="Calibri"/>
                <w:bCs w:val="0"/>
                <w:color w:val="000000"/>
                <w:sz w:val="20"/>
                <w:szCs w:val="20"/>
                <w:lang w:eastAsia="es-CO"/>
              </w:rPr>
            </w:pPr>
            <w:r>
              <w:rPr>
                <w:rFonts w:cs="Calibri"/>
                <w:bCs w:val="0"/>
                <w:color w:val="000000"/>
                <w:sz w:val="20"/>
                <w:szCs w:val="20"/>
                <w:lang w:eastAsia="es-CO"/>
              </w:rPr>
              <w:t>La</w:t>
            </w:r>
            <w:r w:rsidR="00406D0C">
              <w:rPr>
                <w:rFonts w:cs="Calibri"/>
                <w:bCs w:val="0"/>
                <w:color w:val="000000"/>
                <w:sz w:val="20"/>
                <w:szCs w:val="20"/>
                <w:lang w:eastAsia="es-CO"/>
              </w:rPr>
              <w:t xml:space="preserve">s </w:t>
            </w:r>
            <w:r w:rsidR="00BA0EAD">
              <w:rPr>
                <w:rFonts w:cs="Calibri"/>
                <w:bCs w:val="0"/>
                <w:color w:val="000000"/>
                <w:sz w:val="20"/>
                <w:szCs w:val="20"/>
                <w:lang w:eastAsia="es-CO"/>
              </w:rPr>
              <w:t>normas se entienden armonizadas en el sentido en el que el cambio de los límites</w:t>
            </w:r>
            <w:r w:rsidR="00102B4B">
              <w:rPr>
                <w:rFonts w:cs="Calibri"/>
                <w:bCs w:val="0"/>
                <w:color w:val="000000"/>
                <w:sz w:val="20"/>
                <w:szCs w:val="20"/>
                <w:lang w:eastAsia="es-CO"/>
              </w:rPr>
              <w:t xml:space="preserve"> es aplicable</w:t>
            </w:r>
            <w:r w:rsidR="007A6DCD">
              <w:rPr>
                <w:rFonts w:cs="Calibri"/>
                <w:bCs w:val="0"/>
                <w:color w:val="000000"/>
                <w:sz w:val="20"/>
                <w:szCs w:val="20"/>
                <w:lang w:eastAsia="es-CO"/>
              </w:rPr>
              <w:t>, de manera congruente,</w:t>
            </w:r>
            <w:r w:rsidR="00102B4B">
              <w:rPr>
                <w:rFonts w:cs="Calibri"/>
                <w:bCs w:val="0"/>
                <w:color w:val="000000"/>
                <w:sz w:val="20"/>
                <w:szCs w:val="20"/>
                <w:lang w:eastAsia="es-CO"/>
              </w:rPr>
              <w:t xml:space="preserve"> con las fórmulas de remuneración de que trata la Resolución CREG 015 de 2018.</w:t>
            </w:r>
          </w:p>
          <w:p w14:paraId="33F6D518" w14:textId="77777777" w:rsidR="00420CA6" w:rsidRDefault="00420CA6" w:rsidP="0076337E">
            <w:pPr>
              <w:spacing w:before="0" w:after="0"/>
              <w:jc w:val="left"/>
              <w:rPr>
                <w:rFonts w:cs="Calibri"/>
                <w:bCs w:val="0"/>
                <w:color w:val="000000"/>
                <w:sz w:val="20"/>
                <w:szCs w:val="20"/>
                <w:lang w:eastAsia="es-CO"/>
              </w:rPr>
            </w:pPr>
          </w:p>
          <w:p w14:paraId="4D1F8AB4" w14:textId="42BEFCD8" w:rsidR="0076337E" w:rsidRPr="0076337E" w:rsidRDefault="0076337E" w:rsidP="0076337E">
            <w:pPr>
              <w:spacing w:before="0" w:after="0"/>
              <w:jc w:val="left"/>
              <w:rPr>
                <w:rFonts w:cs="Arial"/>
                <w:bCs w:val="0"/>
                <w:color w:val="000000"/>
                <w:sz w:val="20"/>
                <w:szCs w:val="20"/>
                <w:lang w:eastAsia="es-CO"/>
              </w:rPr>
            </w:pPr>
            <w:r w:rsidRPr="0076337E">
              <w:rPr>
                <w:rFonts w:cs="Calibri"/>
                <w:bCs w:val="0"/>
                <w:color w:val="000000"/>
                <w:sz w:val="20"/>
                <w:szCs w:val="20"/>
                <w:lang w:eastAsia="es-CO"/>
              </w:rPr>
              <w:t xml:space="preserve">El tema de las modificaciones a la Resolución CREG 015 de 2018 se considerará en la </w:t>
            </w:r>
            <w:r w:rsidRPr="0076337E">
              <w:rPr>
                <w:rFonts w:cs="Calibri"/>
                <w:bCs w:val="0"/>
                <w:color w:val="000000"/>
                <w:sz w:val="20"/>
                <w:szCs w:val="20"/>
                <w:lang w:eastAsia="es-CO"/>
              </w:rPr>
              <w:lastRenderedPageBreak/>
              <w:t>revisión y expedición de la siguiente metodología de distribución.</w:t>
            </w:r>
          </w:p>
        </w:tc>
      </w:tr>
      <w:tr w:rsidR="0076337E" w:rsidRPr="0076337E" w14:paraId="05EF2296" w14:textId="77777777" w:rsidTr="0085002A">
        <w:trPr>
          <w:trHeight w:val="1750"/>
        </w:trPr>
        <w:tc>
          <w:tcPr>
            <w:tcW w:w="5125" w:type="dxa"/>
            <w:tcBorders>
              <w:top w:val="nil"/>
              <w:left w:val="single" w:sz="4" w:space="0" w:color="auto"/>
              <w:bottom w:val="single" w:sz="4" w:space="0" w:color="auto"/>
              <w:right w:val="single" w:sz="4" w:space="0" w:color="auto"/>
            </w:tcBorders>
            <w:shd w:val="clear" w:color="auto" w:fill="auto"/>
            <w:vAlign w:val="center"/>
            <w:hideMark/>
          </w:tcPr>
          <w:p w14:paraId="2D037B70" w14:textId="77777777" w:rsidR="0076337E" w:rsidRPr="0076337E" w:rsidRDefault="0076337E" w:rsidP="0076337E">
            <w:pPr>
              <w:spacing w:before="0" w:after="0"/>
              <w:jc w:val="left"/>
              <w:rPr>
                <w:rFonts w:cs="Arial"/>
                <w:bCs w:val="0"/>
                <w:color w:val="000000"/>
                <w:sz w:val="20"/>
                <w:szCs w:val="20"/>
                <w:lang w:eastAsia="es-CO"/>
              </w:rPr>
            </w:pPr>
            <w:r w:rsidRPr="0076337E">
              <w:rPr>
                <w:rFonts w:cs="Arial"/>
                <w:bCs w:val="0"/>
                <w:color w:val="000000"/>
                <w:sz w:val="20"/>
                <w:szCs w:val="20"/>
                <w:lang w:eastAsia="es-CO"/>
              </w:rPr>
              <w:lastRenderedPageBreak/>
              <w:t>Además, debe dejarse explícito en la resolución cómo se realizará el cobro del transporte de energía reactiva capacitiva, de manera que se tenga claridad por parte de los agentes y de los usuarios la aplicación de las nuevas condiciones.</w:t>
            </w:r>
          </w:p>
        </w:tc>
        <w:tc>
          <w:tcPr>
            <w:tcW w:w="4455" w:type="dxa"/>
            <w:tcBorders>
              <w:top w:val="nil"/>
              <w:left w:val="nil"/>
              <w:bottom w:val="single" w:sz="4" w:space="0" w:color="auto"/>
              <w:right w:val="single" w:sz="4" w:space="0" w:color="auto"/>
            </w:tcBorders>
            <w:shd w:val="clear" w:color="auto" w:fill="auto"/>
            <w:vAlign w:val="center"/>
            <w:hideMark/>
          </w:tcPr>
          <w:p w14:paraId="79A339D9" w14:textId="4D023F61" w:rsidR="0076337E" w:rsidRPr="0076337E" w:rsidRDefault="0076337E" w:rsidP="0076337E">
            <w:pPr>
              <w:spacing w:before="0" w:after="0"/>
              <w:jc w:val="left"/>
              <w:rPr>
                <w:rFonts w:cs="Arial"/>
                <w:bCs w:val="0"/>
                <w:color w:val="000000"/>
                <w:sz w:val="20"/>
                <w:szCs w:val="20"/>
                <w:lang w:eastAsia="es-CO"/>
              </w:rPr>
            </w:pPr>
            <w:r w:rsidRPr="0076337E">
              <w:rPr>
                <w:rFonts w:cs="Arial"/>
                <w:bCs w:val="0"/>
                <w:color w:val="000000"/>
                <w:sz w:val="20"/>
                <w:szCs w:val="20"/>
                <w:lang w:eastAsia="es-CO"/>
              </w:rPr>
              <w:t>Dado que en este proyecto resolución se modifica el numeral 4.2.4 del Anexo General de la Resolución CREG 070 de 1998, posterior a su publicación, este aplica inmediatamente a la actual metodología de distribución, lo que implica la consideración de los nuevos límites de factor de potencia capacitivo</w:t>
            </w:r>
            <w:r w:rsidR="000E2172">
              <w:rPr>
                <w:rFonts w:cs="Arial"/>
                <w:bCs w:val="0"/>
                <w:color w:val="000000"/>
                <w:sz w:val="20"/>
                <w:szCs w:val="20"/>
                <w:lang w:eastAsia="es-CO"/>
              </w:rPr>
              <w:t xml:space="preserve"> para el cobro de la energía reactiva capacitiva en exceso sobre este nuevo límite</w:t>
            </w:r>
            <w:r w:rsidRPr="0076337E">
              <w:rPr>
                <w:rFonts w:cs="Arial"/>
                <w:bCs w:val="0"/>
                <w:color w:val="000000"/>
                <w:sz w:val="20"/>
                <w:szCs w:val="20"/>
                <w:lang w:eastAsia="es-CO"/>
              </w:rPr>
              <w:t>.</w:t>
            </w:r>
          </w:p>
        </w:tc>
      </w:tr>
      <w:tr w:rsidR="0076337E" w:rsidRPr="0076337E" w14:paraId="42270AE7" w14:textId="77777777" w:rsidTr="0076337E">
        <w:trPr>
          <w:trHeight w:val="290"/>
        </w:trPr>
        <w:tc>
          <w:tcPr>
            <w:tcW w:w="958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20E8592" w14:textId="77777777" w:rsidR="0076337E" w:rsidRPr="0076337E" w:rsidRDefault="0076337E" w:rsidP="000E2172">
            <w:pPr>
              <w:keepNext/>
              <w:spacing w:before="0" w:after="0"/>
              <w:jc w:val="center"/>
              <w:rPr>
                <w:rFonts w:cs="Arial"/>
                <w:b/>
                <w:color w:val="000000"/>
                <w:sz w:val="20"/>
                <w:szCs w:val="20"/>
                <w:lang w:eastAsia="es-CO"/>
              </w:rPr>
            </w:pPr>
            <w:r w:rsidRPr="0076337E">
              <w:rPr>
                <w:rFonts w:cs="Calibri"/>
                <w:b/>
                <w:color w:val="000000"/>
                <w:sz w:val="20"/>
                <w:szCs w:val="20"/>
                <w:lang w:eastAsia="es-CO"/>
              </w:rPr>
              <w:t>Indicadores de seguimiento</w:t>
            </w:r>
          </w:p>
        </w:tc>
      </w:tr>
      <w:tr w:rsidR="0076337E" w:rsidRPr="0076337E" w14:paraId="4DCB2C5C" w14:textId="77777777" w:rsidTr="0085002A">
        <w:trPr>
          <w:trHeight w:val="2500"/>
        </w:trPr>
        <w:tc>
          <w:tcPr>
            <w:tcW w:w="5125" w:type="dxa"/>
            <w:tcBorders>
              <w:top w:val="nil"/>
              <w:left w:val="single" w:sz="4" w:space="0" w:color="auto"/>
              <w:bottom w:val="single" w:sz="4" w:space="0" w:color="auto"/>
              <w:right w:val="single" w:sz="4" w:space="0" w:color="auto"/>
            </w:tcBorders>
            <w:shd w:val="clear" w:color="auto" w:fill="auto"/>
            <w:vAlign w:val="center"/>
            <w:hideMark/>
          </w:tcPr>
          <w:p w14:paraId="6EDA2A17" w14:textId="77777777" w:rsidR="0076337E" w:rsidRPr="0076337E" w:rsidRDefault="0076337E" w:rsidP="0076337E">
            <w:pPr>
              <w:spacing w:before="0" w:after="0"/>
              <w:jc w:val="left"/>
              <w:rPr>
                <w:rFonts w:cs="Arial"/>
                <w:bCs w:val="0"/>
                <w:color w:val="000000"/>
                <w:sz w:val="20"/>
                <w:szCs w:val="20"/>
                <w:lang w:eastAsia="es-CO"/>
              </w:rPr>
            </w:pPr>
            <w:r w:rsidRPr="0076337E">
              <w:rPr>
                <w:rFonts w:cs="Calibri"/>
                <w:bCs w:val="0"/>
                <w:color w:val="000000"/>
                <w:sz w:val="20"/>
                <w:szCs w:val="20"/>
                <w:lang w:eastAsia="es-CO"/>
              </w:rPr>
              <w:t>Se sugiere que los indicadores de seguimiento propuestos en el documento soporte para determinar si el factor de potencia capacitivo cumple los límites propuestos (CERT, CER, FCER, ERT, ER, TCER) hagan parte integral de la resolución definitiva; es decir, la formula, sus variables, definición queden establecidas dentro de la resolución.</w:t>
            </w:r>
            <w:r w:rsidRPr="0076337E">
              <w:rPr>
                <w:rFonts w:cs="Calibri"/>
                <w:bCs w:val="0"/>
                <w:color w:val="000000"/>
                <w:sz w:val="20"/>
                <w:szCs w:val="20"/>
                <w:lang w:eastAsia="es-CO"/>
              </w:rPr>
              <w:br/>
            </w:r>
            <w:r w:rsidRPr="0076337E">
              <w:rPr>
                <w:rFonts w:cs="Calibri"/>
                <w:bCs w:val="0"/>
                <w:color w:val="000000"/>
                <w:sz w:val="20"/>
                <w:szCs w:val="20"/>
                <w:lang w:eastAsia="es-CO"/>
              </w:rPr>
              <w:br/>
              <w:t xml:space="preserve">También, se sugiere considerar la posibilidad de centralizar dicha información en los reportes al SUI. </w:t>
            </w:r>
          </w:p>
        </w:tc>
        <w:tc>
          <w:tcPr>
            <w:tcW w:w="4455" w:type="dxa"/>
            <w:tcBorders>
              <w:top w:val="nil"/>
              <w:left w:val="nil"/>
              <w:bottom w:val="single" w:sz="4" w:space="0" w:color="auto"/>
              <w:right w:val="single" w:sz="4" w:space="0" w:color="auto"/>
            </w:tcBorders>
            <w:shd w:val="clear" w:color="auto" w:fill="auto"/>
            <w:vAlign w:val="center"/>
            <w:hideMark/>
          </w:tcPr>
          <w:p w14:paraId="070427F8" w14:textId="77777777" w:rsidR="005243CF" w:rsidRDefault="005A1D0B" w:rsidP="0076337E">
            <w:pPr>
              <w:spacing w:before="0" w:after="0"/>
              <w:jc w:val="left"/>
              <w:rPr>
                <w:rFonts w:cs="Calibri"/>
                <w:bCs w:val="0"/>
                <w:color w:val="000000"/>
                <w:sz w:val="20"/>
                <w:szCs w:val="20"/>
                <w:lang w:eastAsia="es-CO"/>
              </w:rPr>
            </w:pPr>
            <w:r>
              <w:rPr>
                <w:rFonts w:cs="Calibri"/>
                <w:bCs w:val="0"/>
                <w:color w:val="000000"/>
                <w:sz w:val="20"/>
                <w:szCs w:val="20"/>
                <w:lang w:eastAsia="es-CO"/>
              </w:rPr>
              <w:t>L</w:t>
            </w:r>
            <w:r w:rsidR="0076337E" w:rsidRPr="0076337E">
              <w:rPr>
                <w:rFonts w:cs="Calibri"/>
                <w:bCs w:val="0"/>
                <w:color w:val="000000"/>
                <w:sz w:val="20"/>
                <w:szCs w:val="20"/>
                <w:lang w:eastAsia="es-CO"/>
              </w:rPr>
              <w:t>os indicadores de seguimiento vigentes corresponden a los planteados en la Resolución CREG 015 de 2018</w:t>
            </w:r>
            <w:r>
              <w:rPr>
                <w:rFonts w:cs="Calibri"/>
                <w:bCs w:val="0"/>
                <w:color w:val="000000"/>
                <w:sz w:val="20"/>
                <w:szCs w:val="20"/>
                <w:lang w:eastAsia="es-CO"/>
              </w:rPr>
              <w:t xml:space="preserve"> y ya están siendo objeto de análisis</w:t>
            </w:r>
            <w:r w:rsidR="005243CF">
              <w:rPr>
                <w:rFonts w:cs="Calibri"/>
                <w:bCs w:val="0"/>
                <w:color w:val="000000"/>
                <w:sz w:val="20"/>
                <w:szCs w:val="20"/>
                <w:lang w:eastAsia="es-CO"/>
              </w:rPr>
              <w:t>.</w:t>
            </w:r>
          </w:p>
          <w:p w14:paraId="0DABAB45" w14:textId="77777777" w:rsidR="005243CF" w:rsidRDefault="005243CF" w:rsidP="0076337E">
            <w:pPr>
              <w:spacing w:before="0" w:after="0"/>
              <w:jc w:val="left"/>
              <w:rPr>
                <w:rFonts w:cs="Calibri"/>
                <w:bCs w:val="0"/>
                <w:color w:val="000000"/>
                <w:sz w:val="20"/>
                <w:szCs w:val="20"/>
                <w:lang w:eastAsia="es-CO"/>
              </w:rPr>
            </w:pPr>
          </w:p>
          <w:p w14:paraId="428D9CF5" w14:textId="432C23F9" w:rsidR="0076337E" w:rsidRPr="0076337E" w:rsidRDefault="004947CE" w:rsidP="0076337E">
            <w:pPr>
              <w:spacing w:before="0" w:after="0"/>
              <w:jc w:val="left"/>
              <w:rPr>
                <w:rFonts w:cs="Arial"/>
                <w:bCs w:val="0"/>
                <w:color w:val="000000"/>
                <w:sz w:val="20"/>
                <w:szCs w:val="20"/>
                <w:lang w:eastAsia="es-CO"/>
              </w:rPr>
            </w:pPr>
            <w:r w:rsidRPr="00A37D9D">
              <w:rPr>
                <w:rFonts w:cs="Calibri"/>
                <w:bCs w:val="0"/>
                <w:color w:val="000000"/>
                <w:sz w:val="20"/>
                <w:szCs w:val="20"/>
                <w:lang w:eastAsia="es-CO"/>
              </w:rPr>
              <w:t>Dichos indicadores son calculados, en buena medida, con base en información que ya se encuentra registrada en el SUI.</w:t>
            </w:r>
          </w:p>
        </w:tc>
      </w:tr>
      <w:tr w:rsidR="0076337E" w:rsidRPr="0076337E" w14:paraId="4EF7CA85" w14:textId="77777777" w:rsidTr="0076337E">
        <w:trPr>
          <w:trHeight w:val="290"/>
        </w:trPr>
        <w:tc>
          <w:tcPr>
            <w:tcW w:w="958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6719899" w14:textId="77777777" w:rsidR="0076337E" w:rsidRPr="0076337E" w:rsidRDefault="0076337E" w:rsidP="0076337E">
            <w:pPr>
              <w:spacing w:before="0" w:after="0"/>
              <w:jc w:val="center"/>
              <w:rPr>
                <w:rFonts w:cs="Arial"/>
                <w:b/>
                <w:color w:val="000000"/>
                <w:sz w:val="20"/>
                <w:szCs w:val="20"/>
                <w:lang w:eastAsia="es-CO"/>
              </w:rPr>
            </w:pPr>
            <w:r w:rsidRPr="0076337E">
              <w:rPr>
                <w:rFonts w:cs="Calibri"/>
                <w:b/>
                <w:color w:val="000000"/>
                <w:sz w:val="20"/>
                <w:szCs w:val="20"/>
                <w:lang w:eastAsia="es-CO"/>
              </w:rPr>
              <w:t>Liquidación</w:t>
            </w:r>
          </w:p>
        </w:tc>
      </w:tr>
      <w:tr w:rsidR="0076337E" w:rsidRPr="0076337E" w14:paraId="1E20698F" w14:textId="77777777" w:rsidTr="0085002A">
        <w:trPr>
          <w:trHeight w:val="1750"/>
        </w:trPr>
        <w:tc>
          <w:tcPr>
            <w:tcW w:w="5125" w:type="dxa"/>
            <w:tcBorders>
              <w:top w:val="nil"/>
              <w:left w:val="single" w:sz="4" w:space="0" w:color="auto"/>
              <w:bottom w:val="single" w:sz="4" w:space="0" w:color="auto"/>
              <w:right w:val="single" w:sz="4" w:space="0" w:color="auto"/>
            </w:tcBorders>
            <w:shd w:val="clear" w:color="auto" w:fill="auto"/>
            <w:vAlign w:val="center"/>
            <w:hideMark/>
          </w:tcPr>
          <w:p w14:paraId="13213F37" w14:textId="77777777" w:rsidR="0076337E" w:rsidRPr="0076337E" w:rsidRDefault="0076337E" w:rsidP="0076337E">
            <w:pPr>
              <w:spacing w:before="0" w:after="0"/>
              <w:jc w:val="left"/>
              <w:rPr>
                <w:rFonts w:cs="Arial"/>
                <w:bCs w:val="0"/>
                <w:color w:val="000000"/>
                <w:sz w:val="20"/>
                <w:szCs w:val="20"/>
                <w:lang w:eastAsia="es-CO"/>
              </w:rPr>
            </w:pPr>
            <w:r w:rsidRPr="0076337E">
              <w:rPr>
                <w:rFonts w:cs="Calibri"/>
                <w:bCs w:val="0"/>
                <w:color w:val="000000"/>
                <w:sz w:val="20"/>
                <w:szCs w:val="20"/>
                <w:lang w:eastAsia="es-CO"/>
              </w:rPr>
              <w:t>Teniendo en cuenta que los usuarios residenciales tienen bajo consumo y que su transporte de energía reactiva inductiva/capacitiva es tan bajo que no afecta de manera significativa la estabilidad y calidad de los OR, se considera pertinente que dichos usuarios queden exonerados de cualquier cobro por transporte de energía reactiva.</w:t>
            </w:r>
          </w:p>
        </w:tc>
        <w:tc>
          <w:tcPr>
            <w:tcW w:w="4455" w:type="dxa"/>
            <w:tcBorders>
              <w:top w:val="nil"/>
              <w:left w:val="nil"/>
              <w:bottom w:val="single" w:sz="4" w:space="0" w:color="auto"/>
              <w:right w:val="single" w:sz="4" w:space="0" w:color="auto"/>
            </w:tcBorders>
            <w:shd w:val="clear" w:color="auto" w:fill="auto"/>
            <w:vAlign w:val="center"/>
            <w:hideMark/>
          </w:tcPr>
          <w:p w14:paraId="6D7778DB" w14:textId="301D69D4" w:rsidR="0076337E" w:rsidRDefault="0076337E" w:rsidP="0076337E">
            <w:pPr>
              <w:spacing w:before="0" w:after="0"/>
              <w:jc w:val="left"/>
              <w:rPr>
                <w:rFonts w:cs="Calibri"/>
                <w:bCs w:val="0"/>
                <w:color w:val="000000"/>
                <w:sz w:val="20"/>
                <w:szCs w:val="20"/>
                <w:lang w:eastAsia="es-CO"/>
              </w:rPr>
            </w:pPr>
            <w:r w:rsidRPr="0076337E">
              <w:rPr>
                <w:rFonts w:cs="Calibri"/>
                <w:bCs w:val="0"/>
                <w:color w:val="000000"/>
                <w:sz w:val="20"/>
                <w:szCs w:val="20"/>
                <w:lang w:eastAsia="es-CO"/>
              </w:rPr>
              <w:t>Si los consumos de energía de los usuarios residenciales se encuentran cubiertos por los nuevos límites de factor de potencia, estos no tendrían ningún cobro por transporte de energía reactiva en exceso</w:t>
            </w:r>
            <w:r w:rsidR="00F94E36">
              <w:rPr>
                <w:rFonts w:cs="Calibri"/>
                <w:bCs w:val="0"/>
                <w:color w:val="000000"/>
                <w:sz w:val="20"/>
                <w:szCs w:val="20"/>
                <w:lang w:eastAsia="es-CO"/>
              </w:rPr>
              <w:t xml:space="preserve"> siempre y cuando se encuentren dentro de los rangos permitidos</w:t>
            </w:r>
            <w:r w:rsidRPr="0076337E">
              <w:rPr>
                <w:rFonts w:cs="Calibri"/>
                <w:bCs w:val="0"/>
                <w:color w:val="000000"/>
                <w:sz w:val="20"/>
                <w:szCs w:val="20"/>
                <w:lang w:eastAsia="es-CO"/>
              </w:rPr>
              <w:t>.</w:t>
            </w:r>
          </w:p>
          <w:p w14:paraId="71EA613F" w14:textId="77777777" w:rsidR="00C96817" w:rsidRDefault="00C96817" w:rsidP="0076337E">
            <w:pPr>
              <w:spacing w:before="0" w:after="0"/>
              <w:jc w:val="left"/>
              <w:rPr>
                <w:rFonts w:cs="Arial"/>
                <w:bCs w:val="0"/>
                <w:color w:val="000000"/>
                <w:sz w:val="20"/>
                <w:szCs w:val="20"/>
                <w:lang w:eastAsia="es-CO"/>
              </w:rPr>
            </w:pPr>
          </w:p>
          <w:p w14:paraId="7D82CDDC" w14:textId="4CA27BF4" w:rsidR="00C96817" w:rsidRPr="0076337E" w:rsidRDefault="00C96817" w:rsidP="0076337E">
            <w:pPr>
              <w:spacing w:before="0" w:after="0"/>
              <w:jc w:val="left"/>
              <w:rPr>
                <w:rFonts w:cs="Arial"/>
                <w:bCs w:val="0"/>
                <w:color w:val="000000"/>
                <w:sz w:val="20"/>
                <w:szCs w:val="20"/>
                <w:lang w:eastAsia="es-CO"/>
              </w:rPr>
            </w:pPr>
            <w:r>
              <w:rPr>
                <w:rFonts w:cs="Arial"/>
                <w:bCs w:val="0"/>
                <w:color w:val="000000"/>
                <w:sz w:val="20"/>
                <w:szCs w:val="20"/>
                <w:lang w:eastAsia="es-CO"/>
              </w:rPr>
              <w:t>No obstante, esta alternativa será nuevamente revisada al momento de la modificación de las normas asociadas con AMI.</w:t>
            </w:r>
          </w:p>
        </w:tc>
      </w:tr>
      <w:tr w:rsidR="0076337E" w:rsidRPr="0076337E" w14:paraId="1201A088" w14:textId="77777777" w:rsidTr="0085002A">
        <w:trPr>
          <w:trHeight w:val="2250"/>
        </w:trPr>
        <w:tc>
          <w:tcPr>
            <w:tcW w:w="5125" w:type="dxa"/>
            <w:tcBorders>
              <w:top w:val="nil"/>
              <w:left w:val="single" w:sz="4" w:space="0" w:color="auto"/>
              <w:bottom w:val="single" w:sz="4" w:space="0" w:color="auto"/>
              <w:right w:val="single" w:sz="4" w:space="0" w:color="auto"/>
            </w:tcBorders>
            <w:shd w:val="clear" w:color="auto" w:fill="auto"/>
            <w:vAlign w:val="center"/>
            <w:hideMark/>
          </w:tcPr>
          <w:p w14:paraId="5C7E5782" w14:textId="77777777" w:rsidR="0076337E" w:rsidRPr="0076337E" w:rsidRDefault="0076337E" w:rsidP="0076337E">
            <w:pPr>
              <w:spacing w:before="0" w:after="0"/>
              <w:jc w:val="left"/>
              <w:rPr>
                <w:rFonts w:cs="Arial"/>
                <w:bCs w:val="0"/>
                <w:color w:val="000000"/>
                <w:sz w:val="20"/>
                <w:szCs w:val="20"/>
                <w:lang w:eastAsia="es-CO"/>
              </w:rPr>
            </w:pPr>
            <w:r w:rsidRPr="0076337E">
              <w:rPr>
                <w:rFonts w:cs="Arial"/>
                <w:bCs w:val="0"/>
                <w:color w:val="000000"/>
                <w:sz w:val="20"/>
                <w:szCs w:val="20"/>
                <w:lang w:eastAsia="es-CO"/>
              </w:rPr>
              <w:t>Se sugieren algunos aspectos en cuanto a la relación operador de red – comercializador, como liquidación o facturación de forma inoportuna, plazo máximo para que el comercializador les cobre a sus usuarios por transporte de energía reactiva en exceso de meses anteriores y manejo de controversias ante situaciones cuando los usuarios finales se retrasen o no paguen sus obligaciones a su comercializador por el cobro de transportar energía reactiva en exceso.</w:t>
            </w:r>
          </w:p>
        </w:tc>
        <w:tc>
          <w:tcPr>
            <w:tcW w:w="4455" w:type="dxa"/>
            <w:tcBorders>
              <w:top w:val="nil"/>
              <w:left w:val="nil"/>
              <w:bottom w:val="single" w:sz="4" w:space="0" w:color="auto"/>
              <w:right w:val="single" w:sz="4" w:space="0" w:color="auto"/>
            </w:tcBorders>
            <w:shd w:val="clear" w:color="auto" w:fill="auto"/>
            <w:vAlign w:val="center"/>
            <w:hideMark/>
          </w:tcPr>
          <w:p w14:paraId="04640E47" w14:textId="77777777" w:rsidR="00D550FA" w:rsidRDefault="005B0D97" w:rsidP="0076337E">
            <w:pPr>
              <w:spacing w:before="0" w:after="0"/>
              <w:jc w:val="left"/>
              <w:rPr>
                <w:rFonts w:cs="Arial"/>
                <w:bCs w:val="0"/>
                <w:color w:val="000000"/>
                <w:sz w:val="20"/>
                <w:szCs w:val="20"/>
                <w:lang w:eastAsia="es-CO"/>
              </w:rPr>
            </w:pPr>
            <w:r>
              <w:rPr>
                <w:rFonts w:cs="Arial"/>
                <w:bCs w:val="0"/>
                <w:color w:val="000000"/>
                <w:sz w:val="20"/>
                <w:szCs w:val="20"/>
                <w:lang w:eastAsia="es-CO"/>
              </w:rPr>
              <w:t>En la Resolución CREG 156 de 2011</w:t>
            </w:r>
            <w:r w:rsidR="00D550FA">
              <w:rPr>
                <w:rFonts w:cs="Arial"/>
                <w:bCs w:val="0"/>
                <w:color w:val="000000"/>
                <w:sz w:val="20"/>
                <w:szCs w:val="20"/>
                <w:lang w:eastAsia="es-CO"/>
              </w:rPr>
              <w:t xml:space="preserve"> se encuentra la normalización de las relaciones de cobro entre los agentes mencionados.</w:t>
            </w:r>
          </w:p>
          <w:p w14:paraId="6B08D7B7" w14:textId="77777777" w:rsidR="00D550FA" w:rsidRDefault="00D550FA" w:rsidP="0076337E">
            <w:pPr>
              <w:spacing w:before="0" w:after="0"/>
              <w:jc w:val="left"/>
              <w:rPr>
                <w:rFonts w:cs="Arial"/>
                <w:bCs w:val="0"/>
                <w:color w:val="000000"/>
                <w:sz w:val="20"/>
                <w:szCs w:val="20"/>
                <w:lang w:eastAsia="es-CO"/>
              </w:rPr>
            </w:pPr>
          </w:p>
          <w:p w14:paraId="75EFF7C8" w14:textId="685DADCD" w:rsidR="0076337E" w:rsidRPr="0076337E" w:rsidRDefault="0076337E" w:rsidP="0076337E">
            <w:pPr>
              <w:spacing w:before="0" w:after="0"/>
              <w:jc w:val="left"/>
              <w:rPr>
                <w:rFonts w:cs="Arial"/>
                <w:bCs w:val="0"/>
                <w:color w:val="000000"/>
                <w:sz w:val="20"/>
                <w:szCs w:val="20"/>
                <w:lang w:eastAsia="es-CO"/>
              </w:rPr>
            </w:pPr>
            <w:r w:rsidRPr="0076337E">
              <w:rPr>
                <w:rFonts w:cs="Arial"/>
                <w:bCs w:val="0"/>
                <w:color w:val="000000"/>
                <w:sz w:val="20"/>
                <w:szCs w:val="20"/>
                <w:lang w:eastAsia="es-CO"/>
              </w:rPr>
              <w:t xml:space="preserve">La presente propuesta tiene como objetivo atender el requerimiento de política pública establecido en el artículo 5 del Decreto 0929 de 2023 expedido por el Ministerio de Minas y Energía, por lo tanto, los aspectos referentes a liquidación exceden el alcance </w:t>
            </w:r>
            <w:r w:rsidR="00D37E4D">
              <w:rPr>
                <w:rFonts w:cs="Arial"/>
                <w:bCs w:val="0"/>
                <w:color w:val="000000"/>
                <w:sz w:val="20"/>
                <w:szCs w:val="20"/>
                <w:lang w:eastAsia="es-CO"/>
              </w:rPr>
              <w:t>planteado</w:t>
            </w:r>
            <w:r w:rsidRPr="0076337E">
              <w:rPr>
                <w:rFonts w:cs="Arial"/>
                <w:bCs w:val="0"/>
                <w:color w:val="000000"/>
                <w:sz w:val="20"/>
                <w:szCs w:val="20"/>
                <w:lang w:eastAsia="es-CO"/>
              </w:rPr>
              <w:t>.</w:t>
            </w:r>
          </w:p>
        </w:tc>
      </w:tr>
    </w:tbl>
    <w:p w14:paraId="47245574" w14:textId="0FDA07CA" w:rsidR="005D1F6D" w:rsidRDefault="005D1F6D" w:rsidP="008D41DE">
      <w:pPr>
        <w:pStyle w:val="Ttulo3"/>
      </w:pPr>
      <w:bookmarkStart w:id="30" w:name="_Ref147167352"/>
      <w:bookmarkStart w:id="31" w:name="_Toc157689792"/>
      <w:r w:rsidRPr="005D1F6D">
        <w:t>Aplicación de la medida.</w:t>
      </w:r>
      <w:bookmarkEnd w:id="30"/>
      <w:bookmarkEnd w:id="31"/>
    </w:p>
    <w:p w14:paraId="2292A9FA" w14:textId="06018353" w:rsidR="00B94E50" w:rsidRDefault="00B94E50" w:rsidP="00563BDF">
      <w:r>
        <w:t xml:space="preserve">Dentro de los talleres realizados para abordar a propuesta regulatoria, se presentaron inquietudes relacionadas con la aplicación de la medida </w:t>
      </w:r>
      <w:r w:rsidR="00654A04">
        <w:t>frente a las</w:t>
      </w:r>
      <w:r>
        <w:t xml:space="preserve"> situaciones existentes</w:t>
      </w:r>
      <w:r w:rsidR="00654A04">
        <w:t>.</w:t>
      </w:r>
    </w:p>
    <w:p w14:paraId="3CD34717" w14:textId="5D2057DD" w:rsidR="00563BDF" w:rsidRDefault="00654A04" w:rsidP="00563BDF">
      <w:r>
        <w:t>Es por esto que, t</w:t>
      </w:r>
      <w:r w:rsidR="00563BDF">
        <w:t>eniendo en cuenta el alcance de la propuesta regulatoria y con el fin de buscar una correcta aplicación de la misma, encuentra la Comisión que</w:t>
      </w:r>
      <w:r w:rsidR="004E398F">
        <w:t>,</w:t>
      </w:r>
      <w:r w:rsidR="00563BDF">
        <w:t xml:space="preserve"> frente a las </w:t>
      </w:r>
      <w:r w:rsidR="00563BDF">
        <w:lastRenderedPageBreak/>
        <w:t xml:space="preserve">situaciones de hecho que actualmente se vienen presentando en el caso de los usuarios que </w:t>
      </w:r>
      <w:r w:rsidR="006F2F80">
        <w:t>presentan transporte de</w:t>
      </w:r>
      <w:r w:rsidR="00563BDF">
        <w:t xml:space="preserve"> energía reactiva inductiva y energía inductiva capacitiva</w:t>
      </w:r>
      <w:r w:rsidR="006F2F80">
        <w:t xml:space="preserve"> en exceso</w:t>
      </w:r>
      <w:r w:rsidR="00563BDF">
        <w:t xml:space="preserve">, se deben tener en cuenta dos elementos: i) la vigencia de los actos administrativos; </w:t>
      </w:r>
      <w:proofErr w:type="spellStart"/>
      <w:r w:rsidR="00563BDF">
        <w:t>ii</w:t>
      </w:r>
      <w:proofErr w:type="spellEnd"/>
      <w:r w:rsidR="00563BDF">
        <w:t xml:space="preserve">) </w:t>
      </w:r>
      <w:r w:rsidR="004A3A45">
        <w:t xml:space="preserve">el </w:t>
      </w:r>
      <w:r w:rsidR="00563BDF">
        <w:t>respet</w:t>
      </w:r>
      <w:r w:rsidR="004A3A45">
        <w:t>o por las</w:t>
      </w:r>
      <w:r w:rsidR="00563BDF">
        <w:t xml:space="preserve"> situaciones de hecho que ya se han consolidado y que tienen consecuencias jurídicas a partir de lo dispuesto en la regulación vigente. </w:t>
      </w:r>
    </w:p>
    <w:p w14:paraId="105B0537" w14:textId="6BC3F256" w:rsidR="00563BDF" w:rsidRDefault="00563BDF" w:rsidP="00563BDF">
      <w:r>
        <w:t>Lo anterior, toda vez que el propósito de la medida es que esta no tenga efectos retrospectivos y mucho menos retroactivos, sino que su aplicación se haga en el marco general de que los efectos de los actos administrativos se den hacia futuro una vez dicho acto administrativo entre en vigencia (i.e. la cual se da a partir del día siguiente a</w:t>
      </w:r>
      <w:r w:rsidR="00484BE7">
        <w:t>l de</w:t>
      </w:r>
      <w:r>
        <w:t xml:space="preserve"> su publicación en el </w:t>
      </w:r>
      <w:r w:rsidRPr="004A3A45">
        <w:rPr>
          <w:i/>
          <w:iCs/>
        </w:rPr>
        <w:t>Diario Oficial</w:t>
      </w:r>
      <w:r>
        <w:t>).</w:t>
      </w:r>
    </w:p>
    <w:p w14:paraId="0EE3C9E1" w14:textId="77777777" w:rsidR="00563BDF" w:rsidRDefault="00563BDF" w:rsidP="00563BDF">
      <w:r>
        <w:t>En este sentido, se identifican los siguientes casos:</w:t>
      </w:r>
    </w:p>
    <w:p w14:paraId="53C4675F" w14:textId="4913142B" w:rsidR="00563BDF" w:rsidRDefault="00563BDF" w:rsidP="00493658">
      <w:pPr>
        <w:ind w:left="284" w:hanging="284"/>
      </w:pPr>
      <w:r>
        <w:t xml:space="preserve">i) </w:t>
      </w:r>
      <w:r w:rsidR="00493658">
        <w:tab/>
      </w:r>
      <w:r>
        <w:t xml:space="preserve">Cuando un usuario no se encuentre en una situación de </w:t>
      </w:r>
      <w:r w:rsidR="005C57AD">
        <w:t>transporte</w:t>
      </w:r>
      <w:r>
        <w:t xml:space="preserve"> en exceso de energía reactiva capacitiva o de energía </w:t>
      </w:r>
      <w:r w:rsidR="00B1273A">
        <w:t xml:space="preserve">reactiva </w:t>
      </w:r>
      <w:r>
        <w:t xml:space="preserve">inductiva, una vez en vigencia la aplicación de la norma, la aplicación de las fórmulas del Capítulo 12 de la Resolución CREG 015 de 2018 (CTER=ER*M*D*) deben considerar </w:t>
      </w:r>
      <w:r w:rsidR="00A448B3">
        <w:t xml:space="preserve">los </w:t>
      </w:r>
      <w:r w:rsidR="009E1EAA">
        <w:t xml:space="preserve">límites al </w:t>
      </w:r>
      <w:r>
        <w:t>factor de potencia definidos en la presente resolución.</w:t>
      </w:r>
    </w:p>
    <w:p w14:paraId="30BE8EEA" w14:textId="4A936DB9" w:rsidR="00563BDF" w:rsidRDefault="00563BDF" w:rsidP="00F63116">
      <w:pPr>
        <w:ind w:left="284" w:hanging="284"/>
      </w:pPr>
      <w:proofErr w:type="spellStart"/>
      <w:r>
        <w:t>ii</w:t>
      </w:r>
      <w:proofErr w:type="spellEnd"/>
      <w:r>
        <w:t xml:space="preserve">) Cuando un usuario se encuentre en una situación de </w:t>
      </w:r>
      <w:r w:rsidR="002F604A">
        <w:t>transporte</w:t>
      </w:r>
      <w:r>
        <w:t xml:space="preserve"> en exceso de energía reactiva capacitiva o de energía </w:t>
      </w:r>
      <w:r w:rsidR="002F604A">
        <w:t xml:space="preserve">reactiva </w:t>
      </w:r>
      <w:r>
        <w:t xml:space="preserve">inductiva, una vez en vigencia la aplicación de la norma, </w:t>
      </w:r>
      <w:r w:rsidRPr="00D83BF7">
        <w:t xml:space="preserve">pero este se encuentre </w:t>
      </w:r>
      <w:r w:rsidR="002C1090">
        <w:t>antes d</w:t>
      </w:r>
      <w:r w:rsidRPr="00D83BF7">
        <w:t>el décimo tercer mes de transporte de energía reactiva</w:t>
      </w:r>
      <w:r w:rsidR="008444CF">
        <w:t xml:space="preserve"> en exceso sobre el límite</w:t>
      </w:r>
      <w:r>
        <w:t>,</w:t>
      </w:r>
      <w:r w:rsidRPr="00D83BF7">
        <w:t xml:space="preserve"> </w:t>
      </w:r>
      <w:r>
        <w:t>la aplicación de las fórmulas del Capítulo 12</w:t>
      </w:r>
      <w:r w:rsidRPr="00D83BF7">
        <w:t xml:space="preserve"> la Resolución CREG 015 de 2018 (CTER=ER*M*D*)</w:t>
      </w:r>
      <w:r>
        <w:t xml:space="preserve"> deben considerar </w:t>
      </w:r>
      <w:r w:rsidR="00177040">
        <w:t>los</w:t>
      </w:r>
      <w:r w:rsidR="008801D1">
        <w:t xml:space="preserve"> límites </w:t>
      </w:r>
      <w:r w:rsidR="009E1EAA">
        <w:t>al</w:t>
      </w:r>
      <w:r>
        <w:t xml:space="preserve"> factor de potencia definidos en la presente resolución.</w:t>
      </w:r>
    </w:p>
    <w:p w14:paraId="197D73F6" w14:textId="0753643A" w:rsidR="00563BDF" w:rsidRDefault="00563BDF" w:rsidP="00F63116">
      <w:pPr>
        <w:ind w:left="284" w:hanging="284"/>
      </w:pPr>
      <w:proofErr w:type="spellStart"/>
      <w:r>
        <w:t>iii</w:t>
      </w:r>
      <w:proofErr w:type="spellEnd"/>
      <w:r>
        <w:t>)</w:t>
      </w:r>
      <w:r w:rsidR="00F63116">
        <w:tab/>
      </w:r>
      <w:r>
        <w:t xml:space="preserve">Cuando un usuario se encuentre en una situación de </w:t>
      </w:r>
      <w:r w:rsidR="00AA40AA">
        <w:t>transporte</w:t>
      </w:r>
      <w:r>
        <w:t xml:space="preserve"> en exceso de energía reactiva capacitiva o de energía </w:t>
      </w:r>
      <w:r w:rsidR="00AA40AA">
        <w:t xml:space="preserve">reactiva </w:t>
      </w:r>
      <w:r>
        <w:t xml:space="preserve">inductiva una vez entre en vigencia la aplicación de </w:t>
      </w:r>
      <w:r w:rsidR="00930432">
        <w:t>esta</w:t>
      </w:r>
      <w:r>
        <w:t xml:space="preserve"> norma, pero e</w:t>
      </w:r>
      <w:r w:rsidR="00930432">
        <w:t xml:space="preserve">l usuario </w:t>
      </w:r>
      <w:r>
        <w:t xml:space="preserve">ya se encuentre en el décimo tercer mes de transporte de energía reactiva con la misma condición, se debe dar aplicación a las disposiciones regulatorias previamente establecidas a la presente resolución en relación con la variable M (i.e. entendiendo que esto corresponde a una situación ya consolidada antes de la entrada en vigencia de la resolución), pero </w:t>
      </w:r>
      <w:r w:rsidRPr="00D83BF7">
        <w:t>la aplicación de las fórmulas del Capítulo 12</w:t>
      </w:r>
      <w:r>
        <w:t xml:space="preserve"> de la Resolución CREG 015 de </w:t>
      </w:r>
      <w:r w:rsidR="00B818D8">
        <w:t>2</w:t>
      </w:r>
      <w:r>
        <w:t>018</w:t>
      </w:r>
      <w:r w:rsidRPr="00D83BF7">
        <w:t xml:space="preserve"> deben considerar </w:t>
      </w:r>
      <w:r w:rsidR="008801D1">
        <w:t>los límites al</w:t>
      </w:r>
      <w:r w:rsidRPr="00D83BF7">
        <w:t xml:space="preserve"> factor de potencia definido</w:t>
      </w:r>
      <w:r w:rsidR="008801D1">
        <w:t>s</w:t>
      </w:r>
      <w:r w:rsidRPr="00D83BF7">
        <w:t xml:space="preserve"> en la presente resolución</w:t>
      </w:r>
      <w:r>
        <w:t>.</w:t>
      </w:r>
    </w:p>
    <w:p w14:paraId="7CD66CBF" w14:textId="1AFBA21C" w:rsidR="00563BDF" w:rsidRDefault="00563BDF" w:rsidP="002D280A">
      <w:pPr>
        <w:ind w:left="284" w:hanging="284"/>
      </w:pPr>
      <w:proofErr w:type="spellStart"/>
      <w:r>
        <w:t>iv</w:t>
      </w:r>
      <w:proofErr w:type="spellEnd"/>
      <w:r>
        <w:t>)</w:t>
      </w:r>
      <w:r w:rsidRPr="00D83BF7">
        <w:t xml:space="preserve"> Cuando un usuario se encuentre en una situación </w:t>
      </w:r>
      <w:r>
        <w:t>donde el</w:t>
      </w:r>
      <w:r w:rsidRPr="00D83BF7">
        <w:t xml:space="preserve"> </w:t>
      </w:r>
      <w:r w:rsidR="00317A70">
        <w:t>transporte</w:t>
      </w:r>
      <w:r w:rsidRPr="00D83BF7">
        <w:t xml:space="preserve"> en exceso de energía reactiva capacitiva o de energía </w:t>
      </w:r>
      <w:r w:rsidR="00317A70">
        <w:t xml:space="preserve">reactiva </w:t>
      </w:r>
      <w:r w:rsidRPr="00D83BF7">
        <w:t>inductiva</w:t>
      </w:r>
      <w:r>
        <w:t xml:space="preserve"> desaparece </w:t>
      </w:r>
      <w:r w:rsidRPr="00D83BF7">
        <w:t>durante más de tres meses consecutivos, la variable M reiniciará a partir de 1,</w:t>
      </w:r>
      <w:r>
        <w:t xml:space="preserve"> por lo que dicho usuario se ubica en los escenarios de los literales i y </w:t>
      </w:r>
      <w:proofErr w:type="spellStart"/>
      <w:r>
        <w:t>ii</w:t>
      </w:r>
      <w:proofErr w:type="spellEnd"/>
      <w:r>
        <w:t xml:space="preserve"> anteriores; en caso </w:t>
      </w:r>
      <w:r w:rsidRPr="00D83BF7">
        <w:t xml:space="preserve">contrario, </w:t>
      </w:r>
      <w:r>
        <w:t xml:space="preserve">se mantendrá en el escenario del literal </w:t>
      </w:r>
      <w:proofErr w:type="spellStart"/>
      <w:r>
        <w:t>iii</w:t>
      </w:r>
      <w:proofErr w:type="spellEnd"/>
      <w:r>
        <w:t>.</w:t>
      </w:r>
    </w:p>
    <w:p w14:paraId="4C73BC61" w14:textId="0C384E8F" w:rsidR="00F14EB7" w:rsidRDefault="00563BDF" w:rsidP="008D41DE">
      <w:r>
        <w:t>La siguiente gráfica evidencia los eventos anteriormente expuestos:</w:t>
      </w:r>
    </w:p>
    <w:p w14:paraId="2BA51E12" w14:textId="77777777" w:rsidR="00C547A3" w:rsidRDefault="00BF6766" w:rsidP="00C547A3">
      <w:pPr>
        <w:keepNext/>
        <w:jc w:val="center"/>
      </w:pPr>
      <w:r w:rsidRPr="00BF6766">
        <w:rPr>
          <w:noProof/>
        </w:rPr>
        <w:lastRenderedPageBreak/>
        <w:drawing>
          <wp:inline distT="0" distB="0" distL="0" distR="0" wp14:anchorId="6F678F1B" wp14:editId="48293F12">
            <wp:extent cx="3926597" cy="1948053"/>
            <wp:effectExtent l="0" t="0" r="0" b="0"/>
            <wp:docPr id="618910898" name="Graphic 618910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910898" name="Graphic 618910898"/>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3926597" cy="1948053"/>
                    </a:xfrm>
                    <a:prstGeom prst="rect">
                      <a:avLst/>
                    </a:prstGeom>
                  </pic:spPr>
                </pic:pic>
              </a:graphicData>
            </a:graphic>
          </wp:inline>
        </w:drawing>
      </w:r>
    </w:p>
    <w:p w14:paraId="7066DF6A" w14:textId="05E9643F" w:rsidR="0096445A" w:rsidRPr="0096445A" w:rsidRDefault="00C547A3" w:rsidP="008D41DE">
      <w:pPr>
        <w:pStyle w:val="Descripcin"/>
      </w:pPr>
      <w:r>
        <w:t xml:space="preserve">Figura </w:t>
      </w:r>
      <w:r>
        <w:fldChar w:fldCharType="begin"/>
      </w:r>
      <w:r>
        <w:instrText>SEQ Figura \* ARABIC</w:instrText>
      </w:r>
      <w:r>
        <w:fldChar w:fldCharType="separate"/>
      </w:r>
      <w:r w:rsidR="00DC6708">
        <w:rPr>
          <w:noProof/>
        </w:rPr>
        <w:t>7</w:t>
      </w:r>
      <w:r>
        <w:fldChar w:fldCharType="end"/>
      </w:r>
      <w:r>
        <w:rPr>
          <w:noProof/>
        </w:rPr>
        <w:t xml:space="preserve"> Comportamiento del factor M cuando un usuario presenta transportes en exceso (curva gris) y cuando los transportes en exceso dejan de presentarse (curva roja)</w:t>
      </w:r>
    </w:p>
    <w:p w14:paraId="37DE37B4" w14:textId="60F0D853" w:rsidR="00F8653F" w:rsidRDefault="00F8653F" w:rsidP="00F8653F">
      <w:r>
        <w:t>De cualquier forma, es claro que el denominador común en todas las situaciones es que la aplicación de las fórmulas establecidas en la Resolución CREG 015 de 2018 est</w:t>
      </w:r>
      <w:r w:rsidR="00D66153">
        <w:t>á</w:t>
      </w:r>
      <w:r>
        <w:t xml:space="preserve">n sujetas a los estándares de factor de potencia </w:t>
      </w:r>
      <w:r w:rsidR="00D66153">
        <w:t>establecidos en esta resolución.</w:t>
      </w:r>
    </w:p>
    <w:p w14:paraId="1E37371C" w14:textId="26C5D3E2" w:rsidR="0080794E" w:rsidRDefault="009F053C" w:rsidP="00945939">
      <w:pPr>
        <w:pStyle w:val="Ttulo3"/>
      </w:pPr>
      <w:bookmarkStart w:id="32" w:name="_Toc147226420"/>
      <w:bookmarkStart w:id="33" w:name="_Toc157689793"/>
      <w:bookmarkEnd w:id="32"/>
      <w:r>
        <w:t>Corrección del factor de potencia</w:t>
      </w:r>
      <w:bookmarkEnd w:id="33"/>
    </w:p>
    <w:p w14:paraId="2AAB0643" w14:textId="4BFCF919" w:rsidR="009F053C" w:rsidRDefault="00CC41A2" w:rsidP="009F053C">
      <w:r>
        <w:t>En relación con algunos comentarios recibidos sobre la redacción utilizada en el numeral 4.2.</w:t>
      </w:r>
      <w:r w:rsidR="00E046DA">
        <w:t>4</w:t>
      </w:r>
      <w:r w:rsidR="00F27746">
        <w:t xml:space="preserve"> donde se menciona </w:t>
      </w:r>
      <w:r w:rsidR="00762354">
        <w:t xml:space="preserve">la aprobación por parte de los OR </w:t>
      </w:r>
      <w:r w:rsidR="00065229">
        <w:t xml:space="preserve">de </w:t>
      </w:r>
      <w:r w:rsidR="00F9282A">
        <w:t xml:space="preserve">condensadores o reactores utilizados para mejorar el factor de potencia y teniendo en cuenta </w:t>
      </w:r>
      <w:r w:rsidR="00EB10B6">
        <w:t>el efecto de otros fenómenos como la distorsión armónica</w:t>
      </w:r>
      <w:r w:rsidR="001D5BB6">
        <w:t xml:space="preserve"> en dicho factor</w:t>
      </w:r>
      <w:r w:rsidR="00BB7898">
        <w:t xml:space="preserve">, </w:t>
      </w:r>
      <w:r w:rsidR="00F9282A">
        <w:t xml:space="preserve">de acuerdo </w:t>
      </w:r>
      <w:r w:rsidR="0076577C">
        <w:t>con</w:t>
      </w:r>
      <w:r w:rsidR="00F9282A">
        <w:t xml:space="preserve"> lo señalado en el numeral </w:t>
      </w:r>
      <w:r w:rsidR="00F9282A">
        <w:fldChar w:fldCharType="begin"/>
      </w:r>
      <w:r w:rsidR="00F9282A">
        <w:instrText xml:space="preserve"> REF _Ref147169930 \r \h </w:instrText>
      </w:r>
      <w:r w:rsidR="00F9282A">
        <w:fldChar w:fldCharType="separate"/>
      </w:r>
      <w:r w:rsidR="00DC6708">
        <w:t>8.1</w:t>
      </w:r>
      <w:r w:rsidR="00F9282A">
        <w:fldChar w:fldCharType="end"/>
      </w:r>
      <w:r w:rsidR="009F068F">
        <w:t>, se considera apropiado ajustar</w:t>
      </w:r>
      <w:r w:rsidR="00840A84">
        <w:t xml:space="preserve"> las responsabilidades y el alcance de la revisión de los OR, </w:t>
      </w:r>
      <w:r w:rsidR="009D747A">
        <w:t xml:space="preserve">dada su responsabilidad por la operación </w:t>
      </w:r>
      <w:r w:rsidR="00011BFE">
        <w:t xml:space="preserve">con </w:t>
      </w:r>
      <w:r w:rsidR="00F26B79">
        <w:t xml:space="preserve">estándares de </w:t>
      </w:r>
      <w:r w:rsidR="000468CF">
        <w:t xml:space="preserve">calidad y confiabilidad </w:t>
      </w:r>
      <w:r w:rsidR="00011BFE">
        <w:t>de</w:t>
      </w:r>
      <w:r w:rsidR="00C9767A">
        <w:t xml:space="preserve"> su</w:t>
      </w:r>
      <w:r w:rsidR="00011BFE">
        <w:t xml:space="preserve"> sistema.</w:t>
      </w:r>
    </w:p>
    <w:p w14:paraId="049D26B3" w14:textId="18084C03" w:rsidR="00840A84" w:rsidRDefault="00C9767A" w:rsidP="008D41DE">
      <w:r>
        <w:t>Así, c</w:t>
      </w:r>
      <w:r w:rsidR="000468CF" w:rsidRPr="00E650E6">
        <w:t xml:space="preserve">uando las características del equipo que conectará un </w:t>
      </w:r>
      <w:r>
        <w:t>u</w:t>
      </w:r>
      <w:r w:rsidR="000468CF" w:rsidRPr="00E650E6">
        <w:t>suario lo ameriten, éste deberá suministrar al OR la información pertinente. Debido a que la conexión de bancos de condensadores</w:t>
      </w:r>
      <w:r w:rsidR="000468CF">
        <w:t>,</w:t>
      </w:r>
      <w:r w:rsidR="000468CF" w:rsidRPr="00E650E6">
        <w:t xml:space="preserve"> reactores</w:t>
      </w:r>
      <w:r w:rsidR="000468CF">
        <w:t xml:space="preserve">, filtros de armónicos y demás dispositivos que puedan ser utilizados para mejorar el factor de potencia </w:t>
      </w:r>
      <w:r w:rsidR="000468CF" w:rsidRPr="00E650E6">
        <w:t xml:space="preserve">conectados en los niveles de tensión II, III y IV puede afectar la operación del STR y/o SDL, estas conexiones deberán ser aprobadas por los OR, a quienes se deberán suministrar las características técnicas de </w:t>
      </w:r>
      <w:r w:rsidR="000468CF">
        <w:t>los dispositivos</w:t>
      </w:r>
      <w:r w:rsidR="000468CF" w:rsidRPr="00E650E6">
        <w:t xml:space="preserve"> </w:t>
      </w:r>
      <w:r w:rsidR="000468CF">
        <w:t>a conectar</w:t>
      </w:r>
      <w:r w:rsidR="000468CF" w:rsidRPr="00E650E6">
        <w:t xml:space="preserve">. Cuando el OR lo requiera, se le deberán también suministrar las características técnicas de las </w:t>
      </w:r>
      <w:r w:rsidR="000468CF">
        <w:t>instalaciones internas</w:t>
      </w:r>
      <w:r w:rsidR="000468CF" w:rsidRPr="00E650E6">
        <w:t xml:space="preserve"> del </w:t>
      </w:r>
      <w:r w:rsidR="00FE4764">
        <w:t>u</w:t>
      </w:r>
      <w:r w:rsidR="000468CF" w:rsidRPr="00E650E6">
        <w:t>suario</w:t>
      </w:r>
      <w:r w:rsidR="00EC4A6C">
        <w:t xml:space="preserve"> para</w:t>
      </w:r>
      <w:r w:rsidR="006C6EBF">
        <w:t xml:space="preserve"> realizar los análisis que considere con el fin de garantizar la </w:t>
      </w:r>
      <w:r w:rsidR="0002477C">
        <w:t xml:space="preserve">correcta </w:t>
      </w:r>
      <w:r w:rsidR="006C6EBF">
        <w:t xml:space="preserve">operación </w:t>
      </w:r>
      <w:r w:rsidR="0002477C">
        <w:t>del STR y/o SDL</w:t>
      </w:r>
      <w:r w:rsidR="000468CF" w:rsidRPr="00E650E6">
        <w:t>.</w:t>
      </w:r>
    </w:p>
    <w:p w14:paraId="358113EE" w14:textId="6DA6F28B" w:rsidR="00C12C8A" w:rsidRDefault="00C12C8A" w:rsidP="00C12C8A">
      <w:pPr>
        <w:pStyle w:val="Ttulo3"/>
      </w:pPr>
      <w:bookmarkStart w:id="34" w:name="_Toc157689794"/>
      <w:r>
        <w:t>Comentarios al análisis numérico</w:t>
      </w:r>
      <w:bookmarkEnd w:id="34"/>
    </w:p>
    <w:p w14:paraId="3A73A623" w14:textId="1AA94F01" w:rsidR="0054560B" w:rsidRDefault="00C12C8A" w:rsidP="008D41DE">
      <w:r>
        <w:t xml:space="preserve">En relación con </w:t>
      </w:r>
      <w:r w:rsidR="001B1A1C">
        <w:t xml:space="preserve">las estadísticas presentadas en el </w:t>
      </w:r>
      <w:r w:rsidR="00957DD1">
        <w:t>numeral</w:t>
      </w:r>
      <w:r w:rsidR="001B1A1C">
        <w:t xml:space="preserve"> </w:t>
      </w:r>
      <w:r w:rsidR="001B1A1C">
        <w:fldChar w:fldCharType="begin"/>
      </w:r>
      <w:r w:rsidR="001B1A1C">
        <w:instrText xml:space="preserve"> REF _Ref142061868 \r \h </w:instrText>
      </w:r>
      <w:r w:rsidR="001B1A1C">
        <w:fldChar w:fldCharType="separate"/>
      </w:r>
      <w:r w:rsidR="00DC6708">
        <w:t>11.1</w:t>
      </w:r>
      <w:r w:rsidR="001B1A1C">
        <w:fldChar w:fldCharType="end"/>
      </w:r>
      <w:r w:rsidR="00957DD1">
        <w:t xml:space="preserve"> del documento soporte d</w:t>
      </w:r>
      <w:r w:rsidR="00F36F71">
        <w:t xml:space="preserve">el proyecto de consulta 701 017 de 2023, </w:t>
      </w:r>
      <w:r w:rsidR="001B1A1C">
        <w:t>calcula</w:t>
      </w:r>
      <w:r w:rsidR="00F36F71">
        <w:t>dos</w:t>
      </w:r>
      <w:r w:rsidR="001B1A1C">
        <w:t xml:space="preserve"> </w:t>
      </w:r>
      <w:r w:rsidR="00FD08F7">
        <w:t xml:space="preserve">con base en la información disponible en el SUI, se recibieron comentarios de </w:t>
      </w:r>
      <w:r w:rsidR="008C6E70">
        <w:t>algunos operadores de red</w:t>
      </w:r>
      <w:r w:rsidR="00FD08F7">
        <w:t xml:space="preserve"> manifestando </w:t>
      </w:r>
      <w:r w:rsidR="001734CB">
        <w:t xml:space="preserve">que los valores máximos de transporte de reactiva encontrados </w:t>
      </w:r>
      <w:r w:rsidR="004D49FD">
        <w:t>por la Comisión no corresponden con los registros propios</w:t>
      </w:r>
      <w:r w:rsidR="0054560B">
        <w:t>, sino que los valores máximos fueron menores a los presentados en el anexo.</w:t>
      </w:r>
    </w:p>
    <w:p w14:paraId="14E33F10" w14:textId="51D6C00C" w:rsidR="0087016B" w:rsidRDefault="0054560B" w:rsidP="0087016B">
      <w:pPr>
        <w:pStyle w:val="Ttulo3"/>
      </w:pPr>
      <w:r>
        <w:t xml:space="preserve">En este sentido, </w:t>
      </w:r>
      <w:r w:rsidR="00051C2C">
        <w:t>se aclara que para los análisis realizados se realizó un filtrado de valores atípicos</w:t>
      </w:r>
      <w:r w:rsidR="008743D0">
        <w:t>, por lo que estas diferencias</w:t>
      </w:r>
      <w:r w:rsidR="009626D9">
        <w:t xml:space="preserve"> pueden estar dentro de lo </w:t>
      </w:r>
      <w:r w:rsidR="009626D9">
        <w:lastRenderedPageBreak/>
        <w:t>esperado</w:t>
      </w:r>
      <w:r w:rsidR="004355CD">
        <w:t xml:space="preserve"> dadas las distintas fuentes de información consultadas, pero</w:t>
      </w:r>
      <w:r w:rsidR="008743D0">
        <w:t xml:space="preserve"> no afectan las conclusiones presentadas</w:t>
      </w:r>
      <w:r w:rsidR="005A2D46">
        <w:t>.</w:t>
      </w:r>
      <w:r w:rsidR="00B23E89">
        <w:t xml:space="preserve"> </w:t>
      </w:r>
      <w:bookmarkStart w:id="35" w:name="_Toc157689795"/>
      <w:r w:rsidR="0087016B">
        <w:t>Solicitud de concepto al CNO</w:t>
      </w:r>
      <w:bookmarkEnd w:id="35"/>
    </w:p>
    <w:p w14:paraId="43A5837B" w14:textId="0D2C45F3" w:rsidR="00826981" w:rsidRPr="00EC3E05" w:rsidRDefault="004D445A" w:rsidP="00826981">
      <w:r w:rsidRPr="00EC3E05">
        <w:rPr>
          <w:lang w:val="es-MX"/>
        </w:rPr>
        <w:t>E</w:t>
      </w:r>
      <w:r w:rsidR="00826981" w:rsidRPr="00EC3E05">
        <w:rPr>
          <w:lang w:val="es-MX"/>
        </w:rPr>
        <w:t xml:space="preserve">l concepto </w:t>
      </w:r>
      <w:r w:rsidRPr="00EC3E05">
        <w:rPr>
          <w:lang w:val="es-MX"/>
        </w:rPr>
        <w:t xml:space="preserve">enviado por </w:t>
      </w:r>
      <w:r w:rsidR="0087016B" w:rsidRPr="00EC3E05">
        <w:rPr>
          <w:lang w:val="es-MX"/>
        </w:rPr>
        <w:t xml:space="preserve">el </w:t>
      </w:r>
      <w:r w:rsidR="00826981" w:rsidRPr="00EC3E05">
        <w:rPr>
          <w:lang w:val="es-MX"/>
        </w:rPr>
        <w:t xml:space="preserve">CNO </w:t>
      </w:r>
      <w:r w:rsidR="00B04C36" w:rsidRPr="00EC3E05">
        <w:rPr>
          <w:lang w:val="es-MX"/>
        </w:rPr>
        <w:t>incluy</w:t>
      </w:r>
      <w:r w:rsidR="00CB1DE6" w:rsidRPr="00EC3E05">
        <w:rPr>
          <w:lang w:val="es-MX"/>
        </w:rPr>
        <w:t>e</w:t>
      </w:r>
      <w:r w:rsidR="00826981" w:rsidRPr="00EC3E05">
        <w:rPr>
          <w:lang w:val="es-MX"/>
        </w:rPr>
        <w:t xml:space="preserve"> los siguientes </w:t>
      </w:r>
      <w:r w:rsidR="00B04C36" w:rsidRPr="00EC3E05">
        <w:rPr>
          <w:lang w:val="es-MX"/>
        </w:rPr>
        <w:t>temas</w:t>
      </w:r>
      <w:r w:rsidR="00826981" w:rsidRPr="00EC3E05">
        <w:rPr>
          <w:lang w:val="es-MX"/>
        </w:rPr>
        <w:t>:</w:t>
      </w:r>
    </w:p>
    <w:p w14:paraId="3FB1E4FE" w14:textId="71038088" w:rsidR="00826981" w:rsidRPr="00EC3E05" w:rsidRDefault="00E0210A" w:rsidP="00826981">
      <w:pPr>
        <w:numPr>
          <w:ilvl w:val="0"/>
          <w:numId w:val="12"/>
        </w:numPr>
      </w:pPr>
      <w:r w:rsidRPr="00EC3E05">
        <w:rPr>
          <w:lang w:val="es-ES"/>
        </w:rPr>
        <w:t>Se r</w:t>
      </w:r>
      <w:r w:rsidR="00826981" w:rsidRPr="00EC3E05">
        <w:rPr>
          <w:lang w:val="es-ES"/>
        </w:rPr>
        <w:t>ecomienda no permitir la inyección de potencia capacitiva a la red de nivel de tensión 4 por parte de los usuarios, sin la autorización y aprobación de los Operadores de Red y el CND</w:t>
      </w:r>
      <w:r w:rsidRPr="00EC3E05">
        <w:rPr>
          <w:lang w:val="es-ES"/>
        </w:rPr>
        <w:t xml:space="preserve"> dado que esto podría desestabilizar el sistema</w:t>
      </w:r>
      <w:r w:rsidR="00826981" w:rsidRPr="00EC3E05">
        <w:rPr>
          <w:lang w:val="es-ES"/>
        </w:rPr>
        <w:t xml:space="preserve">. </w:t>
      </w:r>
      <w:r w:rsidR="0087016B" w:rsidRPr="00EC3E05">
        <w:rPr>
          <w:lang w:val="es-ES"/>
        </w:rPr>
        <w:t>Al respecto</w:t>
      </w:r>
      <w:r w:rsidR="00826981" w:rsidRPr="00EC3E05">
        <w:rPr>
          <w:lang w:val="es-ES"/>
        </w:rPr>
        <w:t xml:space="preserve">, </w:t>
      </w:r>
      <w:r w:rsidRPr="00EC3E05">
        <w:rPr>
          <w:lang w:val="es-ES"/>
        </w:rPr>
        <w:t xml:space="preserve">se </w:t>
      </w:r>
      <w:r w:rsidR="00E56538" w:rsidRPr="00EC3E05">
        <w:rPr>
          <w:lang w:val="es-ES"/>
        </w:rPr>
        <w:t xml:space="preserve">aportaron </w:t>
      </w:r>
      <w:r w:rsidR="00826981" w:rsidRPr="00EC3E05">
        <w:rPr>
          <w:lang w:val="es-ES"/>
        </w:rPr>
        <w:t>simulaciones</w:t>
      </w:r>
      <w:r w:rsidR="00EC3E05" w:rsidRPr="00EC3E05">
        <w:rPr>
          <w:lang w:val="es-ES"/>
        </w:rPr>
        <w:t xml:space="preserve"> de cargas con factores de potencia igual a 0,95</w:t>
      </w:r>
      <w:r w:rsidR="00E56538" w:rsidRPr="00EC3E05">
        <w:rPr>
          <w:lang w:val="es-ES"/>
        </w:rPr>
        <w:t xml:space="preserve"> para </w:t>
      </w:r>
      <w:r w:rsidRPr="00EC3E05">
        <w:rPr>
          <w:lang w:val="es-ES"/>
        </w:rPr>
        <w:t>sustentar esta afirmación</w:t>
      </w:r>
      <w:r w:rsidR="00826981" w:rsidRPr="00EC3E05">
        <w:rPr>
          <w:lang w:val="es-ES"/>
        </w:rPr>
        <w:t>.</w:t>
      </w:r>
    </w:p>
    <w:p w14:paraId="325AF49A" w14:textId="2FB9EB78" w:rsidR="00347D9C" w:rsidRPr="00134CA1" w:rsidRDefault="00EC3E05" w:rsidP="00347D9C">
      <w:pPr>
        <w:numPr>
          <w:ilvl w:val="0"/>
          <w:numId w:val="12"/>
        </w:numPr>
        <w:rPr>
          <w:lang w:val="es-ES"/>
        </w:rPr>
      </w:pPr>
      <w:r>
        <w:rPr>
          <w:lang w:val="es-ES"/>
        </w:rPr>
        <w:t>Se s</w:t>
      </w:r>
      <w:r w:rsidR="00347D9C" w:rsidRPr="00347D9C">
        <w:rPr>
          <w:lang w:val="es-ES"/>
        </w:rPr>
        <w:t xml:space="preserve">ugiere estudiar la posibilidad </w:t>
      </w:r>
      <w:r w:rsidR="006E37CC">
        <w:rPr>
          <w:lang w:val="es-ES"/>
        </w:rPr>
        <w:t xml:space="preserve">de </w:t>
      </w:r>
      <w:r w:rsidR="00347D9C" w:rsidRPr="00347D9C">
        <w:rPr>
          <w:lang w:val="es-ES"/>
        </w:rPr>
        <w:t xml:space="preserve">que el factor de potencia capacitivo para los usuarios residenciales y comerciales sea igual o superior a 0.9. Asimismo, analizar si para los usuarios industriales con cargas mayores a 1 MVA, independientemente del nivel de tensión, su factor de potencia deba ser mayor o igual a 0.95. </w:t>
      </w:r>
      <w:r w:rsidR="004E5133">
        <w:rPr>
          <w:lang w:val="es-ES"/>
        </w:rPr>
        <w:t>Se enfatiza</w:t>
      </w:r>
      <w:r w:rsidR="00347D9C" w:rsidRPr="00347D9C">
        <w:rPr>
          <w:lang w:val="es-ES"/>
        </w:rPr>
        <w:t xml:space="preserve"> que </w:t>
      </w:r>
      <w:r w:rsidR="00347D9C" w:rsidRPr="00134CA1">
        <w:rPr>
          <w:lang w:val="es-ES"/>
        </w:rPr>
        <w:t xml:space="preserve">para cualquier usuario </w:t>
      </w:r>
      <w:r w:rsidR="004E5133" w:rsidRPr="00134CA1">
        <w:rPr>
          <w:lang w:val="es-ES"/>
        </w:rPr>
        <w:t>conectado al</w:t>
      </w:r>
      <w:r w:rsidR="00347D9C" w:rsidRPr="00134CA1">
        <w:rPr>
          <w:lang w:val="es-ES"/>
        </w:rPr>
        <w:t xml:space="preserve"> STR su factor de potencia debería ser igual a 1.</w:t>
      </w:r>
    </w:p>
    <w:p w14:paraId="53806374" w14:textId="62CC437A" w:rsidR="00347D9C" w:rsidRPr="00347D9C" w:rsidRDefault="00347D9C" w:rsidP="00347D9C">
      <w:pPr>
        <w:ind w:left="720"/>
        <w:rPr>
          <w:lang w:val="es-ES"/>
        </w:rPr>
      </w:pPr>
      <w:r w:rsidRPr="00134CA1">
        <w:rPr>
          <w:lang w:val="es-ES"/>
        </w:rPr>
        <w:t xml:space="preserve">No obstante, la consideración de usuarios industriales no se menciona en las conclusiones. De igual manera, </w:t>
      </w:r>
      <w:r w:rsidR="00827057" w:rsidRPr="00134CA1">
        <w:rPr>
          <w:lang w:val="es-ES"/>
        </w:rPr>
        <w:t>los</w:t>
      </w:r>
      <w:r w:rsidRPr="00134CA1">
        <w:rPr>
          <w:lang w:val="es-ES"/>
        </w:rPr>
        <w:t xml:space="preserve"> soportes </w:t>
      </w:r>
      <w:r w:rsidR="00827057" w:rsidRPr="00134CA1">
        <w:rPr>
          <w:lang w:val="es-ES"/>
        </w:rPr>
        <w:t xml:space="preserve">aportados </w:t>
      </w:r>
      <w:r w:rsidR="002E1C8F" w:rsidRPr="00134CA1">
        <w:rPr>
          <w:lang w:val="es-ES"/>
        </w:rPr>
        <w:t xml:space="preserve">respaldan la sugerencia de mantener el factor de potencia en 1 para usuarios conectados al </w:t>
      </w:r>
      <w:proofErr w:type="gramStart"/>
      <w:r w:rsidR="002E1C8F" w:rsidRPr="00134CA1">
        <w:rPr>
          <w:lang w:val="es-ES"/>
        </w:rPr>
        <w:t>STR</w:t>
      </w:r>
      <w:proofErr w:type="gramEnd"/>
      <w:r w:rsidR="002E1C8F" w:rsidRPr="00134CA1">
        <w:rPr>
          <w:lang w:val="es-ES"/>
        </w:rPr>
        <w:t xml:space="preserve"> pero no </w:t>
      </w:r>
      <w:r w:rsidR="00E95FA7" w:rsidRPr="00C6120D">
        <w:rPr>
          <w:lang w:val="es-ES"/>
        </w:rPr>
        <w:t xml:space="preserve">mencionan la clasificación de usuarios </w:t>
      </w:r>
      <w:r w:rsidR="0098009F" w:rsidRPr="00C6120D">
        <w:rPr>
          <w:lang w:val="es-ES"/>
        </w:rPr>
        <w:t>por tipo de uso de la energía (residenciales, comerciales, industriales)</w:t>
      </w:r>
      <w:r w:rsidRPr="00C6120D">
        <w:rPr>
          <w:lang w:val="es-ES"/>
        </w:rPr>
        <w:t xml:space="preserve"> por lo que </w:t>
      </w:r>
      <w:r w:rsidR="003817BF" w:rsidRPr="00C6120D">
        <w:rPr>
          <w:lang w:val="es-ES"/>
        </w:rPr>
        <w:t>no se conoce</w:t>
      </w:r>
      <w:r w:rsidRPr="00C6120D">
        <w:rPr>
          <w:lang w:val="es-ES"/>
        </w:rPr>
        <w:t xml:space="preserve"> el impacto de </w:t>
      </w:r>
      <w:r w:rsidR="00C6120D" w:rsidRPr="00C6120D">
        <w:rPr>
          <w:lang w:val="es-ES"/>
        </w:rPr>
        <w:t>esta</w:t>
      </w:r>
      <w:r w:rsidRPr="00C6120D">
        <w:rPr>
          <w:lang w:val="es-ES"/>
        </w:rPr>
        <w:t xml:space="preserve"> sugerencia.</w:t>
      </w:r>
    </w:p>
    <w:p w14:paraId="5268453B" w14:textId="0741B6D0" w:rsidR="001D0E4C" w:rsidRPr="0073322F" w:rsidRDefault="00095DDB" w:rsidP="00095DDB">
      <w:pPr>
        <w:numPr>
          <w:ilvl w:val="0"/>
          <w:numId w:val="12"/>
        </w:numPr>
      </w:pPr>
      <w:r>
        <w:rPr>
          <w:lang w:val="es-ES"/>
        </w:rPr>
        <w:t xml:space="preserve">Manifiestan que </w:t>
      </w:r>
      <w:r w:rsidR="00D62F1D">
        <w:rPr>
          <w:lang w:val="es-ES"/>
        </w:rPr>
        <w:t>s</w:t>
      </w:r>
      <w:r w:rsidR="00826981" w:rsidRPr="00095DDB">
        <w:rPr>
          <w:lang w:val="es-ES"/>
        </w:rPr>
        <w:t>e está presentando un fenómeno no deseado para el correcto funcionamiento de la red eléctrica y la calidad del servicio, pues algunos usuarios con consumos de energía reactiva importante están solicitando ser AGPE, con el único propósito de quedar exonerados del cobro de esa energía en exceso</w:t>
      </w:r>
      <w:r w:rsidR="000B0B23">
        <w:rPr>
          <w:lang w:val="es-ES"/>
        </w:rPr>
        <w:t>.</w:t>
      </w:r>
      <w:r w:rsidR="00F92031">
        <w:rPr>
          <w:lang w:val="es-ES"/>
        </w:rPr>
        <w:t xml:space="preserve"> Este tema se considera que debe ser abordado como parte de los análisis que debe realizar el Ministerio de Minas y Energía respecto de la expedición del decreto asociado con el tema.</w:t>
      </w:r>
    </w:p>
    <w:p w14:paraId="4BE2B66C" w14:textId="76107876" w:rsidR="006471D9" w:rsidRDefault="006471D9" w:rsidP="006471D9">
      <w:pPr>
        <w:pStyle w:val="Ttulo2"/>
      </w:pPr>
      <w:bookmarkStart w:id="36" w:name="_Toc157689796"/>
      <w:r>
        <w:t xml:space="preserve">Análisis de </w:t>
      </w:r>
      <w:r w:rsidR="00F015A8">
        <w:t>factor de potencia para usuarios en nivel de tensión 4</w:t>
      </w:r>
      <w:bookmarkEnd w:id="36"/>
    </w:p>
    <w:p w14:paraId="7E831EBE" w14:textId="69E05E5B" w:rsidR="00DD4C3E" w:rsidRDefault="00A51EF7" w:rsidP="00D174C4">
      <w:pPr>
        <w:rPr>
          <w:lang w:val="es-ES"/>
        </w:rPr>
      </w:pPr>
      <w:r>
        <w:rPr>
          <w:lang w:val="es-ES"/>
        </w:rPr>
        <w:t>Sobre</w:t>
      </w:r>
      <w:r w:rsidR="00802C8E">
        <w:rPr>
          <w:lang w:val="es-ES"/>
        </w:rPr>
        <w:t xml:space="preserve"> la sugerencia de no permitir la inyección de energía reactiva capacitiva en nivel de tensión 4, se aportaron </w:t>
      </w:r>
      <w:r w:rsidR="002E76A9">
        <w:rPr>
          <w:lang w:val="es-ES"/>
        </w:rPr>
        <w:t xml:space="preserve">algunas simulaciones realizadas por integrantes del CNO, en las que </w:t>
      </w:r>
      <w:r w:rsidR="009E0575">
        <w:rPr>
          <w:lang w:val="es-ES"/>
        </w:rPr>
        <w:t>se evidencia</w:t>
      </w:r>
      <w:r w:rsidR="00726609">
        <w:rPr>
          <w:lang w:val="es-ES"/>
        </w:rPr>
        <w:t>ron</w:t>
      </w:r>
      <w:r w:rsidR="00DD4C3E">
        <w:rPr>
          <w:lang w:val="es-ES"/>
        </w:rPr>
        <w:t>:</w:t>
      </w:r>
    </w:p>
    <w:p w14:paraId="02177271" w14:textId="08962A0E" w:rsidR="00DD4C3E" w:rsidRPr="00DD4C3E" w:rsidRDefault="00DD4C3E" w:rsidP="0073322F">
      <w:pPr>
        <w:pStyle w:val="Prrafodelista"/>
        <w:numPr>
          <w:ilvl w:val="0"/>
          <w:numId w:val="15"/>
        </w:numPr>
        <w:ind w:left="567" w:hanging="425"/>
        <w:rPr>
          <w:lang w:val="es-ES"/>
        </w:rPr>
      </w:pPr>
      <w:r>
        <w:rPr>
          <w:lang w:val="es-ES"/>
        </w:rPr>
        <w:t>C</w:t>
      </w:r>
      <w:r w:rsidR="00782409" w:rsidRPr="00DD4C3E">
        <w:rPr>
          <w:lang w:val="es-ES"/>
        </w:rPr>
        <w:t xml:space="preserve">asos en los cuáles la modificación del factor de potencia desde un valor en atraso a un valor en adelanto de 0.95 </w:t>
      </w:r>
      <w:r w:rsidR="004C1C0B" w:rsidRPr="00DD4C3E">
        <w:rPr>
          <w:lang w:val="es-ES"/>
        </w:rPr>
        <w:t>ocasiona incremento en las tensiones de los nodos simulados de entre 1.8 y 4%</w:t>
      </w:r>
      <w:r w:rsidR="001E1617">
        <w:rPr>
          <w:lang w:val="es-ES"/>
        </w:rPr>
        <w:t>.</w:t>
      </w:r>
      <w:r w:rsidR="0011346D" w:rsidRPr="00DD4C3E">
        <w:rPr>
          <w:lang w:val="es-ES"/>
        </w:rPr>
        <w:t xml:space="preserve"> </w:t>
      </w:r>
    </w:p>
    <w:p w14:paraId="3BE150A9" w14:textId="03430D55" w:rsidR="00D174C4" w:rsidRPr="00DD4C3E" w:rsidRDefault="00DD4C3E" w:rsidP="0073322F">
      <w:pPr>
        <w:pStyle w:val="Prrafodelista"/>
        <w:numPr>
          <w:ilvl w:val="0"/>
          <w:numId w:val="15"/>
        </w:numPr>
        <w:ind w:left="567" w:hanging="425"/>
        <w:rPr>
          <w:lang w:val="es-ES"/>
        </w:rPr>
      </w:pPr>
      <w:r>
        <w:rPr>
          <w:lang w:val="es-ES"/>
        </w:rPr>
        <w:t>E</w:t>
      </w:r>
      <w:r w:rsidR="009E0575" w:rsidRPr="00DD4C3E">
        <w:rPr>
          <w:lang w:val="es-ES"/>
        </w:rPr>
        <w:t xml:space="preserve">scenarios de </w:t>
      </w:r>
      <w:r w:rsidR="00921CC2">
        <w:rPr>
          <w:lang w:val="es-ES"/>
        </w:rPr>
        <w:t xml:space="preserve">potenciales </w:t>
      </w:r>
      <w:r w:rsidR="009E0575" w:rsidRPr="00DD4C3E">
        <w:rPr>
          <w:lang w:val="es-ES"/>
        </w:rPr>
        <w:t>sobrecarga</w:t>
      </w:r>
      <w:r w:rsidR="00921CC2">
        <w:rPr>
          <w:lang w:val="es-ES"/>
        </w:rPr>
        <w:t>s</w:t>
      </w:r>
      <w:r w:rsidR="009E0575" w:rsidRPr="00DD4C3E">
        <w:rPr>
          <w:lang w:val="es-ES"/>
        </w:rPr>
        <w:t xml:space="preserve"> en algunos circuitos cuando se presenta inyección de energía reactiva por parte de usuarios conectados a nivel 4</w:t>
      </w:r>
      <w:r w:rsidR="00465167">
        <w:rPr>
          <w:lang w:val="es-ES"/>
        </w:rPr>
        <w:t xml:space="preserve"> incluso luego de </w:t>
      </w:r>
      <w:r w:rsidR="000738FD">
        <w:rPr>
          <w:lang w:val="es-ES"/>
        </w:rPr>
        <w:t xml:space="preserve">operar los </w:t>
      </w:r>
      <w:proofErr w:type="spellStart"/>
      <w:r w:rsidR="000738FD">
        <w:rPr>
          <w:lang w:val="es-ES"/>
        </w:rPr>
        <w:t>taps</w:t>
      </w:r>
      <w:proofErr w:type="spellEnd"/>
      <w:r w:rsidR="000738FD">
        <w:rPr>
          <w:lang w:val="es-ES"/>
        </w:rPr>
        <w:t xml:space="preserve"> de los transformadores hasta su límite. En algunos de estos escenarios, ante una contingencia de la red </w:t>
      </w:r>
      <w:r w:rsidR="00193D47">
        <w:rPr>
          <w:lang w:val="es-ES"/>
        </w:rPr>
        <w:t xml:space="preserve">podría presentarse la necesidad de realizar redespachos </w:t>
      </w:r>
      <w:r w:rsidR="00DF4C7B">
        <w:rPr>
          <w:lang w:val="es-ES"/>
        </w:rPr>
        <w:t>o racionamiento de carga.</w:t>
      </w:r>
    </w:p>
    <w:p w14:paraId="6FC1A584" w14:textId="58258C5F" w:rsidR="00726609" w:rsidRDefault="00726609" w:rsidP="00D174C4">
      <w:pPr>
        <w:rPr>
          <w:lang w:val="es-ES"/>
        </w:rPr>
      </w:pPr>
      <w:r>
        <w:rPr>
          <w:lang w:val="es-ES"/>
        </w:rPr>
        <w:t xml:space="preserve">En relación con las simulaciones presentadas por el CNO, si bien </w:t>
      </w:r>
      <w:r w:rsidR="00B40527">
        <w:rPr>
          <w:lang w:val="es-ES"/>
        </w:rPr>
        <w:t xml:space="preserve">en algunos casos simulados se </w:t>
      </w:r>
      <w:r w:rsidR="00533508">
        <w:rPr>
          <w:lang w:val="es-ES"/>
        </w:rPr>
        <w:t>podrían</w:t>
      </w:r>
      <w:r w:rsidR="00B40527">
        <w:rPr>
          <w:lang w:val="es-ES"/>
        </w:rPr>
        <w:t xml:space="preserve"> presentar sobretensiones si los usuarios de nivel 4 conectados a la red operaran con un </w:t>
      </w:r>
      <w:r w:rsidR="00177833">
        <w:rPr>
          <w:lang w:val="es-ES"/>
        </w:rPr>
        <w:t xml:space="preserve">factor de potencia en adelanto de 0.95, no se observó en ninguno de los casos que se superara el límite de tensión estacionario definido en la regulación </w:t>
      </w:r>
      <w:r w:rsidR="00BD1E95">
        <w:rPr>
          <w:lang w:val="es-ES"/>
        </w:rPr>
        <w:t xml:space="preserve">determinado en 10% por encima de la tensión nominal para </w:t>
      </w:r>
      <w:r w:rsidR="00216CD7">
        <w:rPr>
          <w:lang w:val="es-ES"/>
        </w:rPr>
        <w:t>tensiones menores a 500 kV.</w:t>
      </w:r>
    </w:p>
    <w:p w14:paraId="2240382F" w14:textId="5C5271A4" w:rsidR="00216CD7" w:rsidRDefault="00DD3B1B" w:rsidP="00D174C4">
      <w:pPr>
        <w:rPr>
          <w:lang w:val="es-ES"/>
        </w:rPr>
      </w:pPr>
      <w:r>
        <w:rPr>
          <w:lang w:val="es-ES"/>
        </w:rPr>
        <w:lastRenderedPageBreak/>
        <w:t>Adicionalmente</w:t>
      </w:r>
      <w:r w:rsidR="00216CD7">
        <w:rPr>
          <w:lang w:val="es-ES"/>
        </w:rPr>
        <w:t xml:space="preserve">, </w:t>
      </w:r>
      <w:r w:rsidR="00652556">
        <w:rPr>
          <w:lang w:val="es-ES"/>
        </w:rPr>
        <w:t xml:space="preserve">la posibilidad de que se presenten redespachos o racionamiento de carga de acuerdo con las simulaciones presentadas se da ante contingencias en las que </w:t>
      </w:r>
      <w:r w:rsidR="00FB1F50">
        <w:rPr>
          <w:lang w:val="es-ES"/>
        </w:rPr>
        <w:t xml:space="preserve">además del cambio en el factor de potencia, </w:t>
      </w:r>
      <w:r w:rsidR="00652556">
        <w:rPr>
          <w:lang w:val="es-ES"/>
        </w:rPr>
        <w:t xml:space="preserve">una línea sale de operación, </w:t>
      </w:r>
      <w:r w:rsidR="00FB1F50">
        <w:rPr>
          <w:lang w:val="es-ES"/>
        </w:rPr>
        <w:t xml:space="preserve">por lo que el mayor efecto en la dificultad de mantener el suministro de energía </w:t>
      </w:r>
      <w:r w:rsidR="004F3B78">
        <w:rPr>
          <w:lang w:val="es-ES"/>
        </w:rPr>
        <w:t>podría</w:t>
      </w:r>
      <w:r w:rsidR="008F4702">
        <w:rPr>
          <w:lang w:val="es-ES"/>
        </w:rPr>
        <w:t xml:space="preserve"> deberse</w:t>
      </w:r>
      <w:r w:rsidR="00FB1F50">
        <w:rPr>
          <w:lang w:val="es-ES"/>
        </w:rPr>
        <w:t xml:space="preserve"> a la contingencia y no </w:t>
      </w:r>
      <w:r w:rsidR="008F4702">
        <w:rPr>
          <w:lang w:val="es-ES"/>
        </w:rPr>
        <w:t>al hecho de que los usuarios tuviesen un factor de potencia en adelanto.</w:t>
      </w:r>
    </w:p>
    <w:p w14:paraId="49BE0535" w14:textId="77777777" w:rsidR="00592FAC" w:rsidRDefault="00592FAC" w:rsidP="00592FAC">
      <w:pPr>
        <w:rPr>
          <w:lang w:val="es-ES"/>
        </w:rPr>
      </w:pPr>
      <w:r>
        <w:rPr>
          <w:lang w:val="es-ES"/>
        </w:rPr>
        <w:t>Por otro lado, debe tenerse en cuenta que la instalación de soluciones exactas y de respuesta rápida que permitan reducir el transporte de energía reactiva capacitiva a cero puede ser mucho más costosa que el pago de la energía transportada, dentro de cierto rango de tolerancia que no afecte de manera grave la operación del sistema.</w:t>
      </w:r>
    </w:p>
    <w:p w14:paraId="1C09BA5B" w14:textId="16DDA114" w:rsidR="009F018E" w:rsidRDefault="00592FAC" w:rsidP="00D174C4">
      <w:pPr>
        <w:rPr>
          <w:lang w:val="es-ES"/>
        </w:rPr>
      </w:pPr>
      <w:r>
        <w:rPr>
          <w:lang w:val="es-ES"/>
        </w:rPr>
        <w:t xml:space="preserve">En este orden de ideas, considerando que </w:t>
      </w:r>
      <w:r w:rsidR="005D781A">
        <w:rPr>
          <w:lang w:val="es-ES"/>
        </w:rPr>
        <w:t xml:space="preserve">las simulaciones aportadas por </w:t>
      </w:r>
      <w:r>
        <w:rPr>
          <w:lang w:val="es-ES"/>
        </w:rPr>
        <w:t xml:space="preserve">el CNO </w:t>
      </w:r>
      <w:r w:rsidR="005D781A">
        <w:rPr>
          <w:lang w:val="es-ES"/>
        </w:rPr>
        <w:t xml:space="preserve">mostraron algunas dificultades con cargas operando con un factor de potencia igual a 0,95 </w:t>
      </w:r>
      <w:r w:rsidR="007B6B2C">
        <w:rPr>
          <w:lang w:val="es-ES"/>
        </w:rPr>
        <w:t xml:space="preserve">y, de otra parte, considerando la posibilidad de permitir algún tipo de tolerancia inferior a un factor de potencia igual a uno, </w:t>
      </w:r>
      <w:r w:rsidR="003E68A5">
        <w:rPr>
          <w:lang w:val="es-ES"/>
        </w:rPr>
        <w:t>se encuentra la posibilidad de establecer un fact</w:t>
      </w:r>
      <w:r w:rsidR="00296889">
        <w:rPr>
          <w:lang w:val="es-ES"/>
        </w:rPr>
        <w:t>o</w:t>
      </w:r>
      <w:r w:rsidR="003E68A5">
        <w:rPr>
          <w:lang w:val="es-ES"/>
        </w:rPr>
        <w:t>r de potencia más alto que 0,95</w:t>
      </w:r>
      <w:r w:rsidR="00296889">
        <w:rPr>
          <w:lang w:val="es-ES"/>
        </w:rPr>
        <w:t xml:space="preserve">, evitando así los inconvenientes mostrados por las simulaciones, a la par de permitir una tolerancia al respecto. </w:t>
      </w:r>
    </w:p>
    <w:p w14:paraId="4B318C0B" w14:textId="0509464F" w:rsidR="009F3914" w:rsidRDefault="009F3914" w:rsidP="009F3914">
      <w:pPr>
        <w:rPr>
          <w:lang w:val="es-ES"/>
        </w:rPr>
      </w:pPr>
      <w:r>
        <w:rPr>
          <w:lang w:val="es-ES"/>
        </w:rPr>
        <w:t xml:space="preserve">En este sentido, como se observa en la </w:t>
      </w:r>
      <w:r>
        <w:rPr>
          <w:lang w:val="es-ES"/>
        </w:rPr>
        <w:fldChar w:fldCharType="begin"/>
      </w:r>
      <w:r>
        <w:rPr>
          <w:lang w:val="es-ES"/>
        </w:rPr>
        <w:instrText xml:space="preserve"> REF _Ref142040322 \h </w:instrText>
      </w:r>
      <w:r>
        <w:rPr>
          <w:lang w:val="es-ES"/>
        </w:rPr>
      </w:r>
      <w:r>
        <w:rPr>
          <w:lang w:val="es-ES"/>
        </w:rPr>
        <w:fldChar w:fldCharType="separate"/>
      </w:r>
      <w:r w:rsidR="00DC6708" w:rsidRPr="003D56B2">
        <w:t xml:space="preserve">Tabla </w:t>
      </w:r>
      <w:r w:rsidR="00DC6708">
        <w:rPr>
          <w:noProof/>
        </w:rPr>
        <w:t>1</w:t>
      </w:r>
      <w:r>
        <w:rPr>
          <w:lang w:val="es-ES"/>
        </w:rPr>
        <w:fldChar w:fldCharType="end"/>
      </w:r>
      <w:r>
        <w:rPr>
          <w:lang w:val="es-ES"/>
        </w:rPr>
        <w:t xml:space="preserve"> de los países consultados que tienen diferenciados los límites al factor de potencia capacitivo, los límites para nivel 4 oscilan entre 0.9 y 0.98, siendo este último valor adoptado únicamente por Chile para tensiones entre 30 y 100 kV.</w:t>
      </w:r>
      <w:r>
        <w:rPr>
          <w:rStyle w:val="Refdenotaalpie"/>
          <w:lang w:val="es-ES"/>
        </w:rPr>
        <w:footnoteReference w:id="15"/>
      </w:r>
    </w:p>
    <w:p w14:paraId="6AD05C3A" w14:textId="2A21ED22" w:rsidR="005D781A" w:rsidRDefault="009F3914" w:rsidP="00D174C4">
      <w:pPr>
        <w:rPr>
          <w:lang w:val="es-ES"/>
        </w:rPr>
      </w:pPr>
      <w:r>
        <w:rPr>
          <w:lang w:val="es-ES"/>
        </w:rPr>
        <w:t>Por su parte, al observar la información existente en el SUI</w:t>
      </w:r>
      <w:r w:rsidR="00277AAD">
        <w:rPr>
          <w:lang w:val="es-ES"/>
        </w:rPr>
        <w:t xml:space="preserve"> respecto de los aportes de energía reactiva capacitiva al sistema por parte de los usuarios conectados al nivel de tensión 4 se encontró lo siguiente:</w:t>
      </w:r>
    </w:p>
    <w:p w14:paraId="63EA0118" w14:textId="77777777" w:rsidR="00027020" w:rsidRDefault="00A92D39" w:rsidP="0073322F">
      <w:pPr>
        <w:keepNext/>
      </w:pPr>
      <w:r w:rsidRPr="00A92D39">
        <w:rPr>
          <w:noProof/>
          <w:lang w:val="es-ES"/>
        </w:rPr>
        <w:drawing>
          <wp:inline distT="0" distB="0" distL="0" distR="0" wp14:anchorId="6FFCE129" wp14:editId="41E7A477">
            <wp:extent cx="5791161" cy="2029356"/>
            <wp:effectExtent l="0" t="0" r="0" b="9525"/>
            <wp:docPr id="170842877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428773" name=""/>
                    <pic:cNvPicPr/>
                  </pic:nvPicPr>
                  <pic:blipFill rotWithShape="1">
                    <a:blip r:embed="rId23">
                      <a:extLst>
                        <a:ext uri="{96DAC541-7B7A-43D3-8B79-37D633B846F1}">
                          <asvg:svgBlip xmlns:asvg="http://schemas.microsoft.com/office/drawing/2016/SVG/main" r:embed="rId24"/>
                        </a:ext>
                      </a:extLst>
                    </a:blip>
                    <a:srcRect l="176" t="-46" r="-176" b="73488"/>
                    <a:stretch/>
                  </pic:blipFill>
                  <pic:spPr bwMode="auto">
                    <a:xfrm>
                      <a:off x="0" y="0"/>
                      <a:ext cx="5791835" cy="2029592"/>
                    </a:xfrm>
                    <a:prstGeom prst="rect">
                      <a:avLst/>
                    </a:prstGeom>
                    <a:ln>
                      <a:noFill/>
                    </a:ln>
                    <a:extLst>
                      <a:ext uri="{53640926-AAD7-44D8-BBD7-CCE9431645EC}">
                        <a14:shadowObscured xmlns:a14="http://schemas.microsoft.com/office/drawing/2010/main"/>
                      </a:ext>
                    </a:extLst>
                  </pic:spPr>
                </pic:pic>
              </a:graphicData>
            </a:graphic>
          </wp:inline>
        </w:drawing>
      </w:r>
    </w:p>
    <w:p w14:paraId="4D1C845C" w14:textId="780F0979" w:rsidR="00077AE6" w:rsidRDefault="00027020" w:rsidP="0073322F">
      <w:pPr>
        <w:pStyle w:val="Descripcin"/>
        <w:rPr>
          <w:lang w:val="es-ES"/>
        </w:rPr>
      </w:pPr>
      <w:bookmarkStart w:id="37" w:name="_Ref149830719"/>
      <w:r>
        <w:t xml:space="preserve">Figura </w:t>
      </w:r>
      <w:r w:rsidR="00626843">
        <w:fldChar w:fldCharType="begin"/>
      </w:r>
      <w:r w:rsidR="00626843">
        <w:instrText xml:space="preserve"> SEQ Figura \* ARABIC </w:instrText>
      </w:r>
      <w:r w:rsidR="00626843">
        <w:fldChar w:fldCharType="separate"/>
      </w:r>
      <w:r w:rsidR="00DC6708">
        <w:rPr>
          <w:noProof/>
        </w:rPr>
        <w:t>8</w:t>
      </w:r>
      <w:r w:rsidR="00626843">
        <w:rPr>
          <w:noProof/>
        </w:rPr>
        <w:fldChar w:fldCharType="end"/>
      </w:r>
      <w:bookmarkEnd w:id="37"/>
      <w:r>
        <w:t xml:space="preserve"> Transporte de energía reactiva capacitiva para usuarios de nivel de tensión 4, filtrando </w:t>
      </w:r>
      <w:proofErr w:type="spellStart"/>
      <w:r>
        <w:t>outliers</w:t>
      </w:r>
      <w:proofErr w:type="spellEnd"/>
    </w:p>
    <w:p w14:paraId="5DBDF753" w14:textId="60486067" w:rsidR="006D78BE" w:rsidRDefault="00C00E5C" w:rsidP="00027020">
      <w:pPr>
        <w:rPr>
          <w:lang w:val="es-ES"/>
        </w:rPr>
      </w:pPr>
      <w:r>
        <w:rPr>
          <w:lang w:val="es-ES"/>
        </w:rPr>
        <w:t xml:space="preserve">Así, </w:t>
      </w:r>
      <w:r w:rsidR="00F94C9E">
        <w:rPr>
          <w:lang w:val="es-ES"/>
        </w:rPr>
        <w:t>aplicando distintos límites a</w:t>
      </w:r>
      <w:r>
        <w:rPr>
          <w:lang w:val="es-ES"/>
        </w:rPr>
        <w:t xml:space="preserve"> la distribución de </w:t>
      </w:r>
      <w:r w:rsidR="00027020">
        <w:rPr>
          <w:lang w:val="es-ES"/>
        </w:rPr>
        <w:t xml:space="preserve">los usuarios de nivel de tensión 4 con registro de transporte de energía reactiva capacitiva, de acuerdo con la información que reposa en el SUI y para el mismo periodo analizado en el numeral </w:t>
      </w:r>
      <w:r w:rsidR="00027020">
        <w:rPr>
          <w:lang w:val="es-ES"/>
        </w:rPr>
        <w:fldChar w:fldCharType="begin"/>
      </w:r>
      <w:r w:rsidR="00027020">
        <w:rPr>
          <w:lang w:val="es-ES"/>
        </w:rPr>
        <w:instrText xml:space="preserve"> REF _Ref149828859 \r \h </w:instrText>
      </w:r>
      <w:r w:rsidR="00027020">
        <w:rPr>
          <w:lang w:val="es-ES"/>
        </w:rPr>
      </w:r>
      <w:r w:rsidR="00027020">
        <w:rPr>
          <w:lang w:val="es-ES"/>
        </w:rPr>
        <w:fldChar w:fldCharType="separate"/>
      </w:r>
      <w:r w:rsidR="00DC6708">
        <w:rPr>
          <w:lang w:val="es-ES"/>
        </w:rPr>
        <w:t>7.2</w:t>
      </w:r>
      <w:r w:rsidR="00027020">
        <w:rPr>
          <w:lang w:val="es-ES"/>
        </w:rPr>
        <w:fldChar w:fldCharType="end"/>
      </w:r>
      <w:r w:rsidR="00C45AE8">
        <w:rPr>
          <w:lang w:val="es-ES"/>
        </w:rPr>
        <w:t xml:space="preserve">, </w:t>
      </w:r>
      <w:r w:rsidR="00076D0E">
        <w:rPr>
          <w:lang w:val="es-ES"/>
        </w:rPr>
        <w:t>se puede ver</w:t>
      </w:r>
      <w:r w:rsidR="00C45AE8">
        <w:rPr>
          <w:lang w:val="es-ES"/>
        </w:rPr>
        <w:t xml:space="preserve"> en la</w:t>
      </w:r>
      <w:r w:rsidR="00EE5789">
        <w:rPr>
          <w:lang w:val="es-ES"/>
        </w:rPr>
        <w:t xml:space="preserve"> </w:t>
      </w:r>
      <w:r w:rsidR="00C45AE8">
        <w:rPr>
          <w:lang w:val="es-ES"/>
        </w:rPr>
        <w:fldChar w:fldCharType="begin"/>
      </w:r>
      <w:r w:rsidR="00C45AE8">
        <w:rPr>
          <w:lang w:val="es-ES"/>
        </w:rPr>
        <w:instrText xml:space="preserve"> REF _Ref149830719 \h </w:instrText>
      </w:r>
      <w:r w:rsidR="00C45AE8">
        <w:rPr>
          <w:lang w:val="es-ES"/>
        </w:rPr>
      </w:r>
      <w:r w:rsidR="00C45AE8">
        <w:rPr>
          <w:lang w:val="es-ES"/>
        </w:rPr>
        <w:fldChar w:fldCharType="separate"/>
      </w:r>
      <w:r w:rsidR="00DC6708">
        <w:t xml:space="preserve">Figura </w:t>
      </w:r>
      <w:r w:rsidR="00DC6708">
        <w:rPr>
          <w:noProof/>
        </w:rPr>
        <w:t>8</w:t>
      </w:r>
      <w:r w:rsidR="00C45AE8">
        <w:rPr>
          <w:lang w:val="es-ES"/>
        </w:rPr>
        <w:fldChar w:fldCharType="end"/>
      </w:r>
      <w:r w:rsidR="00EE5789">
        <w:rPr>
          <w:lang w:val="es-ES"/>
        </w:rPr>
        <w:t xml:space="preserve"> y </w:t>
      </w:r>
      <w:r w:rsidR="00EE5789">
        <w:rPr>
          <w:lang w:val="es-ES"/>
        </w:rPr>
        <w:lastRenderedPageBreak/>
        <w:t xml:space="preserve">la </w:t>
      </w:r>
      <w:r w:rsidR="00C45AE8">
        <w:rPr>
          <w:lang w:val="es-ES"/>
        </w:rPr>
        <w:fldChar w:fldCharType="begin"/>
      </w:r>
      <w:r w:rsidR="00C45AE8">
        <w:rPr>
          <w:lang w:val="es-ES"/>
        </w:rPr>
        <w:instrText xml:space="preserve"> REF _Ref149830721 \h </w:instrText>
      </w:r>
      <w:r w:rsidR="00C45AE8">
        <w:rPr>
          <w:lang w:val="es-ES"/>
        </w:rPr>
      </w:r>
      <w:r w:rsidR="00C45AE8">
        <w:rPr>
          <w:lang w:val="es-ES"/>
        </w:rPr>
        <w:fldChar w:fldCharType="separate"/>
      </w:r>
      <w:r w:rsidR="00DC6708">
        <w:t xml:space="preserve">Figura </w:t>
      </w:r>
      <w:r w:rsidR="00DC6708">
        <w:rPr>
          <w:noProof/>
        </w:rPr>
        <w:t>9</w:t>
      </w:r>
      <w:r w:rsidR="00C45AE8">
        <w:rPr>
          <w:lang w:val="es-ES"/>
        </w:rPr>
        <w:fldChar w:fldCharType="end"/>
      </w:r>
      <w:r>
        <w:rPr>
          <w:lang w:val="es-ES"/>
        </w:rPr>
        <w:t xml:space="preserve">, </w:t>
      </w:r>
      <w:r w:rsidR="006D0FC5">
        <w:rPr>
          <w:lang w:val="es-ES"/>
        </w:rPr>
        <w:t xml:space="preserve">que con un límite al factor de potencia capacitivo de 0.98 </w:t>
      </w:r>
      <w:r w:rsidR="00823C0F">
        <w:rPr>
          <w:lang w:val="es-ES"/>
        </w:rPr>
        <w:t xml:space="preserve">se eliminaría el cobro </w:t>
      </w:r>
      <w:r w:rsidR="004728AB">
        <w:rPr>
          <w:lang w:val="es-ES"/>
        </w:rPr>
        <w:t>para más del 99% de los usuarios</w:t>
      </w:r>
      <w:r w:rsidR="000C05E4">
        <w:rPr>
          <w:lang w:val="es-ES"/>
        </w:rPr>
        <w:t xml:space="preserve"> excluyendo </w:t>
      </w:r>
      <w:proofErr w:type="spellStart"/>
      <w:r w:rsidR="000C05E4">
        <w:rPr>
          <w:lang w:val="es-ES"/>
        </w:rPr>
        <w:t>outliers</w:t>
      </w:r>
      <w:proofErr w:type="spellEnd"/>
      <w:r w:rsidR="000C05E4">
        <w:rPr>
          <w:lang w:val="es-ES"/>
        </w:rPr>
        <w:t>.</w:t>
      </w:r>
    </w:p>
    <w:p w14:paraId="74E3F4B4" w14:textId="77777777" w:rsidR="00E64313" w:rsidRDefault="00850DB2" w:rsidP="0073322F">
      <w:pPr>
        <w:keepNext/>
      </w:pPr>
      <w:r w:rsidRPr="00850DB2">
        <w:rPr>
          <w:noProof/>
          <w:lang w:val="es-ES"/>
        </w:rPr>
        <w:drawing>
          <wp:inline distT="0" distB="0" distL="0" distR="0" wp14:anchorId="36448F8D" wp14:editId="30CE46D3">
            <wp:extent cx="5790985" cy="2025957"/>
            <wp:effectExtent l="0" t="0" r="0" b="0"/>
            <wp:docPr id="170403461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034610" name=""/>
                    <pic:cNvPicPr/>
                  </pic:nvPicPr>
                  <pic:blipFill rotWithShape="1">
                    <a:blip r:embed="rId25">
                      <a:extLst>
                        <a:ext uri="{96DAC541-7B7A-43D3-8B79-37D633B846F1}">
                          <asvg:svgBlip xmlns:asvg="http://schemas.microsoft.com/office/drawing/2016/SVG/main" r:embed="rId26"/>
                        </a:ext>
                      </a:extLst>
                    </a:blip>
                    <a:srcRect t="1" b="73485"/>
                    <a:stretch/>
                  </pic:blipFill>
                  <pic:spPr bwMode="auto">
                    <a:xfrm>
                      <a:off x="0" y="0"/>
                      <a:ext cx="5791835" cy="2026255"/>
                    </a:xfrm>
                    <a:prstGeom prst="rect">
                      <a:avLst/>
                    </a:prstGeom>
                    <a:ln>
                      <a:noFill/>
                    </a:ln>
                    <a:extLst>
                      <a:ext uri="{53640926-AAD7-44D8-BBD7-CCE9431645EC}">
                        <a14:shadowObscured xmlns:a14="http://schemas.microsoft.com/office/drawing/2010/main"/>
                      </a:ext>
                    </a:extLst>
                  </pic:spPr>
                </pic:pic>
              </a:graphicData>
            </a:graphic>
          </wp:inline>
        </w:drawing>
      </w:r>
    </w:p>
    <w:p w14:paraId="30950C51" w14:textId="5F85938D" w:rsidR="00077AE6" w:rsidRDefault="00E64313" w:rsidP="0073322F">
      <w:pPr>
        <w:pStyle w:val="Descripcin"/>
        <w:rPr>
          <w:lang w:val="es-ES"/>
        </w:rPr>
      </w:pPr>
      <w:bookmarkStart w:id="38" w:name="_Ref149830721"/>
      <w:r>
        <w:t xml:space="preserve">Figura </w:t>
      </w:r>
      <w:r w:rsidR="00626843">
        <w:fldChar w:fldCharType="begin"/>
      </w:r>
      <w:r w:rsidR="00626843">
        <w:instrText xml:space="preserve"> SEQ Figura \* ARABIC </w:instrText>
      </w:r>
      <w:r w:rsidR="00626843">
        <w:fldChar w:fldCharType="separate"/>
      </w:r>
      <w:r w:rsidR="00DC6708">
        <w:rPr>
          <w:noProof/>
        </w:rPr>
        <w:t>9</w:t>
      </w:r>
      <w:r w:rsidR="00626843">
        <w:rPr>
          <w:noProof/>
        </w:rPr>
        <w:fldChar w:fldCharType="end"/>
      </w:r>
      <w:bookmarkEnd w:id="38"/>
      <w:r>
        <w:t xml:space="preserve"> </w:t>
      </w:r>
      <w:r w:rsidRPr="00442C9C">
        <w:t xml:space="preserve">Transporte de energía reactiva capacitiva para usuarios de nivel de tensión 4, </w:t>
      </w:r>
      <w:r>
        <w:t>incluyendo</w:t>
      </w:r>
      <w:r w:rsidRPr="00442C9C">
        <w:t xml:space="preserve"> </w:t>
      </w:r>
      <w:proofErr w:type="spellStart"/>
      <w:r w:rsidRPr="00442C9C">
        <w:t>outliers</w:t>
      </w:r>
      <w:proofErr w:type="spellEnd"/>
      <w:r>
        <w:rPr>
          <w:noProof/>
        </w:rPr>
        <w:t xml:space="preserve"> (todos los valores)</w:t>
      </w:r>
    </w:p>
    <w:p w14:paraId="09C2B002" w14:textId="52F6F9B4" w:rsidR="00DD3B1B" w:rsidRDefault="000C1214" w:rsidP="00D174C4">
      <w:pPr>
        <w:rPr>
          <w:lang w:val="es-ES"/>
        </w:rPr>
      </w:pPr>
      <w:r>
        <w:rPr>
          <w:lang w:val="es-ES"/>
        </w:rPr>
        <w:t xml:space="preserve">Con un límite </w:t>
      </w:r>
      <w:r w:rsidR="003E34AC">
        <w:rPr>
          <w:lang w:val="es-ES"/>
        </w:rPr>
        <w:t>en el factor de potencia de</w:t>
      </w:r>
      <w:r>
        <w:rPr>
          <w:lang w:val="es-ES"/>
        </w:rPr>
        <w:t xml:space="preserve"> 0.98 se atiende la sugerencia del CN</w:t>
      </w:r>
      <w:r w:rsidR="00AE0145">
        <w:rPr>
          <w:lang w:val="es-ES"/>
        </w:rPr>
        <w:t>O</w:t>
      </w:r>
      <w:r>
        <w:rPr>
          <w:lang w:val="es-ES"/>
        </w:rPr>
        <w:t xml:space="preserve">, ya que </w:t>
      </w:r>
      <w:r w:rsidR="00AE0145">
        <w:rPr>
          <w:lang w:val="es-ES"/>
        </w:rPr>
        <w:t>los usuarios podrían inyectar al sistema solamente 20 unidades de energía reactiva capacitiva por cada 100 unidades de energía activa</w:t>
      </w:r>
      <w:r w:rsidR="003E34AC">
        <w:rPr>
          <w:lang w:val="es-ES"/>
        </w:rPr>
        <w:t xml:space="preserve">, de tal manera que se reduce el impacto </w:t>
      </w:r>
      <w:r w:rsidR="00B579A1">
        <w:rPr>
          <w:lang w:val="es-ES"/>
        </w:rPr>
        <w:t xml:space="preserve">en eventuales sobretensiones </w:t>
      </w:r>
      <w:r w:rsidR="00A37E7E">
        <w:rPr>
          <w:lang w:val="es-ES"/>
        </w:rPr>
        <w:t>y</w:t>
      </w:r>
      <w:r w:rsidR="00B579A1">
        <w:rPr>
          <w:lang w:val="es-ES"/>
        </w:rPr>
        <w:t xml:space="preserve"> manteniendo una tolerancia acorde con la regulación internacional.</w:t>
      </w:r>
    </w:p>
    <w:p w14:paraId="2EFFC9D2" w14:textId="77777777" w:rsidR="00CA6971" w:rsidRPr="003D56B2" w:rsidRDefault="00CA6971" w:rsidP="00CA6971">
      <w:pPr>
        <w:pStyle w:val="Ttulo1"/>
        <w:rPr>
          <w:lang w:val="es-CO"/>
        </w:rPr>
      </w:pPr>
      <w:bookmarkStart w:id="39" w:name="_Toc147223499"/>
      <w:bookmarkStart w:id="40" w:name="_Toc147226423"/>
      <w:bookmarkStart w:id="41" w:name="_Toc157689797"/>
      <w:bookmarkEnd w:id="39"/>
      <w:bookmarkEnd w:id="40"/>
      <w:r w:rsidRPr="003D56B2">
        <w:rPr>
          <w:lang w:val="es-CO"/>
        </w:rPr>
        <w:t>INDICADORES DE SEGUIMIENTO</w:t>
      </w:r>
      <w:bookmarkEnd w:id="41"/>
    </w:p>
    <w:p w14:paraId="7BE0196C" w14:textId="0D43BCC5" w:rsidR="00671764" w:rsidRPr="003D56B2" w:rsidRDefault="00671764" w:rsidP="00EB4979">
      <w:r w:rsidRPr="003D56B2">
        <w:t>Para determinar si el factor de potencia capacitivo cumple los límites estipulados, se calculará la relación entre la suma aritmética de la energía reactiva durante un periodo mensual respecto de la cantidad de energía activa en el mismo periodo.</w:t>
      </w:r>
      <w:r w:rsidR="00810764" w:rsidRPr="003D56B2">
        <w:t xml:space="preserve"> También, se realizarán </w:t>
      </w:r>
      <w:r w:rsidR="002A2999" w:rsidRPr="003D56B2">
        <w:t xml:space="preserve">comparaciones entre los indicadores antes y después de la modificación de los factores de potencia, con el fin de evaluar tanto el impacto en el sistema, </w:t>
      </w:r>
      <w:r w:rsidR="00392CF4" w:rsidRPr="003D56B2">
        <w:t>con la cantidad de</w:t>
      </w:r>
      <w:r w:rsidR="002A2999" w:rsidRPr="003D56B2">
        <w:t xml:space="preserve"> energía capacitiva</w:t>
      </w:r>
      <w:r w:rsidR="00392CF4" w:rsidRPr="003D56B2">
        <w:t xml:space="preserve"> transportada</w:t>
      </w:r>
      <w:r w:rsidR="002A2999" w:rsidRPr="003D56B2">
        <w:t>, como el impacto en el cobro por transporte la misma.</w:t>
      </w:r>
    </w:p>
    <w:p w14:paraId="0FB6F1A2" w14:textId="58E4B3E4" w:rsidR="009A0B63" w:rsidRPr="003D56B2" w:rsidRDefault="00671764" w:rsidP="00EB4979">
      <w:r w:rsidRPr="003D56B2">
        <w:t xml:space="preserve">De igual forma, </w:t>
      </w:r>
      <w:r w:rsidR="00D75386" w:rsidRPr="003D56B2">
        <w:t xml:space="preserve">para realizar el seguimiento se </w:t>
      </w:r>
      <w:r w:rsidR="009A0B63" w:rsidRPr="003D56B2">
        <w:t>proponen los siguientes indicadores</w:t>
      </w:r>
      <w:r w:rsidR="001D111D">
        <w:t>, que se calcularán utilizando la información que reposa en el SUI</w:t>
      </w:r>
      <w:r w:rsidR="00E779B2">
        <w:t>, reportada por los operadores de red y las empresas comercializadoras</w:t>
      </w:r>
      <w:r w:rsidR="00193F43">
        <w:t xml:space="preserve"> a los formatos TC1 y TC2</w:t>
      </w:r>
      <w:r w:rsidR="009A0B63" w:rsidRPr="003D56B2">
        <w:t>:</w:t>
      </w:r>
    </w:p>
    <w:p w14:paraId="3D140F39" w14:textId="2A242981" w:rsidR="00340BF2" w:rsidRPr="003D56B2" w:rsidRDefault="0059096B" w:rsidP="00826981">
      <w:pPr>
        <w:pStyle w:val="Prrafodelista"/>
        <w:numPr>
          <w:ilvl w:val="0"/>
          <w:numId w:val="10"/>
        </w:numPr>
      </w:pPr>
      <w:r w:rsidRPr="003D56B2">
        <w:t xml:space="preserve">Indicador de </w:t>
      </w:r>
      <w:r w:rsidR="0017266B" w:rsidRPr="003D56B2">
        <w:t>cobros por transporte de reactiva</w:t>
      </w:r>
      <w:r w:rsidR="00730922" w:rsidRPr="003D56B2">
        <w:t xml:space="preserve"> capacitiva</w:t>
      </w:r>
      <w:r w:rsidR="008F649D" w:rsidRPr="003D56B2">
        <w:t>, calculado con información anterior y posterior a la aplicación</w:t>
      </w:r>
      <w:r w:rsidR="00A566B4" w:rsidRPr="003D56B2">
        <w:t xml:space="preserve"> de la presente propuesta</w:t>
      </w:r>
      <w:r w:rsidR="00340BF2" w:rsidRPr="003D56B2">
        <w:t>:</w:t>
      </w:r>
    </w:p>
    <w:p w14:paraId="503D53E8" w14:textId="77777777" w:rsidR="00A07A6D" w:rsidRPr="003D56B2" w:rsidRDefault="00A07A6D" w:rsidP="00EB4979"/>
    <w:p w14:paraId="5485556B" w14:textId="4951FE80" w:rsidR="004E1C8C" w:rsidRPr="003D56B2" w:rsidRDefault="00923C21" w:rsidP="004E1C8C">
      <w:pPr>
        <w:pStyle w:val="Prrafodelista"/>
        <w:rPr>
          <w:bCs w:val="0"/>
          <w:lang w:eastAsia="es-ES"/>
        </w:rPr>
      </w:pPr>
      <m:oMathPara>
        <m:oMath>
          <m:r>
            <w:rPr>
              <w:rFonts w:ascii="Cambria Math" w:eastAsia="Times New Roman" w:hAnsi="Cambria Math"/>
              <w:lang w:eastAsia="es-ES"/>
            </w:rPr>
            <m:t xml:space="preserve">CERT= </m:t>
          </m:r>
          <m:nary>
            <m:naryPr>
              <m:chr m:val="∑"/>
              <m:limLoc m:val="undOvr"/>
              <m:subHide m:val="1"/>
              <m:supHide m:val="1"/>
              <m:ctrlPr>
                <w:rPr>
                  <w:rFonts w:ascii="Cambria Math" w:eastAsia="Times New Roman" w:hAnsi="Cambria Math"/>
                  <w:bCs w:val="0"/>
                  <w:i/>
                  <w:lang w:eastAsia="es-ES"/>
                </w:rPr>
              </m:ctrlPr>
            </m:naryPr>
            <m:sub/>
            <m:sup/>
            <m:e>
              <m:sSub>
                <m:sSubPr>
                  <m:ctrlPr>
                    <w:rPr>
                      <w:rFonts w:ascii="Cambria Math" w:eastAsia="Times New Roman" w:hAnsi="Cambria Math"/>
                      <w:bCs w:val="0"/>
                      <w:i/>
                      <w:lang w:eastAsia="es-ES"/>
                    </w:rPr>
                  </m:ctrlPr>
                </m:sSubPr>
                <m:e>
                  <m:r>
                    <w:rPr>
                      <w:rFonts w:ascii="Cambria Math" w:hAnsi="Cambria Math"/>
                    </w:rPr>
                    <m:t>CER</m:t>
                  </m:r>
                </m:e>
                <m:sub>
                  <m:r>
                    <w:rPr>
                      <w:rFonts w:ascii="Cambria Math" w:hAnsi="Cambria Math"/>
                    </w:rPr>
                    <m:t>fp,n,m,j</m:t>
                  </m:r>
                </m:sub>
              </m:sSub>
            </m:e>
          </m:nary>
        </m:oMath>
      </m:oMathPara>
    </w:p>
    <w:p w14:paraId="21383038" w14:textId="723DF273" w:rsidR="00832BC0" w:rsidRPr="003D56B2" w:rsidRDefault="00DC6708" w:rsidP="00D04F6B">
      <w:pPr>
        <w:pStyle w:val="Prrafodelista"/>
        <w:rPr>
          <w:bCs w:val="0"/>
          <w:lang w:eastAsia="es-ES"/>
        </w:rPr>
      </w:pPr>
      <m:oMathPara>
        <m:oMath>
          <m:sSub>
            <m:sSubPr>
              <m:ctrlPr>
                <w:rPr>
                  <w:rFonts w:ascii="Cambria Math" w:eastAsia="Times New Roman" w:hAnsi="Cambria Math"/>
                  <w:bCs w:val="0"/>
                  <w:i/>
                  <w:lang w:eastAsia="es-ES"/>
                </w:rPr>
              </m:ctrlPr>
            </m:sSubPr>
            <m:e>
              <m:r>
                <w:rPr>
                  <w:rFonts w:ascii="Cambria Math" w:hAnsi="Cambria Math"/>
                </w:rPr>
                <m:t>CER</m:t>
              </m:r>
            </m:e>
            <m:sub>
              <m:r>
                <w:rPr>
                  <w:rFonts w:ascii="Cambria Math" w:hAnsi="Cambria Math"/>
                </w:rPr>
                <m:t>fp</m:t>
              </m:r>
              <m:r>
                <w:rPr>
                  <w:rFonts w:ascii="Cambria Math" w:hAnsi="Cambria Math"/>
                </w:rPr>
                <m:t>,</m:t>
              </m:r>
              <m:r>
                <w:rPr>
                  <w:rFonts w:ascii="Cambria Math" w:hAnsi="Cambria Math"/>
                </w:rPr>
                <m:t>n</m:t>
              </m:r>
              <m:r>
                <w:rPr>
                  <w:rFonts w:ascii="Cambria Math" w:hAnsi="Cambria Math"/>
                </w:rPr>
                <m:t>,</m:t>
              </m:r>
              <m:r>
                <w:rPr>
                  <w:rFonts w:ascii="Cambria Math" w:hAnsi="Cambria Math"/>
                </w:rPr>
                <m:t>m</m:t>
              </m:r>
              <m:r>
                <w:rPr>
                  <w:rFonts w:ascii="Cambria Math" w:hAnsi="Cambria Math"/>
                </w:rPr>
                <m:t>,</m:t>
              </m:r>
              <m:r>
                <w:rPr>
                  <w:rFonts w:ascii="Cambria Math" w:hAnsi="Cambria Math"/>
                </w:rPr>
                <m:t>j</m:t>
              </m:r>
            </m:sub>
          </m:sSub>
          <m:r>
            <w:rPr>
              <w:rFonts w:ascii="Cambria Math" w:hAnsi="Cambria Math"/>
            </w:rPr>
            <m:t>=</m:t>
          </m:r>
          <m:nary>
            <m:naryPr>
              <m:chr m:val="∑"/>
              <m:limLoc m:val="undOvr"/>
              <m:subHide m:val="1"/>
              <m:supHide m:val="1"/>
              <m:ctrlPr>
                <w:rPr>
                  <w:rFonts w:ascii="Cambria Math" w:eastAsia="Times New Roman" w:hAnsi="Cambria Math"/>
                  <w:bCs w:val="0"/>
                  <w:i/>
                  <w:lang w:eastAsia="es-ES"/>
                </w:rPr>
              </m:ctrlPr>
            </m:naryPr>
            <m:sub/>
            <m:sup/>
            <m:e>
              <m:sSub>
                <m:sSubPr>
                  <m:ctrlPr>
                    <w:rPr>
                      <w:rFonts w:ascii="Cambria Math" w:eastAsia="Times New Roman" w:hAnsi="Cambria Math"/>
                      <w:bCs w:val="0"/>
                      <w:i/>
                      <w:lang w:eastAsia="es-ES"/>
                    </w:rPr>
                  </m:ctrlPr>
                </m:sSubPr>
                <m:e>
                  <m:r>
                    <w:rPr>
                      <w:rFonts w:ascii="Cambria Math" w:hAnsi="Cambria Math"/>
                    </w:rPr>
                    <m:t>FCER</m:t>
                  </m:r>
                </m:e>
                <m:sub>
                  <m:r>
                    <w:rPr>
                      <w:rFonts w:ascii="Cambria Math" w:hAnsi="Cambria Math"/>
                    </w:rPr>
                    <m:t>u</m:t>
                  </m:r>
                  <m:r>
                    <w:rPr>
                      <w:rFonts w:ascii="Cambria Math" w:hAnsi="Cambria Math"/>
                    </w:rPr>
                    <m:t xml:space="preserve">, </m:t>
                  </m:r>
                  <m:r>
                    <w:rPr>
                      <w:rFonts w:ascii="Cambria Math" w:hAnsi="Cambria Math"/>
                    </w:rPr>
                    <m:t>fp</m:t>
                  </m:r>
                  <m:r>
                    <w:rPr>
                      <w:rFonts w:ascii="Cambria Math" w:hAnsi="Cambria Math"/>
                    </w:rPr>
                    <m:t>,</m:t>
                  </m:r>
                  <m:r>
                    <w:rPr>
                      <w:rFonts w:ascii="Cambria Math" w:hAnsi="Cambria Math"/>
                    </w:rPr>
                    <m:t>n</m:t>
                  </m:r>
                  <m:r>
                    <w:rPr>
                      <w:rFonts w:ascii="Cambria Math" w:hAnsi="Cambria Math"/>
                    </w:rPr>
                    <m:t>,</m:t>
                  </m:r>
                  <m:r>
                    <w:rPr>
                      <w:rFonts w:ascii="Cambria Math" w:hAnsi="Cambria Math"/>
                    </w:rPr>
                    <m:t>m</m:t>
                  </m:r>
                  <m:r>
                    <w:rPr>
                      <w:rFonts w:ascii="Cambria Math" w:hAnsi="Cambria Math"/>
                    </w:rPr>
                    <m:t>,</m:t>
                  </m:r>
                  <m:r>
                    <w:rPr>
                      <w:rFonts w:ascii="Cambria Math" w:hAnsi="Cambria Math"/>
                    </w:rPr>
                    <m:t>j</m:t>
                  </m:r>
                </m:sub>
              </m:sSub>
            </m:e>
          </m:nary>
        </m:oMath>
      </m:oMathPara>
    </w:p>
    <w:p w14:paraId="16F46BAD" w14:textId="101E04A8" w:rsidR="00713E33" w:rsidRPr="003D56B2" w:rsidRDefault="00713E33" w:rsidP="00713E33">
      <w:r w:rsidRPr="003D56B2">
        <w:t>Donde</w:t>
      </w:r>
      <w:r w:rsidR="006772F9" w:rsidRPr="003D56B2">
        <w:t>:</w:t>
      </w:r>
      <w:r w:rsidRPr="003D56B2">
        <w:t xml:space="preserve"> </w:t>
      </w:r>
    </w:p>
    <w:p w14:paraId="5F87F75D" w14:textId="08081E2A" w:rsidR="00E53830" w:rsidRPr="003D56B2" w:rsidRDefault="00E53830" w:rsidP="00E53830">
      <w:pPr>
        <w:rPr>
          <w:rFonts w:eastAsiaTheme="minorEastAsia"/>
        </w:rPr>
      </w:pPr>
      <m:oMath>
        <m:r>
          <w:rPr>
            <w:rFonts w:ascii="Cambria Math" w:hAnsi="Cambria Math"/>
          </w:rPr>
          <m:t>CERT</m:t>
        </m:r>
      </m:oMath>
      <w:r w:rsidR="00821D9F" w:rsidRPr="003D56B2">
        <w:rPr>
          <w:rFonts w:eastAsiaTheme="minorEastAsia"/>
        </w:rPr>
        <w:t>:</w:t>
      </w:r>
      <w:r w:rsidRPr="003D56B2">
        <w:rPr>
          <w:rFonts w:eastAsiaTheme="minorEastAsia"/>
        </w:rPr>
        <w:t xml:space="preserve"> cobro por el transporte de energía reactiva</w:t>
      </w:r>
      <w:r w:rsidR="00730922" w:rsidRPr="003D56B2">
        <w:rPr>
          <w:rFonts w:eastAsiaTheme="minorEastAsia"/>
        </w:rPr>
        <w:t xml:space="preserve"> capacitiva</w:t>
      </w:r>
      <w:r w:rsidRPr="003D56B2">
        <w:rPr>
          <w:rFonts w:eastAsiaTheme="minorEastAsia"/>
        </w:rPr>
        <w:t xml:space="preserve"> en exceso sobre el límite que pagan todos los usuarios conectados al SIN.</w:t>
      </w:r>
      <w:r w:rsidR="000B6FB7" w:rsidRPr="003D56B2">
        <w:rPr>
          <w:rFonts w:eastAsiaTheme="minorEastAsia"/>
        </w:rPr>
        <w:t xml:space="preserve"> Dado en pesos corrientes.</w:t>
      </w:r>
    </w:p>
    <w:p w14:paraId="39D395E1" w14:textId="2125299F" w:rsidR="00713E33" w:rsidRPr="003D56B2" w:rsidRDefault="00DC6708" w:rsidP="00713E33">
      <w:pPr>
        <w:rPr>
          <w:rFonts w:eastAsiaTheme="minorEastAsia"/>
        </w:rPr>
      </w:pPr>
      <m:oMath>
        <m:sSub>
          <m:sSubPr>
            <m:ctrlPr>
              <w:rPr>
                <w:rFonts w:ascii="Cambria Math" w:hAnsi="Cambria Math"/>
                <w:bCs w:val="0"/>
                <w:i/>
              </w:rPr>
            </m:ctrlPr>
          </m:sSubPr>
          <m:e>
            <m:r>
              <w:rPr>
                <w:rFonts w:ascii="Cambria Math" w:hAnsi="Cambria Math"/>
              </w:rPr>
              <m:t>CER</m:t>
            </m:r>
          </m:e>
          <m:sub>
            <m:r>
              <w:rPr>
                <w:rFonts w:ascii="Cambria Math" w:hAnsi="Cambria Math"/>
              </w:rPr>
              <m:t>fp</m:t>
            </m:r>
            <m:r>
              <w:rPr>
                <w:rFonts w:ascii="Cambria Math" w:hAnsi="Cambria Math"/>
              </w:rPr>
              <m:t>,</m:t>
            </m:r>
            <m:r>
              <w:rPr>
                <w:rFonts w:ascii="Cambria Math" w:hAnsi="Cambria Math"/>
              </w:rPr>
              <m:t>n</m:t>
            </m:r>
            <m:r>
              <w:rPr>
                <w:rFonts w:ascii="Cambria Math" w:hAnsi="Cambria Math"/>
              </w:rPr>
              <m:t>,</m:t>
            </m:r>
            <m:r>
              <w:rPr>
                <w:rFonts w:ascii="Cambria Math" w:hAnsi="Cambria Math"/>
              </w:rPr>
              <m:t>m</m:t>
            </m:r>
            <m:r>
              <w:rPr>
                <w:rFonts w:ascii="Cambria Math" w:hAnsi="Cambria Math"/>
              </w:rPr>
              <m:t>,</m:t>
            </m:r>
            <m:r>
              <w:rPr>
                <w:rFonts w:ascii="Cambria Math" w:hAnsi="Cambria Math"/>
              </w:rPr>
              <m:t>j</m:t>
            </m:r>
          </m:sub>
        </m:sSub>
      </m:oMath>
      <w:r w:rsidR="00821D9F" w:rsidRPr="003D56B2">
        <w:rPr>
          <w:rFonts w:eastAsiaTheme="minorEastAsia"/>
          <w:bCs w:val="0"/>
        </w:rPr>
        <w:t xml:space="preserve">: </w:t>
      </w:r>
      <w:r w:rsidR="00713E33" w:rsidRPr="003D56B2">
        <w:rPr>
          <w:rFonts w:eastAsiaTheme="minorEastAsia"/>
        </w:rPr>
        <w:t>cobro por el transporte de energía reactiva</w:t>
      </w:r>
      <w:r w:rsidR="00730922" w:rsidRPr="003D56B2">
        <w:rPr>
          <w:rFonts w:eastAsiaTheme="minorEastAsia"/>
        </w:rPr>
        <w:t xml:space="preserve"> capacitiva</w:t>
      </w:r>
      <w:r w:rsidR="00713E33" w:rsidRPr="003D56B2">
        <w:rPr>
          <w:rFonts w:eastAsiaTheme="minorEastAsia"/>
        </w:rPr>
        <w:t xml:space="preserve"> en exceso sobre el límite que paga</w:t>
      </w:r>
      <w:r w:rsidR="00124E58" w:rsidRPr="003D56B2">
        <w:rPr>
          <w:rFonts w:eastAsiaTheme="minorEastAsia"/>
        </w:rPr>
        <w:t>n</w:t>
      </w:r>
      <w:r w:rsidR="00713E33" w:rsidRPr="003D56B2">
        <w:rPr>
          <w:rFonts w:eastAsiaTheme="minorEastAsia"/>
        </w:rPr>
        <w:t xml:space="preserve"> </w:t>
      </w:r>
      <w:r w:rsidR="005F1418" w:rsidRPr="003D56B2">
        <w:rPr>
          <w:rFonts w:eastAsiaTheme="minorEastAsia"/>
        </w:rPr>
        <w:t>los usuarios</w:t>
      </w:r>
      <w:r w:rsidR="00124E58" w:rsidRPr="003D56B2">
        <w:rPr>
          <w:rFonts w:eastAsiaTheme="minorEastAsia"/>
        </w:rPr>
        <w:t xml:space="preserve"> </w:t>
      </w:r>
      <w:r w:rsidR="009543B7" w:rsidRPr="003D56B2">
        <w:rPr>
          <w:rFonts w:eastAsiaTheme="minorEastAsia"/>
        </w:rPr>
        <w:t>que pertenezcan al mismo rango</w:t>
      </w:r>
      <w:r w:rsidR="00F65677" w:rsidRPr="003D56B2">
        <w:rPr>
          <w:rFonts w:eastAsiaTheme="minorEastAsia"/>
        </w:rPr>
        <w:t xml:space="preserve"> </w:t>
      </w:r>
      <m:oMath>
        <m:r>
          <w:rPr>
            <w:rFonts w:ascii="Cambria Math" w:eastAsiaTheme="minorEastAsia" w:hAnsi="Cambria Math"/>
          </w:rPr>
          <m:t>fp</m:t>
        </m:r>
      </m:oMath>
      <w:r w:rsidR="00713E33" w:rsidRPr="003D56B2">
        <w:rPr>
          <w:rFonts w:eastAsiaTheme="minorEastAsia"/>
        </w:rPr>
        <w:t xml:space="preserve">, </w:t>
      </w:r>
      <w:r w:rsidR="003E7057" w:rsidRPr="003D56B2">
        <w:rPr>
          <w:rFonts w:eastAsiaTheme="minorEastAsia"/>
        </w:rPr>
        <w:t>conectados al</w:t>
      </w:r>
      <w:r w:rsidR="00713E33" w:rsidRPr="003D56B2">
        <w:rPr>
          <w:rFonts w:eastAsiaTheme="minorEastAsia"/>
        </w:rPr>
        <w:t xml:space="preserve"> nivel de tensión </w:t>
      </w:r>
      <m:oMath>
        <m:r>
          <w:rPr>
            <w:rFonts w:ascii="Cambria Math" w:eastAsiaTheme="minorEastAsia" w:hAnsi="Cambria Math"/>
          </w:rPr>
          <m:t>n</m:t>
        </m:r>
      </m:oMath>
      <w:r w:rsidR="00713E33" w:rsidRPr="003D56B2">
        <w:rPr>
          <w:rFonts w:eastAsiaTheme="minorEastAsia"/>
        </w:rPr>
        <w:t>, en el mes</w:t>
      </w:r>
      <w:r w:rsidR="00146040" w:rsidRPr="003D56B2">
        <w:rPr>
          <w:rFonts w:eastAsiaTheme="minorEastAsia"/>
        </w:rPr>
        <w:t xml:space="preserve"> </w:t>
      </w:r>
      <m:oMath>
        <m:r>
          <w:rPr>
            <w:rFonts w:ascii="Cambria Math" w:eastAsiaTheme="minorEastAsia" w:hAnsi="Cambria Math"/>
          </w:rPr>
          <m:t>m</m:t>
        </m:r>
      </m:oMath>
      <w:r w:rsidR="00713E33" w:rsidRPr="003D56B2">
        <w:rPr>
          <w:rFonts w:eastAsiaTheme="minorEastAsia"/>
        </w:rPr>
        <w:t xml:space="preserve">, del sistema operado por el OR </w:t>
      </w:r>
      <m:oMath>
        <m:r>
          <w:rPr>
            <w:rFonts w:ascii="Cambria Math" w:eastAsiaTheme="minorEastAsia" w:hAnsi="Cambria Math"/>
          </w:rPr>
          <m:t>j</m:t>
        </m:r>
      </m:oMath>
      <w:r w:rsidR="00713E33" w:rsidRPr="003D56B2">
        <w:rPr>
          <w:rFonts w:eastAsiaTheme="minorEastAsia"/>
        </w:rPr>
        <w:t>, en pesos</w:t>
      </w:r>
      <w:r w:rsidR="00E53830" w:rsidRPr="003D56B2">
        <w:rPr>
          <w:rFonts w:eastAsiaTheme="minorEastAsia"/>
        </w:rPr>
        <w:t xml:space="preserve"> corrientes</w:t>
      </w:r>
      <w:r w:rsidR="00713E33" w:rsidRPr="003D56B2">
        <w:rPr>
          <w:rFonts w:eastAsiaTheme="minorEastAsia"/>
        </w:rPr>
        <w:t>.</w:t>
      </w:r>
    </w:p>
    <w:p w14:paraId="09EB1062" w14:textId="2A419197" w:rsidR="00EB4979" w:rsidRPr="003D56B2" w:rsidRDefault="00DC6708" w:rsidP="00EB4979">
      <w:pPr>
        <w:rPr>
          <w:rFonts w:eastAsiaTheme="minorEastAsia"/>
        </w:rPr>
      </w:pPr>
      <m:oMath>
        <m:sSub>
          <m:sSubPr>
            <m:ctrlPr>
              <w:rPr>
                <w:rFonts w:ascii="Cambria Math" w:hAnsi="Cambria Math" w:cs="Arial"/>
                <w:bCs w:val="0"/>
                <w:i/>
                <w:szCs w:val="22"/>
              </w:rPr>
            </m:ctrlPr>
          </m:sSubPr>
          <m:e>
            <m:r>
              <w:rPr>
                <w:rFonts w:ascii="Cambria Math" w:hAnsi="Cambria Math" w:cs="Arial"/>
                <w:szCs w:val="22"/>
              </w:rPr>
              <m:t>FCER</m:t>
            </m:r>
          </m:e>
          <m:sub>
            <m:r>
              <w:rPr>
                <w:rFonts w:ascii="Cambria Math" w:hAnsi="Cambria Math" w:cs="Arial"/>
                <w:szCs w:val="22"/>
              </w:rPr>
              <m:t>u</m:t>
            </m:r>
            <m:r>
              <w:rPr>
                <w:rFonts w:ascii="Cambria Math" w:hAnsi="Cambria Math" w:cs="Arial"/>
                <w:szCs w:val="22"/>
              </w:rPr>
              <m:t>,</m:t>
            </m:r>
            <m:r>
              <w:rPr>
                <w:rFonts w:ascii="Cambria Math" w:hAnsi="Cambria Math" w:cs="Arial"/>
                <w:szCs w:val="22"/>
              </w:rPr>
              <m:t>fp</m:t>
            </m:r>
            <m:r>
              <w:rPr>
                <w:rFonts w:ascii="Cambria Math" w:hAnsi="Cambria Math" w:cs="Arial"/>
                <w:szCs w:val="22"/>
              </w:rPr>
              <m:t>,</m:t>
            </m:r>
            <m:r>
              <w:rPr>
                <w:rFonts w:ascii="Cambria Math" w:hAnsi="Cambria Math" w:cs="Arial"/>
                <w:szCs w:val="22"/>
              </w:rPr>
              <m:t>n</m:t>
            </m:r>
            <m:r>
              <w:rPr>
                <w:rFonts w:ascii="Cambria Math" w:hAnsi="Cambria Math" w:cs="Arial"/>
                <w:szCs w:val="22"/>
              </w:rPr>
              <m:t>,</m:t>
            </m:r>
            <m:r>
              <w:rPr>
                <w:rFonts w:ascii="Cambria Math" w:hAnsi="Cambria Math" w:cs="Arial"/>
                <w:szCs w:val="22"/>
              </w:rPr>
              <m:t>m</m:t>
            </m:r>
            <m:r>
              <w:rPr>
                <w:rFonts w:ascii="Cambria Math" w:hAnsi="Cambria Math" w:cs="Arial"/>
                <w:szCs w:val="22"/>
              </w:rPr>
              <m:t>,</m:t>
            </m:r>
            <m:r>
              <w:rPr>
                <w:rFonts w:ascii="Cambria Math" w:hAnsi="Cambria Math" w:cs="Arial"/>
                <w:szCs w:val="22"/>
              </w:rPr>
              <m:t>j</m:t>
            </m:r>
          </m:sub>
        </m:sSub>
      </m:oMath>
      <w:r w:rsidR="00713E33" w:rsidRPr="003D56B2">
        <w:rPr>
          <w:rFonts w:eastAsiaTheme="minorEastAsia"/>
        </w:rPr>
        <w:t xml:space="preserve"> </w:t>
      </w:r>
      <w:r w:rsidR="00821D9F" w:rsidRPr="003D56B2">
        <w:rPr>
          <w:rFonts w:eastAsiaTheme="minorEastAsia"/>
        </w:rPr>
        <w:t>:</w:t>
      </w:r>
      <w:r w:rsidR="00E667BB" w:rsidRPr="003D56B2">
        <w:rPr>
          <w:rFonts w:eastAsiaTheme="minorEastAsia"/>
        </w:rPr>
        <w:t xml:space="preserve"> valor</w:t>
      </w:r>
      <w:r w:rsidR="001F3839" w:rsidRPr="003D56B2">
        <w:rPr>
          <w:rFonts w:eastAsiaTheme="minorEastAsia"/>
        </w:rPr>
        <w:t xml:space="preserve"> factura</w:t>
      </w:r>
      <w:r w:rsidR="00E667BB" w:rsidRPr="003D56B2">
        <w:rPr>
          <w:rFonts w:eastAsiaTheme="minorEastAsia"/>
        </w:rPr>
        <w:t>do</w:t>
      </w:r>
      <w:r w:rsidR="001F3839" w:rsidRPr="003D56B2">
        <w:rPr>
          <w:rFonts w:eastAsiaTheme="minorEastAsia"/>
        </w:rPr>
        <w:t xml:space="preserve"> a </w:t>
      </w:r>
      <w:r w:rsidR="003F62FC" w:rsidRPr="003D56B2">
        <w:rPr>
          <w:rFonts w:eastAsiaTheme="minorEastAsia"/>
        </w:rPr>
        <w:t>cada</w:t>
      </w:r>
      <w:r w:rsidR="001F3839" w:rsidRPr="003D56B2">
        <w:rPr>
          <w:rFonts w:eastAsiaTheme="minorEastAsia"/>
        </w:rPr>
        <w:t xml:space="preserve"> usuario</w:t>
      </w:r>
      <w:r w:rsidR="002610EB" w:rsidRPr="003D56B2">
        <w:rPr>
          <w:rFonts w:eastAsiaTheme="minorEastAsia"/>
        </w:rPr>
        <w:t xml:space="preserve"> </w:t>
      </w:r>
      <m:oMath>
        <m:r>
          <w:rPr>
            <w:rFonts w:ascii="Cambria Math" w:eastAsiaTheme="minorEastAsia" w:hAnsi="Cambria Math"/>
          </w:rPr>
          <m:t>u</m:t>
        </m:r>
      </m:oMath>
      <w:r w:rsidR="002610EB" w:rsidRPr="003D56B2">
        <w:rPr>
          <w:rFonts w:eastAsiaTheme="minorEastAsia"/>
        </w:rPr>
        <w:t>,</w:t>
      </w:r>
      <w:r w:rsidR="001F3839" w:rsidRPr="003D56B2">
        <w:rPr>
          <w:rFonts w:eastAsiaTheme="minorEastAsia"/>
        </w:rPr>
        <w:t xml:space="preserve"> por concepto de</w:t>
      </w:r>
      <w:r w:rsidR="00E667BB" w:rsidRPr="003D56B2">
        <w:rPr>
          <w:rFonts w:eastAsiaTheme="minorEastAsia"/>
        </w:rPr>
        <w:t xml:space="preserve"> transporte de</w:t>
      </w:r>
      <w:r w:rsidR="001F3839" w:rsidRPr="003D56B2">
        <w:rPr>
          <w:rFonts w:eastAsiaTheme="minorEastAsia"/>
        </w:rPr>
        <w:t xml:space="preserve"> energía reactiva</w:t>
      </w:r>
      <w:r w:rsidR="00E667BB" w:rsidRPr="003D56B2">
        <w:rPr>
          <w:rFonts w:eastAsiaTheme="minorEastAsia"/>
        </w:rPr>
        <w:t xml:space="preserve"> capacitiva</w:t>
      </w:r>
      <w:r w:rsidR="008C6451" w:rsidRPr="003D56B2">
        <w:rPr>
          <w:rFonts w:eastAsiaTheme="minorEastAsia"/>
        </w:rPr>
        <w:t xml:space="preserve"> </w:t>
      </w:r>
      <w:r w:rsidR="00730922" w:rsidRPr="003D56B2">
        <w:rPr>
          <w:rFonts w:eastAsiaTheme="minorEastAsia"/>
        </w:rPr>
        <w:t xml:space="preserve">en exceso </w:t>
      </w:r>
      <w:r w:rsidR="008C6451" w:rsidRPr="003D56B2">
        <w:rPr>
          <w:rFonts w:eastAsiaTheme="minorEastAsia"/>
        </w:rPr>
        <w:t>sobre el límite</w:t>
      </w:r>
      <w:r w:rsidR="00713E33" w:rsidRPr="003D56B2">
        <w:rPr>
          <w:rFonts w:eastAsiaTheme="minorEastAsia"/>
        </w:rPr>
        <w:t xml:space="preserve"> según el </w:t>
      </w:r>
      <m:oMath>
        <m:r>
          <w:rPr>
            <w:rFonts w:ascii="Cambria Math" w:eastAsiaTheme="minorEastAsia" w:hAnsi="Cambria Math"/>
          </w:rPr>
          <m:t>fp</m:t>
        </m:r>
      </m:oMath>
      <w:r w:rsidR="00713E33" w:rsidRPr="003D56B2">
        <w:rPr>
          <w:rFonts w:eastAsiaTheme="minorEastAsia"/>
        </w:rPr>
        <w:t xml:space="preserve">, nivel de tensión </w:t>
      </w:r>
      <m:oMath>
        <m:r>
          <w:rPr>
            <w:rFonts w:ascii="Cambria Math" w:eastAsiaTheme="minorEastAsia" w:hAnsi="Cambria Math"/>
          </w:rPr>
          <m:t>n</m:t>
        </m:r>
      </m:oMath>
      <w:r w:rsidR="00713E33" w:rsidRPr="003D56B2">
        <w:rPr>
          <w:rFonts w:eastAsiaTheme="minorEastAsia"/>
        </w:rPr>
        <w:t xml:space="preserve">, en el mes </w:t>
      </w:r>
      <m:oMath>
        <m:r>
          <w:rPr>
            <w:rFonts w:ascii="Cambria Math" w:eastAsiaTheme="minorEastAsia" w:hAnsi="Cambria Math"/>
          </w:rPr>
          <m:t>m</m:t>
        </m:r>
      </m:oMath>
      <w:r w:rsidR="00713E33" w:rsidRPr="003D56B2">
        <w:rPr>
          <w:rFonts w:eastAsiaTheme="minorEastAsia"/>
        </w:rPr>
        <w:t xml:space="preserve">, en el sistema del OR </w:t>
      </w:r>
      <m:oMath>
        <m:r>
          <w:rPr>
            <w:rFonts w:ascii="Cambria Math" w:eastAsiaTheme="minorEastAsia" w:hAnsi="Cambria Math"/>
          </w:rPr>
          <m:t>j</m:t>
        </m:r>
      </m:oMath>
      <w:r w:rsidR="0005006D" w:rsidRPr="003D56B2">
        <w:rPr>
          <w:rFonts w:eastAsiaTheme="minorEastAsia"/>
        </w:rPr>
        <w:t>.</w:t>
      </w:r>
      <w:r w:rsidR="00730922" w:rsidRPr="003D56B2">
        <w:rPr>
          <w:rFonts w:eastAsiaTheme="minorEastAsia"/>
        </w:rPr>
        <w:t xml:space="preserve"> Dado en pesos corrientes.</w:t>
      </w:r>
    </w:p>
    <w:p w14:paraId="4893FBE6" w14:textId="77777777" w:rsidR="00C64E86" w:rsidRPr="003D56B2" w:rsidRDefault="00C64E86" w:rsidP="00EB4979">
      <w:pPr>
        <w:rPr>
          <w:rFonts w:eastAsiaTheme="minorEastAsia"/>
        </w:rPr>
      </w:pPr>
    </w:p>
    <w:p w14:paraId="369FFAEE" w14:textId="78457D3B" w:rsidR="00DD79C0" w:rsidRPr="003D56B2" w:rsidRDefault="00DD79C0" w:rsidP="00826981">
      <w:pPr>
        <w:pStyle w:val="Prrafodelista"/>
        <w:numPr>
          <w:ilvl w:val="0"/>
          <w:numId w:val="10"/>
        </w:numPr>
      </w:pPr>
      <w:r w:rsidRPr="003D56B2">
        <w:t xml:space="preserve">Indicador de </w:t>
      </w:r>
      <w:r w:rsidR="00730922" w:rsidRPr="003D56B2">
        <w:t>cantidad de transporte</w:t>
      </w:r>
      <w:r w:rsidRPr="003D56B2">
        <w:t xml:space="preserve"> de reactiva</w:t>
      </w:r>
      <w:r w:rsidR="00730922" w:rsidRPr="003D56B2">
        <w:t xml:space="preserve"> capacitiva</w:t>
      </w:r>
      <w:r w:rsidRPr="003D56B2">
        <w:t>, calculado con información anterior y posterior a la aplicación de la presente propuesta:</w:t>
      </w:r>
    </w:p>
    <w:p w14:paraId="6BD8325C" w14:textId="735D9FC4" w:rsidR="00C64E86" w:rsidRPr="003D56B2" w:rsidRDefault="00C64E86" w:rsidP="00C64E86">
      <w:pPr>
        <w:rPr>
          <w:bCs w:val="0"/>
        </w:rPr>
      </w:pPr>
      <m:oMathPara>
        <m:oMath>
          <m:r>
            <w:rPr>
              <w:rFonts w:ascii="Cambria Math" w:hAnsi="Cambria Math"/>
            </w:rPr>
            <m:t xml:space="preserve">ERT= </m:t>
          </m:r>
          <m:nary>
            <m:naryPr>
              <m:chr m:val="∑"/>
              <m:limLoc m:val="undOvr"/>
              <m:subHide m:val="1"/>
              <m:supHide m:val="1"/>
              <m:ctrlPr>
                <w:rPr>
                  <w:rFonts w:ascii="Cambria Math" w:hAnsi="Cambria Math"/>
                  <w:bCs w:val="0"/>
                  <w:i/>
                </w:rPr>
              </m:ctrlPr>
            </m:naryPr>
            <m:sub/>
            <m:sup/>
            <m:e>
              <m:sSub>
                <m:sSubPr>
                  <m:ctrlPr>
                    <w:rPr>
                      <w:rFonts w:ascii="Cambria Math" w:hAnsi="Cambria Math"/>
                      <w:bCs w:val="0"/>
                      <w:i/>
                    </w:rPr>
                  </m:ctrlPr>
                </m:sSubPr>
                <m:e>
                  <m:r>
                    <w:rPr>
                      <w:rFonts w:ascii="Cambria Math" w:hAnsi="Cambria Math"/>
                    </w:rPr>
                    <m:t>ER</m:t>
                  </m:r>
                </m:e>
                <m:sub>
                  <m:r>
                    <w:rPr>
                      <w:rFonts w:ascii="Cambria Math" w:hAnsi="Cambria Math"/>
                    </w:rPr>
                    <m:t>fp,n,m,j</m:t>
                  </m:r>
                </m:sub>
              </m:sSub>
            </m:e>
          </m:nary>
        </m:oMath>
      </m:oMathPara>
    </w:p>
    <w:p w14:paraId="6010EA7B" w14:textId="5F388B29" w:rsidR="00C64E86" w:rsidRPr="003D56B2" w:rsidRDefault="00DC6708" w:rsidP="00C64E86">
      <w:pPr>
        <w:rPr>
          <w:bCs w:val="0"/>
        </w:rPr>
      </w:pPr>
      <m:oMathPara>
        <m:oMath>
          <m:sSub>
            <m:sSubPr>
              <m:ctrlPr>
                <w:rPr>
                  <w:rFonts w:ascii="Cambria Math" w:hAnsi="Cambria Math"/>
                  <w:bCs w:val="0"/>
                  <w:i/>
                </w:rPr>
              </m:ctrlPr>
            </m:sSubPr>
            <m:e>
              <m:r>
                <w:rPr>
                  <w:rFonts w:ascii="Cambria Math" w:hAnsi="Cambria Math"/>
                </w:rPr>
                <m:t>ER</m:t>
              </m:r>
            </m:e>
            <m:sub>
              <m:r>
                <w:rPr>
                  <w:rFonts w:ascii="Cambria Math" w:hAnsi="Cambria Math"/>
                </w:rPr>
                <m:t>fp</m:t>
              </m:r>
              <m:r>
                <w:rPr>
                  <w:rFonts w:ascii="Cambria Math" w:hAnsi="Cambria Math"/>
                </w:rPr>
                <m:t>,</m:t>
              </m:r>
              <m:r>
                <w:rPr>
                  <w:rFonts w:ascii="Cambria Math" w:hAnsi="Cambria Math"/>
                </w:rPr>
                <m:t>n</m:t>
              </m:r>
              <m:r>
                <w:rPr>
                  <w:rFonts w:ascii="Cambria Math" w:hAnsi="Cambria Math"/>
                </w:rPr>
                <m:t>,</m:t>
              </m:r>
              <m:r>
                <w:rPr>
                  <w:rFonts w:ascii="Cambria Math" w:hAnsi="Cambria Math"/>
                </w:rPr>
                <m:t>m</m:t>
              </m:r>
              <m:r>
                <w:rPr>
                  <w:rFonts w:ascii="Cambria Math" w:hAnsi="Cambria Math"/>
                </w:rPr>
                <m:t>,</m:t>
              </m:r>
              <m:r>
                <w:rPr>
                  <w:rFonts w:ascii="Cambria Math" w:hAnsi="Cambria Math"/>
                </w:rPr>
                <m:t>j</m:t>
              </m:r>
            </m:sub>
          </m:sSub>
          <m:r>
            <w:rPr>
              <w:rFonts w:ascii="Cambria Math" w:hAnsi="Cambria Math"/>
            </w:rPr>
            <m:t xml:space="preserve"> =</m:t>
          </m:r>
          <m:nary>
            <m:naryPr>
              <m:chr m:val="∑"/>
              <m:limLoc m:val="undOvr"/>
              <m:subHide m:val="1"/>
              <m:supHide m:val="1"/>
              <m:ctrlPr>
                <w:rPr>
                  <w:rFonts w:ascii="Cambria Math" w:hAnsi="Cambria Math"/>
                  <w:bCs w:val="0"/>
                  <w:i/>
                </w:rPr>
              </m:ctrlPr>
            </m:naryPr>
            <m:sub/>
            <m:sup/>
            <m:e>
              <m:sSub>
                <m:sSubPr>
                  <m:ctrlPr>
                    <w:rPr>
                      <w:rFonts w:ascii="Cambria Math" w:hAnsi="Cambria Math"/>
                      <w:bCs w:val="0"/>
                      <w:i/>
                    </w:rPr>
                  </m:ctrlPr>
                </m:sSubPr>
                <m:e>
                  <m:r>
                    <w:rPr>
                      <w:rFonts w:ascii="Cambria Math" w:hAnsi="Cambria Math"/>
                    </w:rPr>
                    <m:t>TER</m:t>
                  </m:r>
                </m:e>
                <m:sub>
                  <m:r>
                    <w:rPr>
                      <w:rFonts w:ascii="Cambria Math" w:hAnsi="Cambria Math"/>
                    </w:rPr>
                    <m:t>u</m:t>
                  </m:r>
                  <m:r>
                    <w:rPr>
                      <w:rFonts w:ascii="Cambria Math" w:hAnsi="Cambria Math"/>
                    </w:rPr>
                    <m:t xml:space="preserve">, </m:t>
                  </m:r>
                  <m:r>
                    <w:rPr>
                      <w:rFonts w:ascii="Cambria Math" w:hAnsi="Cambria Math"/>
                    </w:rPr>
                    <m:t>fp</m:t>
                  </m:r>
                  <m:r>
                    <w:rPr>
                      <w:rFonts w:ascii="Cambria Math" w:hAnsi="Cambria Math"/>
                    </w:rPr>
                    <m:t>,</m:t>
                  </m:r>
                  <m:r>
                    <w:rPr>
                      <w:rFonts w:ascii="Cambria Math" w:hAnsi="Cambria Math"/>
                    </w:rPr>
                    <m:t>n</m:t>
                  </m:r>
                  <m:r>
                    <w:rPr>
                      <w:rFonts w:ascii="Cambria Math" w:hAnsi="Cambria Math"/>
                    </w:rPr>
                    <m:t>,</m:t>
                  </m:r>
                  <m:r>
                    <w:rPr>
                      <w:rFonts w:ascii="Cambria Math" w:hAnsi="Cambria Math"/>
                    </w:rPr>
                    <m:t>m</m:t>
                  </m:r>
                  <m:r>
                    <w:rPr>
                      <w:rFonts w:ascii="Cambria Math" w:hAnsi="Cambria Math"/>
                    </w:rPr>
                    <m:t>,</m:t>
                  </m:r>
                  <m:r>
                    <w:rPr>
                      <w:rFonts w:ascii="Cambria Math" w:hAnsi="Cambria Math"/>
                    </w:rPr>
                    <m:t>j</m:t>
                  </m:r>
                </m:sub>
              </m:sSub>
            </m:e>
          </m:nary>
        </m:oMath>
      </m:oMathPara>
    </w:p>
    <w:p w14:paraId="040062A7" w14:textId="482ED45F" w:rsidR="00C64E86" w:rsidRPr="003D56B2" w:rsidRDefault="00C64E86" w:rsidP="00C64E86">
      <w:r w:rsidRPr="003D56B2">
        <w:t xml:space="preserve">Donde: </w:t>
      </w:r>
    </w:p>
    <w:p w14:paraId="1BF3CE99" w14:textId="0A9E4211" w:rsidR="000B6FB7" w:rsidRPr="003D56B2" w:rsidRDefault="00C64E86" w:rsidP="000B6FB7">
      <w:pPr>
        <w:rPr>
          <w:rFonts w:eastAsiaTheme="minorEastAsia"/>
        </w:rPr>
      </w:pPr>
      <m:oMath>
        <m:r>
          <w:rPr>
            <w:rFonts w:ascii="Cambria Math" w:hAnsi="Cambria Math"/>
          </w:rPr>
          <m:t>ERT</m:t>
        </m:r>
      </m:oMath>
      <w:r w:rsidRPr="003D56B2">
        <w:rPr>
          <w:rFonts w:eastAsiaTheme="minorEastAsia"/>
        </w:rPr>
        <w:t xml:space="preserve">: </w:t>
      </w:r>
      <w:r w:rsidR="00DC102E" w:rsidRPr="003D56B2">
        <w:rPr>
          <w:rFonts w:eastAsiaTheme="minorEastAsia"/>
        </w:rPr>
        <w:t>cantidad de</w:t>
      </w:r>
      <w:r w:rsidRPr="003D56B2">
        <w:rPr>
          <w:rFonts w:eastAsiaTheme="minorEastAsia"/>
        </w:rPr>
        <w:t xml:space="preserve"> energía reactiva capacitiva </w:t>
      </w:r>
      <w:r w:rsidR="004B2AAC" w:rsidRPr="003D56B2">
        <w:rPr>
          <w:rFonts w:eastAsiaTheme="minorEastAsia"/>
        </w:rPr>
        <w:t xml:space="preserve">transportada </w:t>
      </w:r>
      <w:r w:rsidR="00A511C4" w:rsidRPr="003D56B2">
        <w:rPr>
          <w:rFonts w:eastAsiaTheme="minorEastAsia"/>
        </w:rPr>
        <w:t>por causa de</w:t>
      </w:r>
      <w:r w:rsidRPr="003D56B2">
        <w:rPr>
          <w:rFonts w:eastAsiaTheme="minorEastAsia"/>
        </w:rPr>
        <w:t xml:space="preserve"> todos los usuarios conectados al SIN.</w:t>
      </w:r>
      <w:r w:rsidR="000B6FB7" w:rsidRPr="003D56B2">
        <w:rPr>
          <w:rFonts w:eastAsiaTheme="minorEastAsia"/>
        </w:rPr>
        <w:t xml:space="preserve"> Dado en </w:t>
      </w:r>
      <w:proofErr w:type="spellStart"/>
      <w:r w:rsidR="006B6CF7" w:rsidRPr="003D56B2">
        <w:rPr>
          <w:rFonts w:eastAsiaTheme="minorEastAsia"/>
        </w:rPr>
        <w:t>kVAr</w:t>
      </w:r>
      <w:r w:rsidR="00487347" w:rsidRPr="003D56B2">
        <w:rPr>
          <w:rFonts w:eastAsiaTheme="minorEastAsia"/>
        </w:rPr>
        <w:t>h</w:t>
      </w:r>
      <w:proofErr w:type="spellEnd"/>
      <w:r w:rsidR="000B6FB7" w:rsidRPr="003D56B2">
        <w:rPr>
          <w:rFonts w:eastAsiaTheme="minorEastAsia"/>
        </w:rPr>
        <w:t>.</w:t>
      </w:r>
    </w:p>
    <w:p w14:paraId="1D9F2EE1" w14:textId="09E5E165" w:rsidR="00C64E86" w:rsidRPr="003D56B2" w:rsidRDefault="00DC6708" w:rsidP="00C64E86">
      <w:pPr>
        <w:rPr>
          <w:rFonts w:eastAsiaTheme="minorEastAsia"/>
        </w:rPr>
      </w:pPr>
      <m:oMath>
        <m:sSub>
          <m:sSubPr>
            <m:ctrlPr>
              <w:rPr>
                <w:rFonts w:ascii="Cambria Math" w:hAnsi="Cambria Math"/>
                <w:bCs w:val="0"/>
                <w:i/>
              </w:rPr>
            </m:ctrlPr>
          </m:sSubPr>
          <m:e>
            <m:r>
              <w:rPr>
                <w:rFonts w:ascii="Cambria Math" w:hAnsi="Cambria Math"/>
              </w:rPr>
              <m:t>ER</m:t>
            </m:r>
          </m:e>
          <m:sub>
            <m:r>
              <w:rPr>
                <w:rFonts w:ascii="Cambria Math" w:hAnsi="Cambria Math"/>
              </w:rPr>
              <m:t>fp</m:t>
            </m:r>
            <m:r>
              <w:rPr>
                <w:rFonts w:ascii="Cambria Math" w:hAnsi="Cambria Math"/>
              </w:rPr>
              <m:t>,</m:t>
            </m:r>
            <m:r>
              <w:rPr>
                <w:rFonts w:ascii="Cambria Math" w:hAnsi="Cambria Math"/>
              </w:rPr>
              <m:t>n</m:t>
            </m:r>
            <m:r>
              <w:rPr>
                <w:rFonts w:ascii="Cambria Math" w:hAnsi="Cambria Math"/>
              </w:rPr>
              <m:t>,</m:t>
            </m:r>
            <m:r>
              <w:rPr>
                <w:rFonts w:ascii="Cambria Math" w:hAnsi="Cambria Math"/>
              </w:rPr>
              <m:t>m</m:t>
            </m:r>
            <m:r>
              <w:rPr>
                <w:rFonts w:ascii="Cambria Math" w:hAnsi="Cambria Math"/>
              </w:rPr>
              <m:t>,</m:t>
            </m:r>
            <m:r>
              <w:rPr>
                <w:rFonts w:ascii="Cambria Math" w:hAnsi="Cambria Math"/>
              </w:rPr>
              <m:t>j</m:t>
            </m:r>
          </m:sub>
        </m:sSub>
      </m:oMath>
      <w:r w:rsidR="00C64E86" w:rsidRPr="003D56B2">
        <w:rPr>
          <w:rFonts w:eastAsiaTheme="minorEastAsia"/>
          <w:bCs w:val="0"/>
        </w:rPr>
        <w:t xml:space="preserve">: </w:t>
      </w:r>
      <w:r w:rsidR="00C64E86" w:rsidRPr="003D56B2">
        <w:rPr>
          <w:rFonts w:eastAsiaTheme="minorEastAsia"/>
        </w:rPr>
        <w:t xml:space="preserve">transporte de energía reactiva capacitiva </w:t>
      </w:r>
      <w:r w:rsidR="00A511C4" w:rsidRPr="003D56B2">
        <w:rPr>
          <w:rFonts w:eastAsiaTheme="minorEastAsia"/>
        </w:rPr>
        <w:t>causada por</w:t>
      </w:r>
      <w:r w:rsidR="00C64E86" w:rsidRPr="003D56B2">
        <w:rPr>
          <w:rFonts w:eastAsiaTheme="minorEastAsia"/>
        </w:rPr>
        <w:t xml:space="preserve"> </w:t>
      </w:r>
      <w:r w:rsidR="003E7057" w:rsidRPr="003D56B2">
        <w:rPr>
          <w:rFonts w:eastAsiaTheme="minorEastAsia"/>
        </w:rPr>
        <w:t xml:space="preserve">los usuarios que pertenezcan al mismo rango </w:t>
      </w:r>
      <m:oMath>
        <m:r>
          <w:rPr>
            <w:rFonts w:ascii="Cambria Math" w:eastAsiaTheme="minorEastAsia" w:hAnsi="Cambria Math"/>
          </w:rPr>
          <m:t>fp</m:t>
        </m:r>
      </m:oMath>
      <w:r w:rsidR="003E7057" w:rsidRPr="003D56B2">
        <w:rPr>
          <w:rFonts w:eastAsiaTheme="minorEastAsia"/>
        </w:rPr>
        <w:t xml:space="preserve">, conectados al nivel de tensión </w:t>
      </w:r>
      <m:oMath>
        <m:r>
          <w:rPr>
            <w:rFonts w:ascii="Cambria Math" w:eastAsiaTheme="minorEastAsia" w:hAnsi="Cambria Math"/>
          </w:rPr>
          <m:t>n</m:t>
        </m:r>
      </m:oMath>
      <w:r w:rsidR="003E7057" w:rsidRPr="003D56B2">
        <w:rPr>
          <w:rFonts w:eastAsiaTheme="minorEastAsia"/>
        </w:rPr>
        <w:t xml:space="preserve">, en el mes </w:t>
      </w:r>
      <m:oMath>
        <m:r>
          <w:rPr>
            <w:rFonts w:ascii="Cambria Math" w:eastAsiaTheme="minorEastAsia" w:hAnsi="Cambria Math"/>
          </w:rPr>
          <m:t>m</m:t>
        </m:r>
      </m:oMath>
      <w:r w:rsidR="003E7057" w:rsidRPr="003D56B2">
        <w:rPr>
          <w:rFonts w:eastAsiaTheme="minorEastAsia"/>
        </w:rPr>
        <w:t xml:space="preserve">, del sistema operado por el OR </w:t>
      </w:r>
      <m:oMath>
        <m:r>
          <w:rPr>
            <w:rFonts w:ascii="Cambria Math" w:eastAsiaTheme="minorEastAsia" w:hAnsi="Cambria Math"/>
          </w:rPr>
          <m:t>j</m:t>
        </m:r>
      </m:oMath>
      <w:r w:rsidR="003E7057" w:rsidRPr="003D56B2">
        <w:rPr>
          <w:rFonts w:eastAsiaTheme="minorEastAsia"/>
        </w:rPr>
        <w:t>,</w:t>
      </w:r>
      <w:r w:rsidR="00C64E86" w:rsidRPr="003D56B2">
        <w:rPr>
          <w:rFonts w:eastAsiaTheme="minorEastAsia"/>
        </w:rPr>
        <w:t xml:space="preserve"> en </w:t>
      </w:r>
      <w:proofErr w:type="spellStart"/>
      <w:r w:rsidR="006C392E" w:rsidRPr="003D56B2">
        <w:rPr>
          <w:rFonts w:eastAsiaTheme="minorEastAsia"/>
        </w:rPr>
        <w:t>kVAr</w:t>
      </w:r>
      <w:r w:rsidR="00A47C38" w:rsidRPr="003D56B2">
        <w:rPr>
          <w:rFonts w:eastAsiaTheme="minorEastAsia"/>
        </w:rPr>
        <w:t>h</w:t>
      </w:r>
      <w:proofErr w:type="spellEnd"/>
      <w:r w:rsidR="00C64E86" w:rsidRPr="003D56B2">
        <w:rPr>
          <w:rFonts w:eastAsiaTheme="minorEastAsia"/>
        </w:rPr>
        <w:t>.</w:t>
      </w:r>
    </w:p>
    <w:p w14:paraId="7ED64181" w14:textId="0182E5C5" w:rsidR="00C64E86" w:rsidRPr="003D56B2" w:rsidRDefault="00DC6708" w:rsidP="00C64E86">
      <w:pPr>
        <w:rPr>
          <w:rFonts w:eastAsiaTheme="minorEastAsia"/>
        </w:rPr>
      </w:pPr>
      <m:oMath>
        <m:sSub>
          <m:sSubPr>
            <m:ctrlPr>
              <w:rPr>
                <w:rFonts w:ascii="Cambria Math" w:hAnsi="Cambria Math" w:cs="Arial"/>
                <w:bCs w:val="0"/>
                <w:i/>
                <w:szCs w:val="22"/>
              </w:rPr>
            </m:ctrlPr>
          </m:sSubPr>
          <m:e>
            <m:r>
              <w:rPr>
                <w:rFonts w:ascii="Cambria Math" w:hAnsi="Cambria Math" w:cs="Arial"/>
                <w:szCs w:val="22"/>
              </w:rPr>
              <m:t>TER</m:t>
            </m:r>
          </m:e>
          <m:sub>
            <m:r>
              <w:rPr>
                <w:rFonts w:ascii="Cambria Math" w:hAnsi="Cambria Math" w:cs="Arial"/>
                <w:szCs w:val="22"/>
              </w:rPr>
              <m:t>u</m:t>
            </m:r>
            <m:r>
              <w:rPr>
                <w:rFonts w:ascii="Cambria Math" w:hAnsi="Cambria Math" w:cs="Arial"/>
                <w:szCs w:val="22"/>
              </w:rPr>
              <m:t>,</m:t>
            </m:r>
            <m:r>
              <w:rPr>
                <w:rFonts w:ascii="Cambria Math" w:hAnsi="Cambria Math" w:cs="Arial"/>
                <w:szCs w:val="22"/>
              </w:rPr>
              <m:t>fp</m:t>
            </m:r>
            <m:r>
              <w:rPr>
                <w:rFonts w:ascii="Cambria Math" w:hAnsi="Cambria Math" w:cs="Arial"/>
                <w:szCs w:val="22"/>
              </w:rPr>
              <m:t>,</m:t>
            </m:r>
            <m:r>
              <w:rPr>
                <w:rFonts w:ascii="Cambria Math" w:hAnsi="Cambria Math" w:cs="Arial"/>
                <w:szCs w:val="22"/>
              </w:rPr>
              <m:t>n</m:t>
            </m:r>
            <m:r>
              <w:rPr>
                <w:rFonts w:ascii="Cambria Math" w:hAnsi="Cambria Math" w:cs="Arial"/>
                <w:szCs w:val="22"/>
              </w:rPr>
              <m:t>,</m:t>
            </m:r>
            <m:r>
              <w:rPr>
                <w:rFonts w:ascii="Cambria Math" w:hAnsi="Cambria Math" w:cs="Arial"/>
                <w:szCs w:val="22"/>
              </w:rPr>
              <m:t>m</m:t>
            </m:r>
            <m:r>
              <w:rPr>
                <w:rFonts w:ascii="Cambria Math" w:hAnsi="Cambria Math" w:cs="Arial"/>
                <w:szCs w:val="22"/>
              </w:rPr>
              <m:t>,</m:t>
            </m:r>
            <m:r>
              <w:rPr>
                <w:rFonts w:ascii="Cambria Math" w:hAnsi="Cambria Math" w:cs="Arial"/>
                <w:szCs w:val="22"/>
              </w:rPr>
              <m:t>j</m:t>
            </m:r>
          </m:sub>
        </m:sSub>
      </m:oMath>
      <w:r w:rsidR="00C64E86" w:rsidRPr="003D56B2">
        <w:rPr>
          <w:rFonts w:eastAsiaTheme="minorEastAsia"/>
        </w:rPr>
        <w:t xml:space="preserve"> : transporte de energía reactiva capacitiva </w:t>
      </w:r>
      <w:r w:rsidR="00030507" w:rsidRPr="003D56B2">
        <w:rPr>
          <w:rFonts w:eastAsiaTheme="minorEastAsia"/>
        </w:rPr>
        <w:t>causada por cada usuario</w:t>
      </w:r>
      <w:r w:rsidR="00B430CC" w:rsidRPr="003D56B2">
        <w:rPr>
          <w:rFonts w:eastAsiaTheme="minorEastAsia"/>
        </w:rPr>
        <w:t xml:space="preserve"> </w:t>
      </w:r>
      <m:oMath>
        <m:r>
          <w:rPr>
            <w:rFonts w:ascii="Cambria Math" w:eastAsiaTheme="minorEastAsia" w:hAnsi="Cambria Math"/>
          </w:rPr>
          <m:t>u</m:t>
        </m:r>
      </m:oMath>
      <w:r w:rsidR="00B430CC" w:rsidRPr="003D56B2">
        <w:rPr>
          <w:rFonts w:eastAsiaTheme="minorEastAsia"/>
        </w:rPr>
        <w:t xml:space="preserve">, </w:t>
      </w:r>
      <w:r w:rsidR="00030507" w:rsidRPr="003D56B2">
        <w:rPr>
          <w:rFonts w:eastAsiaTheme="minorEastAsia"/>
        </w:rPr>
        <w:t xml:space="preserve"> </w:t>
      </w:r>
      <w:r w:rsidR="004A22FE" w:rsidRPr="003D56B2">
        <w:rPr>
          <w:rFonts w:eastAsiaTheme="minorEastAsia"/>
        </w:rPr>
        <w:t xml:space="preserve">según el </w:t>
      </w:r>
      <w:r w:rsidR="00487347" w:rsidRPr="003D56B2">
        <w:rPr>
          <w:rFonts w:eastAsiaTheme="minorEastAsia"/>
        </w:rPr>
        <w:t xml:space="preserve">rango </w:t>
      </w:r>
      <m:oMath>
        <m:r>
          <w:rPr>
            <w:rFonts w:ascii="Cambria Math" w:eastAsiaTheme="minorEastAsia" w:hAnsi="Cambria Math"/>
          </w:rPr>
          <m:t>fp</m:t>
        </m:r>
      </m:oMath>
      <w:r w:rsidR="004A22FE" w:rsidRPr="003D56B2">
        <w:rPr>
          <w:rFonts w:eastAsiaTheme="minorEastAsia"/>
        </w:rPr>
        <w:t xml:space="preserve">, nivel de tensión </w:t>
      </w:r>
      <m:oMath>
        <m:r>
          <w:rPr>
            <w:rFonts w:ascii="Cambria Math" w:eastAsiaTheme="minorEastAsia" w:hAnsi="Cambria Math"/>
          </w:rPr>
          <m:t>n</m:t>
        </m:r>
      </m:oMath>
      <w:r w:rsidR="004A22FE" w:rsidRPr="003D56B2">
        <w:rPr>
          <w:rFonts w:eastAsiaTheme="minorEastAsia"/>
        </w:rPr>
        <w:t xml:space="preserve">, en el mes </w:t>
      </w:r>
      <m:oMath>
        <m:r>
          <w:rPr>
            <w:rFonts w:ascii="Cambria Math" w:eastAsiaTheme="minorEastAsia" w:hAnsi="Cambria Math"/>
          </w:rPr>
          <m:t>m</m:t>
        </m:r>
      </m:oMath>
      <w:r w:rsidR="004A22FE" w:rsidRPr="003D56B2">
        <w:rPr>
          <w:rFonts w:eastAsiaTheme="minorEastAsia"/>
        </w:rPr>
        <w:t xml:space="preserve">, en el sistema del OR </w:t>
      </w:r>
      <m:oMath>
        <m:r>
          <w:rPr>
            <w:rFonts w:ascii="Cambria Math" w:eastAsiaTheme="minorEastAsia" w:hAnsi="Cambria Math"/>
          </w:rPr>
          <m:t>j</m:t>
        </m:r>
      </m:oMath>
      <w:r w:rsidR="004A22FE" w:rsidRPr="003D56B2">
        <w:rPr>
          <w:rFonts w:eastAsiaTheme="minorEastAsia"/>
        </w:rPr>
        <w:t xml:space="preserve">. Dado en </w:t>
      </w:r>
      <w:proofErr w:type="spellStart"/>
      <w:r w:rsidR="006B6CF7" w:rsidRPr="003D56B2">
        <w:rPr>
          <w:rFonts w:eastAsiaTheme="minorEastAsia"/>
        </w:rPr>
        <w:t>kVAr</w:t>
      </w:r>
      <w:r w:rsidR="00487347" w:rsidRPr="003D56B2">
        <w:rPr>
          <w:rFonts w:eastAsiaTheme="minorEastAsia"/>
        </w:rPr>
        <w:t>h</w:t>
      </w:r>
      <w:proofErr w:type="spellEnd"/>
      <w:r w:rsidR="00C64E86" w:rsidRPr="003D56B2">
        <w:rPr>
          <w:rFonts w:eastAsiaTheme="minorEastAsia"/>
        </w:rPr>
        <w:t>.</w:t>
      </w:r>
    </w:p>
    <w:p w14:paraId="79710F1E" w14:textId="77777777" w:rsidR="00C64E86" w:rsidRPr="003D56B2" w:rsidRDefault="00C64E86" w:rsidP="00C64E86"/>
    <w:p w14:paraId="05A7EE48" w14:textId="4E9461DC" w:rsidR="0047685A" w:rsidRPr="003D56B2" w:rsidRDefault="0047685A" w:rsidP="0047685A">
      <w:r w:rsidRPr="003D56B2">
        <w:t xml:space="preserve">Para ambos indicadores, </w:t>
      </w:r>
      <w:r w:rsidR="00C64E86" w:rsidRPr="003D56B2">
        <w:t>aplica lo siguiente:</w:t>
      </w:r>
    </w:p>
    <w:p w14:paraId="10760987" w14:textId="77777777" w:rsidR="00C64E86" w:rsidRPr="003D56B2" w:rsidRDefault="00C64E86" w:rsidP="00C64E86">
      <m:oMath>
        <m:r>
          <w:rPr>
            <w:rFonts w:ascii="Cambria Math" w:eastAsiaTheme="minorEastAsia" w:hAnsi="Cambria Math"/>
          </w:rPr>
          <m:t>fp</m:t>
        </m:r>
      </m:oMath>
      <w:r w:rsidRPr="003D56B2">
        <w:t xml:space="preserve"> : rango de factor de potencia en que se encuentra el usuario:</w:t>
      </w:r>
    </w:p>
    <w:p w14:paraId="1B584C66" w14:textId="77777777" w:rsidR="00C64E86" w:rsidRPr="003D56B2" w:rsidRDefault="00C64E86" w:rsidP="00C64E86">
      <w:pPr>
        <w:jc w:val="center"/>
      </w:pPr>
      <w:r w:rsidRPr="003D56B2">
        <w:rPr>
          <w:noProof/>
        </w:rPr>
        <w:drawing>
          <wp:inline distT="0" distB="0" distL="0" distR="0" wp14:anchorId="33C82FCA" wp14:editId="21DE1813">
            <wp:extent cx="1752600" cy="696817"/>
            <wp:effectExtent l="0" t="0" r="0" b="8255"/>
            <wp:docPr id="365079435" name="Picture 365079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71009" cy="704136"/>
                    </a:xfrm>
                    <a:prstGeom prst="rect">
                      <a:avLst/>
                    </a:prstGeom>
                    <a:noFill/>
                    <a:ln>
                      <a:noFill/>
                    </a:ln>
                  </pic:spPr>
                </pic:pic>
              </a:graphicData>
            </a:graphic>
          </wp:inline>
        </w:drawing>
      </w:r>
    </w:p>
    <w:p w14:paraId="64E3C128" w14:textId="7C9CD6FA" w:rsidR="00C64E86" w:rsidRPr="003D56B2" w:rsidRDefault="00C64E86" w:rsidP="00C64E86">
      <m:oMath>
        <m:r>
          <w:rPr>
            <w:rFonts w:ascii="Cambria Math" w:eastAsiaTheme="minorEastAsia" w:hAnsi="Cambria Math"/>
          </w:rPr>
          <m:t>n</m:t>
        </m:r>
      </m:oMath>
      <w:r w:rsidRPr="003D56B2">
        <w:t xml:space="preserve"> : nivel de tensión al que el usuario </w:t>
      </w:r>
      <m:oMath>
        <m:r>
          <w:rPr>
            <w:rFonts w:ascii="Cambria Math" w:hAnsi="Cambria Math"/>
          </w:rPr>
          <m:t>u</m:t>
        </m:r>
      </m:oMath>
      <w:r w:rsidRPr="003D56B2">
        <w:t xml:space="preserve"> pertenece, el cual puede tomar los valores de 1, 2, 3</w:t>
      </w:r>
      <w:r w:rsidR="0006541F">
        <w:t> </w:t>
      </w:r>
      <w:r w:rsidRPr="003D56B2">
        <w:t>o</w:t>
      </w:r>
      <w:r w:rsidR="0006541F">
        <w:t> </w:t>
      </w:r>
      <w:r w:rsidRPr="003D56B2">
        <w:t>4</w:t>
      </w:r>
    </w:p>
    <w:p w14:paraId="4241B345" w14:textId="1AC9EF64" w:rsidR="00EB4979" w:rsidRPr="003D56B2" w:rsidRDefault="006A2032" w:rsidP="00EB4979">
      <w:pPr>
        <w:pStyle w:val="Ttulo1"/>
        <w:rPr>
          <w:lang w:val="es-CO"/>
        </w:rPr>
      </w:pPr>
      <w:bookmarkStart w:id="42" w:name="_Toc157689798"/>
      <w:r w:rsidRPr="003D56B2">
        <w:rPr>
          <w:lang w:val="es-CO"/>
        </w:rPr>
        <w:t>C</w:t>
      </w:r>
      <w:r w:rsidR="00EB4979" w:rsidRPr="003D56B2">
        <w:rPr>
          <w:lang w:val="es-CO"/>
        </w:rPr>
        <w:t>ONCLUSIONES</w:t>
      </w:r>
      <w:bookmarkEnd w:id="42"/>
    </w:p>
    <w:p w14:paraId="22DDFEC9" w14:textId="71015D2F" w:rsidR="003B2180" w:rsidRPr="003D56B2" w:rsidRDefault="007E1375" w:rsidP="003B2180">
      <w:r>
        <w:t xml:space="preserve">Se </w:t>
      </w:r>
      <w:r w:rsidR="00230BC3">
        <w:t xml:space="preserve">propone implementar </w:t>
      </w:r>
      <w:r>
        <w:t>la medida</w:t>
      </w:r>
      <w:r w:rsidR="003B2180" w:rsidRPr="003D56B2">
        <w:t xml:space="preserve"> mediante una modificación al numeral 4.2.4 del reglamento de distribución establecido en la Resolución CREG 070 de 1998, que contiene, entre otros, los diversos aspectos operativos del sistema de distribución establecidos por la CREG.</w:t>
      </w:r>
    </w:p>
    <w:p w14:paraId="08428445" w14:textId="64F15B80" w:rsidR="003D294C" w:rsidRPr="003D56B2" w:rsidRDefault="004B4F0C" w:rsidP="003D294C">
      <w:pPr>
        <w:pStyle w:val="Ttulo1"/>
        <w:rPr>
          <w:lang w:val="es-CO"/>
        </w:rPr>
      </w:pPr>
      <w:bookmarkStart w:id="43" w:name="_Toc157689799"/>
      <w:r>
        <w:rPr>
          <w:lang w:val="es-CO"/>
        </w:rPr>
        <w:lastRenderedPageBreak/>
        <w:t>ANEXOS</w:t>
      </w:r>
      <w:bookmarkEnd w:id="43"/>
    </w:p>
    <w:p w14:paraId="77E26EC3" w14:textId="56326E85" w:rsidR="00A61875" w:rsidRPr="003D56B2" w:rsidRDefault="003D56B2" w:rsidP="009626D9">
      <w:pPr>
        <w:pStyle w:val="Ttulo2"/>
      </w:pPr>
      <w:bookmarkStart w:id="44" w:name="_Ref142061868"/>
      <w:bookmarkStart w:id="45" w:name="_Toc157689800"/>
      <w:r w:rsidRPr="003D56B2">
        <w:t>Indicadores estadísticos</w:t>
      </w:r>
      <w:r w:rsidR="00A61875" w:rsidRPr="003D56B2">
        <w:t xml:space="preserve"> </w:t>
      </w:r>
      <w:r w:rsidR="00FD110C" w:rsidRPr="003D56B2">
        <w:t>-</w:t>
      </w:r>
      <w:r w:rsidR="00A61875" w:rsidRPr="003D56B2">
        <w:t xml:space="preserve"> </w:t>
      </w:r>
      <w:r w:rsidRPr="003D56B2">
        <w:t>energía reactiva capacitiva</w:t>
      </w:r>
      <w:bookmarkEnd w:id="44"/>
      <w:bookmarkEnd w:id="45"/>
    </w:p>
    <w:p w14:paraId="12D580FE" w14:textId="349D21C3" w:rsidR="0001634A" w:rsidRPr="003D56B2" w:rsidRDefault="008C22EA" w:rsidP="003051F9">
      <w:pPr>
        <w:jc w:val="center"/>
      </w:pPr>
      <w:r w:rsidRPr="003D56B2">
        <w:rPr>
          <w:noProof/>
        </w:rPr>
        <w:drawing>
          <wp:inline distT="0" distB="0" distL="0" distR="0" wp14:anchorId="341338DD" wp14:editId="123B327F">
            <wp:extent cx="5791835" cy="3456940"/>
            <wp:effectExtent l="0" t="0" r="0" b="0"/>
            <wp:docPr id="926143954" name="Picture 926143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91835" cy="3456940"/>
                    </a:xfrm>
                    <a:prstGeom prst="rect">
                      <a:avLst/>
                    </a:prstGeom>
                    <a:noFill/>
                    <a:ln>
                      <a:noFill/>
                    </a:ln>
                  </pic:spPr>
                </pic:pic>
              </a:graphicData>
            </a:graphic>
          </wp:inline>
        </w:drawing>
      </w:r>
    </w:p>
    <w:p w14:paraId="3F110BEA" w14:textId="0C4933EB" w:rsidR="00671764" w:rsidRPr="003D56B2" w:rsidRDefault="003D56B2" w:rsidP="009626D9">
      <w:pPr>
        <w:pStyle w:val="Ttulo2"/>
      </w:pPr>
      <w:bookmarkStart w:id="46" w:name="_Ref142124713"/>
      <w:bookmarkStart w:id="47" w:name="_Toc157689801"/>
      <w:r w:rsidRPr="003D56B2">
        <w:t>Transporte de energía reactiva capacitiva</w:t>
      </w:r>
      <w:bookmarkEnd w:id="46"/>
      <w:bookmarkEnd w:id="47"/>
    </w:p>
    <w:p w14:paraId="01B527CE" w14:textId="451C1A81" w:rsidR="006217F0" w:rsidRPr="003D56B2" w:rsidRDefault="000B27DE" w:rsidP="00F65A10">
      <w:r w:rsidRPr="003D56B2">
        <w:t xml:space="preserve">En este anexo se </w:t>
      </w:r>
      <w:r w:rsidR="004B72F1" w:rsidRPr="003D56B2">
        <w:t>muestran</w:t>
      </w:r>
      <w:r w:rsidRPr="003D56B2">
        <w:t xml:space="preserve"> </w:t>
      </w:r>
      <w:r w:rsidR="007A3EBB" w:rsidRPr="003D56B2">
        <w:t xml:space="preserve">las figuras </w:t>
      </w:r>
      <w:r w:rsidRPr="003D56B2">
        <w:t xml:space="preserve">obtenidas </w:t>
      </w:r>
      <w:r w:rsidR="00CF3BB7" w:rsidRPr="003D56B2">
        <w:t xml:space="preserve">para la verificación de lo planteado en este documento. </w:t>
      </w:r>
      <w:r w:rsidR="00EE7C8F" w:rsidRPr="003D56B2">
        <w:t>En e</w:t>
      </w:r>
      <w:r w:rsidR="00CF3BB7" w:rsidRPr="003D56B2">
        <w:t xml:space="preserve">stas se </w:t>
      </w:r>
      <w:r w:rsidR="00026E1F" w:rsidRPr="003D56B2">
        <w:t>presenta</w:t>
      </w:r>
      <w:r w:rsidR="004B72F1" w:rsidRPr="003D56B2">
        <w:t xml:space="preserve"> </w:t>
      </w:r>
      <w:r w:rsidR="00992844" w:rsidRPr="003D56B2">
        <w:t xml:space="preserve">inicialmente </w:t>
      </w:r>
      <w:r w:rsidR="00026E1F" w:rsidRPr="003D56B2">
        <w:t>información de todo el</w:t>
      </w:r>
      <w:r w:rsidR="004B72F1" w:rsidRPr="003D56B2">
        <w:t xml:space="preserve"> país, con y sin </w:t>
      </w:r>
      <w:r w:rsidR="002B3CBD" w:rsidRPr="003D56B2">
        <w:t>valores atípicos</w:t>
      </w:r>
      <w:r w:rsidR="00992844" w:rsidRPr="003D56B2">
        <w:t xml:space="preserve">. Posteriormente se presentan desagregaciones </w:t>
      </w:r>
      <w:r w:rsidR="00F912D4" w:rsidRPr="003D56B2">
        <w:t xml:space="preserve">por nivel de tensión y por OR. En todos los casos </w:t>
      </w:r>
      <w:r w:rsidR="008B2848" w:rsidRPr="003D56B2">
        <w:t xml:space="preserve">se </w:t>
      </w:r>
      <w:r w:rsidR="006A448A" w:rsidRPr="003D56B2">
        <w:t>incluyen</w:t>
      </w:r>
      <w:r w:rsidR="008B2848" w:rsidRPr="003D56B2">
        <w:t xml:space="preserve"> </w:t>
      </w:r>
      <w:r w:rsidR="00760C32" w:rsidRPr="003D56B2">
        <w:t xml:space="preserve">también </w:t>
      </w:r>
      <w:r w:rsidR="008B2848" w:rsidRPr="003D56B2">
        <w:t xml:space="preserve">figuras por </w:t>
      </w:r>
      <w:r w:rsidR="002B3CBD" w:rsidRPr="003D56B2">
        <w:t xml:space="preserve">tipo de usuario </w:t>
      </w:r>
      <w:r w:rsidR="0004768D" w:rsidRPr="003D56B2">
        <w:t xml:space="preserve">(residencial, comercial, </w:t>
      </w:r>
      <w:r w:rsidR="0004768D" w:rsidRPr="003D56B2">
        <w:lastRenderedPageBreak/>
        <w:t>industrial)</w:t>
      </w:r>
      <w:r w:rsidR="006217F0" w:rsidRPr="003D56B2">
        <w:rPr>
          <w:noProof/>
        </w:rPr>
        <w:drawing>
          <wp:inline distT="0" distB="0" distL="0" distR="0" wp14:anchorId="5F5AB970" wp14:editId="0F84F654">
            <wp:extent cx="5791835" cy="6819900"/>
            <wp:effectExtent l="0" t="0" r="0" b="0"/>
            <wp:docPr id="1668451093" name="Graphic 166845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451093" name="Gráfico 1668451093"/>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5791835" cy="6819900"/>
                    </a:xfrm>
                    <a:prstGeom prst="rect">
                      <a:avLst/>
                    </a:prstGeom>
                  </pic:spPr>
                </pic:pic>
              </a:graphicData>
            </a:graphic>
          </wp:inline>
        </w:drawing>
      </w:r>
    </w:p>
    <w:p w14:paraId="1BABDD43" w14:textId="04B33EB7" w:rsidR="006E476A" w:rsidRPr="003D56B2" w:rsidRDefault="006217F0" w:rsidP="006217F0">
      <w:r w:rsidRPr="003D56B2">
        <w:rPr>
          <w:noProof/>
        </w:rPr>
        <w:lastRenderedPageBreak/>
        <w:drawing>
          <wp:inline distT="0" distB="0" distL="0" distR="0" wp14:anchorId="2DB9E47C" wp14:editId="7BCB132A">
            <wp:extent cx="5791835" cy="7444105"/>
            <wp:effectExtent l="0" t="0" r="0" b="0"/>
            <wp:docPr id="1479700650" name="Graphic 1479700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700650" name="Gráfico 1479700650"/>
                    <pic:cNvPicPr/>
                  </pic:nvPicPr>
                  <pic:blipFill>
                    <a:blip r:embed="rId31">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5791835" cy="7444105"/>
                    </a:xfrm>
                    <a:prstGeom prst="rect">
                      <a:avLst/>
                    </a:prstGeom>
                  </pic:spPr>
                </pic:pic>
              </a:graphicData>
            </a:graphic>
          </wp:inline>
        </w:drawing>
      </w:r>
    </w:p>
    <w:p w14:paraId="5D174D51" w14:textId="77777777" w:rsidR="00701A2E" w:rsidRPr="003D56B2" w:rsidRDefault="00701A2E" w:rsidP="00F65A10">
      <w:pPr>
        <w:jc w:val="center"/>
      </w:pPr>
    </w:p>
    <w:p w14:paraId="7FE851F8" w14:textId="77777777" w:rsidR="007D2FCF" w:rsidRPr="003D56B2" w:rsidRDefault="007D2FCF" w:rsidP="00D968C4">
      <w:pPr>
        <w:pStyle w:val="Ttulo3"/>
      </w:pPr>
      <w:bookmarkStart w:id="48" w:name="_Ref142124907"/>
      <w:bookmarkStart w:id="49" w:name="_Toc157689802"/>
      <w:r>
        <w:lastRenderedPageBreak/>
        <w:t>Energía capacitiva por nivel de tensión</w:t>
      </w:r>
      <w:bookmarkEnd w:id="48"/>
      <w:bookmarkEnd w:id="49"/>
    </w:p>
    <w:p w14:paraId="09419754" w14:textId="7C97208A" w:rsidR="00D33103" w:rsidRPr="003D56B2" w:rsidRDefault="008367E9" w:rsidP="00D93C16">
      <w:r w:rsidRPr="003D56B2">
        <w:t>S</w:t>
      </w:r>
      <w:r w:rsidR="000F3E4A" w:rsidRPr="003D56B2">
        <w:t>e presenta información de reactiva capacitiva sin valores atípicos</w:t>
      </w:r>
      <w:r w:rsidRPr="003D56B2">
        <w:t xml:space="preserve"> para todo el país</w:t>
      </w:r>
      <w:r w:rsidR="000F3E4A" w:rsidRPr="003D56B2">
        <w:t xml:space="preserve">, segmentadas </w:t>
      </w:r>
      <w:r w:rsidRPr="003D56B2">
        <w:t>por nivel de tensión (NT 1, 2, 3 y 4).</w:t>
      </w:r>
    </w:p>
    <w:p w14:paraId="179389C1" w14:textId="236C0AC6" w:rsidR="00D93C16" w:rsidRPr="003D56B2" w:rsidRDefault="006217F0" w:rsidP="00D33103">
      <w:pPr>
        <w:jc w:val="center"/>
      </w:pPr>
      <w:r w:rsidRPr="003D56B2">
        <w:rPr>
          <w:noProof/>
        </w:rPr>
        <w:drawing>
          <wp:inline distT="0" distB="0" distL="0" distR="0" wp14:anchorId="2209601E" wp14:editId="6706E1BC">
            <wp:extent cx="5393200" cy="7116233"/>
            <wp:effectExtent l="0" t="0" r="0" b="0"/>
            <wp:docPr id="1066171642" name="Graphic 106617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171642" name="Gráfico 1066171642"/>
                    <pic:cNvPicPr/>
                  </pic:nvPicPr>
                  <pic:blipFill>
                    <a:blip r:embed="rId33">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5400554" cy="7125937"/>
                    </a:xfrm>
                    <a:prstGeom prst="rect">
                      <a:avLst/>
                    </a:prstGeom>
                  </pic:spPr>
                </pic:pic>
              </a:graphicData>
            </a:graphic>
          </wp:inline>
        </w:drawing>
      </w:r>
    </w:p>
    <w:p w14:paraId="26BCBE38" w14:textId="1AC1CFEB" w:rsidR="006217F0" w:rsidRPr="003D56B2" w:rsidRDefault="006217F0" w:rsidP="00F65A10">
      <w:r w:rsidRPr="003D56B2">
        <w:rPr>
          <w:noProof/>
        </w:rPr>
        <w:lastRenderedPageBreak/>
        <w:drawing>
          <wp:inline distT="0" distB="0" distL="0" distR="0" wp14:anchorId="18521921" wp14:editId="6D2C9C10">
            <wp:extent cx="5791835" cy="7642225"/>
            <wp:effectExtent l="0" t="0" r="0" b="0"/>
            <wp:docPr id="417710794" name="Graphic 417710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710794" name="Gráfico 417710794"/>
                    <pic:cNvPicPr/>
                  </pic:nvPicPr>
                  <pic:blipFill>
                    <a:blip r:embed="rId35">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5791835" cy="7642225"/>
                    </a:xfrm>
                    <a:prstGeom prst="rect">
                      <a:avLst/>
                    </a:prstGeom>
                  </pic:spPr>
                </pic:pic>
              </a:graphicData>
            </a:graphic>
          </wp:inline>
        </w:drawing>
      </w:r>
    </w:p>
    <w:p w14:paraId="47F137E0" w14:textId="722C6EA7" w:rsidR="006217F0" w:rsidRPr="003D56B2" w:rsidRDefault="006217F0" w:rsidP="00F65A10">
      <w:r w:rsidRPr="003D56B2">
        <w:rPr>
          <w:noProof/>
        </w:rPr>
        <w:lastRenderedPageBreak/>
        <w:drawing>
          <wp:inline distT="0" distB="0" distL="0" distR="0" wp14:anchorId="2D9E02CB" wp14:editId="68B7F7C1">
            <wp:extent cx="5791835" cy="7642225"/>
            <wp:effectExtent l="0" t="0" r="0" b="0"/>
            <wp:docPr id="521687919" name="Graphic 521687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687919" name="Gráfico 521687919"/>
                    <pic:cNvPicPr/>
                  </pic:nvPicPr>
                  <pic:blipFill>
                    <a:blip r:embed="rId37">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5791835" cy="7642225"/>
                    </a:xfrm>
                    <a:prstGeom prst="rect">
                      <a:avLst/>
                    </a:prstGeom>
                  </pic:spPr>
                </pic:pic>
              </a:graphicData>
            </a:graphic>
          </wp:inline>
        </w:drawing>
      </w:r>
    </w:p>
    <w:p w14:paraId="40A35BBD" w14:textId="0A3F1D61" w:rsidR="006217F0" w:rsidRPr="003D56B2" w:rsidRDefault="006217F0" w:rsidP="00F65A10"/>
    <w:p w14:paraId="288233EC" w14:textId="4829E4E6" w:rsidR="00915FAB" w:rsidRPr="003D56B2" w:rsidRDefault="006217F0" w:rsidP="00F65A10">
      <w:r w:rsidRPr="003D56B2">
        <w:rPr>
          <w:noProof/>
        </w:rPr>
        <w:lastRenderedPageBreak/>
        <w:drawing>
          <wp:inline distT="0" distB="0" distL="0" distR="0" wp14:anchorId="471887E8" wp14:editId="144AD071">
            <wp:extent cx="5791835" cy="7642225"/>
            <wp:effectExtent l="0" t="0" r="0" b="0"/>
            <wp:docPr id="1573536364" name="Graphic 1573536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536364" name="Gráfico 1573536364"/>
                    <pic:cNvPicPr/>
                  </pic:nvPicPr>
                  <pic:blipFill>
                    <a:blip r:embed="rId39">
                      <a:extLst>
                        <a:ext uri="{28A0092B-C50C-407E-A947-70E740481C1C}">
                          <a14:useLocalDpi xmlns:a14="http://schemas.microsoft.com/office/drawing/2010/main" val="0"/>
                        </a:ext>
                        <a:ext uri="{96DAC541-7B7A-43D3-8B79-37D633B846F1}">
                          <asvg:svgBlip xmlns:asvg="http://schemas.microsoft.com/office/drawing/2016/SVG/main" r:embed="rId40"/>
                        </a:ext>
                      </a:extLst>
                    </a:blip>
                    <a:stretch>
                      <a:fillRect/>
                    </a:stretch>
                  </pic:blipFill>
                  <pic:spPr>
                    <a:xfrm>
                      <a:off x="0" y="0"/>
                      <a:ext cx="5791835" cy="7642225"/>
                    </a:xfrm>
                    <a:prstGeom prst="rect">
                      <a:avLst/>
                    </a:prstGeom>
                  </pic:spPr>
                </pic:pic>
              </a:graphicData>
            </a:graphic>
          </wp:inline>
        </w:drawing>
      </w:r>
    </w:p>
    <w:p w14:paraId="1B432286" w14:textId="0B822A93" w:rsidR="0007269A" w:rsidRPr="003D56B2" w:rsidRDefault="00F65A10" w:rsidP="00D33103">
      <w:r w:rsidRPr="003D56B2">
        <w:rPr>
          <w:noProof/>
        </w:rPr>
        <w:t xml:space="preserve"> </w:t>
      </w:r>
    </w:p>
    <w:p w14:paraId="49211142" w14:textId="681C8037" w:rsidR="00115ABE" w:rsidRPr="003D56B2" w:rsidRDefault="00240C93" w:rsidP="00F65A10">
      <w:pPr>
        <w:pStyle w:val="Ttulo3"/>
      </w:pPr>
      <w:bookmarkStart w:id="50" w:name="_Ref142124797"/>
      <w:bookmarkStart w:id="51" w:name="_Toc157689803"/>
      <w:r>
        <w:lastRenderedPageBreak/>
        <w:t xml:space="preserve">Transporte de energía reactiva capacitiva – por </w:t>
      </w:r>
      <w:r w:rsidR="00115ABE">
        <w:t>OR</w:t>
      </w:r>
      <w:bookmarkEnd w:id="50"/>
      <w:bookmarkEnd w:id="51"/>
    </w:p>
    <w:p w14:paraId="2DF2826A" w14:textId="6B6E9D82" w:rsidR="004F5011" w:rsidRPr="003D56B2" w:rsidRDefault="000F3E4A" w:rsidP="00D5718C">
      <w:r w:rsidRPr="003D56B2">
        <w:t xml:space="preserve">Para </w:t>
      </w:r>
      <w:r w:rsidR="00366AD5" w:rsidRPr="003D56B2">
        <w:t xml:space="preserve">cada OR </w:t>
      </w:r>
      <w:r w:rsidRPr="003D56B2">
        <w:t xml:space="preserve">se presenta información de reactiva capacitiva </w:t>
      </w:r>
      <w:r w:rsidR="00366AD5" w:rsidRPr="003D56B2">
        <w:t>sin valores atípicos, segmentadas por tipo de usuario (residencial, comercial, industrial).</w:t>
      </w:r>
    </w:p>
    <w:p w14:paraId="440BD1F5" w14:textId="77777777" w:rsidR="00D5718C" w:rsidRPr="003D56B2" w:rsidRDefault="0012566E" w:rsidP="00D5718C">
      <w:pPr>
        <w:jc w:val="center"/>
      </w:pPr>
      <w:r w:rsidRPr="003D56B2">
        <w:rPr>
          <w:noProof/>
        </w:rPr>
        <w:drawing>
          <wp:inline distT="0" distB="0" distL="0" distR="0" wp14:anchorId="41904233" wp14:editId="70B00F81">
            <wp:extent cx="5300159" cy="6993467"/>
            <wp:effectExtent l="0" t="0" r="0" b="0"/>
            <wp:docPr id="530520607" name="Graphic 530520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520607" name=""/>
                    <pic:cNvPicPr/>
                  </pic:nvPicPr>
                  <pic:blipFill>
                    <a:blip r:embed="rId41">
                      <a:extLst>
                        <a:ext uri="{96DAC541-7B7A-43D3-8B79-37D633B846F1}">
                          <asvg:svgBlip xmlns:asvg="http://schemas.microsoft.com/office/drawing/2016/SVG/main" r:embed="rId42"/>
                        </a:ext>
                      </a:extLst>
                    </a:blip>
                    <a:stretch>
                      <a:fillRect/>
                    </a:stretch>
                  </pic:blipFill>
                  <pic:spPr>
                    <a:xfrm>
                      <a:off x="0" y="0"/>
                      <a:ext cx="5315897" cy="7014233"/>
                    </a:xfrm>
                    <a:prstGeom prst="rect">
                      <a:avLst/>
                    </a:prstGeom>
                  </pic:spPr>
                </pic:pic>
              </a:graphicData>
            </a:graphic>
          </wp:inline>
        </w:drawing>
      </w:r>
    </w:p>
    <w:p w14:paraId="55B49B61" w14:textId="7407D076" w:rsidR="00444F17" w:rsidRDefault="0012566E" w:rsidP="00D5718C">
      <w:pPr>
        <w:jc w:val="center"/>
      </w:pPr>
      <w:r w:rsidRPr="003D56B2">
        <w:rPr>
          <w:noProof/>
        </w:rPr>
        <w:lastRenderedPageBreak/>
        <w:drawing>
          <wp:inline distT="0" distB="0" distL="0" distR="0" wp14:anchorId="14F39D34" wp14:editId="2BFDFF8E">
            <wp:extent cx="5791835" cy="7642225"/>
            <wp:effectExtent l="0" t="0" r="0" b="0"/>
            <wp:docPr id="1813554336" name="Graphic 181355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554336" name=""/>
                    <pic:cNvPicPr/>
                  </pic:nvPicPr>
                  <pic:blipFill>
                    <a:blip r:embed="rId43">
                      <a:extLst>
                        <a:ext uri="{96DAC541-7B7A-43D3-8B79-37D633B846F1}">
                          <asvg:svgBlip xmlns:asvg="http://schemas.microsoft.com/office/drawing/2016/SVG/main" r:embed="rId44"/>
                        </a:ext>
                      </a:extLst>
                    </a:blip>
                    <a:stretch>
                      <a:fillRect/>
                    </a:stretch>
                  </pic:blipFill>
                  <pic:spPr>
                    <a:xfrm>
                      <a:off x="0" y="0"/>
                      <a:ext cx="5791835" cy="7642225"/>
                    </a:xfrm>
                    <a:prstGeom prst="rect">
                      <a:avLst/>
                    </a:prstGeom>
                  </pic:spPr>
                </pic:pic>
              </a:graphicData>
            </a:graphic>
          </wp:inline>
        </w:drawing>
      </w:r>
      <w:r w:rsidRPr="003D56B2">
        <w:rPr>
          <w:noProof/>
        </w:rPr>
        <w:lastRenderedPageBreak/>
        <w:drawing>
          <wp:inline distT="0" distB="0" distL="0" distR="0" wp14:anchorId="2453B48F" wp14:editId="3EE918C2">
            <wp:extent cx="5791835" cy="7642225"/>
            <wp:effectExtent l="0" t="0" r="0" b="0"/>
            <wp:docPr id="210165817" name="Graphic 210165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65817" name=""/>
                    <pic:cNvPicPr/>
                  </pic:nvPicPr>
                  <pic:blipFill>
                    <a:blip r:embed="rId45">
                      <a:extLst>
                        <a:ext uri="{96DAC541-7B7A-43D3-8B79-37D633B846F1}">
                          <asvg:svgBlip xmlns:asvg="http://schemas.microsoft.com/office/drawing/2016/SVG/main" r:embed="rId46"/>
                        </a:ext>
                      </a:extLst>
                    </a:blip>
                    <a:stretch>
                      <a:fillRect/>
                    </a:stretch>
                  </pic:blipFill>
                  <pic:spPr>
                    <a:xfrm>
                      <a:off x="0" y="0"/>
                      <a:ext cx="5791835" cy="7642225"/>
                    </a:xfrm>
                    <a:prstGeom prst="rect">
                      <a:avLst/>
                    </a:prstGeom>
                  </pic:spPr>
                </pic:pic>
              </a:graphicData>
            </a:graphic>
          </wp:inline>
        </w:drawing>
      </w:r>
      <w:r w:rsidRPr="003D56B2">
        <w:rPr>
          <w:noProof/>
        </w:rPr>
        <w:lastRenderedPageBreak/>
        <w:drawing>
          <wp:inline distT="0" distB="0" distL="0" distR="0" wp14:anchorId="19741B8E" wp14:editId="5883A42E">
            <wp:extent cx="5791835" cy="7642225"/>
            <wp:effectExtent l="0" t="0" r="0" b="0"/>
            <wp:docPr id="1737468268" name="Graphic 1737468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468268" name=""/>
                    <pic:cNvPicPr/>
                  </pic:nvPicPr>
                  <pic:blipFill>
                    <a:blip r:embed="rId47">
                      <a:extLst>
                        <a:ext uri="{96DAC541-7B7A-43D3-8B79-37D633B846F1}">
                          <asvg:svgBlip xmlns:asvg="http://schemas.microsoft.com/office/drawing/2016/SVG/main" r:embed="rId48"/>
                        </a:ext>
                      </a:extLst>
                    </a:blip>
                    <a:stretch>
                      <a:fillRect/>
                    </a:stretch>
                  </pic:blipFill>
                  <pic:spPr>
                    <a:xfrm>
                      <a:off x="0" y="0"/>
                      <a:ext cx="5791835" cy="7642225"/>
                    </a:xfrm>
                    <a:prstGeom prst="rect">
                      <a:avLst/>
                    </a:prstGeom>
                  </pic:spPr>
                </pic:pic>
              </a:graphicData>
            </a:graphic>
          </wp:inline>
        </w:drawing>
      </w:r>
      <w:r w:rsidRPr="003D56B2">
        <w:rPr>
          <w:noProof/>
        </w:rPr>
        <w:lastRenderedPageBreak/>
        <w:drawing>
          <wp:inline distT="0" distB="0" distL="0" distR="0" wp14:anchorId="177E058A" wp14:editId="2D09F022">
            <wp:extent cx="5791835" cy="7642225"/>
            <wp:effectExtent l="0" t="0" r="0" b="0"/>
            <wp:docPr id="2070228067" name="Graphic 2070228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228067" name=""/>
                    <pic:cNvPicPr/>
                  </pic:nvPicPr>
                  <pic:blipFill>
                    <a:blip r:embed="rId49">
                      <a:extLst>
                        <a:ext uri="{96DAC541-7B7A-43D3-8B79-37D633B846F1}">
                          <asvg:svgBlip xmlns:asvg="http://schemas.microsoft.com/office/drawing/2016/SVG/main" r:embed="rId50"/>
                        </a:ext>
                      </a:extLst>
                    </a:blip>
                    <a:stretch>
                      <a:fillRect/>
                    </a:stretch>
                  </pic:blipFill>
                  <pic:spPr>
                    <a:xfrm>
                      <a:off x="0" y="0"/>
                      <a:ext cx="5791835" cy="7642225"/>
                    </a:xfrm>
                    <a:prstGeom prst="rect">
                      <a:avLst/>
                    </a:prstGeom>
                  </pic:spPr>
                </pic:pic>
              </a:graphicData>
            </a:graphic>
          </wp:inline>
        </w:drawing>
      </w:r>
      <w:r w:rsidRPr="003D56B2">
        <w:rPr>
          <w:noProof/>
        </w:rPr>
        <w:lastRenderedPageBreak/>
        <w:drawing>
          <wp:inline distT="0" distB="0" distL="0" distR="0" wp14:anchorId="7FFD6E35" wp14:editId="20751498">
            <wp:extent cx="5791835" cy="7642225"/>
            <wp:effectExtent l="0" t="0" r="0" b="0"/>
            <wp:docPr id="772575393" name="Graphic 772575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575393" name=""/>
                    <pic:cNvPicPr/>
                  </pic:nvPicPr>
                  <pic:blipFill>
                    <a:blip r:embed="rId51">
                      <a:extLst>
                        <a:ext uri="{96DAC541-7B7A-43D3-8B79-37D633B846F1}">
                          <asvg:svgBlip xmlns:asvg="http://schemas.microsoft.com/office/drawing/2016/SVG/main" r:embed="rId52"/>
                        </a:ext>
                      </a:extLst>
                    </a:blip>
                    <a:stretch>
                      <a:fillRect/>
                    </a:stretch>
                  </pic:blipFill>
                  <pic:spPr>
                    <a:xfrm>
                      <a:off x="0" y="0"/>
                      <a:ext cx="5791835" cy="7642225"/>
                    </a:xfrm>
                    <a:prstGeom prst="rect">
                      <a:avLst/>
                    </a:prstGeom>
                  </pic:spPr>
                </pic:pic>
              </a:graphicData>
            </a:graphic>
          </wp:inline>
        </w:drawing>
      </w:r>
      <w:r w:rsidRPr="003D56B2">
        <w:rPr>
          <w:noProof/>
        </w:rPr>
        <w:lastRenderedPageBreak/>
        <w:drawing>
          <wp:inline distT="0" distB="0" distL="0" distR="0" wp14:anchorId="01C781B4" wp14:editId="7220332A">
            <wp:extent cx="5791835" cy="7642225"/>
            <wp:effectExtent l="0" t="0" r="0" b="0"/>
            <wp:docPr id="571280494" name="Graphic 571280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280494" name=""/>
                    <pic:cNvPicPr/>
                  </pic:nvPicPr>
                  <pic:blipFill>
                    <a:blip r:embed="rId53">
                      <a:extLst>
                        <a:ext uri="{96DAC541-7B7A-43D3-8B79-37D633B846F1}">
                          <asvg:svgBlip xmlns:asvg="http://schemas.microsoft.com/office/drawing/2016/SVG/main" r:embed="rId54"/>
                        </a:ext>
                      </a:extLst>
                    </a:blip>
                    <a:stretch>
                      <a:fillRect/>
                    </a:stretch>
                  </pic:blipFill>
                  <pic:spPr>
                    <a:xfrm>
                      <a:off x="0" y="0"/>
                      <a:ext cx="5791835" cy="7642225"/>
                    </a:xfrm>
                    <a:prstGeom prst="rect">
                      <a:avLst/>
                    </a:prstGeom>
                  </pic:spPr>
                </pic:pic>
              </a:graphicData>
            </a:graphic>
          </wp:inline>
        </w:drawing>
      </w:r>
      <w:r w:rsidRPr="003D56B2">
        <w:rPr>
          <w:noProof/>
        </w:rPr>
        <w:lastRenderedPageBreak/>
        <w:drawing>
          <wp:inline distT="0" distB="0" distL="0" distR="0" wp14:anchorId="58260C98" wp14:editId="79CEB460">
            <wp:extent cx="5791835" cy="7642225"/>
            <wp:effectExtent l="0" t="0" r="0" b="0"/>
            <wp:docPr id="994747499" name="Graphic 994747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747499" name=""/>
                    <pic:cNvPicPr/>
                  </pic:nvPicPr>
                  <pic:blipFill>
                    <a:blip r:embed="rId55">
                      <a:extLst>
                        <a:ext uri="{96DAC541-7B7A-43D3-8B79-37D633B846F1}">
                          <asvg:svgBlip xmlns:asvg="http://schemas.microsoft.com/office/drawing/2016/SVG/main" r:embed="rId56"/>
                        </a:ext>
                      </a:extLst>
                    </a:blip>
                    <a:stretch>
                      <a:fillRect/>
                    </a:stretch>
                  </pic:blipFill>
                  <pic:spPr>
                    <a:xfrm>
                      <a:off x="0" y="0"/>
                      <a:ext cx="5791835" cy="7642225"/>
                    </a:xfrm>
                    <a:prstGeom prst="rect">
                      <a:avLst/>
                    </a:prstGeom>
                  </pic:spPr>
                </pic:pic>
              </a:graphicData>
            </a:graphic>
          </wp:inline>
        </w:drawing>
      </w:r>
      <w:r w:rsidRPr="003D56B2">
        <w:rPr>
          <w:noProof/>
        </w:rPr>
        <w:lastRenderedPageBreak/>
        <w:drawing>
          <wp:inline distT="0" distB="0" distL="0" distR="0" wp14:anchorId="0E62B110" wp14:editId="42189A2E">
            <wp:extent cx="5791835" cy="7642225"/>
            <wp:effectExtent l="0" t="0" r="0" b="0"/>
            <wp:docPr id="769829811" name="Graphic 769829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829811" name=""/>
                    <pic:cNvPicPr/>
                  </pic:nvPicPr>
                  <pic:blipFill>
                    <a:blip r:embed="rId57">
                      <a:extLst>
                        <a:ext uri="{96DAC541-7B7A-43D3-8B79-37D633B846F1}">
                          <asvg:svgBlip xmlns:asvg="http://schemas.microsoft.com/office/drawing/2016/SVG/main" r:embed="rId58"/>
                        </a:ext>
                      </a:extLst>
                    </a:blip>
                    <a:stretch>
                      <a:fillRect/>
                    </a:stretch>
                  </pic:blipFill>
                  <pic:spPr>
                    <a:xfrm>
                      <a:off x="0" y="0"/>
                      <a:ext cx="5791835" cy="7642225"/>
                    </a:xfrm>
                    <a:prstGeom prst="rect">
                      <a:avLst/>
                    </a:prstGeom>
                  </pic:spPr>
                </pic:pic>
              </a:graphicData>
            </a:graphic>
          </wp:inline>
        </w:drawing>
      </w:r>
      <w:r w:rsidRPr="003D56B2">
        <w:rPr>
          <w:noProof/>
        </w:rPr>
        <w:lastRenderedPageBreak/>
        <w:drawing>
          <wp:inline distT="0" distB="0" distL="0" distR="0" wp14:anchorId="2E522FB4" wp14:editId="06892AF5">
            <wp:extent cx="5791835" cy="7642225"/>
            <wp:effectExtent l="0" t="0" r="0" b="0"/>
            <wp:docPr id="1515759794" name="Graphic 1515759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759794" name=""/>
                    <pic:cNvPicPr/>
                  </pic:nvPicPr>
                  <pic:blipFill>
                    <a:blip r:embed="rId59">
                      <a:extLst>
                        <a:ext uri="{96DAC541-7B7A-43D3-8B79-37D633B846F1}">
                          <asvg:svgBlip xmlns:asvg="http://schemas.microsoft.com/office/drawing/2016/SVG/main" r:embed="rId60"/>
                        </a:ext>
                      </a:extLst>
                    </a:blip>
                    <a:stretch>
                      <a:fillRect/>
                    </a:stretch>
                  </pic:blipFill>
                  <pic:spPr>
                    <a:xfrm>
                      <a:off x="0" y="0"/>
                      <a:ext cx="5791835" cy="7642225"/>
                    </a:xfrm>
                    <a:prstGeom prst="rect">
                      <a:avLst/>
                    </a:prstGeom>
                  </pic:spPr>
                </pic:pic>
              </a:graphicData>
            </a:graphic>
          </wp:inline>
        </w:drawing>
      </w:r>
      <w:r w:rsidRPr="003D56B2">
        <w:rPr>
          <w:noProof/>
        </w:rPr>
        <w:lastRenderedPageBreak/>
        <w:drawing>
          <wp:inline distT="0" distB="0" distL="0" distR="0" wp14:anchorId="2909C799" wp14:editId="475F0BA7">
            <wp:extent cx="5791835" cy="7642225"/>
            <wp:effectExtent l="0" t="0" r="0" b="0"/>
            <wp:docPr id="789978132" name="Graphic 789978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978132" name=""/>
                    <pic:cNvPicPr/>
                  </pic:nvPicPr>
                  <pic:blipFill>
                    <a:blip r:embed="rId61">
                      <a:extLst>
                        <a:ext uri="{96DAC541-7B7A-43D3-8B79-37D633B846F1}">
                          <asvg:svgBlip xmlns:asvg="http://schemas.microsoft.com/office/drawing/2016/SVG/main" r:embed="rId62"/>
                        </a:ext>
                      </a:extLst>
                    </a:blip>
                    <a:stretch>
                      <a:fillRect/>
                    </a:stretch>
                  </pic:blipFill>
                  <pic:spPr>
                    <a:xfrm>
                      <a:off x="0" y="0"/>
                      <a:ext cx="5791835" cy="7642225"/>
                    </a:xfrm>
                    <a:prstGeom prst="rect">
                      <a:avLst/>
                    </a:prstGeom>
                  </pic:spPr>
                </pic:pic>
              </a:graphicData>
            </a:graphic>
          </wp:inline>
        </w:drawing>
      </w:r>
      <w:r w:rsidRPr="003D56B2">
        <w:rPr>
          <w:noProof/>
        </w:rPr>
        <w:lastRenderedPageBreak/>
        <w:drawing>
          <wp:inline distT="0" distB="0" distL="0" distR="0" wp14:anchorId="330E25BC" wp14:editId="4B90BB73">
            <wp:extent cx="5791835" cy="7642225"/>
            <wp:effectExtent l="0" t="0" r="0" b="0"/>
            <wp:docPr id="950167254" name="Graphic 950167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167254" name=""/>
                    <pic:cNvPicPr/>
                  </pic:nvPicPr>
                  <pic:blipFill>
                    <a:blip r:embed="rId63">
                      <a:extLst>
                        <a:ext uri="{96DAC541-7B7A-43D3-8B79-37D633B846F1}">
                          <asvg:svgBlip xmlns:asvg="http://schemas.microsoft.com/office/drawing/2016/SVG/main" r:embed="rId64"/>
                        </a:ext>
                      </a:extLst>
                    </a:blip>
                    <a:stretch>
                      <a:fillRect/>
                    </a:stretch>
                  </pic:blipFill>
                  <pic:spPr>
                    <a:xfrm>
                      <a:off x="0" y="0"/>
                      <a:ext cx="5791835" cy="7642225"/>
                    </a:xfrm>
                    <a:prstGeom prst="rect">
                      <a:avLst/>
                    </a:prstGeom>
                  </pic:spPr>
                </pic:pic>
              </a:graphicData>
            </a:graphic>
          </wp:inline>
        </w:drawing>
      </w:r>
      <w:r w:rsidRPr="003D56B2">
        <w:rPr>
          <w:noProof/>
        </w:rPr>
        <w:lastRenderedPageBreak/>
        <w:drawing>
          <wp:inline distT="0" distB="0" distL="0" distR="0" wp14:anchorId="788E822A" wp14:editId="015259E6">
            <wp:extent cx="5791835" cy="7642225"/>
            <wp:effectExtent l="0" t="0" r="0" b="0"/>
            <wp:docPr id="93930466" name="Graphic 93930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30466" name=""/>
                    <pic:cNvPicPr/>
                  </pic:nvPicPr>
                  <pic:blipFill>
                    <a:blip r:embed="rId65">
                      <a:extLst>
                        <a:ext uri="{96DAC541-7B7A-43D3-8B79-37D633B846F1}">
                          <asvg:svgBlip xmlns:asvg="http://schemas.microsoft.com/office/drawing/2016/SVG/main" r:embed="rId66"/>
                        </a:ext>
                      </a:extLst>
                    </a:blip>
                    <a:stretch>
                      <a:fillRect/>
                    </a:stretch>
                  </pic:blipFill>
                  <pic:spPr>
                    <a:xfrm>
                      <a:off x="0" y="0"/>
                      <a:ext cx="5791835" cy="7642225"/>
                    </a:xfrm>
                    <a:prstGeom prst="rect">
                      <a:avLst/>
                    </a:prstGeom>
                  </pic:spPr>
                </pic:pic>
              </a:graphicData>
            </a:graphic>
          </wp:inline>
        </w:drawing>
      </w:r>
      <w:r w:rsidRPr="003D56B2">
        <w:rPr>
          <w:noProof/>
        </w:rPr>
        <w:lastRenderedPageBreak/>
        <w:drawing>
          <wp:inline distT="0" distB="0" distL="0" distR="0" wp14:anchorId="1A110F26" wp14:editId="5689E83C">
            <wp:extent cx="5791835" cy="7642225"/>
            <wp:effectExtent l="0" t="0" r="0" b="0"/>
            <wp:docPr id="1296588909" name="Graphic 1296588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588909" name=""/>
                    <pic:cNvPicPr/>
                  </pic:nvPicPr>
                  <pic:blipFill>
                    <a:blip r:embed="rId67">
                      <a:extLst>
                        <a:ext uri="{96DAC541-7B7A-43D3-8B79-37D633B846F1}">
                          <asvg:svgBlip xmlns:asvg="http://schemas.microsoft.com/office/drawing/2016/SVG/main" r:embed="rId68"/>
                        </a:ext>
                      </a:extLst>
                    </a:blip>
                    <a:stretch>
                      <a:fillRect/>
                    </a:stretch>
                  </pic:blipFill>
                  <pic:spPr>
                    <a:xfrm>
                      <a:off x="0" y="0"/>
                      <a:ext cx="5791835" cy="7642225"/>
                    </a:xfrm>
                    <a:prstGeom prst="rect">
                      <a:avLst/>
                    </a:prstGeom>
                  </pic:spPr>
                </pic:pic>
              </a:graphicData>
            </a:graphic>
          </wp:inline>
        </w:drawing>
      </w:r>
      <w:r w:rsidRPr="003D56B2">
        <w:rPr>
          <w:noProof/>
        </w:rPr>
        <w:lastRenderedPageBreak/>
        <w:drawing>
          <wp:inline distT="0" distB="0" distL="0" distR="0" wp14:anchorId="51E32802" wp14:editId="15824DB0">
            <wp:extent cx="5791835" cy="7642225"/>
            <wp:effectExtent l="0" t="0" r="0" b="0"/>
            <wp:docPr id="401791506" name="Graphic 40179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791506" name=""/>
                    <pic:cNvPicPr/>
                  </pic:nvPicPr>
                  <pic:blipFill>
                    <a:blip r:embed="rId69">
                      <a:extLst>
                        <a:ext uri="{96DAC541-7B7A-43D3-8B79-37D633B846F1}">
                          <asvg:svgBlip xmlns:asvg="http://schemas.microsoft.com/office/drawing/2016/SVG/main" r:embed="rId70"/>
                        </a:ext>
                      </a:extLst>
                    </a:blip>
                    <a:stretch>
                      <a:fillRect/>
                    </a:stretch>
                  </pic:blipFill>
                  <pic:spPr>
                    <a:xfrm>
                      <a:off x="0" y="0"/>
                      <a:ext cx="5791835" cy="7642225"/>
                    </a:xfrm>
                    <a:prstGeom prst="rect">
                      <a:avLst/>
                    </a:prstGeom>
                  </pic:spPr>
                </pic:pic>
              </a:graphicData>
            </a:graphic>
          </wp:inline>
        </w:drawing>
      </w:r>
      <w:r w:rsidRPr="003D56B2">
        <w:rPr>
          <w:noProof/>
        </w:rPr>
        <w:lastRenderedPageBreak/>
        <w:drawing>
          <wp:inline distT="0" distB="0" distL="0" distR="0" wp14:anchorId="289D971E" wp14:editId="5C738EC5">
            <wp:extent cx="5791835" cy="7642225"/>
            <wp:effectExtent l="0" t="0" r="0" b="0"/>
            <wp:docPr id="1179553305" name="Graphic 1179553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553305" name=""/>
                    <pic:cNvPicPr/>
                  </pic:nvPicPr>
                  <pic:blipFill>
                    <a:blip r:embed="rId71">
                      <a:extLst>
                        <a:ext uri="{96DAC541-7B7A-43D3-8B79-37D633B846F1}">
                          <asvg:svgBlip xmlns:asvg="http://schemas.microsoft.com/office/drawing/2016/SVG/main" r:embed="rId72"/>
                        </a:ext>
                      </a:extLst>
                    </a:blip>
                    <a:stretch>
                      <a:fillRect/>
                    </a:stretch>
                  </pic:blipFill>
                  <pic:spPr>
                    <a:xfrm>
                      <a:off x="0" y="0"/>
                      <a:ext cx="5791835" cy="7642225"/>
                    </a:xfrm>
                    <a:prstGeom prst="rect">
                      <a:avLst/>
                    </a:prstGeom>
                  </pic:spPr>
                </pic:pic>
              </a:graphicData>
            </a:graphic>
          </wp:inline>
        </w:drawing>
      </w:r>
      <w:r w:rsidRPr="003D56B2">
        <w:rPr>
          <w:noProof/>
        </w:rPr>
        <w:lastRenderedPageBreak/>
        <w:drawing>
          <wp:inline distT="0" distB="0" distL="0" distR="0" wp14:anchorId="72E2F17F" wp14:editId="315E989B">
            <wp:extent cx="5791835" cy="7642225"/>
            <wp:effectExtent l="0" t="0" r="0" b="0"/>
            <wp:docPr id="259932750" name="Graphic 259932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932750" name=""/>
                    <pic:cNvPicPr/>
                  </pic:nvPicPr>
                  <pic:blipFill>
                    <a:blip r:embed="rId73">
                      <a:extLst>
                        <a:ext uri="{96DAC541-7B7A-43D3-8B79-37D633B846F1}">
                          <asvg:svgBlip xmlns:asvg="http://schemas.microsoft.com/office/drawing/2016/SVG/main" r:embed="rId74"/>
                        </a:ext>
                      </a:extLst>
                    </a:blip>
                    <a:stretch>
                      <a:fillRect/>
                    </a:stretch>
                  </pic:blipFill>
                  <pic:spPr>
                    <a:xfrm>
                      <a:off x="0" y="0"/>
                      <a:ext cx="5791835" cy="7642225"/>
                    </a:xfrm>
                    <a:prstGeom prst="rect">
                      <a:avLst/>
                    </a:prstGeom>
                  </pic:spPr>
                </pic:pic>
              </a:graphicData>
            </a:graphic>
          </wp:inline>
        </w:drawing>
      </w:r>
      <w:r w:rsidRPr="003D56B2">
        <w:rPr>
          <w:noProof/>
        </w:rPr>
        <w:lastRenderedPageBreak/>
        <w:drawing>
          <wp:inline distT="0" distB="0" distL="0" distR="0" wp14:anchorId="4C2346CE" wp14:editId="5945224D">
            <wp:extent cx="5791835" cy="7642225"/>
            <wp:effectExtent l="0" t="0" r="0" b="0"/>
            <wp:docPr id="257981025" name="Graphic 25798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981025" name=""/>
                    <pic:cNvPicPr/>
                  </pic:nvPicPr>
                  <pic:blipFill>
                    <a:blip r:embed="rId75">
                      <a:extLst>
                        <a:ext uri="{96DAC541-7B7A-43D3-8B79-37D633B846F1}">
                          <asvg:svgBlip xmlns:asvg="http://schemas.microsoft.com/office/drawing/2016/SVG/main" r:embed="rId76"/>
                        </a:ext>
                      </a:extLst>
                    </a:blip>
                    <a:stretch>
                      <a:fillRect/>
                    </a:stretch>
                  </pic:blipFill>
                  <pic:spPr>
                    <a:xfrm>
                      <a:off x="0" y="0"/>
                      <a:ext cx="5791835" cy="7642225"/>
                    </a:xfrm>
                    <a:prstGeom prst="rect">
                      <a:avLst/>
                    </a:prstGeom>
                  </pic:spPr>
                </pic:pic>
              </a:graphicData>
            </a:graphic>
          </wp:inline>
        </w:drawing>
      </w:r>
      <w:r w:rsidRPr="003D56B2">
        <w:rPr>
          <w:noProof/>
        </w:rPr>
        <w:lastRenderedPageBreak/>
        <w:drawing>
          <wp:inline distT="0" distB="0" distL="0" distR="0" wp14:anchorId="13DF4F88" wp14:editId="758DE9A6">
            <wp:extent cx="5791835" cy="7642225"/>
            <wp:effectExtent l="0" t="0" r="0" b="0"/>
            <wp:docPr id="178327842" name="Graphic 178327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27842" name=""/>
                    <pic:cNvPicPr/>
                  </pic:nvPicPr>
                  <pic:blipFill>
                    <a:blip r:embed="rId77">
                      <a:extLst>
                        <a:ext uri="{96DAC541-7B7A-43D3-8B79-37D633B846F1}">
                          <asvg:svgBlip xmlns:asvg="http://schemas.microsoft.com/office/drawing/2016/SVG/main" r:embed="rId78"/>
                        </a:ext>
                      </a:extLst>
                    </a:blip>
                    <a:stretch>
                      <a:fillRect/>
                    </a:stretch>
                  </pic:blipFill>
                  <pic:spPr>
                    <a:xfrm>
                      <a:off x="0" y="0"/>
                      <a:ext cx="5791835" cy="7642225"/>
                    </a:xfrm>
                    <a:prstGeom prst="rect">
                      <a:avLst/>
                    </a:prstGeom>
                  </pic:spPr>
                </pic:pic>
              </a:graphicData>
            </a:graphic>
          </wp:inline>
        </w:drawing>
      </w:r>
      <w:r w:rsidRPr="003D56B2">
        <w:rPr>
          <w:noProof/>
        </w:rPr>
        <w:lastRenderedPageBreak/>
        <w:drawing>
          <wp:inline distT="0" distB="0" distL="0" distR="0" wp14:anchorId="01B7D81A" wp14:editId="4AB53438">
            <wp:extent cx="5791835" cy="7642225"/>
            <wp:effectExtent l="0" t="0" r="0" b="0"/>
            <wp:docPr id="536656582" name="Graphic 536656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656582" name=""/>
                    <pic:cNvPicPr/>
                  </pic:nvPicPr>
                  <pic:blipFill>
                    <a:blip r:embed="rId79">
                      <a:extLst>
                        <a:ext uri="{96DAC541-7B7A-43D3-8B79-37D633B846F1}">
                          <asvg:svgBlip xmlns:asvg="http://schemas.microsoft.com/office/drawing/2016/SVG/main" r:embed="rId80"/>
                        </a:ext>
                      </a:extLst>
                    </a:blip>
                    <a:stretch>
                      <a:fillRect/>
                    </a:stretch>
                  </pic:blipFill>
                  <pic:spPr>
                    <a:xfrm>
                      <a:off x="0" y="0"/>
                      <a:ext cx="5791835" cy="7642225"/>
                    </a:xfrm>
                    <a:prstGeom prst="rect">
                      <a:avLst/>
                    </a:prstGeom>
                  </pic:spPr>
                </pic:pic>
              </a:graphicData>
            </a:graphic>
          </wp:inline>
        </w:drawing>
      </w:r>
      <w:r w:rsidRPr="003D56B2">
        <w:rPr>
          <w:noProof/>
        </w:rPr>
        <w:lastRenderedPageBreak/>
        <w:drawing>
          <wp:inline distT="0" distB="0" distL="0" distR="0" wp14:anchorId="5D80FD6C" wp14:editId="556946B0">
            <wp:extent cx="5791835" cy="7642225"/>
            <wp:effectExtent l="0" t="0" r="0" b="0"/>
            <wp:docPr id="1857300117" name="Graphic 1857300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300117" name=""/>
                    <pic:cNvPicPr/>
                  </pic:nvPicPr>
                  <pic:blipFill>
                    <a:blip r:embed="rId81">
                      <a:extLst>
                        <a:ext uri="{96DAC541-7B7A-43D3-8B79-37D633B846F1}">
                          <asvg:svgBlip xmlns:asvg="http://schemas.microsoft.com/office/drawing/2016/SVG/main" r:embed="rId82"/>
                        </a:ext>
                      </a:extLst>
                    </a:blip>
                    <a:stretch>
                      <a:fillRect/>
                    </a:stretch>
                  </pic:blipFill>
                  <pic:spPr>
                    <a:xfrm>
                      <a:off x="0" y="0"/>
                      <a:ext cx="5791835" cy="7642225"/>
                    </a:xfrm>
                    <a:prstGeom prst="rect">
                      <a:avLst/>
                    </a:prstGeom>
                  </pic:spPr>
                </pic:pic>
              </a:graphicData>
            </a:graphic>
          </wp:inline>
        </w:drawing>
      </w:r>
      <w:r w:rsidRPr="003D56B2">
        <w:rPr>
          <w:noProof/>
        </w:rPr>
        <w:lastRenderedPageBreak/>
        <w:drawing>
          <wp:inline distT="0" distB="0" distL="0" distR="0" wp14:anchorId="68FB439D" wp14:editId="58625303">
            <wp:extent cx="5791835" cy="7642225"/>
            <wp:effectExtent l="0" t="0" r="0" b="0"/>
            <wp:docPr id="1622317055" name="Graphic 1622317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317055" name=""/>
                    <pic:cNvPicPr/>
                  </pic:nvPicPr>
                  <pic:blipFill>
                    <a:blip r:embed="rId83">
                      <a:extLst>
                        <a:ext uri="{96DAC541-7B7A-43D3-8B79-37D633B846F1}">
                          <asvg:svgBlip xmlns:asvg="http://schemas.microsoft.com/office/drawing/2016/SVG/main" r:embed="rId84"/>
                        </a:ext>
                      </a:extLst>
                    </a:blip>
                    <a:stretch>
                      <a:fillRect/>
                    </a:stretch>
                  </pic:blipFill>
                  <pic:spPr>
                    <a:xfrm>
                      <a:off x="0" y="0"/>
                      <a:ext cx="5791835" cy="7642225"/>
                    </a:xfrm>
                    <a:prstGeom prst="rect">
                      <a:avLst/>
                    </a:prstGeom>
                  </pic:spPr>
                </pic:pic>
              </a:graphicData>
            </a:graphic>
          </wp:inline>
        </w:drawing>
      </w:r>
      <w:r w:rsidRPr="003D56B2">
        <w:rPr>
          <w:noProof/>
        </w:rPr>
        <w:lastRenderedPageBreak/>
        <w:drawing>
          <wp:inline distT="0" distB="0" distL="0" distR="0" wp14:anchorId="5D4CBBC2" wp14:editId="28E4A440">
            <wp:extent cx="5791835" cy="7642225"/>
            <wp:effectExtent l="0" t="0" r="0" b="0"/>
            <wp:docPr id="1545866632" name="Graphic 1545866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866632" name=""/>
                    <pic:cNvPicPr/>
                  </pic:nvPicPr>
                  <pic:blipFill>
                    <a:blip r:embed="rId85">
                      <a:extLst>
                        <a:ext uri="{96DAC541-7B7A-43D3-8B79-37D633B846F1}">
                          <asvg:svgBlip xmlns:asvg="http://schemas.microsoft.com/office/drawing/2016/SVG/main" r:embed="rId86"/>
                        </a:ext>
                      </a:extLst>
                    </a:blip>
                    <a:stretch>
                      <a:fillRect/>
                    </a:stretch>
                  </pic:blipFill>
                  <pic:spPr>
                    <a:xfrm>
                      <a:off x="0" y="0"/>
                      <a:ext cx="5791835" cy="7642225"/>
                    </a:xfrm>
                    <a:prstGeom prst="rect">
                      <a:avLst/>
                    </a:prstGeom>
                  </pic:spPr>
                </pic:pic>
              </a:graphicData>
            </a:graphic>
          </wp:inline>
        </w:drawing>
      </w:r>
      <w:r w:rsidRPr="003D56B2">
        <w:rPr>
          <w:noProof/>
        </w:rPr>
        <w:lastRenderedPageBreak/>
        <w:drawing>
          <wp:inline distT="0" distB="0" distL="0" distR="0" wp14:anchorId="145E4EF8" wp14:editId="09A176FC">
            <wp:extent cx="5791835" cy="7642225"/>
            <wp:effectExtent l="0" t="0" r="0" b="0"/>
            <wp:docPr id="858615363" name="Graphic 858615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615363" name=""/>
                    <pic:cNvPicPr/>
                  </pic:nvPicPr>
                  <pic:blipFill>
                    <a:blip r:embed="rId87">
                      <a:extLst>
                        <a:ext uri="{96DAC541-7B7A-43D3-8B79-37D633B846F1}">
                          <asvg:svgBlip xmlns:asvg="http://schemas.microsoft.com/office/drawing/2016/SVG/main" r:embed="rId88"/>
                        </a:ext>
                      </a:extLst>
                    </a:blip>
                    <a:stretch>
                      <a:fillRect/>
                    </a:stretch>
                  </pic:blipFill>
                  <pic:spPr>
                    <a:xfrm>
                      <a:off x="0" y="0"/>
                      <a:ext cx="5791835" cy="7642225"/>
                    </a:xfrm>
                    <a:prstGeom prst="rect">
                      <a:avLst/>
                    </a:prstGeom>
                  </pic:spPr>
                </pic:pic>
              </a:graphicData>
            </a:graphic>
          </wp:inline>
        </w:drawing>
      </w:r>
      <w:r w:rsidRPr="003D56B2">
        <w:rPr>
          <w:noProof/>
        </w:rPr>
        <w:lastRenderedPageBreak/>
        <w:drawing>
          <wp:inline distT="0" distB="0" distL="0" distR="0" wp14:anchorId="0BCF9D36" wp14:editId="1C09BB93">
            <wp:extent cx="5791835" cy="7642225"/>
            <wp:effectExtent l="0" t="0" r="0" b="0"/>
            <wp:docPr id="1677361933" name="Graphic 167736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361933" name=""/>
                    <pic:cNvPicPr/>
                  </pic:nvPicPr>
                  <pic:blipFill>
                    <a:blip r:embed="rId89">
                      <a:extLst>
                        <a:ext uri="{96DAC541-7B7A-43D3-8B79-37D633B846F1}">
                          <asvg:svgBlip xmlns:asvg="http://schemas.microsoft.com/office/drawing/2016/SVG/main" r:embed="rId90"/>
                        </a:ext>
                      </a:extLst>
                    </a:blip>
                    <a:stretch>
                      <a:fillRect/>
                    </a:stretch>
                  </pic:blipFill>
                  <pic:spPr>
                    <a:xfrm>
                      <a:off x="0" y="0"/>
                      <a:ext cx="5791835" cy="7642225"/>
                    </a:xfrm>
                    <a:prstGeom prst="rect">
                      <a:avLst/>
                    </a:prstGeom>
                  </pic:spPr>
                </pic:pic>
              </a:graphicData>
            </a:graphic>
          </wp:inline>
        </w:drawing>
      </w:r>
      <w:r w:rsidRPr="003D56B2">
        <w:rPr>
          <w:noProof/>
        </w:rPr>
        <w:lastRenderedPageBreak/>
        <w:drawing>
          <wp:inline distT="0" distB="0" distL="0" distR="0" wp14:anchorId="3E261689" wp14:editId="1DF29AE2">
            <wp:extent cx="5791835" cy="7642225"/>
            <wp:effectExtent l="0" t="0" r="0" b="0"/>
            <wp:docPr id="697449433" name="Graphic 697449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449433" name=""/>
                    <pic:cNvPicPr/>
                  </pic:nvPicPr>
                  <pic:blipFill>
                    <a:blip r:embed="rId91">
                      <a:extLst>
                        <a:ext uri="{96DAC541-7B7A-43D3-8B79-37D633B846F1}">
                          <asvg:svgBlip xmlns:asvg="http://schemas.microsoft.com/office/drawing/2016/SVG/main" r:embed="rId92"/>
                        </a:ext>
                      </a:extLst>
                    </a:blip>
                    <a:stretch>
                      <a:fillRect/>
                    </a:stretch>
                  </pic:blipFill>
                  <pic:spPr>
                    <a:xfrm>
                      <a:off x="0" y="0"/>
                      <a:ext cx="5791835" cy="7642225"/>
                    </a:xfrm>
                    <a:prstGeom prst="rect">
                      <a:avLst/>
                    </a:prstGeom>
                  </pic:spPr>
                </pic:pic>
              </a:graphicData>
            </a:graphic>
          </wp:inline>
        </w:drawing>
      </w:r>
      <w:r w:rsidRPr="003D56B2">
        <w:rPr>
          <w:noProof/>
        </w:rPr>
        <w:lastRenderedPageBreak/>
        <w:drawing>
          <wp:inline distT="0" distB="0" distL="0" distR="0" wp14:anchorId="5ED547DC" wp14:editId="3C87A112">
            <wp:extent cx="5791835" cy="7642225"/>
            <wp:effectExtent l="0" t="0" r="0" b="0"/>
            <wp:docPr id="2140421269" name="Graphic 214042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421269" name=""/>
                    <pic:cNvPicPr/>
                  </pic:nvPicPr>
                  <pic:blipFill>
                    <a:blip r:embed="rId93">
                      <a:extLst>
                        <a:ext uri="{96DAC541-7B7A-43D3-8B79-37D633B846F1}">
                          <asvg:svgBlip xmlns:asvg="http://schemas.microsoft.com/office/drawing/2016/SVG/main" r:embed="rId94"/>
                        </a:ext>
                      </a:extLst>
                    </a:blip>
                    <a:stretch>
                      <a:fillRect/>
                    </a:stretch>
                  </pic:blipFill>
                  <pic:spPr>
                    <a:xfrm>
                      <a:off x="0" y="0"/>
                      <a:ext cx="5791835" cy="7642225"/>
                    </a:xfrm>
                    <a:prstGeom prst="rect">
                      <a:avLst/>
                    </a:prstGeom>
                  </pic:spPr>
                </pic:pic>
              </a:graphicData>
            </a:graphic>
          </wp:inline>
        </w:drawing>
      </w:r>
    </w:p>
    <w:p w14:paraId="5FFBD2B9" w14:textId="77777777" w:rsidR="00350EFB" w:rsidRDefault="00350EFB" w:rsidP="00D5718C">
      <w:pPr>
        <w:jc w:val="center"/>
      </w:pPr>
    </w:p>
    <w:p w14:paraId="4B513A2E" w14:textId="77777777" w:rsidR="00346E0B" w:rsidRDefault="00346E0B" w:rsidP="009626D9">
      <w:pPr>
        <w:pStyle w:val="Ttulo2"/>
      </w:pPr>
      <w:bookmarkStart w:id="52" w:name="_Ref147166566"/>
      <w:bookmarkStart w:id="53" w:name="_Toc157689804"/>
      <w:r>
        <w:lastRenderedPageBreak/>
        <w:t>Listado de comentarios recibidos al proyecto en consulta</w:t>
      </w:r>
      <w:bookmarkEnd w:id="52"/>
      <w:bookmarkEnd w:id="53"/>
    </w:p>
    <w:tbl>
      <w:tblPr>
        <w:tblStyle w:val="Tablaconcuadrcula"/>
        <w:tblW w:w="9493" w:type="dxa"/>
        <w:tblLayout w:type="fixed"/>
        <w:tblLook w:val="04A0" w:firstRow="1" w:lastRow="0" w:firstColumn="1" w:lastColumn="0" w:noHBand="0" w:noVBand="1"/>
      </w:tblPr>
      <w:tblGrid>
        <w:gridCol w:w="557"/>
        <w:gridCol w:w="4967"/>
        <w:gridCol w:w="3969"/>
      </w:tblGrid>
      <w:tr w:rsidR="00064FAE" w:rsidRPr="008B4595" w14:paraId="27F1070E" w14:textId="77777777" w:rsidTr="007E1375">
        <w:trPr>
          <w:trHeight w:val="304"/>
          <w:tblHeader/>
        </w:trPr>
        <w:tc>
          <w:tcPr>
            <w:tcW w:w="557" w:type="dxa"/>
            <w:shd w:val="clear" w:color="auto" w:fill="D0CECE" w:themeFill="background2" w:themeFillShade="E6"/>
            <w:hideMark/>
          </w:tcPr>
          <w:p w14:paraId="78BF6FFD" w14:textId="77777777" w:rsidR="00064FAE" w:rsidRPr="008D41DE" w:rsidRDefault="00064FAE" w:rsidP="008D41DE">
            <w:pPr>
              <w:spacing w:before="0" w:after="0"/>
              <w:jc w:val="center"/>
              <w:rPr>
                <w:rFonts w:cs="Arial"/>
                <w:b/>
                <w:bCs w:val="0"/>
                <w:sz w:val="20"/>
                <w:szCs w:val="20"/>
                <w:lang w:eastAsia="es-CO"/>
              </w:rPr>
            </w:pPr>
            <w:r w:rsidRPr="008D41DE">
              <w:rPr>
                <w:rFonts w:cs="Arial"/>
                <w:b/>
                <w:sz w:val="20"/>
                <w:szCs w:val="20"/>
                <w:lang w:eastAsia="es-CO"/>
              </w:rPr>
              <w:t>No.</w:t>
            </w:r>
          </w:p>
        </w:tc>
        <w:tc>
          <w:tcPr>
            <w:tcW w:w="4967" w:type="dxa"/>
            <w:shd w:val="clear" w:color="auto" w:fill="D0CECE" w:themeFill="background2" w:themeFillShade="E6"/>
            <w:hideMark/>
          </w:tcPr>
          <w:p w14:paraId="7E8D7EDD" w14:textId="77777777" w:rsidR="00064FAE" w:rsidRPr="008D41DE" w:rsidRDefault="00064FAE" w:rsidP="008D41DE">
            <w:pPr>
              <w:spacing w:before="0" w:after="0"/>
              <w:jc w:val="left"/>
              <w:rPr>
                <w:rFonts w:cs="Arial"/>
                <w:b/>
                <w:bCs w:val="0"/>
                <w:sz w:val="20"/>
                <w:szCs w:val="20"/>
                <w:lang w:eastAsia="es-CO"/>
              </w:rPr>
            </w:pPr>
            <w:r w:rsidRPr="008D41DE">
              <w:rPr>
                <w:rFonts w:cs="Arial"/>
                <w:b/>
                <w:sz w:val="20"/>
                <w:szCs w:val="20"/>
                <w:lang w:eastAsia="es-CO"/>
              </w:rPr>
              <w:t>COMENTARIO/PROPUESTA</w:t>
            </w:r>
          </w:p>
        </w:tc>
        <w:tc>
          <w:tcPr>
            <w:tcW w:w="3969" w:type="dxa"/>
            <w:shd w:val="clear" w:color="auto" w:fill="D0CECE" w:themeFill="background2" w:themeFillShade="E6"/>
            <w:hideMark/>
          </w:tcPr>
          <w:p w14:paraId="1548E11E" w14:textId="0654CADB" w:rsidR="00064FAE" w:rsidRPr="008D41DE" w:rsidRDefault="00064FAE" w:rsidP="008D41DE">
            <w:pPr>
              <w:spacing w:before="0" w:after="0"/>
              <w:jc w:val="left"/>
              <w:rPr>
                <w:rFonts w:cs="Arial"/>
                <w:b/>
                <w:bCs w:val="0"/>
                <w:sz w:val="20"/>
                <w:szCs w:val="20"/>
                <w:lang w:eastAsia="es-CO"/>
              </w:rPr>
            </w:pPr>
            <w:r w:rsidRPr="008D41DE">
              <w:rPr>
                <w:rFonts w:cs="Arial"/>
                <w:b/>
                <w:sz w:val="20"/>
                <w:szCs w:val="20"/>
                <w:lang w:eastAsia="es-CO"/>
              </w:rPr>
              <w:t>RESPUESTA</w:t>
            </w:r>
          </w:p>
        </w:tc>
      </w:tr>
      <w:tr w:rsidR="00064FAE" w:rsidRPr="008B4595" w14:paraId="38AEA751" w14:textId="77777777" w:rsidTr="007E1375">
        <w:trPr>
          <w:trHeight w:val="1152"/>
        </w:trPr>
        <w:tc>
          <w:tcPr>
            <w:tcW w:w="557" w:type="dxa"/>
            <w:hideMark/>
          </w:tcPr>
          <w:p w14:paraId="64A85EAE"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1</w:t>
            </w:r>
          </w:p>
        </w:tc>
        <w:tc>
          <w:tcPr>
            <w:tcW w:w="4967" w:type="dxa"/>
            <w:hideMark/>
          </w:tcPr>
          <w:p w14:paraId="3737E88D"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Incluir en la redacción del numeral 4.2.4:</w:t>
            </w:r>
            <w:r w:rsidRPr="008D41DE">
              <w:rPr>
                <w:rFonts w:cs="Arial"/>
                <w:sz w:val="20"/>
                <w:szCs w:val="20"/>
                <w:lang w:eastAsia="es-CO"/>
              </w:rPr>
              <w:br/>
              <w:t>• Permitir el correcto modelamiento del STR y/o SDL, obteniendo la información de las características de todas las tecnologías destinadas a la compensación al interior de los sistemas.</w:t>
            </w:r>
          </w:p>
        </w:tc>
        <w:tc>
          <w:tcPr>
            <w:tcW w:w="3969" w:type="dxa"/>
            <w:hideMark/>
          </w:tcPr>
          <w:p w14:paraId="76E134AC"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En la resolución definitiva se establece que los dispositivos conectados a niveles de tensión II, III y IV que puedan mejorar el factor de potencia como bancos de condensadores, reactores, filtros de armónicos y demás, deben ser aprobados por el OR. Estos, deben conocer tanto las características técnicas de dichos dispositivos como las instalaciones internas de los usuarios.</w:t>
            </w:r>
          </w:p>
        </w:tc>
      </w:tr>
      <w:tr w:rsidR="00064FAE" w:rsidRPr="008B4595" w14:paraId="235125E4" w14:textId="77777777" w:rsidTr="007E1375">
        <w:trPr>
          <w:trHeight w:val="1205"/>
        </w:trPr>
        <w:tc>
          <w:tcPr>
            <w:tcW w:w="557" w:type="dxa"/>
            <w:hideMark/>
          </w:tcPr>
          <w:p w14:paraId="1F559995"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2</w:t>
            </w:r>
          </w:p>
        </w:tc>
        <w:tc>
          <w:tcPr>
            <w:tcW w:w="4967" w:type="dxa"/>
            <w:hideMark/>
          </w:tcPr>
          <w:p w14:paraId="1E22CBB2"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Para determinar si el factor de potencia capacitivo cumple los anteriores límites se calculará la relación entre la suma aritmética de la energía reactiva INDUCTIVA durante un periodo mensual respecto de la cantidad de energía activa en el mismo periodo.</w:t>
            </w:r>
          </w:p>
        </w:tc>
        <w:tc>
          <w:tcPr>
            <w:tcW w:w="3969" w:type="dxa"/>
            <w:hideMark/>
          </w:tcPr>
          <w:p w14:paraId="37ED3D30"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El cobro de transporte de energía reactiva inductiva no es modificado en esta resolución y se menciona en el literal a) de la Resolución CREG 015 de 2018: "se deberá sumar la energía reactiva horaria de los puntos de frontera de un mismo sistema, entendiéndose como punto de frontera los puntos de conexión con otros sistemas (STN, OR) en un mismo nivel de tensión. El balance se calculará con base en las sumas aritméticas, considerando la dirección de los flujos de energía activa y reactiva a través de dichos puntos de frontera."</w:t>
            </w:r>
            <w:r w:rsidRPr="008D41DE">
              <w:rPr>
                <w:rFonts w:cs="Arial"/>
                <w:sz w:val="20"/>
                <w:szCs w:val="20"/>
                <w:lang w:eastAsia="es-CO"/>
              </w:rPr>
              <w:br/>
              <w:t>El cobro de transporte de energía reactiva capacitiva se calcula mediante el CTER expuesto en el capítulo 12 de la Resolución CREG 015 de 2018. El cumplimiento de los límites de factor de potencia se calculará mediante la relación entre la suma aritmética de la energía reactiva capacitiva durante un periodo mensual respecto de la cantidad de energía activa en el mismo periodo.</w:t>
            </w:r>
          </w:p>
        </w:tc>
      </w:tr>
      <w:tr w:rsidR="00064FAE" w:rsidRPr="008B4595" w14:paraId="62C3BA96" w14:textId="77777777" w:rsidTr="007E1375">
        <w:trPr>
          <w:trHeight w:val="288"/>
        </w:trPr>
        <w:tc>
          <w:tcPr>
            <w:tcW w:w="557" w:type="dxa"/>
            <w:hideMark/>
          </w:tcPr>
          <w:p w14:paraId="7B27724B"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3</w:t>
            </w:r>
          </w:p>
        </w:tc>
        <w:tc>
          <w:tcPr>
            <w:tcW w:w="4967" w:type="dxa"/>
            <w:hideMark/>
          </w:tcPr>
          <w:p w14:paraId="68E39221"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Consideramos que la propuesta cumple parcialmente con las directrices del MME, por lo que es fundamental que se realice, por parte de la Comisión, la revisión de la regulación vigente con relación al cobro por el transporte de la energía reactiva contenido en la Resolución CREG 015 de 2018, debido a que en dicha metodología se establecen los límites sobre los cuales aplican los incentivos y la manera de aplicarlo, que difiere de la propuesta de resolución en comentarios.</w:t>
            </w:r>
          </w:p>
        </w:tc>
        <w:tc>
          <w:tcPr>
            <w:tcW w:w="3969" w:type="dxa"/>
            <w:hideMark/>
          </w:tcPr>
          <w:p w14:paraId="7D69E6AF"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Este tema se considerará en la revisión y expedición de la siguiente metodología de distribución.</w:t>
            </w:r>
          </w:p>
        </w:tc>
      </w:tr>
      <w:tr w:rsidR="00064FAE" w:rsidRPr="008B4595" w14:paraId="23E6E413" w14:textId="77777777" w:rsidTr="007E1375">
        <w:trPr>
          <w:trHeight w:val="605"/>
        </w:trPr>
        <w:tc>
          <w:tcPr>
            <w:tcW w:w="557" w:type="dxa"/>
            <w:hideMark/>
          </w:tcPr>
          <w:p w14:paraId="09DA05CE"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4</w:t>
            </w:r>
          </w:p>
        </w:tc>
        <w:tc>
          <w:tcPr>
            <w:tcW w:w="4967" w:type="dxa"/>
            <w:hideMark/>
          </w:tcPr>
          <w:p w14:paraId="5EE7E0B0"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 xml:space="preserve">Modificar el numeral c del capítulo 12 de la resolución CREG 015 de 2018. Adicional a ello, ajustar la metodología del incremento del factor M para que solo dependa de los consumos reactivos inductivos. Finalmente, se propone reiniciar el factor M a 1, esto sustentando en que varios usuarios </w:t>
            </w:r>
            <w:r w:rsidRPr="008D41DE">
              <w:rPr>
                <w:rFonts w:cs="Arial"/>
                <w:sz w:val="20"/>
                <w:szCs w:val="20"/>
                <w:lang w:eastAsia="es-CO"/>
              </w:rPr>
              <w:lastRenderedPageBreak/>
              <w:t>finales, con los nuevos límites de reactiva propuestos, no tendrían un factor M mayor a 1.</w:t>
            </w:r>
          </w:p>
        </w:tc>
        <w:tc>
          <w:tcPr>
            <w:tcW w:w="3969" w:type="dxa"/>
            <w:hideMark/>
          </w:tcPr>
          <w:p w14:paraId="00A3B86D" w14:textId="0D37BAFB"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lastRenderedPageBreak/>
              <w:t xml:space="preserve">En la </w:t>
            </w:r>
            <w:r w:rsidR="00826806">
              <w:rPr>
                <w:rFonts w:cs="Arial"/>
                <w:sz w:val="20"/>
                <w:szCs w:val="20"/>
                <w:lang w:eastAsia="es-CO"/>
              </w:rPr>
              <w:t xml:space="preserve">revisión de </w:t>
            </w:r>
            <w:r w:rsidR="00073288">
              <w:rPr>
                <w:rFonts w:cs="Arial"/>
                <w:sz w:val="20"/>
                <w:szCs w:val="20"/>
                <w:lang w:eastAsia="es-CO"/>
              </w:rPr>
              <w:t xml:space="preserve">la </w:t>
            </w:r>
            <w:r w:rsidRPr="008D41DE">
              <w:rPr>
                <w:rFonts w:cs="Arial"/>
                <w:sz w:val="20"/>
                <w:szCs w:val="20"/>
                <w:lang w:eastAsia="es-CO"/>
              </w:rPr>
              <w:t>metodología</w:t>
            </w:r>
            <w:r w:rsidR="00826806">
              <w:rPr>
                <w:rFonts w:cs="Arial"/>
                <w:sz w:val="20"/>
                <w:szCs w:val="20"/>
                <w:lang w:eastAsia="es-CO"/>
              </w:rPr>
              <w:t xml:space="preserve"> </w:t>
            </w:r>
            <w:r w:rsidR="00073288">
              <w:rPr>
                <w:rFonts w:cs="Arial"/>
                <w:sz w:val="20"/>
                <w:szCs w:val="20"/>
                <w:lang w:eastAsia="es-CO"/>
              </w:rPr>
              <w:t xml:space="preserve">de distribución </w:t>
            </w:r>
            <w:r w:rsidRPr="008D41DE">
              <w:rPr>
                <w:rFonts w:cs="Arial"/>
                <w:sz w:val="20"/>
                <w:szCs w:val="20"/>
                <w:lang w:eastAsia="es-CO"/>
              </w:rPr>
              <w:t xml:space="preserve">se </w:t>
            </w:r>
            <w:r w:rsidR="00073288">
              <w:rPr>
                <w:rFonts w:cs="Arial"/>
                <w:sz w:val="20"/>
                <w:szCs w:val="20"/>
                <w:lang w:eastAsia="es-CO"/>
              </w:rPr>
              <w:t>evaluará</w:t>
            </w:r>
            <w:r w:rsidRPr="008D41DE">
              <w:rPr>
                <w:rFonts w:cs="Arial"/>
                <w:sz w:val="20"/>
                <w:szCs w:val="20"/>
                <w:lang w:eastAsia="es-CO"/>
              </w:rPr>
              <w:t xml:space="preserve"> el desempeño del esquema de incentivos (Factor M) para reducir el transporte de reactiva en exceso y se analizará la solicitud de establecer reglas para estructurar un </w:t>
            </w:r>
            <w:r w:rsidRPr="008D41DE">
              <w:rPr>
                <w:rFonts w:cs="Arial"/>
                <w:sz w:val="20"/>
                <w:szCs w:val="20"/>
                <w:lang w:eastAsia="es-CO"/>
              </w:rPr>
              <w:lastRenderedPageBreak/>
              <w:t xml:space="preserve">mercado de energía reactiva. </w:t>
            </w:r>
            <w:r w:rsidRPr="008D41DE">
              <w:rPr>
                <w:rFonts w:cs="Arial"/>
                <w:sz w:val="20"/>
                <w:szCs w:val="20"/>
                <w:lang w:eastAsia="es-CO"/>
              </w:rPr>
              <w:br/>
            </w:r>
            <w:r w:rsidR="003F3C00">
              <w:rPr>
                <w:rFonts w:cs="Arial"/>
                <w:sz w:val="20"/>
                <w:szCs w:val="20"/>
                <w:lang w:eastAsia="es-CO"/>
              </w:rPr>
              <w:t>C</w:t>
            </w:r>
            <w:r w:rsidRPr="008D41DE">
              <w:rPr>
                <w:rFonts w:cs="Arial"/>
                <w:sz w:val="20"/>
                <w:szCs w:val="20"/>
                <w:lang w:eastAsia="es-CO"/>
              </w:rPr>
              <w:t xml:space="preserve">omo se indicó en el </w:t>
            </w:r>
            <w:r w:rsidR="00073288" w:rsidRPr="008D41DE">
              <w:rPr>
                <w:rFonts w:cs="Arial"/>
                <w:sz w:val="20"/>
                <w:szCs w:val="20"/>
                <w:lang w:eastAsia="es-CO"/>
              </w:rPr>
              <w:t xml:space="preserve">documento </w:t>
            </w:r>
            <w:r w:rsidRPr="008D41DE">
              <w:rPr>
                <w:rFonts w:cs="Arial"/>
                <w:sz w:val="20"/>
                <w:szCs w:val="20"/>
                <w:lang w:eastAsia="es-CO"/>
              </w:rPr>
              <w:t>soporte, modificar el Reglamento de Distribución es la solución para atender en el corto plazo al Decreto del Ministerio</w:t>
            </w:r>
            <w:r w:rsidR="003F3C00">
              <w:rPr>
                <w:rFonts w:cs="Arial"/>
                <w:sz w:val="20"/>
                <w:szCs w:val="20"/>
                <w:lang w:eastAsia="es-CO"/>
              </w:rPr>
              <w:t>.</w:t>
            </w:r>
          </w:p>
        </w:tc>
      </w:tr>
      <w:tr w:rsidR="00064FAE" w:rsidRPr="008B4595" w14:paraId="24F47D47" w14:textId="77777777" w:rsidTr="007E1375">
        <w:trPr>
          <w:trHeight w:val="378"/>
        </w:trPr>
        <w:tc>
          <w:tcPr>
            <w:tcW w:w="557" w:type="dxa"/>
            <w:hideMark/>
          </w:tcPr>
          <w:p w14:paraId="6BC86266"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lastRenderedPageBreak/>
              <w:t>5</w:t>
            </w:r>
          </w:p>
        </w:tc>
        <w:tc>
          <w:tcPr>
            <w:tcW w:w="4967" w:type="dxa"/>
            <w:hideMark/>
          </w:tcPr>
          <w:p w14:paraId="55D53D57" w14:textId="73E1F305"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Cuando se presente un cambio de medidor, o se vaya a instalar un medidor nuevo o se presente un cambio de comercializador, estudiar la posibilidad para que los comercializadores instalen un medidor que permita la lectura de energía reactiva bidireccional adicional a la activa sin importar el nivel de tensión al que se encuentre conectado el usuario. Es importante evitar que los comercializadores instalen medidores que no permitan identificar si un usuario está transportando energía reactiva.</w:t>
            </w:r>
          </w:p>
        </w:tc>
        <w:tc>
          <w:tcPr>
            <w:tcW w:w="3969" w:type="dxa"/>
            <w:hideMark/>
          </w:tcPr>
          <w:p w14:paraId="709F28FE"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La situación expuesta no está al alcance de la propuesta. No obstante, no se modifican las exigencias del medidor establecidas en la Resolución CREG 038 de 2014:</w:t>
            </w:r>
            <w:r w:rsidRPr="008D41DE">
              <w:rPr>
                <w:rFonts w:cs="Arial"/>
                <w:sz w:val="20"/>
                <w:szCs w:val="20"/>
                <w:lang w:eastAsia="es-CO"/>
              </w:rPr>
              <w:br/>
              <w:t>"ARTÍCULO 8o. REQUISITOS GENERALES DE LOS SISTEMAS DE MEDICIÓN. Los sistemas de medición deben cumplir con las siguientes condiciones:</w:t>
            </w:r>
            <w:r w:rsidRPr="008D41DE">
              <w:rPr>
                <w:rFonts w:cs="Arial"/>
                <w:sz w:val="20"/>
                <w:szCs w:val="20"/>
                <w:lang w:eastAsia="es-CO"/>
              </w:rPr>
              <w:br/>
              <w:t xml:space="preserve">(…) </w:t>
            </w:r>
            <w:r w:rsidRPr="008D41DE">
              <w:rPr>
                <w:rFonts w:cs="Arial"/>
                <w:sz w:val="20"/>
                <w:szCs w:val="20"/>
                <w:lang w:eastAsia="es-CO"/>
              </w:rPr>
              <w:br/>
              <w:t>e) En los puntos de medición en los que se presenten o se prevean flujos de energía en ambos sentidos se deben instalar medidores bidireccionales para determinar de forma independiente el flujo en cada sentido. (...)</w:t>
            </w:r>
            <w:r w:rsidRPr="008D41DE">
              <w:rPr>
                <w:rFonts w:cs="Arial"/>
                <w:sz w:val="20"/>
                <w:szCs w:val="20"/>
                <w:lang w:eastAsia="es-CO"/>
              </w:rPr>
              <w:br/>
              <w:t>h) Los sistemas de medición deben registrar y permitir la lectura y transmisión de la información en los términos establecidos en los artículos 15 y 37 de esta resolución. (...)</w:t>
            </w:r>
            <w:r w:rsidRPr="008D41DE">
              <w:rPr>
                <w:rFonts w:cs="Arial"/>
                <w:sz w:val="20"/>
                <w:szCs w:val="20"/>
                <w:lang w:eastAsia="es-CO"/>
              </w:rPr>
              <w:br/>
              <w:t>ARTÍCULO 15. REGISTRO Y LECTURA DE LA INFORMACIÓN. Las fronteras comerciales con reporte al ASIC deben contar con medidores de energía activa y reactiva de tal manera que permitan, como mínimo, el registro horario de las transacciones de energía en el primer minuto de cada hora y con los equipos necesarios para realizar la lectura, interrogación y reporte de la información en los siguientes términos:"</w:t>
            </w:r>
          </w:p>
        </w:tc>
      </w:tr>
      <w:tr w:rsidR="00064FAE" w:rsidRPr="008B4595" w14:paraId="27B1D6EA" w14:textId="77777777" w:rsidTr="007E1375">
        <w:trPr>
          <w:trHeight w:val="1728"/>
        </w:trPr>
        <w:tc>
          <w:tcPr>
            <w:tcW w:w="557" w:type="dxa"/>
            <w:hideMark/>
          </w:tcPr>
          <w:p w14:paraId="5276E0F0"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6</w:t>
            </w:r>
          </w:p>
        </w:tc>
        <w:tc>
          <w:tcPr>
            <w:tcW w:w="4967" w:type="dxa"/>
            <w:hideMark/>
          </w:tcPr>
          <w:p w14:paraId="5D6BCC61"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Ajustar el proyecto CREG 701 017 de 2023, de tal forma que se modifique la resolución en la cual se define el cobro de energía reactiva penalizada a los usuarios finales, capítulo 12 de la Resolución CREG 015 de 2018.</w:t>
            </w:r>
          </w:p>
        </w:tc>
        <w:tc>
          <w:tcPr>
            <w:tcW w:w="3969" w:type="dxa"/>
            <w:hideMark/>
          </w:tcPr>
          <w:p w14:paraId="0B8C7D5C"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2 y a la pregunta 3.</w:t>
            </w:r>
            <w:r w:rsidRPr="008D41DE">
              <w:rPr>
                <w:rFonts w:cs="Arial"/>
                <w:sz w:val="20"/>
                <w:szCs w:val="20"/>
                <w:lang w:eastAsia="es-CO"/>
              </w:rPr>
              <w:br/>
            </w:r>
            <w:r w:rsidRPr="008D41DE">
              <w:rPr>
                <w:rFonts w:cs="Arial"/>
                <w:sz w:val="20"/>
                <w:szCs w:val="20"/>
                <w:lang w:eastAsia="es-CO"/>
              </w:rPr>
              <w:br/>
              <w:t>La resolución definitiva modifica el numeral 4.2.4 del Anexo General de la Resolución CREG 070 de 1998, el cual es el Reglamento de Distribución de Energía Eléctrica. Por ende, posterior a su publicación, este aplica inmediatamente a la actual metodología de distribución, lo que implica la consideración de los nuevos límites de factor de potencia capacitivo.</w:t>
            </w:r>
          </w:p>
        </w:tc>
      </w:tr>
      <w:tr w:rsidR="00064FAE" w:rsidRPr="008B4595" w14:paraId="4898D789" w14:textId="77777777" w:rsidTr="007E1375">
        <w:trPr>
          <w:trHeight w:val="576"/>
        </w:trPr>
        <w:tc>
          <w:tcPr>
            <w:tcW w:w="557" w:type="dxa"/>
            <w:hideMark/>
          </w:tcPr>
          <w:p w14:paraId="6C8E9417"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lastRenderedPageBreak/>
              <w:t>7</w:t>
            </w:r>
          </w:p>
        </w:tc>
        <w:tc>
          <w:tcPr>
            <w:tcW w:w="4967" w:type="dxa"/>
            <w:hideMark/>
          </w:tcPr>
          <w:p w14:paraId="4935C09D"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Con respecto a la exención del cobro de la energía reactiva a los residenciales, consideramos que en primera instancia es una medida con la que estamos de acuerdo, no obstante, es necesario realizarse un seguimiento periódico por parte de la CREG ante un escenario de masificación de AMI, medidores digitales para tomar las medidas correctas oportunamente.</w:t>
            </w:r>
          </w:p>
        </w:tc>
        <w:tc>
          <w:tcPr>
            <w:tcW w:w="3969" w:type="dxa"/>
            <w:hideMark/>
          </w:tcPr>
          <w:p w14:paraId="2E2B278B"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Este tema será considerado, bien sea en la oportunidad de la revisión de la metodología de distribución de energía eléctrica o a la expedición del esquema de AMI.</w:t>
            </w:r>
          </w:p>
        </w:tc>
      </w:tr>
      <w:tr w:rsidR="00064FAE" w:rsidRPr="008B4595" w14:paraId="17560BDF" w14:textId="77777777" w:rsidTr="007E1375">
        <w:trPr>
          <w:trHeight w:val="2220"/>
        </w:trPr>
        <w:tc>
          <w:tcPr>
            <w:tcW w:w="557" w:type="dxa"/>
            <w:hideMark/>
          </w:tcPr>
          <w:p w14:paraId="2A918D05"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8</w:t>
            </w:r>
          </w:p>
        </w:tc>
        <w:tc>
          <w:tcPr>
            <w:tcW w:w="4967" w:type="dxa"/>
            <w:hideMark/>
          </w:tcPr>
          <w:p w14:paraId="05AF256B"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Al respecto, sugerimos a la CREG definir los formatos de seguimiento mensual de las variables del documento soporte CERT, CER, FCER, ERT, ER, TCER por usuario y que los indicadores de seguimiento hagan parte integral de la resolución definitiva, según el exceso sobre el límite del factor de potencia y nivel de tensión. Además, con el fin de centralizar la información se propone que incluya en los reportes al SUI.</w:t>
            </w:r>
          </w:p>
        </w:tc>
        <w:tc>
          <w:tcPr>
            <w:tcW w:w="3969" w:type="dxa"/>
            <w:hideMark/>
          </w:tcPr>
          <w:p w14:paraId="2B3B270E"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Dado que los indicadores de seguimiento corresponden a los planteados en la Resolución CREG 015 de 2018, en la revisión de la nueva metodología serán evaluados y tenidos en cuenta para los análisis respectivos.</w:t>
            </w:r>
            <w:r w:rsidRPr="008D41DE">
              <w:rPr>
                <w:rFonts w:cs="Arial"/>
                <w:sz w:val="20"/>
                <w:szCs w:val="20"/>
                <w:lang w:eastAsia="es-CO"/>
              </w:rPr>
              <w:br/>
            </w:r>
            <w:r w:rsidRPr="008D41DE">
              <w:rPr>
                <w:rFonts w:cs="Arial"/>
                <w:sz w:val="20"/>
                <w:szCs w:val="20"/>
                <w:lang w:eastAsia="es-CO"/>
              </w:rPr>
              <w:br/>
              <w:t>A la vez, la propuesta de centralizar la información en reportes al SUI será revisada.</w:t>
            </w:r>
          </w:p>
        </w:tc>
      </w:tr>
      <w:tr w:rsidR="00064FAE" w:rsidRPr="008B4595" w14:paraId="75249F2A" w14:textId="77777777" w:rsidTr="007E1375">
        <w:trPr>
          <w:trHeight w:val="864"/>
        </w:trPr>
        <w:tc>
          <w:tcPr>
            <w:tcW w:w="557" w:type="dxa"/>
            <w:hideMark/>
          </w:tcPr>
          <w:p w14:paraId="5B121DF0"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9</w:t>
            </w:r>
          </w:p>
        </w:tc>
        <w:tc>
          <w:tcPr>
            <w:tcW w:w="4967" w:type="dxa"/>
            <w:hideMark/>
          </w:tcPr>
          <w:p w14:paraId="3DBC785D"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Creemos conveniente que la Comisión expida prontamente la resolución definitiva del proyecto de resolución CREG 701 027 de 2022 donde se definan condiciones técnicas, particularmente para el caso de usuarios industriales quienes son los que inyectan energías a los sistemas. Un usuario industrial con la instalación de un solo panel se convierta en AGPE y en ese sentido dejaría de pagar transporte de energía reactiva, sin tener la obligación de arreglar su instalación para mejorar los factores de potencia.</w:t>
            </w:r>
          </w:p>
        </w:tc>
        <w:tc>
          <w:tcPr>
            <w:tcW w:w="3969" w:type="dxa"/>
            <w:hideMark/>
          </w:tcPr>
          <w:p w14:paraId="02625843" w14:textId="077B9A7D" w:rsidR="00064FAE" w:rsidRPr="008D41DE" w:rsidRDefault="00205E2F" w:rsidP="008D41DE">
            <w:pPr>
              <w:spacing w:before="0" w:after="0"/>
              <w:jc w:val="left"/>
              <w:rPr>
                <w:rFonts w:cs="Arial"/>
                <w:sz w:val="20"/>
                <w:szCs w:val="20"/>
                <w:lang w:eastAsia="es-CO"/>
              </w:rPr>
            </w:pPr>
            <w:r>
              <w:rPr>
                <w:rFonts w:cs="Arial"/>
                <w:sz w:val="20"/>
                <w:szCs w:val="20"/>
                <w:lang w:eastAsia="es-CO"/>
              </w:rPr>
              <w:t xml:space="preserve">La presente </w:t>
            </w:r>
            <w:r w:rsidR="00064FAE" w:rsidRPr="008D41DE">
              <w:rPr>
                <w:rFonts w:cs="Arial"/>
                <w:sz w:val="20"/>
                <w:szCs w:val="20"/>
                <w:lang w:eastAsia="es-CO"/>
              </w:rPr>
              <w:t>resolución se enmarca una parte del requerimiento de política pública establecido en el artículo 5 del Decreto 0929 de 2023 expedido por el Ministerio de Minas y Energía, por lo tanto, no hacen parte del alcance los aspectos referentes a AGPE y AGGE.</w:t>
            </w:r>
          </w:p>
          <w:p w14:paraId="11E0B8F7"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Sin embargo, los aspectos de AG y afines se están revisando en el proyecto resolución 701 027 de 2022.</w:t>
            </w:r>
          </w:p>
        </w:tc>
      </w:tr>
      <w:tr w:rsidR="00064FAE" w:rsidRPr="008B4595" w14:paraId="2AFBC693" w14:textId="77777777" w:rsidTr="007E1375">
        <w:trPr>
          <w:trHeight w:val="1152"/>
        </w:trPr>
        <w:tc>
          <w:tcPr>
            <w:tcW w:w="557" w:type="dxa"/>
            <w:hideMark/>
          </w:tcPr>
          <w:p w14:paraId="18FB1163"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10</w:t>
            </w:r>
          </w:p>
        </w:tc>
        <w:tc>
          <w:tcPr>
            <w:tcW w:w="4967" w:type="dxa"/>
            <w:hideMark/>
          </w:tcPr>
          <w:p w14:paraId="3169E700"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Socializar ante MME y demás entes responsables del manejo de temas afines, la necesidad de promover el control de las características técnicas de los elementos eléctricos, electrónicos que llegan al país y que afectan el FP de los consumos de los usuarios finales.  Acciones que pueden llevarse a cabo mediante RETIE, o programas de eficiencia energética como el PROURE, entre otros.</w:t>
            </w:r>
          </w:p>
        </w:tc>
        <w:tc>
          <w:tcPr>
            <w:tcW w:w="3969" w:type="dxa"/>
            <w:hideMark/>
          </w:tcPr>
          <w:p w14:paraId="74DB5B85" w14:textId="77777777" w:rsidR="001F1C14" w:rsidRDefault="00064FAE" w:rsidP="008D41DE">
            <w:pPr>
              <w:spacing w:before="0" w:after="0"/>
              <w:jc w:val="left"/>
              <w:rPr>
                <w:rFonts w:cs="Arial"/>
                <w:sz w:val="20"/>
                <w:szCs w:val="20"/>
                <w:lang w:eastAsia="es-CO"/>
              </w:rPr>
            </w:pPr>
            <w:r w:rsidRPr="008D41DE">
              <w:rPr>
                <w:rFonts w:cs="Arial"/>
                <w:sz w:val="20"/>
                <w:szCs w:val="20"/>
                <w:lang w:eastAsia="es-CO"/>
              </w:rPr>
              <w:t>Realizar exigencias técnicas de equipos y aparatos que se importan o producen en el país no hace parte de las funciones de la Comisión.</w:t>
            </w:r>
          </w:p>
          <w:p w14:paraId="46CFBFBE" w14:textId="717CBAD5"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br/>
            </w:r>
            <w:r w:rsidR="001F1C14">
              <w:rPr>
                <w:rFonts w:cs="Arial"/>
                <w:sz w:val="20"/>
                <w:szCs w:val="20"/>
                <w:lang w:eastAsia="es-CO"/>
              </w:rPr>
              <w:t>No obstante, se</w:t>
            </w:r>
            <w:r w:rsidRPr="008D41DE">
              <w:rPr>
                <w:rFonts w:cs="Arial"/>
                <w:sz w:val="20"/>
                <w:szCs w:val="20"/>
                <w:lang w:eastAsia="es-CO"/>
              </w:rPr>
              <w:t xml:space="preserve"> compartir</w:t>
            </w:r>
            <w:r w:rsidR="001F1C14">
              <w:rPr>
                <w:rFonts w:cs="Arial"/>
                <w:sz w:val="20"/>
                <w:szCs w:val="20"/>
                <w:lang w:eastAsia="es-CO"/>
              </w:rPr>
              <w:t>á</w:t>
            </w:r>
            <w:r w:rsidRPr="008D41DE">
              <w:rPr>
                <w:rFonts w:cs="Arial"/>
                <w:sz w:val="20"/>
                <w:szCs w:val="20"/>
                <w:lang w:eastAsia="es-CO"/>
              </w:rPr>
              <w:t xml:space="preserve"> </w:t>
            </w:r>
            <w:r w:rsidR="0024613B">
              <w:rPr>
                <w:rFonts w:cs="Arial"/>
                <w:sz w:val="20"/>
                <w:szCs w:val="20"/>
                <w:lang w:eastAsia="es-CO"/>
              </w:rPr>
              <w:t xml:space="preserve">el comentario </w:t>
            </w:r>
            <w:r w:rsidRPr="008D41DE">
              <w:rPr>
                <w:rFonts w:cs="Arial"/>
                <w:sz w:val="20"/>
                <w:szCs w:val="20"/>
                <w:lang w:eastAsia="es-CO"/>
              </w:rPr>
              <w:t>con SIC y MME para posibles modificaciones de reglamentos.</w:t>
            </w:r>
          </w:p>
        </w:tc>
      </w:tr>
      <w:tr w:rsidR="00064FAE" w:rsidRPr="008B4595" w14:paraId="4C3EC6AF" w14:textId="77777777" w:rsidTr="007E1375">
        <w:trPr>
          <w:trHeight w:val="576"/>
        </w:trPr>
        <w:tc>
          <w:tcPr>
            <w:tcW w:w="557" w:type="dxa"/>
            <w:hideMark/>
          </w:tcPr>
          <w:p w14:paraId="17FDB41F"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11</w:t>
            </w:r>
          </w:p>
        </w:tc>
        <w:tc>
          <w:tcPr>
            <w:tcW w:w="4967" w:type="dxa"/>
            <w:hideMark/>
          </w:tcPr>
          <w:p w14:paraId="73CD4E21" w14:textId="0FAF26C8"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Consideramos que el tiempo de un mes propuesto para la divulgación de los procesos, la aclaración de consecuencias de las modificaciones y los desarrollos para la implementación podría ser corto para llevar a cabo lo establecido; por lo tanto, amablemente sugerimos que este tiempo sea ampliado a 3 meses.</w:t>
            </w:r>
          </w:p>
        </w:tc>
        <w:tc>
          <w:tcPr>
            <w:tcW w:w="3969" w:type="dxa"/>
            <w:hideMark/>
          </w:tcPr>
          <w:p w14:paraId="263B4E7D" w14:textId="4D6F7E8D"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Se ajusta el tiempo de divulgación de los procesos, la aclaración de consecuencias de las modificaciones y los desarrollos para la implementación a 3 meses.</w:t>
            </w:r>
          </w:p>
        </w:tc>
      </w:tr>
      <w:tr w:rsidR="00064FAE" w:rsidRPr="008B4595" w14:paraId="55CDB61F" w14:textId="77777777" w:rsidTr="007E1375">
        <w:trPr>
          <w:trHeight w:val="959"/>
        </w:trPr>
        <w:tc>
          <w:tcPr>
            <w:tcW w:w="557" w:type="dxa"/>
            <w:hideMark/>
          </w:tcPr>
          <w:p w14:paraId="1F590709"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12</w:t>
            </w:r>
          </w:p>
        </w:tc>
        <w:tc>
          <w:tcPr>
            <w:tcW w:w="4967" w:type="dxa"/>
            <w:hideMark/>
          </w:tcPr>
          <w:p w14:paraId="1778F0E7" w14:textId="59186F7E"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 xml:space="preserve">Consideramos necesario, que en conjunto con el MME se estudie la posibilidad de incluir un lineamiento sobre etiquetado de electrodomésticos, complementando el esquema de etiquetado vigente con medidas adicionales que lleven a que se brinde información a los usuarios sobre los electrodomésticos que ingresan más energía reactiva a la red. Así mismo, proponemos que en alianza con el Organismo Nacional de Acreditación de Colombia </w:t>
            </w:r>
            <w:r w:rsidRPr="008D41DE">
              <w:rPr>
                <w:rFonts w:cs="Arial"/>
                <w:sz w:val="20"/>
                <w:szCs w:val="20"/>
                <w:lang w:eastAsia="es-CO"/>
              </w:rPr>
              <w:lastRenderedPageBreak/>
              <w:t>(ONAC) se reglamenten los factores de potencia admisibles para la acreditación de electrodomésticos y equipos eléctricos.</w:t>
            </w:r>
          </w:p>
          <w:p w14:paraId="15BE91E1"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También, es importante analizar si los comercializadores tendrán la obligación de instalar para cualquier nivel de tensión un medidor que permita la lectura de la energía reactiva bidireccional que identifique tanto la capacitiva como la inductiva de sus usuarios."</w:t>
            </w:r>
          </w:p>
        </w:tc>
        <w:tc>
          <w:tcPr>
            <w:tcW w:w="3969" w:type="dxa"/>
            <w:hideMark/>
          </w:tcPr>
          <w:p w14:paraId="4AEF34E9"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lastRenderedPageBreak/>
              <w:t>Ver respuesta a la pregunta 5 y a la pregunta 10.</w:t>
            </w:r>
          </w:p>
        </w:tc>
      </w:tr>
      <w:tr w:rsidR="00064FAE" w:rsidRPr="008B4595" w14:paraId="4D7790C6" w14:textId="77777777" w:rsidTr="007E1375">
        <w:trPr>
          <w:trHeight w:val="864"/>
        </w:trPr>
        <w:tc>
          <w:tcPr>
            <w:tcW w:w="557" w:type="dxa"/>
            <w:hideMark/>
          </w:tcPr>
          <w:p w14:paraId="4FD0972E"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13</w:t>
            </w:r>
          </w:p>
        </w:tc>
        <w:tc>
          <w:tcPr>
            <w:tcW w:w="4967" w:type="dxa"/>
            <w:hideMark/>
          </w:tcPr>
          <w:p w14:paraId="35476AED"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Es necesario aclarar que es la suma de energía reactiva capacitiva</w:t>
            </w:r>
          </w:p>
        </w:tc>
        <w:tc>
          <w:tcPr>
            <w:tcW w:w="3969" w:type="dxa"/>
            <w:hideMark/>
          </w:tcPr>
          <w:p w14:paraId="0FDDDD18" w14:textId="6A0CE6F5" w:rsidR="00064FAE" w:rsidRPr="00645119" w:rsidRDefault="00064FAE" w:rsidP="008D41DE">
            <w:pPr>
              <w:spacing w:before="0" w:after="0"/>
              <w:jc w:val="left"/>
              <w:rPr>
                <w:rFonts w:cs="Arial"/>
                <w:sz w:val="20"/>
                <w:szCs w:val="20"/>
                <w:lang w:eastAsia="es-CO"/>
              </w:rPr>
            </w:pPr>
            <w:r w:rsidRPr="00645119">
              <w:rPr>
                <w:rFonts w:cs="Arial"/>
                <w:sz w:val="20"/>
                <w:szCs w:val="20"/>
                <w:lang w:eastAsia="es-CO"/>
              </w:rPr>
              <w:t>Se encuentra factible aclarar que el cumplimiento de los límites de factor de potencia capacitivo se calculará mediante la relación entre la suma aritmética de la energía reactiva capacitiva durante un periodo mensual respecto de la cantidad de energía activa en el mismo periodo</w:t>
            </w:r>
            <w:r w:rsidR="00A24406" w:rsidRPr="00645119">
              <w:rPr>
                <w:rFonts w:cs="Arial"/>
                <w:sz w:val="20"/>
                <w:szCs w:val="20"/>
                <w:lang w:eastAsia="es-CO"/>
              </w:rPr>
              <w:t>.</w:t>
            </w:r>
          </w:p>
        </w:tc>
      </w:tr>
      <w:tr w:rsidR="004E76C1" w:rsidRPr="008B4595" w14:paraId="2D993499" w14:textId="77777777" w:rsidTr="00645119">
        <w:trPr>
          <w:trHeight w:val="576"/>
        </w:trPr>
        <w:tc>
          <w:tcPr>
            <w:tcW w:w="557" w:type="dxa"/>
            <w:hideMark/>
          </w:tcPr>
          <w:p w14:paraId="7EF9D876" w14:textId="77777777" w:rsidR="004E76C1" w:rsidRPr="008D41DE" w:rsidRDefault="004E76C1" w:rsidP="004E76C1">
            <w:pPr>
              <w:spacing w:before="0" w:after="0"/>
              <w:rPr>
                <w:rFonts w:cs="Arial"/>
                <w:sz w:val="20"/>
                <w:szCs w:val="20"/>
                <w:lang w:eastAsia="es-CO"/>
              </w:rPr>
            </w:pPr>
            <w:r w:rsidRPr="008D41DE">
              <w:rPr>
                <w:rFonts w:cs="Arial"/>
                <w:sz w:val="20"/>
                <w:szCs w:val="20"/>
                <w:lang w:eastAsia="es-CO"/>
              </w:rPr>
              <w:t>14</w:t>
            </w:r>
          </w:p>
        </w:tc>
        <w:tc>
          <w:tcPr>
            <w:tcW w:w="4967" w:type="dxa"/>
            <w:hideMark/>
          </w:tcPr>
          <w:p w14:paraId="53B1B9C3" w14:textId="4956D465" w:rsidR="004E76C1" w:rsidRPr="008D41DE" w:rsidRDefault="004E76C1" w:rsidP="004E76C1">
            <w:pPr>
              <w:spacing w:before="0" w:after="0"/>
              <w:jc w:val="left"/>
              <w:rPr>
                <w:rFonts w:cs="Arial"/>
                <w:sz w:val="20"/>
                <w:szCs w:val="20"/>
                <w:lang w:eastAsia="es-CO"/>
              </w:rPr>
            </w:pPr>
            <w:r w:rsidRPr="008D41DE">
              <w:rPr>
                <w:rFonts w:cs="Arial"/>
                <w:sz w:val="20"/>
                <w:szCs w:val="20"/>
                <w:lang w:eastAsia="es-CO"/>
              </w:rPr>
              <w:t>No permitir inyección de potencia capacitiva a la red de nivel 4. Es decir, que no se exonere de este cobro a los usuarios conectados a nivel 4</w:t>
            </w:r>
          </w:p>
        </w:tc>
        <w:tc>
          <w:tcPr>
            <w:tcW w:w="3969" w:type="dxa"/>
            <w:vAlign w:val="center"/>
            <w:hideMark/>
          </w:tcPr>
          <w:p w14:paraId="6430577D" w14:textId="059D9E05" w:rsidR="004E76C1" w:rsidRPr="00645119" w:rsidRDefault="004E76C1" w:rsidP="004E76C1">
            <w:pPr>
              <w:spacing w:before="0" w:after="0"/>
              <w:jc w:val="left"/>
              <w:rPr>
                <w:rFonts w:cs="Arial"/>
                <w:sz w:val="20"/>
                <w:szCs w:val="20"/>
                <w:lang w:eastAsia="es-CO"/>
              </w:rPr>
            </w:pPr>
            <w:r w:rsidRPr="00645119">
              <w:rPr>
                <w:rFonts w:cs="Calibri"/>
                <w:bCs w:val="0"/>
                <w:color w:val="000000"/>
                <w:sz w:val="20"/>
                <w:szCs w:val="20"/>
                <w:lang w:eastAsia="es-CO"/>
              </w:rPr>
              <w:t xml:space="preserve">Teniendo en cuenta tanto los resultados de las simulaciones aportados por el CNO como el objetivo de lograr una exención en el pago de transporte de energía reactiva capacitiva para la mayor cantidad posible de usuarios sin afectar la estabilidad del sistema, se propone ajustar el límite del FP capacitivo para nivel 4 a 0.98 </w:t>
            </w:r>
          </w:p>
        </w:tc>
      </w:tr>
      <w:tr w:rsidR="00064FAE" w:rsidRPr="008B4595" w14:paraId="064D88A6" w14:textId="77777777" w:rsidTr="007E1375">
        <w:trPr>
          <w:trHeight w:val="1526"/>
        </w:trPr>
        <w:tc>
          <w:tcPr>
            <w:tcW w:w="557" w:type="dxa"/>
            <w:hideMark/>
          </w:tcPr>
          <w:p w14:paraId="6983916B"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15</w:t>
            </w:r>
          </w:p>
        </w:tc>
        <w:tc>
          <w:tcPr>
            <w:tcW w:w="4967" w:type="dxa"/>
            <w:hideMark/>
          </w:tcPr>
          <w:p w14:paraId="6BE7589C"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Dado lo anterior, sugerimos el siguiente cambio en la redacción del quinto (5) inciso del artículo 1: “Para determinar si el factor de potencia capacitivo cumple los anteriores límites se calculará la relación entre la suma aritmética de la energía reactiva durante un periodo mensual respecto de la cantidad de energía activa en el mismo periodo”</w:t>
            </w:r>
            <w:r w:rsidRPr="008D41DE">
              <w:rPr>
                <w:rFonts w:cs="Arial"/>
                <w:sz w:val="20"/>
                <w:szCs w:val="20"/>
                <w:lang w:eastAsia="es-CO"/>
              </w:rPr>
              <w:br/>
            </w:r>
            <w:r w:rsidRPr="008D41DE">
              <w:rPr>
                <w:rFonts w:cs="Arial"/>
                <w:sz w:val="20"/>
                <w:szCs w:val="20"/>
                <w:lang w:eastAsia="es-CO"/>
              </w:rPr>
              <w:br/>
              <w:t>Adicionalmente, teniendo en cuenta que el factor de potencia es una medida instantánea de la relación que existe entre la energía activa sobre la energía aparente que consume un usuario y, al considerar que la propuesta establece que la verificación del FP se realiza de manera mensual, consideramos pertinente que se aclare de manera explícita como realizar la verificación ya que en cada periodo de facturación se tendrán registros tanto de potencia reactiva capacitiva e inductiva.</w:t>
            </w:r>
          </w:p>
        </w:tc>
        <w:tc>
          <w:tcPr>
            <w:tcW w:w="3969" w:type="dxa"/>
            <w:hideMark/>
          </w:tcPr>
          <w:p w14:paraId="253F3E80"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La evaluación de cumplimiento mensual se propone solamente para el factor de potencia capacitivo. Para el factor de potencia inductivo, se mantienen las reglas vigentes.</w:t>
            </w:r>
          </w:p>
        </w:tc>
      </w:tr>
      <w:tr w:rsidR="00064FAE" w:rsidRPr="008B4595" w14:paraId="7F76C2BB" w14:textId="77777777" w:rsidTr="00F4611E">
        <w:trPr>
          <w:trHeight w:val="463"/>
        </w:trPr>
        <w:tc>
          <w:tcPr>
            <w:tcW w:w="557" w:type="dxa"/>
            <w:hideMark/>
          </w:tcPr>
          <w:p w14:paraId="677FFB1B"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16</w:t>
            </w:r>
          </w:p>
        </w:tc>
        <w:tc>
          <w:tcPr>
            <w:tcW w:w="4967" w:type="dxa"/>
            <w:hideMark/>
          </w:tcPr>
          <w:p w14:paraId="77F22BE3"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Solicitamos amablemente que en el documento definitivo se deje de manera explícita como se debe considerar la aplicación del factor M para el exceso de transporte de energía reactiva capacitiva.</w:t>
            </w:r>
          </w:p>
        </w:tc>
        <w:tc>
          <w:tcPr>
            <w:tcW w:w="3969" w:type="dxa"/>
            <w:hideMark/>
          </w:tcPr>
          <w:p w14:paraId="60A5A1E6" w14:textId="11672C85" w:rsidR="009C146B" w:rsidRDefault="009C146B" w:rsidP="008D41DE">
            <w:pPr>
              <w:spacing w:before="0" w:after="0"/>
              <w:jc w:val="left"/>
              <w:rPr>
                <w:rFonts w:cs="Arial"/>
                <w:sz w:val="20"/>
                <w:szCs w:val="20"/>
                <w:lang w:eastAsia="es-CO"/>
              </w:rPr>
            </w:pPr>
            <w:r>
              <w:rPr>
                <w:rFonts w:cs="Arial"/>
                <w:sz w:val="20"/>
                <w:szCs w:val="20"/>
                <w:lang w:eastAsia="es-CO"/>
              </w:rPr>
              <w:t xml:space="preserve">Se aclara en el numeral </w:t>
            </w:r>
            <w:r w:rsidR="0098277C">
              <w:rPr>
                <w:rFonts w:cs="Arial"/>
                <w:sz w:val="20"/>
                <w:szCs w:val="20"/>
                <w:lang w:eastAsia="es-CO"/>
              </w:rPr>
              <w:t>8 del presente documento.</w:t>
            </w:r>
          </w:p>
          <w:p w14:paraId="208A94AF" w14:textId="77FA83F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7.</w:t>
            </w:r>
            <w:r w:rsidRPr="008D41DE">
              <w:rPr>
                <w:rFonts w:cs="Arial"/>
                <w:sz w:val="20"/>
                <w:szCs w:val="20"/>
                <w:lang w:eastAsia="es-CO"/>
              </w:rPr>
              <w:br/>
              <w:t xml:space="preserve">Vale la pena aclarar que el mecanismo de cobro para el transporte de energía reactiva en exceso no es una penalización, sino un esquema de incentivos que busca reducir este </w:t>
            </w:r>
            <w:r w:rsidRPr="008D41DE">
              <w:rPr>
                <w:rFonts w:cs="Arial"/>
                <w:sz w:val="20"/>
                <w:szCs w:val="20"/>
                <w:lang w:eastAsia="es-CO"/>
              </w:rPr>
              <w:lastRenderedPageBreak/>
              <w:t>transporte cuando exceda los límites previstos en la regulación.</w:t>
            </w:r>
          </w:p>
        </w:tc>
      </w:tr>
      <w:tr w:rsidR="00064FAE" w:rsidRPr="008B4595" w14:paraId="70F7B85D" w14:textId="77777777" w:rsidTr="007E1375">
        <w:trPr>
          <w:trHeight w:val="864"/>
        </w:trPr>
        <w:tc>
          <w:tcPr>
            <w:tcW w:w="557" w:type="dxa"/>
            <w:hideMark/>
          </w:tcPr>
          <w:p w14:paraId="0A1972E1"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lastRenderedPageBreak/>
              <w:t>17</w:t>
            </w:r>
          </w:p>
        </w:tc>
        <w:tc>
          <w:tcPr>
            <w:tcW w:w="4967" w:type="dxa"/>
            <w:hideMark/>
          </w:tcPr>
          <w:p w14:paraId="21E78873"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Vemos necesario que la Comisión revise la variable M de la metodología de remuneración de distribución, realizando un análisis de su funcionalidad durante el periodo tarifario como parte de la liquidación de la energía reactiva. Sin embargo, consideramos fundamental resaltar la importancia que ha tenido este incentivo para el control eficiente de aquellos usuarios que generan una proporción significativa de energía reactiva la cual, afecta el sistema y la calidad del servicio de otros usuarios conectados a la misma red.</w:t>
            </w:r>
          </w:p>
        </w:tc>
        <w:tc>
          <w:tcPr>
            <w:tcW w:w="3969" w:type="dxa"/>
            <w:hideMark/>
          </w:tcPr>
          <w:p w14:paraId="4A6A742D" w14:textId="1BCBC752"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4.</w:t>
            </w:r>
            <w:r w:rsidRPr="008D41DE">
              <w:rPr>
                <w:rFonts w:cs="Arial"/>
                <w:sz w:val="20"/>
                <w:szCs w:val="20"/>
                <w:lang w:eastAsia="es-CO"/>
              </w:rPr>
              <w:br/>
              <w:t>Esto, como se indicó en el Documento soporte, modificar el Reglamento de Distribución es la solución a corto plazo para atender el Decreto del Ministerio</w:t>
            </w:r>
            <w:r w:rsidR="00265B7C">
              <w:rPr>
                <w:rFonts w:cs="Arial"/>
                <w:sz w:val="20"/>
                <w:szCs w:val="20"/>
                <w:lang w:eastAsia="es-CO"/>
              </w:rPr>
              <w:t xml:space="preserve">. </w:t>
            </w:r>
          </w:p>
        </w:tc>
      </w:tr>
      <w:tr w:rsidR="00064FAE" w:rsidRPr="008B4595" w14:paraId="1075696B" w14:textId="77777777" w:rsidTr="007E1375">
        <w:trPr>
          <w:trHeight w:val="2016"/>
        </w:trPr>
        <w:tc>
          <w:tcPr>
            <w:tcW w:w="557" w:type="dxa"/>
            <w:hideMark/>
          </w:tcPr>
          <w:p w14:paraId="6A68B5B4"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18</w:t>
            </w:r>
          </w:p>
        </w:tc>
        <w:tc>
          <w:tcPr>
            <w:tcW w:w="4967" w:type="dxa"/>
            <w:hideMark/>
          </w:tcPr>
          <w:p w14:paraId="49684E11" w14:textId="7561AA39"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 xml:space="preserve">La afectación a la libre competencia se presenta por el tratamiento asimétrico de la regulación en materia de cobro de penalización por energía reactiva y hacer divulgación de este efecto negativo, dado que el distribuidor - comercializador no está obligado a medir esta situación en todos los usuarios y de manera </w:t>
            </w:r>
            <w:proofErr w:type="spellStart"/>
            <w:r w:rsidRPr="008D41DE">
              <w:rPr>
                <w:rFonts w:cs="Arial"/>
                <w:sz w:val="20"/>
                <w:szCs w:val="20"/>
                <w:lang w:eastAsia="es-CO"/>
              </w:rPr>
              <w:t>diferenciaI</w:t>
            </w:r>
            <w:proofErr w:type="spellEnd"/>
            <w:r w:rsidRPr="008D41DE">
              <w:rPr>
                <w:rFonts w:cs="Arial"/>
                <w:sz w:val="20"/>
                <w:szCs w:val="20"/>
                <w:lang w:eastAsia="es-CO"/>
              </w:rPr>
              <w:t>, en comparación con el comercializador entrante que sí está obligado a medir la energía reactiva a la totalidad de fronteras comerciales y, por consiguiente, a cobrar la penalización reactiva en exceso y divulgar la situación.</w:t>
            </w:r>
          </w:p>
        </w:tc>
        <w:tc>
          <w:tcPr>
            <w:tcW w:w="3969" w:type="dxa"/>
            <w:hideMark/>
          </w:tcPr>
          <w:p w14:paraId="61D7DC07" w14:textId="3809308B" w:rsidR="00C2368F" w:rsidRDefault="00C2368F" w:rsidP="008D41DE">
            <w:pPr>
              <w:spacing w:before="0" w:after="0"/>
              <w:jc w:val="left"/>
              <w:rPr>
                <w:rFonts w:cs="Arial"/>
                <w:sz w:val="20"/>
                <w:szCs w:val="20"/>
                <w:lang w:eastAsia="es-CO"/>
              </w:rPr>
            </w:pPr>
            <w:r w:rsidRPr="00C2368F">
              <w:rPr>
                <w:rFonts w:cs="Arial"/>
                <w:sz w:val="20"/>
                <w:szCs w:val="20"/>
                <w:lang w:eastAsia="es-CO"/>
              </w:rPr>
              <w:t xml:space="preserve">La situación expuesta en el comentario no </w:t>
            </w:r>
            <w:r w:rsidR="00F55244">
              <w:rPr>
                <w:rFonts w:cs="Arial"/>
                <w:sz w:val="20"/>
                <w:szCs w:val="20"/>
                <w:lang w:eastAsia="es-CO"/>
              </w:rPr>
              <w:t xml:space="preserve">es parte de </w:t>
            </w:r>
            <w:r w:rsidRPr="00C2368F">
              <w:rPr>
                <w:rFonts w:cs="Arial"/>
                <w:sz w:val="20"/>
                <w:szCs w:val="20"/>
                <w:lang w:eastAsia="es-CO"/>
              </w:rPr>
              <w:t>la propuesta, ni se modifican las exigencias del medidor establecidas en la Resolución CREG 038 de 2014.</w:t>
            </w:r>
          </w:p>
          <w:p w14:paraId="2C55A1D5" w14:textId="77777777" w:rsidR="00B7630B" w:rsidRPr="00C2368F" w:rsidRDefault="00B7630B" w:rsidP="008D41DE">
            <w:pPr>
              <w:spacing w:before="0" w:after="0"/>
              <w:jc w:val="left"/>
              <w:rPr>
                <w:rFonts w:cs="Arial"/>
                <w:sz w:val="20"/>
                <w:szCs w:val="20"/>
                <w:lang w:eastAsia="es-CO"/>
              </w:rPr>
            </w:pPr>
          </w:p>
          <w:p w14:paraId="42B85228" w14:textId="77777777" w:rsidR="00064FAE" w:rsidRDefault="00C2368F" w:rsidP="008D41DE">
            <w:pPr>
              <w:spacing w:before="0" w:after="0"/>
              <w:jc w:val="left"/>
              <w:rPr>
                <w:rFonts w:cs="Arial"/>
                <w:sz w:val="20"/>
                <w:szCs w:val="20"/>
                <w:lang w:eastAsia="es-CO"/>
              </w:rPr>
            </w:pPr>
            <w:r w:rsidRPr="00C2368F">
              <w:rPr>
                <w:rFonts w:cs="Arial"/>
                <w:sz w:val="20"/>
                <w:szCs w:val="20"/>
                <w:lang w:eastAsia="es-CO"/>
              </w:rPr>
              <w:t>Vale la pena aclarar que el mecanismo de cobro para el transporte de energía reactiva en exceso no es una penalización, sino un esquema de incentivos que busca reducir este transporte cuando exceda los límites previstos en la regulación.</w:t>
            </w:r>
          </w:p>
          <w:p w14:paraId="4187C3F5" w14:textId="58892DD8" w:rsidR="00B7630B" w:rsidRPr="008D41DE" w:rsidRDefault="00B7630B" w:rsidP="008D41DE">
            <w:pPr>
              <w:spacing w:before="0" w:after="0"/>
              <w:jc w:val="left"/>
              <w:rPr>
                <w:rFonts w:cs="Arial"/>
                <w:sz w:val="20"/>
                <w:szCs w:val="20"/>
                <w:lang w:eastAsia="es-CO"/>
              </w:rPr>
            </w:pPr>
          </w:p>
        </w:tc>
      </w:tr>
      <w:tr w:rsidR="00064FAE" w:rsidRPr="008B4595" w14:paraId="2F833503" w14:textId="77777777" w:rsidTr="007E1375">
        <w:trPr>
          <w:trHeight w:val="503"/>
        </w:trPr>
        <w:tc>
          <w:tcPr>
            <w:tcW w:w="557" w:type="dxa"/>
            <w:hideMark/>
          </w:tcPr>
          <w:p w14:paraId="0359F86E"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19</w:t>
            </w:r>
          </w:p>
        </w:tc>
        <w:tc>
          <w:tcPr>
            <w:tcW w:w="4967" w:type="dxa"/>
            <w:hideMark/>
          </w:tcPr>
          <w:p w14:paraId="5DE39713"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Es necesario revisar específicamente los impactos de la penalización de energía reactiva tanto inductiva como capacitiva en el sector residencial (Factor M y Margen), considerando que en muchas ocasiones no es posible tener una solución técnica para el control de reactivos que sea viable de implementación (bancos de condensación automáticos convencionales o compensación dinámica)</w:t>
            </w:r>
          </w:p>
        </w:tc>
        <w:tc>
          <w:tcPr>
            <w:tcW w:w="3969" w:type="dxa"/>
            <w:hideMark/>
          </w:tcPr>
          <w:p w14:paraId="7F27A8C9"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3.</w:t>
            </w:r>
            <w:r w:rsidRPr="008D41DE">
              <w:rPr>
                <w:rFonts w:cs="Arial"/>
                <w:sz w:val="20"/>
                <w:szCs w:val="20"/>
                <w:lang w:eastAsia="es-CO"/>
              </w:rPr>
              <w:br/>
              <w:t>No obstante, de la revisión inicial se encuentra procedente flexibilizar el límite para el cumplimiento de la energía reactiva capacitiva, donde está concentrada la mayor cantidad de comentarios con estudios soporte.</w:t>
            </w:r>
          </w:p>
        </w:tc>
      </w:tr>
      <w:tr w:rsidR="00064FAE" w:rsidRPr="008B4595" w14:paraId="5C740EED" w14:textId="77777777" w:rsidTr="008A461C">
        <w:trPr>
          <w:trHeight w:val="605"/>
        </w:trPr>
        <w:tc>
          <w:tcPr>
            <w:tcW w:w="557" w:type="dxa"/>
            <w:hideMark/>
          </w:tcPr>
          <w:p w14:paraId="57956FA8"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20</w:t>
            </w:r>
          </w:p>
        </w:tc>
        <w:tc>
          <w:tcPr>
            <w:tcW w:w="4967" w:type="dxa"/>
            <w:hideMark/>
          </w:tcPr>
          <w:p w14:paraId="077C96EB"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Conforme a lo anterior, recomendamos que se considere en esta resolución que el cobro de energía reactiva inductiva para los usuarios del nivel 1, se realice mediante un balance mensual y sin considerar la aplicación del factor M.</w:t>
            </w:r>
          </w:p>
        </w:tc>
        <w:tc>
          <w:tcPr>
            <w:tcW w:w="3969" w:type="dxa"/>
            <w:hideMark/>
          </w:tcPr>
          <w:p w14:paraId="53726E63" w14:textId="2485E281" w:rsidR="002021B0" w:rsidRPr="002021B0" w:rsidRDefault="002021B0" w:rsidP="008D41DE">
            <w:pPr>
              <w:spacing w:before="0" w:after="0"/>
              <w:jc w:val="left"/>
              <w:rPr>
                <w:rFonts w:cs="Arial"/>
                <w:sz w:val="20"/>
                <w:szCs w:val="20"/>
                <w:lang w:eastAsia="es-CO"/>
              </w:rPr>
            </w:pPr>
            <w:r w:rsidRPr="002021B0">
              <w:rPr>
                <w:rFonts w:cs="Arial"/>
                <w:sz w:val="20"/>
                <w:szCs w:val="20"/>
                <w:lang w:eastAsia="es-CO"/>
              </w:rPr>
              <w:t>La obligación de informar al usuario no afecta las reglas existentes para el cobro ni para la medición del transporte de reactiva, que no se modifican y están establecidas en las Resoluciones CREG 015 de 2018 y 038 de 2014, respectivamente.</w:t>
            </w:r>
          </w:p>
          <w:p w14:paraId="251700EB" w14:textId="0EFA3343" w:rsidR="002021B0" w:rsidRPr="002021B0" w:rsidRDefault="002021B0" w:rsidP="008D41DE">
            <w:pPr>
              <w:spacing w:before="0" w:after="0"/>
              <w:jc w:val="left"/>
              <w:rPr>
                <w:rFonts w:cs="Arial"/>
                <w:sz w:val="20"/>
                <w:szCs w:val="20"/>
                <w:lang w:eastAsia="es-CO"/>
              </w:rPr>
            </w:pPr>
            <w:r w:rsidRPr="002021B0">
              <w:rPr>
                <w:rFonts w:cs="Arial"/>
                <w:sz w:val="20"/>
                <w:szCs w:val="20"/>
                <w:lang w:eastAsia="es-CO"/>
              </w:rPr>
              <w:t>Adicionalmente, cuando se realice la implementación de AMI todos los usuarios que tengan el nuevo medidor tendrán medida de activa y de reactiva, entre otras funcionalidades adicionales, independiente del comercializador que los atienda, caso en el cuál será estudiada esta sugerencia.</w:t>
            </w:r>
          </w:p>
          <w:p w14:paraId="51B65F55" w14:textId="3B435D37" w:rsidR="00064FAE" w:rsidRPr="008D41DE" w:rsidRDefault="002021B0" w:rsidP="008D41DE">
            <w:pPr>
              <w:spacing w:before="0" w:after="0"/>
              <w:jc w:val="left"/>
              <w:rPr>
                <w:rFonts w:cs="Arial"/>
                <w:sz w:val="20"/>
                <w:szCs w:val="20"/>
                <w:lang w:eastAsia="es-CO"/>
              </w:rPr>
            </w:pPr>
            <w:r w:rsidRPr="002021B0">
              <w:rPr>
                <w:rFonts w:cs="Arial"/>
                <w:sz w:val="20"/>
                <w:szCs w:val="20"/>
                <w:lang w:eastAsia="es-CO"/>
              </w:rPr>
              <w:t xml:space="preserve">Por otro lado, no se considera que la modificación del límite al factor de potencia capacitivo, que aplica para todos </w:t>
            </w:r>
            <w:r w:rsidRPr="002021B0">
              <w:rPr>
                <w:rFonts w:cs="Arial"/>
                <w:sz w:val="20"/>
                <w:szCs w:val="20"/>
                <w:lang w:eastAsia="es-CO"/>
              </w:rPr>
              <w:lastRenderedPageBreak/>
              <w:t>los usuarios, tenga efectos en la competencia.</w:t>
            </w:r>
          </w:p>
        </w:tc>
      </w:tr>
      <w:tr w:rsidR="00064FAE" w:rsidRPr="008B4595" w14:paraId="1F8BABB7" w14:textId="77777777" w:rsidTr="007E1375">
        <w:trPr>
          <w:trHeight w:val="576"/>
        </w:trPr>
        <w:tc>
          <w:tcPr>
            <w:tcW w:w="557" w:type="dxa"/>
            <w:hideMark/>
          </w:tcPr>
          <w:p w14:paraId="6B6D8C23"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lastRenderedPageBreak/>
              <w:t>21</w:t>
            </w:r>
          </w:p>
        </w:tc>
        <w:tc>
          <w:tcPr>
            <w:tcW w:w="4967" w:type="dxa"/>
            <w:hideMark/>
          </w:tcPr>
          <w:p w14:paraId="50445F12"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Definir bajo qué características de los equipos de compensación de reactivos se debe informar al OR.</w:t>
            </w:r>
          </w:p>
        </w:tc>
        <w:tc>
          <w:tcPr>
            <w:tcW w:w="3969" w:type="dxa"/>
            <w:hideMark/>
          </w:tcPr>
          <w:p w14:paraId="6A0010A6"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1.</w:t>
            </w:r>
          </w:p>
        </w:tc>
      </w:tr>
      <w:tr w:rsidR="00064FAE" w:rsidRPr="008B4595" w14:paraId="08191B59" w14:textId="77777777" w:rsidTr="007E1375">
        <w:trPr>
          <w:trHeight w:val="2016"/>
        </w:trPr>
        <w:tc>
          <w:tcPr>
            <w:tcW w:w="557" w:type="dxa"/>
            <w:hideMark/>
          </w:tcPr>
          <w:p w14:paraId="4C47452D"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22</w:t>
            </w:r>
          </w:p>
        </w:tc>
        <w:tc>
          <w:tcPr>
            <w:tcW w:w="4967" w:type="dxa"/>
            <w:hideMark/>
          </w:tcPr>
          <w:p w14:paraId="55DF3129"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Limitar el máximo valor del factor M a 3, para obtener valores máximos similares a los de Chile y España.</w:t>
            </w:r>
            <w:r w:rsidRPr="008D41DE">
              <w:rPr>
                <w:rFonts w:cs="Arial"/>
                <w:sz w:val="20"/>
                <w:szCs w:val="20"/>
                <w:lang w:eastAsia="es-CO"/>
              </w:rPr>
              <w:br/>
              <w:t xml:space="preserve">Optimizar el uso de la infraestructura eléctrica y el nivel de inversiones del sector industrial, incentivando la realización de las inversiones, cuando el transporte de energía reactiva genera cambios en los niveles de tensión de la red. Si la interacción de varios usuarios compensa dichos flujos, el incentivo de incrementar el factor M </w:t>
            </w:r>
            <w:proofErr w:type="gramStart"/>
            <w:r w:rsidRPr="008D41DE">
              <w:rPr>
                <w:rFonts w:cs="Arial"/>
                <w:sz w:val="20"/>
                <w:szCs w:val="20"/>
                <w:lang w:eastAsia="es-CO"/>
              </w:rPr>
              <w:t>y</w:t>
            </w:r>
            <w:proofErr w:type="gramEnd"/>
            <w:r w:rsidRPr="008D41DE">
              <w:rPr>
                <w:rFonts w:cs="Arial"/>
                <w:sz w:val="20"/>
                <w:szCs w:val="20"/>
                <w:lang w:eastAsia="es-CO"/>
              </w:rPr>
              <w:t xml:space="preserve"> por ende, incrementar el cobro del transporte de energía reactiva genera que los consumidores realicen inversiones que no se requieren.</w:t>
            </w:r>
          </w:p>
        </w:tc>
        <w:tc>
          <w:tcPr>
            <w:tcW w:w="3969" w:type="dxa"/>
            <w:hideMark/>
          </w:tcPr>
          <w:p w14:paraId="6E6DDF36"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4.</w:t>
            </w:r>
          </w:p>
        </w:tc>
      </w:tr>
      <w:tr w:rsidR="00064FAE" w:rsidRPr="008B4595" w14:paraId="61158481" w14:textId="77777777" w:rsidTr="007E1375">
        <w:trPr>
          <w:trHeight w:val="576"/>
        </w:trPr>
        <w:tc>
          <w:tcPr>
            <w:tcW w:w="557" w:type="dxa"/>
            <w:hideMark/>
          </w:tcPr>
          <w:p w14:paraId="463ADB35"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23</w:t>
            </w:r>
          </w:p>
        </w:tc>
        <w:tc>
          <w:tcPr>
            <w:tcW w:w="4967" w:type="dxa"/>
            <w:hideMark/>
          </w:tcPr>
          <w:p w14:paraId="0257D6E8" w14:textId="3ECC553A"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No permitir inyección de potencia capacitiva a la red de nivel 4. Es decir, que no se exonere de este cobro a los usuarios conectados a nivel 4</w:t>
            </w:r>
          </w:p>
        </w:tc>
        <w:tc>
          <w:tcPr>
            <w:tcW w:w="3969" w:type="dxa"/>
            <w:hideMark/>
          </w:tcPr>
          <w:p w14:paraId="7EDC3621" w14:textId="77777777" w:rsidR="00064FAE" w:rsidRPr="00ED1290" w:rsidRDefault="00064FAE" w:rsidP="008D41DE">
            <w:pPr>
              <w:spacing w:before="0" w:after="0"/>
              <w:jc w:val="left"/>
              <w:rPr>
                <w:rFonts w:cs="Arial"/>
                <w:sz w:val="20"/>
                <w:szCs w:val="20"/>
                <w:lang w:eastAsia="es-CO"/>
              </w:rPr>
            </w:pPr>
            <w:r w:rsidRPr="00ED1290">
              <w:rPr>
                <w:rFonts w:cs="Arial"/>
                <w:sz w:val="20"/>
                <w:szCs w:val="20"/>
                <w:lang w:eastAsia="es-CO"/>
              </w:rPr>
              <w:t>Ver respuesta a la pregunta 14.</w:t>
            </w:r>
          </w:p>
        </w:tc>
      </w:tr>
      <w:tr w:rsidR="00064FAE" w:rsidRPr="008B4595" w14:paraId="5B15EF65" w14:textId="77777777" w:rsidTr="007E1375">
        <w:trPr>
          <w:trHeight w:val="4032"/>
        </w:trPr>
        <w:tc>
          <w:tcPr>
            <w:tcW w:w="557" w:type="dxa"/>
            <w:hideMark/>
          </w:tcPr>
          <w:p w14:paraId="118924A7"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24</w:t>
            </w:r>
          </w:p>
        </w:tc>
        <w:tc>
          <w:tcPr>
            <w:tcW w:w="4967" w:type="dxa"/>
            <w:hideMark/>
          </w:tcPr>
          <w:p w14:paraId="7492715B" w14:textId="3FEE6A1D"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 xml:space="preserve">En ese sentido, solicitamos a la CREG establecer señales técnicas y económicas para los OR.  </w:t>
            </w:r>
            <w:r w:rsidRPr="008D41DE">
              <w:rPr>
                <w:rFonts w:cs="Arial"/>
                <w:sz w:val="20"/>
                <w:szCs w:val="20"/>
                <w:lang w:eastAsia="es-CO"/>
              </w:rPr>
              <w:br/>
            </w:r>
            <w:r w:rsidRPr="008D41DE">
              <w:rPr>
                <w:rFonts w:cs="Arial"/>
                <w:sz w:val="20"/>
                <w:szCs w:val="20"/>
                <w:lang w:eastAsia="es-CO"/>
              </w:rPr>
              <w:br/>
              <w:t>En las bases conceptuales de la nueva metodología de distribución para el próximo periodo tarifario, es importante que se establezcan esquemas claros para garantizar las inversiones y las actuaciones técnicas para solventar la circulación de reactivos por parte de los OR, como también la posibilidad de establecer reglas para estructurar un mercado de energía reactiva en Colombia.</w:t>
            </w:r>
          </w:p>
        </w:tc>
        <w:tc>
          <w:tcPr>
            <w:tcW w:w="3969" w:type="dxa"/>
            <w:hideMark/>
          </w:tcPr>
          <w:p w14:paraId="3113AE64" w14:textId="59C247E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 xml:space="preserve">Justamente la señal técnica que se presenta en la propuesta es la de ajustar el factor de potencia capacitivo, y las señales económicas ya se encuentran establecidas en la resolución CREG 015 de 2018, o quedarán también en aquella que la sustituya, ya que las señales económicas no deben ser parte del reglamento de distribución que se modifica en </w:t>
            </w:r>
            <w:r w:rsidR="00112B41">
              <w:rPr>
                <w:rFonts w:cs="Arial"/>
                <w:sz w:val="20"/>
                <w:szCs w:val="20"/>
                <w:lang w:eastAsia="es-CO"/>
              </w:rPr>
              <w:t xml:space="preserve">esta </w:t>
            </w:r>
            <w:r w:rsidRPr="008D41DE">
              <w:rPr>
                <w:rFonts w:cs="Arial"/>
                <w:sz w:val="20"/>
                <w:szCs w:val="20"/>
                <w:lang w:eastAsia="es-CO"/>
              </w:rPr>
              <w:t>propuesta.</w:t>
            </w:r>
            <w:r w:rsidRPr="008D41DE">
              <w:rPr>
                <w:rFonts w:cs="Arial"/>
                <w:sz w:val="20"/>
                <w:szCs w:val="20"/>
                <w:lang w:eastAsia="es-CO"/>
              </w:rPr>
              <w:br/>
            </w:r>
            <w:r w:rsidRPr="008D41DE">
              <w:rPr>
                <w:rFonts w:cs="Arial"/>
                <w:sz w:val="20"/>
                <w:szCs w:val="20"/>
                <w:lang w:eastAsia="es-CO"/>
              </w:rPr>
              <w:br/>
              <w:t xml:space="preserve">Por otro lado, </w:t>
            </w:r>
            <w:r w:rsidR="00B47024">
              <w:rPr>
                <w:rFonts w:cs="Arial"/>
                <w:sz w:val="20"/>
                <w:szCs w:val="20"/>
                <w:lang w:eastAsia="es-CO"/>
              </w:rPr>
              <w:t>para la expedición de</w:t>
            </w:r>
            <w:r w:rsidRPr="008D41DE">
              <w:rPr>
                <w:rFonts w:cs="Arial"/>
                <w:sz w:val="20"/>
                <w:szCs w:val="20"/>
                <w:lang w:eastAsia="es-CO"/>
              </w:rPr>
              <w:t xml:space="preserve"> la nueva metodología se revisará el esquema de incentivos para reducir el transporte de reactiva en exceso y se analizará la </w:t>
            </w:r>
            <w:r w:rsidR="003824BA">
              <w:rPr>
                <w:rFonts w:cs="Arial"/>
                <w:sz w:val="20"/>
                <w:szCs w:val="20"/>
                <w:lang w:eastAsia="es-CO"/>
              </w:rPr>
              <w:t xml:space="preserve">necesidad de la </w:t>
            </w:r>
            <w:r w:rsidRPr="008D41DE">
              <w:rPr>
                <w:rFonts w:cs="Arial"/>
                <w:sz w:val="20"/>
                <w:szCs w:val="20"/>
                <w:lang w:eastAsia="es-CO"/>
              </w:rPr>
              <w:t xml:space="preserve"> estructura</w:t>
            </w:r>
            <w:r w:rsidR="003824BA">
              <w:rPr>
                <w:rFonts w:cs="Arial"/>
                <w:sz w:val="20"/>
                <w:szCs w:val="20"/>
                <w:lang w:eastAsia="es-CO"/>
              </w:rPr>
              <w:t xml:space="preserve">ción de </w:t>
            </w:r>
            <w:r w:rsidRPr="008D41DE">
              <w:rPr>
                <w:rFonts w:cs="Arial"/>
                <w:sz w:val="20"/>
                <w:szCs w:val="20"/>
                <w:lang w:eastAsia="es-CO"/>
              </w:rPr>
              <w:t xml:space="preserve">un mercado de energía reactiva. </w:t>
            </w:r>
            <w:r w:rsidRPr="008D41DE">
              <w:rPr>
                <w:rFonts w:cs="Arial"/>
                <w:sz w:val="20"/>
                <w:szCs w:val="20"/>
                <w:lang w:eastAsia="es-CO"/>
              </w:rPr>
              <w:br/>
            </w:r>
            <w:r w:rsidRPr="008D41DE">
              <w:rPr>
                <w:rFonts w:cs="Arial"/>
                <w:sz w:val="20"/>
                <w:szCs w:val="20"/>
                <w:lang w:eastAsia="es-CO"/>
              </w:rPr>
              <w:br/>
              <w:t>En cuanto a las inversiones para solventar la circulación de reactivos por parte de los OR, incluso con el esquema vigente que utiliza la remuneración de inversiones mediante unidades constructivas y con la posibilidad de utilizar unidades constructivas especiales previamente aprobadas en los planes de inversión, se considera que ya se tiene el mecanismo para que los OR realicen las inversiones que consideren necesarias para garantizar la operación y calidad del servicio prestado en su sistema.</w:t>
            </w:r>
          </w:p>
        </w:tc>
      </w:tr>
      <w:tr w:rsidR="00064FAE" w:rsidRPr="008B4595" w14:paraId="66D0DAA1" w14:textId="77777777" w:rsidTr="007E1375">
        <w:trPr>
          <w:trHeight w:val="3168"/>
        </w:trPr>
        <w:tc>
          <w:tcPr>
            <w:tcW w:w="557" w:type="dxa"/>
            <w:hideMark/>
          </w:tcPr>
          <w:p w14:paraId="738DD0F4"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lastRenderedPageBreak/>
              <w:t>25</w:t>
            </w:r>
          </w:p>
        </w:tc>
        <w:tc>
          <w:tcPr>
            <w:tcW w:w="4967" w:type="dxa"/>
            <w:hideMark/>
          </w:tcPr>
          <w:p w14:paraId="7015C2A6" w14:textId="38699E6C"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Consideramos que la resolución podría complementarse aclarando algunos aspectos en cuanto a la relación operador de red – comercializador, por ejemplo:</w:t>
            </w:r>
            <w:r w:rsidRPr="008D41DE">
              <w:rPr>
                <w:rFonts w:cs="Arial"/>
                <w:sz w:val="20"/>
                <w:szCs w:val="20"/>
                <w:lang w:eastAsia="es-CO"/>
              </w:rPr>
              <w:br/>
              <w:t>o El tratamiento que se debe dar cuando el OR no liquida ni factura oportunamente al comercializador el transporte de energía reactiva de sus usuarios, para definir hasta que momento el comercializador le puede trasladar el cobro a sus usuarios finales.</w:t>
            </w:r>
            <w:r w:rsidRPr="008D41DE">
              <w:rPr>
                <w:rFonts w:cs="Arial"/>
                <w:sz w:val="20"/>
                <w:szCs w:val="20"/>
                <w:lang w:eastAsia="es-CO"/>
              </w:rPr>
              <w:br/>
              <w:t>o El plazo máximo para que el comercializador les cobre a sus usuarios por transporte de energía reactiva en exceso de meses anteriores.</w:t>
            </w:r>
            <w:r w:rsidRPr="008D41DE">
              <w:rPr>
                <w:rFonts w:cs="Arial"/>
                <w:sz w:val="20"/>
                <w:szCs w:val="20"/>
                <w:lang w:eastAsia="es-CO"/>
              </w:rPr>
              <w:br/>
              <w:t>o La solución de controversias ante situaciones cuando los usuarios finales se retrasen o no paguen sus obligaciones a su comercializador por el cobro de transportar energía reactiva en exceso y a su vez si el comercializador puede retenerle el pago al OR hasta que se solventen las diferencias que se tienen con el usuario.</w:t>
            </w:r>
          </w:p>
        </w:tc>
        <w:tc>
          <w:tcPr>
            <w:tcW w:w="3969" w:type="dxa"/>
            <w:hideMark/>
          </w:tcPr>
          <w:p w14:paraId="08B2BF1B" w14:textId="77777777" w:rsidR="00064FA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3.</w:t>
            </w:r>
            <w:r w:rsidRPr="008D41DE">
              <w:rPr>
                <w:rFonts w:cs="Arial"/>
                <w:sz w:val="20"/>
                <w:szCs w:val="20"/>
                <w:lang w:eastAsia="es-CO"/>
              </w:rPr>
              <w:br/>
            </w:r>
            <w:r w:rsidRPr="008D41DE">
              <w:rPr>
                <w:rFonts w:cs="Arial"/>
                <w:sz w:val="20"/>
                <w:szCs w:val="20"/>
                <w:lang w:eastAsia="es-CO"/>
              </w:rPr>
              <w:br/>
              <w:t>No obstante, esta resolución se enmarca en atender el requerimiento de política pública establecido en el artículo 5 del Decreto 0929 de 2023 expedido por el Ministerio de Minas y Energía, por lo tanto, no hacen parte del alcance los aspectos referentes a liquidación.</w:t>
            </w:r>
          </w:p>
          <w:p w14:paraId="365E3929" w14:textId="77777777" w:rsidR="00AC65FD" w:rsidRDefault="00AC65FD" w:rsidP="008D41DE">
            <w:pPr>
              <w:spacing w:before="0" w:after="0"/>
              <w:jc w:val="left"/>
              <w:rPr>
                <w:rFonts w:cs="Arial"/>
                <w:sz w:val="20"/>
                <w:szCs w:val="20"/>
                <w:lang w:eastAsia="es-CO"/>
              </w:rPr>
            </w:pPr>
          </w:p>
          <w:p w14:paraId="0DD95CFC" w14:textId="6C238A94" w:rsidR="00AC65FD" w:rsidRPr="008D41DE" w:rsidRDefault="00AC65FD" w:rsidP="008D41DE">
            <w:pPr>
              <w:spacing w:before="0" w:after="0"/>
              <w:jc w:val="left"/>
              <w:rPr>
                <w:rFonts w:cs="Arial"/>
                <w:sz w:val="20"/>
                <w:szCs w:val="20"/>
                <w:lang w:eastAsia="es-CO"/>
              </w:rPr>
            </w:pPr>
            <w:r>
              <w:rPr>
                <w:rFonts w:cs="Arial"/>
                <w:sz w:val="20"/>
                <w:szCs w:val="20"/>
                <w:lang w:eastAsia="es-CO"/>
              </w:rPr>
              <w:t xml:space="preserve">Adicionalmente, se recuerda que las relaciones entre agentes </w:t>
            </w:r>
            <w:r w:rsidR="00BF5D27">
              <w:rPr>
                <w:rFonts w:cs="Arial"/>
                <w:sz w:val="20"/>
                <w:szCs w:val="20"/>
                <w:lang w:eastAsia="es-CO"/>
              </w:rPr>
              <w:t>con los comercializadores se encuentran regladas en la Resolución CREG 156 de 2011.</w:t>
            </w:r>
          </w:p>
        </w:tc>
      </w:tr>
      <w:tr w:rsidR="00064FAE" w:rsidRPr="008B4595" w14:paraId="0913ADEF" w14:textId="77777777" w:rsidTr="007E1375">
        <w:trPr>
          <w:trHeight w:val="1440"/>
        </w:trPr>
        <w:tc>
          <w:tcPr>
            <w:tcW w:w="557" w:type="dxa"/>
            <w:hideMark/>
          </w:tcPr>
          <w:p w14:paraId="75603D55"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26</w:t>
            </w:r>
          </w:p>
        </w:tc>
        <w:tc>
          <w:tcPr>
            <w:tcW w:w="4967" w:type="dxa"/>
            <w:hideMark/>
          </w:tcPr>
          <w:p w14:paraId="7E2D4414"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Se sugiere la revisión en el corto plazo del capítulo 12 de la resolución CREG 015 de 2018, considerando que el artículo 126 de la Ley 142 de 1994 establece que excepcionalmente podrán modificarse de oficio o a petición de parte (En este caso el Ministerio de Minas y energía), cuando sea evidente que se cometieron graves errores en su cálculo, que lesionan injustamente los intereses de los usuarios o de la empresa.</w:t>
            </w:r>
          </w:p>
        </w:tc>
        <w:tc>
          <w:tcPr>
            <w:tcW w:w="3969" w:type="dxa"/>
            <w:hideMark/>
          </w:tcPr>
          <w:p w14:paraId="2999B724" w14:textId="3305286C"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3.</w:t>
            </w:r>
            <w:r w:rsidRPr="008D41DE">
              <w:rPr>
                <w:rFonts w:cs="Arial"/>
                <w:sz w:val="20"/>
                <w:szCs w:val="20"/>
                <w:lang w:eastAsia="es-CO"/>
              </w:rPr>
              <w:br/>
            </w:r>
            <w:r w:rsidRPr="008D41DE">
              <w:rPr>
                <w:rFonts w:cs="Arial"/>
                <w:sz w:val="20"/>
                <w:szCs w:val="20"/>
                <w:lang w:eastAsia="es-CO"/>
              </w:rPr>
              <w:br/>
              <w:t>Adicionalmente, si la empresa cuenta con información y evidencias que permitan soportar los "graves errores de cálculo"</w:t>
            </w:r>
            <w:r w:rsidR="00F1143D">
              <w:rPr>
                <w:rFonts w:cs="Arial"/>
                <w:sz w:val="20"/>
                <w:szCs w:val="20"/>
                <w:lang w:eastAsia="es-CO"/>
              </w:rPr>
              <w:t xml:space="preserve"> o las “lesiones injustas”</w:t>
            </w:r>
            <w:r w:rsidRPr="008D41DE">
              <w:rPr>
                <w:rFonts w:cs="Arial"/>
                <w:sz w:val="20"/>
                <w:szCs w:val="20"/>
                <w:lang w:eastAsia="es-CO"/>
              </w:rPr>
              <w:t>, agradecemos hacer llegar esta información a la Comisión para su revisión.</w:t>
            </w:r>
          </w:p>
        </w:tc>
      </w:tr>
      <w:tr w:rsidR="00064FAE" w:rsidRPr="008B4595" w14:paraId="09F7D689" w14:textId="77777777" w:rsidTr="007E1375">
        <w:trPr>
          <w:trHeight w:val="286"/>
        </w:trPr>
        <w:tc>
          <w:tcPr>
            <w:tcW w:w="557" w:type="dxa"/>
            <w:hideMark/>
          </w:tcPr>
          <w:p w14:paraId="530452BC"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27</w:t>
            </w:r>
          </w:p>
        </w:tc>
        <w:tc>
          <w:tcPr>
            <w:tcW w:w="4967" w:type="dxa"/>
            <w:hideMark/>
          </w:tcPr>
          <w:p w14:paraId="1DCE54C0"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Se sugiere a la Comisión de regulación evaluar los costos substantivos de cumplimiento de la aplicación del factor M establecido en la resolución CREG 015 de 2018 en cuanto a los costos por su implementación y a la infraestructura necesaria para eliminar el consumo de energía reactiva inductiva y capacitiva.</w:t>
            </w:r>
          </w:p>
        </w:tc>
        <w:tc>
          <w:tcPr>
            <w:tcW w:w="3969" w:type="dxa"/>
            <w:hideMark/>
          </w:tcPr>
          <w:p w14:paraId="0F960984"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4.</w:t>
            </w:r>
          </w:p>
        </w:tc>
      </w:tr>
      <w:tr w:rsidR="00064FAE" w:rsidRPr="008B4595" w14:paraId="2FA4FC3E" w14:textId="77777777" w:rsidTr="007E1375">
        <w:trPr>
          <w:trHeight w:val="576"/>
        </w:trPr>
        <w:tc>
          <w:tcPr>
            <w:tcW w:w="557" w:type="dxa"/>
            <w:hideMark/>
          </w:tcPr>
          <w:p w14:paraId="03EE077C"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28</w:t>
            </w:r>
          </w:p>
        </w:tc>
        <w:tc>
          <w:tcPr>
            <w:tcW w:w="4967" w:type="dxa"/>
            <w:hideMark/>
          </w:tcPr>
          <w:p w14:paraId="25F45991"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Entendemos con base en el proyecto de resolución, que está en cabeza del OR exigir al usuario respectivo la instalación de equipos apropiados para controlar y medir la energía reactiva cuando este identifique que alguno de los factores de potencia no cumple con los límites establecidos.  En este sentido si la frontera comercial cumple con los requisitos establecidos en el código de medida, la habilitación operativa de medición de la energía reactiva de importación y/o exportación solo sería exigible si el OR lo solicita con base en mediciones previas.</w:t>
            </w:r>
          </w:p>
        </w:tc>
        <w:tc>
          <w:tcPr>
            <w:tcW w:w="3969" w:type="dxa"/>
            <w:hideMark/>
          </w:tcPr>
          <w:p w14:paraId="2A1CD85C"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5.</w:t>
            </w:r>
          </w:p>
        </w:tc>
      </w:tr>
      <w:tr w:rsidR="00064FAE" w:rsidRPr="008B4595" w14:paraId="2E6AF282" w14:textId="77777777" w:rsidTr="007E1375">
        <w:trPr>
          <w:trHeight w:val="576"/>
        </w:trPr>
        <w:tc>
          <w:tcPr>
            <w:tcW w:w="557" w:type="dxa"/>
            <w:hideMark/>
          </w:tcPr>
          <w:p w14:paraId="676DA08D"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29</w:t>
            </w:r>
          </w:p>
        </w:tc>
        <w:tc>
          <w:tcPr>
            <w:tcW w:w="4967" w:type="dxa"/>
            <w:hideMark/>
          </w:tcPr>
          <w:p w14:paraId="088267F8" w14:textId="651B42AC"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 xml:space="preserve">Se debe modificar la resolución CREG 015 de 2018 y articularla con </w:t>
            </w:r>
            <w:r w:rsidR="000D3039">
              <w:rPr>
                <w:rFonts w:cs="Arial"/>
                <w:sz w:val="20"/>
                <w:szCs w:val="20"/>
                <w:lang w:eastAsia="es-CO"/>
              </w:rPr>
              <w:t>el</w:t>
            </w:r>
            <w:r w:rsidRPr="008D41DE">
              <w:rPr>
                <w:rFonts w:cs="Arial"/>
                <w:sz w:val="20"/>
                <w:szCs w:val="20"/>
                <w:lang w:eastAsia="es-CO"/>
              </w:rPr>
              <w:t xml:space="preserve"> proyecto de resolución.</w:t>
            </w:r>
          </w:p>
        </w:tc>
        <w:tc>
          <w:tcPr>
            <w:tcW w:w="3969" w:type="dxa"/>
            <w:hideMark/>
          </w:tcPr>
          <w:p w14:paraId="0DDB3AC9"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6.</w:t>
            </w:r>
          </w:p>
        </w:tc>
      </w:tr>
      <w:tr w:rsidR="00064FAE" w:rsidRPr="008B4595" w14:paraId="4623A23C" w14:textId="77777777" w:rsidTr="007E1375">
        <w:trPr>
          <w:trHeight w:val="2112"/>
        </w:trPr>
        <w:tc>
          <w:tcPr>
            <w:tcW w:w="557" w:type="dxa"/>
            <w:hideMark/>
          </w:tcPr>
          <w:p w14:paraId="57E635A0"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lastRenderedPageBreak/>
              <w:t>30</w:t>
            </w:r>
          </w:p>
        </w:tc>
        <w:tc>
          <w:tcPr>
            <w:tcW w:w="4967" w:type="dxa"/>
            <w:hideMark/>
          </w:tcPr>
          <w:p w14:paraId="72327FFF"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Considerando los lineamientos establecidos por el Ministerio de Minas y Energía es indispensable revisar factor M (Penalización) contenido en la resolución CREG 015 de 2018, adicional al rango de penalización que establece el proyecto de modificación de la resolución CREG 070 el cual “flexibiliza" el cobro por su consumo.</w:t>
            </w:r>
          </w:p>
        </w:tc>
        <w:tc>
          <w:tcPr>
            <w:tcW w:w="3969" w:type="dxa"/>
            <w:hideMark/>
          </w:tcPr>
          <w:p w14:paraId="16654563"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4.</w:t>
            </w:r>
          </w:p>
        </w:tc>
      </w:tr>
      <w:tr w:rsidR="00064FAE" w:rsidRPr="008B4595" w14:paraId="051619F7" w14:textId="77777777" w:rsidTr="007E1375">
        <w:trPr>
          <w:trHeight w:val="2592"/>
        </w:trPr>
        <w:tc>
          <w:tcPr>
            <w:tcW w:w="557" w:type="dxa"/>
            <w:hideMark/>
          </w:tcPr>
          <w:p w14:paraId="6013A545"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31</w:t>
            </w:r>
          </w:p>
        </w:tc>
        <w:tc>
          <w:tcPr>
            <w:tcW w:w="4967" w:type="dxa"/>
            <w:hideMark/>
          </w:tcPr>
          <w:p w14:paraId="73AB1CE4"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 xml:space="preserve">Un usuario que ya cuente con los equipos requeridos para medición de energía reactiva debe permanecer con esta condición independientemente del comercializador que lo atienda.  Es </w:t>
            </w:r>
            <w:proofErr w:type="gramStart"/>
            <w:r w:rsidRPr="008D41DE">
              <w:rPr>
                <w:rFonts w:cs="Arial"/>
                <w:sz w:val="20"/>
                <w:szCs w:val="20"/>
                <w:lang w:eastAsia="es-CO"/>
              </w:rPr>
              <w:t>decir</w:t>
            </w:r>
            <w:proofErr w:type="gramEnd"/>
            <w:r w:rsidRPr="008D41DE">
              <w:rPr>
                <w:rFonts w:cs="Arial"/>
                <w:sz w:val="20"/>
                <w:szCs w:val="20"/>
                <w:lang w:eastAsia="es-CO"/>
              </w:rPr>
              <w:t xml:space="preserve"> si el usuario es representado por el comercializador incumbente, este tiene la obligación de medir y controlar la energía reactiva si ya cuenta con el medidor adecuado. Lo anterior considerando que esta situación genera una barrera de entrada para nuevos agentes comercializadores en el mercado y una ventaja competitiva del comercializador incumbente frente al mercado. </w:t>
            </w:r>
            <w:r w:rsidRPr="008D41DE">
              <w:rPr>
                <w:rFonts w:cs="Arial"/>
                <w:sz w:val="20"/>
                <w:szCs w:val="20"/>
                <w:lang w:eastAsia="es-CO"/>
              </w:rPr>
              <w:br/>
            </w:r>
            <w:r w:rsidRPr="008D41DE">
              <w:rPr>
                <w:rFonts w:cs="Arial"/>
                <w:sz w:val="20"/>
                <w:szCs w:val="20"/>
                <w:lang w:eastAsia="es-CO"/>
              </w:rPr>
              <w:br/>
              <w:t>Se sugiere a la Comisión realizar una lista de verificación de competencia dado que la misma limita la capacidad competitiva de los diferentes proveedores de energía.</w:t>
            </w:r>
          </w:p>
        </w:tc>
        <w:tc>
          <w:tcPr>
            <w:tcW w:w="3969" w:type="dxa"/>
            <w:hideMark/>
          </w:tcPr>
          <w:p w14:paraId="06805A55" w14:textId="58C8ABEA"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 xml:space="preserve">De acuerdo con el comentario. Una vez el cliente cuente con medición de energía reactiva, si efectivamente se </w:t>
            </w:r>
            <w:r w:rsidR="00B47024">
              <w:rPr>
                <w:rFonts w:cs="Arial"/>
                <w:sz w:val="20"/>
                <w:szCs w:val="20"/>
                <w:lang w:eastAsia="es-CO"/>
              </w:rPr>
              <w:t xml:space="preserve">observa </w:t>
            </w:r>
            <w:r w:rsidRPr="008D41DE">
              <w:rPr>
                <w:rFonts w:cs="Arial"/>
                <w:sz w:val="20"/>
                <w:szCs w:val="20"/>
                <w:lang w:eastAsia="es-CO"/>
              </w:rPr>
              <w:t>que existe transporte de reactivos</w:t>
            </w:r>
            <w:r w:rsidR="00B47024">
              <w:rPr>
                <w:rFonts w:cs="Arial"/>
                <w:sz w:val="20"/>
                <w:szCs w:val="20"/>
                <w:lang w:eastAsia="es-CO"/>
              </w:rPr>
              <w:t>,</w:t>
            </w:r>
            <w:r w:rsidRPr="008D41DE">
              <w:rPr>
                <w:rFonts w:cs="Arial"/>
                <w:sz w:val="20"/>
                <w:szCs w:val="20"/>
                <w:lang w:eastAsia="es-CO"/>
              </w:rPr>
              <w:t xml:space="preserve"> la medición debe mantenerse sin importar el cambio de comercializador.</w:t>
            </w:r>
            <w:r w:rsidRPr="008D41DE">
              <w:rPr>
                <w:rFonts w:cs="Arial"/>
                <w:sz w:val="20"/>
                <w:szCs w:val="20"/>
                <w:lang w:eastAsia="es-CO"/>
              </w:rPr>
              <w:br/>
            </w:r>
            <w:r w:rsidRPr="008D41DE">
              <w:rPr>
                <w:rFonts w:cs="Arial"/>
                <w:sz w:val="20"/>
                <w:szCs w:val="20"/>
                <w:lang w:eastAsia="es-CO"/>
              </w:rPr>
              <w:br/>
              <w:t>Vale la pena aclarar que este aspecto no se modifica, ni se modifican las exigencias del medidor establecidas en la Resolución CREG 038 de 2014.</w:t>
            </w:r>
          </w:p>
        </w:tc>
      </w:tr>
      <w:tr w:rsidR="00064FAE" w:rsidRPr="008B4595" w14:paraId="1C3151BB" w14:textId="77777777" w:rsidTr="007E1375">
        <w:trPr>
          <w:trHeight w:val="1440"/>
        </w:trPr>
        <w:tc>
          <w:tcPr>
            <w:tcW w:w="557" w:type="dxa"/>
            <w:hideMark/>
          </w:tcPr>
          <w:p w14:paraId="3BEEDD37"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32</w:t>
            </w:r>
          </w:p>
        </w:tc>
        <w:tc>
          <w:tcPr>
            <w:tcW w:w="4967" w:type="dxa"/>
            <w:hideMark/>
          </w:tcPr>
          <w:p w14:paraId="5E10E8AB" w14:textId="46EF5E70"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Me parece bien ampliar el espectro en 0,1 décima en el perfil capacitivo; es conveniente definir también el tema de tarifa y/o de costo de esa energía reactiva cualquiera sea su perfil.</w:t>
            </w:r>
          </w:p>
        </w:tc>
        <w:tc>
          <w:tcPr>
            <w:tcW w:w="3969" w:type="dxa"/>
            <w:hideMark/>
          </w:tcPr>
          <w:p w14:paraId="49BABEAA"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3.</w:t>
            </w:r>
            <w:r w:rsidRPr="008D41DE">
              <w:rPr>
                <w:rFonts w:cs="Arial"/>
                <w:sz w:val="20"/>
                <w:szCs w:val="20"/>
                <w:lang w:eastAsia="es-CO"/>
              </w:rPr>
              <w:br/>
              <w:t>Vale la pena aclarar que el mecanismo de cobro para el transporte de energía reactiva en exceso no es una penalización, sino un esquema de incentivos que busca reducir este transporte cuando exceda los límites previstos en la regulación.</w:t>
            </w:r>
          </w:p>
        </w:tc>
      </w:tr>
      <w:tr w:rsidR="00064FAE" w:rsidRPr="008B4595" w14:paraId="41E4E97A" w14:textId="77777777" w:rsidTr="007E1375">
        <w:trPr>
          <w:trHeight w:val="1440"/>
        </w:trPr>
        <w:tc>
          <w:tcPr>
            <w:tcW w:w="557" w:type="dxa"/>
            <w:hideMark/>
          </w:tcPr>
          <w:p w14:paraId="2B1941D6"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33</w:t>
            </w:r>
          </w:p>
        </w:tc>
        <w:tc>
          <w:tcPr>
            <w:tcW w:w="4967" w:type="dxa"/>
            <w:hideMark/>
          </w:tcPr>
          <w:p w14:paraId="1BF19E4D" w14:textId="6806DA48"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El proyecto de resolución contempla un espectro y/o ancho de banda permitido que soluciona el problema; de todos modos, es inaceptable cualquier factor motivacional.</w:t>
            </w:r>
          </w:p>
        </w:tc>
        <w:tc>
          <w:tcPr>
            <w:tcW w:w="3969" w:type="dxa"/>
            <w:hideMark/>
          </w:tcPr>
          <w:p w14:paraId="1F52ADDE"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4.</w:t>
            </w:r>
            <w:r w:rsidRPr="008D41DE">
              <w:rPr>
                <w:rFonts w:cs="Arial"/>
                <w:sz w:val="20"/>
                <w:szCs w:val="20"/>
                <w:lang w:eastAsia="es-CO"/>
              </w:rPr>
              <w:br/>
              <w:t>Adicionalmente, las mediciones de energía reactiva capacitiva del orden de milésimas o centésimas estarían cubiertos por los nuevos límites de factor de potencia capacitivo, por lo tanto, estarían exentos de considerarse como exceso.</w:t>
            </w:r>
          </w:p>
        </w:tc>
      </w:tr>
      <w:tr w:rsidR="00064FAE" w:rsidRPr="008B4595" w14:paraId="1558003A" w14:textId="77777777" w:rsidTr="007E1375">
        <w:trPr>
          <w:trHeight w:val="1440"/>
        </w:trPr>
        <w:tc>
          <w:tcPr>
            <w:tcW w:w="557" w:type="dxa"/>
            <w:hideMark/>
          </w:tcPr>
          <w:p w14:paraId="05DDC045"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34</w:t>
            </w:r>
          </w:p>
        </w:tc>
        <w:tc>
          <w:tcPr>
            <w:tcW w:w="4967" w:type="dxa"/>
            <w:hideMark/>
          </w:tcPr>
          <w:p w14:paraId="7048231F"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La resolución debe contener una decisión de deshacer y declarar improcedente, inexequible, invalido, todo cobro hecho desde el momento en que se empezó a aplicar el abusivo, indebido y lesionador límite de CERO TOLERANCIA al perfil capacitivo; el sólo hecho de ver milésimas y centésimas en la factura del servicio en gráficos ampliados por 1000 veces.... causa indignación; volvamos a lo bueno, lo justo, lo de buen nombre...</w:t>
            </w:r>
          </w:p>
        </w:tc>
        <w:tc>
          <w:tcPr>
            <w:tcW w:w="3969" w:type="dxa"/>
            <w:hideMark/>
          </w:tcPr>
          <w:p w14:paraId="1A7854C0" w14:textId="163157BB"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Se debe recordar que todos los ajustes que se incluyan en la reglamentación permitirán la eliminación del cobro a todos los usuarios que estén dentro de los nuevos límites. Al respecto, cabe aclarar que ninguna disposición establecida por la Comisión puede tener efecto retroactivo, sino solamente desde el momento en que quede vigente hacia adelante.</w:t>
            </w:r>
          </w:p>
        </w:tc>
      </w:tr>
      <w:tr w:rsidR="00064FAE" w:rsidRPr="008B4595" w14:paraId="5374D9D9" w14:textId="77777777" w:rsidTr="007E1375">
        <w:trPr>
          <w:trHeight w:val="288"/>
        </w:trPr>
        <w:tc>
          <w:tcPr>
            <w:tcW w:w="557" w:type="dxa"/>
            <w:hideMark/>
          </w:tcPr>
          <w:p w14:paraId="6C0D6691"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lastRenderedPageBreak/>
              <w:t>35</w:t>
            </w:r>
          </w:p>
        </w:tc>
        <w:tc>
          <w:tcPr>
            <w:tcW w:w="4967" w:type="dxa"/>
            <w:hideMark/>
          </w:tcPr>
          <w:p w14:paraId="717505EA" w14:textId="69F0F610"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Consideramos fundamental que se evalúen y se tengan en cuenta las inquietudes y propuestas con relación al cobro por transporte de energía reactiva presentadas a través de nuestra comunicación ACDS No. 22-120, así como los comentarios de ASOCODIS al proyecto de resolución CREG 701 027 de 2022, expuestos en la comunicación ACDS No. 23-006</w:t>
            </w:r>
          </w:p>
        </w:tc>
        <w:tc>
          <w:tcPr>
            <w:tcW w:w="3969" w:type="dxa"/>
            <w:hideMark/>
          </w:tcPr>
          <w:p w14:paraId="3170E7AE"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7.</w:t>
            </w:r>
          </w:p>
        </w:tc>
      </w:tr>
      <w:tr w:rsidR="00064FAE" w:rsidRPr="008B4595" w14:paraId="5E9DCACB" w14:textId="77777777" w:rsidTr="007E1375">
        <w:trPr>
          <w:trHeight w:val="288"/>
        </w:trPr>
        <w:tc>
          <w:tcPr>
            <w:tcW w:w="557" w:type="dxa"/>
            <w:hideMark/>
          </w:tcPr>
          <w:p w14:paraId="44D6394A"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36</w:t>
            </w:r>
          </w:p>
        </w:tc>
        <w:tc>
          <w:tcPr>
            <w:tcW w:w="4967" w:type="dxa"/>
            <w:hideMark/>
          </w:tcPr>
          <w:p w14:paraId="3E1E20B9" w14:textId="5C1CB1F5"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Proponemos a la CREG analizar si con lo dispuesto en el código de medida de la Resolución CREG 038 de 2014, los comercializadores están en la obligación de instalar para cualquier nivel de tensión un medidor que permita la lectura de la energía reactiva bidireccional que permita identificar tanto la capacitiva como la inductiva de sus usuarios pues según la norma en mención, al parecer solo se exige para niveles de tensión superiores a 57,5 kV.</w:t>
            </w:r>
          </w:p>
        </w:tc>
        <w:tc>
          <w:tcPr>
            <w:tcW w:w="3969" w:type="dxa"/>
            <w:hideMark/>
          </w:tcPr>
          <w:p w14:paraId="24DA1D2B"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5.</w:t>
            </w:r>
          </w:p>
        </w:tc>
      </w:tr>
      <w:tr w:rsidR="00064FAE" w:rsidRPr="008B4595" w14:paraId="7C19B5C8" w14:textId="77777777" w:rsidTr="007E1375">
        <w:trPr>
          <w:trHeight w:val="58"/>
        </w:trPr>
        <w:tc>
          <w:tcPr>
            <w:tcW w:w="557" w:type="dxa"/>
            <w:hideMark/>
          </w:tcPr>
          <w:p w14:paraId="6679B538"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37</w:t>
            </w:r>
          </w:p>
        </w:tc>
        <w:tc>
          <w:tcPr>
            <w:tcW w:w="4967" w:type="dxa"/>
            <w:hideMark/>
          </w:tcPr>
          <w:p w14:paraId="790C27BF" w14:textId="67D3B85D"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"Sugerimos que los indicadores de seguimiento propuestos en el documento soporte para determinar si el factor de potencia capacitivo cumple los límites propuestos (CERT, CER, FCER, ERT, ER, TCER) hagan parte integral de la resolución definitiva; es decir, la formula, sus variables, definición queden establecidas dentro de la resolución.</w:t>
            </w:r>
          </w:p>
          <w:p w14:paraId="402C9777"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También sugerimos que la Comisión revise la posibilidad de centralizar dicha información en los reportes al SUI.  "</w:t>
            </w:r>
          </w:p>
        </w:tc>
        <w:tc>
          <w:tcPr>
            <w:tcW w:w="3969" w:type="dxa"/>
            <w:hideMark/>
          </w:tcPr>
          <w:p w14:paraId="09BB9397"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8.</w:t>
            </w:r>
          </w:p>
        </w:tc>
      </w:tr>
      <w:tr w:rsidR="00064FAE" w:rsidRPr="008B4595" w14:paraId="23AF43D6" w14:textId="77777777" w:rsidTr="007E1375">
        <w:trPr>
          <w:trHeight w:val="288"/>
        </w:trPr>
        <w:tc>
          <w:tcPr>
            <w:tcW w:w="557" w:type="dxa"/>
            <w:hideMark/>
          </w:tcPr>
          <w:p w14:paraId="015FC720"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38</w:t>
            </w:r>
          </w:p>
        </w:tc>
        <w:tc>
          <w:tcPr>
            <w:tcW w:w="4967" w:type="dxa"/>
            <w:hideMark/>
          </w:tcPr>
          <w:p w14:paraId="4C081D42" w14:textId="4054AED0"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Así mismo, es importante que para los proyectos nuevos se establezcan reglas de control de reactiva, y que sean de obligatorio cumplimiento, lo cual ayudaría a que los sistemas tengan mayor control, además es necesario realizar un seguimiento permanente ante un escenario de masificación de AMI, medidores digitales para tomar las medidas correctas oportunamente.</w:t>
            </w:r>
          </w:p>
        </w:tc>
        <w:tc>
          <w:tcPr>
            <w:tcW w:w="3969" w:type="dxa"/>
            <w:hideMark/>
          </w:tcPr>
          <w:p w14:paraId="6E573C40"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7.</w:t>
            </w:r>
          </w:p>
        </w:tc>
      </w:tr>
      <w:tr w:rsidR="00064FAE" w:rsidRPr="008B4595" w14:paraId="6EAAC465" w14:textId="77777777" w:rsidTr="007E1375">
        <w:trPr>
          <w:trHeight w:val="286"/>
        </w:trPr>
        <w:tc>
          <w:tcPr>
            <w:tcW w:w="557" w:type="dxa"/>
            <w:hideMark/>
          </w:tcPr>
          <w:p w14:paraId="15CA2177"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39</w:t>
            </w:r>
          </w:p>
        </w:tc>
        <w:tc>
          <w:tcPr>
            <w:tcW w:w="4967" w:type="dxa"/>
            <w:hideMark/>
          </w:tcPr>
          <w:p w14:paraId="75630130"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 xml:space="preserve">En línea con lo anterior, queremos resaltar la importancia de la expedición de la resolución definitiva del proyecto de resolución CREG 701 027 de 2022 “Por la cual se adiciona el Anexo 6 de “Requerimientos técnicos de control de tensión y potencia reactiva para usuarios AGPE, AGGE con potencia máxima declarada menor a 5 MW y GD” a la Resolución CREG 174 de 2021”. Lo anterior, con el fin de evitar comportamientos no deseados para el sistema, teniendo en cuenta que es necesario establecer criterios técnicos y económicos que incentiven a los usuarios que se quieran convertir en AGPE (de cualquier escala) en controlar el exceso de la energía reactiva para poder quedar exonerados de la misma. Al respecto, hemos identificado casos en donde usuarios con un consumo importante de energía reactiva están solicitando ser AGPE con el </w:t>
            </w:r>
            <w:r w:rsidRPr="008D41DE">
              <w:rPr>
                <w:rFonts w:cs="Arial"/>
                <w:sz w:val="20"/>
                <w:szCs w:val="20"/>
                <w:lang w:eastAsia="es-CO"/>
              </w:rPr>
              <w:lastRenderedPageBreak/>
              <w:t>único propósito de quedar exonerados del cobro de esa energía en exceso.</w:t>
            </w:r>
          </w:p>
        </w:tc>
        <w:tc>
          <w:tcPr>
            <w:tcW w:w="3969" w:type="dxa"/>
            <w:hideMark/>
          </w:tcPr>
          <w:p w14:paraId="723176E3"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lastRenderedPageBreak/>
              <w:t>Ver respuesta a la pregunta 9.</w:t>
            </w:r>
          </w:p>
        </w:tc>
      </w:tr>
      <w:tr w:rsidR="00064FAE" w:rsidRPr="008B4595" w14:paraId="3125A890" w14:textId="77777777" w:rsidTr="007E1375">
        <w:trPr>
          <w:trHeight w:val="1728"/>
        </w:trPr>
        <w:tc>
          <w:tcPr>
            <w:tcW w:w="557" w:type="dxa"/>
            <w:hideMark/>
          </w:tcPr>
          <w:p w14:paraId="283D401E"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40</w:t>
            </w:r>
          </w:p>
        </w:tc>
        <w:tc>
          <w:tcPr>
            <w:tcW w:w="4967" w:type="dxa"/>
            <w:hideMark/>
          </w:tcPr>
          <w:p w14:paraId="1164F8C9" w14:textId="0BC3320A"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"Con respecto a los indicadores de seguimiento para determinar si el factor de potencia capacitivo cumple con los límites propuestos (CERT, CER, FCER, ERT, ER, TCER) que se encuentran en el documento soporte, proponemos amablemente a la Comisión que se integren las fórmulas, las variables y las definiciones de estos indicadores en la resolución definitiva. Así mismo, sugerimos que se revise la posibilidad de centralizar dicha información en los reportes del SUI.</w:t>
            </w:r>
          </w:p>
          <w:p w14:paraId="69A90252" w14:textId="77777777" w:rsidR="00064FAE" w:rsidRPr="008D41DE" w:rsidRDefault="00064FAE" w:rsidP="008D41DE">
            <w:pPr>
              <w:spacing w:before="0" w:after="0"/>
              <w:jc w:val="left"/>
              <w:rPr>
                <w:rFonts w:cs="Arial"/>
                <w:sz w:val="20"/>
                <w:szCs w:val="20"/>
                <w:lang w:eastAsia="es-CO"/>
              </w:rPr>
            </w:pPr>
          </w:p>
          <w:p w14:paraId="13CAF2B0"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Por otra parte, vemos importante que para los proyectos nuevos se establezcan reglas técnicas de control de energía reactiva, los cuales sean de obligatorio cumplimiento. Lo anterior, con el fin de generar un mayor control en los sistemas."</w:t>
            </w:r>
          </w:p>
        </w:tc>
        <w:tc>
          <w:tcPr>
            <w:tcW w:w="3969" w:type="dxa"/>
            <w:hideMark/>
          </w:tcPr>
          <w:p w14:paraId="6BCCF6D1"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8.</w:t>
            </w:r>
            <w:r w:rsidRPr="008D41DE">
              <w:rPr>
                <w:rFonts w:cs="Arial"/>
                <w:sz w:val="20"/>
                <w:szCs w:val="20"/>
                <w:lang w:eastAsia="es-CO"/>
              </w:rPr>
              <w:br/>
            </w:r>
            <w:r w:rsidRPr="008D41DE">
              <w:rPr>
                <w:rFonts w:cs="Arial"/>
                <w:sz w:val="20"/>
                <w:szCs w:val="20"/>
                <w:lang w:eastAsia="es-CO"/>
              </w:rPr>
              <w:br/>
              <w:t>En la resolución definitiva se establece que los dispositivos conectados a niveles de tensión II, III y IV que puedan mejorar el factor de potencia como bancos de condensadores, reactores, filtros de armónicos y demás, deben ser aprobados por el OR. Estos, deben conocer tanto las características técnicas de dichos dispositivos como las instalaciones internas de los usuarios.</w:t>
            </w:r>
          </w:p>
        </w:tc>
      </w:tr>
      <w:tr w:rsidR="00064FAE" w:rsidRPr="008B4595" w14:paraId="1EEF88BF" w14:textId="77777777" w:rsidTr="007E1375">
        <w:trPr>
          <w:trHeight w:val="864"/>
        </w:trPr>
        <w:tc>
          <w:tcPr>
            <w:tcW w:w="557" w:type="dxa"/>
            <w:hideMark/>
          </w:tcPr>
          <w:p w14:paraId="0CC060E0"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41</w:t>
            </w:r>
          </w:p>
        </w:tc>
        <w:tc>
          <w:tcPr>
            <w:tcW w:w="4967" w:type="dxa"/>
            <w:hideMark/>
          </w:tcPr>
          <w:p w14:paraId="0427A38D" w14:textId="5A636041"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Manifestamos la necesidad de complementar el contenido de esta adicionando un artículo que permita que en los casos de OR que provienen de ZNI y van a entrar a operar en el SIN, se establezca un tiempo prudencial, al menos de cinco años, para ajustar las redes a las condiciones de operabilidad, algo similar a lo establecido en el capítulo 5, numeral 5.2.14.1 de la Resolución CREG 015-2018 relacionado con la Calidad del Servicio, que permite un plazo máximo 5 años para certificar el cumplimiento de los requisitos establecidos a la aplicación del esquema de incentivos y compensaciones. Lo anterior se justifica teniendo en cuenta lo establecido en el capítulo 12 de la Resolución CREG 015 – 2018 respecto del costo del transporte de energía reactiva estableciendo la variable asociada con el período mensual en el que se presenta el transporte de energía reactiva sobre el límite establecido, variando entre 1 y 12.</w:t>
            </w:r>
          </w:p>
        </w:tc>
        <w:tc>
          <w:tcPr>
            <w:tcW w:w="3969" w:type="dxa"/>
            <w:hideMark/>
          </w:tcPr>
          <w:p w14:paraId="477556AD" w14:textId="77777777" w:rsidR="00064FAE" w:rsidRDefault="00064FAE" w:rsidP="008D41DE">
            <w:pPr>
              <w:spacing w:before="0" w:after="0"/>
              <w:jc w:val="left"/>
              <w:rPr>
                <w:rFonts w:cs="Arial"/>
                <w:sz w:val="20"/>
                <w:szCs w:val="20"/>
                <w:lang w:eastAsia="es-CO"/>
              </w:rPr>
            </w:pPr>
            <w:r w:rsidRPr="008D41DE">
              <w:rPr>
                <w:rFonts w:cs="Arial"/>
                <w:sz w:val="20"/>
                <w:szCs w:val="20"/>
                <w:lang w:eastAsia="es-CO"/>
              </w:rPr>
              <w:t>La resolución solamente modifica el límite del reglamento de distribución. Esto no afecta los requisitos del medidor que ya están dados en la Resolución 038 de 2014, y el cobro aplica a los usuarios que tengan la medida, por lo que no es necesario poner ninguna regla especial</w:t>
            </w:r>
          </w:p>
          <w:p w14:paraId="1E904D80" w14:textId="77777777" w:rsidR="00D143C4" w:rsidRDefault="00D143C4" w:rsidP="008D41DE">
            <w:pPr>
              <w:spacing w:before="0" w:after="0"/>
              <w:jc w:val="left"/>
              <w:rPr>
                <w:rFonts w:cs="Arial"/>
                <w:sz w:val="20"/>
                <w:szCs w:val="20"/>
                <w:lang w:eastAsia="es-CO"/>
              </w:rPr>
            </w:pPr>
          </w:p>
          <w:p w14:paraId="7FBA08C6" w14:textId="117235F5" w:rsidR="00D143C4" w:rsidRPr="008D41DE" w:rsidRDefault="00D31681" w:rsidP="008D41DE">
            <w:pPr>
              <w:spacing w:before="0" w:after="0"/>
              <w:jc w:val="left"/>
              <w:rPr>
                <w:rFonts w:cs="Arial"/>
                <w:sz w:val="20"/>
                <w:szCs w:val="20"/>
                <w:lang w:eastAsia="es-CO"/>
              </w:rPr>
            </w:pPr>
            <w:r>
              <w:rPr>
                <w:rFonts w:cs="Arial"/>
                <w:sz w:val="20"/>
                <w:szCs w:val="20"/>
                <w:lang w:eastAsia="es-CO"/>
              </w:rPr>
              <w:t>Lo propuesto requiere ser estudiado en oportunidad de la modificación de la Resolución CREG 015 de 2018 y excede el alcance de esta resolución.</w:t>
            </w:r>
          </w:p>
        </w:tc>
      </w:tr>
      <w:tr w:rsidR="00064FAE" w:rsidRPr="008B4595" w14:paraId="4CF62E12" w14:textId="77777777" w:rsidTr="007E1375">
        <w:trPr>
          <w:trHeight w:val="1152"/>
        </w:trPr>
        <w:tc>
          <w:tcPr>
            <w:tcW w:w="557" w:type="dxa"/>
            <w:hideMark/>
          </w:tcPr>
          <w:p w14:paraId="665DC1C1"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42</w:t>
            </w:r>
          </w:p>
        </w:tc>
        <w:tc>
          <w:tcPr>
            <w:tcW w:w="4967" w:type="dxa"/>
            <w:hideMark/>
          </w:tcPr>
          <w:p w14:paraId="45927B56"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Solicitamos amablemente que en el documento definitivo se deje de manera explícita que esta modificación a la resolución CREG 070 de 1998, cambia la manera en la que actualmente se cobra el transporte en exceso de la energía reactiva capacitiva según el capítulo 12 de la Resolución CREG 015 de 2018.</w:t>
            </w:r>
          </w:p>
        </w:tc>
        <w:tc>
          <w:tcPr>
            <w:tcW w:w="3969" w:type="dxa"/>
            <w:hideMark/>
          </w:tcPr>
          <w:p w14:paraId="1F925C93"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6.</w:t>
            </w:r>
          </w:p>
        </w:tc>
      </w:tr>
      <w:tr w:rsidR="00064FAE" w:rsidRPr="008B4595" w14:paraId="16124667" w14:textId="77777777" w:rsidTr="007E1375">
        <w:trPr>
          <w:trHeight w:val="1152"/>
        </w:trPr>
        <w:tc>
          <w:tcPr>
            <w:tcW w:w="557" w:type="dxa"/>
            <w:hideMark/>
          </w:tcPr>
          <w:p w14:paraId="1B524AFF"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43</w:t>
            </w:r>
          </w:p>
        </w:tc>
        <w:tc>
          <w:tcPr>
            <w:tcW w:w="4967" w:type="dxa"/>
            <w:hideMark/>
          </w:tcPr>
          <w:p w14:paraId="796CD975" w14:textId="3170876A"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 xml:space="preserve">Teniendo en cuenta que los usuarios residenciales tienen bajo consumo y que su transporte de energía reactiva inductiva/capacitiva es tan bajo que no afecta de manera significativa la estabilidad y calidad de los Operadores de Red, consideramos pertinente que el cobro del transporte en exceso de energía reactiva inductiva y capacitiva para estos usuarios se realice con un balance mensual, esto dado que, </w:t>
            </w:r>
            <w:r w:rsidRPr="008D41DE">
              <w:rPr>
                <w:rFonts w:cs="Arial"/>
                <w:sz w:val="20"/>
                <w:szCs w:val="20"/>
                <w:lang w:eastAsia="es-CO"/>
              </w:rPr>
              <w:lastRenderedPageBreak/>
              <w:t>cuando un usuario realiza un cambio de comercializador o del sistema de medida (a un medidor con perfil horario o por sistemas AMI) sus registros horarios pueden reflejar flujos de energía reactiva, aunque muy bajos, pero son cobrados por los operadores de red. Esta situación, que se origina solamente en una condición de cambio de sistema de medida y no de comportamiento o usos en los consumos de energía eléctrica, puede ocasionar una asimetría y una barrera para competencia en el Mercado Minorista de Energía.</w:t>
            </w:r>
          </w:p>
        </w:tc>
        <w:tc>
          <w:tcPr>
            <w:tcW w:w="3969" w:type="dxa"/>
            <w:hideMark/>
          </w:tcPr>
          <w:p w14:paraId="77F3C699" w14:textId="77777777" w:rsidR="00064FAE" w:rsidRDefault="00064FAE" w:rsidP="008D41DE">
            <w:pPr>
              <w:spacing w:before="0" w:after="0"/>
              <w:jc w:val="left"/>
              <w:rPr>
                <w:rFonts w:cs="Arial"/>
                <w:sz w:val="20"/>
                <w:szCs w:val="20"/>
                <w:lang w:eastAsia="es-CO"/>
              </w:rPr>
            </w:pPr>
            <w:r w:rsidRPr="008D41DE">
              <w:rPr>
                <w:rFonts w:cs="Arial"/>
                <w:sz w:val="20"/>
                <w:szCs w:val="20"/>
                <w:lang w:eastAsia="es-CO"/>
              </w:rPr>
              <w:lastRenderedPageBreak/>
              <w:t>Si los consumos de energía de los usuarios residenciales se encuentran cubiertos por los nuevos límites de factor de potencia, estos no tendrían ningún cobro por transporte de energía reactiva en exceso.</w:t>
            </w:r>
          </w:p>
          <w:p w14:paraId="2AD883C6" w14:textId="77777777" w:rsidR="00C30CA5" w:rsidRDefault="00C30CA5" w:rsidP="008D41DE">
            <w:pPr>
              <w:spacing w:before="0" w:after="0"/>
              <w:jc w:val="left"/>
              <w:rPr>
                <w:rFonts w:cs="Arial"/>
                <w:sz w:val="20"/>
                <w:szCs w:val="20"/>
                <w:lang w:eastAsia="es-CO"/>
              </w:rPr>
            </w:pPr>
          </w:p>
          <w:p w14:paraId="5FDF56D0" w14:textId="7E800AA2" w:rsidR="00C30CA5" w:rsidRPr="008D41DE" w:rsidRDefault="00C30CA5" w:rsidP="008D41DE">
            <w:pPr>
              <w:spacing w:before="0" w:after="0"/>
              <w:jc w:val="left"/>
              <w:rPr>
                <w:rFonts w:cs="Arial"/>
                <w:sz w:val="20"/>
                <w:szCs w:val="20"/>
                <w:lang w:eastAsia="es-CO"/>
              </w:rPr>
            </w:pPr>
            <w:r>
              <w:rPr>
                <w:rFonts w:cs="Arial"/>
                <w:sz w:val="20"/>
                <w:szCs w:val="20"/>
                <w:lang w:eastAsia="es-CO"/>
              </w:rPr>
              <w:lastRenderedPageBreak/>
              <w:t>No obstante, será revisado en oportunidad de la modificación de las reglas de AMI.</w:t>
            </w:r>
          </w:p>
        </w:tc>
      </w:tr>
      <w:tr w:rsidR="00064FAE" w:rsidRPr="008B4595" w14:paraId="7CC073B0" w14:textId="77777777" w:rsidTr="007E1375">
        <w:trPr>
          <w:trHeight w:val="1087"/>
        </w:trPr>
        <w:tc>
          <w:tcPr>
            <w:tcW w:w="557" w:type="dxa"/>
            <w:hideMark/>
          </w:tcPr>
          <w:p w14:paraId="562392EA"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lastRenderedPageBreak/>
              <w:t>44</w:t>
            </w:r>
          </w:p>
        </w:tc>
        <w:tc>
          <w:tcPr>
            <w:tcW w:w="4967" w:type="dxa"/>
            <w:hideMark/>
          </w:tcPr>
          <w:p w14:paraId="6F028CB8"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Dejar explicito en la resolución de cómo se realizará el cobro del transporte de energía reactiva capacitiva, de manera que se tenga claridad por parte de los agentes y de los usuarios la aplicación de las nuevas condiciones.</w:t>
            </w:r>
            <w:r w:rsidRPr="008D41DE">
              <w:rPr>
                <w:rFonts w:cs="Arial"/>
                <w:sz w:val="20"/>
                <w:szCs w:val="20"/>
                <w:lang w:eastAsia="es-CO"/>
              </w:rPr>
              <w:br/>
            </w:r>
            <w:r w:rsidRPr="008D41DE">
              <w:rPr>
                <w:rFonts w:cs="Arial"/>
                <w:sz w:val="20"/>
                <w:szCs w:val="20"/>
                <w:lang w:eastAsia="es-CO"/>
              </w:rPr>
              <w:br/>
              <w:t>Adicionalmente, al darse cambios en la definición de si se da incumplimiento o no de transporte de energía reactiva capacitiva, es necesario que en la Res. CREG 015/2018 se armonice la aplicación del factor M.</w:t>
            </w:r>
          </w:p>
        </w:tc>
        <w:tc>
          <w:tcPr>
            <w:tcW w:w="3969" w:type="dxa"/>
            <w:hideMark/>
          </w:tcPr>
          <w:p w14:paraId="4FDD6D8C"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6.</w:t>
            </w:r>
          </w:p>
        </w:tc>
      </w:tr>
      <w:tr w:rsidR="00064FAE" w:rsidRPr="008B4595" w14:paraId="438EEAAE" w14:textId="77777777" w:rsidTr="007E1375">
        <w:trPr>
          <w:trHeight w:val="576"/>
        </w:trPr>
        <w:tc>
          <w:tcPr>
            <w:tcW w:w="557" w:type="dxa"/>
            <w:hideMark/>
          </w:tcPr>
          <w:p w14:paraId="7E23335A"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45</w:t>
            </w:r>
          </w:p>
        </w:tc>
        <w:tc>
          <w:tcPr>
            <w:tcW w:w="4967" w:type="dxa"/>
            <w:hideMark/>
          </w:tcPr>
          <w:p w14:paraId="720B0822"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 xml:space="preserve">Proponemos ampliar el plazo establecido para la divulgación de las medidas que propone la resolución a 3 meses a partir de </w:t>
            </w:r>
            <w:proofErr w:type="gramStart"/>
            <w:r w:rsidRPr="008D41DE">
              <w:rPr>
                <w:rFonts w:cs="Arial"/>
                <w:sz w:val="20"/>
                <w:szCs w:val="20"/>
                <w:lang w:eastAsia="es-CO"/>
              </w:rPr>
              <w:t>entrada en vigencia</w:t>
            </w:r>
            <w:proofErr w:type="gramEnd"/>
            <w:r w:rsidRPr="008D41DE">
              <w:rPr>
                <w:rFonts w:cs="Arial"/>
                <w:sz w:val="20"/>
                <w:szCs w:val="20"/>
                <w:lang w:eastAsia="es-CO"/>
              </w:rPr>
              <w:t>.</w:t>
            </w:r>
          </w:p>
        </w:tc>
        <w:tc>
          <w:tcPr>
            <w:tcW w:w="3969" w:type="dxa"/>
            <w:hideMark/>
          </w:tcPr>
          <w:p w14:paraId="2C43E402"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11.</w:t>
            </w:r>
          </w:p>
        </w:tc>
      </w:tr>
      <w:tr w:rsidR="00064FAE" w:rsidRPr="008B4595" w14:paraId="139B0128" w14:textId="77777777" w:rsidTr="007E1375">
        <w:trPr>
          <w:trHeight w:val="864"/>
        </w:trPr>
        <w:tc>
          <w:tcPr>
            <w:tcW w:w="557" w:type="dxa"/>
            <w:hideMark/>
          </w:tcPr>
          <w:p w14:paraId="5CCDF9C3"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46</w:t>
            </w:r>
          </w:p>
        </w:tc>
        <w:tc>
          <w:tcPr>
            <w:tcW w:w="4967" w:type="dxa"/>
            <w:hideMark/>
          </w:tcPr>
          <w:p w14:paraId="7209FD71"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En el artículo 1, incluir el siguiente texto:</w:t>
            </w:r>
            <w:r w:rsidRPr="008D41DE">
              <w:rPr>
                <w:rFonts w:cs="Arial"/>
                <w:sz w:val="20"/>
                <w:szCs w:val="20"/>
                <w:lang w:eastAsia="es-CO"/>
              </w:rPr>
              <w:br/>
              <w:t>Los OR exigirán que los proyectos nuevos que garanticen parámetros mínimos de cumplimiento de FP al momento de la conexión.</w:t>
            </w:r>
          </w:p>
        </w:tc>
        <w:tc>
          <w:tcPr>
            <w:tcW w:w="3969" w:type="dxa"/>
            <w:hideMark/>
          </w:tcPr>
          <w:p w14:paraId="044CDBDB"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Los OR están encargados de aprobar la conexión de equipos que generen transporte o compensación de energía reactiva. Por lo tanto, son los OR quienes verifican y garantizan los parámetros mínimos para el cumplimiento de los límites de factor de potencia</w:t>
            </w:r>
          </w:p>
        </w:tc>
      </w:tr>
      <w:tr w:rsidR="00064FAE" w:rsidRPr="008B4595" w14:paraId="091840EB" w14:textId="77777777" w:rsidTr="007E1375">
        <w:trPr>
          <w:trHeight w:val="576"/>
        </w:trPr>
        <w:tc>
          <w:tcPr>
            <w:tcW w:w="557" w:type="dxa"/>
            <w:hideMark/>
          </w:tcPr>
          <w:p w14:paraId="3C880F88"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47</w:t>
            </w:r>
          </w:p>
        </w:tc>
        <w:tc>
          <w:tcPr>
            <w:tcW w:w="4967" w:type="dxa"/>
            <w:hideMark/>
          </w:tcPr>
          <w:p w14:paraId="1027B4AF"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Segmentar los límites de factor de potencia no por nivel de tensión sino por tipo de cliente.</w:t>
            </w:r>
          </w:p>
        </w:tc>
        <w:tc>
          <w:tcPr>
            <w:tcW w:w="3969" w:type="dxa"/>
            <w:hideMark/>
          </w:tcPr>
          <w:p w14:paraId="5E4B480F" w14:textId="4507B344"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Las diferencias que se efectúan en la remuneración de la red se hacen con base en los niveles de tensión, no con base en el uso de la energía.</w:t>
            </w:r>
          </w:p>
        </w:tc>
      </w:tr>
      <w:tr w:rsidR="00064FAE" w:rsidRPr="008B4595" w14:paraId="5C81E847" w14:textId="77777777" w:rsidTr="007E1375">
        <w:trPr>
          <w:trHeight w:val="576"/>
        </w:trPr>
        <w:tc>
          <w:tcPr>
            <w:tcW w:w="557" w:type="dxa"/>
            <w:hideMark/>
          </w:tcPr>
          <w:p w14:paraId="027F2635"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48</w:t>
            </w:r>
          </w:p>
        </w:tc>
        <w:tc>
          <w:tcPr>
            <w:tcW w:w="4967" w:type="dxa"/>
            <w:hideMark/>
          </w:tcPr>
          <w:p w14:paraId="2E28C109"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Debe definirse la clase de exactitud en los medidores que el usuario podrá instalar para verificar el consumo de energía acorde con el código de medida vigente.</w:t>
            </w:r>
          </w:p>
        </w:tc>
        <w:tc>
          <w:tcPr>
            <w:tcW w:w="3969" w:type="dxa"/>
            <w:hideMark/>
          </w:tcPr>
          <w:p w14:paraId="6C824444"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5.</w:t>
            </w:r>
          </w:p>
        </w:tc>
      </w:tr>
      <w:tr w:rsidR="00064FAE" w:rsidRPr="008B4595" w14:paraId="79EDD65B" w14:textId="77777777" w:rsidTr="007E1375">
        <w:trPr>
          <w:trHeight w:val="576"/>
        </w:trPr>
        <w:tc>
          <w:tcPr>
            <w:tcW w:w="557" w:type="dxa"/>
            <w:hideMark/>
          </w:tcPr>
          <w:p w14:paraId="7EB8C421"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49</w:t>
            </w:r>
          </w:p>
        </w:tc>
        <w:tc>
          <w:tcPr>
            <w:tcW w:w="4967" w:type="dxa"/>
            <w:hideMark/>
          </w:tcPr>
          <w:p w14:paraId="3F2E0D68"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 xml:space="preserve">Definir en la Resolución las reglas para el cumplimiento de las condiciones técnicas por parte de los usuarios AGPE con FNCER, esto independiente de que se generen cobros por el transporte de </w:t>
            </w:r>
            <w:proofErr w:type="gramStart"/>
            <w:r w:rsidRPr="008D41DE">
              <w:rPr>
                <w:rFonts w:cs="Arial"/>
                <w:sz w:val="20"/>
                <w:szCs w:val="20"/>
                <w:lang w:eastAsia="es-CO"/>
              </w:rPr>
              <w:t>la misma</w:t>
            </w:r>
            <w:proofErr w:type="gramEnd"/>
            <w:r w:rsidRPr="008D41DE">
              <w:rPr>
                <w:rFonts w:cs="Arial"/>
                <w:sz w:val="20"/>
                <w:szCs w:val="20"/>
                <w:lang w:eastAsia="es-CO"/>
              </w:rPr>
              <w:t>.</w:t>
            </w:r>
          </w:p>
        </w:tc>
        <w:tc>
          <w:tcPr>
            <w:tcW w:w="3969" w:type="dxa"/>
            <w:hideMark/>
          </w:tcPr>
          <w:p w14:paraId="64C52373"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9.</w:t>
            </w:r>
          </w:p>
        </w:tc>
      </w:tr>
      <w:tr w:rsidR="00064FAE" w:rsidRPr="008B4595" w14:paraId="5618651D" w14:textId="77777777" w:rsidTr="007E1375">
        <w:trPr>
          <w:trHeight w:val="864"/>
        </w:trPr>
        <w:tc>
          <w:tcPr>
            <w:tcW w:w="557" w:type="dxa"/>
            <w:hideMark/>
          </w:tcPr>
          <w:p w14:paraId="34454A42"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50</w:t>
            </w:r>
          </w:p>
        </w:tc>
        <w:tc>
          <w:tcPr>
            <w:tcW w:w="4967" w:type="dxa"/>
            <w:hideMark/>
          </w:tcPr>
          <w:p w14:paraId="3AA8650C"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Propuesta: que la excepción aplique para la medición de reactiva capacitiva con la norma en firme de manera inmediata, reiniciando la variable en 1 " M=1".</w:t>
            </w:r>
          </w:p>
        </w:tc>
        <w:tc>
          <w:tcPr>
            <w:tcW w:w="3969" w:type="dxa"/>
            <w:hideMark/>
          </w:tcPr>
          <w:p w14:paraId="69394BA8"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12.</w:t>
            </w:r>
          </w:p>
        </w:tc>
      </w:tr>
      <w:tr w:rsidR="00064FAE" w:rsidRPr="008B4595" w14:paraId="7206F064" w14:textId="77777777" w:rsidTr="007E1375">
        <w:trPr>
          <w:trHeight w:val="576"/>
        </w:trPr>
        <w:tc>
          <w:tcPr>
            <w:tcW w:w="557" w:type="dxa"/>
            <w:hideMark/>
          </w:tcPr>
          <w:p w14:paraId="00EBF7C2"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51</w:t>
            </w:r>
          </w:p>
        </w:tc>
        <w:tc>
          <w:tcPr>
            <w:tcW w:w="4967" w:type="dxa"/>
            <w:hideMark/>
          </w:tcPr>
          <w:p w14:paraId="65587582"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Debe cambiar por la Resolución CREG 199 de 2019.</w:t>
            </w:r>
          </w:p>
        </w:tc>
        <w:tc>
          <w:tcPr>
            <w:tcW w:w="3969" w:type="dxa"/>
            <w:hideMark/>
          </w:tcPr>
          <w:p w14:paraId="0DA0EF3F" w14:textId="55151ED6" w:rsidR="00064FAE" w:rsidRPr="008D41DE" w:rsidRDefault="00F9525A" w:rsidP="008D41DE">
            <w:pPr>
              <w:spacing w:before="0" w:after="0"/>
              <w:jc w:val="left"/>
              <w:rPr>
                <w:rFonts w:cs="Arial"/>
                <w:sz w:val="20"/>
                <w:szCs w:val="20"/>
                <w:lang w:eastAsia="es-CO"/>
              </w:rPr>
            </w:pPr>
            <w:r>
              <w:rPr>
                <w:rFonts w:cs="Arial"/>
                <w:sz w:val="20"/>
                <w:szCs w:val="20"/>
                <w:lang w:eastAsia="es-CO"/>
              </w:rPr>
              <w:t xml:space="preserve">Se </w:t>
            </w:r>
            <w:r w:rsidR="00064FAE" w:rsidRPr="008D41DE">
              <w:rPr>
                <w:rFonts w:cs="Arial"/>
                <w:sz w:val="20"/>
                <w:szCs w:val="20"/>
                <w:lang w:eastAsia="es-CO"/>
              </w:rPr>
              <w:t>corr</w:t>
            </w:r>
            <w:r>
              <w:rPr>
                <w:rFonts w:cs="Arial"/>
                <w:sz w:val="20"/>
                <w:szCs w:val="20"/>
                <w:lang w:eastAsia="es-CO"/>
              </w:rPr>
              <w:t>ige</w:t>
            </w:r>
            <w:r w:rsidR="00064FAE" w:rsidRPr="008D41DE">
              <w:rPr>
                <w:rFonts w:cs="Arial"/>
                <w:sz w:val="20"/>
                <w:szCs w:val="20"/>
                <w:lang w:eastAsia="es-CO"/>
              </w:rPr>
              <w:t>.</w:t>
            </w:r>
          </w:p>
        </w:tc>
      </w:tr>
      <w:tr w:rsidR="00064FAE" w:rsidRPr="008B4595" w14:paraId="7FD34401" w14:textId="77777777" w:rsidTr="007E1375">
        <w:trPr>
          <w:trHeight w:val="392"/>
        </w:trPr>
        <w:tc>
          <w:tcPr>
            <w:tcW w:w="557" w:type="dxa"/>
            <w:hideMark/>
          </w:tcPr>
          <w:p w14:paraId="0F41287D"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lastRenderedPageBreak/>
              <w:t>52</w:t>
            </w:r>
          </w:p>
        </w:tc>
        <w:tc>
          <w:tcPr>
            <w:tcW w:w="4967" w:type="dxa"/>
            <w:hideMark/>
          </w:tcPr>
          <w:p w14:paraId="0C81756F"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Está pendiente la publicación del procedimiento para validación del control de tensión que fue propuesto en el proyecto de Resol CREG 701 027/22.</w:t>
            </w:r>
          </w:p>
        </w:tc>
        <w:tc>
          <w:tcPr>
            <w:tcW w:w="3969" w:type="dxa"/>
            <w:hideMark/>
          </w:tcPr>
          <w:p w14:paraId="5D82D932"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9.</w:t>
            </w:r>
          </w:p>
        </w:tc>
      </w:tr>
      <w:tr w:rsidR="00064FAE" w:rsidRPr="008B4595" w14:paraId="7685E768" w14:textId="77777777" w:rsidTr="007E1375">
        <w:trPr>
          <w:trHeight w:val="58"/>
        </w:trPr>
        <w:tc>
          <w:tcPr>
            <w:tcW w:w="557" w:type="dxa"/>
            <w:hideMark/>
          </w:tcPr>
          <w:p w14:paraId="66E4C954"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53</w:t>
            </w:r>
          </w:p>
        </w:tc>
        <w:tc>
          <w:tcPr>
            <w:tcW w:w="4967" w:type="dxa"/>
            <w:hideMark/>
          </w:tcPr>
          <w:p w14:paraId="68CFF2BD"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 xml:space="preserve">Proponemos ajustar el párrafo mencionado en el comentario, de la siguiente forma: </w:t>
            </w:r>
            <w:r w:rsidRPr="008D41DE">
              <w:rPr>
                <w:rFonts w:cs="Arial"/>
                <w:sz w:val="20"/>
                <w:szCs w:val="20"/>
                <w:lang w:eastAsia="es-CO"/>
              </w:rPr>
              <w:br/>
            </w:r>
            <w:r w:rsidRPr="008D41DE">
              <w:rPr>
                <w:rFonts w:cs="Arial"/>
                <w:sz w:val="20"/>
                <w:szCs w:val="20"/>
                <w:lang w:eastAsia="es-CO"/>
              </w:rPr>
              <w:br/>
              <w:t>"El límite del factor de potencia capacitivo se cumplirá cuando la relación entre la suma aritmética de la energía reactiva capacitiva durante un periodo mensual respecto de la cantidad de energía activa en el mismo periodo sea menor o igual al cuarenta y ocho por ciento (48%) para los usuarios conectados al nivel de tensión 1 y 2 o treinta y tres por ciento (33%) para usuarios conectados a nivel de tensión 3 y 4."</w:t>
            </w:r>
          </w:p>
        </w:tc>
        <w:tc>
          <w:tcPr>
            <w:tcW w:w="3969" w:type="dxa"/>
            <w:hideMark/>
          </w:tcPr>
          <w:p w14:paraId="0CA023B1" w14:textId="7FB5D413" w:rsidR="00064FAE" w:rsidRPr="008D41DE" w:rsidRDefault="00855D82" w:rsidP="008D41DE">
            <w:pPr>
              <w:spacing w:before="0" w:after="0"/>
              <w:jc w:val="left"/>
              <w:rPr>
                <w:rFonts w:cs="Arial"/>
                <w:sz w:val="20"/>
                <w:szCs w:val="20"/>
                <w:lang w:eastAsia="es-CO"/>
              </w:rPr>
            </w:pPr>
            <w:r>
              <w:rPr>
                <w:rFonts w:cs="Arial"/>
                <w:sz w:val="20"/>
                <w:szCs w:val="20"/>
                <w:lang w:eastAsia="es-CO"/>
              </w:rPr>
              <w:t xml:space="preserve">Se toma en cuenta la sugerencia propuesta y se ajusta la redacción </w:t>
            </w:r>
            <w:r w:rsidR="00C8232B">
              <w:rPr>
                <w:rFonts w:cs="Arial"/>
                <w:sz w:val="20"/>
                <w:szCs w:val="20"/>
                <w:lang w:eastAsia="es-CO"/>
              </w:rPr>
              <w:t>de la resolución</w:t>
            </w:r>
            <w:r w:rsidR="006D5F85">
              <w:rPr>
                <w:rFonts w:cs="Arial"/>
                <w:sz w:val="20"/>
                <w:szCs w:val="20"/>
                <w:lang w:eastAsia="es-CO"/>
              </w:rPr>
              <w:t xml:space="preserve"> para indicar los límites tanto con factor de potencia como </w:t>
            </w:r>
            <w:r w:rsidR="00793509">
              <w:rPr>
                <w:rFonts w:cs="Arial"/>
                <w:sz w:val="20"/>
                <w:szCs w:val="20"/>
                <w:lang w:eastAsia="es-CO"/>
              </w:rPr>
              <w:t>con la relación entre la energía activa y reactiva.</w:t>
            </w:r>
          </w:p>
        </w:tc>
      </w:tr>
      <w:tr w:rsidR="00064FAE" w:rsidRPr="008B4595" w14:paraId="4BCDA635" w14:textId="77777777" w:rsidTr="007E1375">
        <w:trPr>
          <w:trHeight w:val="576"/>
        </w:trPr>
        <w:tc>
          <w:tcPr>
            <w:tcW w:w="557" w:type="dxa"/>
            <w:hideMark/>
          </w:tcPr>
          <w:p w14:paraId="0A0B8422"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54</w:t>
            </w:r>
          </w:p>
        </w:tc>
        <w:tc>
          <w:tcPr>
            <w:tcW w:w="4967" w:type="dxa"/>
            <w:hideMark/>
          </w:tcPr>
          <w:p w14:paraId="76AB1E02"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Definir tiempos de respuesta por parte del OR.</w:t>
            </w:r>
          </w:p>
        </w:tc>
        <w:tc>
          <w:tcPr>
            <w:tcW w:w="3969" w:type="dxa"/>
            <w:hideMark/>
          </w:tcPr>
          <w:p w14:paraId="1DAB32EE"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11.</w:t>
            </w:r>
          </w:p>
        </w:tc>
      </w:tr>
      <w:tr w:rsidR="00064FAE" w:rsidRPr="008B4595" w14:paraId="10F8A466" w14:textId="77777777" w:rsidTr="007E1375">
        <w:trPr>
          <w:trHeight w:val="510"/>
        </w:trPr>
        <w:tc>
          <w:tcPr>
            <w:tcW w:w="557" w:type="dxa"/>
            <w:hideMark/>
          </w:tcPr>
          <w:p w14:paraId="2B6E1F9D"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55</w:t>
            </w:r>
          </w:p>
        </w:tc>
        <w:tc>
          <w:tcPr>
            <w:tcW w:w="4967" w:type="dxa"/>
            <w:hideMark/>
          </w:tcPr>
          <w:p w14:paraId="62A2F534" w14:textId="537515AA"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Definir claramente el cálculo de factor de potencia.</w:t>
            </w:r>
          </w:p>
        </w:tc>
        <w:tc>
          <w:tcPr>
            <w:tcW w:w="3969" w:type="dxa"/>
            <w:hideMark/>
          </w:tcPr>
          <w:p w14:paraId="20A5BAB6"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9.</w:t>
            </w:r>
          </w:p>
        </w:tc>
      </w:tr>
      <w:tr w:rsidR="00064FAE" w:rsidRPr="008B4595" w14:paraId="2F8152C2" w14:textId="77777777" w:rsidTr="007E1375">
        <w:trPr>
          <w:trHeight w:val="1152"/>
        </w:trPr>
        <w:tc>
          <w:tcPr>
            <w:tcW w:w="557" w:type="dxa"/>
            <w:hideMark/>
          </w:tcPr>
          <w:p w14:paraId="2DC78D16"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56</w:t>
            </w:r>
          </w:p>
        </w:tc>
        <w:tc>
          <w:tcPr>
            <w:tcW w:w="4967" w:type="dxa"/>
            <w:hideMark/>
          </w:tcPr>
          <w:p w14:paraId="4A0A68AF" w14:textId="4DCCEC0E"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 xml:space="preserve">Se debe proponer un ajuste considerando que actualmente es prácticamente imposible acceder al control de tensión en coordinación con el operador de red. En estos casos se debería garantizar por lo menos entre 5 a 10 </w:t>
            </w:r>
            <w:proofErr w:type="spellStart"/>
            <w:r w:rsidRPr="008D41DE">
              <w:rPr>
                <w:rFonts w:cs="Arial"/>
                <w:sz w:val="20"/>
                <w:szCs w:val="20"/>
                <w:lang w:eastAsia="es-CO"/>
              </w:rPr>
              <w:t>kVARh</w:t>
            </w:r>
            <w:proofErr w:type="spellEnd"/>
            <w:r w:rsidRPr="008D41DE">
              <w:rPr>
                <w:rFonts w:cs="Arial"/>
                <w:sz w:val="20"/>
                <w:szCs w:val="20"/>
                <w:lang w:eastAsia="es-CO"/>
              </w:rPr>
              <w:t xml:space="preserve"> o un porcentaje en función de la capacidad instalada (2% o 3%), cuando el consumo de energía activa sea nulo o casi nulo, esto es un valor que es poco representativo para la red.</w:t>
            </w:r>
          </w:p>
        </w:tc>
        <w:tc>
          <w:tcPr>
            <w:tcW w:w="3969" w:type="dxa"/>
            <w:hideMark/>
          </w:tcPr>
          <w:p w14:paraId="169B58BA" w14:textId="1E3722C9" w:rsidR="00CE698A" w:rsidRDefault="00CE698A" w:rsidP="008D41DE">
            <w:pPr>
              <w:spacing w:before="0" w:after="0"/>
              <w:jc w:val="left"/>
              <w:rPr>
                <w:rFonts w:cs="Arial"/>
                <w:sz w:val="20"/>
                <w:szCs w:val="20"/>
                <w:lang w:eastAsia="es-CO"/>
              </w:rPr>
            </w:pPr>
            <w:r>
              <w:rPr>
                <w:rFonts w:cs="Arial"/>
                <w:sz w:val="20"/>
                <w:szCs w:val="20"/>
                <w:lang w:eastAsia="es-CO"/>
              </w:rPr>
              <w:t>De considerar que un OR no cumple con la normatividad vigente, debe ponerse esta situación en conocimiento de la Superintendencia</w:t>
            </w:r>
            <w:r w:rsidR="008F0DEE">
              <w:rPr>
                <w:rFonts w:cs="Arial"/>
                <w:sz w:val="20"/>
                <w:szCs w:val="20"/>
                <w:lang w:eastAsia="es-CO"/>
              </w:rPr>
              <w:t xml:space="preserve"> </w:t>
            </w:r>
            <w:r>
              <w:rPr>
                <w:rFonts w:cs="Arial"/>
                <w:sz w:val="20"/>
                <w:szCs w:val="20"/>
                <w:lang w:eastAsia="es-CO"/>
              </w:rPr>
              <w:t xml:space="preserve">de </w:t>
            </w:r>
            <w:r w:rsidR="008F0DEE">
              <w:rPr>
                <w:rFonts w:cs="Arial"/>
                <w:sz w:val="20"/>
                <w:szCs w:val="20"/>
                <w:lang w:eastAsia="es-CO"/>
              </w:rPr>
              <w:t xml:space="preserve">Servicios </w:t>
            </w:r>
            <w:r>
              <w:rPr>
                <w:rFonts w:cs="Arial"/>
                <w:sz w:val="20"/>
                <w:szCs w:val="20"/>
                <w:lang w:eastAsia="es-CO"/>
              </w:rPr>
              <w:t>Públicos Domiciliarios para</w:t>
            </w:r>
            <w:r w:rsidR="008F0DEE">
              <w:rPr>
                <w:rFonts w:cs="Arial"/>
                <w:sz w:val="20"/>
                <w:szCs w:val="20"/>
                <w:lang w:eastAsia="es-CO"/>
              </w:rPr>
              <w:t xml:space="preserve"> </w:t>
            </w:r>
            <w:r>
              <w:rPr>
                <w:rFonts w:cs="Arial"/>
                <w:sz w:val="20"/>
                <w:szCs w:val="20"/>
                <w:lang w:eastAsia="es-CO"/>
              </w:rPr>
              <w:t>q</w:t>
            </w:r>
            <w:r w:rsidR="008F0DEE">
              <w:rPr>
                <w:rFonts w:cs="Arial"/>
                <w:sz w:val="20"/>
                <w:szCs w:val="20"/>
                <w:lang w:eastAsia="es-CO"/>
              </w:rPr>
              <w:t>u</w:t>
            </w:r>
            <w:r>
              <w:rPr>
                <w:rFonts w:cs="Arial"/>
                <w:sz w:val="20"/>
                <w:szCs w:val="20"/>
                <w:lang w:eastAsia="es-CO"/>
              </w:rPr>
              <w:t>e adelante las acciones que correspondan, pues si el usuario tiene un control de tensión adecuado, el OR debe coordinar su operación</w:t>
            </w:r>
            <w:r w:rsidR="008F0DEE">
              <w:rPr>
                <w:rFonts w:cs="Arial"/>
                <w:sz w:val="20"/>
                <w:szCs w:val="20"/>
                <w:lang w:eastAsia="es-CO"/>
              </w:rPr>
              <w:t>.</w:t>
            </w:r>
          </w:p>
          <w:p w14:paraId="15A267A4" w14:textId="77777777" w:rsidR="00CE698A" w:rsidRDefault="00CE698A" w:rsidP="008D41DE">
            <w:pPr>
              <w:spacing w:before="0" w:after="0"/>
              <w:jc w:val="left"/>
              <w:rPr>
                <w:rFonts w:cs="Arial"/>
                <w:sz w:val="20"/>
                <w:szCs w:val="20"/>
                <w:lang w:eastAsia="es-CO"/>
              </w:rPr>
            </w:pPr>
          </w:p>
          <w:p w14:paraId="0C5EE4EF" w14:textId="60A784E6"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9.</w:t>
            </w:r>
          </w:p>
        </w:tc>
      </w:tr>
      <w:tr w:rsidR="00064FAE" w:rsidRPr="008B4595" w14:paraId="78B9E936" w14:textId="77777777" w:rsidTr="007E1375">
        <w:trPr>
          <w:trHeight w:val="576"/>
        </w:trPr>
        <w:tc>
          <w:tcPr>
            <w:tcW w:w="557" w:type="dxa"/>
            <w:hideMark/>
          </w:tcPr>
          <w:p w14:paraId="0F509D38"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57</w:t>
            </w:r>
          </w:p>
        </w:tc>
        <w:tc>
          <w:tcPr>
            <w:tcW w:w="4967" w:type="dxa"/>
            <w:hideMark/>
          </w:tcPr>
          <w:p w14:paraId="4017EE1A" w14:textId="4988B1FF"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El sector residencial queda exonerado de cualquier cobro por transporte de energía reactiva.</w:t>
            </w:r>
          </w:p>
        </w:tc>
        <w:tc>
          <w:tcPr>
            <w:tcW w:w="3969" w:type="dxa"/>
            <w:hideMark/>
          </w:tcPr>
          <w:p w14:paraId="71161F41"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43.</w:t>
            </w:r>
          </w:p>
        </w:tc>
      </w:tr>
      <w:tr w:rsidR="00064FAE" w:rsidRPr="008B4595" w14:paraId="46B3EEFC" w14:textId="77777777" w:rsidTr="007E1375">
        <w:trPr>
          <w:trHeight w:val="864"/>
        </w:trPr>
        <w:tc>
          <w:tcPr>
            <w:tcW w:w="557" w:type="dxa"/>
            <w:hideMark/>
          </w:tcPr>
          <w:p w14:paraId="0F34AC57"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58</w:t>
            </w:r>
          </w:p>
        </w:tc>
        <w:tc>
          <w:tcPr>
            <w:tcW w:w="4967" w:type="dxa"/>
            <w:hideMark/>
          </w:tcPr>
          <w:p w14:paraId="6BD1B7AE"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Para determinar si el factor de potencia capacitivo o inductivo cumple los anteriores límites se calculará la relación entre la suma aritmética de la energía reactiva durante un periodo mensual respecto de la cantidad de energía activa en el mismo periodo.</w:t>
            </w:r>
          </w:p>
        </w:tc>
        <w:tc>
          <w:tcPr>
            <w:tcW w:w="3969" w:type="dxa"/>
            <w:hideMark/>
          </w:tcPr>
          <w:p w14:paraId="67807922"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15.</w:t>
            </w:r>
          </w:p>
        </w:tc>
      </w:tr>
      <w:tr w:rsidR="00064FAE" w:rsidRPr="008B4595" w14:paraId="5BD09187" w14:textId="77777777" w:rsidTr="007E1375">
        <w:trPr>
          <w:trHeight w:val="576"/>
        </w:trPr>
        <w:tc>
          <w:tcPr>
            <w:tcW w:w="557" w:type="dxa"/>
            <w:hideMark/>
          </w:tcPr>
          <w:p w14:paraId="7FE40705"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59</w:t>
            </w:r>
          </w:p>
        </w:tc>
        <w:tc>
          <w:tcPr>
            <w:tcW w:w="4967" w:type="dxa"/>
            <w:hideMark/>
          </w:tcPr>
          <w:p w14:paraId="74B29CB8"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Es crucial aclarar el alcance y el método de evaluación del Decreto 929 en lo que respecta a la exoneración del cobro de energía reactiva para autogeneradores a pequeña escala.</w:t>
            </w:r>
          </w:p>
        </w:tc>
        <w:tc>
          <w:tcPr>
            <w:tcW w:w="3969" w:type="dxa"/>
            <w:hideMark/>
          </w:tcPr>
          <w:p w14:paraId="033322F4"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9.</w:t>
            </w:r>
          </w:p>
        </w:tc>
      </w:tr>
      <w:tr w:rsidR="00064FAE" w:rsidRPr="008B4595" w14:paraId="1968A4BF" w14:textId="77777777" w:rsidTr="007E1375">
        <w:trPr>
          <w:trHeight w:val="428"/>
        </w:trPr>
        <w:tc>
          <w:tcPr>
            <w:tcW w:w="557" w:type="dxa"/>
            <w:hideMark/>
          </w:tcPr>
          <w:p w14:paraId="6B6BCC4C"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60</w:t>
            </w:r>
          </w:p>
        </w:tc>
        <w:tc>
          <w:tcPr>
            <w:tcW w:w="4967" w:type="dxa"/>
            <w:hideMark/>
          </w:tcPr>
          <w:p w14:paraId="30DF986B"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Reajustar lo planteado o definir cómo sería el proceso para las cargas de compensación en nivel de tensión I</w:t>
            </w:r>
            <w:r w:rsidRPr="008D41DE">
              <w:rPr>
                <w:rFonts w:cs="Arial"/>
                <w:sz w:val="20"/>
                <w:szCs w:val="20"/>
                <w:lang w:eastAsia="es-CO"/>
              </w:rPr>
              <w:br/>
              <w:t>Complementar los tiempos mínimos de respuesta por los operadores de red</w:t>
            </w:r>
          </w:p>
        </w:tc>
        <w:tc>
          <w:tcPr>
            <w:tcW w:w="3969" w:type="dxa"/>
            <w:hideMark/>
          </w:tcPr>
          <w:p w14:paraId="0CE71DA3"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11.</w:t>
            </w:r>
          </w:p>
        </w:tc>
      </w:tr>
      <w:tr w:rsidR="00064FAE" w:rsidRPr="008B4595" w14:paraId="5CCFCA0B" w14:textId="77777777" w:rsidTr="00FD6C5A">
        <w:trPr>
          <w:trHeight w:val="746"/>
        </w:trPr>
        <w:tc>
          <w:tcPr>
            <w:tcW w:w="557" w:type="dxa"/>
            <w:hideMark/>
          </w:tcPr>
          <w:p w14:paraId="5E850582"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61</w:t>
            </w:r>
          </w:p>
        </w:tc>
        <w:tc>
          <w:tcPr>
            <w:tcW w:w="4967" w:type="dxa"/>
            <w:hideMark/>
          </w:tcPr>
          <w:p w14:paraId="690126AC"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Incluir el nivel de tensión III en el 0.90 capacitivo</w:t>
            </w:r>
          </w:p>
        </w:tc>
        <w:tc>
          <w:tcPr>
            <w:tcW w:w="3969" w:type="dxa"/>
            <w:hideMark/>
          </w:tcPr>
          <w:p w14:paraId="6C3588D8"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14.</w:t>
            </w:r>
            <w:r w:rsidRPr="008D41DE">
              <w:rPr>
                <w:rFonts w:cs="Arial"/>
                <w:sz w:val="20"/>
                <w:szCs w:val="20"/>
                <w:lang w:eastAsia="es-CO"/>
              </w:rPr>
              <w:br/>
            </w:r>
            <w:r w:rsidRPr="008D41DE">
              <w:rPr>
                <w:rFonts w:cs="Arial"/>
                <w:sz w:val="20"/>
                <w:szCs w:val="20"/>
                <w:lang w:eastAsia="es-CO"/>
              </w:rPr>
              <w:br/>
              <w:t xml:space="preserve">Respecto de los usuarios AG, se aclara que ellos tienen una regulación independiente, donde si tienen control </w:t>
            </w:r>
            <w:r w:rsidRPr="008D41DE">
              <w:rPr>
                <w:rFonts w:cs="Arial"/>
                <w:sz w:val="20"/>
                <w:szCs w:val="20"/>
                <w:lang w:eastAsia="es-CO"/>
              </w:rPr>
              <w:lastRenderedPageBreak/>
              <w:t>automático de voltaje coordinado con el OR, están exentos del pago por transporte de energía reactiva.</w:t>
            </w:r>
          </w:p>
        </w:tc>
      </w:tr>
      <w:tr w:rsidR="00064FAE" w:rsidRPr="008B4595" w14:paraId="4E7EF507" w14:textId="77777777" w:rsidTr="007E1375">
        <w:trPr>
          <w:trHeight w:val="288"/>
        </w:trPr>
        <w:tc>
          <w:tcPr>
            <w:tcW w:w="557" w:type="dxa"/>
            <w:hideMark/>
          </w:tcPr>
          <w:p w14:paraId="2A86E057"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lastRenderedPageBreak/>
              <w:t>62</w:t>
            </w:r>
          </w:p>
        </w:tc>
        <w:tc>
          <w:tcPr>
            <w:tcW w:w="4967" w:type="dxa"/>
            <w:hideMark/>
          </w:tcPr>
          <w:p w14:paraId="5DA09615"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Definir muy claro cómo se haría el balance que indican en el borrador de resolución</w:t>
            </w:r>
          </w:p>
        </w:tc>
        <w:tc>
          <w:tcPr>
            <w:tcW w:w="3969" w:type="dxa"/>
            <w:hideMark/>
          </w:tcPr>
          <w:p w14:paraId="74AA90B9"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9.</w:t>
            </w:r>
          </w:p>
        </w:tc>
      </w:tr>
      <w:tr w:rsidR="00064FAE" w:rsidRPr="008B4595" w14:paraId="58C55BCF" w14:textId="77777777" w:rsidTr="007E1375">
        <w:trPr>
          <w:trHeight w:val="1440"/>
        </w:trPr>
        <w:tc>
          <w:tcPr>
            <w:tcW w:w="557" w:type="dxa"/>
            <w:hideMark/>
          </w:tcPr>
          <w:p w14:paraId="778AF611"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63</w:t>
            </w:r>
          </w:p>
        </w:tc>
        <w:tc>
          <w:tcPr>
            <w:tcW w:w="4967" w:type="dxa"/>
            <w:hideMark/>
          </w:tcPr>
          <w:p w14:paraId="38BEA58A" w14:textId="61820A6F"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 xml:space="preserve">Ampliar el margen de los datos de energía reactiva (capacitiva o inductiva) que registre la frontera por día (porcentaje) con el fin de que los datos pequeños no cuenten para los 10 días del mes que se tienen establecidos. Por ejemplo, 0,5 </w:t>
            </w:r>
            <w:proofErr w:type="spellStart"/>
            <w:r w:rsidRPr="008D41DE">
              <w:rPr>
                <w:rFonts w:cs="Arial"/>
                <w:sz w:val="20"/>
                <w:szCs w:val="20"/>
                <w:lang w:eastAsia="es-CO"/>
              </w:rPr>
              <w:t>kVAR</w:t>
            </w:r>
            <w:proofErr w:type="spellEnd"/>
            <w:r w:rsidRPr="008D41DE">
              <w:rPr>
                <w:rFonts w:cs="Arial"/>
                <w:sz w:val="20"/>
                <w:szCs w:val="20"/>
                <w:lang w:eastAsia="es-CO"/>
              </w:rPr>
              <w:t xml:space="preserve"> al día no son relevantes para afectar la red del OR, pero si aumenta para la cuenta de los 10 días de factor M y es casi que imposible devolver el factor M a uno así se pongan los dispositivos de control.</w:t>
            </w:r>
          </w:p>
        </w:tc>
        <w:tc>
          <w:tcPr>
            <w:tcW w:w="3969" w:type="dxa"/>
            <w:hideMark/>
          </w:tcPr>
          <w:p w14:paraId="04E17800"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Dado que la propuesta considera un cambio en la identificación del fenómeno de transporte de energía reactiva capacitiva en exceso sobre el límite, pasando a una evaluación mensual, se entiende que el comentario está dirigido únicamente para el caso de la energía reactiva inductiva, tema que no es parte de esta consulta.</w:t>
            </w:r>
          </w:p>
        </w:tc>
      </w:tr>
      <w:tr w:rsidR="00064FAE" w:rsidRPr="008B4595" w14:paraId="5D7166A1" w14:textId="77777777" w:rsidTr="007E1375">
        <w:trPr>
          <w:trHeight w:val="463"/>
        </w:trPr>
        <w:tc>
          <w:tcPr>
            <w:tcW w:w="557" w:type="dxa"/>
            <w:hideMark/>
          </w:tcPr>
          <w:p w14:paraId="265FFCCD"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64</w:t>
            </w:r>
          </w:p>
        </w:tc>
        <w:tc>
          <w:tcPr>
            <w:tcW w:w="4967" w:type="dxa"/>
            <w:hideMark/>
          </w:tcPr>
          <w:p w14:paraId="7189512F"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Si bien consideramos que las cargas residenciales no deberían tener cobros por energía reactiva (ni inductiva ni capacitiva), pues el problema debería abordarse vía exigencias técnicas a los electrodomésticos que se importan o producen en el país, una forma de mitigar el problema mientras se aborda la actualización en la metodología de distribución, es considerar para el caso del nivel de tensión 1 un factor de potencia mensual tanto en inductiva como en capacitiva de manera que se mitigue la condición.</w:t>
            </w:r>
          </w:p>
        </w:tc>
        <w:tc>
          <w:tcPr>
            <w:tcW w:w="3969" w:type="dxa"/>
            <w:hideMark/>
          </w:tcPr>
          <w:p w14:paraId="3BFC69BE"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43.</w:t>
            </w:r>
          </w:p>
        </w:tc>
      </w:tr>
      <w:tr w:rsidR="00064FAE" w:rsidRPr="008B4595" w14:paraId="3CC41C32" w14:textId="77777777" w:rsidTr="007E1375">
        <w:trPr>
          <w:trHeight w:val="2016"/>
        </w:trPr>
        <w:tc>
          <w:tcPr>
            <w:tcW w:w="557" w:type="dxa"/>
            <w:hideMark/>
          </w:tcPr>
          <w:p w14:paraId="627B08B3"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65</w:t>
            </w:r>
          </w:p>
        </w:tc>
        <w:tc>
          <w:tcPr>
            <w:tcW w:w="4967" w:type="dxa"/>
            <w:hideMark/>
          </w:tcPr>
          <w:p w14:paraId="7FA02C47"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En cualquier caso, consideramos que si bien la implementación de estándares o condiciones para la calidad de la potencia genera un impacto en el costo del transporte de energía reactiva por parte de los usuarios del SIN, la metodología de verificación de cálculo del factor de potencia debe estar alineada a la metodología del cobro por transporte de energía reactiva en el sentido de aplicarse en el mismo periodo de cálculo; en ese sentido, solicitamos a la Comisión que se armonice el cálculo del cobro por transporte de energía reactiva de manera que se permita la verificación de manera mensual tal como lo propone para la verificación del cumplimiento del factor de potencia.</w:t>
            </w:r>
          </w:p>
        </w:tc>
        <w:tc>
          <w:tcPr>
            <w:tcW w:w="3969" w:type="dxa"/>
            <w:hideMark/>
          </w:tcPr>
          <w:p w14:paraId="3ECF9641"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6.</w:t>
            </w:r>
          </w:p>
        </w:tc>
      </w:tr>
      <w:tr w:rsidR="00064FAE" w:rsidRPr="008B4595" w14:paraId="1B70870D" w14:textId="77777777" w:rsidTr="007E1375">
        <w:trPr>
          <w:trHeight w:val="676"/>
        </w:trPr>
        <w:tc>
          <w:tcPr>
            <w:tcW w:w="557" w:type="dxa"/>
            <w:hideMark/>
          </w:tcPr>
          <w:p w14:paraId="4A7A892C"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66</w:t>
            </w:r>
          </w:p>
        </w:tc>
        <w:tc>
          <w:tcPr>
            <w:tcW w:w="4967" w:type="dxa"/>
            <w:hideMark/>
          </w:tcPr>
          <w:p w14:paraId="7E34791C"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Considerando que, con el cambio en el estándar del factor de potencia capacitivo, la reactiva capacitiva sería determinada con un único valor en el mes (ya no horario), consideramos necesario revisar y ajustar la aplicación de la variable M por flujo reincidente de energía reactiva (M). Entendemos que, dado que la energía reactiva capacitiva deja de ser un parámetro horario, esta no debería considerarse para la aplicación de la variable M.</w:t>
            </w:r>
          </w:p>
        </w:tc>
        <w:tc>
          <w:tcPr>
            <w:tcW w:w="3969" w:type="dxa"/>
            <w:hideMark/>
          </w:tcPr>
          <w:p w14:paraId="3E17359C"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16.</w:t>
            </w:r>
          </w:p>
        </w:tc>
      </w:tr>
      <w:tr w:rsidR="00064FAE" w:rsidRPr="008B4595" w14:paraId="22C6809E" w14:textId="77777777" w:rsidTr="007E1375">
        <w:trPr>
          <w:trHeight w:val="2304"/>
        </w:trPr>
        <w:tc>
          <w:tcPr>
            <w:tcW w:w="557" w:type="dxa"/>
            <w:hideMark/>
          </w:tcPr>
          <w:p w14:paraId="46F9CE58"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lastRenderedPageBreak/>
              <w:t>67</w:t>
            </w:r>
          </w:p>
        </w:tc>
        <w:tc>
          <w:tcPr>
            <w:tcW w:w="4967" w:type="dxa"/>
            <w:hideMark/>
          </w:tcPr>
          <w:p w14:paraId="2CBF3C63"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Aclarar si:</w:t>
            </w:r>
            <w:r w:rsidRPr="008D41DE">
              <w:rPr>
                <w:rFonts w:cs="Arial"/>
                <w:sz w:val="20"/>
                <w:szCs w:val="20"/>
                <w:lang w:eastAsia="es-CO"/>
              </w:rPr>
              <w:br/>
              <w:t>i) Para la liquidación del cobro de energía reactiva inductiva, se toman los consumos horarios de energía activa y reactiva inductiva para determinar el factor de potencia inductivo, así como aplicar el cobro del exceso sobre el 50% de la activa horaria.</w:t>
            </w:r>
            <w:r w:rsidRPr="008D41DE">
              <w:rPr>
                <w:rFonts w:cs="Arial"/>
                <w:sz w:val="20"/>
                <w:szCs w:val="20"/>
                <w:lang w:eastAsia="es-CO"/>
              </w:rPr>
              <w:br/>
            </w:r>
            <w:proofErr w:type="spellStart"/>
            <w:r w:rsidRPr="008D41DE">
              <w:rPr>
                <w:rFonts w:cs="Arial"/>
                <w:sz w:val="20"/>
                <w:szCs w:val="20"/>
                <w:lang w:eastAsia="es-CO"/>
              </w:rPr>
              <w:t>ii</w:t>
            </w:r>
            <w:proofErr w:type="spellEnd"/>
            <w:r w:rsidRPr="008D41DE">
              <w:rPr>
                <w:rFonts w:cs="Arial"/>
                <w:sz w:val="20"/>
                <w:szCs w:val="20"/>
                <w:lang w:eastAsia="es-CO"/>
              </w:rPr>
              <w:t>) Para la liquidación del cobro de energía reactiva capacitiva, se toman los consumos mensuales de energía activa y reactiva capacitiva para determinar el factor de potencia capacitivo (es decir solo el cuadrante del medidor que registra la reactiva capacitiva), y en caso de que el factor de potencia sea inferior a 0.9, se aplica el cobro al exceso sobre el 50% (para el caso de NT1 y NT2) de la energía activa.</w:t>
            </w:r>
          </w:p>
        </w:tc>
        <w:tc>
          <w:tcPr>
            <w:tcW w:w="3969" w:type="dxa"/>
            <w:hideMark/>
          </w:tcPr>
          <w:p w14:paraId="3F7C689F"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2.</w:t>
            </w:r>
          </w:p>
        </w:tc>
      </w:tr>
      <w:tr w:rsidR="00064FAE" w:rsidRPr="008B4595" w14:paraId="68D857D2" w14:textId="77777777" w:rsidTr="007E1375">
        <w:trPr>
          <w:trHeight w:val="259"/>
        </w:trPr>
        <w:tc>
          <w:tcPr>
            <w:tcW w:w="557" w:type="dxa"/>
            <w:hideMark/>
          </w:tcPr>
          <w:p w14:paraId="3440F39B"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68</w:t>
            </w:r>
          </w:p>
        </w:tc>
        <w:tc>
          <w:tcPr>
            <w:tcW w:w="4967" w:type="dxa"/>
            <w:hideMark/>
          </w:tcPr>
          <w:p w14:paraId="1AADE56B"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Destacamos la importancia de que se indique de manera explícita en la Resolución definitiva que el ajuste en la referencia o margen admitido de factor de potencia debe ser la referencia para la aplicación del cobro de reactiva, ya que los cambios que se introducen con el proyecto de Resolución al no dejar ninguna referencia a la regla que tiene la Resolución CREG 015 de 2018 abren la posibilidad de distintas interpretaciones, lo cual impide que se desarrolle la actividad de comercialización de manera fluida.</w:t>
            </w:r>
          </w:p>
        </w:tc>
        <w:tc>
          <w:tcPr>
            <w:tcW w:w="3969" w:type="dxa"/>
            <w:hideMark/>
          </w:tcPr>
          <w:p w14:paraId="1C46F2AB"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6.</w:t>
            </w:r>
          </w:p>
        </w:tc>
      </w:tr>
      <w:tr w:rsidR="00064FAE" w:rsidRPr="008B4595" w14:paraId="6D96D0E7" w14:textId="77777777" w:rsidTr="007E1375">
        <w:trPr>
          <w:trHeight w:val="1440"/>
        </w:trPr>
        <w:tc>
          <w:tcPr>
            <w:tcW w:w="557" w:type="dxa"/>
            <w:hideMark/>
          </w:tcPr>
          <w:p w14:paraId="4EADFAFD"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69</w:t>
            </w:r>
          </w:p>
        </w:tc>
        <w:tc>
          <w:tcPr>
            <w:tcW w:w="4967" w:type="dxa"/>
            <w:hideMark/>
          </w:tcPr>
          <w:p w14:paraId="45F69E8E"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Dejar explícita la aplicación del factor M, ya que se genera la posibilidad de diferencias de criterio entre agentes, usuarios y demás participantes del mercado.</w:t>
            </w:r>
          </w:p>
        </w:tc>
        <w:tc>
          <w:tcPr>
            <w:tcW w:w="3969" w:type="dxa"/>
            <w:hideMark/>
          </w:tcPr>
          <w:p w14:paraId="212D9AC2"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16.</w:t>
            </w:r>
          </w:p>
        </w:tc>
      </w:tr>
      <w:tr w:rsidR="00064FAE" w:rsidRPr="008B4595" w14:paraId="2D24C9F2" w14:textId="77777777" w:rsidTr="007E1375">
        <w:trPr>
          <w:trHeight w:val="1728"/>
        </w:trPr>
        <w:tc>
          <w:tcPr>
            <w:tcW w:w="557" w:type="dxa"/>
            <w:hideMark/>
          </w:tcPr>
          <w:p w14:paraId="4DD9123F"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70</w:t>
            </w:r>
          </w:p>
        </w:tc>
        <w:tc>
          <w:tcPr>
            <w:tcW w:w="4967" w:type="dxa"/>
            <w:hideMark/>
          </w:tcPr>
          <w:p w14:paraId="1238A6C3" w14:textId="06E14349"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Se sugiere que</w:t>
            </w:r>
            <w:r w:rsidR="00E641A0" w:rsidRPr="008D41DE">
              <w:rPr>
                <w:rFonts w:cs="Arial"/>
                <w:sz w:val="20"/>
                <w:szCs w:val="20"/>
                <w:lang w:eastAsia="es-CO"/>
              </w:rPr>
              <w:t xml:space="preserve">, en </w:t>
            </w:r>
            <w:r w:rsidR="00631D94" w:rsidRPr="008D41DE">
              <w:rPr>
                <w:rFonts w:cs="Arial"/>
                <w:sz w:val="20"/>
                <w:szCs w:val="20"/>
                <w:lang w:eastAsia="es-CO"/>
              </w:rPr>
              <w:t>conjunto con</w:t>
            </w:r>
            <w:r w:rsidRPr="008D41DE">
              <w:rPr>
                <w:rFonts w:cs="Arial"/>
                <w:sz w:val="20"/>
                <w:szCs w:val="20"/>
                <w:lang w:eastAsia="es-CO"/>
              </w:rPr>
              <w:t xml:space="preserve"> el Ministerio de Minas y Energía, la CREG estudie la posibilidad de incluir un lineamiento sobre etiquetado de electrodomésticos, complementando el esquema de etiquetado vigente con medidas adicionales que lleven a que se brinde información a los usuarios sobre los aparatos que más ingresen energía reactiva a la red. Así mismo, </w:t>
            </w:r>
            <w:proofErr w:type="gramStart"/>
            <w:r w:rsidRPr="008D41DE">
              <w:rPr>
                <w:rFonts w:cs="Arial"/>
                <w:sz w:val="20"/>
                <w:szCs w:val="20"/>
                <w:lang w:eastAsia="es-CO"/>
              </w:rPr>
              <w:t>sugerirle</w:t>
            </w:r>
            <w:proofErr w:type="gramEnd"/>
            <w:r w:rsidRPr="008D41DE">
              <w:rPr>
                <w:rFonts w:cs="Arial"/>
                <w:sz w:val="20"/>
                <w:szCs w:val="20"/>
                <w:lang w:eastAsia="es-CO"/>
              </w:rPr>
              <w:t xml:space="preserve"> que en alianza con el ONAC se reglamente la acreditación de electrodomésticos y equipos eléctricos, en general los factores de potencia admisibles.</w:t>
            </w:r>
          </w:p>
        </w:tc>
        <w:tc>
          <w:tcPr>
            <w:tcW w:w="3969" w:type="dxa"/>
            <w:hideMark/>
          </w:tcPr>
          <w:p w14:paraId="226238AB"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10.</w:t>
            </w:r>
          </w:p>
        </w:tc>
      </w:tr>
      <w:tr w:rsidR="00064FAE" w:rsidRPr="008B4595" w14:paraId="77A5DA89" w14:textId="77777777" w:rsidTr="007E1375">
        <w:trPr>
          <w:trHeight w:val="520"/>
        </w:trPr>
        <w:tc>
          <w:tcPr>
            <w:tcW w:w="557" w:type="dxa"/>
            <w:hideMark/>
          </w:tcPr>
          <w:p w14:paraId="776409E0"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71</w:t>
            </w:r>
          </w:p>
        </w:tc>
        <w:tc>
          <w:tcPr>
            <w:tcW w:w="4967" w:type="dxa"/>
            <w:hideMark/>
          </w:tcPr>
          <w:p w14:paraId="30C9FFDC"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Sugerimos ajustar el literal c del capítulo 12 de la Resolución CREG 015 de 2018, de tal forma que se incluyan lineamientos para eliminar el cobro del transporte de energía reactiva capacitiva para aquellos usuarios cuyo factor de potencia capacitivo se encuentre por debajo de los límites que se establezcan en el proyecto de resolución.</w:t>
            </w:r>
            <w:r w:rsidRPr="008D41DE">
              <w:rPr>
                <w:rFonts w:cs="Arial"/>
                <w:sz w:val="20"/>
                <w:szCs w:val="20"/>
                <w:lang w:eastAsia="es-CO"/>
              </w:rPr>
              <w:br/>
              <w:t xml:space="preserve">Entendemos que de no realizarse el ajuste sugerido en la Resolución CREG 015 de 2018, lo propuesto en la resolución en consulta no tendría efecto sobre </w:t>
            </w:r>
            <w:r w:rsidRPr="008D41DE">
              <w:rPr>
                <w:rFonts w:cs="Arial"/>
                <w:sz w:val="20"/>
                <w:szCs w:val="20"/>
                <w:lang w:eastAsia="es-CO"/>
              </w:rPr>
              <w:lastRenderedPageBreak/>
              <w:t>el cobro del transporte de energía reactiva capacitiva que se produzca dentro de los límites de tolerancia propuestos.</w:t>
            </w:r>
          </w:p>
        </w:tc>
        <w:tc>
          <w:tcPr>
            <w:tcW w:w="3969" w:type="dxa"/>
            <w:hideMark/>
          </w:tcPr>
          <w:p w14:paraId="50696DCB"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lastRenderedPageBreak/>
              <w:t>Ver respuesta a la pregunta 6.</w:t>
            </w:r>
          </w:p>
        </w:tc>
      </w:tr>
      <w:tr w:rsidR="00064FAE" w:rsidRPr="008B4595" w14:paraId="0BC8D0AB" w14:textId="77777777" w:rsidTr="007E1375">
        <w:trPr>
          <w:trHeight w:val="2304"/>
        </w:trPr>
        <w:tc>
          <w:tcPr>
            <w:tcW w:w="557" w:type="dxa"/>
            <w:hideMark/>
          </w:tcPr>
          <w:p w14:paraId="30BDB926"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72</w:t>
            </w:r>
          </w:p>
        </w:tc>
        <w:tc>
          <w:tcPr>
            <w:tcW w:w="4967" w:type="dxa"/>
            <w:hideMark/>
          </w:tcPr>
          <w:p w14:paraId="0DD8D995"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Sugerimos establecer de forma explícita que los factores de potencia propuestos en la resolución en consulta cobijan a los autogeneradores y cogeneradores, como usuarios del sistema.</w:t>
            </w:r>
            <w:r w:rsidRPr="008D41DE">
              <w:rPr>
                <w:rFonts w:cs="Arial"/>
                <w:sz w:val="20"/>
                <w:szCs w:val="20"/>
                <w:lang w:eastAsia="es-CO"/>
              </w:rPr>
              <w:br/>
              <w:t>Como complemento de los anterior, sugerimos establecer que los autogeneradores y cogeneradores que inyecten energía reactiva capacitiva en exceso de los niveles admitidos por la regulación, según la propuesta regulatoria, pueden hacerlo a través de un AVR sin que esto implique el cobro de su transporte, siempre y cuando esto no vaya en detrimento de la calidad y la confiabilidad de los sistemas a los cuales están conectados, o en caso de que esta actividad aporte al control de tensión.</w:t>
            </w:r>
          </w:p>
        </w:tc>
        <w:tc>
          <w:tcPr>
            <w:tcW w:w="3969" w:type="dxa"/>
            <w:hideMark/>
          </w:tcPr>
          <w:p w14:paraId="531FF362"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9.</w:t>
            </w:r>
          </w:p>
        </w:tc>
      </w:tr>
      <w:tr w:rsidR="00064FAE" w:rsidRPr="008B4595" w14:paraId="7658B256" w14:textId="77777777" w:rsidTr="007E1375">
        <w:trPr>
          <w:trHeight w:val="1654"/>
        </w:trPr>
        <w:tc>
          <w:tcPr>
            <w:tcW w:w="557" w:type="dxa"/>
            <w:hideMark/>
          </w:tcPr>
          <w:p w14:paraId="31F9F056"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73</w:t>
            </w:r>
          </w:p>
        </w:tc>
        <w:tc>
          <w:tcPr>
            <w:tcW w:w="4967" w:type="dxa"/>
            <w:hideMark/>
          </w:tcPr>
          <w:p w14:paraId="16F9866B"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Sugerimos reiniciar la aplicación del factor M en un valor de 1.</w:t>
            </w:r>
            <w:r w:rsidRPr="008D41DE">
              <w:rPr>
                <w:rFonts w:cs="Arial"/>
                <w:sz w:val="20"/>
                <w:szCs w:val="20"/>
                <w:lang w:eastAsia="es-CO"/>
              </w:rPr>
              <w:br/>
              <w:t>Si bien entendemos la necesidad de reducir el transporte de energía reactiva capacitiva en algunos puntos del sistema, consideramos que la metodología vigente, más allá de incentivar una reducción en el transporte de este tipo de energía, ha implicado una afectación económica a los usuarios del sistema para los cuales no es posible desligar sus procesos de la producción o demanda de energía reactiva.</w:t>
            </w:r>
            <w:r w:rsidRPr="008D41DE">
              <w:rPr>
                <w:rFonts w:cs="Arial"/>
                <w:sz w:val="20"/>
                <w:szCs w:val="20"/>
                <w:lang w:eastAsia="es-CO"/>
              </w:rPr>
              <w:br/>
              <w:t>Finalmente, llamamos la atención sobre el uso de los recursos pagados por los usuarios por concepto del transporte de energía reactiva en exceso. Estos recursos han sido recaudados sin que esto signifique una obligación de inversión directa en infraestructura que aporte a mejorar la confiabilidad en los puntos en los que no es posible para un usuario reducir la inyección o absorción de energía reactiva.</w:t>
            </w:r>
          </w:p>
        </w:tc>
        <w:tc>
          <w:tcPr>
            <w:tcW w:w="3969" w:type="dxa"/>
            <w:hideMark/>
          </w:tcPr>
          <w:p w14:paraId="7DA6780E"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3.</w:t>
            </w:r>
          </w:p>
        </w:tc>
      </w:tr>
      <w:tr w:rsidR="00064FAE" w:rsidRPr="008B4595" w14:paraId="597B3EC6" w14:textId="77777777" w:rsidTr="007E1375">
        <w:trPr>
          <w:trHeight w:val="1243"/>
        </w:trPr>
        <w:tc>
          <w:tcPr>
            <w:tcW w:w="557" w:type="dxa"/>
            <w:hideMark/>
          </w:tcPr>
          <w:p w14:paraId="43BE73D2"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74</w:t>
            </w:r>
          </w:p>
        </w:tc>
        <w:tc>
          <w:tcPr>
            <w:tcW w:w="4967" w:type="dxa"/>
            <w:hideMark/>
          </w:tcPr>
          <w:p w14:paraId="24DE2EA6"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Con el objetivo de hacer más claras las implicaciones que tendrá la conexión de bancos de condensadores y reactores por parte de los usuarios, de manera atenta sugerimos hacer explicito que la conexión de los equipos de compensación no implica la realización de un estudio de conexión adicional, ni actualización del ya adelantado por el usuario al momento de solicitar capacidad de transporte al sistema, y en este sentido el operador de red no podrá hacer cobros adicionales al usuario por realizar dicho análisis.</w:t>
            </w:r>
          </w:p>
        </w:tc>
        <w:tc>
          <w:tcPr>
            <w:tcW w:w="3969" w:type="dxa"/>
            <w:hideMark/>
          </w:tcPr>
          <w:p w14:paraId="7AB0535E"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1.</w:t>
            </w:r>
          </w:p>
        </w:tc>
      </w:tr>
      <w:tr w:rsidR="00064FAE" w:rsidRPr="008B4595" w14:paraId="2F867F49" w14:textId="77777777" w:rsidTr="007E1375">
        <w:trPr>
          <w:trHeight w:val="1152"/>
        </w:trPr>
        <w:tc>
          <w:tcPr>
            <w:tcW w:w="557" w:type="dxa"/>
            <w:hideMark/>
          </w:tcPr>
          <w:p w14:paraId="6824150F"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75</w:t>
            </w:r>
          </w:p>
        </w:tc>
        <w:tc>
          <w:tcPr>
            <w:tcW w:w="4967" w:type="dxa"/>
            <w:hideMark/>
          </w:tcPr>
          <w:p w14:paraId="41E885FE"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 xml:space="preserve">La resolución CREG 015 de 2018 establece el cobro de energía reactiva por el transporte de esta más no como una penalización. Conforme a esto y a lo establecido en el artículo 90 de la Ley 142 de 1994 se observa que el factor M no está dentro de los </w:t>
            </w:r>
            <w:r w:rsidRPr="008D41DE">
              <w:rPr>
                <w:rFonts w:cs="Arial"/>
                <w:sz w:val="20"/>
                <w:szCs w:val="20"/>
                <w:lang w:eastAsia="es-CO"/>
              </w:rPr>
              <w:lastRenderedPageBreak/>
              <w:t>costos que tiene un Operador de red, sino se considera un factor de penalización. Por tanto, se sugiere reconsiderar la forma en que se está cobrando el transporte de la energía reactiva.</w:t>
            </w:r>
          </w:p>
        </w:tc>
        <w:tc>
          <w:tcPr>
            <w:tcW w:w="3969" w:type="dxa"/>
            <w:hideMark/>
          </w:tcPr>
          <w:p w14:paraId="10693798"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lastRenderedPageBreak/>
              <w:t>Ver respuesta a la pregunta 17.</w:t>
            </w:r>
            <w:r w:rsidRPr="008D41DE">
              <w:rPr>
                <w:rFonts w:cs="Arial"/>
                <w:sz w:val="20"/>
                <w:szCs w:val="20"/>
                <w:lang w:eastAsia="es-CO"/>
              </w:rPr>
              <w:br/>
              <w:t xml:space="preserve">Vale la pena aclarar que el mecanismo de cobro para el transporte de energía reactiva en exceso no es una penalización, sino un esquema de </w:t>
            </w:r>
            <w:r w:rsidRPr="008D41DE">
              <w:rPr>
                <w:rFonts w:cs="Arial"/>
                <w:sz w:val="20"/>
                <w:szCs w:val="20"/>
                <w:lang w:eastAsia="es-CO"/>
              </w:rPr>
              <w:lastRenderedPageBreak/>
              <w:t>incentivos que busca reducir este transporte cuando exceda los límites previstos en la regulación.</w:t>
            </w:r>
          </w:p>
        </w:tc>
      </w:tr>
      <w:tr w:rsidR="00064FAE" w:rsidRPr="008B4595" w14:paraId="7F6316D1" w14:textId="77777777" w:rsidTr="007E1375">
        <w:trPr>
          <w:trHeight w:val="2592"/>
        </w:trPr>
        <w:tc>
          <w:tcPr>
            <w:tcW w:w="557" w:type="dxa"/>
            <w:hideMark/>
          </w:tcPr>
          <w:p w14:paraId="55CDEEC8"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lastRenderedPageBreak/>
              <w:t>76</w:t>
            </w:r>
          </w:p>
        </w:tc>
        <w:tc>
          <w:tcPr>
            <w:tcW w:w="4967" w:type="dxa"/>
            <w:hideMark/>
          </w:tcPr>
          <w:p w14:paraId="4F9EB208"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Teniendo en cuenta que la facturación de energía reactiva es horaria, se propone que los OR unifiquen su proceso de crítica y redondeo para que se efectué de forma horaria. En el caso anterior el redondeo horario llevaría a CERO el valor penalizado en todos los casos.</w:t>
            </w:r>
            <w:r w:rsidRPr="008D41DE">
              <w:rPr>
                <w:rFonts w:cs="Arial"/>
                <w:sz w:val="20"/>
                <w:szCs w:val="20"/>
                <w:lang w:eastAsia="es-CO"/>
              </w:rPr>
              <w:br/>
              <w:t>Según el proyecto CREG 701 017 de 2023, se entiende que la energía reactiva Capacitiva será liquidada como la sumatoria horaria del mes; Los cual, se considera técnicamente incorrecto, ya que el valor debería de validarse de forma diaria horaria, es decir que la energía reactiva capacitiva no puede exceder el 25% de la energía activa para un mismo periodo horario. Tal y como se realiza para la Energía reactiva inductiva, conforme a la resolución CREG 015 de 2018.</w:t>
            </w:r>
          </w:p>
        </w:tc>
        <w:tc>
          <w:tcPr>
            <w:tcW w:w="3969" w:type="dxa"/>
            <w:hideMark/>
          </w:tcPr>
          <w:p w14:paraId="1620B241"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3.</w:t>
            </w:r>
          </w:p>
        </w:tc>
      </w:tr>
      <w:tr w:rsidR="00064FAE" w:rsidRPr="008B4595" w14:paraId="392A57E9" w14:textId="77777777" w:rsidTr="007E1375">
        <w:trPr>
          <w:trHeight w:val="2304"/>
        </w:trPr>
        <w:tc>
          <w:tcPr>
            <w:tcW w:w="557" w:type="dxa"/>
            <w:hideMark/>
          </w:tcPr>
          <w:p w14:paraId="176F3A67"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77</w:t>
            </w:r>
          </w:p>
        </w:tc>
        <w:tc>
          <w:tcPr>
            <w:tcW w:w="4967" w:type="dxa"/>
            <w:hideMark/>
          </w:tcPr>
          <w:p w14:paraId="6C40BF5C"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De lo anterior surgen inquietudes en cuanto a la armonización de la aplicación y evaluación mensual del factor de potencia Capacitivo propuesto vs, la valoración del factor de potencia inductivo según la resolución CREG 015 de 2018 el cual tienen una evaluación por periodos horarios y así mismo, la condición para la aplicación de la variable M se da cuando el exceso sobre el límite de energía reactiva se presente en más de diez (10) días en un mes. Según lo anterior, y de manera preliminar, la intervención de la Comisión respecto a " ...revisar entre otros el cobro asimétrico de energía reactiva capacitiva e inductiva y las penalizaciones por flujo reincidente de energía reactiva", estaría pendiente o insuficiente.</w:t>
            </w:r>
          </w:p>
        </w:tc>
        <w:tc>
          <w:tcPr>
            <w:tcW w:w="3969" w:type="dxa"/>
            <w:hideMark/>
          </w:tcPr>
          <w:p w14:paraId="0AFA2356"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6.</w:t>
            </w:r>
          </w:p>
        </w:tc>
      </w:tr>
      <w:tr w:rsidR="00064FAE" w:rsidRPr="008B4595" w14:paraId="03BB1418" w14:textId="77777777" w:rsidTr="007E1375">
        <w:trPr>
          <w:trHeight w:val="288"/>
        </w:trPr>
        <w:tc>
          <w:tcPr>
            <w:tcW w:w="557" w:type="dxa"/>
            <w:hideMark/>
          </w:tcPr>
          <w:p w14:paraId="287B4BEE"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78</w:t>
            </w:r>
          </w:p>
        </w:tc>
        <w:tc>
          <w:tcPr>
            <w:tcW w:w="4967" w:type="dxa"/>
            <w:hideMark/>
          </w:tcPr>
          <w:p w14:paraId="6FEB1BC4" w14:textId="4864D379"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La aplicación de la variable M es catalogada como un "incentivo" cuando realmente es un costo adicional a las tarifas cobrado a los usuarios.</w:t>
            </w:r>
          </w:p>
          <w:p w14:paraId="2995341A"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Los análisis numéricos que realiza la CREG en el numeral 7.1.2 en el documento soporte ubicaron a las empresas comercializadoras entrantes que atienden usuarios del mercado regulado de forma desigual y desventajosa respecto a los comercializadores incumbentes. Así mismo, los usuarios de estos entrantes se ven afectados de manera directa (100% de usuarios con fronteras comerciales).</w:t>
            </w:r>
          </w:p>
        </w:tc>
        <w:tc>
          <w:tcPr>
            <w:tcW w:w="3969" w:type="dxa"/>
            <w:hideMark/>
          </w:tcPr>
          <w:p w14:paraId="5BFC93B3"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18.</w:t>
            </w:r>
          </w:p>
        </w:tc>
      </w:tr>
      <w:tr w:rsidR="00064FAE" w:rsidRPr="008B4595" w14:paraId="6C3B2A3F" w14:textId="77777777" w:rsidTr="007E1375">
        <w:trPr>
          <w:trHeight w:val="1440"/>
        </w:trPr>
        <w:tc>
          <w:tcPr>
            <w:tcW w:w="557" w:type="dxa"/>
            <w:hideMark/>
          </w:tcPr>
          <w:p w14:paraId="3AFE9CEF"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lastRenderedPageBreak/>
              <w:t>79</w:t>
            </w:r>
          </w:p>
        </w:tc>
        <w:tc>
          <w:tcPr>
            <w:tcW w:w="4967" w:type="dxa"/>
            <w:hideMark/>
          </w:tcPr>
          <w:p w14:paraId="6238FF8B"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Se sugiere revisar de manera integral los impactos que está generando esta medida, modificar de lo establecido en el capítulo 12 de la Resolución CREG 015 de 2018 sin esperar a una modificación de toda la metodología de remuneración de la actividad de distribución y ajustar el valor de la variable M en 1 mientras que la CREG adelante los ajustes pertinentes a la forma de cobrar los excesos de energía reactiva.</w:t>
            </w:r>
          </w:p>
        </w:tc>
        <w:tc>
          <w:tcPr>
            <w:tcW w:w="3969" w:type="dxa"/>
            <w:hideMark/>
          </w:tcPr>
          <w:p w14:paraId="3FB05F0C"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Respecto al numeral 1) de las propuestas, el impacto de la medida reposa en el Documento soporte.</w:t>
            </w:r>
            <w:r w:rsidRPr="008D41DE">
              <w:rPr>
                <w:rFonts w:cs="Arial"/>
                <w:sz w:val="20"/>
                <w:szCs w:val="20"/>
                <w:lang w:eastAsia="es-CO"/>
              </w:rPr>
              <w:br/>
              <w:t>De los numerales 2) y 3), ver respuesta a la pregunta 19.</w:t>
            </w:r>
            <w:r w:rsidRPr="008D41DE">
              <w:rPr>
                <w:rFonts w:cs="Arial"/>
                <w:sz w:val="20"/>
                <w:szCs w:val="20"/>
                <w:lang w:eastAsia="es-CO"/>
              </w:rPr>
              <w:br/>
              <w:t>Finalmente, si la empresa cuenta con información y evidencias que permitan soportar los "lesiones injustas a los usuarios", agradecemos hacer llegar esta información a la Comisión para su revisión.</w:t>
            </w:r>
          </w:p>
        </w:tc>
      </w:tr>
      <w:tr w:rsidR="00064FAE" w:rsidRPr="008B4595" w14:paraId="6BA435E8" w14:textId="77777777" w:rsidTr="007E1375">
        <w:trPr>
          <w:trHeight w:val="1087"/>
        </w:trPr>
        <w:tc>
          <w:tcPr>
            <w:tcW w:w="557" w:type="dxa"/>
            <w:hideMark/>
          </w:tcPr>
          <w:p w14:paraId="34D09964"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80</w:t>
            </w:r>
          </w:p>
        </w:tc>
        <w:tc>
          <w:tcPr>
            <w:tcW w:w="4967" w:type="dxa"/>
            <w:hideMark/>
          </w:tcPr>
          <w:p w14:paraId="32BA4470"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El proyecto de resolución hace referencia a que la obligación sólo existe para aquellos usuarios que efectivamente realicen la medición del consumo de energía reactiva o que tengan cambios en su medidor que ocasione la medición de la energía reactiva. En la práctica, algunos usuarios de los distribuidores-comercializadores les aplica esta obligación mientras que la totalidad de los usuarios de los comercializadores entrantes les aplica tal disposición esta situación.</w:t>
            </w:r>
            <w:r w:rsidRPr="008D41DE">
              <w:rPr>
                <w:rFonts w:cs="Arial"/>
                <w:sz w:val="20"/>
                <w:szCs w:val="20"/>
                <w:lang w:eastAsia="es-CO"/>
              </w:rPr>
              <w:br/>
              <w:t>Por consiguiente, la CREG debe responder de manera afirmativa las preguntas del cuestionario de la SIC (Resolución 44649 de 2010): 1, c), f) i), 2, c), d) y e)</w:t>
            </w:r>
            <w:r w:rsidRPr="008D41DE">
              <w:rPr>
                <w:rFonts w:cs="Arial"/>
                <w:sz w:val="20"/>
                <w:szCs w:val="20"/>
                <w:lang w:eastAsia="es-CO"/>
              </w:rPr>
              <w:br/>
            </w:r>
            <w:r w:rsidRPr="00CE5F15">
              <w:rPr>
                <w:rFonts w:cs="Arial"/>
                <w:sz w:val="20"/>
                <w:szCs w:val="20"/>
                <w:lang w:eastAsia="es-CO"/>
              </w:rPr>
              <w:t>En consecuencia, aunque la CREG optase por diligenciar todo el cuestionario de manera negativa, lo cual viciaría de nulidad el acto administrativo definitivo por expedición irregular en los términos del artículo 137 del Código de Procedimiento Administrativo y de lo Contencioso Administrativo", aun así tendría que agotar el trámite de abogacía de la competencia por su impacto negativo en la libre elección del usuario.</w:t>
            </w:r>
          </w:p>
        </w:tc>
        <w:tc>
          <w:tcPr>
            <w:tcW w:w="3969" w:type="dxa"/>
            <w:hideMark/>
          </w:tcPr>
          <w:p w14:paraId="468B6723" w14:textId="77777777" w:rsidR="00064FA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20.</w:t>
            </w:r>
          </w:p>
          <w:p w14:paraId="474535F3" w14:textId="77777777" w:rsidR="00FC6F0C" w:rsidRDefault="00FC6F0C" w:rsidP="008D41DE">
            <w:pPr>
              <w:spacing w:before="0" w:after="0"/>
              <w:jc w:val="left"/>
              <w:rPr>
                <w:rFonts w:cs="Arial"/>
                <w:sz w:val="20"/>
                <w:szCs w:val="20"/>
                <w:lang w:eastAsia="es-CO"/>
              </w:rPr>
            </w:pPr>
          </w:p>
          <w:p w14:paraId="2EE03D80" w14:textId="5AF9E468" w:rsidR="00CE5F15" w:rsidRPr="008D41DE" w:rsidRDefault="00CE5F15" w:rsidP="008D41DE">
            <w:pPr>
              <w:spacing w:before="0" w:after="0"/>
              <w:jc w:val="left"/>
              <w:rPr>
                <w:rFonts w:cs="Arial"/>
                <w:sz w:val="20"/>
                <w:szCs w:val="20"/>
                <w:lang w:eastAsia="es-CO"/>
              </w:rPr>
            </w:pPr>
            <w:r>
              <w:rPr>
                <w:rFonts w:cs="Arial"/>
                <w:sz w:val="20"/>
                <w:szCs w:val="20"/>
                <w:lang w:eastAsia="es-CO"/>
              </w:rPr>
              <w:t>El cuestionario de la SIC está desarrollado con base en los análisis realizados y con la rigurosidad que requiere, de tal forma que su resultado es el reflejo de la regulación expedida</w:t>
            </w:r>
            <w:r w:rsidR="007B0C00">
              <w:rPr>
                <w:rFonts w:cs="Arial"/>
                <w:sz w:val="20"/>
                <w:szCs w:val="20"/>
                <w:lang w:eastAsia="es-CO"/>
              </w:rPr>
              <w:t xml:space="preserve"> y su desarrollo se encuentra disponible para su consulta en este documento.</w:t>
            </w:r>
          </w:p>
        </w:tc>
      </w:tr>
      <w:tr w:rsidR="00064FAE" w:rsidRPr="008B4595" w14:paraId="7C65C80A" w14:textId="77777777" w:rsidTr="007E1375">
        <w:trPr>
          <w:trHeight w:val="2016"/>
        </w:trPr>
        <w:tc>
          <w:tcPr>
            <w:tcW w:w="557" w:type="dxa"/>
            <w:hideMark/>
          </w:tcPr>
          <w:p w14:paraId="15B50064"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81</w:t>
            </w:r>
          </w:p>
        </w:tc>
        <w:tc>
          <w:tcPr>
            <w:tcW w:w="4967" w:type="dxa"/>
            <w:hideMark/>
          </w:tcPr>
          <w:p w14:paraId="3ED5268A"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(i) que todo distribuidor - comercializador esté obligado exactamente en las mismas condiciones de los comercializadores entrantes, a cambiar el medidor de sus usuarios para activar los deberes medición, cobro o gestión de energía reactiva, e información al usuario; o</w:t>
            </w:r>
            <w:r w:rsidRPr="008D41DE">
              <w:rPr>
                <w:rFonts w:cs="Arial"/>
                <w:sz w:val="20"/>
                <w:szCs w:val="20"/>
                <w:lang w:eastAsia="es-CO"/>
              </w:rPr>
              <w:br/>
            </w:r>
            <w:r w:rsidRPr="008D41DE">
              <w:rPr>
                <w:rFonts w:cs="Arial"/>
                <w:sz w:val="20"/>
                <w:szCs w:val="20"/>
                <w:lang w:eastAsia="es-CO"/>
              </w:rPr>
              <w:br/>
              <w:t>(</w:t>
            </w:r>
            <w:proofErr w:type="spellStart"/>
            <w:r w:rsidRPr="008D41DE">
              <w:rPr>
                <w:rFonts w:cs="Arial"/>
                <w:sz w:val="20"/>
                <w:szCs w:val="20"/>
                <w:lang w:eastAsia="es-CO"/>
              </w:rPr>
              <w:t>ii</w:t>
            </w:r>
            <w:proofErr w:type="spellEnd"/>
            <w:r w:rsidRPr="008D41DE">
              <w:rPr>
                <w:rFonts w:cs="Arial"/>
                <w:sz w:val="20"/>
                <w:szCs w:val="20"/>
                <w:lang w:eastAsia="es-CO"/>
              </w:rPr>
              <w:t>) que todo comercializador entrante esté obligado exactamente en las mismas condiciones del distribuidor-comercializador, a mantener el medidor de sus usuarios con lo cual no se activaría para ninguno los deberes medición, cobro o gestión de energía reactiva, ni información al usuario.</w:t>
            </w:r>
          </w:p>
        </w:tc>
        <w:tc>
          <w:tcPr>
            <w:tcW w:w="3969" w:type="dxa"/>
            <w:hideMark/>
          </w:tcPr>
          <w:p w14:paraId="12345321"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5.</w:t>
            </w:r>
            <w:r w:rsidRPr="008D41DE">
              <w:rPr>
                <w:rFonts w:cs="Arial"/>
                <w:sz w:val="20"/>
                <w:szCs w:val="20"/>
                <w:lang w:eastAsia="es-CO"/>
              </w:rPr>
              <w:br/>
            </w:r>
            <w:r w:rsidRPr="008D41DE">
              <w:rPr>
                <w:rFonts w:cs="Arial"/>
                <w:sz w:val="20"/>
                <w:szCs w:val="20"/>
                <w:lang w:eastAsia="es-CO"/>
              </w:rPr>
              <w:br/>
              <w:t>Adicionalmente, no se considera que la modificación del límite al factor de potencia capacitivo, que aplica para todos los usuarios, tenga efectos en la competencia.</w:t>
            </w:r>
          </w:p>
        </w:tc>
      </w:tr>
      <w:tr w:rsidR="00064FAE" w:rsidRPr="008B4595" w14:paraId="4D5E87E5" w14:textId="77777777" w:rsidTr="007E1375">
        <w:trPr>
          <w:trHeight w:val="428"/>
        </w:trPr>
        <w:tc>
          <w:tcPr>
            <w:tcW w:w="557" w:type="dxa"/>
            <w:hideMark/>
          </w:tcPr>
          <w:p w14:paraId="67B82A88"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82</w:t>
            </w:r>
          </w:p>
        </w:tc>
        <w:tc>
          <w:tcPr>
            <w:tcW w:w="4967" w:type="dxa"/>
            <w:hideMark/>
          </w:tcPr>
          <w:p w14:paraId="236895D5"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Con base en lo anterior, la regla que VATIA propone incluir como un parágrafo al artículo de manera provisional para respetar la neutralidad y la libre elección del usuario, es la siguiente:</w:t>
            </w:r>
            <w:r w:rsidRPr="008D41DE">
              <w:rPr>
                <w:rFonts w:cs="Arial"/>
                <w:sz w:val="20"/>
                <w:szCs w:val="20"/>
                <w:lang w:eastAsia="es-CO"/>
              </w:rPr>
              <w:br/>
              <w:t xml:space="preserve">"Durante el tiempo en que la CREG realice las </w:t>
            </w:r>
            <w:r w:rsidRPr="008D41DE">
              <w:rPr>
                <w:rFonts w:cs="Arial"/>
                <w:sz w:val="20"/>
                <w:szCs w:val="20"/>
                <w:lang w:eastAsia="es-CO"/>
              </w:rPr>
              <w:lastRenderedPageBreak/>
              <w:t>revisiones relacionadas con la totalidad del esquema de incentivos para la disminución del transporte de energía reactiva como parte de las bases de revisión para la remuneración de la actividad de distribución de energía eléctrica, que conduzcan a reemplazar el esquema establecido mediante la Resolución CREG 015 de 2018, y en aplicación del criterio de neutralidad tarifaría y el derecho del usuario a la libre elección del prestador, el OR deberá abstenerse de cobrar la penalidad por energía reactiva de la que trata la Resolución CREG 015 de 2018 a los usuarios que sean atendidos por comercializadores con los cuales no tenga una relación de integración vertical, a menos de que proceda a instalar con costo al usuario los equipos apropiados para controlar y medir la energía reactiva de todos y cada uno de los usuarios que el OR atienda como comercializador en su propia red".</w:t>
            </w:r>
          </w:p>
        </w:tc>
        <w:tc>
          <w:tcPr>
            <w:tcW w:w="3969" w:type="dxa"/>
            <w:hideMark/>
          </w:tcPr>
          <w:p w14:paraId="1E306735" w14:textId="5F038AF1" w:rsidR="00114605" w:rsidRPr="00114605" w:rsidRDefault="00064FAE" w:rsidP="008D41DE">
            <w:pPr>
              <w:spacing w:before="0" w:after="0"/>
              <w:jc w:val="left"/>
              <w:rPr>
                <w:rFonts w:cs="Arial"/>
                <w:sz w:val="20"/>
                <w:szCs w:val="20"/>
                <w:lang w:eastAsia="es-CO"/>
              </w:rPr>
            </w:pPr>
            <w:r w:rsidRPr="008D41DE">
              <w:rPr>
                <w:rFonts w:cs="Arial"/>
                <w:sz w:val="20"/>
                <w:szCs w:val="20"/>
                <w:lang w:eastAsia="es-CO"/>
              </w:rPr>
              <w:lastRenderedPageBreak/>
              <w:t>Ver respuesta a la pregunta 18.</w:t>
            </w:r>
            <w:r w:rsidRPr="008D41DE">
              <w:rPr>
                <w:rFonts w:cs="Arial"/>
                <w:sz w:val="20"/>
                <w:szCs w:val="20"/>
                <w:lang w:eastAsia="es-CO"/>
              </w:rPr>
              <w:br/>
            </w:r>
            <w:r w:rsidR="00114605" w:rsidRPr="00114605">
              <w:rPr>
                <w:rFonts w:cs="Arial"/>
                <w:sz w:val="20"/>
                <w:szCs w:val="20"/>
                <w:lang w:eastAsia="es-CO"/>
              </w:rPr>
              <w:t xml:space="preserve">Adicionalmente la presente propuesta modifica el reglamento de distribución, que contiene aspectos técnicos sobre la operación del sistema. En este sentido no </w:t>
            </w:r>
            <w:r w:rsidR="00114605" w:rsidRPr="00114605">
              <w:rPr>
                <w:rFonts w:cs="Arial"/>
                <w:sz w:val="20"/>
                <w:szCs w:val="20"/>
                <w:lang w:eastAsia="es-CO"/>
              </w:rPr>
              <w:lastRenderedPageBreak/>
              <w:t>es procedente mezclar aspectos relacionados con la remuneración en el reglamento de distribución establecido en la Resolución CREG 070 de 1998.</w:t>
            </w:r>
          </w:p>
          <w:p w14:paraId="6BBADF4A" w14:textId="77777777" w:rsidR="00626B7D" w:rsidRDefault="00626B7D" w:rsidP="008D41DE">
            <w:pPr>
              <w:spacing w:before="0" w:after="0"/>
              <w:jc w:val="left"/>
              <w:rPr>
                <w:rFonts w:cs="Arial"/>
                <w:sz w:val="20"/>
                <w:szCs w:val="20"/>
                <w:lang w:eastAsia="es-CO"/>
              </w:rPr>
            </w:pPr>
          </w:p>
          <w:p w14:paraId="7E48E3F7" w14:textId="70752B3D" w:rsidR="00064FAE" w:rsidRPr="008D41DE" w:rsidRDefault="00114605" w:rsidP="008D41DE">
            <w:pPr>
              <w:spacing w:before="0" w:after="0"/>
              <w:jc w:val="left"/>
              <w:rPr>
                <w:rFonts w:cs="Arial"/>
                <w:sz w:val="20"/>
                <w:szCs w:val="20"/>
                <w:lang w:eastAsia="es-CO"/>
              </w:rPr>
            </w:pPr>
            <w:r w:rsidRPr="00114605">
              <w:rPr>
                <w:rFonts w:cs="Arial"/>
                <w:sz w:val="20"/>
                <w:szCs w:val="20"/>
                <w:lang w:eastAsia="es-CO"/>
              </w:rPr>
              <w:t xml:space="preserve">Por otro lado, </w:t>
            </w:r>
            <w:r w:rsidR="00AB1291">
              <w:rPr>
                <w:rFonts w:cs="Arial"/>
                <w:sz w:val="20"/>
                <w:szCs w:val="20"/>
                <w:lang w:eastAsia="es-CO"/>
              </w:rPr>
              <w:t xml:space="preserve">se entiende que </w:t>
            </w:r>
            <w:r w:rsidRPr="00114605">
              <w:rPr>
                <w:rFonts w:cs="Arial"/>
                <w:sz w:val="20"/>
                <w:szCs w:val="20"/>
                <w:lang w:eastAsia="es-CO"/>
              </w:rPr>
              <w:t xml:space="preserve">la regla propuesta </w:t>
            </w:r>
            <w:r w:rsidR="00626B7D">
              <w:rPr>
                <w:rFonts w:cs="Arial"/>
                <w:sz w:val="20"/>
                <w:szCs w:val="20"/>
                <w:lang w:eastAsia="es-CO"/>
              </w:rPr>
              <w:t>no tiene</w:t>
            </w:r>
            <w:r w:rsidRPr="00114605">
              <w:rPr>
                <w:rFonts w:cs="Arial"/>
                <w:sz w:val="20"/>
                <w:szCs w:val="20"/>
                <w:lang w:eastAsia="es-CO"/>
              </w:rPr>
              <w:t xml:space="preserve"> tratamiento</w:t>
            </w:r>
            <w:r w:rsidR="00626B7D">
              <w:rPr>
                <w:rFonts w:cs="Arial"/>
                <w:sz w:val="20"/>
                <w:szCs w:val="20"/>
                <w:lang w:eastAsia="es-CO"/>
              </w:rPr>
              <w:t>s</w:t>
            </w:r>
            <w:r w:rsidRPr="00114605">
              <w:rPr>
                <w:rFonts w:cs="Arial"/>
                <w:sz w:val="20"/>
                <w:szCs w:val="20"/>
                <w:lang w:eastAsia="es-CO"/>
              </w:rPr>
              <w:t xml:space="preserve"> diferencial</w:t>
            </w:r>
            <w:r w:rsidR="00626B7D">
              <w:rPr>
                <w:rFonts w:cs="Arial"/>
                <w:sz w:val="20"/>
                <w:szCs w:val="20"/>
                <w:lang w:eastAsia="es-CO"/>
              </w:rPr>
              <w:t>es</w:t>
            </w:r>
            <w:r w:rsidRPr="00114605">
              <w:rPr>
                <w:rFonts w:cs="Arial"/>
                <w:sz w:val="20"/>
                <w:szCs w:val="20"/>
                <w:lang w:eastAsia="es-CO"/>
              </w:rPr>
              <w:t xml:space="preserve"> para los usuarios atendidos por comercializadores distintos al incumbente.</w:t>
            </w:r>
          </w:p>
        </w:tc>
      </w:tr>
      <w:tr w:rsidR="00064FAE" w:rsidRPr="008B4595" w14:paraId="0AA87F16" w14:textId="77777777" w:rsidTr="007E1375">
        <w:trPr>
          <w:trHeight w:val="1440"/>
        </w:trPr>
        <w:tc>
          <w:tcPr>
            <w:tcW w:w="557" w:type="dxa"/>
            <w:hideMark/>
          </w:tcPr>
          <w:p w14:paraId="3E903E20"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lastRenderedPageBreak/>
              <w:t>83</w:t>
            </w:r>
          </w:p>
        </w:tc>
        <w:tc>
          <w:tcPr>
            <w:tcW w:w="4967" w:type="dxa"/>
            <w:hideMark/>
          </w:tcPr>
          <w:p w14:paraId="6A9F8D58" w14:textId="5F11A68A"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 xml:space="preserve">"Complementando este entendimiento, en las reuniones que se han tenido con Operadores de Red en el análisis integral del asunto, las conclusiones a las que se llegan son: i) el interés del agente es que se controle el transporte de energía reactiva en exceso; </w:t>
            </w:r>
            <w:proofErr w:type="spellStart"/>
            <w:r w:rsidRPr="008D41DE">
              <w:rPr>
                <w:rFonts w:cs="Arial"/>
                <w:sz w:val="20"/>
                <w:szCs w:val="20"/>
                <w:lang w:eastAsia="es-CO"/>
              </w:rPr>
              <w:t>ii</w:t>
            </w:r>
            <w:proofErr w:type="spellEnd"/>
            <w:r w:rsidRPr="008D41DE">
              <w:rPr>
                <w:rFonts w:cs="Arial"/>
                <w:sz w:val="20"/>
                <w:szCs w:val="20"/>
                <w:lang w:eastAsia="es-CO"/>
              </w:rPr>
              <w:t xml:space="preserve">) para grandes clientes el incentivo diseñado por la CREG ha dado resultado para la implementación de soluciones; </w:t>
            </w:r>
            <w:proofErr w:type="spellStart"/>
            <w:r w:rsidRPr="008D41DE">
              <w:rPr>
                <w:rFonts w:cs="Arial"/>
                <w:sz w:val="20"/>
                <w:szCs w:val="20"/>
                <w:lang w:eastAsia="es-CO"/>
              </w:rPr>
              <w:t>iii</w:t>
            </w:r>
            <w:proofErr w:type="spellEnd"/>
            <w:r w:rsidRPr="008D41DE">
              <w:rPr>
                <w:rFonts w:cs="Arial"/>
                <w:sz w:val="20"/>
                <w:szCs w:val="20"/>
                <w:lang w:eastAsia="es-CO"/>
              </w:rPr>
              <w:t>) los ingresos obtenidos por el cobro del CERT no son significativos, ni hacen parte en la toma de decisiones del agente."</w:t>
            </w:r>
          </w:p>
        </w:tc>
        <w:tc>
          <w:tcPr>
            <w:tcW w:w="3969" w:type="dxa"/>
            <w:hideMark/>
          </w:tcPr>
          <w:p w14:paraId="05FE5FA9"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26.</w:t>
            </w:r>
            <w:r w:rsidRPr="008D41DE">
              <w:rPr>
                <w:rFonts w:cs="Arial"/>
                <w:sz w:val="20"/>
                <w:szCs w:val="20"/>
                <w:lang w:eastAsia="es-CO"/>
              </w:rPr>
              <w:br/>
            </w:r>
            <w:r w:rsidRPr="008D41DE">
              <w:rPr>
                <w:rFonts w:cs="Arial"/>
                <w:sz w:val="20"/>
                <w:szCs w:val="20"/>
                <w:lang w:eastAsia="es-CO"/>
              </w:rPr>
              <w:br/>
              <w:t>También, dado que los indicadores de seguimiento corresponden a los planteados en la Resolución CREG 015 de 2018, en la revisión de la nueva metodología serán evaluados y tenidos en cuenta para los análisis respectivos.</w:t>
            </w:r>
          </w:p>
        </w:tc>
      </w:tr>
      <w:tr w:rsidR="00064FAE" w:rsidRPr="008B4595" w14:paraId="09F623D2" w14:textId="77777777" w:rsidTr="007E1375">
        <w:trPr>
          <w:trHeight w:val="1440"/>
        </w:trPr>
        <w:tc>
          <w:tcPr>
            <w:tcW w:w="557" w:type="dxa"/>
            <w:hideMark/>
          </w:tcPr>
          <w:p w14:paraId="7D20144E"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84</w:t>
            </w:r>
          </w:p>
        </w:tc>
        <w:tc>
          <w:tcPr>
            <w:tcW w:w="4967" w:type="dxa"/>
            <w:hideMark/>
          </w:tcPr>
          <w:p w14:paraId="730E07D4"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Se solicita que sea expedida prontamente la resolución definitiva del proyecto de Resolución CREG 701_017 de 2023 que busca flexibilizar el Factor de Potencia - FP de cara a la generación de en exceso de energía reactiva capacitiva por parte de los usuarios</w:t>
            </w:r>
          </w:p>
        </w:tc>
        <w:tc>
          <w:tcPr>
            <w:tcW w:w="3969" w:type="dxa"/>
            <w:hideMark/>
          </w:tcPr>
          <w:p w14:paraId="7C4F517D"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Se expedirá la reglamentación conforme a los lineamentos establecidos para ello.</w:t>
            </w:r>
          </w:p>
        </w:tc>
      </w:tr>
      <w:tr w:rsidR="00064FAE" w:rsidRPr="008B4595" w14:paraId="40D8F7B6" w14:textId="77777777" w:rsidTr="007E1375">
        <w:trPr>
          <w:trHeight w:val="1440"/>
        </w:trPr>
        <w:tc>
          <w:tcPr>
            <w:tcW w:w="557" w:type="dxa"/>
            <w:hideMark/>
          </w:tcPr>
          <w:p w14:paraId="42C8E90F"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85</w:t>
            </w:r>
          </w:p>
        </w:tc>
        <w:tc>
          <w:tcPr>
            <w:tcW w:w="4967" w:type="dxa"/>
            <w:hideMark/>
          </w:tcPr>
          <w:p w14:paraId="48500B94" w14:textId="432EF751"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Consistente con la recomendación del estudio del CAC e IEB, se evalúe la pertinencia de que “con el objeto de mantener el criterio de neutralidad entre agentes, igualdad de competencia entre los diferentes comercializadores en el Mercado Minorista y la libre elección de comercializador, y que las gestiones para la mitigación de excesos de reactiva en la red, no se vean involucradas en la competencia por usuarios entre el comercializador incumbente y el entrante, se recomienda que cuando un usuario decida realizar un cambio de comercializador, se le mantengan las mismas condiciones en cuanto al cargo de la reactiva, conforme la situación actual en la que este se encuentre, toda vez que el usuario no altere las variables de consumo que se vienen midiendo en el último año”.</w:t>
            </w:r>
          </w:p>
        </w:tc>
        <w:tc>
          <w:tcPr>
            <w:tcW w:w="3969" w:type="dxa"/>
            <w:hideMark/>
          </w:tcPr>
          <w:p w14:paraId="41D91A76"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20.</w:t>
            </w:r>
          </w:p>
        </w:tc>
      </w:tr>
      <w:tr w:rsidR="00064FAE" w:rsidRPr="008B4595" w14:paraId="4A648650" w14:textId="77777777" w:rsidTr="007E1375">
        <w:trPr>
          <w:trHeight w:val="864"/>
        </w:trPr>
        <w:tc>
          <w:tcPr>
            <w:tcW w:w="557" w:type="dxa"/>
            <w:hideMark/>
          </w:tcPr>
          <w:p w14:paraId="5EA3C899"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lastRenderedPageBreak/>
              <w:t>86</w:t>
            </w:r>
          </w:p>
        </w:tc>
        <w:tc>
          <w:tcPr>
            <w:tcW w:w="4967" w:type="dxa"/>
            <w:hideMark/>
          </w:tcPr>
          <w:p w14:paraId="398A0106"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En un contexto de coordinación operativa, estudiar la posibilidad de no permitir la inyección de potencia capacitiva a la red de nivel de tensión 4 por parte de los usuarios, sin la autorización y aprobación de los Operadores de Red y el CND.</w:t>
            </w:r>
          </w:p>
        </w:tc>
        <w:tc>
          <w:tcPr>
            <w:tcW w:w="3969" w:type="dxa"/>
            <w:hideMark/>
          </w:tcPr>
          <w:p w14:paraId="7E5628B4" w14:textId="77777777" w:rsidR="00064FAE" w:rsidRPr="004664C7" w:rsidRDefault="00064FAE" w:rsidP="008D41DE">
            <w:pPr>
              <w:spacing w:before="0" w:after="0"/>
              <w:jc w:val="left"/>
              <w:rPr>
                <w:rFonts w:cs="Arial"/>
                <w:sz w:val="20"/>
                <w:szCs w:val="20"/>
                <w:highlight w:val="yellow"/>
                <w:lang w:eastAsia="es-CO"/>
              </w:rPr>
            </w:pPr>
            <w:r w:rsidRPr="00B820F5">
              <w:rPr>
                <w:rFonts w:cs="Arial"/>
                <w:sz w:val="20"/>
                <w:szCs w:val="20"/>
                <w:lang w:eastAsia="es-CO"/>
              </w:rPr>
              <w:t>Ver respuesta a la pregunta 14.</w:t>
            </w:r>
          </w:p>
        </w:tc>
      </w:tr>
      <w:tr w:rsidR="00064FAE" w:rsidRPr="008B4595" w14:paraId="174FB492" w14:textId="77777777" w:rsidTr="000B7C89">
        <w:trPr>
          <w:trHeight w:val="1727"/>
        </w:trPr>
        <w:tc>
          <w:tcPr>
            <w:tcW w:w="557" w:type="dxa"/>
            <w:hideMark/>
          </w:tcPr>
          <w:p w14:paraId="0D818DE5"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87</w:t>
            </w:r>
          </w:p>
        </w:tc>
        <w:tc>
          <w:tcPr>
            <w:tcW w:w="4967" w:type="dxa"/>
            <w:hideMark/>
          </w:tcPr>
          <w:p w14:paraId="6BFF141F"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Sugerimos a la CREG establecer señales técnicas para los Operadores de Red y eliminar esta flexibilidad, pues desde el inicio de la solicitud de conexión de un usuario es necesario exigirle que cumpla con los parámetros de calidad de la potencia en cuanto a respetar el factor de potencia y evitar el exceso de energía reactiva.</w:t>
            </w:r>
          </w:p>
        </w:tc>
        <w:tc>
          <w:tcPr>
            <w:tcW w:w="3969" w:type="dxa"/>
            <w:hideMark/>
          </w:tcPr>
          <w:p w14:paraId="33B3E472" w14:textId="4C0F5AE6" w:rsidR="00064FAE" w:rsidRPr="008D41DE" w:rsidRDefault="00C54B06" w:rsidP="008D41DE">
            <w:pPr>
              <w:spacing w:before="0" w:after="0"/>
              <w:jc w:val="left"/>
              <w:rPr>
                <w:rFonts w:cs="Arial"/>
                <w:sz w:val="20"/>
                <w:szCs w:val="20"/>
                <w:lang w:eastAsia="es-CO"/>
              </w:rPr>
            </w:pPr>
            <w:r>
              <w:rPr>
                <w:rFonts w:cs="Arial"/>
                <w:sz w:val="20"/>
                <w:szCs w:val="20"/>
                <w:lang w:eastAsia="es-CO"/>
              </w:rPr>
              <w:t>Esta potestad está en cabeza del OR desde el instante de la conexión.</w:t>
            </w:r>
          </w:p>
        </w:tc>
      </w:tr>
      <w:tr w:rsidR="00064FAE" w:rsidRPr="008B4595" w14:paraId="4E7A3A84" w14:textId="77777777" w:rsidTr="007E1375">
        <w:trPr>
          <w:trHeight w:val="288"/>
        </w:trPr>
        <w:tc>
          <w:tcPr>
            <w:tcW w:w="557" w:type="dxa"/>
            <w:hideMark/>
          </w:tcPr>
          <w:p w14:paraId="67CEFFA2"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88</w:t>
            </w:r>
          </w:p>
        </w:tc>
        <w:tc>
          <w:tcPr>
            <w:tcW w:w="4967" w:type="dxa"/>
            <w:hideMark/>
          </w:tcPr>
          <w:p w14:paraId="0F6C6C21"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Segmentar los límites de factor de potencia no por nivel de tensión sino por tipo de cliente.</w:t>
            </w:r>
          </w:p>
        </w:tc>
        <w:tc>
          <w:tcPr>
            <w:tcW w:w="3969" w:type="dxa"/>
            <w:hideMark/>
          </w:tcPr>
          <w:p w14:paraId="4D7CF971"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47.</w:t>
            </w:r>
          </w:p>
        </w:tc>
      </w:tr>
      <w:tr w:rsidR="00064FAE" w:rsidRPr="008B4595" w14:paraId="04FBCE3E" w14:textId="77777777" w:rsidTr="007E1375">
        <w:trPr>
          <w:trHeight w:val="288"/>
        </w:trPr>
        <w:tc>
          <w:tcPr>
            <w:tcW w:w="557" w:type="dxa"/>
            <w:hideMark/>
          </w:tcPr>
          <w:p w14:paraId="4223CB52"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89</w:t>
            </w:r>
          </w:p>
        </w:tc>
        <w:tc>
          <w:tcPr>
            <w:tcW w:w="4967" w:type="dxa"/>
            <w:hideMark/>
          </w:tcPr>
          <w:p w14:paraId="7D6C77ED" w14:textId="5BC073B9"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 xml:space="preserve">Consideramos que un mes puede ser poco tiempo para los procesos de divulgación y aclaración de las modificaciones propuestas. Sugerimos evaluar la posibilidad de ampliar los plazos de divulgación de las medidas a 3 meses a partir de la fecha de </w:t>
            </w:r>
            <w:proofErr w:type="gramStart"/>
            <w:r w:rsidRPr="008D41DE">
              <w:rPr>
                <w:rFonts w:cs="Arial"/>
                <w:sz w:val="20"/>
                <w:szCs w:val="20"/>
                <w:lang w:eastAsia="es-CO"/>
              </w:rPr>
              <w:t>entrada en vigencia</w:t>
            </w:r>
            <w:proofErr w:type="gramEnd"/>
            <w:r w:rsidRPr="008D41DE">
              <w:rPr>
                <w:rFonts w:cs="Arial"/>
                <w:sz w:val="20"/>
                <w:szCs w:val="20"/>
                <w:lang w:eastAsia="es-CO"/>
              </w:rPr>
              <w:t xml:space="preserve"> de la Resolución definitiva.</w:t>
            </w:r>
          </w:p>
        </w:tc>
        <w:tc>
          <w:tcPr>
            <w:tcW w:w="3969" w:type="dxa"/>
            <w:hideMark/>
          </w:tcPr>
          <w:p w14:paraId="4541B64F"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11.</w:t>
            </w:r>
          </w:p>
        </w:tc>
      </w:tr>
      <w:tr w:rsidR="00064FAE" w:rsidRPr="008B4595" w14:paraId="305A7723" w14:textId="77777777" w:rsidTr="007E1375">
        <w:trPr>
          <w:trHeight w:val="864"/>
        </w:trPr>
        <w:tc>
          <w:tcPr>
            <w:tcW w:w="557" w:type="dxa"/>
            <w:hideMark/>
          </w:tcPr>
          <w:p w14:paraId="4B23D652"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90</w:t>
            </w:r>
          </w:p>
        </w:tc>
        <w:tc>
          <w:tcPr>
            <w:tcW w:w="4967" w:type="dxa"/>
            <w:hideMark/>
          </w:tcPr>
          <w:p w14:paraId="4F00D37C"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Analizar si desde el inicio de la solicitud de conexión de un usuario, es necesario exigirle el cumplimiento de los parámetros de calidad, respecto a los requisitos de factor de potencia para evitar el exceso de energía reactiva.</w:t>
            </w:r>
          </w:p>
        </w:tc>
        <w:tc>
          <w:tcPr>
            <w:tcW w:w="3969" w:type="dxa"/>
            <w:hideMark/>
          </w:tcPr>
          <w:p w14:paraId="6DBE15E2"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46.</w:t>
            </w:r>
          </w:p>
        </w:tc>
      </w:tr>
      <w:tr w:rsidR="00064FAE" w:rsidRPr="008B4595" w14:paraId="255C4A27" w14:textId="77777777" w:rsidTr="007E1375">
        <w:trPr>
          <w:trHeight w:val="288"/>
        </w:trPr>
        <w:tc>
          <w:tcPr>
            <w:tcW w:w="557" w:type="dxa"/>
            <w:hideMark/>
          </w:tcPr>
          <w:p w14:paraId="19995342"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91</w:t>
            </w:r>
          </w:p>
        </w:tc>
        <w:tc>
          <w:tcPr>
            <w:tcW w:w="4967" w:type="dxa"/>
            <w:hideMark/>
          </w:tcPr>
          <w:p w14:paraId="05BF55CF" w14:textId="01245BD9"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Sugerimos a la Comisión armonizar las metodologías para determinar si el factor de potencia capacitivo cumple los limites indicados, lo anterior considerado los lineamientos de la Resolución CREG 015 de 2018.</w:t>
            </w:r>
          </w:p>
        </w:tc>
        <w:tc>
          <w:tcPr>
            <w:tcW w:w="3969" w:type="dxa"/>
            <w:hideMark/>
          </w:tcPr>
          <w:p w14:paraId="184B8C91"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4.</w:t>
            </w:r>
          </w:p>
        </w:tc>
      </w:tr>
      <w:tr w:rsidR="00064FAE" w:rsidRPr="008B4595" w14:paraId="07C33F1D" w14:textId="77777777" w:rsidTr="007E1375">
        <w:trPr>
          <w:trHeight w:val="864"/>
        </w:trPr>
        <w:tc>
          <w:tcPr>
            <w:tcW w:w="557" w:type="dxa"/>
            <w:hideMark/>
          </w:tcPr>
          <w:p w14:paraId="60958BD7"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92</w:t>
            </w:r>
          </w:p>
        </w:tc>
        <w:tc>
          <w:tcPr>
            <w:tcW w:w="4967" w:type="dxa"/>
            <w:hideMark/>
          </w:tcPr>
          <w:p w14:paraId="1D0E265D"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Es deseable que la Comisión expida prontamente la resolución definitiva del proyecto CREG 701 027 de 2022, que busca eximir el cobro de energía reactiva a estas tecnologías basándose en criterios técnicos, siempre y cuando participan en el control de tensión coordinadamente con el OR.</w:t>
            </w:r>
          </w:p>
        </w:tc>
        <w:tc>
          <w:tcPr>
            <w:tcW w:w="3969" w:type="dxa"/>
            <w:hideMark/>
          </w:tcPr>
          <w:p w14:paraId="42E2898A"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9.</w:t>
            </w:r>
          </w:p>
        </w:tc>
      </w:tr>
      <w:tr w:rsidR="00064FAE" w:rsidRPr="008B4595" w14:paraId="3208B9D5" w14:textId="77777777" w:rsidTr="007E1375">
        <w:trPr>
          <w:trHeight w:val="1152"/>
        </w:trPr>
        <w:tc>
          <w:tcPr>
            <w:tcW w:w="557" w:type="dxa"/>
            <w:hideMark/>
          </w:tcPr>
          <w:p w14:paraId="6858F60D"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93</w:t>
            </w:r>
          </w:p>
        </w:tc>
        <w:tc>
          <w:tcPr>
            <w:tcW w:w="4967" w:type="dxa"/>
            <w:hideMark/>
          </w:tcPr>
          <w:p w14:paraId="4C354EF4" w14:textId="6AE44CED"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El incremento del cobro por transporte de energía reactiva en exceso dio entrada a estudios para el diseño de detalle, suministro, instalación y puesta en servicio de un sistema de compensación dinámico de energía reactiva para mitigar los efectos en las fronteras comerciales de las subestaciones de alimentación de la empresa.</w:t>
            </w:r>
          </w:p>
        </w:tc>
        <w:tc>
          <w:tcPr>
            <w:tcW w:w="3969" w:type="dxa"/>
            <w:hideMark/>
          </w:tcPr>
          <w:p w14:paraId="3422B1B8" w14:textId="42725197" w:rsidR="00064FAE" w:rsidRPr="008D41DE" w:rsidRDefault="001F30F3" w:rsidP="008D41DE">
            <w:pPr>
              <w:spacing w:before="0" w:after="0"/>
              <w:jc w:val="left"/>
              <w:rPr>
                <w:rFonts w:cs="Arial"/>
                <w:sz w:val="20"/>
                <w:szCs w:val="20"/>
                <w:lang w:eastAsia="es-CO"/>
              </w:rPr>
            </w:pPr>
            <w:r>
              <w:rPr>
                <w:rFonts w:cs="Arial"/>
                <w:sz w:val="20"/>
                <w:szCs w:val="20"/>
                <w:lang w:eastAsia="es-CO"/>
              </w:rPr>
              <w:t>Efectivamente,</w:t>
            </w:r>
            <w:r w:rsidR="00064FAE" w:rsidRPr="008D41DE">
              <w:rPr>
                <w:rFonts w:cs="Arial"/>
                <w:sz w:val="20"/>
                <w:szCs w:val="20"/>
                <w:lang w:eastAsia="es-CO"/>
              </w:rPr>
              <w:t xml:space="preserve"> las señales regulatorias implementadas en la Res. 015 de 2018 han sido recibidas con el objetivo de implementar alternativas para reducir el transporte de energía reactiva en </w:t>
            </w:r>
            <w:r w:rsidR="000B7C89" w:rsidRPr="008D41DE">
              <w:rPr>
                <w:rFonts w:cs="Arial"/>
                <w:sz w:val="20"/>
                <w:szCs w:val="20"/>
                <w:lang w:eastAsia="es-CO"/>
              </w:rPr>
              <w:t>exceso</w:t>
            </w:r>
            <w:r w:rsidR="000B7C89">
              <w:rPr>
                <w:rFonts w:cs="Arial"/>
                <w:sz w:val="20"/>
                <w:szCs w:val="20"/>
                <w:lang w:eastAsia="es-CO"/>
              </w:rPr>
              <w:t xml:space="preserve"> y</w:t>
            </w:r>
            <w:r w:rsidR="00214903">
              <w:rPr>
                <w:rFonts w:cs="Arial"/>
                <w:sz w:val="20"/>
                <w:szCs w:val="20"/>
                <w:lang w:eastAsia="es-CO"/>
              </w:rPr>
              <w:t xml:space="preserve"> han mejorado las instalaciones internas de algunos usuarios en beneficio de toda la </w:t>
            </w:r>
            <w:proofErr w:type="gramStart"/>
            <w:r w:rsidR="00214903">
              <w:rPr>
                <w:rFonts w:cs="Arial"/>
                <w:sz w:val="20"/>
                <w:szCs w:val="20"/>
                <w:lang w:eastAsia="es-CO"/>
              </w:rPr>
              <w:t>sociedad.</w:t>
            </w:r>
            <w:r w:rsidR="00064FAE" w:rsidRPr="008D41DE">
              <w:rPr>
                <w:rFonts w:cs="Arial"/>
                <w:sz w:val="20"/>
                <w:szCs w:val="20"/>
                <w:lang w:eastAsia="es-CO"/>
              </w:rPr>
              <w:t>.</w:t>
            </w:r>
            <w:proofErr w:type="gramEnd"/>
          </w:p>
        </w:tc>
      </w:tr>
      <w:tr w:rsidR="00064FAE" w:rsidRPr="008B4595" w14:paraId="1A93C39C" w14:textId="77777777" w:rsidTr="007E1375">
        <w:trPr>
          <w:trHeight w:val="864"/>
        </w:trPr>
        <w:tc>
          <w:tcPr>
            <w:tcW w:w="557" w:type="dxa"/>
            <w:hideMark/>
          </w:tcPr>
          <w:p w14:paraId="13CDFFFE"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94</w:t>
            </w:r>
          </w:p>
        </w:tc>
        <w:tc>
          <w:tcPr>
            <w:tcW w:w="4967" w:type="dxa"/>
            <w:hideMark/>
          </w:tcPr>
          <w:p w14:paraId="673F346C" w14:textId="536809AC"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 xml:space="preserve">En el sistema eléctrico actual se presentan otros efectos adicionales al transporte de energía reactiva que reducen la capacidad de la red para transportar energía activa, como la distorsión armónica y el desbalance de tensión. Se sugiere emplear el término energía no útil, en lugar de energía reactiva, </w:t>
            </w:r>
            <w:r w:rsidRPr="008D41DE">
              <w:rPr>
                <w:rFonts w:cs="Arial"/>
                <w:sz w:val="20"/>
                <w:szCs w:val="20"/>
                <w:lang w:eastAsia="es-CO"/>
              </w:rPr>
              <w:lastRenderedPageBreak/>
              <w:t xml:space="preserve">para aclarar que se hace mención </w:t>
            </w:r>
            <w:proofErr w:type="gramStart"/>
            <w:r w:rsidRPr="008D41DE">
              <w:rPr>
                <w:rFonts w:cs="Arial"/>
                <w:sz w:val="20"/>
                <w:szCs w:val="20"/>
                <w:lang w:eastAsia="es-CO"/>
              </w:rPr>
              <w:t>a</w:t>
            </w:r>
            <w:proofErr w:type="gramEnd"/>
            <w:r w:rsidRPr="008D41DE">
              <w:rPr>
                <w:rFonts w:cs="Arial"/>
                <w:sz w:val="20"/>
                <w:szCs w:val="20"/>
                <w:lang w:eastAsia="es-CO"/>
              </w:rPr>
              <w:t xml:space="preserve"> distintos fenómenos y no solo al transporte de reactiva.</w:t>
            </w:r>
          </w:p>
          <w:p w14:paraId="4C8AE5D4" w14:textId="7DF6DD9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En algunas situaciones la distorsión armónica puede ser la principal causa de disminución del factor de potencia, especialmente en usuarios residenciales, más que el transporte de reactiva en exceso. Los medidores actuales registran el fenómeno, pero no se está diferenciando conceptualmente su causa.</w:t>
            </w:r>
          </w:p>
        </w:tc>
        <w:tc>
          <w:tcPr>
            <w:tcW w:w="3969" w:type="dxa"/>
            <w:hideMark/>
          </w:tcPr>
          <w:p w14:paraId="079FDAA6" w14:textId="029FE63E"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lastRenderedPageBreak/>
              <w:t>Ver respuesta a la pregunta 1. En cuanto a la terminología a utilizar y los aspectos relacionados con la energía no útil, el tema se analizará en las bases para la nueva metodología de distribución.</w:t>
            </w:r>
          </w:p>
        </w:tc>
      </w:tr>
      <w:tr w:rsidR="00064FAE" w:rsidRPr="008B4595" w14:paraId="7FC35ADF" w14:textId="77777777" w:rsidTr="007E1375">
        <w:trPr>
          <w:trHeight w:val="144"/>
        </w:trPr>
        <w:tc>
          <w:tcPr>
            <w:tcW w:w="557" w:type="dxa"/>
          </w:tcPr>
          <w:p w14:paraId="31C3FF14" w14:textId="77777777" w:rsidR="00064FAE" w:rsidRPr="008D41DE" w:rsidRDefault="00064FAE" w:rsidP="008D41DE">
            <w:pPr>
              <w:spacing w:before="0" w:after="0"/>
              <w:rPr>
                <w:rFonts w:cs="Arial"/>
                <w:sz w:val="20"/>
                <w:szCs w:val="20"/>
                <w:lang w:eastAsia="es-CO"/>
              </w:rPr>
            </w:pPr>
            <w:r w:rsidRPr="008D41DE">
              <w:rPr>
                <w:rFonts w:cs="Arial"/>
                <w:sz w:val="20"/>
                <w:szCs w:val="20"/>
                <w:lang w:eastAsia="es-CO"/>
              </w:rPr>
              <w:t>95</w:t>
            </w:r>
          </w:p>
        </w:tc>
        <w:tc>
          <w:tcPr>
            <w:tcW w:w="4967" w:type="dxa"/>
          </w:tcPr>
          <w:p w14:paraId="51C742A0" w14:textId="0F9E7AD1" w:rsidR="00064FAE" w:rsidRPr="008D41DE" w:rsidRDefault="00E641A0" w:rsidP="008D41DE">
            <w:pPr>
              <w:spacing w:before="0" w:after="0"/>
              <w:jc w:val="left"/>
              <w:rPr>
                <w:rFonts w:cs="Arial"/>
                <w:sz w:val="20"/>
                <w:szCs w:val="20"/>
                <w:lang w:eastAsia="es-CO"/>
              </w:rPr>
            </w:pPr>
            <w:r w:rsidRPr="008D41DE">
              <w:rPr>
                <w:rFonts w:cs="Arial"/>
                <w:sz w:val="20"/>
                <w:szCs w:val="20"/>
                <w:lang w:eastAsia="es-CO"/>
              </w:rPr>
              <w:t>¿Por qué no se incorporó lo ordenado en el parágrafo 2 del artículo 4 del decreto 929 de 2023 del MME en el proyecto de resolución CREG</w:t>
            </w:r>
            <w:r w:rsidR="00064FAE" w:rsidRPr="008D41DE">
              <w:rPr>
                <w:rFonts w:cs="Arial"/>
                <w:sz w:val="20"/>
                <w:szCs w:val="20"/>
                <w:lang w:eastAsia="es-CO"/>
              </w:rPr>
              <w:t xml:space="preserve"> 701 017 </w:t>
            </w:r>
            <w:r w:rsidR="008A6ABB">
              <w:rPr>
                <w:rFonts w:cs="Arial"/>
                <w:sz w:val="20"/>
                <w:szCs w:val="20"/>
                <w:lang w:eastAsia="es-CO"/>
              </w:rPr>
              <w:t>DE</w:t>
            </w:r>
            <w:r w:rsidR="00064FAE" w:rsidRPr="008D41DE">
              <w:rPr>
                <w:rFonts w:cs="Arial"/>
                <w:sz w:val="20"/>
                <w:szCs w:val="20"/>
                <w:lang w:eastAsia="es-CO"/>
              </w:rPr>
              <w:t xml:space="preserve"> 2023?</w:t>
            </w:r>
          </w:p>
        </w:tc>
        <w:tc>
          <w:tcPr>
            <w:tcW w:w="3969" w:type="dxa"/>
          </w:tcPr>
          <w:p w14:paraId="6453D947" w14:textId="77777777" w:rsidR="00064FAE" w:rsidRPr="008D41DE" w:rsidRDefault="00064FAE" w:rsidP="008D41DE">
            <w:pPr>
              <w:spacing w:before="0" w:after="0"/>
              <w:jc w:val="left"/>
              <w:rPr>
                <w:rFonts w:cs="Arial"/>
                <w:sz w:val="20"/>
                <w:szCs w:val="20"/>
                <w:lang w:eastAsia="es-CO"/>
              </w:rPr>
            </w:pPr>
            <w:r w:rsidRPr="008D41DE">
              <w:rPr>
                <w:rFonts w:cs="Arial"/>
                <w:sz w:val="20"/>
                <w:szCs w:val="20"/>
                <w:lang w:eastAsia="es-CO"/>
              </w:rPr>
              <w:t>Ver respuesta a la pregunta 9.</w:t>
            </w:r>
          </w:p>
        </w:tc>
      </w:tr>
    </w:tbl>
    <w:p w14:paraId="0631C11E" w14:textId="77777777" w:rsidR="00346E0B" w:rsidRDefault="00346E0B" w:rsidP="00346E0B"/>
    <w:p w14:paraId="3DCA5D89" w14:textId="5C63113E" w:rsidR="00DF0F91" w:rsidRDefault="00DF0F91">
      <w:pPr>
        <w:spacing w:before="0" w:after="0"/>
        <w:jc w:val="left"/>
      </w:pPr>
      <w:r>
        <w:br w:type="page"/>
      </w:r>
    </w:p>
    <w:p w14:paraId="56222A17" w14:textId="1DF87ABC" w:rsidR="00350EFB" w:rsidRDefault="00350EFB" w:rsidP="009626D9">
      <w:pPr>
        <w:pStyle w:val="Ttulo2"/>
      </w:pPr>
      <w:bookmarkStart w:id="54" w:name="_Toc147223508"/>
      <w:bookmarkStart w:id="55" w:name="_Toc147226432"/>
      <w:bookmarkStart w:id="56" w:name="_Toc147223509"/>
      <w:bookmarkStart w:id="57" w:name="_Toc147226433"/>
      <w:bookmarkStart w:id="58" w:name="_Toc147223510"/>
      <w:bookmarkStart w:id="59" w:name="_Toc147226434"/>
      <w:bookmarkStart w:id="60" w:name="_Toc157689805"/>
      <w:bookmarkEnd w:id="54"/>
      <w:bookmarkEnd w:id="55"/>
      <w:bookmarkEnd w:id="56"/>
      <w:bookmarkEnd w:id="57"/>
      <w:bookmarkEnd w:id="58"/>
      <w:bookmarkEnd w:id="59"/>
      <w:r>
        <w:lastRenderedPageBreak/>
        <w:t xml:space="preserve">Cuestionario </w:t>
      </w:r>
      <w:r w:rsidR="00AE7293">
        <w:t>de abogacía de la competencia</w:t>
      </w:r>
      <w:bookmarkEnd w:id="60"/>
    </w:p>
    <w:tbl>
      <w:tblPr>
        <w:tblW w:w="945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47"/>
        <w:gridCol w:w="373"/>
        <w:gridCol w:w="4710"/>
        <w:gridCol w:w="420"/>
        <w:gridCol w:w="450"/>
        <w:gridCol w:w="1440"/>
        <w:gridCol w:w="1710"/>
      </w:tblGrid>
      <w:tr w:rsidR="0078518A" w:rsidRPr="007D2FCF" w14:paraId="2F16DC10" w14:textId="77777777" w:rsidTr="32085FC4">
        <w:trPr>
          <w:trHeight w:val="1770"/>
        </w:trPr>
        <w:tc>
          <w:tcPr>
            <w:tcW w:w="5430" w:type="dxa"/>
            <w:gridSpan w:val="3"/>
            <w:shd w:val="clear" w:color="auto" w:fill="auto"/>
            <w:noWrap/>
            <w:vAlign w:val="bottom"/>
            <w:hideMark/>
          </w:tcPr>
          <w:p w14:paraId="48425781" w14:textId="1D7CAA7C" w:rsidR="0078518A" w:rsidRPr="007D2FCF" w:rsidRDefault="0078518A">
            <w:pPr>
              <w:spacing w:before="0" w:after="0"/>
              <w:jc w:val="left"/>
              <w:rPr>
                <w:rFonts w:ascii="Calibri" w:hAnsi="Calibri" w:cs="Calibri"/>
                <w:bCs w:val="0"/>
                <w:color w:val="000000"/>
                <w:szCs w:val="22"/>
                <w:lang w:eastAsia="es-CO"/>
              </w:rPr>
            </w:pPr>
          </w:p>
          <w:tbl>
            <w:tblPr>
              <w:tblW w:w="5160" w:type="dxa"/>
              <w:tblCellSpacing w:w="0" w:type="dxa"/>
              <w:tblLayout w:type="fixed"/>
              <w:tblCellMar>
                <w:left w:w="0" w:type="dxa"/>
                <w:right w:w="0" w:type="dxa"/>
              </w:tblCellMar>
              <w:tblLook w:val="04A0" w:firstRow="1" w:lastRow="0" w:firstColumn="1" w:lastColumn="0" w:noHBand="0" w:noVBand="1"/>
            </w:tblPr>
            <w:tblGrid>
              <w:gridCol w:w="5160"/>
            </w:tblGrid>
            <w:tr w:rsidR="0078518A" w:rsidRPr="007D2FCF" w14:paraId="5AC19E49" w14:textId="77777777" w:rsidTr="494D33A9">
              <w:trPr>
                <w:trHeight w:val="1770"/>
                <w:tblCellSpacing w:w="0" w:type="dxa"/>
              </w:trPr>
              <w:tc>
                <w:tcPr>
                  <w:tcW w:w="5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23C176" w14:textId="4EB47911" w:rsidR="0078518A" w:rsidRPr="007D2FCF" w:rsidRDefault="22BC3A92">
                  <w:pPr>
                    <w:spacing w:before="0" w:after="0"/>
                    <w:jc w:val="center"/>
                    <w:rPr>
                      <w:rFonts w:ascii="Calibri" w:hAnsi="Calibri" w:cs="Calibri"/>
                      <w:color w:val="000000"/>
                      <w:lang w:eastAsia="es-CO"/>
                    </w:rPr>
                  </w:pPr>
                  <w:r>
                    <w:rPr>
                      <w:noProof/>
                    </w:rPr>
                    <w:drawing>
                      <wp:inline distT="0" distB="0" distL="0" distR="0" wp14:anchorId="3FF3080F" wp14:editId="624903EE">
                        <wp:extent cx="2545715" cy="1047750"/>
                        <wp:effectExtent l="0" t="0" r="6985" b="0"/>
                        <wp:docPr id="13694200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95">
                                  <a:extLst>
                                    <a:ext uri="{FF2B5EF4-FFF2-40B4-BE49-F238E27FC236}">
                                      <a16:creationId xmlns="" xmlns:a14="http://schemas.microsoft.com/office/drawing/2010/main" xmlns:asvg="http://schemas.microsoft.com/office/drawing/2016/SVG/main" xmlns:a16="http://schemas.microsoft.com/office/drawing/2014/main" xmlns:w="http://schemas.openxmlformats.org/wordprocessingml/2006/main" xmlns:w10="urn:schemas-microsoft-com:office:word" xmlns:v="urn:schemas-microsoft-com:vml" xmlns:o="urn:schemas-microsoft-com:office:office" id="{00000000-0008-0000-0000-000003000000}"/>
                                    </a:ext>
                                  </a:extLst>
                                </a:blip>
                                <a:stretch>
                                  <a:fillRect/>
                                </a:stretch>
                              </pic:blipFill>
                              <pic:spPr bwMode="auto">
                                <a:xfrm>
                                  <a:off x="0" y="0"/>
                                  <a:ext cx="2545715" cy="1047750"/>
                                </a:xfrm>
                                <a:prstGeom prst="rect">
                                  <a:avLst/>
                                </a:prstGeom>
                                <a:noFill/>
                                <a:ln>
                                  <a:noFill/>
                                </a:ln>
                              </pic:spPr>
                            </pic:pic>
                          </a:graphicData>
                        </a:graphic>
                      </wp:inline>
                    </w:drawing>
                  </w:r>
                  <w:bookmarkStart w:id="61" w:name="RANGE!A1:G30"/>
                  <w:r w:rsidR="0078518A" w:rsidRPr="494D33A9">
                    <w:rPr>
                      <w:rFonts w:ascii="Calibri" w:hAnsi="Calibri" w:cs="Calibri"/>
                      <w:color w:val="000000"/>
                      <w:lang w:eastAsia="es-CO"/>
                    </w:rPr>
                    <w:t> </w:t>
                  </w:r>
                  <w:bookmarkEnd w:id="61"/>
                </w:p>
              </w:tc>
            </w:tr>
          </w:tbl>
          <w:p w14:paraId="50E24F3A" w14:textId="77777777" w:rsidR="0078518A" w:rsidRPr="007D2FCF" w:rsidRDefault="0078518A">
            <w:pPr>
              <w:spacing w:before="0" w:after="0"/>
              <w:jc w:val="left"/>
              <w:rPr>
                <w:rFonts w:ascii="Calibri" w:hAnsi="Calibri" w:cs="Calibri"/>
                <w:bCs w:val="0"/>
                <w:color w:val="000000"/>
                <w:szCs w:val="22"/>
                <w:lang w:eastAsia="es-CO"/>
              </w:rPr>
            </w:pPr>
          </w:p>
        </w:tc>
        <w:tc>
          <w:tcPr>
            <w:tcW w:w="4020" w:type="dxa"/>
            <w:gridSpan w:val="4"/>
            <w:shd w:val="clear" w:color="auto" w:fill="auto"/>
            <w:vAlign w:val="center"/>
            <w:hideMark/>
          </w:tcPr>
          <w:p w14:paraId="150655D0" w14:textId="77777777" w:rsidR="0078518A" w:rsidRPr="007D2FCF" w:rsidRDefault="0078518A">
            <w:pPr>
              <w:spacing w:before="0" w:after="0"/>
              <w:jc w:val="center"/>
              <w:rPr>
                <w:rFonts w:ascii="Calibri" w:hAnsi="Calibri" w:cs="Calibri"/>
                <w:b/>
                <w:color w:val="000000"/>
                <w:sz w:val="32"/>
                <w:szCs w:val="32"/>
                <w:lang w:eastAsia="es-CO"/>
              </w:rPr>
            </w:pPr>
            <w:r w:rsidRPr="007D2FCF">
              <w:rPr>
                <w:rFonts w:ascii="Calibri" w:hAnsi="Calibri" w:cs="Calibri"/>
                <w:b/>
                <w:color w:val="000000"/>
                <w:sz w:val="32"/>
                <w:szCs w:val="32"/>
                <w:lang w:eastAsia="es-CO"/>
              </w:rPr>
              <w:t>CUESTIONARIO DE ABOGACÍA DE LA COMPETENCIA - ACTOS ADMINISTRATIVOS EXPEDIDOS CON FINES REGULATORIOS</w:t>
            </w:r>
          </w:p>
        </w:tc>
      </w:tr>
      <w:tr w:rsidR="0078518A" w:rsidRPr="007D2FCF" w14:paraId="00A4D547" w14:textId="77777777" w:rsidTr="32085FC4">
        <w:trPr>
          <w:trHeight w:val="810"/>
        </w:trPr>
        <w:tc>
          <w:tcPr>
            <w:tcW w:w="5430" w:type="dxa"/>
            <w:gridSpan w:val="3"/>
            <w:shd w:val="clear" w:color="auto" w:fill="auto"/>
            <w:vAlign w:val="center"/>
            <w:hideMark/>
          </w:tcPr>
          <w:p w14:paraId="1B0520F0" w14:textId="77777777" w:rsidR="0078518A" w:rsidRPr="007D2FCF" w:rsidRDefault="0078518A">
            <w:pPr>
              <w:spacing w:before="0" w:after="0"/>
              <w:jc w:val="left"/>
              <w:rPr>
                <w:rFonts w:ascii="Calibri" w:hAnsi="Calibri" w:cs="Calibri"/>
                <w:b/>
                <w:color w:val="000000"/>
                <w:szCs w:val="22"/>
                <w:lang w:eastAsia="es-CO"/>
              </w:rPr>
            </w:pPr>
            <w:r w:rsidRPr="007D2FCF">
              <w:rPr>
                <w:rFonts w:ascii="Calibri" w:hAnsi="Calibri" w:cs="Calibri"/>
                <w:b/>
                <w:color w:val="000000"/>
                <w:szCs w:val="22"/>
                <w:lang w:eastAsia="es-CO"/>
              </w:rPr>
              <w:t>OBJETO DEL PROYECTO DE REGULACIÓN:</w:t>
            </w:r>
          </w:p>
        </w:tc>
        <w:tc>
          <w:tcPr>
            <w:tcW w:w="2310" w:type="dxa"/>
            <w:gridSpan w:val="3"/>
            <w:shd w:val="clear" w:color="auto" w:fill="auto"/>
            <w:vAlign w:val="center"/>
            <w:hideMark/>
          </w:tcPr>
          <w:p w14:paraId="2ECD69D6" w14:textId="77777777" w:rsidR="0078518A" w:rsidRPr="007D2FCF" w:rsidRDefault="0078518A">
            <w:pPr>
              <w:spacing w:before="0" w:after="0"/>
              <w:jc w:val="center"/>
              <w:rPr>
                <w:rFonts w:ascii="Calibri" w:hAnsi="Calibri" w:cs="Calibri"/>
                <w:b/>
                <w:color w:val="000000"/>
                <w:szCs w:val="22"/>
                <w:lang w:eastAsia="es-CO"/>
              </w:rPr>
            </w:pPr>
            <w:r w:rsidRPr="007D2FCF">
              <w:rPr>
                <w:rFonts w:ascii="Calibri" w:hAnsi="Calibri" w:cs="Calibri"/>
                <w:b/>
                <w:color w:val="000000"/>
                <w:szCs w:val="22"/>
                <w:lang w:eastAsia="es-CO"/>
              </w:rPr>
              <w:t>Por la cual se modifica el numeral 4.2.4 del Anexo</w:t>
            </w:r>
          </w:p>
          <w:p w14:paraId="1961F7A2" w14:textId="77777777" w:rsidR="0078518A" w:rsidRPr="007D2FCF" w:rsidRDefault="0078518A">
            <w:pPr>
              <w:spacing w:before="0" w:after="0"/>
              <w:jc w:val="center"/>
              <w:rPr>
                <w:rFonts w:ascii="Calibri" w:hAnsi="Calibri" w:cs="Calibri"/>
                <w:b/>
                <w:color w:val="000000"/>
                <w:szCs w:val="22"/>
                <w:highlight w:val="yellow"/>
                <w:lang w:eastAsia="es-CO"/>
              </w:rPr>
            </w:pPr>
            <w:r w:rsidRPr="007D2FCF">
              <w:rPr>
                <w:rFonts w:ascii="Calibri" w:hAnsi="Calibri" w:cs="Calibri"/>
                <w:b/>
                <w:color w:val="000000"/>
                <w:szCs w:val="22"/>
                <w:lang w:eastAsia="es-CO"/>
              </w:rPr>
              <w:t>‎General de la Resolución CREG 070 de 1998</w:t>
            </w:r>
          </w:p>
        </w:tc>
        <w:tc>
          <w:tcPr>
            <w:tcW w:w="1710" w:type="dxa"/>
            <w:shd w:val="clear" w:color="auto" w:fill="auto"/>
            <w:vAlign w:val="center"/>
            <w:hideMark/>
          </w:tcPr>
          <w:p w14:paraId="5E65C0DD" w14:textId="764B94A7" w:rsidR="0078518A" w:rsidRPr="007D2FCF" w:rsidRDefault="0078518A">
            <w:pPr>
              <w:spacing w:before="0" w:after="0"/>
              <w:jc w:val="center"/>
              <w:rPr>
                <w:rFonts w:ascii="Calibri" w:hAnsi="Calibri" w:cs="Calibri"/>
                <w:b/>
                <w:color w:val="000000"/>
                <w:szCs w:val="22"/>
                <w:lang w:eastAsia="es-CO"/>
              </w:rPr>
            </w:pPr>
            <w:r w:rsidRPr="007D2FCF">
              <w:rPr>
                <w:rFonts w:ascii="Calibri" w:hAnsi="Calibri" w:cs="Calibri"/>
                <w:b/>
                <w:color w:val="000000"/>
                <w:szCs w:val="22"/>
                <w:lang w:eastAsia="es-CO"/>
              </w:rPr>
              <w:t xml:space="preserve">No. DE RESOLUCIÓN O ACTO: Resolución CREG </w:t>
            </w:r>
            <w:r w:rsidR="008F1BE2">
              <w:rPr>
                <w:rFonts w:ascii="Calibri" w:hAnsi="Calibri" w:cs="Calibri"/>
                <w:b/>
                <w:color w:val="000000"/>
                <w:szCs w:val="22"/>
                <w:lang w:eastAsia="es-CO"/>
              </w:rPr>
              <w:t xml:space="preserve">101 </w:t>
            </w:r>
            <w:r w:rsidR="00391E69">
              <w:rPr>
                <w:rFonts w:ascii="Calibri" w:hAnsi="Calibri" w:cs="Calibri"/>
                <w:b/>
                <w:color w:val="000000"/>
                <w:szCs w:val="22"/>
                <w:lang w:eastAsia="es-CO"/>
              </w:rPr>
              <w:t>035</w:t>
            </w:r>
            <w:r w:rsidRPr="007D2FCF">
              <w:rPr>
                <w:rFonts w:ascii="Calibri" w:hAnsi="Calibri" w:cs="Calibri"/>
                <w:b/>
                <w:color w:val="000000"/>
                <w:szCs w:val="22"/>
                <w:lang w:eastAsia="es-CO"/>
              </w:rPr>
              <w:t xml:space="preserve"> DE 202</w:t>
            </w:r>
            <w:r w:rsidR="00781B34">
              <w:rPr>
                <w:rFonts w:ascii="Calibri" w:hAnsi="Calibri" w:cs="Calibri"/>
                <w:b/>
                <w:color w:val="000000"/>
                <w:szCs w:val="22"/>
                <w:lang w:eastAsia="es-CO"/>
              </w:rPr>
              <w:t>4</w:t>
            </w:r>
          </w:p>
        </w:tc>
      </w:tr>
      <w:tr w:rsidR="0078518A" w:rsidRPr="007D2FCF" w14:paraId="15028F94" w14:textId="77777777" w:rsidTr="32085FC4">
        <w:trPr>
          <w:trHeight w:val="600"/>
        </w:trPr>
        <w:tc>
          <w:tcPr>
            <w:tcW w:w="5430" w:type="dxa"/>
            <w:gridSpan w:val="3"/>
            <w:shd w:val="clear" w:color="auto" w:fill="auto"/>
            <w:vAlign w:val="center"/>
            <w:hideMark/>
          </w:tcPr>
          <w:p w14:paraId="4E96A2FD" w14:textId="77777777" w:rsidR="0078518A" w:rsidRPr="007D2FCF" w:rsidRDefault="0078518A">
            <w:pPr>
              <w:spacing w:before="0" w:after="0"/>
              <w:jc w:val="left"/>
              <w:rPr>
                <w:rFonts w:ascii="Calibri" w:hAnsi="Calibri" w:cs="Calibri"/>
                <w:b/>
                <w:color w:val="000000"/>
                <w:szCs w:val="22"/>
                <w:lang w:eastAsia="es-CO"/>
              </w:rPr>
            </w:pPr>
            <w:r w:rsidRPr="007D2FCF">
              <w:rPr>
                <w:rFonts w:ascii="Calibri" w:hAnsi="Calibri" w:cs="Calibri"/>
                <w:b/>
                <w:color w:val="000000"/>
                <w:szCs w:val="22"/>
                <w:lang w:eastAsia="es-CO"/>
              </w:rPr>
              <w:t>ENTIDAD QUE REMITE:</w:t>
            </w:r>
          </w:p>
        </w:tc>
        <w:tc>
          <w:tcPr>
            <w:tcW w:w="2310" w:type="dxa"/>
            <w:gridSpan w:val="3"/>
            <w:shd w:val="clear" w:color="auto" w:fill="auto"/>
            <w:vAlign w:val="center"/>
            <w:hideMark/>
          </w:tcPr>
          <w:p w14:paraId="03F7A579" w14:textId="77777777" w:rsidR="0078518A" w:rsidRPr="007D2FCF" w:rsidRDefault="0078518A">
            <w:pPr>
              <w:spacing w:before="0" w:after="0"/>
              <w:jc w:val="center"/>
              <w:rPr>
                <w:rFonts w:ascii="Calibri" w:hAnsi="Calibri" w:cs="Calibri"/>
                <w:b/>
                <w:color w:val="000000"/>
                <w:szCs w:val="22"/>
                <w:lang w:eastAsia="es-CO"/>
              </w:rPr>
            </w:pPr>
            <w:r w:rsidRPr="007D2FCF">
              <w:rPr>
                <w:rFonts w:ascii="Calibri" w:hAnsi="Calibri" w:cs="Calibri"/>
                <w:b/>
                <w:color w:val="000000"/>
                <w:szCs w:val="22"/>
                <w:lang w:eastAsia="es-CO"/>
              </w:rPr>
              <w:t>Comisión de Regulación de Energía y Gas</w:t>
            </w:r>
          </w:p>
        </w:tc>
        <w:tc>
          <w:tcPr>
            <w:tcW w:w="1710" w:type="dxa"/>
            <w:shd w:val="clear" w:color="auto" w:fill="auto"/>
            <w:noWrap/>
            <w:vAlign w:val="center"/>
            <w:hideMark/>
          </w:tcPr>
          <w:p w14:paraId="4E93BE91" w14:textId="4AF3514F" w:rsidR="0078518A" w:rsidRPr="007D2FCF" w:rsidRDefault="0078518A">
            <w:pPr>
              <w:spacing w:before="0" w:after="0"/>
              <w:jc w:val="left"/>
              <w:rPr>
                <w:rFonts w:ascii="Calibri" w:hAnsi="Calibri" w:cs="Calibri"/>
                <w:b/>
                <w:color w:val="000000"/>
                <w:szCs w:val="22"/>
                <w:lang w:eastAsia="es-CO"/>
              </w:rPr>
            </w:pPr>
            <w:r w:rsidRPr="007D2FCF">
              <w:rPr>
                <w:rFonts w:ascii="Calibri" w:hAnsi="Calibri" w:cs="Calibri"/>
                <w:b/>
                <w:color w:val="000000"/>
                <w:szCs w:val="22"/>
                <w:lang w:eastAsia="es-CO"/>
              </w:rPr>
              <w:t xml:space="preserve">FECHA: </w:t>
            </w:r>
            <w:r w:rsidR="00391E69" w:rsidRPr="00391E69">
              <w:rPr>
                <w:rFonts w:ascii="Calibri" w:hAnsi="Calibri" w:cs="Calibri"/>
                <w:b/>
                <w:color w:val="000000"/>
                <w:szCs w:val="22"/>
                <w:lang w:eastAsia="es-CO"/>
              </w:rPr>
              <w:t>30</w:t>
            </w:r>
            <w:r w:rsidRPr="00391E69">
              <w:rPr>
                <w:rFonts w:ascii="Calibri" w:hAnsi="Calibri" w:cs="Calibri"/>
                <w:b/>
                <w:color w:val="000000"/>
                <w:szCs w:val="22"/>
                <w:lang w:eastAsia="es-CO"/>
              </w:rPr>
              <w:t>/</w:t>
            </w:r>
            <w:r w:rsidR="00781B34" w:rsidRPr="00391E69">
              <w:rPr>
                <w:rFonts w:ascii="Calibri" w:hAnsi="Calibri" w:cs="Calibri"/>
                <w:b/>
                <w:color w:val="000000"/>
                <w:szCs w:val="22"/>
                <w:lang w:eastAsia="es-CO"/>
              </w:rPr>
              <w:t>01</w:t>
            </w:r>
            <w:r w:rsidRPr="00391E69">
              <w:rPr>
                <w:rFonts w:ascii="Calibri" w:hAnsi="Calibri" w:cs="Calibri"/>
                <w:b/>
                <w:color w:val="000000"/>
                <w:szCs w:val="22"/>
                <w:lang w:eastAsia="es-CO"/>
              </w:rPr>
              <w:t>/202</w:t>
            </w:r>
            <w:r w:rsidR="00781B34" w:rsidRPr="00391E69">
              <w:rPr>
                <w:rFonts w:ascii="Calibri" w:hAnsi="Calibri" w:cs="Calibri"/>
                <w:b/>
                <w:color w:val="000000"/>
                <w:szCs w:val="22"/>
                <w:lang w:eastAsia="es-CO"/>
              </w:rPr>
              <w:t>4</w:t>
            </w:r>
          </w:p>
        </w:tc>
      </w:tr>
      <w:tr w:rsidR="0078518A" w:rsidRPr="007D2FCF" w14:paraId="3946EE7A" w14:textId="77777777" w:rsidTr="32085FC4">
        <w:trPr>
          <w:trHeight w:val="495"/>
        </w:trPr>
        <w:tc>
          <w:tcPr>
            <w:tcW w:w="9450" w:type="dxa"/>
            <w:gridSpan w:val="7"/>
            <w:shd w:val="clear" w:color="auto" w:fill="auto"/>
            <w:noWrap/>
            <w:vAlign w:val="center"/>
            <w:hideMark/>
          </w:tcPr>
          <w:p w14:paraId="1E4ADE82" w14:textId="77777777" w:rsidR="0078518A" w:rsidRPr="007D2FCF" w:rsidRDefault="0078518A">
            <w:pPr>
              <w:spacing w:before="0" w:after="0"/>
              <w:jc w:val="center"/>
              <w:rPr>
                <w:rFonts w:ascii="Calibri" w:hAnsi="Calibri" w:cs="Calibri"/>
                <w:b/>
                <w:color w:val="000000"/>
                <w:szCs w:val="22"/>
                <w:lang w:eastAsia="es-CO"/>
              </w:rPr>
            </w:pPr>
            <w:r w:rsidRPr="007D2FCF">
              <w:rPr>
                <w:rFonts w:ascii="Calibri" w:hAnsi="Calibri" w:cs="Calibri"/>
                <w:b/>
                <w:color w:val="000000"/>
                <w:szCs w:val="22"/>
                <w:lang w:eastAsia="es-CO"/>
              </w:rPr>
              <w:t>CUESTIONARIO</w:t>
            </w:r>
          </w:p>
        </w:tc>
      </w:tr>
      <w:tr w:rsidR="0078518A" w:rsidRPr="007D2FCF" w14:paraId="178BDCEC" w14:textId="77777777" w:rsidTr="32085FC4">
        <w:trPr>
          <w:trHeight w:val="525"/>
        </w:trPr>
        <w:tc>
          <w:tcPr>
            <w:tcW w:w="5430" w:type="dxa"/>
            <w:gridSpan w:val="3"/>
            <w:shd w:val="clear" w:color="auto" w:fill="auto"/>
            <w:noWrap/>
            <w:vAlign w:val="center"/>
            <w:hideMark/>
          </w:tcPr>
          <w:p w14:paraId="7137A292" w14:textId="77777777" w:rsidR="0078518A" w:rsidRPr="007D2FCF" w:rsidRDefault="0078518A">
            <w:pPr>
              <w:spacing w:before="0" w:after="0"/>
              <w:jc w:val="center"/>
              <w:rPr>
                <w:rFonts w:ascii="Calibri" w:hAnsi="Calibri" w:cs="Calibri"/>
                <w:b/>
                <w:color w:val="000000"/>
                <w:szCs w:val="22"/>
                <w:lang w:eastAsia="es-CO"/>
              </w:rPr>
            </w:pPr>
            <w:r w:rsidRPr="007D2FCF">
              <w:rPr>
                <w:rFonts w:ascii="Calibri" w:hAnsi="Calibri" w:cs="Calibri"/>
                <w:b/>
                <w:color w:val="000000"/>
                <w:szCs w:val="22"/>
                <w:lang w:eastAsia="es-CO"/>
              </w:rPr>
              <w:t>PREGUNTA</w:t>
            </w:r>
          </w:p>
        </w:tc>
        <w:tc>
          <w:tcPr>
            <w:tcW w:w="420" w:type="dxa"/>
            <w:shd w:val="clear" w:color="auto" w:fill="auto"/>
            <w:noWrap/>
            <w:vAlign w:val="center"/>
            <w:hideMark/>
          </w:tcPr>
          <w:p w14:paraId="7E64BC96" w14:textId="77777777" w:rsidR="0078518A" w:rsidRPr="007D2FCF" w:rsidRDefault="0078518A">
            <w:pPr>
              <w:spacing w:before="0" w:after="0"/>
              <w:jc w:val="center"/>
              <w:rPr>
                <w:rFonts w:ascii="Calibri" w:hAnsi="Calibri" w:cs="Calibri"/>
                <w:b/>
                <w:color w:val="000000"/>
                <w:szCs w:val="22"/>
                <w:lang w:eastAsia="es-CO"/>
              </w:rPr>
            </w:pPr>
            <w:r w:rsidRPr="007D2FCF">
              <w:rPr>
                <w:rFonts w:ascii="Calibri" w:hAnsi="Calibri" w:cs="Calibri"/>
                <w:b/>
                <w:color w:val="000000"/>
                <w:szCs w:val="22"/>
                <w:lang w:eastAsia="es-CO"/>
              </w:rPr>
              <w:t>SI</w:t>
            </w:r>
          </w:p>
        </w:tc>
        <w:tc>
          <w:tcPr>
            <w:tcW w:w="450" w:type="dxa"/>
            <w:shd w:val="clear" w:color="auto" w:fill="auto"/>
            <w:noWrap/>
            <w:vAlign w:val="center"/>
            <w:hideMark/>
          </w:tcPr>
          <w:p w14:paraId="79A3C8F0" w14:textId="77777777" w:rsidR="0078518A" w:rsidRPr="007D2FCF" w:rsidRDefault="0078518A">
            <w:pPr>
              <w:spacing w:before="0" w:after="0"/>
              <w:jc w:val="center"/>
              <w:rPr>
                <w:rFonts w:ascii="Calibri" w:hAnsi="Calibri" w:cs="Calibri"/>
                <w:b/>
                <w:color w:val="000000"/>
                <w:szCs w:val="22"/>
                <w:lang w:eastAsia="es-CO"/>
              </w:rPr>
            </w:pPr>
            <w:r w:rsidRPr="007D2FCF">
              <w:rPr>
                <w:rFonts w:ascii="Calibri" w:hAnsi="Calibri" w:cs="Calibri"/>
                <w:b/>
                <w:color w:val="000000"/>
                <w:szCs w:val="22"/>
                <w:lang w:eastAsia="es-CO"/>
              </w:rPr>
              <w:t>NO</w:t>
            </w:r>
          </w:p>
        </w:tc>
        <w:tc>
          <w:tcPr>
            <w:tcW w:w="1440" w:type="dxa"/>
            <w:shd w:val="clear" w:color="auto" w:fill="auto"/>
            <w:noWrap/>
            <w:vAlign w:val="center"/>
            <w:hideMark/>
          </w:tcPr>
          <w:p w14:paraId="1B60A889" w14:textId="77777777" w:rsidR="0078518A" w:rsidRPr="007D2FCF" w:rsidRDefault="0078518A">
            <w:pPr>
              <w:spacing w:before="0" w:after="0"/>
              <w:jc w:val="center"/>
              <w:rPr>
                <w:rFonts w:ascii="Calibri" w:hAnsi="Calibri" w:cs="Calibri"/>
                <w:b/>
                <w:color w:val="000000"/>
                <w:szCs w:val="22"/>
                <w:lang w:eastAsia="es-CO"/>
              </w:rPr>
            </w:pPr>
            <w:r w:rsidRPr="007D2FCF">
              <w:rPr>
                <w:rFonts w:ascii="Calibri" w:hAnsi="Calibri" w:cs="Calibri"/>
                <w:b/>
                <w:color w:val="000000"/>
                <w:szCs w:val="22"/>
                <w:lang w:eastAsia="es-CO"/>
              </w:rPr>
              <w:t xml:space="preserve">EXPLICACIÓN </w:t>
            </w:r>
          </w:p>
        </w:tc>
        <w:tc>
          <w:tcPr>
            <w:tcW w:w="1710" w:type="dxa"/>
            <w:shd w:val="clear" w:color="auto" w:fill="auto"/>
            <w:noWrap/>
            <w:vAlign w:val="center"/>
            <w:hideMark/>
          </w:tcPr>
          <w:p w14:paraId="662E414C" w14:textId="77777777" w:rsidR="0078518A" w:rsidRPr="007D2FCF" w:rsidRDefault="0078518A">
            <w:pPr>
              <w:spacing w:before="0" w:after="0"/>
              <w:jc w:val="center"/>
              <w:rPr>
                <w:rFonts w:ascii="Calibri" w:hAnsi="Calibri" w:cs="Calibri"/>
                <w:b/>
                <w:color w:val="000000"/>
                <w:szCs w:val="22"/>
                <w:lang w:eastAsia="es-CO"/>
              </w:rPr>
            </w:pPr>
            <w:r w:rsidRPr="007D2FCF">
              <w:rPr>
                <w:rFonts w:ascii="Calibri" w:hAnsi="Calibri" w:cs="Calibri"/>
                <w:b/>
                <w:color w:val="000000"/>
                <w:szCs w:val="22"/>
                <w:lang w:eastAsia="es-CO"/>
              </w:rPr>
              <w:t>OBSERVACIONES</w:t>
            </w:r>
          </w:p>
        </w:tc>
      </w:tr>
      <w:tr w:rsidR="0078518A" w:rsidRPr="007D2FCF" w14:paraId="6C31AEAF" w14:textId="77777777" w:rsidTr="32085FC4">
        <w:trPr>
          <w:trHeight w:val="840"/>
        </w:trPr>
        <w:tc>
          <w:tcPr>
            <w:tcW w:w="720" w:type="dxa"/>
            <w:gridSpan w:val="2"/>
            <w:shd w:val="clear" w:color="auto" w:fill="auto"/>
            <w:noWrap/>
            <w:vAlign w:val="center"/>
            <w:hideMark/>
          </w:tcPr>
          <w:p w14:paraId="6BA71B2E" w14:textId="77777777" w:rsidR="0078518A" w:rsidRPr="007D2FCF" w:rsidRDefault="0078518A">
            <w:pPr>
              <w:spacing w:before="0" w:after="0"/>
              <w:jc w:val="center"/>
              <w:rPr>
                <w:rFonts w:ascii="Calibri" w:hAnsi="Calibri" w:cs="Calibri"/>
                <w:b/>
                <w:color w:val="000000"/>
                <w:szCs w:val="22"/>
                <w:lang w:eastAsia="es-CO"/>
              </w:rPr>
            </w:pPr>
            <w:r w:rsidRPr="007D2FCF">
              <w:rPr>
                <w:rFonts w:ascii="Calibri" w:hAnsi="Calibri" w:cs="Calibri"/>
                <w:b/>
                <w:color w:val="000000"/>
                <w:szCs w:val="22"/>
                <w:lang w:eastAsia="es-CO"/>
              </w:rPr>
              <w:t>1.</w:t>
            </w:r>
          </w:p>
        </w:tc>
        <w:tc>
          <w:tcPr>
            <w:tcW w:w="8730" w:type="dxa"/>
            <w:gridSpan w:val="5"/>
            <w:shd w:val="clear" w:color="auto" w:fill="auto"/>
            <w:vAlign w:val="center"/>
            <w:hideMark/>
          </w:tcPr>
          <w:p w14:paraId="04CA9E90" w14:textId="77777777" w:rsidR="0078518A" w:rsidRPr="007D2FCF" w:rsidRDefault="0078518A">
            <w:pPr>
              <w:spacing w:before="0" w:after="0"/>
              <w:jc w:val="left"/>
              <w:rPr>
                <w:rFonts w:ascii="Calibri" w:hAnsi="Calibri" w:cs="Calibri"/>
                <w:b/>
                <w:color w:val="000000"/>
                <w:szCs w:val="22"/>
                <w:lang w:eastAsia="es-CO"/>
              </w:rPr>
            </w:pPr>
            <w:r w:rsidRPr="007D2FCF">
              <w:rPr>
                <w:rFonts w:ascii="Calibri" w:hAnsi="Calibri" w:cs="Calibri"/>
                <w:b/>
                <w:color w:val="000000"/>
                <w:szCs w:val="22"/>
                <w:lang w:eastAsia="es-CO"/>
              </w:rPr>
              <w:t>¿La regulación limita el número o la variedad de las empresas en uno o varios mercados relevantes relacionados?</w:t>
            </w:r>
            <w:r w:rsidRPr="007D2FCF">
              <w:rPr>
                <w:rFonts w:ascii="Calibri" w:hAnsi="Calibri" w:cs="Calibri"/>
                <w:b/>
                <w:color w:val="000000"/>
                <w:szCs w:val="22"/>
                <w:lang w:eastAsia="es-CO"/>
              </w:rPr>
              <w:br/>
              <w:t>Es posible que esto suceda, entre otros eventos, cuando el proyecto de acto:</w:t>
            </w:r>
          </w:p>
        </w:tc>
      </w:tr>
      <w:tr w:rsidR="008E39E4" w:rsidRPr="007D2FCF" w14:paraId="632D65DD" w14:textId="77777777" w:rsidTr="32085FC4">
        <w:trPr>
          <w:trHeight w:val="657"/>
        </w:trPr>
        <w:tc>
          <w:tcPr>
            <w:tcW w:w="720" w:type="dxa"/>
            <w:gridSpan w:val="2"/>
            <w:shd w:val="clear" w:color="auto" w:fill="auto"/>
            <w:noWrap/>
            <w:vAlign w:val="center"/>
            <w:hideMark/>
          </w:tcPr>
          <w:p w14:paraId="49076E81" w14:textId="77777777" w:rsidR="0078518A" w:rsidRPr="007D2FCF" w:rsidRDefault="0078518A">
            <w:pPr>
              <w:spacing w:before="0" w:after="0"/>
              <w:jc w:val="center"/>
              <w:rPr>
                <w:rFonts w:ascii="Calibri" w:hAnsi="Calibri" w:cs="Calibri"/>
                <w:bCs w:val="0"/>
                <w:color w:val="000000"/>
                <w:szCs w:val="22"/>
                <w:lang w:eastAsia="es-CO"/>
              </w:rPr>
            </w:pPr>
            <w:r w:rsidRPr="007D2FCF">
              <w:rPr>
                <w:rFonts w:ascii="Calibri" w:hAnsi="Calibri" w:cs="Calibri"/>
                <w:bCs w:val="0"/>
                <w:color w:val="000000"/>
                <w:szCs w:val="22"/>
                <w:lang w:eastAsia="es-CO"/>
              </w:rPr>
              <w:t>a)</w:t>
            </w:r>
          </w:p>
        </w:tc>
        <w:tc>
          <w:tcPr>
            <w:tcW w:w="4710" w:type="dxa"/>
            <w:shd w:val="clear" w:color="auto" w:fill="auto"/>
            <w:vAlign w:val="center"/>
            <w:hideMark/>
          </w:tcPr>
          <w:p w14:paraId="3D271950" w14:textId="77777777" w:rsidR="0078518A" w:rsidRPr="007D2FCF" w:rsidRDefault="0078518A">
            <w:pPr>
              <w:spacing w:before="0" w:after="0"/>
              <w:jc w:val="left"/>
              <w:rPr>
                <w:rFonts w:ascii="Calibri" w:hAnsi="Calibri" w:cs="Calibri"/>
                <w:bCs w:val="0"/>
                <w:color w:val="000000"/>
                <w:szCs w:val="22"/>
                <w:lang w:eastAsia="es-CO"/>
              </w:rPr>
            </w:pPr>
            <w:r w:rsidRPr="007D2FCF">
              <w:rPr>
                <w:rFonts w:ascii="Calibri" w:hAnsi="Calibri" w:cs="Calibri"/>
                <w:bCs w:val="0"/>
                <w:color w:val="000000"/>
                <w:szCs w:val="22"/>
                <w:lang w:eastAsia="es-CO"/>
              </w:rPr>
              <w:t>Otorga derechos exclusivos a una empresa para prestar servicios o para ofrecer bienes.</w:t>
            </w:r>
          </w:p>
        </w:tc>
        <w:tc>
          <w:tcPr>
            <w:tcW w:w="420" w:type="dxa"/>
            <w:shd w:val="clear" w:color="auto" w:fill="auto"/>
            <w:noWrap/>
            <w:vAlign w:val="center"/>
            <w:hideMark/>
          </w:tcPr>
          <w:p w14:paraId="2002F2B9" w14:textId="77777777" w:rsidR="0078518A" w:rsidRPr="007D2FCF" w:rsidRDefault="0078518A">
            <w:pPr>
              <w:spacing w:before="0" w:after="0"/>
              <w:jc w:val="center"/>
              <w:rPr>
                <w:rFonts w:ascii="Calibri" w:hAnsi="Calibri" w:cs="Calibri"/>
                <w:bCs w:val="0"/>
                <w:color w:val="000000"/>
                <w:szCs w:val="22"/>
                <w:lang w:eastAsia="es-CO"/>
              </w:rPr>
            </w:pPr>
          </w:p>
        </w:tc>
        <w:tc>
          <w:tcPr>
            <w:tcW w:w="450" w:type="dxa"/>
            <w:shd w:val="clear" w:color="auto" w:fill="auto"/>
            <w:noWrap/>
            <w:vAlign w:val="center"/>
            <w:hideMark/>
          </w:tcPr>
          <w:p w14:paraId="2C2662D3" w14:textId="77777777" w:rsidR="0078518A" w:rsidRPr="007D2FCF" w:rsidRDefault="0078518A">
            <w:pPr>
              <w:spacing w:before="0" w:after="0"/>
              <w:jc w:val="center"/>
              <w:rPr>
                <w:rFonts w:ascii="Calibri" w:hAnsi="Calibri" w:cs="Calibri"/>
                <w:bCs w:val="0"/>
                <w:color w:val="000000"/>
                <w:szCs w:val="22"/>
                <w:lang w:eastAsia="es-CO"/>
              </w:rPr>
            </w:pPr>
            <w:r w:rsidRPr="007D2FCF">
              <w:rPr>
                <w:rFonts w:ascii="Calibri" w:hAnsi="Calibri" w:cs="Calibri"/>
                <w:bCs w:val="0"/>
                <w:color w:val="000000"/>
                <w:szCs w:val="22"/>
                <w:lang w:eastAsia="es-CO"/>
              </w:rPr>
              <w:t>X</w:t>
            </w:r>
          </w:p>
        </w:tc>
        <w:tc>
          <w:tcPr>
            <w:tcW w:w="1440" w:type="dxa"/>
            <w:shd w:val="clear" w:color="auto" w:fill="auto"/>
            <w:noWrap/>
            <w:vAlign w:val="center"/>
            <w:hideMark/>
          </w:tcPr>
          <w:p w14:paraId="57A9F44B" w14:textId="0F511658" w:rsidR="0078518A" w:rsidRPr="007D2FCF" w:rsidRDefault="16934777" w:rsidP="32085FC4">
            <w:pPr>
              <w:spacing w:before="0" w:after="0"/>
              <w:rPr>
                <w:rFonts w:ascii="Calibri" w:hAnsi="Calibri" w:cs="Calibri"/>
                <w:color w:val="000000"/>
                <w:sz w:val="16"/>
                <w:szCs w:val="16"/>
                <w:lang w:eastAsia="es-CO"/>
              </w:rPr>
            </w:pPr>
            <w:r w:rsidRPr="32085FC4">
              <w:rPr>
                <w:rFonts w:ascii="Calibri" w:hAnsi="Calibri" w:cs="Calibri"/>
                <w:color w:val="000000" w:themeColor="text1"/>
                <w:sz w:val="16"/>
                <w:szCs w:val="16"/>
                <w:lang w:eastAsia="es-CO"/>
              </w:rPr>
              <w:t xml:space="preserve">Con la presente resolución </w:t>
            </w:r>
            <w:r w:rsidR="326ABDDB" w:rsidRPr="494D33A9">
              <w:rPr>
                <w:rFonts w:ascii="Calibri" w:hAnsi="Calibri" w:cs="Calibri"/>
                <w:color w:val="000000" w:themeColor="text1"/>
                <w:sz w:val="16"/>
                <w:szCs w:val="16"/>
                <w:lang w:eastAsia="es-CO"/>
              </w:rPr>
              <w:t>no</w:t>
            </w:r>
            <w:r w:rsidRPr="32085FC4">
              <w:rPr>
                <w:rFonts w:ascii="Calibri" w:hAnsi="Calibri" w:cs="Calibri"/>
                <w:color w:val="000000" w:themeColor="text1"/>
                <w:sz w:val="16"/>
                <w:szCs w:val="16"/>
                <w:lang w:eastAsia="es-CO"/>
              </w:rPr>
              <w:t xml:space="preserve"> se </w:t>
            </w:r>
            <w:r w:rsidR="326ABDDB" w:rsidRPr="494D33A9">
              <w:rPr>
                <w:rFonts w:ascii="Calibri" w:hAnsi="Calibri" w:cs="Calibri"/>
                <w:color w:val="000000" w:themeColor="text1"/>
                <w:sz w:val="16"/>
                <w:szCs w:val="16"/>
                <w:lang w:eastAsia="es-CO"/>
              </w:rPr>
              <w:t>dan</w:t>
            </w:r>
            <w:r w:rsidRPr="32085FC4">
              <w:rPr>
                <w:rFonts w:ascii="Calibri" w:hAnsi="Calibri" w:cs="Calibri"/>
                <w:color w:val="000000" w:themeColor="text1"/>
                <w:sz w:val="16"/>
                <w:szCs w:val="16"/>
                <w:lang w:eastAsia="es-CO"/>
              </w:rPr>
              <w:t xml:space="preserve"> derechos </w:t>
            </w:r>
            <w:r w:rsidR="000B7C89" w:rsidRPr="32085FC4">
              <w:rPr>
                <w:rFonts w:ascii="Calibri" w:hAnsi="Calibri" w:cs="Calibri"/>
                <w:color w:val="000000" w:themeColor="text1"/>
                <w:sz w:val="16"/>
                <w:szCs w:val="16"/>
                <w:lang w:eastAsia="es-CO"/>
              </w:rPr>
              <w:t>exclusivos</w:t>
            </w:r>
            <w:r w:rsidRPr="32085FC4">
              <w:rPr>
                <w:rFonts w:ascii="Calibri" w:hAnsi="Calibri" w:cs="Calibri"/>
                <w:color w:val="000000" w:themeColor="text1"/>
                <w:sz w:val="16"/>
                <w:szCs w:val="16"/>
                <w:lang w:eastAsia="es-CO"/>
              </w:rPr>
              <w:t xml:space="preserve"> a las empresas para la prestación del servicio público domic</w:t>
            </w:r>
            <w:r w:rsidR="4DF404F0" w:rsidRPr="32085FC4">
              <w:rPr>
                <w:rFonts w:ascii="Calibri" w:hAnsi="Calibri" w:cs="Calibri"/>
                <w:color w:val="000000" w:themeColor="text1"/>
                <w:sz w:val="16"/>
                <w:szCs w:val="16"/>
                <w:lang w:eastAsia="es-CO"/>
              </w:rPr>
              <w:t>iliario de energía eléctrica.</w:t>
            </w:r>
            <w:r w:rsidR="0026470C">
              <w:rPr>
                <w:rFonts w:ascii="Calibri" w:hAnsi="Calibri" w:cs="Calibri"/>
                <w:color w:val="000000" w:themeColor="text1"/>
                <w:sz w:val="16"/>
                <w:szCs w:val="16"/>
                <w:lang w:eastAsia="es-CO"/>
              </w:rPr>
              <w:t xml:space="preserve"> La norma es general para todas las empresas del país.</w:t>
            </w:r>
          </w:p>
        </w:tc>
        <w:tc>
          <w:tcPr>
            <w:tcW w:w="1710" w:type="dxa"/>
            <w:shd w:val="clear" w:color="auto" w:fill="auto"/>
            <w:noWrap/>
            <w:vAlign w:val="center"/>
            <w:hideMark/>
          </w:tcPr>
          <w:p w14:paraId="6EEEA639" w14:textId="28A5B561" w:rsidR="0078518A" w:rsidRPr="007D2FCF" w:rsidRDefault="6937F225" w:rsidP="32085FC4">
            <w:pPr>
              <w:spacing w:before="0" w:after="0"/>
              <w:rPr>
                <w:sz w:val="16"/>
                <w:szCs w:val="16"/>
              </w:rPr>
            </w:pPr>
            <w:r w:rsidRPr="32085FC4">
              <w:rPr>
                <w:sz w:val="16"/>
                <w:szCs w:val="16"/>
              </w:rPr>
              <w:t xml:space="preserve">El principal </w:t>
            </w:r>
            <w:r w:rsidR="23D207F1" w:rsidRPr="32085FC4">
              <w:rPr>
                <w:sz w:val="16"/>
                <w:szCs w:val="16"/>
              </w:rPr>
              <w:t>objetivo de</w:t>
            </w:r>
            <w:r w:rsidRPr="32085FC4">
              <w:rPr>
                <w:sz w:val="16"/>
                <w:szCs w:val="16"/>
              </w:rPr>
              <w:t xml:space="preserve"> la presente </w:t>
            </w:r>
            <w:r w:rsidR="000B7C89" w:rsidRPr="32085FC4">
              <w:rPr>
                <w:sz w:val="16"/>
                <w:szCs w:val="16"/>
              </w:rPr>
              <w:t>resolución consiste</w:t>
            </w:r>
            <w:r w:rsidRPr="32085FC4">
              <w:rPr>
                <w:sz w:val="16"/>
                <w:szCs w:val="16"/>
              </w:rPr>
              <w:t xml:space="preserve"> en minimizar o eliminar el cobro por el transporte de energía reactiva capacitiva causado por algunos pocos reactivos inyectados a la red</w:t>
            </w:r>
            <w:r w:rsidR="00813BBA">
              <w:rPr>
                <w:sz w:val="16"/>
                <w:szCs w:val="16"/>
              </w:rPr>
              <w:t>, de manera general, en todos los mercados de comercialización del país</w:t>
            </w:r>
            <w:r w:rsidRPr="32085FC4">
              <w:rPr>
                <w:sz w:val="16"/>
                <w:szCs w:val="16"/>
              </w:rPr>
              <w:t>.</w:t>
            </w:r>
          </w:p>
          <w:p w14:paraId="2E0DD191" w14:textId="4C4B639D" w:rsidR="0078518A" w:rsidRPr="007D2FCF" w:rsidRDefault="0078518A" w:rsidP="32085FC4">
            <w:pPr>
              <w:spacing w:before="0" w:after="0"/>
              <w:jc w:val="center"/>
              <w:rPr>
                <w:rFonts w:ascii="Calibri" w:hAnsi="Calibri" w:cs="Calibri"/>
                <w:color w:val="000000"/>
                <w:sz w:val="16"/>
                <w:szCs w:val="16"/>
                <w:lang w:eastAsia="es-CO"/>
              </w:rPr>
            </w:pPr>
          </w:p>
        </w:tc>
      </w:tr>
      <w:tr w:rsidR="008E39E4" w:rsidRPr="007D2FCF" w14:paraId="3F7DC0E8" w14:textId="77777777" w:rsidTr="32085FC4">
        <w:trPr>
          <w:trHeight w:val="695"/>
        </w:trPr>
        <w:tc>
          <w:tcPr>
            <w:tcW w:w="720" w:type="dxa"/>
            <w:gridSpan w:val="2"/>
            <w:shd w:val="clear" w:color="auto" w:fill="auto"/>
            <w:noWrap/>
            <w:vAlign w:val="center"/>
            <w:hideMark/>
          </w:tcPr>
          <w:p w14:paraId="5FA9C658" w14:textId="77777777" w:rsidR="0078518A" w:rsidRPr="007D2FCF" w:rsidRDefault="0078518A">
            <w:pPr>
              <w:spacing w:before="0" w:after="0"/>
              <w:jc w:val="center"/>
              <w:rPr>
                <w:rFonts w:ascii="Calibri" w:hAnsi="Calibri" w:cs="Calibri"/>
                <w:bCs w:val="0"/>
                <w:color w:val="000000"/>
                <w:szCs w:val="22"/>
                <w:lang w:eastAsia="es-CO"/>
              </w:rPr>
            </w:pPr>
            <w:r w:rsidRPr="007D2FCF">
              <w:rPr>
                <w:rFonts w:ascii="Calibri" w:hAnsi="Calibri" w:cs="Calibri"/>
                <w:bCs w:val="0"/>
                <w:color w:val="000000"/>
                <w:szCs w:val="22"/>
                <w:lang w:eastAsia="es-CO"/>
              </w:rPr>
              <w:t>b)</w:t>
            </w:r>
          </w:p>
        </w:tc>
        <w:tc>
          <w:tcPr>
            <w:tcW w:w="4710" w:type="dxa"/>
            <w:shd w:val="clear" w:color="auto" w:fill="auto"/>
            <w:vAlign w:val="center"/>
            <w:hideMark/>
          </w:tcPr>
          <w:p w14:paraId="0F2B0FDD" w14:textId="77777777" w:rsidR="0078518A" w:rsidRPr="007D2FCF" w:rsidRDefault="0078518A">
            <w:pPr>
              <w:spacing w:before="0" w:after="0"/>
              <w:jc w:val="left"/>
              <w:rPr>
                <w:rFonts w:ascii="Calibri" w:hAnsi="Calibri" w:cs="Calibri"/>
                <w:bCs w:val="0"/>
                <w:color w:val="000000"/>
                <w:szCs w:val="22"/>
                <w:lang w:eastAsia="es-CO"/>
              </w:rPr>
            </w:pPr>
            <w:r w:rsidRPr="007D2FCF">
              <w:rPr>
                <w:rFonts w:ascii="Calibri" w:hAnsi="Calibri" w:cs="Calibri"/>
                <w:bCs w:val="0"/>
                <w:color w:val="000000"/>
                <w:szCs w:val="22"/>
                <w:lang w:eastAsia="es-CO"/>
              </w:rPr>
              <w:t>Establece licencias, permisos, autorizaciones para operar o cuotas de producción o de venta.</w:t>
            </w:r>
          </w:p>
        </w:tc>
        <w:tc>
          <w:tcPr>
            <w:tcW w:w="420" w:type="dxa"/>
            <w:shd w:val="clear" w:color="auto" w:fill="auto"/>
            <w:noWrap/>
            <w:vAlign w:val="center"/>
            <w:hideMark/>
          </w:tcPr>
          <w:p w14:paraId="020C485D" w14:textId="77777777" w:rsidR="0078518A" w:rsidRPr="007D2FCF" w:rsidRDefault="0078518A">
            <w:pPr>
              <w:spacing w:before="0" w:after="0"/>
              <w:jc w:val="center"/>
              <w:rPr>
                <w:rFonts w:ascii="Calibri" w:hAnsi="Calibri" w:cs="Calibri"/>
                <w:bCs w:val="0"/>
                <w:color w:val="000000"/>
                <w:szCs w:val="22"/>
                <w:lang w:eastAsia="es-CO"/>
              </w:rPr>
            </w:pPr>
          </w:p>
        </w:tc>
        <w:tc>
          <w:tcPr>
            <w:tcW w:w="450" w:type="dxa"/>
            <w:shd w:val="clear" w:color="auto" w:fill="auto"/>
            <w:noWrap/>
            <w:vAlign w:val="center"/>
            <w:hideMark/>
          </w:tcPr>
          <w:p w14:paraId="2C40B84E" w14:textId="77777777" w:rsidR="0078518A" w:rsidRPr="007D2FCF" w:rsidRDefault="0078518A">
            <w:pPr>
              <w:spacing w:before="0" w:after="0"/>
              <w:jc w:val="center"/>
              <w:rPr>
                <w:rFonts w:ascii="Calibri" w:hAnsi="Calibri" w:cs="Calibri"/>
                <w:bCs w:val="0"/>
                <w:color w:val="000000"/>
                <w:szCs w:val="22"/>
                <w:lang w:eastAsia="es-CO"/>
              </w:rPr>
            </w:pPr>
            <w:r w:rsidRPr="007D2FCF">
              <w:rPr>
                <w:rFonts w:ascii="Calibri" w:hAnsi="Calibri" w:cs="Calibri"/>
                <w:bCs w:val="0"/>
                <w:color w:val="000000"/>
                <w:szCs w:val="22"/>
                <w:lang w:eastAsia="es-CO"/>
              </w:rPr>
              <w:t>X</w:t>
            </w:r>
          </w:p>
        </w:tc>
        <w:tc>
          <w:tcPr>
            <w:tcW w:w="1440" w:type="dxa"/>
            <w:shd w:val="clear" w:color="auto" w:fill="auto"/>
            <w:vAlign w:val="center"/>
            <w:hideMark/>
          </w:tcPr>
          <w:p w14:paraId="49EB5BBC" w14:textId="696C2893" w:rsidR="0078518A" w:rsidRPr="007D2FCF" w:rsidRDefault="00E83D1D" w:rsidP="32085FC4">
            <w:pPr>
              <w:spacing w:before="0" w:after="0"/>
              <w:jc w:val="center"/>
              <w:rPr>
                <w:rFonts w:ascii="Calibri" w:hAnsi="Calibri" w:cs="Calibri"/>
                <w:color w:val="000000"/>
                <w:sz w:val="16"/>
                <w:szCs w:val="16"/>
                <w:lang w:eastAsia="es-CO"/>
              </w:rPr>
            </w:pPr>
            <w:r>
              <w:rPr>
                <w:rFonts w:ascii="Calibri" w:hAnsi="Calibri" w:cs="Calibri"/>
                <w:color w:val="000000" w:themeColor="text1"/>
                <w:sz w:val="16"/>
                <w:szCs w:val="16"/>
                <w:lang w:eastAsia="es-CO"/>
              </w:rPr>
              <w:t xml:space="preserve">La </w:t>
            </w:r>
            <w:r w:rsidR="6C7259E4" w:rsidRPr="494D33A9">
              <w:rPr>
                <w:rFonts w:ascii="Calibri" w:hAnsi="Calibri" w:cs="Calibri"/>
                <w:color w:val="000000" w:themeColor="text1"/>
                <w:sz w:val="16"/>
                <w:szCs w:val="16"/>
                <w:lang w:eastAsia="es-CO"/>
              </w:rPr>
              <w:t xml:space="preserve">resolución </w:t>
            </w:r>
            <w:r>
              <w:rPr>
                <w:rFonts w:ascii="Calibri" w:hAnsi="Calibri" w:cs="Calibri"/>
                <w:color w:val="000000" w:themeColor="text1"/>
                <w:sz w:val="16"/>
                <w:szCs w:val="16"/>
                <w:lang w:eastAsia="es-CO"/>
              </w:rPr>
              <w:t xml:space="preserve">modifica un estándar general y </w:t>
            </w:r>
            <w:r w:rsidR="6C7259E4" w:rsidRPr="494D33A9">
              <w:rPr>
                <w:rFonts w:ascii="Calibri" w:hAnsi="Calibri" w:cs="Calibri"/>
                <w:color w:val="000000" w:themeColor="text1"/>
                <w:sz w:val="16"/>
                <w:szCs w:val="16"/>
                <w:lang w:eastAsia="es-CO"/>
              </w:rPr>
              <w:t xml:space="preserve">no </w:t>
            </w:r>
            <w:r w:rsidR="48150774" w:rsidRPr="494D33A9">
              <w:rPr>
                <w:rFonts w:ascii="Calibri" w:hAnsi="Calibri" w:cs="Calibri"/>
                <w:color w:val="000000" w:themeColor="text1"/>
                <w:sz w:val="16"/>
                <w:szCs w:val="16"/>
                <w:lang w:eastAsia="es-CO"/>
              </w:rPr>
              <w:t>establec</w:t>
            </w:r>
            <w:r>
              <w:rPr>
                <w:rFonts w:ascii="Calibri" w:hAnsi="Calibri" w:cs="Calibri"/>
                <w:color w:val="000000" w:themeColor="text1"/>
                <w:sz w:val="16"/>
                <w:szCs w:val="16"/>
                <w:lang w:eastAsia="es-CO"/>
              </w:rPr>
              <w:t>e</w:t>
            </w:r>
            <w:r w:rsidR="48150774" w:rsidRPr="494D33A9">
              <w:rPr>
                <w:rFonts w:ascii="Calibri" w:hAnsi="Calibri" w:cs="Calibri"/>
                <w:color w:val="000000" w:themeColor="text1"/>
                <w:sz w:val="16"/>
                <w:szCs w:val="16"/>
                <w:lang w:eastAsia="es-CO"/>
              </w:rPr>
              <w:t xml:space="preserve"> </w:t>
            </w:r>
            <w:r w:rsidR="00F53BC2">
              <w:rPr>
                <w:rFonts w:ascii="Calibri" w:hAnsi="Calibri" w:cs="Calibri"/>
                <w:color w:val="000000" w:themeColor="text1"/>
                <w:sz w:val="16"/>
                <w:szCs w:val="16"/>
                <w:lang w:eastAsia="es-CO"/>
              </w:rPr>
              <w:t>ni licencias ni permisos o autorizaciones para operar ni cuotas de venta</w:t>
            </w:r>
            <w:r w:rsidR="0CF6BF87" w:rsidRPr="494D33A9">
              <w:rPr>
                <w:rFonts w:ascii="Calibri" w:hAnsi="Calibri" w:cs="Calibri"/>
                <w:color w:val="000000" w:themeColor="text1"/>
                <w:sz w:val="16"/>
                <w:szCs w:val="16"/>
                <w:lang w:eastAsia="es-CO"/>
              </w:rPr>
              <w:t>s</w:t>
            </w:r>
            <w:r w:rsidR="6C7259E4" w:rsidRPr="494D33A9">
              <w:rPr>
                <w:rFonts w:ascii="Calibri" w:hAnsi="Calibri" w:cs="Calibri"/>
                <w:color w:val="000000" w:themeColor="text1"/>
                <w:sz w:val="16"/>
                <w:szCs w:val="16"/>
                <w:lang w:eastAsia="es-CO"/>
              </w:rPr>
              <w:t>.</w:t>
            </w:r>
          </w:p>
        </w:tc>
        <w:tc>
          <w:tcPr>
            <w:tcW w:w="1710" w:type="dxa"/>
            <w:shd w:val="clear" w:color="auto" w:fill="auto"/>
            <w:vAlign w:val="center"/>
            <w:hideMark/>
          </w:tcPr>
          <w:p w14:paraId="4E0B5D3D" w14:textId="45B46567" w:rsidR="0078518A" w:rsidRPr="007D2FCF" w:rsidRDefault="3A6FCE8B" w:rsidP="32085FC4">
            <w:pPr>
              <w:spacing w:before="0" w:after="0"/>
              <w:rPr>
                <w:sz w:val="16"/>
                <w:szCs w:val="16"/>
              </w:rPr>
            </w:pPr>
            <w:r w:rsidRPr="32085FC4">
              <w:rPr>
                <w:sz w:val="16"/>
                <w:szCs w:val="16"/>
              </w:rPr>
              <w:t>El principal objetivo de la presente resolución</w:t>
            </w:r>
            <w:r w:rsidR="000B7C89">
              <w:rPr>
                <w:sz w:val="16"/>
                <w:szCs w:val="16"/>
              </w:rPr>
              <w:t xml:space="preserve"> </w:t>
            </w:r>
            <w:r w:rsidRPr="32085FC4">
              <w:rPr>
                <w:sz w:val="16"/>
                <w:szCs w:val="16"/>
              </w:rPr>
              <w:t>consiste en minimizar o eliminar el cobro por el transporte de energía reactiva capacitiva causado por algunos pocos reactivos inyectados a la red.</w:t>
            </w:r>
          </w:p>
          <w:p w14:paraId="652B0C24" w14:textId="436AF39C" w:rsidR="0078518A" w:rsidRPr="007D2FCF" w:rsidRDefault="0078518A" w:rsidP="32085FC4">
            <w:pPr>
              <w:spacing w:before="0" w:after="0"/>
              <w:jc w:val="center"/>
              <w:rPr>
                <w:rFonts w:ascii="Calibri" w:hAnsi="Calibri" w:cs="Calibri"/>
                <w:color w:val="000000"/>
                <w:lang w:eastAsia="es-CO"/>
              </w:rPr>
            </w:pPr>
          </w:p>
        </w:tc>
      </w:tr>
      <w:tr w:rsidR="008E39E4" w:rsidRPr="007D2FCF" w14:paraId="042D79AA" w14:textId="77777777" w:rsidTr="32085FC4">
        <w:trPr>
          <w:trHeight w:val="691"/>
        </w:trPr>
        <w:tc>
          <w:tcPr>
            <w:tcW w:w="720" w:type="dxa"/>
            <w:gridSpan w:val="2"/>
            <w:shd w:val="clear" w:color="auto" w:fill="auto"/>
            <w:noWrap/>
            <w:vAlign w:val="center"/>
            <w:hideMark/>
          </w:tcPr>
          <w:p w14:paraId="565E5979" w14:textId="77777777" w:rsidR="0078518A" w:rsidRPr="007D2FCF" w:rsidRDefault="0078518A">
            <w:pPr>
              <w:spacing w:before="0" w:after="0"/>
              <w:jc w:val="center"/>
              <w:rPr>
                <w:rFonts w:ascii="Calibri" w:hAnsi="Calibri" w:cs="Calibri"/>
                <w:bCs w:val="0"/>
                <w:color w:val="000000"/>
                <w:szCs w:val="22"/>
                <w:lang w:eastAsia="es-CO"/>
              </w:rPr>
            </w:pPr>
            <w:r w:rsidRPr="007D2FCF">
              <w:rPr>
                <w:rFonts w:ascii="Calibri" w:hAnsi="Calibri" w:cs="Calibri"/>
                <w:bCs w:val="0"/>
                <w:color w:val="000000"/>
                <w:szCs w:val="22"/>
                <w:lang w:eastAsia="es-CO"/>
              </w:rPr>
              <w:t>c)</w:t>
            </w:r>
          </w:p>
        </w:tc>
        <w:tc>
          <w:tcPr>
            <w:tcW w:w="4710" w:type="dxa"/>
            <w:shd w:val="clear" w:color="auto" w:fill="auto"/>
            <w:vAlign w:val="center"/>
            <w:hideMark/>
          </w:tcPr>
          <w:p w14:paraId="7C9B64F3" w14:textId="77777777" w:rsidR="0078518A" w:rsidRPr="007D2FCF" w:rsidRDefault="0078518A">
            <w:pPr>
              <w:spacing w:before="0" w:after="0"/>
              <w:jc w:val="left"/>
              <w:rPr>
                <w:rFonts w:ascii="Calibri" w:hAnsi="Calibri" w:cs="Calibri"/>
                <w:bCs w:val="0"/>
                <w:color w:val="000000"/>
                <w:szCs w:val="22"/>
                <w:lang w:eastAsia="es-CO"/>
              </w:rPr>
            </w:pPr>
            <w:r w:rsidRPr="007D2FCF">
              <w:rPr>
                <w:rFonts w:ascii="Calibri" w:hAnsi="Calibri" w:cs="Calibri"/>
                <w:bCs w:val="0"/>
                <w:color w:val="000000"/>
                <w:szCs w:val="22"/>
                <w:lang w:eastAsia="es-CO"/>
              </w:rPr>
              <w:t>Limita la capacidad de cierto tipo de empresas para ofrecer un bien o prestar un servicio.</w:t>
            </w:r>
          </w:p>
        </w:tc>
        <w:tc>
          <w:tcPr>
            <w:tcW w:w="420" w:type="dxa"/>
            <w:shd w:val="clear" w:color="auto" w:fill="auto"/>
            <w:noWrap/>
            <w:vAlign w:val="center"/>
            <w:hideMark/>
          </w:tcPr>
          <w:p w14:paraId="707CB0FD" w14:textId="77777777" w:rsidR="0078518A" w:rsidRPr="007D2FCF" w:rsidRDefault="0078518A">
            <w:pPr>
              <w:spacing w:before="0" w:after="0"/>
              <w:jc w:val="center"/>
              <w:rPr>
                <w:rFonts w:ascii="Calibri" w:hAnsi="Calibri" w:cs="Calibri"/>
                <w:bCs w:val="0"/>
                <w:color w:val="000000"/>
                <w:szCs w:val="22"/>
                <w:lang w:eastAsia="es-CO"/>
              </w:rPr>
            </w:pPr>
          </w:p>
        </w:tc>
        <w:tc>
          <w:tcPr>
            <w:tcW w:w="450" w:type="dxa"/>
            <w:shd w:val="clear" w:color="auto" w:fill="auto"/>
            <w:noWrap/>
            <w:vAlign w:val="center"/>
            <w:hideMark/>
          </w:tcPr>
          <w:p w14:paraId="7A9EDDB5" w14:textId="77777777" w:rsidR="0078518A" w:rsidRPr="007D2FCF" w:rsidRDefault="0078518A">
            <w:pPr>
              <w:spacing w:before="0" w:after="0"/>
              <w:jc w:val="center"/>
              <w:rPr>
                <w:rFonts w:ascii="Calibri" w:hAnsi="Calibri" w:cs="Calibri"/>
                <w:bCs w:val="0"/>
                <w:color w:val="000000"/>
                <w:szCs w:val="22"/>
                <w:lang w:eastAsia="es-CO"/>
              </w:rPr>
            </w:pPr>
            <w:r w:rsidRPr="007D2FCF">
              <w:rPr>
                <w:rFonts w:ascii="Calibri" w:hAnsi="Calibri" w:cs="Calibri"/>
                <w:bCs w:val="0"/>
                <w:color w:val="000000"/>
                <w:szCs w:val="22"/>
                <w:lang w:eastAsia="es-CO"/>
              </w:rPr>
              <w:t>X</w:t>
            </w:r>
          </w:p>
        </w:tc>
        <w:tc>
          <w:tcPr>
            <w:tcW w:w="1440" w:type="dxa"/>
            <w:shd w:val="clear" w:color="auto" w:fill="auto"/>
            <w:vAlign w:val="center"/>
            <w:hideMark/>
          </w:tcPr>
          <w:p w14:paraId="7C558A96" w14:textId="47D68EB7" w:rsidR="32085FC4" w:rsidRDefault="00C367DA" w:rsidP="32085FC4">
            <w:pPr>
              <w:spacing w:before="0" w:after="0"/>
              <w:jc w:val="center"/>
              <w:rPr>
                <w:rFonts w:ascii="Calibri" w:hAnsi="Calibri" w:cs="Calibri"/>
                <w:color w:val="000000" w:themeColor="text1"/>
                <w:sz w:val="16"/>
                <w:szCs w:val="16"/>
                <w:lang w:eastAsia="es-CO"/>
              </w:rPr>
            </w:pPr>
            <w:r>
              <w:rPr>
                <w:rFonts w:ascii="Calibri" w:hAnsi="Calibri" w:cs="Calibri"/>
                <w:color w:val="000000" w:themeColor="text1"/>
                <w:sz w:val="16"/>
                <w:szCs w:val="16"/>
                <w:lang w:eastAsia="es-CO"/>
              </w:rPr>
              <w:t xml:space="preserve">La </w:t>
            </w:r>
            <w:r w:rsidR="32085FC4" w:rsidRPr="494D33A9">
              <w:rPr>
                <w:rFonts w:ascii="Calibri" w:hAnsi="Calibri" w:cs="Calibri"/>
                <w:color w:val="000000" w:themeColor="text1"/>
                <w:sz w:val="16"/>
                <w:szCs w:val="16"/>
                <w:lang w:eastAsia="es-CO"/>
              </w:rPr>
              <w:t xml:space="preserve">resolución no </w:t>
            </w:r>
            <w:r w:rsidR="153C1B25" w:rsidRPr="494D33A9">
              <w:rPr>
                <w:rFonts w:ascii="Calibri" w:hAnsi="Calibri" w:cs="Calibri"/>
                <w:color w:val="000000" w:themeColor="text1"/>
                <w:sz w:val="16"/>
                <w:szCs w:val="16"/>
                <w:lang w:eastAsia="es-CO"/>
              </w:rPr>
              <w:t>limitando la c</w:t>
            </w:r>
            <w:r>
              <w:rPr>
                <w:rFonts w:ascii="Calibri" w:hAnsi="Calibri" w:cs="Calibri"/>
                <w:color w:val="000000" w:themeColor="text1"/>
                <w:sz w:val="16"/>
                <w:szCs w:val="16"/>
                <w:lang w:eastAsia="es-CO"/>
              </w:rPr>
              <w:t>a</w:t>
            </w:r>
            <w:r w:rsidR="153C1B25" w:rsidRPr="494D33A9">
              <w:rPr>
                <w:rFonts w:ascii="Calibri" w:hAnsi="Calibri" w:cs="Calibri"/>
                <w:color w:val="000000" w:themeColor="text1"/>
                <w:sz w:val="16"/>
                <w:szCs w:val="16"/>
                <w:lang w:eastAsia="es-CO"/>
              </w:rPr>
              <w:t xml:space="preserve">pacidad para que las empresas </w:t>
            </w:r>
            <w:r w:rsidR="153C1B25" w:rsidRPr="494D33A9">
              <w:rPr>
                <w:rFonts w:ascii="Calibri" w:hAnsi="Calibri" w:cs="Calibri"/>
                <w:color w:val="000000" w:themeColor="text1"/>
                <w:sz w:val="16"/>
                <w:szCs w:val="16"/>
                <w:lang w:eastAsia="es-CO"/>
              </w:rPr>
              <w:lastRenderedPageBreak/>
              <w:t xml:space="preserve">puedan </w:t>
            </w:r>
            <w:r w:rsidR="104D125E" w:rsidRPr="494D33A9">
              <w:rPr>
                <w:rFonts w:ascii="Calibri" w:hAnsi="Calibri" w:cs="Calibri"/>
                <w:color w:val="000000" w:themeColor="text1"/>
                <w:sz w:val="16"/>
                <w:szCs w:val="16"/>
                <w:lang w:eastAsia="es-CO"/>
              </w:rPr>
              <w:t>ofrecer</w:t>
            </w:r>
            <w:r w:rsidR="153C1B25" w:rsidRPr="494D33A9">
              <w:rPr>
                <w:rFonts w:ascii="Calibri" w:hAnsi="Calibri" w:cs="Calibri"/>
                <w:color w:val="000000" w:themeColor="text1"/>
                <w:sz w:val="16"/>
                <w:szCs w:val="16"/>
                <w:lang w:eastAsia="es-CO"/>
              </w:rPr>
              <w:t xml:space="preserve"> un bien o </w:t>
            </w:r>
            <w:r w:rsidR="7CFF9A76" w:rsidRPr="494D33A9">
              <w:rPr>
                <w:rFonts w:ascii="Calibri" w:hAnsi="Calibri" w:cs="Calibri"/>
                <w:color w:val="000000" w:themeColor="text1"/>
                <w:sz w:val="16"/>
                <w:szCs w:val="16"/>
                <w:lang w:eastAsia="es-CO"/>
              </w:rPr>
              <w:t>un servicio</w:t>
            </w:r>
            <w:r w:rsidR="153C1B25" w:rsidRPr="494D33A9">
              <w:rPr>
                <w:rFonts w:ascii="Calibri" w:hAnsi="Calibri" w:cs="Calibri"/>
                <w:color w:val="000000" w:themeColor="text1"/>
                <w:sz w:val="16"/>
                <w:szCs w:val="16"/>
                <w:lang w:eastAsia="es-CO"/>
              </w:rPr>
              <w:t xml:space="preserve">. </w:t>
            </w:r>
          </w:p>
        </w:tc>
        <w:tc>
          <w:tcPr>
            <w:tcW w:w="1710" w:type="dxa"/>
            <w:shd w:val="clear" w:color="auto" w:fill="auto"/>
            <w:vAlign w:val="center"/>
            <w:hideMark/>
          </w:tcPr>
          <w:p w14:paraId="1F5EACEE" w14:textId="77777777" w:rsidR="00596350" w:rsidRDefault="32085FC4" w:rsidP="494D33A9">
            <w:pPr>
              <w:spacing w:line="257" w:lineRule="auto"/>
              <w:rPr>
                <w:sz w:val="16"/>
                <w:szCs w:val="16"/>
              </w:rPr>
            </w:pPr>
            <w:r w:rsidRPr="32085FC4">
              <w:rPr>
                <w:sz w:val="16"/>
                <w:szCs w:val="16"/>
              </w:rPr>
              <w:lastRenderedPageBreak/>
              <w:t>El principal objetivo de la presente resolución</w:t>
            </w:r>
            <w:r w:rsidR="00604CAD">
              <w:rPr>
                <w:sz w:val="16"/>
                <w:szCs w:val="16"/>
              </w:rPr>
              <w:t xml:space="preserve"> </w:t>
            </w:r>
            <w:r w:rsidRPr="32085FC4">
              <w:rPr>
                <w:sz w:val="16"/>
                <w:szCs w:val="16"/>
              </w:rPr>
              <w:t xml:space="preserve">consiste en minimizar </w:t>
            </w:r>
            <w:r w:rsidRPr="32085FC4">
              <w:rPr>
                <w:sz w:val="16"/>
                <w:szCs w:val="16"/>
              </w:rPr>
              <w:lastRenderedPageBreak/>
              <w:t>o eliminar el cobro por el transporte de energía reactiva capacitiva causado por algunos pocos reactivos inyectados a la red.</w:t>
            </w:r>
          </w:p>
          <w:p w14:paraId="11256F41" w14:textId="77777777" w:rsidR="00596350" w:rsidRDefault="193BDFB8" w:rsidP="494D33A9">
            <w:pPr>
              <w:spacing w:line="257" w:lineRule="auto"/>
              <w:rPr>
                <w:rFonts w:eastAsia="Arial" w:cs="Arial"/>
                <w:sz w:val="16"/>
                <w:szCs w:val="16"/>
              </w:rPr>
            </w:pPr>
            <w:r w:rsidRPr="494D33A9">
              <w:rPr>
                <w:sz w:val="16"/>
                <w:szCs w:val="16"/>
              </w:rPr>
              <w:t>Adicionalmente es necesa</w:t>
            </w:r>
            <w:r w:rsidR="00C367DA">
              <w:rPr>
                <w:sz w:val="16"/>
                <w:szCs w:val="16"/>
              </w:rPr>
              <w:t>r</w:t>
            </w:r>
            <w:r w:rsidRPr="494D33A9">
              <w:rPr>
                <w:sz w:val="16"/>
                <w:szCs w:val="16"/>
              </w:rPr>
              <w:t xml:space="preserve">io hacer </w:t>
            </w:r>
            <w:r w:rsidR="5840A5FC" w:rsidRPr="494D33A9">
              <w:rPr>
                <w:sz w:val="16"/>
                <w:szCs w:val="16"/>
              </w:rPr>
              <w:t xml:space="preserve">referencia que con la expedición de la presente resolución, no se </w:t>
            </w:r>
            <w:r w:rsidRPr="494D33A9">
              <w:rPr>
                <w:rFonts w:eastAsia="Arial" w:cs="Arial"/>
                <w:color w:val="000000" w:themeColor="text1"/>
                <w:sz w:val="16"/>
                <w:szCs w:val="16"/>
              </w:rPr>
              <w:t xml:space="preserve"> modifican las exigencias del medidor establecidas en la Resolución CREG 038 de 2014</w:t>
            </w:r>
            <w:r w:rsidR="66900855" w:rsidRPr="494D33A9">
              <w:rPr>
                <w:rFonts w:eastAsia="Arial" w:cs="Arial"/>
                <w:color w:val="000000" w:themeColor="text1"/>
                <w:sz w:val="16"/>
                <w:szCs w:val="16"/>
              </w:rPr>
              <w:t>, especialmente en lo que tiene que ver con e</w:t>
            </w:r>
            <w:r w:rsidRPr="494D33A9">
              <w:rPr>
                <w:rFonts w:eastAsia="Arial" w:cs="Arial"/>
                <w:sz w:val="16"/>
                <w:szCs w:val="16"/>
              </w:rPr>
              <w:t>n los puntos de medición en los que se presenten o se prevean flujos de energía en ambos sentidos se deben instalar medidores bidireccionales para determinar de forma independiente el flujo en cada sentido</w:t>
            </w:r>
            <w:r w:rsidR="4FBA7812" w:rsidRPr="494D33A9">
              <w:rPr>
                <w:rFonts w:eastAsia="Arial" w:cs="Arial"/>
                <w:sz w:val="16"/>
                <w:szCs w:val="16"/>
              </w:rPr>
              <w:t xml:space="preserve"> y </w:t>
            </w:r>
            <w:r w:rsidRPr="494D33A9">
              <w:rPr>
                <w:rFonts w:eastAsia="Arial" w:cs="Arial"/>
                <w:sz w:val="16"/>
                <w:szCs w:val="16"/>
              </w:rPr>
              <w:t xml:space="preserve">deben registrar y permitir la lectura y transmisión de la información en los términos establecidos en los artículos 15 y 37 de </w:t>
            </w:r>
            <w:r w:rsidR="3108DAEA" w:rsidRPr="494D33A9">
              <w:rPr>
                <w:rFonts w:eastAsia="Arial" w:cs="Arial"/>
                <w:sz w:val="16"/>
                <w:szCs w:val="16"/>
              </w:rPr>
              <w:t xml:space="preserve">la </w:t>
            </w:r>
            <w:r w:rsidRPr="494D33A9">
              <w:rPr>
                <w:rFonts w:eastAsia="Arial" w:cs="Arial"/>
                <w:sz w:val="16"/>
                <w:szCs w:val="16"/>
              </w:rPr>
              <w:t>resolución</w:t>
            </w:r>
            <w:r w:rsidR="362CDBD2" w:rsidRPr="494D33A9">
              <w:rPr>
                <w:rFonts w:eastAsia="Arial" w:cs="Arial"/>
                <w:sz w:val="16"/>
                <w:szCs w:val="16"/>
              </w:rPr>
              <w:t xml:space="preserve"> en mención</w:t>
            </w:r>
            <w:r w:rsidRPr="494D33A9">
              <w:rPr>
                <w:rFonts w:eastAsia="Arial" w:cs="Arial"/>
                <w:sz w:val="16"/>
                <w:szCs w:val="16"/>
              </w:rPr>
              <w:t>.</w:t>
            </w:r>
            <w:r w:rsidR="04B0CDDB" w:rsidRPr="494D33A9">
              <w:rPr>
                <w:rFonts w:eastAsia="Arial" w:cs="Arial"/>
                <w:sz w:val="16"/>
                <w:szCs w:val="16"/>
              </w:rPr>
              <w:t xml:space="preserve"> </w:t>
            </w:r>
          </w:p>
          <w:p w14:paraId="73FAC73E" w14:textId="04321A3E" w:rsidR="32085FC4" w:rsidRDefault="5D925B40" w:rsidP="494D33A9">
            <w:pPr>
              <w:spacing w:line="257" w:lineRule="auto"/>
              <w:rPr>
                <w:rFonts w:eastAsia="Arial" w:cs="Arial"/>
                <w:sz w:val="16"/>
                <w:szCs w:val="16"/>
              </w:rPr>
            </w:pPr>
            <w:r w:rsidRPr="494D33A9">
              <w:rPr>
                <w:rFonts w:eastAsia="Arial" w:cs="Arial"/>
                <w:sz w:val="16"/>
                <w:szCs w:val="16"/>
              </w:rPr>
              <w:t>Por su parte, las fronteras comerciales con reporte al ASIC deben contar con medidores de energía activa y reactiva para permitir, como mínimo, el registro horario de las transacciones de energía en el primer minuto de cada hora y con los equipos necesarios para leer, interrogar y reportar la información.</w:t>
            </w:r>
          </w:p>
          <w:p w14:paraId="4EE84515" w14:textId="436AF39C" w:rsidR="32085FC4" w:rsidRDefault="32085FC4" w:rsidP="32085FC4">
            <w:pPr>
              <w:spacing w:before="0" w:after="0"/>
              <w:jc w:val="center"/>
              <w:rPr>
                <w:rFonts w:ascii="Calibri" w:hAnsi="Calibri" w:cs="Calibri"/>
                <w:color w:val="000000" w:themeColor="text1"/>
                <w:sz w:val="20"/>
                <w:szCs w:val="20"/>
                <w:lang w:eastAsia="es-CO"/>
              </w:rPr>
            </w:pPr>
          </w:p>
        </w:tc>
      </w:tr>
      <w:tr w:rsidR="008E39E4" w:rsidRPr="007D2FCF" w14:paraId="42E88A2C" w14:textId="77777777" w:rsidTr="32085FC4">
        <w:trPr>
          <w:trHeight w:val="700"/>
        </w:trPr>
        <w:tc>
          <w:tcPr>
            <w:tcW w:w="720" w:type="dxa"/>
            <w:gridSpan w:val="2"/>
            <w:shd w:val="clear" w:color="auto" w:fill="auto"/>
            <w:noWrap/>
            <w:vAlign w:val="center"/>
            <w:hideMark/>
          </w:tcPr>
          <w:p w14:paraId="5FA1272D" w14:textId="77777777" w:rsidR="0078518A" w:rsidRPr="007D2FCF" w:rsidRDefault="0078518A">
            <w:pPr>
              <w:spacing w:before="0" w:after="0"/>
              <w:jc w:val="center"/>
              <w:rPr>
                <w:rFonts w:ascii="Calibri" w:hAnsi="Calibri" w:cs="Calibri"/>
                <w:bCs w:val="0"/>
                <w:color w:val="000000"/>
                <w:szCs w:val="22"/>
                <w:lang w:eastAsia="es-CO"/>
              </w:rPr>
            </w:pPr>
            <w:r w:rsidRPr="007D2FCF">
              <w:rPr>
                <w:rFonts w:ascii="Calibri" w:hAnsi="Calibri" w:cs="Calibri"/>
                <w:bCs w:val="0"/>
                <w:color w:val="000000"/>
                <w:szCs w:val="22"/>
                <w:lang w:eastAsia="es-CO"/>
              </w:rPr>
              <w:lastRenderedPageBreak/>
              <w:t>d)</w:t>
            </w:r>
          </w:p>
        </w:tc>
        <w:tc>
          <w:tcPr>
            <w:tcW w:w="4710" w:type="dxa"/>
            <w:shd w:val="clear" w:color="auto" w:fill="auto"/>
            <w:vAlign w:val="center"/>
            <w:hideMark/>
          </w:tcPr>
          <w:p w14:paraId="4468E0EF" w14:textId="77777777" w:rsidR="0078518A" w:rsidRPr="007D2FCF" w:rsidRDefault="0078518A">
            <w:pPr>
              <w:spacing w:before="0" w:after="0"/>
              <w:jc w:val="left"/>
              <w:rPr>
                <w:rFonts w:ascii="Calibri" w:hAnsi="Calibri" w:cs="Calibri"/>
                <w:bCs w:val="0"/>
                <w:color w:val="000000"/>
                <w:szCs w:val="22"/>
                <w:lang w:eastAsia="es-CO"/>
              </w:rPr>
            </w:pPr>
            <w:r w:rsidRPr="007D2FCF">
              <w:rPr>
                <w:rFonts w:ascii="Calibri" w:hAnsi="Calibri" w:cs="Calibri"/>
                <w:bCs w:val="0"/>
                <w:color w:val="000000"/>
                <w:szCs w:val="22"/>
                <w:lang w:eastAsia="es-CO"/>
              </w:rPr>
              <w:t>Eleva de manera significativa los costos de entrada o salida del mercado para las empresas.</w:t>
            </w:r>
          </w:p>
        </w:tc>
        <w:tc>
          <w:tcPr>
            <w:tcW w:w="420" w:type="dxa"/>
            <w:shd w:val="clear" w:color="auto" w:fill="auto"/>
            <w:noWrap/>
            <w:vAlign w:val="center"/>
            <w:hideMark/>
          </w:tcPr>
          <w:p w14:paraId="068A06C5" w14:textId="77777777" w:rsidR="0078518A" w:rsidRPr="007D2FCF" w:rsidRDefault="0078518A">
            <w:pPr>
              <w:spacing w:before="0" w:after="0"/>
              <w:jc w:val="center"/>
              <w:rPr>
                <w:rFonts w:ascii="Calibri" w:hAnsi="Calibri" w:cs="Calibri"/>
                <w:bCs w:val="0"/>
                <w:color w:val="000000"/>
                <w:szCs w:val="22"/>
                <w:lang w:eastAsia="es-CO"/>
              </w:rPr>
            </w:pPr>
          </w:p>
        </w:tc>
        <w:tc>
          <w:tcPr>
            <w:tcW w:w="450" w:type="dxa"/>
            <w:shd w:val="clear" w:color="auto" w:fill="auto"/>
            <w:noWrap/>
            <w:vAlign w:val="center"/>
            <w:hideMark/>
          </w:tcPr>
          <w:p w14:paraId="78327427" w14:textId="77777777" w:rsidR="0078518A" w:rsidRPr="007D2FCF" w:rsidRDefault="0078518A">
            <w:pPr>
              <w:spacing w:before="0" w:after="0"/>
              <w:jc w:val="center"/>
              <w:rPr>
                <w:rFonts w:ascii="Calibri" w:hAnsi="Calibri" w:cs="Calibri"/>
                <w:bCs w:val="0"/>
                <w:color w:val="000000"/>
                <w:szCs w:val="22"/>
                <w:lang w:eastAsia="es-CO"/>
              </w:rPr>
            </w:pPr>
            <w:r w:rsidRPr="007D2FCF">
              <w:rPr>
                <w:rFonts w:ascii="Calibri" w:hAnsi="Calibri" w:cs="Calibri"/>
                <w:bCs w:val="0"/>
                <w:color w:val="000000"/>
                <w:szCs w:val="22"/>
                <w:lang w:eastAsia="es-CO"/>
              </w:rPr>
              <w:t>X</w:t>
            </w:r>
          </w:p>
        </w:tc>
        <w:tc>
          <w:tcPr>
            <w:tcW w:w="1440" w:type="dxa"/>
            <w:shd w:val="clear" w:color="auto" w:fill="auto"/>
            <w:vAlign w:val="center"/>
            <w:hideMark/>
          </w:tcPr>
          <w:p w14:paraId="03231AE5" w14:textId="3967235A" w:rsidR="32085FC4" w:rsidRDefault="32085FC4" w:rsidP="32085FC4">
            <w:pPr>
              <w:spacing w:before="0" w:after="0"/>
              <w:jc w:val="center"/>
              <w:rPr>
                <w:rFonts w:ascii="Calibri" w:hAnsi="Calibri" w:cs="Calibri"/>
                <w:color w:val="000000" w:themeColor="text1"/>
                <w:lang w:eastAsia="es-CO"/>
              </w:rPr>
            </w:pPr>
            <w:r w:rsidRPr="494D33A9">
              <w:rPr>
                <w:rFonts w:ascii="Calibri" w:hAnsi="Calibri" w:cs="Calibri"/>
                <w:color w:val="000000" w:themeColor="text1"/>
                <w:sz w:val="16"/>
                <w:szCs w:val="16"/>
                <w:lang w:eastAsia="es-CO"/>
              </w:rPr>
              <w:t>Con la expedición de la presente resolución no se</w:t>
            </w:r>
            <w:r w:rsidR="13B69179" w:rsidRPr="494D33A9">
              <w:rPr>
                <w:rFonts w:ascii="Calibri" w:hAnsi="Calibri" w:cs="Calibri"/>
                <w:color w:val="000000" w:themeColor="text1"/>
                <w:sz w:val="16"/>
                <w:szCs w:val="16"/>
                <w:lang w:eastAsia="es-CO"/>
              </w:rPr>
              <w:t xml:space="preserve"> </w:t>
            </w:r>
            <w:r w:rsidR="00B57A79">
              <w:rPr>
                <w:rFonts w:ascii="Calibri" w:hAnsi="Calibri" w:cs="Calibri"/>
                <w:color w:val="000000" w:themeColor="text1"/>
                <w:sz w:val="16"/>
                <w:szCs w:val="16"/>
                <w:lang w:eastAsia="es-CO"/>
              </w:rPr>
              <w:t>modifican costos de entrada o salida de un mercado</w:t>
            </w:r>
            <w:r w:rsidRPr="494D33A9">
              <w:rPr>
                <w:rFonts w:ascii="Calibri" w:hAnsi="Calibri" w:cs="Calibri"/>
                <w:color w:val="000000" w:themeColor="text1"/>
                <w:sz w:val="16"/>
                <w:szCs w:val="16"/>
                <w:lang w:eastAsia="es-CO"/>
              </w:rPr>
              <w:t>.</w:t>
            </w:r>
          </w:p>
        </w:tc>
        <w:tc>
          <w:tcPr>
            <w:tcW w:w="1710" w:type="dxa"/>
            <w:shd w:val="clear" w:color="auto" w:fill="auto"/>
            <w:vAlign w:val="center"/>
          </w:tcPr>
          <w:p w14:paraId="4896CB18" w14:textId="2D11F76E" w:rsidR="32085FC4" w:rsidRDefault="2E8FE8E7" w:rsidP="494D33A9">
            <w:pPr>
              <w:spacing w:before="0" w:after="0"/>
              <w:rPr>
                <w:rFonts w:eastAsia="Arial" w:cs="Arial"/>
                <w:sz w:val="16"/>
                <w:szCs w:val="16"/>
              </w:rPr>
            </w:pPr>
            <w:r w:rsidRPr="494D33A9">
              <w:rPr>
                <w:rFonts w:eastAsia="Arial" w:cs="Arial"/>
                <w:sz w:val="16"/>
                <w:szCs w:val="16"/>
              </w:rPr>
              <w:t>Como ya se ha manifes</w:t>
            </w:r>
            <w:r w:rsidR="00734301">
              <w:rPr>
                <w:rFonts w:eastAsia="Arial" w:cs="Arial"/>
                <w:sz w:val="16"/>
                <w:szCs w:val="16"/>
              </w:rPr>
              <w:t>t</w:t>
            </w:r>
            <w:r w:rsidRPr="494D33A9">
              <w:rPr>
                <w:rFonts w:eastAsia="Arial" w:cs="Arial"/>
                <w:sz w:val="16"/>
                <w:szCs w:val="16"/>
              </w:rPr>
              <w:t>ado</w:t>
            </w:r>
            <w:r w:rsidR="00734301">
              <w:rPr>
                <w:rFonts w:eastAsia="Arial" w:cs="Arial"/>
                <w:sz w:val="16"/>
                <w:szCs w:val="16"/>
              </w:rPr>
              <w:t>,</w:t>
            </w:r>
            <w:r w:rsidRPr="494D33A9">
              <w:rPr>
                <w:rFonts w:eastAsia="Arial" w:cs="Arial"/>
                <w:sz w:val="16"/>
                <w:szCs w:val="16"/>
              </w:rPr>
              <w:t xml:space="preserve"> lo q</w:t>
            </w:r>
            <w:r w:rsidR="766E8B26" w:rsidRPr="494D33A9">
              <w:rPr>
                <w:rFonts w:eastAsia="Arial" w:cs="Arial"/>
                <w:sz w:val="16"/>
                <w:szCs w:val="16"/>
              </w:rPr>
              <w:t>ue</w:t>
            </w:r>
            <w:r w:rsidRPr="494D33A9">
              <w:rPr>
                <w:rFonts w:eastAsia="Arial" w:cs="Arial"/>
                <w:sz w:val="16"/>
                <w:szCs w:val="16"/>
              </w:rPr>
              <w:t xml:space="preserve"> se busca con la medida es </w:t>
            </w:r>
            <w:r w:rsidR="32085FC4" w:rsidRPr="494D33A9">
              <w:rPr>
                <w:rFonts w:eastAsia="Arial" w:cs="Arial"/>
                <w:sz w:val="16"/>
                <w:szCs w:val="16"/>
              </w:rPr>
              <w:t xml:space="preserve">minimizar o eliminar el cobro por el transporte de energía reactiva </w:t>
            </w:r>
            <w:r w:rsidR="32085FC4" w:rsidRPr="494D33A9">
              <w:rPr>
                <w:rFonts w:eastAsia="Arial" w:cs="Arial"/>
                <w:sz w:val="16"/>
                <w:szCs w:val="16"/>
              </w:rPr>
              <w:lastRenderedPageBreak/>
              <w:t>capacitiva causado por algunos pocos reactivos inyectados a la red.</w:t>
            </w:r>
            <w:r w:rsidR="654F74A0" w:rsidRPr="494D33A9">
              <w:rPr>
                <w:rFonts w:eastAsia="Arial" w:cs="Arial"/>
                <w:sz w:val="16"/>
                <w:szCs w:val="16"/>
              </w:rPr>
              <w:t xml:space="preserve"> De igual manera </w:t>
            </w:r>
            <w:r w:rsidR="1AA4D38C" w:rsidRPr="494D33A9">
              <w:rPr>
                <w:rFonts w:eastAsia="Arial" w:cs="Arial"/>
                <w:sz w:val="16"/>
                <w:szCs w:val="16"/>
              </w:rPr>
              <w:t xml:space="preserve">en ningún momento se afectan o </w:t>
            </w:r>
            <w:r w:rsidR="527B319F" w:rsidRPr="494D33A9">
              <w:rPr>
                <w:rFonts w:eastAsia="Arial" w:cs="Arial"/>
                <w:sz w:val="16"/>
                <w:szCs w:val="16"/>
              </w:rPr>
              <w:t>modifican</w:t>
            </w:r>
            <w:r w:rsidR="1AA4D38C" w:rsidRPr="494D33A9">
              <w:rPr>
                <w:rFonts w:eastAsia="Arial" w:cs="Arial"/>
                <w:sz w:val="16"/>
                <w:szCs w:val="16"/>
              </w:rPr>
              <w:t xml:space="preserve"> las reglas existentes para el cobro ni para la medición del transporte de reactiva, que no se modifican y que están contenidas en </w:t>
            </w:r>
            <w:r w:rsidR="19E53A1F" w:rsidRPr="494D33A9">
              <w:rPr>
                <w:rFonts w:eastAsia="Arial" w:cs="Arial"/>
                <w:sz w:val="16"/>
                <w:szCs w:val="16"/>
              </w:rPr>
              <w:t>las Resoluciones</w:t>
            </w:r>
            <w:r w:rsidR="1AA4D38C" w:rsidRPr="494D33A9">
              <w:rPr>
                <w:rFonts w:eastAsia="Arial" w:cs="Arial"/>
                <w:sz w:val="16"/>
                <w:szCs w:val="16"/>
              </w:rPr>
              <w:t xml:space="preserve"> CREG 015 de 2018 y 038 de 2014,</w:t>
            </w:r>
            <w:r w:rsidR="07DAD198" w:rsidRPr="494D33A9">
              <w:rPr>
                <w:rFonts w:eastAsia="Arial" w:cs="Arial"/>
                <w:sz w:val="16"/>
                <w:szCs w:val="16"/>
              </w:rPr>
              <w:t xml:space="preserve"> respectivamente</w:t>
            </w:r>
            <w:r w:rsidR="70559B4A" w:rsidRPr="494D33A9">
              <w:rPr>
                <w:rFonts w:eastAsia="Arial" w:cs="Arial"/>
                <w:sz w:val="16"/>
                <w:szCs w:val="16"/>
              </w:rPr>
              <w:t>, luego son reglas que ya existen y que en nada se adicionan o se modifican con la expedición de la presente resolución.</w:t>
            </w:r>
          </w:p>
          <w:p w14:paraId="286ABF02" w14:textId="5D06761A" w:rsidR="32085FC4" w:rsidRDefault="32085FC4" w:rsidP="32085FC4">
            <w:pPr>
              <w:spacing w:before="0" w:after="0"/>
              <w:jc w:val="center"/>
              <w:rPr>
                <w:rFonts w:ascii="Calibri" w:hAnsi="Calibri" w:cs="Calibri"/>
                <w:color w:val="000000" w:themeColor="text1"/>
                <w:lang w:eastAsia="es-CO"/>
              </w:rPr>
            </w:pPr>
          </w:p>
        </w:tc>
      </w:tr>
      <w:tr w:rsidR="008E39E4" w:rsidRPr="007D2FCF" w14:paraId="01ABBC2A" w14:textId="77777777" w:rsidTr="32085FC4">
        <w:trPr>
          <w:trHeight w:val="620"/>
        </w:trPr>
        <w:tc>
          <w:tcPr>
            <w:tcW w:w="720" w:type="dxa"/>
            <w:gridSpan w:val="2"/>
            <w:shd w:val="clear" w:color="auto" w:fill="auto"/>
            <w:noWrap/>
            <w:vAlign w:val="center"/>
            <w:hideMark/>
          </w:tcPr>
          <w:p w14:paraId="6E097F24" w14:textId="77777777" w:rsidR="0078518A" w:rsidRPr="007D2FCF" w:rsidRDefault="0078518A">
            <w:pPr>
              <w:spacing w:before="0" w:after="0"/>
              <w:jc w:val="center"/>
              <w:rPr>
                <w:rFonts w:ascii="Calibri" w:hAnsi="Calibri" w:cs="Calibri"/>
                <w:bCs w:val="0"/>
                <w:color w:val="000000"/>
                <w:szCs w:val="22"/>
                <w:lang w:eastAsia="es-CO"/>
              </w:rPr>
            </w:pPr>
            <w:r w:rsidRPr="007D2FCF">
              <w:rPr>
                <w:rFonts w:ascii="Calibri" w:hAnsi="Calibri" w:cs="Calibri"/>
                <w:bCs w:val="0"/>
                <w:color w:val="000000"/>
                <w:szCs w:val="22"/>
                <w:lang w:eastAsia="es-CO"/>
              </w:rPr>
              <w:lastRenderedPageBreak/>
              <w:t>e)</w:t>
            </w:r>
          </w:p>
        </w:tc>
        <w:tc>
          <w:tcPr>
            <w:tcW w:w="4710" w:type="dxa"/>
            <w:shd w:val="clear" w:color="auto" w:fill="auto"/>
            <w:vAlign w:val="center"/>
            <w:hideMark/>
          </w:tcPr>
          <w:p w14:paraId="7D5F7B04" w14:textId="77777777" w:rsidR="0078518A" w:rsidRPr="007D2FCF" w:rsidRDefault="0078518A">
            <w:pPr>
              <w:spacing w:before="0" w:after="0"/>
              <w:jc w:val="left"/>
              <w:rPr>
                <w:rFonts w:ascii="Calibri" w:hAnsi="Calibri" w:cs="Calibri"/>
                <w:bCs w:val="0"/>
                <w:color w:val="000000"/>
                <w:szCs w:val="22"/>
                <w:lang w:eastAsia="es-CO"/>
              </w:rPr>
            </w:pPr>
            <w:r w:rsidRPr="007D2FCF">
              <w:rPr>
                <w:rFonts w:ascii="Calibri" w:hAnsi="Calibri" w:cs="Calibri"/>
                <w:bCs w:val="0"/>
                <w:color w:val="000000"/>
                <w:szCs w:val="22"/>
                <w:lang w:eastAsia="es-CO"/>
              </w:rPr>
              <w:t>Crea una barrera geográfica a la libre circulación de bienes o servicios o a la inversión.</w:t>
            </w:r>
          </w:p>
        </w:tc>
        <w:tc>
          <w:tcPr>
            <w:tcW w:w="420" w:type="dxa"/>
            <w:shd w:val="clear" w:color="auto" w:fill="auto"/>
            <w:noWrap/>
            <w:vAlign w:val="center"/>
            <w:hideMark/>
          </w:tcPr>
          <w:p w14:paraId="52FF3ADE" w14:textId="77777777" w:rsidR="0078518A" w:rsidRPr="007D2FCF" w:rsidRDefault="0078518A">
            <w:pPr>
              <w:spacing w:before="0" w:after="0"/>
              <w:jc w:val="center"/>
              <w:rPr>
                <w:rFonts w:ascii="Calibri" w:hAnsi="Calibri" w:cs="Calibri"/>
                <w:bCs w:val="0"/>
                <w:color w:val="000000"/>
                <w:szCs w:val="22"/>
                <w:lang w:eastAsia="es-CO"/>
              </w:rPr>
            </w:pPr>
          </w:p>
        </w:tc>
        <w:tc>
          <w:tcPr>
            <w:tcW w:w="450" w:type="dxa"/>
            <w:shd w:val="clear" w:color="auto" w:fill="auto"/>
            <w:noWrap/>
            <w:vAlign w:val="center"/>
            <w:hideMark/>
          </w:tcPr>
          <w:p w14:paraId="24823E93" w14:textId="77777777" w:rsidR="0078518A" w:rsidRPr="007D2FCF" w:rsidRDefault="0078518A">
            <w:pPr>
              <w:spacing w:before="0" w:after="0"/>
              <w:jc w:val="center"/>
              <w:rPr>
                <w:rFonts w:ascii="Calibri" w:hAnsi="Calibri" w:cs="Calibri"/>
                <w:bCs w:val="0"/>
                <w:color w:val="000000"/>
                <w:szCs w:val="22"/>
                <w:lang w:eastAsia="es-CO"/>
              </w:rPr>
            </w:pPr>
            <w:r w:rsidRPr="007D2FCF">
              <w:rPr>
                <w:rFonts w:ascii="Calibri" w:hAnsi="Calibri" w:cs="Calibri"/>
                <w:bCs w:val="0"/>
                <w:color w:val="000000"/>
                <w:szCs w:val="22"/>
                <w:lang w:eastAsia="es-CO"/>
              </w:rPr>
              <w:t>X</w:t>
            </w:r>
          </w:p>
        </w:tc>
        <w:tc>
          <w:tcPr>
            <w:tcW w:w="1440" w:type="dxa"/>
            <w:shd w:val="clear" w:color="auto" w:fill="auto"/>
            <w:noWrap/>
            <w:vAlign w:val="center"/>
            <w:hideMark/>
          </w:tcPr>
          <w:p w14:paraId="3509D149" w14:textId="60F5FE73" w:rsidR="32085FC4" w:rsidRDefault="32085FC4" w:rsidP="32085FC4">
            <w:pPr>
              <w:spacing w:before="0" w:after="0"/>
              <w:jc w:val="center"/>
              <w:rPr>
                <w:rFonts w:ascii="Calibri" w:hAnsi="Calibri" w:cs="Calibri"/>
                <w:color w:val="000000" w:themeColor="text1"/>
                <w:lang w:eastAsia="es-CO"/>
              </w:rPr>
            </w:pPr>
            <w:r w:rsidRPr="494D33A9">
              <w:rPr>
                <w:rFonts w:ascii="Calibri" w:hAnsi="Calibri" w:cs="Calibri"/>
                <w:color w:val="000000" w:themeColor="text1"/>
                <w:sz w:val="16"/>
                <w:szCs w:val="16"/>
                <w:lang w:eastAsia="es-CO"/>
              </w:rPr>
              <w:t>Con la expedición de la presente resolución no se genera</w:t>
            </w:r>
            <w:r w:rsidR="552415ED" w:rsidRPr="494D33A9">
              <w:rPr>
                <w:rFonts w:ascii="Calibri" w:hAnsi="Calibri" w:cs="Calibri"/>
                <w:color w:val="000000" w:themeColor="text1"/>
                <w:sz w:val="16"/>
                <w:szCs w:val="16"/>
                <w:lang w:eastAsia="es-CO"/>
              </w:rPr>
              <w:t xml:space="preserve"> ninguna barrera geográfica a la libre </w:t>
            </w:r>
            <w:r w:rsidR="00734301" w:rsidRPr="494D33A9">
              <w:rPr>
                <w:rFonts w:ascii="Calibri" w:hAnsi="Calibri" w:cs="Calibri"/>
                <w:color w:val="000000" w:themeColor="text1"/>
                <w:sz w:val="16"/>
                <w:szCs w:val="16"/>
                <w:lang w:eastAsia="es-CO"/>
              </w:rPr>
              <w:t>circulación</w:t>
            </w:r>
            <w:r w:rsidR="552415ED" w:rsidRPr="494D33A9">
              <w:rPr>
                <w:rFonts w:ascii="Calibri" w:hAnsi="Calibri" w:cs="Calibri"/>
                <w:color w:val="000000" w:themeColor="text1"/>
                <w:sz w:val="16"/>
                <w:szCs w:val="16"/>
                <w:lang w:eastAsia="es-CO"/>
              </w:rPr>
              <w:t xml:space="preserve"> del servicio </w:t>
            </w:r>
            <w:r w:rsidR="00734301" w:rsidRPr="494D33A9">
              <w:rPr>
                <w:rFonts w:ascii="Calibri" w:hAnsi="Calibri" w:cs="Calibri"/>
                <w:color w:val="000000" w:themeColor="text1"/>
                <w:sz w:val="16"/>
                <w:szCs w:val="16"/>
                <w:lang w:eastAsia="es-CO"/>
              </w:rPr>
              <w:t>público</w:t>
            </w:r>
            <w:r w:rsidR="552415ED" w:rsidRPr="494D33A9">
              <w:rPr>
                <w:rFonts w:ascii="Calibri" w:hAnsi="Calibri" w:cs="Calibri"/>
                <w:color w:val="000000" w:themeColor="text1"/>
                <w:sz w:val="16"/>
                <w:szCs w:val="16"/>
                <w:lang w:eastAsia="es-CO"/>
              </w:rPr>
              <w:t xml:space="preserve"> prestado</w:t>
            </w:r>
            <w:r w:rsidRPr="494D33A9">
              <w:rPr>
                <w:rFonts w:ascii="Calibri" w:hAnsi="Calibri" w:cs="Calibri"/>
                <w:color w:val="000000" w:themeColor="text1"/>
                <w:sz w:val="16"/>
                <w:szCs w:val="16"/>
                <w:lang w:eastAsia="es-CO"/>
              </w:rPr>
              <w:t>.</w:t>
            </w:r>
          </w:p>
        </w:tc>
        <w:tc>
          <w:tcPr>
            <w:tcW w:w="1710" w:type="dxa"/>
            <w:shd w:val="clear" w:color="auto" w:fill="auto"/>
            <w:noWrap/>
            <w:vAlign w:val="center"/>
            <w:hideMark/>
          </w:tcPr>
          <w:p w14:paraId="2A29DEF9" w14:textId="2D2FF7B2" w:rsidR="32085FC4" w:rsidRDefault="4FF5D7EC" w:rsidP="32085FC4">
            <w:pPr>
              <w:rPr>
                <w:sz w:val="16"/>
                <w:szCs w:val="16"/>
              </w:rPr>
            </w:pPr>
            <w:r w:rsidRPr="494D33A9">
              <w:rPr>
                <w:sz w:val="16"/>
                <w:szCs w:val="16"/>
              </w:rPr>
              <w:t>En relación con esta inquietud y viendo que como ya se ha dicho el</w:t>
            </w:r>
            <w:r w:rsidR="32085FC4" w:rsidRPr="32085FC4">
              <w:rPr>
                <w:sz w:val="16"/>
                <w:szCs w:val="16"/>
              </w:rPr>
              <w:t xml:space="preserve"> objetivo de la resolución</w:t>
            </w:r>
            <w:r w:rsidRPr="494D33A9">
              <w:rPr>
                <w:sz w:val="16"/>
                <w:szCs w:val="16"/>
              </w:rPr>
              <w:t xml:space="preserve"> es</w:t>
            </w:r>
            <w:r w:rsidR="32085FC4" w:rsidRPr="32085FC4">
              <w:rPr>
                <w:sz w:val="16"/>
                <w:szCs w:val="16"/>
              </w:rPr>
              <w:t xml:space="preserve"> minimizar o eliminar el cobro por el transporte de energía reactiva capacitiva causado por algunos pocos reactivos inyectados a la red</w:t>
            </w:r>
            <w:r w:rsidR="731EF215" w:rsidRPr="494D33A9">
              <w:rPr>
                <w:sz w:val="16"/>
                <w:szCs w:val="16"/>
              </w:rPr>
              <w:t>, no se observa que haya una incidencia en la creación de barreras geográficas de algún tipo</w:t>
            </w:r>
            <w:r w:rsidR="3748841C" w:rsidRPr="494D33A9">
              <w:rPr>
                <w:sz w:val="16"/>
                <w:szCs w:val="16"/>
              </w:rPr>
              <w:t xml:space="preserve"> ya sea para </w:t>
            </w:r>
            <w:r w:rsidR="001E609B" w:rsidRPr="494D33A9">
              <w:rPr>
                <w:sz w:val="16"/>
                <w:szCs w:val="16"/>
              </w:rPr>
              <w:t>continuar</w:t>
            </w:r>
            <w:r w:rsidR="3748841C" w:rsidRPr="494D33A9">
              <w:rPr>
                <w:sz w:val="16"/>
                <w:szCs w:val="16"/>
              </w:rPr>
              <w:t xml:space="preserve"> o iniciar con la prestación del servicio de energía eléctrica</w:t>
            </w:r>
            <w:r w:rsidR="32085FC4" w:rsidRPr="32085FC4">
              <w:rPr>
                <w:sz w:val="16"/>
                <w:szCs w:val="16"/>
              </w:rPr>
              <w:t>.</w:t>
            </w:r>
          </w:p>
          <w:p w14:paraId="00DB6574" w14:textId="436AF39C" w:rsidR="32085FC4" w:rsidRDefault="32085FC4" w:rsidP="32085FC4">
            <w:pPr>
              <w:spacing w:before="0" w:after="0"/>
              <w:jc w:val="center"/>
              <w:rPr>
                <w:rFonts w:ascii="Calibri" w:hAnsi="Calibri" w:cs="Calibri"/>
                <w:color w:val="000000" w:themeColor="text1"/>
                <w:lang w:eastAsia="es-CO"/>
              </w:rPr>
            </w:pPr>
          </w:p>
        </w:tc>
      </w:tr>
      <w:tr w:rsidR="008F1BE2" w:rsidRPr="007D2FCF" w14:paraId="33AD1420" w14:textId="77777777" w:rsidTr="32085FC4">
        <w:trPr>
          <w:trHeight w:val="645"/>
        </w:trPr>
        <w:tc>
          <w:tcPr>
            <w:tcW w:w="347" w:type="dxa"/>
            <w:vMerge w:val="restart"/>
            <w:shd w:val="clear" w:color="auto" w:fill="auto"/>
            <w:noWrap/>
            <w:vAlign w:val="center"/>
            <w:hideMark/>
          </w:tcPr>
          <w:p w14:paraId="345E591F" w14:textId="77777777" w:rsidR="0078518A" w:rsidRPr="007D2FCF" w:rsidRDefault="0078518A">
            <w:pPr>
              <w:spacing w:before="0" w:after="0"/>
              <w:jc w:val="center"/>
              <w:rPr>
                <w:rFonts w:ascii="Calibri" w:hAnsi="Calibri" w:cs="Calibri"/>
                <w:bCs w:val="0"/>
                <w:color w:val="000000"/>
                <w:szCs w:val="22"/>
                <w:lang w:eastAsia="es-CO"/>
              </w:rPr>
            </w:pPr>
            <w:r w:rsidRPr="007D2FCF">
              <w:rPr>
                <w:rFonts w:ascii="Calibri" w:hAnsi="Calibri" w:cs="Calibri"/>
                <w:bCs w:val="0"/>
                <w:color w:val="000000"/>
                <w:szCs w:val="22"/>
                <w:lang w:eastAsia="es-CO"/>
              </w:rPr>
              <w:t>f)</w:t>
            </w:r>
          </w:p>
        </w:tc>
        <w:tc>
          <w:tcPr>
            <w:tcW w:w="373" w:type="dxa"/>
            <w:shd w:val="clear" w:color="auto" w:fill="auto"/>
            <w:hideMark/>
          </w:tcPr>
          <w:p w14:paraId="228DC725" w14:textId="77777777" w:rsidR="0078518A" w:rsidRPr="007D2FCF" w:rsidRDefault="0078518A">
            <w:pPr>
              <w:spacing w:before="0" w:after="0"/>
              <w:jc w:val="left"/>
              <w:rPr>
                <w:rFonts w:ascii="Calibri" w:hAnsi="Calibri" w:cs="Calibri"/>
                <w:bCs w:val="0"/>
                <w:color w:val="000000"/>
                <w:szCs w:val="22"/>
                <w:lang w:eastAsia="es-CO"/>
              </w:rPr>
            </w:pPr>
          </w:p>
        </w:tc>
        <w:tc>
          <w:tcPr>
            <w:tcW w:w="4710" w:type="dxa"/>
            <w:shd w:val="clear" w:color="auto" w:fill="auto"/>
            <w:vAlign w:val="center"/>
            <w:hideMark/>
          </w:tcPr>
          <w:p w14:paraId="341D887F" w14:textId="77777777" w:rsidR="0078518A" w:rsidRPr="007D2FCF" w:rsidRDefault="0078518A">
            <w:pPr>
              <w:spacing w:before="0" w:after="0"/>
              <w:jc w:val="left"/>
              <w:rPr>
                <w:rFonts w:ascii="Calibri" w:hAnsi="Calibri" w:cs="Calibri"/>
                <w:bCs w:val="0"/>
                <w:color w:val="000000"/>
                <w:szCs w:val="22"/>
                <w:lang w:eastAsia="es-CO"/>
              </w:rPr>
            </w:pPr>
            <w:r w:rsidRPr="007D2FCF">
              <w:rPr>
                <w:rFonts w:ascii="Calibri" w:hAnsi="Calibri" w:cs="Calibri"/>
                <w:bCs w:val="0"/>
                <w:color w:val="000000"/>
                <w:szCs w:val="22"/>
                <w:lang w:eastAsia="es-CO"/>
              </w:rPr>
              <w:t>Incrementa de manera significativa los costos:</w:t>
            </w:r>
          </w:p>
        </w:tc>
        <w:tc>
          <w:tcPr>
            <w:tcW w:w="420" w:type="dxa"/>
            <w:shd w:val="clear" w:color="auto" w:fill="auto"/>
            <w:noWrap/>
            <w:vAlign w:val="center"/>
            <w:hideMark/>
          </w:tcPr>
          <w:p w14:paraId="6C0A307F" w14:textId="77777777" w:rsidR="0078518A" w:rsidRPr="007D2FCF" w:rsidRDefault="0078518A">
            <w:pPr>
              <w:spacing w:before="0" w:after="0"/>
              <w:jc w:val="center"/>
              <w:rPr>
                <w:rFonts w:ascii="Calibri" w:hAnsi="Calibri" w:cs="Calibri"/>
                <w:bCs w:val="0"/>
                <w:color w:val="000000"/>
                <w:szCs w:val="22"/>
                <w:lang w:eastAsia="es-CO"/>
              </w:rPr>
            </w:pPr>
          </w:p>
        </w:tc>
        <w:tc>
          <w:tcPr>
            <w:tcW w:w="450" w:type="dxa"/>
            <w:shd w:val="clear" w:color="auto" w:fill="auto"/>
            <w:noWrap/>
            <w:vAlign w:val="center"/>
            <w:hideMark/>
          </w:tcPr>
          <w:p w14:paraId="5DF37976" w14:textId="77777777" w:rsidR="0078518A" w:rsidRPr="007D2FCF" w:rsidRDefault="0078518A">
            <w:pPr>
              <w:spacing w:before="0" w:after="0"/>
              <w:jc w:val="center"/>
              <w:rPr>
                <w:rFonts w:ascii="Calibri" w:hAnsi="Calibri" w:cs="Calibri"/>
                <w:bCs w:val="0"/>
                <w:color w:val="000000"/>
                <w:szCs w:val="22"/>
                <w:lang w:eastAsia="es-CO"/>
              </w:rPr>
            </w:pPr>
          </w:p>
        </w:tc>
        <w:tc>
          <w:tcPr>
            <w:tcW w:w="1440" w:type="dxa"/>
            <w:shd w:val="clear" w:color="auto" w:fill="auto"/>
            <w:noWrap/>
            <w:vAlign w:val="center"/>
            <w:hideMark/>
          </w:tcPr>
          <w:p w14:paraId="6087917C" w14:textId="77777777" w:rsidR="0078518A" w:rsidRPr="007D2FCF" w:rsidRDefault="0078518A">
            <w:pPr>
              <w:spacing w:before="0" w:after="0"/>
              <w:jc w:val="center"/>
              <w:rPr>
                <w:rFonts w:ascii="Calibri" w:hAnsi="Calibri" w:cs="Calibri"/>
                <w:bCs w:val="0"/>
                <w:color w:val="000000"/>
                <w:szCs w:val="22"/>
                <w:lang w:eastAsia="es-CO"/>
              </w:rPr>
            </w:pPr>
          </w:p>
        </w:tc>
        <w:tc>
          <w:tcPr>
            <w:tcW w:w="1710" w:type="dxa"/>
            <w:shd w:val="clear" w:color="auto" w:fill="auto"/>
            <w:noWrap/>
            <w:vAlign w:val="center"/>
            <w:hideMark/>
          </w:tcPr>
          <w:p w14:paraId="4BE53849" w14:textId="77777777" w:rsidR="0078518A" w:rsidRPr="007D2FCF" w:rsidRDefault="0078518A">
            <w:pPr>
              <w:spacing w:before="0" w:after="0"/>
              <w:jc w:val="center"/>
              <w:rPr>
                <w:rFonts w:ascii="Calibri" w:hAnsi="Calibri" w:cs="Calibri"/>
                <w:bCs w:val="0"/>
                <w:color w:val="000000"/>
                <w:szCs w:val="22"/>
                <w:lang w:eastAsia="es-CO"/>
              </w:rPr>
            </w:pPr>
          </w:p>
        </w:tc>
      </w:tr>
      <w:tr w:rsidR="008F1BE2" w:rsidRPr="007D2FCF" w14:paraId="03F472B3" w14:textId="77777777" w:rsidTr="32085FC4">
        <w:trPr>
          <w:trHeight w:val="683"/>
        </w:trPr>
        <w:tc>
          <w:tcPr>
            <w:tcW w:w="347" w:type="dxa"/>
            <w:vMerge/>
            <w:vAlign w:val="center"/>
            <w:hideMark/>
          </w:tcPr>
          <w:p w14:paraId="11E9CDAB" w14:textId="77777777" w:rsidR="0078518A" w:rsidRPr="007D2FCF" w:rsidRDefault="0078518A">
            <w:pPr>
              <w:spacing w:before="0" w:after="0"/>
              <w:jc w:val="left"/>
              <w:rPr>
                <w:rFonts w:ascii="Calibri" w:hAnsi="Calibri" w:cs="Calibri"/>
                <w:bCs w:val="0"/>
                <w:color w:val="000000"/>
                <w:szCs w:val="22"/>
                <w:lang w:eastAsia="es-CO"/>
              </w:rPr>
            </w:pPr>
          </w:p>
        </w:tc>
        <w:tc>
          <w:tcPr>
            <w:tcW w:w="373" w:type="dxa"/>
            <w:shd w:val="clear" w:color="auto" w:fill="auto"/>
            <w:noWrap/>
            <w:vAlign w:val="center"/>
            <w:hideMark/>
          </w:tcPr>
          <w:p w14:paraId="5183DBE2" w14:textId="77777777" w:rsidR="0078518A" w:rsidRPr="007D2FCF" w:rsidRDefault="0078518A">
            <w:pPr>
              <w:spacing w:before="0" w:after="0"/>
              <w:jc w:val="center"/>
              <w:rPr>
                <w:rFonts w:ascii="Calibri" w:hAnsi="Calibri" w:cs="Calibri"/>
                <w:bCs w:val="0"/>
                <w:color w:val="000000"/>
                <w:szCs w:val="22"/>
                <w:lang w:eastAsia="es-CO"/>
              </w:rPr>
            </w:pPr>
            <w:r w:rsidRPr="007D2FCF">
              <w:rPr>
                <w:rFonts w:ascii="Calibri" w:hAnsi="Calibri" w:cs="Calibri"/>
                <w:bCs w:val="0"/>
                <w:color w:val="000000"/>
                <w:szCs w:val="22"/>
                <w:lang w:eastAsia="es-CO"/>
              </w:rPr>
              <w:t>i)</w:t>
            </w:r>
          </w:p>
        </w:tc>
        <w:tc>
          <w:tcPr>
            <w:tcW w:w="4710" w:type="dxa"/>
            <w:shd w:val="clear" w:color="auto" w:fill="auto"/>
            <w:vAlign w:val="center"/>
            <w:hideMark/>
          </w:tcPr>
          <w:p w14:paraId="4A9740DF" w14:textId="77777777" w:rsidR="0078518A" w:rsidRPr="007D2FCF" w:rsidRDefault="0078518A">
            <w:pPr>
              <w:spacing w:before="0" w:after="0"/>
              <w:jc w:val="left"/>
              <w:rPr>
                <w:rFonts w:ascii="Calibri" w:hAnsi="Calibri" w:cs="Calibri"/>
                <w:bCs w:val="0"/>
                <w:color w:val="000000"/>
                <w:szCs w:val="22"/>
                <w:lang w:eastAsia="es-CO"/>
              </w:rPr>
            </w:pPr>
            <w:r w:rsidRPr="007D2FCF">
              <w:rPr>
                <w:rFonts w:ascii="Calibri" w:hAnsi="Calibri" w:cs="Calibri"/>
                <w:bCs w:val="0"/>
                <w:color w:val="000000"/>
                <w:szCs w:val="22"/>
                <w:lang w:eastAsia="es-CO"/>
              </w:rPr>
              <w:t>Para nuevas empresas en relación con las empresas que ya operan en un mercado o mercados relevantes relacionados, o</w:t>
            </w:r>
          </w:p>
        </w:tc>
        <w:tc>
          <w:tcPr>
            <w:tcW w:w="420" w:type="dxa"/>
            <w:shd w:val="clear" w:color="auto" w:fill="auto"/>
            <w:noWrap/>
            <w:vAlign w:val="center"/>
            <w:hideMark/>
          </w:tcPr>
          <w:p w14:paraId="27A087B3" w14:textId="77777777" w:rsidR="0078518A" w:rsidRPr="007D2FCF" w:rsidRDefault="0078518A">
            <w:pPr>
              <w:spacing w:before="0" w:after="0"/>
              <w:jc w:val="center"/>
              <w:rPr>
                <w:rFonts w:ascii="Calibri" w:hAnsi="Calibri" w:cs="Calibri"/>
                <w:bCs w:val="0"/>
                <w:color w:val="000000"/>
                <w:szCs w:val="22"/>
                <w:lang w:eastAsia="es-CO"/>
              </w:rPr>
            </w:pPr>
          </w:p>
        </w:tc>
        <w:tc>
          <w:tcPr>
            <w:tcW w:w="450" w:type="dxa"/>
            <w:shd w:val="clear" w:color="auto" w:fill="auto"/>
            <w:noWrap/>
            <w:vAlign w:val="center"/>
            <w:hideMark/>
          </w:tcPr>
          <w:p w14:paraId="5482ABF4" w14:textId="77777777" w:rsidR="0078518A" w:rsidRPr="007D2FCF" w:rsidRDefault="0078518A">
            <w:pPr>
              <w:spacing w:before="0" w:after="0"/>
              <w:jc w:val="center"/>
              <w:rPr>
                <w:rFonts w:ascii="Calibri" w:hAnsi="Calibri" w:cs="Calibri"/>
                <w:bCs w:val="0"/>
                <w:color w:val="000000"/>
                <w:szCs w:val="22"/>
                <w:lang w:eastAsia="es-CO"/>
              </w:rPr>
            </w:pPr>
            <w:r w:rsidRPr="007D2FCF">
              <w:rPr>
                <w:rFonts w:ascii="Calibri" w:hAnsi="Calibri" w:cs="Calibri"/>
                <w:bCs w:val="0"/>
                <w:color w:val="000000"/>
                <w:szCs w:val="22"/>
                <w:lang w:eastAsia="es-CO"/>
              </w:rPr>
              <w:t>X</w:t>
            </w:r>
          </w:p>
        </w:tc>
        <w:tc>
          <w:tcPr>
            <w:tcW w:w="1440" w:type="dxa"/>
            <w:shd w:val="clear" w:color="auto" w:fill="auto"/>
            <w:noWrap/>
            <w:vAlign w:val="center"/>
            <w:hideMark/>
          </w:tcPr>
          <w:p w14:paraId="0E07AF60" w14:textId="77777777" w:rsidR="00454582" w:rsidRDefault="00C61AA7" w:rsidP="32085FC4">
            <w:pPr>
              <w:spacing w:before="0" w:after="0"/>
              <w:jc w:val="center"/>
              <w:rPr>
                <w:rFonts w:ascii="Calibri" w:hAnsi="Calibri" w:cs="Calibri"/>
                <w:color w:val="000000" w:themeColor="text1"/>
                <w:sz w:val="16"/>
                <w:szCs w:val="16"/>
                <w:lang w:eastAsia="es-CO"/>
              </w:rPr>
            </w:pPr>
            <w:r>
              <w:rPr>
                <w:rFonts w:ascii="Calibri" w:hAnsi="Calibri" w:cs="Calibri"/>
                <w:color w:val="000000" w:themeColor="text1"/>
                <w:sz w:val="16"/>
                <w:szCs w:val="16"/>
                <w:lang w:eastAsia="es-CO"/>
              </w:rPr>
              <w:t>Al modificar el estándar de energía reactiva capacitiva, se flexibilizan las condiciones exigidas y</w:t>
            </w:r>
            <w:r w:rsidR="00D03494">
              <w:rPr>
                <w:rFonts w:ascii="Calibri" w:hAnsi="Calibri" w:cs="Calibri"/>
                <w:color w:val="000000" w:themeColor="text1"/>
                <w:sz w:val="16"/>
                <w:szCs w:val="16"/>
                <w:lang w:eastAsia="es-CO"/>
              </w:rPr>
              <w:t>,</w:t>
            </w:r>
            <w:r>
              <w:rPr>
                <w:rFonts w:ascii="Calibri" w:hAnsi="Calibri" w:cs="Calibri"/>
                <w:color w:val="000000" w:themeColor="text1"/>
                <w:sz w:val="16"/>
                <w:szCs w:val="16"/>
                <w:lang w:eastAsia="es-CO"/>
              </w:rPr>
              <w:t xml:space="preserve"> por tanto, </w:t>
            </w:r>
            <w:r w:rsidR="00D03494">
              <w:rPr>
                <w:rFonts w:ascii="Calibri" w:hAnsi="Calibri" w:cs="Calibri"/>
                <w:color w:val="000000" w:themeColor="text1"/>
                <w:sz w:val="16"/>
                <w:szCs w:val="16"/>
                <w:lang w:eastAsia="es-CO"/>
              </w:rPr>
              <w:t>se reducen los costos de operación para empresas y usuarios que se conecten a los sistemas</w:t>
            </w:r>
            <w:r w:rsidR="00454582">
              <w:rPr>
                <w:rFonts w:ascii="Calibri" w:hAnsi="Calibri" w:cs="Calibri"/>
                <w:color w:val="000000" w:themeColor="text1"/>
                <w:sz w:val="16"/>
                <w:szCs w:val="16"/>
                <w:lang w:eastAsia="es-CO"/>
              </w:rPr>
              <w:t>.</w:t>
            </w:r>
          </w:p>
          <w:p w14:paraId="690C52C2" w14:textId="1A7DC22E" w:rsidR="32085FC4" w:rsidRDefault="3DAA364A" w:rsidP="32085FC4">
            <w:pPr>
              <w:spacing w:before="0" w:after="0"/>
              <w:jc w:val="center"/>
              <w:rPr>
                <w:rFonts w:ascii="Calibri" w:hAnsi="Calibri" w:cs="Calibri"/>
                <w:color w:val="000000" w:themeColor="text1"/>
                <w:sz w:val="16"/>
                <w:szCs w:val="16"/>
                <w:lang w:eastAsia="es-CO"/>
              </w:rPr>
            </w:pPr>
            <w:r w:rsidRPr="494D33A9">
              <w:rPr>
                <w:rFonts w:ascii="Calibri" w:hAnsi="Calibri" w:cs="Calibri"/>
                <w:color w:val="000000" w:themeColor="text1"/>
                <w:sz w:val="16"/>
                <w:szCs w:val="16"/>
                <w:lang w:eastAsia="es-CO"/>
              </w:rPr>
              <w:t xml:space="preserve"> </w:t>
            </w:r>
          </w:p>
        </w:tc>
        <w:tc>
          <w:tcPr>
            <w:tcW w:w="1710" w:type="dxa"/>
            <w:shd w:val="clear" w:color="auto" w:fill="auto"/>
            <w:vAlign w:val="center"/>
            <w:hideMark/>
          </w:tcPr>
          <w:p w14:paraId="39EF869D" w14:textId="3C7EE65D" w:rsidR="32085FC4" w:rsidRDefault="00454582" w:rsidP="494D33A9">
            <w:pPr>
              <w:spacing w:before="0" w:line="257" w:lineRule="auto"/>
              <w:rPr>
                <w:rFonts w:eastAsia="Arial" w:cs="Arial"/>
                <w:sz w:val="16"/>
                <w:szCs w:val="16"/>
              </w:rPr>
            </w:pPr>
            <w:r>
              <w:rPr>
                <w:rFonts w:eastAsia="Arial" w:cs="Arial"/>
                <w:color w:val="000000" w:themeColor="text1"/>
                <w:sz w:val="16"/>
                <w:szCs w:val="16"/>
              </w:rPr>
              <w:t xml:space="preserve">Adicionalmente, es oportuno mencionar </w:t>
            </w:r>
            <w:proofErr w:type="gramStart"/>
            <w:r>
              <w:rPr>
                <w:rFonts w:eastAsia="Arial" w:cs="Arial"/>
                <w:color w:val="000000" w:themeColor="text1"/>
                <w:sz w:val="16"/>
                <w:szCs w:val="16"/>
              </w:rPr>
              <w:t>que</w:t>
            </w:r>
            <w:proofErr w:type="gramEnd"/>
            <w:r>
              <w:rPr>
                <w:rFonts w:eastAsia="Arial" w:cs="Arial"/>
                <w:color w:val="000000" w:themeColor="text1"/>
                <w:sz w:val="16"/>
                <w:szCs w:val="16"/>
              </w:rPr>
              <w:t xml:space="preserve"> c</w:t>
            </w:r>
            <w:r w:rsidR="3B36567A" w:rsidRPr="494D33A9">
              <w:rPr>
                <w:rFonts w:eastAsia="Arial" w:cs="Arial"/>
                <w:color w:val="000000" w:themeColor="text1"/>
                <w:sz w:val="16"/>
                <w:szCs w:val="16"/>
              </w:rPr>
              <w:t xml:space="preserve">on la expedición de la resolución, no se modifican las exigencias del medidor establecidas en la Resolución CREG 038 de 2014: </w:t>
            </w:r>
            <w:r w:rsidR="32085FC4">
              <w:br/>
            </w:r>
            <w:r w:rsidR="3B36567A" w:rsidRPr="494D33A9">
              <w:rPr>
                <w:rFonts w:eastAsia="Arial" w:cs="Arial"/>
                <w:color w:val="000000" w:themeColor="text1"/>
                <w:sz w:val="16"/>
                <w:szCs w:val="16"/>
              </w:rPr>
              <w:t xml:space="preserve"> "ARTÍCULO 8o. REQUISITOS GENERALES DE LOS SISTEMAS DE MEDICIÓN. Los sistemas de medición </w:t>
            </w:r>
            <w:r w:rsidR="3B36567A" w:rsidRPr="494D33A9">
              <w:rPr>
                <w:rFonts w:eastAsia="Arial" w:cs="Arial"/>
                <w:color w:val="000000" w:themeColor="text1"/>
                <w:sz w:val="16"/>
                <w:szCs w:val="16"/>
              </w:rPr>
              <w:lastRenderedPageBreak/>
              <w:t>deben cumplir con las siguientes condiciones:</w:t>
            </w:r>
            <w:r w:rsidR="3B36567A" w:rsidRPr="494D33A9">
              <w:rPr>
                <w:rFonts w:eastAsia="Arial" w:cs="Arial"/>
                <w:sz w:val="16"/>
                <w:szCs w:val="16"/>
              </w:rPr>
              <w:t xml:space="preserve"> </w:t>
            </w:r>
            <w:r w:rsidR="32085FC4">
              <w:br/>
            </w:r>
            <w:r w:rsidR="3B36567A" w:rsidRPr="494D33A9">
              <w:rPr>
                <w:rFonts w:eastAsia="Arial" w:cs="Arial"/>
                <w:sz w:val="16"/>
                <w:szCs w:val="16"/>
              </w:rPr>
              <w:t xml:space="preserve"> (…)  </w:t>
            </w:r>
            <w:r w:rsidR="32085FC4">
              <w:br/>
            </w:r>
            <w:r w:rsidR="3B36567A" w:rsidRPr="494D33A9">
              <w:rPr>
                <w:rFonts w:eastAsia="Arial" w:cs="Arial"/>
                <w:sz w:val="16"/>
                <w:szCs w:val="16"/>
              </w:rPr>
              <w:t xml:space="preserve"> e) En los puntos de medición en los que se presenten o se prevean flujos de energía en ambos sentidos se deben instalar medidores bidireccionales para determinar de forma independiente el flujo en cada sentido. (...) </w:t>
            </w:r>
            <w:r w:rsidR="32085FC4">
              <w:br/>
            </w:r>
            <w:r w:rsidR="3B36567A" w:rsidRPr="494D33A9">
              <w:rPr>
                <w:rFonts w:eastAsia="Arial" w:cs="Arial"/>
                <w:sz w:val="16"/>
                <w:szCs w:val="16"/>
              </w:rPr>
              <w:t xml:space="preserve"> h) Los sistemas de medición deben registrar y permitir la lectura y transmisión de la información en los términos establecidos en los artículos 15 y 37 de esta resolución. (...) </w:t>
            </w:r>
            <w:r w:rsidR="32085FC4">
              <w:br/>
            </w:r>
            <w:r w:rsidR="3B36567A" w:rsidRPr="494D33A9">
              <w:rPr>
                <w:rFonts w:eastAsia="Arial" w:cs="Arial"/>
                <w:sz w:val="16"/>
                <w:szCs w:val="16"/>
              </w:rPr>
              <w:t xml:space="preserve"> ARTÍCULO 15. REGISTRO Y LECTURA DE LA INFORMACIÓN. Las fronteras comerciales con reporte al ASIC deben contar con medidores de energía activa y reactiva de tal manera que permitan, como mínimo, el registro horario de las transacciones de energía en el primer minuto de cada hora y con los equipos necesarios para realizar la lectura, interrogación y reporte de la información en los siguientes términos:"</w:t>
            </w:r>
          </w:p>
          <w:p w14:paraId="0BE6DE0D" w14:textId="337BCDA7" w:rsidR="32085FC4" w:rsidRDefault="32085FC4" w:rsidP="32085FC4">
            <w:pPr>
              <w:spacing w:before="0" w:after="0"/>
              <w:jc w:val="center"/>
              <w:rPr>
                <w:rFonts w:ascii="Calibri" w:hAnsi="Calibri" w:cs="Calibri"/>
                <w:color w:val="000000" w:themeColor="text1"/>
                <w:lang w:eastAsia="es-CO"/>
              </w:rPr>
            </w:pPr>
          </w:p>
        </w:tc>
      </w:tr>
      <w:tr w:rsidR="008F1BE2" w:rsidRPr="007D2FCF" w14:paraId="47144183" w14:textId="77777777" w:rsidTr="32085FC4">
        <w:trPr>
          <w:trHeight w:val="620"/>
        </w:trPr>
        <w:tc>
          <w:tcPr>
            <w:tcW w:w="347" w:type="dxa"/>
            <w:vMerge/>
            <w:vAlign w:val="center"/>
            <w:hideMark/>
          </w:tcPr>
          <w:p w14:paraId="53E0F945" w14:textId="77777777" w:rsidR="0078518A" w:rsidRPr="007D2FCF" w:rsidRDefault="0078518A">
            <w:pPr>
              <w:spacing w:before="0" w:after="0"/>
              <w:jc w:val="left"/>
              <w:rPr>
                <w:rFonts w:ascii="Calibri" w:hAnsi="Calibri" w:cs="Calibri"/>
                <w:bCs w:val="0"/>
                <w:color w:val="000000"/>
                <w:szCs w:val="22"/>
                <w:lang w:eastAsia="es-CO"/>
              </w:rPr>
            </w:pPr>
          </w:p>
        </w:tc>
        <w:tc>
          <w:tcPr>
            <w:tcW w:w="373" w:type="dxa"/>
            <w:shd w:val="clear" w:color="auto" w:fill="auto"/>
            <w:noWrap/>
            <w:vAlign w:val="center"/>
            <w:hideMark/>
          </w:tcPr>
          <w:p w14:paraId="78C7A767" w14:textId="77777777" w:rsidR="0078518A" w:rsidRPr="007D2FCF" w:rsidRDefault="0078518A">
            <w:pPr>
              <w:spacing w:before="0" w:after="0"/>
              <w:jc w:val="center"/>
              <w:rPr>
                <w:rFonts w:ascii="Calibri" w:hAnsi="Calibri" w:cs="Calibri"/>
                <w:bCs w:val="0"/>
                <w:color w:val="000000"/>
                <w:szCs w:val="22"/>
                <w:lang w:eastAsia="es-CO"/>
              </w:rPr>
            </w:pPr>
            <w:proofErr w:type="spellStart"/>
            <w:r w:rsidRPr="007D2FCF">
              <w:rPr>
                <w:rFonts w:ascii="Calibri" w:hAnsi="Calibri" w:cs="Calibri"/>
                <w:bCs w:val="0"/>
                <w:color w:val="000000"/>
                <w:szCs w:val="22"/>
                <w:lang w:eastAsia="es-CO"/>
              </w:rPr>
              <w:t>ii</w:t>
            </w:r>
            <w:proofErr w:type="spellEnd"/>
            <w:r w:rsidRPr="007D2FCF">
              <w:rPr>
                <w:rFonts w:ascii="Calibri" w:hAnsi="Calibri" w:cs="Calibri"/>
                <w:bCs w:val="0"/>
                <w:color w:val="000000"/>
                <w:szCs w:val="22"/>
                <w:lang w:eastAsia="es-CO"/>
              </w:rPr>
              <w:t>)</w:t>
            </w:r>
          </w:p>
        </w:tc>
        <w:tc>
          <w:tcPr>
            <w:tcW w:w="4710" w:type="dxa"/>
            <w:shd w:val="clear" w:color="auto" w:fill="auto"/>
            <w:vAlign w:val="center"/>
            <w:hideMark/>
          </w:tcPr>
          <w:p w14:paraId="1E6E045E" w14:textId="77777777" w:rsidR="0078518A" w:rsidRPr="007D2FCF" w:rsidRDefault="0078518A">
            <w:pPr>
              <w:spacing w:before="0" w:after="0"/>
              <w:jc w:val="left"/>
              <w:rPr>
                <w:rFonts w:ascii="Calibri" w:hAnsi="Calibri" w:cs="Calibri"/>
                <w:bCs w:val="0"/>
                <w:color w:val="000000"/>
                <w:szCs w:val="22"/>
                <w:lang w:eastAsia="es-CO"/>
              </w:rPr>
            </w:pPr>
            <w:r w:rsidRPr="007D2FCF">
              <w:rPr>
                <w:rFonts w:ascii="Calibri" w:hAnsi="Calibri" w:cs="Calibri"/>
                <w:bCs w:val="0"/>
                <w:color w:val="000000"/>
                <w:szCs w:val="22"/>
                <w:lang w:eastAsia="es-CO"/>
              </w:rPr>
              <w:t>Para unas empresas en relación con otras cuando el conjunto ya opera en uno o varios mercados relevantes relacionados.</w:t>
            </w:r>
          </w:p>
        </w:tc>
        <w:tc>
          <w:tcPr>
            <w:tcW w:w="420" w:type="dxa"/>
            <w:shd w:val="clear" w:color="auto" w:fill="auto"/>
            <w:noWrap/>
            <w:vAlign w:val="center"/>
            <w:hideMark/>
          </w:tcPr>
          <w:p w14:paraId="7DAA5DFD" w14:textId="77777777" w:rsidR="0078518A" w:rsidRPr="007D2FCF" w:rsidRDefault="0078518A">
            <w:pPr>
              <w:spacing w:before="0" w:after="0"/>
              <w:jc w:val="center"/>
              <w:rPr>
                <w:rFonts w:ascii="Calibri" w:hAnsi="Calibri" w:cs="Calibri"/>
                <w:bCs w:val="0"/>
                <w:color w:val="000000"/>
                <w:szCs w:val="22"/>
                <w:lang w:eastAsia="es-CO"/>
              </w:rPr>
            </w:pPr>
          </w:p>
        </w:tc>
        <w:tc>
          <w:tcPr>
            <w:tcW w:w="450" w:type="dxa"/>
            <w:shd w:val="clear" w:color="auto" w:fill="auto"/>
            <w:noWrap/>
            <w:vAlign w:val="center"/>
            <w:hideMark/>
          </w:tcPr>
          <w:p w14:paraId="0BE4BCEE" w14:textId="77777777" w:rsidR="0078518A" w:rsidRPr="007D2FCF" w:rsidRDefault="0078518A">
            <w:pPr>
              <w:spacing w:before="0" w:after="0"/>
              <w:jc w:val="center"/>
              <w:rPr>
                <w:rFonts w:ascii="Calibri" w:hAnsi="Calibri" w:cs="Calibri"/>
                <w:bCs w:val="0"/>
                <w:color w:val="000000"/>
                <w:szCs w:val="22"/>
                <w:lang w:eastAsia="es-CO"/>
              </w:rPr>
            </w:pPr>
            <w:r w:rsidRPr="007D2FCF">
              <w:rPr>
                <w:rFonts w:ascii="Calibri" w:hAnsi="Calibri" w:cs="Calibri"/>
                <w:bCs w:val="0"/>
                <w:color w:val="000000"/>
                <w:szCs w:val="22"/>
                <w:lang w:eastAsia="es-CO"/>
              </w:rPr>
              <w:t>X</w:t>
            </w:r>
          </w:p>
        </w:tc>
        <w:tc>
          <w:tcPr>
            <w:tcW w:w="1440" w:type="dxa"/>
            <w:shd w:val="clear" w:color="auto" w:fill="auto"/>
            <w:noWrap/>
            <w:vAlign w:val="center"/>
            <w:hideMark/>
          </w:tcPr>
          <w:p w14:paraId="7E8E4083" w14:textId="0224B352" w:rsidR="008D3BE6" w:rsidRDefault="32085FC4" w:rsidP="008D3BE6">
            <w:pPr>
              <w:spacing w:before="0" w:after="0"/>
              <w:jc w:val="center"/>
              <w:rPr>
                <w:rFonts w:ascii="Calibri" w:hAnsi="Calibri" w:cs="Calibri"/>
                <w:color w:val="000000" w:themeColor="text1"/>
                <w:sz w:val="16"/>
                <w:szCs w:val="16"/>
                <w:lang w:eastAsia="es-CO"/>
              </w:rPr>
            </w:pPr>
            <w:r w:rsidRPr="494D33A9">
              <w:rPr>
                <w:rFonts w:ascii="Calibri" w:hAnsi="Calibri" w:cs="Calibri"/>
                <w:color w:val="000000" w:themeColor="text1"/>
                <w:sz w:val="16"/>
                <w:szCs w:val="16"/>
                <w:lang w:eastAsia="es-CO"/>
              </w:rPr>
              <w:t xml:space="preserve">Con la expedición de la presente resolución no </w:t>
            </w:r>
            <w:r w:rsidR="1BD0A341" w:rsidRPr="494D33A9">
              <w:rPr>
                <w:rFonts w:ascii="Calibri" w:hAnsi="Calibri" w:cs="Calibri"/>
                <w:color w:val="000000" w:themeColor="text1"/>
                <w:sz w:val="16"/>
                <w:szCs w:val="16"/>
                <w:lang w:eastAsia="es-CO"/>
              </w:rPr>
              <w:t xml:space="preserve">hay incremento de costos cuando en el conjunto ya </w:t>
            </w:r>
            <w:proofErr w:type="gramStart"/>
            <w:r w:rsidR="1BD0A341" w:rsidRPr="494D33A9">
              <w:rPr>
                <w:rFonts w:ascii="Calibri" w:hAnsi="Calibri" w:cs="Calibri"/>
                <w:color w:val="000000" w:themeColor="text1"/>
                <w:sz w:val="16"/>
                <w:szCs w:val="16"/>
                <w:lang w:eastAsia="es-CO"/>
              </w:rPr>
              <w:t>opere</w:t>
            </w:r>
            <w:proofErr w:type="gramEnd"/>
            <w:r w:rsidR="1BD0A341" w:rsidRPr="494D33A9">
              <w:rPr>
                <w:rFonts w:ascii="Calibri" w:hAnsi="Calibri" w:cs="Calibri"/>
                <w:color w:val="000000" w:themeColor="text1"/>
                <w:sz w:val="16"/>
                <w:szCs w:val="16"/>
                <w:lang w:eastAsia="es-CO"/>
              </w:rPr>
              <w:t xml:space="preserve"> en </w:t>
            </w:r>
            <w:r w:rsidR="00626967" w:rsidRPr="494D33A9">
              <w:rPr>
                <w:rFonts w:ascii="Calibri" w:hAnsi="Calibri" w:cs="Calibri"/>
                <w:color w:val="000000" w:themeColor="text1"/>
                <w:sz w:val="16"/>
                <w:szCs w:val="16"/>
                <w:lang w:eastAsia="es-CO"/>
              </w:rPr>
              <w:t>uno o</w:t>
            </w:r>
            <w:r w:rsidR="1BD0A341" w:rsidRPr="494D33A9">
              <w:rPr>
                <w:rFonts w:ascii="Calibri" w:hAnsi="Calibri" w:cs="Calibri"/>
                <w:color w:val="000000" w:themeColor="text1"/>
                <w:sz w:val="16"/>
                <w:szCs w:val="16"/>
                <w:lang w:eastAsia="es-CO"/>
              </w:rPr>
              <w:t xml:space="preserve"> varios mercados, la regulación ya exis</w:t>
            </w:r>
            <w:r w:rsidR="0B0D6ECD" w:rsidRPr="494D33A9">
              <w:rPr>
                <w:rFonts w:ascii="Calibri" w:hAnsi="Calibri" w:cs="Calibri"/>
                <w:color w:val="000000" w:themeColor="text1"/>
                <w:sz w:val="16"/>
                <w:szCs w:val="16"/>
                <w:lang w:eastAsia="es-CO"/>
              </w:rPr>
              <w:t>te y por lo tanto debe darse cumplimiento a ella</w:t>
            </w:r>
            <w:r w:rsidR="008D3BE6">
              <w:rPr>
                <w:rFonts w:ascii="Calibri" w:hAnsi="Calibri" w:cs="Calibri"/>
                <w:color w:val="000000" w:themeColor="text1"/>
                <w:sz w:val="16"/>
                <w:szCs w:val="16"/>
                <w:lang w:eastAsia="es-CO"/>
              </w:rPr>
              <w:t>.</w:t>
            </w:r>
          </w:p>
          <w:p w14:paraId="7096FD98" w14:textId="77777777" w:rsidR="008D3BE6" w:rsidRDefault="008D3BE6" w:rsidP="008D3BE6">
            <w:pPr>
              <w:spacing w:before="0" w:after="0"/>
              <w:jc w:val="center"/>
              <w:rPr>
                <w:rFonts w:ascii="Calibri" w:hAnsi="Calibri" w:cs="Calibri"/>
                <w:color w:val="000000" w:themeColor="text1"/>
                <w:sz w:val="16"/>
                <w:szCs w:val="16"/>
                <w:lang w:eastAsia="es-CO"/>
              </w:rPr>
            </w:pPr>
          </w:p>
          <w:p w14:paraId="300EF7E4" w14:textId="51D65137" w:rsidR="008D3BE6" w:rsidRDefault="008D3BE6" w:rsidP="008D3BE6">
            <w:pPr>
              <w:spacing w:before="0" w:after="0"/>
              <w:jc w:val="center"/>
              <w:rPr>
                <w:rFonts w:ascii="Calibri" w:hAnsi="Calibri" w:cs="Calibri"/>
                <w:color w:val="000000" w:themeColor="text1"/>
                <w:sz w:val="16"/>
                <w:szCs w:val="16"/>
                <w:lang w:eastAsia="es-CO"/>
              </w:rPr>
            </w:pPr>
            <w:r>
              <w:rPr>
                <w:rFonts w:ascii="Calibri" w:hAnsi="Calibri" w:cs="Calibri"/>
                <w:color w:val="000000" w:themeColor="text1"/>
                <w:sz w:val="16"/>
                <w:szCs w:val="16"/>
                <w:lang w:eastAsia="es-CO"/>
              </w:rPr>
              <w:t xml:space="preserve">De hecho, los costos de empresas y usuarios que se </w:t>
            </w:r>
            <w:r>
              <w:rPr>
                <w:rFonts w:ascii="Calibri" w:hAnsi="Calibri" w:cs="Calibri"/>
                <w:color w:val="000000" w:themeColor="text1"/>
                <w:sz w:val="16"/>
                <w:szCs w:val="16"/>
                <w:lang w:eastAsia="es-CO"/>
              </w:rPr>
              <w:lastRenderedPageBreak/>
              <w:t xml:space="preserve">conectan a los sistemas pueden verse disminuidas gracias a la </w:t>
            </w:r>
            <w:r w:rsidR="00317394">
              <w:rPr>
                <w:rFonts w:ascii="Calibri" w:hAnsi="Calibri" w:cs="Calibri"/>
                <w:color w:val="000000" w:themeColor="text1"/>
                <w:sz w:val="16"/>
                <w:szCs w:val="16"/>
                <w:lang w:eastAsia="es-CO"/>
              </w:rPr>
              <w:t>flexibilidad que se realiza con la entrada de esta resolución.</w:t>
            </w:r>
          </w:p>
        </w:tc>
        <w:tc>
          <w:tcPr>
            <w:tcW w:w="1710" w:type="dxa"/>
            <w:shd w:val="clear" w:color="auto" w:fill="auto"/>
            <w:vAlign w:val="center"/>
            <w:hideMark/>
          </w:tcPr>
          <w:p w14:paraId="38F4F5F3" w14:textId="24C6E6A3" w:rsidR="32085FC4" w:rsidRDefault="7F5A24FD" w:rsidP="32085FC4">
            <w:pPr>
              <w:rPr>
                <w:sz w:val="16"/>
                <w:szCs w:val="16"/>
              </w:rPr>
            </w:pPr>
            <w:r w:rsidRPr="494D33A9">
              <w:rPr>
                <w:sz w:val="16"/>
                <w:szCs w:val="16"/>
              </w:rPr>
              <w:lastRenderedPageBreak/>
              <w:t>Como ya se ha manifestado a lo largo del desarrollo del</w:t>
            </w:r>
            <w:r w:rsidR="32085FC4" w:rsidRPr="32085FC4">
              <w:rPr>
                <w:sz w:val="16"/>
                <w:szCs w:val="16"/>
              </w:rPr>
              <w:t xml:space="preserve"> presente </w:t>
            </w:r>
            <w:r w:rsidRPr="494D33A9">
              <w:rPr>
                <w:sz w:val="16"/>
                <w:szCs w:val="16"/>
              </w:rPr>
              <w:t xml:space="preserve">cuestionario </w:t>
            </w:r>
            <w:r w:rsidR="1729C350" w:rsidRPr="494D33A9">
              <w:rPr>
                <w:sz w:val="16"/>
                <w:szCs w:val="16"/>
              </w:rPr>
              <w:t>con esta medida se busca</w:t>
            </w:r>
            <w:r w:rsidR="32085FC4" w:rsidRPr="32085FC4">
              <w:rPr>
                <w:sz w:val="16"/>
                <w:szCs w:val="16"/>
              </w:rPr>
              <w:t xml:space="preserve"> minimizar o eliminar el cobro por el transporte de energía reactiva capacitiva causado por algunos pocos reactivos inyectados a la red</w:t>
            </w:r>
            <w:r w:rsidR="615341D5" w:rsidRPr="494D33A9">
              <w:rPr>
                <w:sz w:val="16"/>
                <w:szCs w:val="16"/>
              </w:rPr>
              <w:t xml:space="preserve"> y no se modifican las reglas que sobre este tema se encuentran </w:t>
            </w:r>
            <w:r w:rsidR="615341D5" w:rsidRPr="494D33A9">
              <w:rPr>
                <w:sz w:val="16"/>
                <w:szCs w:val="16"/>
              </w:rPr>
              <w:lastRenderedPageBreak/>
              <w:t>contempladas en las resoluciones Creg 038 de 2015 y 015 de 2018</w:t>
            </w:r>
            <w:r w:rsidR="32085FC4" w:rsidRPr="32085FC4">
              <w:rPr>
                <w:sz w:val="16"/>
                <w:szCs w:val="16"/>
              </w:rPr>
              <w:t>.</w:t>
            </w:r>
          </w:p>
          <w:p w14:paraId="31DA3646" w14:textId="436AF39C" w:rsidR="32085FC4" w:rsidRDefault="32085FC4" w:rsidP="32085FC4">
            <w:pPr>
              <w:spacing w:before="0" w:after="0"/>
              <w:jc w:val="center"/>
              <w:rPr>
                <w:rFonts w:ascii="Calibri" w:hAnsi="Calibri" w:cs="Calibri"/>
                <w:color w:val="000000" w:themeColor="text1"/>
                <w:lang w:eastAsia="es-CO"/>
              </w:rPr>
            </w:pPr>
          </w:p>
        </w:tc>
      </w:tr>
      <w:tr w:rsidR="0078518A" w:rsidRPr="007D2FCF" w14:paraId="5D2BF033" w14:textId="77777777" w:rsidTr="32085FC4">
        <w:trPr>
          <w:trHeight w:val="705"/>
        </w:trPr>
        <w:tc>
          <w:tcPr>
            <w:tcW w:w="720" w:type="dxa"/>
            <w:gridSpan w:val="2"/>
            <w:shd w:val="clear" w:color="auto" w:fill="auto"/>
            <w:noWrap/>
            <w:vAlign w:val="center"/>
            <w:hideMark/>
          </w:tcPr>
          <w:p w14:paraId="6F220A1D" w14:textId="77777777" w:rsidR="0078518A" w:rsidRPr="007D2FCF" w:rsidRDefault="0078518A">
            <w:pPr>
              <w:spacing w:before="0" w:after="0"/>
              <w:jc w:val="center"/>
              <w:rPr>
                <w:rFonts w:ascii="Calibri" w:hAnsi="Calibri" w:cs="Calibri"/>
                <w:b/>
                <w:color w:val="000000"/>
                <w:szCs w:val="22"/>
                <w:lang w:eastAsia="es-CO"/>
              </w:rPr>
            </w:pPr>
            <w:r w:rsidRPr="007D2FCF">
              <w:rPr>
                <w:rFonts w:ascii="Calibri" w:hAnsi="Calibri" w:cs="Calibri"/>
                <w:b/>
                <w:color w:val="000000"/>
                <w:szCs w:val="22"/>
                <w:lang w:eastAsia="es-CO"/>
              </w:rPr>
              <w:lastRenderedPageBreak/>
              <w:t>2.</w:t>
            </w:r>
          </w:p>
        </w:tc>
        <w:tc>
          <w:tcPr>
            <w:tcW w:w="8730" w:type="dxa"/>
            <w:gridSpan w:val="5"/>
            <w:shd w:val="clear" w:color="auto" w:fill="auto"/>
            <w:hideMark/>
          </w:tcPr>
          <w:p w14:paraId="07EAFE56" w14:textId="77777777" w:rsidR="0078518A" w:rsidRPr="007D2FCF" w:rsidRDefault="0078518A">
            <w:pPr>
              <w:spacing w:before="0" w:after="0"/>
              <w:jc w:val="left"/>
              <w:rPr>
                <w:rFonts w:ascii="Calibri" w:hAnsi="Calibri" w:cs="Calibri"/>
                <w:b/>
                <w:color w:val="000000"/>
                <w:szCs w:val="22"/>
                <w:lang w:eastAsia="es-CO"/>
              </w:rPr>
            </w:pPr>
            <w:r w:rsidRPr="007D2FCF">
              <w:rPr>
                <w:rFonts w:ascii="Calibri" w:hAnsi="Calibri" w:cs="Calibri"/>
                <w:b/>
                <w:color w:val="000000"/>
                <w:szCs w:val="22"/>
                <w:lang w:eastAsia="es-CO"/>
              </w:rPr>
              <w:t>¿La regulación limita la capacidad de las empresas para competir en uno o varios mercados relevantes relacionados?</w:t>
            </w:r>
            <w:r w:rsidRPr="007D2FCF">
              <w:rPr>
                <w:rFonts w:ascii="Calibri" w:hAnsi="Calibri" w:cs="Calibri"/>
                <w:b/>
                <w:color w:val="000000"/>
                <w:szCs w:val="22"/>
                <w:lang w:eastAsia="es-CO"/>
              </w:rPr>
              <w:br/>
              <w:t>Es posible que esto suceda, entre otros eventos, cuando el proyecto de acto:</w:t>
            </w:r>
          </w:p>
        </w:tc>
      </w:tr>
      <w:tr w:rsidR="008E39E4" w:rsidRPr="007D2FCF" w14:paraId="1E3287E1" w14:textId="77777777" w:rsidTr="32085FC4">
        <w:trPr>
          <w:trHeight w:val="629"/>
        </w:trPr>
        <w:tc>
          <w:tcPr>
            <w:tcW w:w="720" w:type="dxa"/>
            <w:gridSpan w:val="2"/>
            <w:shd w:val="clear" w:color="auto" w:fill="auto"/>
            <w:noWrap/>
            <w:vAlign w:val="center"/>
            <w:hideMark/>
          </w:tcPr>
          <w:p w14:paraId="79AAAEE3" w14:textId="77777777" w:rsidR="0078518A" w:rsidRPr="007D2FCF" w:rsidRDefault="0078518A">
            <w:pPr>
              <w:spacing w:before="0" w:after="0"/>
              <w:jc w:val="center"/>
              <w:rPr>
                <w:rFonts w:ascii="Calibri" w:hAnsi="Calibri" w:cs="Calibri"/>
                <w:bCs w:val="0"/>
                <w:color w:val="000000"/>
                <w:szCs w:val="22"/>
                <w:lang w:eastAsia="es-CO"/>
              </w:rPr>
            </w:pPr>
            <w:r w:rsidRPr="007D2FCF">
              <w:rPr>
                <w:rFonts w:ascii="Calibri" w:hAnsi="Calibri" w:cs="Calibri"/>
                <w:bCs w:val="0"/>
                <w:color w:val="000000"/>
                <w:szCs w:val="22"/>
                <w:lang w:eastAsia="es-CO"/>
              </w:rPr>
              <w:t>a)</w:t>
            </w:r>
          </w:p>
        </w:tc>
        <w:tc>
          <w:tcPr>
            <w:tcW w:w="4710" w:type="dxa"/>
            <w:shd w:val="clear" w:color="auto" w:fill="auto"/>
            <w:hideMark/>
          </w:tcPr>
          <w:p w14:paraId="24043CEB" w14:textId="77777777" w:rsidR="0078518A" w:rsidRPr="007D2FCF" w:rsidRDefault="0078518A">
            <w:pPr>
              <w:spacing w:before="0" w:after="0"/>
              <w:jc w:val="left"/>
              <w:rPr>
                <w:rFonts w:ascii="Calibri" w:hAnsi="Calibri" w:cs="Calibri"/>
                <w:bCs w:val="0"/>
                <w:color w:val="000000"/>
                <w:szCs w:val="22"/>
                <w:lang w:eastAsia="es-CO"/>
              </w:rPr>
            </w:pPr>
            <w:r w:rsidRPr="007D2FCF">
              <w:rPr>
                <w:rFonts w:ascii="Calibri" w:hAnsi="Calibri" w:cs="Calibri"/>
                <w:bCs w:val="0"/>
                <w:color w:val="000000"/>
                <w:szCs w:val="22"/>
                <w:lang w:eastAsia="es-CO"/>
              </w:rPr>
              <w:t>Controla o influye sustancialmente sobre los precios de los bienes o servicios o el nivel de producción.</w:t>
            </w:r>
          </w:p>
        </w:tc>
        <w:tc>
          <w:tcPr>
            <w:tcW w:w="420" w:type="dxa"/>
            <w:shd w:val="clear" w:color="auto" w:fill="auto"/>
            <w:noWrap/>
            <w:vAlign w:val="center"/>
            <w:hideMark/>
          </w:tcPr>
          <w:p w14:paraId="51A1BFFD" w14:textId="77777777" w:rsidR="0078518A" w:rsidRPr="007D2FCF" w:rsidRDefault="0078518A">
            <w:pPr>
              <w:spacing w:before="0" w:after="0"/>
              <w:jc w:val="left"/>
              <w:rPr>
                <w:rFonts w:ascii="Calibri" w:hAnsi="Calibri" w:cs="Calibri"/>
                <w:bCs w:val="0"/>
                <w:color w:val="000000"/>
                <w:szCs w:val="22"/>
                <w:lang w:eastAsia="es-CO"/>
              </w:rPr>
            </w:pPr>
            <w:r w:rsidRPr="007D2FCF">
              <w:rPr>
                <w:rFonts w:ascii="Calibri" w:hAnsi="Calibri" w:cs="Calibri"/>
                <w:bCs w:val="0"/>
                <w:color w:val="000000"/>
                <w:szCs w:val="22"/>
                <w:lang w:eastAsia="es-CO"/>
              </w:rPr>
              <w:t> </w:t>
            </w:r>
          </w:p>
        </w:tc>
        <w:tc>
          <w:tcPr>
            <w:tcW w:w="450" w:type="dxa"/>
            <w:shd w:val="clear" w:color="auto" w:fill="auto"/>
            <w:noWrap/>
            <w:vAlign w:val="center"/>
            <w:hideMark/>
          </w:tcPr>
          <w:p w14:paraId="454F24BA" w14:textId="77777777" w:rsidR="0078518A" w:rsidRPr="007D2FCF" w:rsidRDefault="0078518A">
            <w:pPr>
              <w:spacing w:before="0" w:after="0"/>
              <w:jc w:val="center"/>
              <w:rPr>
                <w:rFonts w:ascii="Calibri" w:hAnsi="Calibri" w:cs="Calibri"/>
                <w:bCs w:val="0"/>
                <w:color w:val="000000"/>
                <w:szCs w:val="22"/>
                <w:lang w:eastAsia="es-CO"/>
              </w:rPr>
            </w:pPr>
            <w:r w:rsidRPr="007D2FCF">
              <w:rPr>
                <w:rFonts w:ascii="Calibri" w:hAnsi="Calibri" w:cs="Calibri"/>
                <w:bCs w:val="0"/>
                <w:color w:val="000000"/>
                <w:szCs w:val="22"/>
                <w:lang w:eastAsia="es-CO"/>
              </w:rPr>
              <w:t>X</w:t>
            </w:r>
          </w:p>
        </w:tc>
        <w:tc>
          <w:tcPr>
            <w:tcW w:w="1440" w:type="dxa"/>
            <w:shd w:val="clear" w:color="auto" w:fill="auto"/>
            <w:noWrap/>
            <w:vAlign w:val="bottom"/>
            <w:hideMark/>
          </w:tcPr>
          <w:p w14:paraId="0235F5A6" w14:textId="005A60B3" w:rsidR="32085FC4" w:rsidRDefault="32085FC4" w:rsidP="32085FC4">
            <w:pPr>
              <w:spacing w:before="0" w:after="0"/>
              <w:jc w:val="center"/>
              <w:rPr>
                <w:rFonts w:ascii="Calibri" w:hAnsi="Calibri" w:cs="Calibri"/>
                <w:color w:val="000000" w:themeColor="text1"/>
                <w:sz w:val="16"/>
                <w:szCs w:val="16"/>
                <w:lang w:eastAsia="es-CO"/>
              </w:rPr>
            </w:pPr>
            <w:r w:rsidRPr="494D33A9">
              <w:rPr>
                <w:rFonts w:ascii="Calibri" w:hAnsi="Calibri" w:cs="Calibri"/>
                <w:color w:val="000000" w:themeColor="text1"/>
                <w:sz w:val="16"/>
                <w:szCs w:val="16"/>
                <w:lang w:eastAsia="es-CO"/>
              </w:rPr>
              <w:t xml:space="preserve">Con la expedición de la presente resolución no se </w:t>
            </w:r>
            <w:r w:rsidR="2051440D" w:rsidRPr="494D33A9">
              <w:rPr>
                <w:rFonts w:ascii="Calibri" w:hAnsi="Calibri" w:cs="Calibri"/>
                <w:color w:val="000000" w:themeColor="text1"/>
                <w:sz w:val="16"/>
                <w:szCs w:val="16"/>
                <w:lang w:eastAsia="es-CO"/>
              </w:rPr>
              <w:t>controla</w:t>
            </w:r>
            <w:r w:rsidR="00446753">
              <w:rPr>
                <w:rFonts w:ascii="Calibri" w:hAnsi="Calibri" w:cs="Calibri"/>
                <w:color w:val="000000" w:themeColor="text1"/>
                <w:sz w:val="16"/>
                <w:szCs w:val="16"/>
                <w:lang w:eastAsia="es-CO"/>
              </w:rPr>
              <w:t xml:space="preserve"> ni se influye en precios de los bienes ofrecidos</w:t>
            </w:r>
            <w:r w:rsidR="2051440D" w:rsidRPr="494D33A9">
              <w:rPr>
                <w:rFonts w:ascii="Calibri" w:hAnsi="Calibri" w:cs="Calibri"/>
                <w:color w:val="000000" w:themeColor="text1"/>
                <w:sz w:val="16"/>
                <w:szCs w:val="16"/>
                <w:lang w:eastAsia="es-CO"/>
              </w:rPr>
              <w:t>, ya que s</w:t>
            </w:r>
            <w:r w:rsidR="42BE87E7" w:rsidRPr="494D33A9">
              <w:rPr>
                <w:rFonts w:ascii="Calibri" w:hAnsi="Calibri" w:cs="Calibri"/>
                <w:color w:val="000000" w:themeColor="text1"/>
                <w:sz w:val="16"/>
                <w:szCs w:val="16"/>
                <w:lang w:eastAsia="es-CO"/>
              </w:rPr>
              <w:t>e busca es minimizar o eliminar el cobro por el transporte de energía reactiva capacitiva</w:t>
            </w:r>
            <w:r w:rsidR="5AEE0767" w:rsidRPr="494D33A9">
              <w:rPr>
                <w:rFonts w:ascii="Calibri" w:hAnsi="Calibri" w:cs="Calibri"/>
                <w:color w:val="000000" w:themeColor="text1"/>
                <w:sz w:val="16"/>
                <w:szCs w:val="16"/>
                <w:lang w:eastAsia="es-CO"/>
              </w:rPr>
              <w:t xml:space="preserve"> y en ningún momento se afectan o m</w:t>
            </w:r>
            <w:r w:rsidR="00446753">
              <w:rPr>
                <w:rFonts w:ascii="Calibri" w:hAnsi="Calibri" w:cs="Calibri"/>
                <w:color w:val="000000" w:themeColor="text1"/>
                <w:sz w:val="16"/>
                <w:szCs w:val="16"/>
                <w:lang w:eastAsia="es-CO"/>
              </w:rPr>
              <w:t>o</w:t>
            </w:r>
            <w:r w:rsidR="5AEE0767" w:rsidRPr="494D33A9">
              <w:rPr>
                <w:rFonts w:ascii="Calibri" w:hAnsi="Calibri" w:cs="Calibri"/>
                <w:color w:val="000000" w:themeColor="text1"/>
                <w:sz w:val="16"/>
                <w:szCs w:val="16"/>
                <w:lang w:eastAsia="es-CO"/>
              </w:rPr>
              <w:t>difican las reglas para su cobro y que actualmente están en la regulación</w:t>
            </w:r>
            <w:r w:rsidRPr="494D33A9">
              <w:rPr>
                <w:rFonts w:ascii="Calibri" w:hAnsi="Calibri" w:cs="Calibri"/>
                <w:color w:val="000000" w:themeColor="text1"/>
                <w:sz w:val="16"/>
                <w:szCs w:val="16"/>
                <w:lang w:eastAsia="es-CO"/>
              </w:rPr>
              <w:t>.</w:t>
            </w:r>
            <w:r w:rsidR="41DA58D6" w:rsidRPr="494D33A9">
              <w:rPr>
                <w:rFonts w:ascii="Calibri" w:hAnsi="Calibri" w:cs="Calibri"/>
                <w:color w:val="000000" w:themeColor="text1"/>
                <w:sz w:val="16"/>
                <w:szCs w:val="16"/>
                <w:lang w:eastAsia="es-CO"/>
              </w:rPr>
              <w:t xml:space="preserve"> </w:t>
            </w:r>
            <w:r w:rsidRPr="494D33A9">
              <w:rPr>
                <w:rFonts w:ascii="Calibri" w:hAnsi="Calibri" w:cs="Calibri"/>
                <w:color w:val="000000" w:themeColor="text1"/>
                <w:sz w:val="16"/>
                <w:szCs w:val="16"/>
                <w:lang w:eastAsia="es-CO"/>
              </w:rPr>
              <w:t xml:space="preserve"> </w:t>
            </w:r>
          </w:p>
        </w:tc>
        <w:tc>
          <w:tcPr>
            <w:tcW w:w="1710" w:type="dxa"/>
            <w:shd w:val="clear" w:color="auto" w:fill="auto"/>
            <w:noWrap/>
            <w:vAlign w:val="bottom"/>
            <w:hideMark/>
          </w:tcPr>
          <w:p w14:paraId="742DC5C1" w14:textId="3CCC1D4C" w:rsidR="32085FC4" w:rsidRDefault="2D69962B" w:rsidP="32085FC4">
            <w:pPr>
              <w:rPr>
                <w:sz w:val="16"/>
                <w:szCs w:val="16"/>
              </w:rPr>
            </w:pPr>
            <w:r w:rsidRPr="494D33A9">
              <w:rPr>
                <w:sz w:val="16"/>
                <w:szCs w:val="16"/>
              </w:rPr>
              <w:t>El objetivo de la resolución es minimizar o eliminar el cobro por el transporte de energía reactiva capacitiva causado por algunos pocos reactivos inyectados a la red, lo que nunca controla o influye en los precios para la prestación del servicio público de energía eléctrica</w:t>
            </w:r>
            <w:r w:rsidR="7C0FAF12" w:rsidRPr="494D33A9">
              <w:rPr>
                <w:sz w:val="16"/>
                <w:szCs w:val="16"/>
              </w:rPr>
              <w:t>, lo que no hace que se limite la capacidad para competir en uno o varios mercados, las reglas están claras y no se están ajustando, cambiando o eliminando.</w:t>
            </w:r>
          </w:p>
          <w:p w14:paraId="09BCDDB0" w14:textId="436AF39C" w:rsidR="32085FC4" w:rsidRDefault="32085FC4" w:rsidP="32085FC4">
            <w:pPr>
              <w:spacing w:before="0" w:after="0"/>
              <w:jc w:val="center"/>
              <w:rPr>
                <w:rFonts w:ascii="Calibri" w:hAnsi="Calibri" w:cs="Calibri"/>
                <w:color w:val="000000" w:themeColor="text1"/>
                <w:lang w:eastAsia="es-CO"/>
              </w:rPr>
            </w:pPr>
          </w:p>
        </w:tc>
      </w:tr>
      <w:tr w:rsidR="008E39E4" w:rsidRPr="007D2FCF" w14:paraId="0B780C80" w14:textId="77777777" w:rsidTr="32085FC4">
        <w:trPr>
          <w:trHeight w:val="632"/>
        </w:trPr>
        <w:tc>
          <w:tcPr>
            <w:tcW w:w="720" w:type="dxa"/>
            <w:gridSpan w:val="2"/>
            <w:shd w:val="clear" w:color="auto" w:fill="auto"/>
            <w:noWrap/>
            <w:vAlign w:val="center"/>
            <w:hideMark/>
          </w:tcPr>
          <w:p w14:paraId="13937A7D" w14:textId="77777777" w:rsidR="0078518A" w:rsidRPr="007D2FCF" w:rsidRDefault="0078518A">
            <w:pPr>
              <w:spacing w:before="0" w:after="0"/>
              <w:jc w:val="center"/>
              <w:rPr>
                <w:rFonts w:ascii="Calibri" w:hAnsi="Calibri" w:cs="Calibri"/>
                <w:bCs w:val="0"/>
                <w:color w:val="000000"/>
                <w:szCs w:val="22"/>
                <w:lang w:eastAsia="es-CO"/>
              </w:rPr>
            </w:pPr>
            <w:r w:rsidRPr="007D2FCF">
              <w:rPr>
                <w:rFonts w:ascii="Calibri" w:hAnsi="Calibri" w:cs="Calibri"/>
                <w:bCs w:val="0"/>
                <w:color w:val="000000"/>
                <w:szCs w:val="22"/>
                <w:lang w:eastAsia="es-CO"/>
              </w:rPr>
              <w:t>b)</w:t>
            </w:r>
          </w:p>
        </w:tc>
        <w:tc>
          <w:tcPr>
            <w:tcW w:w="4710" w:type="dxa"/>
            <w:shd w:val="clear" w:color="auto" w:fill="auto"/>
            <w:hideMark/>
          </w:tcPr>
          <w:p w14:paraId="1BCEC649" w14:textId="77777777" w:rsidR="0078518A" w:rsidRPr="007D2FCF" w:rsidRDefault="0078518A">
            <w:pPr>
              <w:spacing w:before="0" w:after="0"/>
              <w:jc w:val="left"/>
              <w:rPr>
                <w:rFonts w:ascii="Calibri" w:hAnsi="Calibri" w:cs="Calibri"/>
                <w:bCs w:val="0"/>
                <w:color w:val="000000"/>
                <w:szCs w:val="22"/>
                <w:lang w:eastAsia="es-CO"/>
              </w:rPr>
            </w:pPr>
            <w:r w:rsidRPr="007D2FCF">
              <w:rPr>
                <w:rFonts w:ascii="Calibri" w:hAnsi="Calibri" w:cs="Calibri"/>
                <w:bCs w:val="0"/>
                <w:color w:val="000000"/>
                <w:szCs w:val="22"/>
                <w:lang w:eastAsia="es-CO"/>
              </w:rPr>
              <w:t xml:space="preserve">Limita a las empresas la posibilidad de distribuir o comercializar sus productos.  </w:t>
            </w:r>
          </w:p>
        </w:tc>
        <w:tc>
          <w:tcPr>
            <w:tcW w:w="420" w:type="dxa"/>
            <w:shd w:val="clear" w:color="auto" w:fill="auto"/>
            <w:noWrap/>
            <w:vAlign w:val="center"/>
            <w:hideMark/>
          </w:tcPr>
          <w:p w14:paraId="66998CD3" w14:textId="77777777" w:rsidR="0078518A" w:rsidRPr="007D2FCF" w:rsidRDefault="0078518A">
            <w:pPr>
              <w:spacing w:before="0" w:after="0"/>
              <w:jc w:val="left"/>
              <w:rPr>
                <w:rFonts w:ascii="Calibri" w:hAnsi="Calibri" w:cs="Calibri"/>
                <w:bCs w:val="0"/>
                <w:color w:val="000000"/>
                <w:szCs w:val="22"/>
                <w:lang w:eastAsia="es-CO"/>
              </w:rPr>
            </w:pPr>
            <w:r w:rsidRPr="007D2FCF">
              <w:rPr>
                <w:rFonts w:ascii="Calibri" w:hAnsi="Calibri" w:cs="Calibri"/>
                <w:bCs w:val="0"/>
                <w:color w:val="000000"/>
                <w:szCs w:val="22"/>
                <w:lang w:eastAsia="es-CO"/>
              </w:rPr>
              <w:t> </w:t>
            </w:r>
          </w:p>
        </w:tc>
        <w:tc>
          <w:tcPr>
            <w:tcW w:w="450" w:type="dxa"/>
            <w:shd w:val="clear" w:color="auto" w:fill="auto"/>
            <w:noWrap/>
            <w:vAlign w:val="center"/>
            <w:hideMark/>
          </w:tcPr>
          <w:p w14:paraId="2BBC5E3C" w14:textId="77777777" w:rsidR="0078518A" w:rsidRPr="007D2FCF" w:rsidRDefault="0078518A">
            <w:pPr>
              <w:spacing w:before="0" w:after="0"/>
              <w:jc w:val="center"/>
              <w:rPr>
                <w:rFonts w:ascii="Calibri" w:hAnsi="Calibri" w:cs="Calibri"/>
                <w:bCs w:val="0"/>
                <w:color w:val="000000"/>
                <w:szCs w:val="22"/>
                <w:lang w:eastAsia="es-CO"/>
              </w:rPr>
            </w:pPr>
            <w:r w:rsidRPr="007D2FCF">
              <w:rPr>
                <w:rFonts w:ascii="Calibri" w:hAnsi="Calibri" w:cs="Calibri"/>
                <w:bCs w:val="0"/>
                <w:color w:val="000000"/>
                <w:szCs w:val="22"/>
                <w:lang w:eastAsia="es-CO"/>
              </w:rPr>
              <w:t>X</w:t>
            </w:r>
          </w:p>
        </w:tc>
        <w:tc>
          <w:tcPr>
            <w:tcW w:w="1440" w:type="dxa"/>
            <w:shd w:val="clear" w:color="auto" w:fill="auto"/>
            <w:noWrap/>
            <w:vAlign w:val="bottom"/>
            <w:hideMark/>
          </w:tcPr>
          <w:p w14:paraId="0C5C81EC" w14:textId="5DAF1F68" w:rsidR="32085FC4" w:rsidRDefault="32085FC4" w:rsidP="32085FC4">
            <w:pPr>
              <w:spacing w:before="0" w:after="0"/>
              <w:jc w:val="center"/>
              <w:rPr>
                <w:rFonts w:ascii="Calibri" w:hAnsi="Calibri" w:cs="Calibri"/>
                <w:color w:val="000000" w:themeColor="text1"/>
                <w:sz w:val="16"/>
                <w:szCs w:val="16"/>
                <w:lang w:eastAsia="es-CO"/>
              </w:rPr>
            </w:pPr>
            <w:r w:rsidRPr="32085FC4">
              <w:rPr>
                <w:rFonts w:ascii="Calibri" w:hAnsi="Calibri" w:cs="Calibri"/>
                <w:color w:val="000000" w:themeColor="text1"/>
                <w:sz w:val="16"/>
                <w:szCs w:val="16"/>
                <w:lang w:eastAsia="es-CO"/>
              </w:rPr>
              <w:t xml:space="preserve">Con la expedición de la presente resolución no se dictan disposiciones que </w:t>
            </w:r>
            <w:r w:rsidR="2D421233" w:rsidRPr="32085FC4">
              <w:rPr>
                <w:rFonts w:ascii="Calibri" w:hAnsi="Calibri" w:cs="Calibri"/>
                <w:color w:val="000000" w:themeColor="text1"/>
                <w:sz w:val="16"/>
                <w:szCs w:val="16"/>
                <w:lang w:eastAsia="es-CO"/>
              </w:rPr>
              <w:t>limiten la posibilidad para distribuir o comercializar productos</w:t>
            </w:r>
            <w:r w:rsidR="119FF2CF" w:rsidRPr="494D33A9">
              <w:rPr>
                <w:rFonts w:ascii="Calibri" w:hAnsi="Calibri" w:cs="Calibri"/>
                <w:color w:val="000000" w:themeColor="text1"/>
                <w:sz w:val="16"/>
                <w:szCs w:val="16"/>
                <w:lang w:eastAsia="es-CO"/>
              </w:rPr>
              <w:t xml:space="preserve">, la regulación contenida en las </w:t>
            </w:r>
            <w:r w:rsidR="7DCBFA27" w:rsidRPr="494D33A9">
              <w:rPr>
                <w:rFonts w:ascii="Calibri" w:hAnsi="Calibri" w:cs="Calibri"/>
                <w:color w:val="000000" w:themeColor="text1"/>
                <w:sz w:val="16"/>
                <w:szCs w:val="16"/>
                <w:lang w:eastAsia="es-CO"/>
              </w:rPr>
              <w:t>resoluciones</w:t>
            </w:r>
            <w:r w:rsidR="119FF2CF" w:rsidRPr="494D33A9">
              <w:rPr>
                <w:rFonts w:ascii="Calibri" w:hAnsi="Calibri" w:cs="Calibri"/>
                <w:color w:val="000000" w:themeColor="text1"/>
                <w:sz w:val="16"/>
                <w:szCs w:val="16"/>
                <w:lang w:eastAsia="es-CO"/>
              </w:rPr>
              <w:t xml:space="preserve"> 038 de 2014 y 015 de 2018 se mantienen y no se modific</w:t>
            </w:r>
            <w:r w:rsidR="068965A8" w:rsidRPr="494D33A9">
              <w:rPr>
                <w:rFonts w:ascii="Calibri" w:hAnsi="Calibri" w:cs="Calibri"/>
                <w:color w:val="000000" w:themeColor="text1"/>
                <w:sz w:val="16"/>
                <w:szCs w:val="16"/>
                <w:lang w:eastAsia="es-CO"/>
              </w:rPr>
              <w:t>an</w:t>
            </w:r>
            <w:r w:rsidR="119FF2CF" w:rsidRPr="494D33A9">
              <w:rPr>
                <w:rFonts w:ascii="Calibri" w:hAnsi="Calibri" w:cs="Calibri"/>
                <w:color w:val="000000" w:themeColor="text1"/>
                <w:sz w:val="16"/>
                <w:szCs w:val="16"/>
                <w:lang w:eastAsia="es-CO"/>
              </w:rPr>
              <w:t xml:space="preserve">. </w:t>
            </w:r>
            <w:r w:rsidRPr="32085FC4">
              <w:rPr>
                <w:rFonts w:ascii="Calibri" w:hAnsi="Calibri" w:cs="Calibri"/>
                <w:color w:val="000000" w:themeColor="text1"/>
                <w:sz w:val="16"/>
                <w:szCs w:val="16"/>
                <w:lang w:eastAsia="es-CO"/>
              </w:rPr>
              <w:t xml:space="preserve">  </w:t>
            </w:r>
            <w:r w:rsidR="56FE3281" w:rsidRPr="32085FC4">
              <w:rPr>
                <w:rFonts w:ascii="Calibri" w:hAnsi="Calibri" w:cs="Calibri"/>
                <w:color w:val="000000" w:themeColor="text1"/>
                <w:sz w:val="16"/>
                <w:szCs w:val="16"/>
                <w:lang w:eastAsia="es-CO"/>
              </w:rPr>
              <w:t xml:space="preserve"> </w:t>
            </w:r>
          </w:p>
        </w:tc>
        <w:tc>
          <w:tcPr>
            <w:tcW w:w="1710" w:type="dxa"/>
            <w:shd w:val="clear" w:color="auto" w:fill="auto"/>
            <w:noWrap/>
            <w:vAlign w:val="bottom"/>
            <w:hideMark/>
          </w:tcPr>
          <w:p w14:paraId="687F20AD" w14:textId="14A3C7BE" w:rsidR="13C30732" w:rsidRDefault="13C30732" w:rsidP="494D33A9">
            <w:pPr>
              <w:rPr>
                <w:sz w:val="16"/>
                <w:szCs w:val="16"/>
              </w:rPr>
            </w:pPr>
            <w:r w:rsidRPr="494D33A9">
              <w:rPr>
                <w:sz w:val="16"/>
                <w:szCs w:val="16"/>
              </w:rPr>
              <w:t>Como se</w:t>
            </w:r>
            <w:r w:rsidR="74B2B284" w:rsidRPr="494D33A9">
              <w:rPr>
                <w:sz w:val="16"/>
                <w:szCs w:val="16"/>
              </w:rPr>
              <w:t xml:space="preserve"> </w:t>
            </w:r>
            <w:r w:rsidRPr="494D33A9">
              <w:rPr>
                <w:sz w:val="16"/>
                <w:szCs w:val="16"/>
              </w:rPr>
              <w:t>ha manifestado a lo largo del presente cuestionario, la regulación propuesta busca minimizar o eliminar el cobro por el transporte de energía reactiva capacitiva causado por algunos pocos reactivos inyectados a la red, lo que nunca limita a las empresas la posibilidad de distribuir o comer</w:t>
            </w:r>
            <w:r w:rsidR="0D5ECEEF" w:rsidRPr="494D33A9">
              <w:rPr>
                <w:sz w:val="16"/>
                <w:szCs w:val="16"/>
              </w:rPr>
              <w:t>cializar sus productos</w:t>
            </w:r>
            <w:r w:rsidRPr="494D33A9">
              <w:rPr>
                <w:sz w:val="16"/>
                <w:szCs w:val="16"/>
              </w:rPr>
              <w:t>.</w:t>
            </w:r>
          </w:p>
          <w:p w14:paraId="3C78CEBA" w14:textId="436AF39C" w:rsidR="32085FC4" w:rsidRDefault="32085FC4" w:rsidP="32085FC4">
            <w:pPr>
              <w:spacing w:before="0" w:after="0"/>
              <w:jc w:val="center"/>
              <w:rPr>
                <w:rFonts w:ascii="Calibri" w:hAnsi="Calibri" w:cs="Calibri"/>
                <w:color w:val="000000" w:themeColor="text1"/>
                <w:lang w:eastAsia="es-CO"/>
              </w:rPr>
            </w:pPr>
          </w:p>
        </w:tc>
      </w:tr>
      <w:tr w:rsidR="008E39E4" w:rsidRPr="007D2FCF" w14:paraId="01086C3E" w14:textId="77777777" w:rsidTr="32085FC4">
        <w:trPr>
          <w:trHeight w:val="587"/>
        </w:trPr>
        <w:tc>
          <w:tcPr>
            <w:tcW w:w="720" w:type="dxa"/>
            <w:gridSpan w:val="2"/>
            <w:shd w:val="clear" w:color="auto" w:fill="auto"/>
            <w:noWrap/>
            <w:vAlign w:val="center"/>
            <w:hideMark/>
          </w:tcPr>
          <w:p w14:paraId="17843968" w14:textId="77777777" w:rsidR="0078518A" w:rsidRPr="007D2FCF" w:rsidRDefault="0078518A">
            <w:pPr>
              <w:spacing w:before="0" w:after="0"/>
              <w:jc w:val="center"/>
              <w:rPr>
                <w:rFonts w:ascii="Calibri" w:hAnsi="Calibri" w:cs="Calibri"/>
                <w:bCs w:val="0"/>
                <w:color w:val="000000"/>
                <w:szCs w:val="22"/>
                <w:lang w:eastAsia="es-CO"/>
              </w:rPr>
            </w:pPr>
            <w:r w:rsidRPr="007D2FCF">
              <w:rPr>
                <w:rFonts w:ascii="Calibri" w:hAnsi="Calibri" w:cs="Calibri"/>
                <w:bCs w:val="0"/>
                <w:color w:val="000000"/>
                <w:szCs w:val="22"/>
                <w:lang w:eastAsia="es-CO"/>
              </w:rPr>
              <w:t>c)</w:t>
            </w:r>
          </w:p>
        </w:tc>
        <w:tc>
          <w:tcPr>
            <w:tcW w:w="4710" w:type="dxa"/>
            <w:shd w:val="clear" w:color="auto" w:fill="auto"/>
            <w:hideMark/>
          </w:tcPr>
          <w:p w14:paraId="469B1962" w14:textId="77777777" w:rsidR="0078518A" w:rsidRPr="007D2FCF" w:rsidRDefault="0078518A">
            <w:pPr>
              <w:spacing w:before="0" w:after="0"/>
              <w:jc w:val="left"/>
              <w:rPr>
                <w:rFonts w:ascii="Calibri" w:hAnsi="Calibri" w:cs="Calibri"/>
                <w:bCs w:val="0"/>
                <w:color w:val="000000"/>
                <w:szCs w:val="22"/>
                <w:lang w:eastAsia="es-CO"/>
              </w:rPr>
            </w:pPr>
            <w:r w:rsidRPr="007D2FCF">
              <w:rPr>
                <w:rFonts w:ascii="Calibri" w:hAnsi="Calibri" w:cs="Calibri"/>
                <w:bCs w:val="0"/>
                <w:color w:val="000000"/>
                <w:szCs w:val="22"/>
                <w:lang w:eastAsia="es-CO"/>
              </w:rPr>
              <w:t>Limita la libertad de las empresas para promocionar sus productos.</w:t>
            </w:r>
          </w:p>
        </w:tc>
        <w:tc>
          <w:tcPr>
            <w:tcW w:w="420" w:type="dxa"/>
            <w:shd w:val="clear" w:color="auto" w:fill="auto"/>
            <w:noWrap/>
            <w:vAlign w:val="center"/>
            <w:hideMark/>
          </w:tcPr>
          <w:p w14:paraId="47298CD5" w14:textId="77777777" w:rsidR="0078518A" w:rsidRPr="007D2FCF" w:rsidRDefault="0078518A">
            <w:pPr>
              <w:spacing w:before="0" w:after="0"/>
              <w:jc w:val="left"/>
              <w:rPr>
                <w:rFonts w:ascii="Calibri" w:hAnsi="Calibri" w:cs="Calibri"/>
                <w:bCs w:val="0"/>
                <w:color w:val="000000"/>
                <w:szCs w:val="22"/>
                <w:lang w:eastAsia="es-CO"/>
              </w:rPr>
            </w:pPr>
            <w:r w:rsidRPr="007D2FCF">
              <w:rPr>
                <w:rFonts w:ascii="Calibri" w:hAnsi="Calibri" w:cs="Calibri"/>
                <w:bCs w:val="0"/>
                <w:color w:val="000000"/>
                <w:szCs w:val="22"/>
                <w:lang w:eastAsia="es-CO"/>
              </w:rPr>
              <w:t> </w:t>
            </w:r>
          </w:p>
        </w:tc>
        <w:tc>
          <w:tcPr>
            <w:tcW w:w="450" w:type="dxa"/>
            <w:shd w:val="clear" w:color="auto" w:fill="auto"/>
            <w:noWrap/>
            <w:vAlign w:val="center"/>
            <w:hideMark/>
          </w:tcPr>
          <w:p w14:paraId="200CA51E" w14:textId="77777777" w:rsidR="0078518A" w:rsidRPr="007D2FCF" w:rsidRDefault="0078518A">
            <w:pPr>
              <w:spacing w:before="0" w:after="0"/>
              <w:jc w:val="center"/>
              <w:rPr>
                <w:rFonts w:ascii="Calibri" w:hAnsi="Calibri" w:cs="Calibri"/>
                <w:bCs w:val="0"/>
                <w:color w:val="000000"/>
                <w:szCs w:val="22"/>
                <w:lang w:eastAsia="es-CO"/>
              </w:rPr>
            </w:pPr>
            <w:r w:rsidRPr="007D2FCF">
              <w:rPr>
                <w:rFonts w:ascii="Calibri" w:hAnsi="Calibri" w:cs="Calibri"/>
                <w:bCs w:val="0"/>
                <w:color w:val="000000"/>
                <w:szCs w:val="22"/>
                <w:lang w:eastAsia="es-CO"/>
              </w:rPr>
              <w:t>X</w:t>
            </w:r>
          </w:p>
        </w:tc>
        <w:tc>
          <w:tcPr>
            <w:tcW w:w="1440" w:type="dxa"/>
            <w:shd w:val="clear" w:color="auto" w:fill="auto"/>
            <w:noWrap/>
            <w:vAlign w:val="bottom"/>
            <w:hideMark/>
          </w:tcPr>
          <w:p w14:paraId="1887153D" w14:textId="25620FAE" w:rsidR="32085FC4" w:rsidRDefault="32085FC4" w:rsidP="32085FC4">
            <w:pPr>
              <w:spacing w:before="0" w:after="0"/>
              <w:jc w:val="center"/>
              <w:rPr>
                <w:rFonts w:ascii="Calibri" w:hAnsi="Calibri" w:cs="Calibri"/>
                <w:color w:val="000000" w:themeColor="text1"/>
                <w:sz w:val="16"/>
                <w:szCs w:val="16"/>
                <w:lang w:eastAsia="es-CO"/>
              </w:rPr>
            </w:pPr>
            <w:r w:rsidRPr="32085FC4">
              <w:rPr>
                <w:rFonts w:ascii="Calibri" w:hAnsi="Calibri" w:cs="Calibri"/>
                <w:color w:val="000000" w:themeColor="text1"/>
                <w:sz w:val="16"/>
                <w:szCs w:val="16"/>
                <w:lang w:eastAsia="es-CO"/>
              </w:rPr>
              <w:t xml:space="preserve">Con la expedición de la presente resolución no se dictan disposiciones que </w:t>
            </w:r>
            <w:r w:rsidR="6F0BF5AB" w:rsidRPr="32085FC4">
              <w:rPr>
                <w:rFonts w:ascii="Calibri" w:hAnsi="Calibri" w:cs="Calibri"/>
                <w:color w:val="000000" w:themeColor="text1"/>
                <w:sz w:val="16"/>
                <w:szCs w:val="16"/>
                <w:lang w:eastAsia="es-CO"/>
              </w:rPr>
              <w:t>limiten promoción de productos</w:t>
            </w:r>
            <w:r w:rsidRPr="32085FC4">
              <w:rPr>
                <w:rFonts w:ascii="Calibri" w:hAnsi="Calibri" w:cs="Calibri"/>
                <w:color w:val="000000" w:themeColor="text1"/>
                <w:sz w:val="16"/>
                <w:szCs w:val="16"/>
                <w:lang w:eastAsia="es-CO"/>
              </w:rPr>
              <w:t>.</w:t>
            </w:r>
            <w:r w:rsidR="6426AD13" w:rsidRPr="32085FC4">
              <w:rPr>
                <w:rFonts w:ascii="Calibri" w:hAnsi="Calibri" w:cs="Calibri"/>
                <w:color w:val="000000" w:themeColor="text1"/>
                <w:sz w:val="16"/>
                <w:szCs w:val="16"/>
                <w:lang w:eastAsia="es-CO"/>
              </w:rPr>
              <w:t xml:space="preserve"> </w:t>
            </w:r>
            <w:r w:rsidRPr="32085FC4">
              <w:rPr>
                <w:rFonts w:ascii="Calibri" w:hAnsi="Calibri" w:cs="Calibri"/>
                <w:color w:val="000000" w:themeColor="text1"/>
                <w:sz w:val="16"/>
                <w:szCs w:val="16"/>
                <w:lang w:eastAsia="es-CO"/>
              </w:rPr>
              <w:t xml:space="preserve">  </w:t>
            </w:r>
          </w:p>
        </w:tc>
        <w:tc>
          <w:tcPr>
            <w:tcW w:w="1710" w:type="dxa"/>
            <w:shd w:val="clear" w:color="auto" w:fill="auto"/>
            <w:noWrap/>
            <w:vAlign w:val="bottom"/>
            <w:hideMark/>
          </w:tcPr>
          <w:p w14:paraId="45BF9C8A" w14:textId="376313A9" w:rsidR="32085FC4" w:rsidRDefault="365FA610" w:rsidP="494D33A9">
            <w:pPr>
              <w:spacing w:after="0" w:line="259" w:lineRule="auto"/>
              <w:rPr>
                <w:sz w:val="16"/>
                <w:szCs w:val="16"/>
              </w:rPr>
            </w:pPr>
            <w:r w:rsidRPr="494D33A9">
              <w:rPr>
                <w:sz w:val="16"/>
                <w:szCs w:val="16"/>
              </w:rPr>
              <w:t>Si bien es cierto lo que se busca con</w:t>
            </w:r>
            <w:r w:rsidR="32085FC4" w:rsidRPr="32085FC4">
              <w:rPr>
                <w:sz w:val="16"/>
                <w:szCs w:val="16"/>
              </w:rPr>
              <w:t xml:space="preserve"> la </w:t>
            </w:r>
            <w:r w:rsidRPr="494D33A9">
              <w:rPr>
                <w:sz w:val="16"/>
                <w:szCs w:val="16"/>
              </w:rPr>
              <w:t>regulación es</w:t>
            </w:r>
            <w:r w:rsidR="32085FC4" w:rsidRPr="32085FC4">
              <w:rPr>
                <w:sz w:val="16"/>
                <w:szCs w:val="16"/>
              </w:rPr>
              <w:t xml:space="preserve"> minimizar o eliminar el cobro por el transporte de energía reactiva capacitiva causado por algunos pocos reactivos </w:t>
            </w:r>
            <w:r w:rsidR="32085FC4" w:rsidRPr="32085FC4">
              <w:rPr>
                <w:sz w:val="16"/>
                <w:szCs w:val="16"/>
              </w:rPr>
              <w:lastRenderedPageBreak/>
              <w:t>inyectados a la red</w:t>
            </w:r>
            <w:r w:rsidRPr="494D33A9">
              <w:rPr>
                <w:sz w:val="16"/>
                <w:szCs w:val="16"/>
              </w:rPr>
              <w:t xml:space="preserve">, ello no genera algún efecto en la promoción de </w:t>
            </w:r>
            <w:r w:rsidR="1D7F5C65" w:rsidRPr="494D33A9">
              <w:rPr>
                <w:sz w:val="16"/>
                <w:szCs w:val="16"/>
              </w:rPr>
              <w:t>su producto</w:t>
            </w:r>
            <w:r w:rsidR="49EE2DF2" w:rsidRPr="494D33A9">
              <w:rPr>
                <w:sz w:val="16"/>
                <w:szCs w:val="16"/>
              </w:rPr>
              <w:t xml:space="preserve">, pues las reglas para el cobro y medición del transporte de </w:t>
            </w:r>
            <w:r w:rsidR="04F39FF8" w:rsidRPr="494D33A9">
              <w:rPr>
                <w:sz w:val="16"/>
                <w:szCs w:val="16"/>
              </w:rPr>
              <w:t>reactiva no</w:t>
            </w:r>
            <w:r w:rsidR="32D8D364" w:rsidRPr="494D33A9">
              <w:rPr>
                <w:sz w:val="16"/>
                <w:szCs w:val="16"/>
              </w:rPr>
              <w:t xml:space="preserve"> se modifican</w:t>
            </w:r>
            <w:r w:rsidR="002C7F32">
              <w:rPr>
                <w:sz w:val="16"/>
                <w:szCs w:val="16"/>
              </w:rPr>
              <w:t>.</w:t>
            </w:r>
            <w:r w:rsidR="03751DF3" w:rsidRPr="494D33A9">
              <w:rPr>
                <w:sz w:val="16"/>
                <w:szCs w:val="16"/>
              </w:rPr>
              <w:t xml:space="preserve"> </w:t>
            </w:r>
          </w:p>
        </w:tc>
      </w:tr>
      <w:tr w:rsidR="008E39E4" w:rsidRPr="007D2FCF" w14:paraId="1AEEC879" w14:textId="77777777" w:rsidTr="32085FC4">
        <w:trPr>
          <w:trHeight w:val="821"/>
        </w:trPr>
        <w:tc>
          <w:tcPr>
            <w:tcW w:w="720" w:type="dxa"/>
            <w:gridSpan w:val="2"/>
            <w:shd w:val="clear" w:color="auto" w:fill="auto"/>
            <w:noWrap/>
            <w:vAlign w:val="center"/>
            <w:hideMark/>
          </w:tcPr>
          <w:p w14:paraId="3B2D349B" w14:textId="77777777" w:rsidR="0078518A" w:rsidRPr="007D2FCF" w:rsidRDefault="0078518A">
            <w:pPr>
              <w:spacing w:before="0" w:after="0"/>
              <w:jc w:val="center"/>
              <w:rPr>
                <w:rFonts w:ascii="Calibri" w:hAnsi="Calibri" w:cs="Calibri"/>
                <w:bCs w:val="0"/>
                <w:color w:val="000000"/>
                <w:szCs w:val="22"/>
                <w:lang w:eastAsia="es-CO"/>
              </w:rPr>
            </w:pPr>
            <w:r w:rsidRPr="007D2FCF">
              <w:rPr>
                <w:rFonts w:ascii="Calibri" w:hAnsi="Calibri" w:cs="Calibri"/>
                <w:bCs w:val="0"/>
                <w:color w:val="000000"/>
                <w:szCs w:val="22"/>
                <w:lang w:eastAsia="es-CO"/>
              </w:rPr>
              <w:lastRenderedPageBreak/>
              <w:t>d)</w:t>
            </w:r>
          </w:p>
        </w:tc>
        <w:tc>
          <w:tcPr>
            <w:tcW w:w="4710" w:type="dxa"/>
            <w:shd w:val="clear" w:color="auto" w:fill="auto"/>
            <w:hideMark/>
          </w:tcPr>
          <w:p w14:paraId="5047ECFC" w14:textId="77777777" w:rsidR="0078518A" w:rsidRPr="007D2FCF" w:rsidRDefault="0078518A">
            <w:pPr>
              <w:spacing w:before="0" w:after="0"/>
              <w:jc w:val="left"/>
              <w:rPr>
                <w:rFonts w:ascii="Calibri" w:hAnsi="Calibri" w:cs="Calibri"/>
                <w:bCs w:val="0"/>
                <w:color w:val="000000"/>
                <w:szCs w:val="22"/>
                <w:lang w:eastAsia="es-CO"/>
              </w:rPr>
            </w:pPr>
            <w:r w:rsidRPr="007D2FCF">
              <w:rPr>
                <w:rFonts w:ascii="Calibri" w:hAnsi="Calibri" w:cs="Calibri"/>
                <w:bCs w:val="0"/>
                <w:color w:val="000000"/>
                <w:szCs w:val="22"/>
                <w:lang w:eastAsia="es-CO"/>
              </w:rPr>
              <w:t>Otorga a los operadores actuales en el mercado un trato diferenciado con respecto a las empresas entrantes.</w:t>
            </w:r>
          </w:p>
        </w:tc>
        <w:tc>
          <w:tcPr>
            <w:tcW w:w="420" w:type="dxa"/>
            <w:shd w:val="clear" w:color="auto" w:fill="auto"/>
            <w:noWrap/>
            <w:vAlign w:val="center"/>
            <w:hideMark/>
          </w:tcPr>
          <w:p w14:paraId="725B5A35" w14:textId="77777777" w:rsidR="0078518A" w:rsidRPr="007D2FCF" w:rsidRDefault="0078518A">
            <w:pPr>
              <w:spacing w:before="0" w:after="0"/>
              <w:jc w:val="left"/>
              <w:rPr>
                <w:rFonts w:ascii="Calibri" w:hAnsi="Calibri" w:cs="Calibri"/>
                <w:bCs w:val="0"/>
                <w:color w:val="000000"/>
                <w:szCs w:val="22"/>
                <w:lang w:eastAsia="es-CO"/>
              </w:rPr>
            </w:pPr>
            <w:r w:rsidRPr="007D2FCF">
              <w:rPr>
                <w:rFonts w:ascii="Calibri" w:hAnsi="Calibri" w:cs="Calibri"/>
                <w:bCs w:val="0"/>
                <w:color w:val="000000"/>
                <w:szCs w:val="22"/>
                <w:lang w:eastAsia="es-CO"/>
              </w:rPr>
              <w:t> </w:t>
            </w:r>
          </w:p>
        </w:tc>
        <w:tc>
          <w:tcPr>
            <w:tcW w:w="450" w:type="dxa"/>
            <w:shd w:val="clear" w:color="auto" w:fill="auto"/>
            <w:noWrap/>
            <w:vAlign w:val="center"/>
            <w:hideMark/>
          </w:tcPr>
          <w:p w14:paraId="35A09B37" w14:textId="77777777" w:rsidR="0078518A" w:rsidRPr="007D2FCF" w:rsidRDefault="0078518A">
            <w:pPr>
              <w:spacing w:before="0" w:after="0"/>
              <w:jc w:val="center"/>
              <w:rPr>
                <w:rFonts w:ascii="Calibri" w:hAnsi="Calibri" w:cs="Calibri"/>
                <w:bCs w:val="0"/>
                <w:color w:val="000000"/>
                <w:szCs w:val="22"/>
                <w:lang w:eastAsia="es-CO"/>
              </w:rPr>
            </w:pPr>
            <w:r w:rsidRPr="007D2FCF">
              <w:rPr>
                <w:rFonts w:ascii="Calibri" w:hAnsi="Calibri" w:cs="Calibri"/>
                <w:bCs w:val="0"/>
                <w:color w:val="000000"/>
                <w:szCs w:val="22"/>
                <w:lang w:eastAsia="es-CO"/>
              </w:rPr>
              <w:t>X</w:t>
            </w:r>
          </w:p>
        </w:tc>
        <w:tc>
          <w:tcPr>
            <w:tcW w:w="1440" w:type="dxa"/>
            <w:shd w:val="clear" w:color="auto" w:fill="auto"/>
            <w:noWrap/>
            <w:vAlign w:val="bottom"/>
            <w:hideMark/>
          </w:tcPr>
          <w:p w14:paraId="6F7A8E0D" w14:textId="6EF61342" w:rsidR="32085FC4" w:rsidRDefault="32085FC4" w:rsidP="002C7F32">
            <w:pPr>
              <w:spacing w:before="0" w:after="0"/>
              <w:jc w:val="center"/>
              <w:rPr>
                <w:rFonts w:ascii="Calibri" w:hAnsi="Calibri" w:cs="Calibri"/>
                <w:color w:val="000000" w:themeColor="text1"/>
                <w:sz w:val="16"/>
                <w:szCs w:val="16"/>
                <w:lang w:eastAsia="es-CO"/>
              </w:rPr>
            </w:pPr>
            <w:r w:rsidRPr="32085FC4">
              <w:rPr>
                <w:rFonts w:ascii="Calibri" w:hAnsi="Calibri" w:cs="Calibri"/>
                <w:color w:val="000000" w:themeColor="text1"/>
                <w:sz w:val="16"/>
                <w:szCs w:val="16"/>
                <w:lang w:eastAsia="es-CO"/>
              </w:rPr>
              <w:t xml:space="preserve">Con la resolución no </w:t>
            </w:r>
            <w:r w:rsidR="4316A184" w:rsidRPr="32085FC4">
              <w:rPr>
                <w:rFonts w:ascii="Calibri" w:hAnsi="Calibri" w:cs="Calibri"/>
                <w:color w:val="000000" w:themeColor="text1"/>
                <w:sz w:val="16"/>
                <w:szCs w:val="16"/>
                <w:lang w:eastAsia="es-CO"/>
              </w:rPr>
              <w:t xml:space="preserve">se genera trato diferenciado </w:t>
            </w:r>
            <w:r w:rsidR="030347C8" w:rsidRPr="494D33A9">
              <w:rPr>
                <w:rFonts w:ascii="Calibri" w:hAnsi="Calibri" w:cs="Calibri"/>
                <w:color w:val="000000" w:themeColor="text1"/>
                <w:sz w:val="16"/>
                <w:szCs w:val="16"/>
                <w:lang w:eastAsia="es-CO"/>
              </w:rPr>
              <w:t xml:space="preserve">frente a empresas entrantes, </w:t>
            </w:r>
            <w:r w:rsidR="4316A184" w:rsidRPr="32085FC4">
              <w:rPr>
                <w:rFonts w:ascii="Calibri" w:hAnsi="Calibri" w:cs="Calibri"/>
                <w:color w:val="000000" w:themeColor="text1"/>
                <w:sz w:val="16"/>
                <w:szCs w:val="16"/>
                <w:lang w:eastAsia="es-CO"/>
              </w:rPr>
              <w:t>ya que la norma aplica a todos los prestadores del servicio</w:t>
            </w:r>
            <w:r w:rsidR="030347C8" w:rsidRPr="494D33A9">
              <w:rPr>
                <w:rFonts w:ascii="Calibri" w:hAnsi="Calibri" w:cs="Calibri"/>
                <w:color w:val="000000" w:themeColor="text1"/>
                <w:sz w:val="16"/>
                <w:szCs w:val="16"/>
                <w:lang w:eastAsia="es-CO"/>
              </w:rPr>
              <w:t>, y en ningún momento se están modificando las exigencias del medidor contenidas en la Resolución CREG 038 de 2014.</w:t>
            </w:r>
          </w:p>
        </w:tc>
        <w:tc>
          <w:tcPr>
            <w:tcW w:w="1710" w:type="dxa"/>
            <w:shd w:val="clear" w:color="auto" w:fill="auto"/>
            <w:noWrap/>
            <w:vAlign w:val="bottom"/>
            <w:hideMark/>
          </w:tcPr>
          <w:p w14:paraId="0DC301EB" w14:textId="3CB652D0" w:rsidR="32085FC4" w:rsidRDefault="667E7362" w:rsidP="32085FC4">
            <w:pPr>
              <w:rPr>
                <w:sz w:val="16"/>
                <w:szCs w:val="16"/>
              </w:rPr>
            </w:pPr>
            <w:r w:rsidRPr="494D33A9">
              <w:rPr>
                <w:sz w:val="16"/>
                <w:szCs w:val="16"/>
              </w:rPr>
              <w:t>Como se ha manifestado lo que se busca con esta regulación es</w:t>
            </w:r>
            <w:r w:rsidR="32085FC4" w:rsidRPr="32085FC4">
              <w:rPr>
                <w:sz w:val="16"/>
                <w:szCs w:val="16"/>
              </w:rPr>
              <w:t xml:space="preserve"> minimizar o eliminar el cobro por el transporte de energía reactiva capacitiva causado por algunos pocos reactivos inyectados a la red</w:t>
            </w:r>
            <w:r w:rsidR="4C1C07B4" w:rsidRPr="494D33A9">
              <w:rPr>
                <w:sz w:val="16"/>
                <w:szCs w:val="16"/>
              </w:rPr>
              <w:t xml:space="preserve"> y </w:t>
            </w:r>
            <w:proofErr w:type="spellStart"/>
            <w:r w:rsidR="4C1C07B4" w:rsidRPr="494D33A9">
              <w:rPr>
                <w:sz w:val="16"/>
                <w:szCs w:val="16"/>
              </w:rPr>
              <w:t>adcionalmente</w:t>
            </w:r>
            <w:proofErr w:type="spellEnd"/>
            <w:r w:rsidR="4C1C07B4" w:rsidRPr="494D33A9">
              <w:rPr>
                <w:sz w:val="16"/>
                <w:szCs w:val="16"/>
              </w:rPr>
              <w:t xml:space="preserve"> las condiciones del sistema de medición en </w:t>
            </w:r>
            <w:proofErr w:type="spellStart"/>
            <w:r w:rsidR="4C1C07B4" w:rsidRPr="494D33A9">
              <w:rPr>
                <w:sz w:val="16"/>
                <w:szCs w:val="16"/>
              </w:rPr>
              <w:t>nuingún</w:t>
            </w:r>
            <w:proofErr w:type="spellEnd"/>
            <w:r w:rsidR="4C1C07B4" w:rsidRPr="494D33A9">
              <w:rPr>
                <w:sz w:val="16"/>
                <w:szCs w:val="16"/>
              </w:rPr>
              <w:t xml:space="preserve"> momento se modifica, es solo un cambio en el factor.</w:t>
            </w:r>
            <w:r w:rsidR="4EB89775" w:rsidRPr="494D33A9">
              <w:rPr>
                <w:sz w:val="16"/>
                <w:szCs w:val="16"/>
              </w:rPr>
              <w:t xml:space="preserve"> Además, esta propuesta modifica el reglamento de distribución, que contiene aspectos técnicos sobre la operación del sistema. En este sentido no es procedente mezclar aspectos relacionados con la remuneración en el reglamento de distribución establecido en la Resolución CREG 070 de 1998.</w:t>
            </w:r>
            <w:r w:rsidR="4C1C07B4" w:rsidRPr="494D33A9">
              <w:rPr>
                <w:sz w:val="16"/>
                <w:szCs w:val="16"/>
              </w:rPr>
              <w:t xml:space="preserve"> </w:t>
            </w:r>
          </w:p>
          <w:p w14:paraId="26913EBE" w14:textId="436AF39C" w:rsidR="32085FC4" w:rsidRDefault="32085FC4" w:rsidP="32085FC4">
            <w:pPr>
              <w:spacing w:before="0" w:after="0"/>
              <w:jc w:val="center"/>
              <w:rPr>
                <w:rFonts w:ascii="Calibri" w:hAnsi="Calibri" w:cs="Calibri"/>
                <w:color w:val="000000" w:themeColor="text1"/>
                <w:lang w:eastAsia="es-CO"/>
              </w:rPr>
            </w:pPr>
          </w:p>
        </w:tc>
      </w:tr>
      <w:tr w:rsidR="008E39E4" w:rsidRPr="007D2FCF" w14:paraId="41385C84" w14:textId="77777777" w:rsidTr="32085FC4">
        <w:trPr>
          <w:trHeight w:val="675"/>
        </w:trPr>
        <w:tc>
          <w:tcPr>
            <w:tcW w:w="720" w:type="dxa"/>
            <w:gridSpan w:val="2"/>
            <w:shd w:val="clear" w:color="auto" w:fill="auto"/>
            <w:noWrap/>
            <w:vAlign w:val="center"/>
            <w:hideMark/>
          </w:tcPr>
          <w:p w14:paraId="558D99D4" w14:textId="77777777" w:rsidR="0078518A" w:rsidRPr="007D2FCF" w:rsidRDefault="0078518A">
            <w:pPr>
              <w:spacing w:before="0" w:after="0"/>
              <w:jc w:val="center"/>
              <w:rPr>
                <w:rFonts w:ascii="Calibri" w:hAnsi="Calibri" w:cs="Calibri"/>
                <w:bCs w:val="0"/>
                <w:color w:val="000000"/>
                <w:szCs w:val="22"/>
                <w:lang w:eastAsia="es-CO"/>
              </w:rPr>
            </w:pPr>
            <w:r w:rsidRPr="007D2FCF">
              <w:rPr>
                <w:rFonts w:ascii="Calibri" w:hAnsi="Calibri" w:cs="Calibri"/>
                <w:bCs w:val="0"/>
                <w:color w:val="000000"/>
                <w:szCs w:val="22"/>
                <w:lang w:eastAsia="es-CO"/>
              </w:rPr>
              <w:t>e)</w:t>
            </w:r>
          </w:p>
        </w:tc>
        <w:tc>
          <w:tcPr>
            <w:tcW w:w="4710" w:type="dxa"/>
            <w:shd w:val="clear" w:color="auto" w:fill="auto"/>
            <w:hideMark/>
          </w:tcPr>
          <w:p w14:paraId="34534BFC" w14:textId="77777777" w:rsidR="0078518A" w:rsidRPr="007D2FCF" w:rsidRDefault="0078518A">
            <w:pPr>
              <w:spacing w:before="0" w:after="0"/>
              <w:jc w:val="left"/>
              <w:rPr>
                <w:rFonts w:ascii="Calibri" w:hAnsi="Calibri" w:cs="Calibri"/>
                <w:bCs w:val="0"/>
                <w:color w:val="000000"/>
                <w:szCs w:val="22"/>
                <w:lang w:eastAsia="es-CO"/>
              </w:rPr>
            </w:pPr>
            <w:r w:rsidRPr="007D2FCF">
              <w:rPr>
                <w:rFonts w:ascii="Calibri" w:hAnsi="Calibri" w:cs="Calibri"/>
                <w:bCs w:val="0"/>
                <w:color w:val="000000"/>
                <w:szCs w:val="22"/>
                <w:lang w:eastAsia="es-CO"/>
              </w:rPr>
              <w:t xml:space="preserve">Otorga trato diferenciado a unas empresas con respecto a otras. </w:t>
            </w:r>
          </w:p>
        </w:tc>
        <w:tc>
          <w:tcPr>
            <w:tcW w:w="420" w:type="dxa"/>
            <w:shd w:val="clear" w:color="auto" w:fill="auto"/>
            <w:noWrap/>
            <w:vAlign w:val="center"/>
            <w:hideMark/>
          </w:tcPr>
          <w:p w14:paraId="7A96C096" w14:textId="77777777" w:rsidR="0078518A" w:rsidRPr="007D2FCF" w:rsidRDefault="0078518A">
            <w:pPr>
              <w:spacing w:before="0" w:after="0"/>
              <w:jc w:val="left"/>
              <w:rPr>
                <w:rFonts w:ascii="Calibri" w:hAnsi="Calibri" w:cs="Calibri"/>
                <w:bCs w:val="0"/>
                <w:color w:val="000000"/>
                <w:szCs w:val="22"/>
                <w:lang w:eastAsia="es-CO"/>
              </w:rPr>
            </w:pPr>
            <w:r w:rsidRPr="007D2FCF">
              <w:rPr>
                <w:rFonts w:ascii="Calibri" w:hAnsi="Calibri" w:cs="Calibri"/>
                <w:bCs w:val="0"/>
                <w:color w:val="000000"/>
                <w:szCs w:val="22"/>
                <w:lang w:eastAsia="es-CO"/>
              </w:rPr>
              <w:t> </w:t>
            </w:r>
          </w:p>
        </w:tc>
        <w:tc>
          <w:tcPr>
            <w:tcW w:w="450" w:type="dxa"/>
            <w:shd w:val="clear" w:color="auto" w:fill="auto"/>
            <w:noWrap/>
            <w:vAlign w:val="center"/>
            <w:hideMark/>
          </w:tcPr>
          <w:p w14:paraId="0467239F" w14:textId="77777777" w:rsidR="0078518A" w:rsidRPr="007D2FCF" w:rsidRDefault="0078518A">
            <w:pPr>
              <w:spacing w:before="0" w:after="0"/>
              <w:jc w:val="center"/>
              <w:rPr>
                <w:rFonts w:ascii="Calibri" w:hAnsi="Calibri" w:cs="Calibri"/>
                <w:bCs w:val="0"/>
                <w:color w:val="000000"/>
                <w:szCs w:val="22"/>
                <w:lang w:eastAsia="es-CO"/>
              </w:rPr>
            </w:pPr>
            <w:r w:rsidRPr="007D2FCF">
              <w:rPr>
                <w:rFonts w:ascii="Calibri" w:hAnsi="Calibri" w:cs="Calibri"/>
                <w:bCs w:val="0"/>
                <w:color w:val="000000"/>
                <w:szCs w:val="22"/>
                <w:lang w:eastAsia="es-CO"/>
              </w:rPr>
              <w:t>X</w:t>
            </w:r>
          </w:p>
        </w:tc>
        <w:tc>
          <w:tcPr>
            <w:tcW w:w="1440" w:type="dxa"/>
            <w:shd w:val="clear" w:color="auto" w:fill="auto"/>
            <w:noWrap/>
            <w:vAlign w:val="bottom"/>
            <w:hideMark/>
          </w:tcPr>
          <w:p w14:paraId="73F2495A" w14:textId="4D2B5B7B" w:rsidR="32085FC4" w:rsidRDefault="211F1B40" w:rsidP="494D33A9">
            <w:pPr>
              <w:spacing w:before="0" w:after="0"/>
              <w:jc w:val="center"/>
              <w:rPr>
                <w:rFonts w:ascii="Calibri" w:hAnsi="Calibri" w:cs="Calibri"/>
                <w:color w:val="000000" w:themeColor="text1"/>
                <w:sz w:val="16"/>
                <w:szCs w:val="16"/>
                <w:lang w:eastAsia="es-CO"/>
              </w:rPr>
            </w:pPr>
            <w:r w:rsidRPr="494D33A9">
              <w:rPr>
                <w:rFonts w:ascii="Calibri" w:hAnsi="Calibri" w:cs="Calibri"/>
                <w:color w:val="000000" w:themeColor="text1"/>
                <w:sz w:val="16"/>
                <w:szCs w:val="16"/>
                <w:lang w:eastAsia="es-CO"/>
              </w:rPr>
              <w:t>Con la resolución no se genera trato diferenciado a unas empresas frente a las otras, ya que la norma aplica a todos los prestadores del servicio, y en ningún momento se están modificando las exigencias del medidor contenidas en la Resolución CREG 038 de 2014.</w:t>
            </w:r>
          </w:p>
          <w:p w14:paraId="7582B01F" w14:textId="20EB0B7C" w:rsidR="32085FC4" w:rsidRDefault="32085FC4" w:rsidP="494D33A9">
            <w:pPr>
              <w:spacing w:before="0" w:after="0"/>
              <w:jc w:val="center"/>
              <w:rPr>
                <w:rFonts w:ascii="Calibri" w:hAnsi="Calibri" w:cs="Calibri"/>
                <w:color w:val="000000" w:themeColor="text1"/>
                <w:sz w:val="16"/>
                <w:szCs w:val="16"/>
                <w:lang w:eastAsia="es-CO"/>
              </w:rPr>
            </w:pPr>
          </w:p>
          <w:p w14:paraId="27D2DF84" w14:textId="6A5CD2B6" w:rsidR="32085FC4" w:rsidRDefault="32085FC4" w:rsidP="494D33A9">
            <w:pPr>
              <w:spacing w:before="0" w:after="0"/>
              <w:jc w:val="center"/>
              <w:rPr>
                <w:rFonts w:ascii="Calibri" w:hAnsi="Calibri" w:cs="Calibri"/>
                <w:color w:val="000000" w:themeColor="text1"/>
                <w:sz w:val="16"/>
                <w:szCs w:val="16"/>
                <w:lang w:eastAsia="es-CO"/>
              </w:rPr>
            </w:pPr>
          </w:p>
          <w:p w14:paraId="34AD89A9" w14:textId="29F8705C" w:rsidR="32085FC4" w:rsidRDefault="32085FC4" w:rsidP="494D33A9">
            <w:pPr>
              <w:spacing w:before="0" w:after="0"/>
              <w:jc w:val="center"/>
              <w:rPr>
                <w:rFonts w:ascii="Calibri" w:hAnsi="Calibri" w:cs="Calibri"/>
                <w:color w:val="000000" w:themeColor="text1"/>
                <w:sz w:val="16"/>
                <w:szCs w:val="16"/>
                <w:lang w:eastAsia="es-CO"/>
              </w:rPr>
            </w:pPr>
          </w:p>
          <w:p w14:paraId="1B56C3DA" w14:textId="60060DDF" w:rsidR="32085FC4" w:rsidRDefault="32085FC4" w:rsidP="494D33A9">
            <w:pPr>
              <w:spacing w:before="0" w:after="0"/>
              <w:jc w:val="center"/>
              <w:rPr>
                <w:rFonts w:ascii="Calibri" w:hAnsi="Calibri" w:cs="Calibri"/>
                <w:color w:val="000000" w:themeColor="text1"/>
                <w:sz w:val="16"/>
                <w:szCs w:val="16"/>
                <w:lang w:eastAsia="es-CO"/>
              </w:rPr>
            </w:pPr>
          </w:p>
          <w:p w14:paraId="1C00C939" w14:textId="00334CDD" w:rsidR="32085FC4" w:rsidRDefault="32085FC4" w:rsidP="494D33A9">
            <w:pPr>
              <w:spacing w:before="0" w:after="0"/>
              <w:jc w:val="center"/>
              <w:rPr>
                <w:rFonts w:ascii="Calibri" w:hAnsi="Calibri" w:cs="Calibri"/>
                <w:color w:val="000000" w:themeColor="text1"/>
                <w:sz w:val="16"/>
                <w:szCs w:val="16"/>
                <w:lang w:eastAsia="es-CO"/>
              </w:rPr>
            </w:pPr>
          </w:p>
          <w:p w14:paraId="7BDE7040" w14:textId="313EBA18" w:rsidR="32085FC4" w:rsidRDefault="32085FC4" w:rsidP="494D33A9">
            <w:pPr>
              <w:spacing w:before="0" w:after="0"/>
              <w:jc w:val="center"/>
              <w:rPr>
                <w:rFonts w:ascii="Calibri" w:hAnsi="Calibri" w:cs="Calibri"/>
                <w:color w:val="000000" w:themeColor="text1"/>
                <w:sz w:val="16"/>
                <w:szCs w:val="16"/>
                <w:lang w:eastAsia="es-CO"/>
              </w:rPr>
            </w:pPr>
          </w:p>
          <w:p w14:paraId="5BDF0D23" w14:textId="0DA61B0A" w:rsidR="32085FC4" w:rsidRDefault="32085FC4" w:rsidP="494D33A9">
            <w:pPr>
              <w:spacing w:before="0" w:after="0"/>
              <w:jc w:val="center"/>
              <w:rPr>
                <w:rFonts w:ascii="Calibri" w:hAnsi="Calibri" w:cs="Calibri"/>
                <w:color w:val="000000" w:themeColor="text1"/>
                <w:sz w:val="16"/>
                <w:szCs w:val="16"/>
                <w:lang w:eastAsia="es-CO"/>
              </w:rPr>
            </w:pPr>
          </w:p>
          <w:p w14:paraId="23AA6461" w14:textId="1FAF347F" w:rsidR="32085FC4" w:rsidRDefault="32085FC4" w:rsidP="494D33A9">
            <w:pPr>
              <w:spacing w:before="0" w:after="0"/>
              <w:jc w:val="center"/>
              <w:rPr>
                <w:rFonts w:ascii="Calibri" w:hAnsi="Calibri" w:cs="Calibri"/>
                <w:color w:val="000000" w:themeColor="text1"/>
                <w:sz w:val="16"/>
                <w:szCs w:val="16"/>
                <w:lang w:eastAsia="es-CO"/>
              </w:rPr>
            </w:pPr>
          </w:p>
          <w:p w14:paraId="149361B1" w14:textId="64DE1F5C" w:rsidR="32085FC4" w:rsidRDefault="32085FC4" w:rsidP="494D33A9">
            <w:pPr>
              <w:spacing w:before="0" w:after="0"/>
              <w:jc w:val="center"/>
              <w:rPr>
                <w:rFonts w:ascii="Calibri" w:hAnsi="Calibri" w:cs="Calibri"/>
                <w:color w:val="000000" w:themeColor="text1"/>
                <w:sz w:val="16"/>
                <w:szCs w:val="16"/>
                <w:lang w:eastAsia="es-CO"/>
              </w:rPr>
            </w:pPr>
          </w:p>
          <w:p w14:paraId="0888FAF5" w14:textId="14DCE17C" w:rsidR="32085FC4" w:rsidRDefault="32085FC4" w:rsidP="494D33A9">
            <w:pPr>
              <w:spacing w:before="0" w:after="0"/>
              <w:jc w:val="center"/>
              <w:rPr>
                <w:rFonts w:ascii="Calibri" w:hAnsi="Calibri" w:cs="Calibri"/>
                <w:color w:val="000000" w:themeColor="text1"/>
                <w:sz w:val="16"/>
                <w:szCs w:val="16"/>
                <w:lang w:eastAsia="es-CO"/>
              </w:rPr>
            </w:pPr>
          </w:p>
          <w:p w14:paraId="437A2C04" w14:textId="219305EE" w:rsidR="32085FC4" w:rsidRDefault="32085FC4" w:rsidP="32085FC4">
            <w:pPr>
              <w:spacing w:before="0" w:after="0"/>
              <w:jc w:val="center"/>
              <w:rPr>
                <w:rFonts w:ascii="Calibri" w:hAnsi="Calibri" w:cs="Calibri"/>
                <w:color w:val="000000" w:themeColor="text1"/>
                <w:sz w:val="16"/>
                <w:szCs w:val="16"/>
                <w:lang w:eastAsia="es-CO"/>
              </w:rPr>
            </w:pPr>
          </w:p>
        </w:tc>
        <w:tc>
          <w:tcPr>
            <w:tcW w:w="1710" w:type="dxa"/>
            <w:shd w:val="clear" w:color="auto" w:fill="auto"/>
            <w:noWrap/>
            <w:vAlign w:val="bottom"/>
            <w:hideMark/>
          </w:tcPr>
          <w:p w14:paraId="1000F56D" w14:textId="01305AD2" w:rsidR="32085FC4" w:rsidRDefault="211F1B40" w:rsidP="494D33A9">
            <w:pPr>
              <w:spacing w:before="0" w:after="0"/>
              <w:rPr>
                <w:sz w:val="16"/>
                <w:szCs w:val="16"/>
                <w:lang w:eastAsia="es-CO"/>
              </w:rPr>
            </w:pPr>
            <w:r w:rsidRPr="494D33A9">
              <w:rPr>
                <w:sz w:val="16"/>
                <w:szCs w:val="16"/>
              </w:rPr>
              <w:lastRenderedPageBreak/>
              <w:t xml:space="preserve">Al igual que la respuesta al punto anterior, lo que se busca con esta regulación es minimizar o eliminar el cobro por el transporte de energía reactiva capacitiva causado por algunos pocos reactivos inyectados a la red y </w:t>
            </w:r>
            <w:r w:rsidR="005F651C" w:rsidRPr="494D33A9">
              <w:rPr>
                <w:sz w:val="16"/>
                <w:szCs w:val="16"/>
              </w:rPr>
              <w:t>adicionalmente</w:t>
            </w:r>
            <w:r w:rsidRPr="494D33A9">
              <w:rPr>
                <w:sz w:val="16"/>
                <w:szCs w:val="16"/>
              </w:rPr>
              <w:t xml:space="preserve"> las condiciones del sistema de medición en </w:t>
            </w:r>
            <w:r w:rsidR="005F651C" w:rsidRPr="494D33A9">
              <w:rPr>
                <w:sz w:val="16"/>
                <w:szCs w:val="16"/>
              </w:rPr>
              <w:t>ningún</w:t>
            </w:r>
            <w:r w:rsidRPr="494D33A9">
              <w:rPr>
                <w:sz w:val="16"/>
                <w:szCs w:val="16"/>
              </w:rPr>
              <w:t xml:space="preserve"> momento se modifica, es solo un cambio en el factor</w:t>
            </w:r>
            <w:r w:rsidR="54A41DBB" w:rsidRPr="494D33A9">
              <w:rPr>
                <w:sz w:val="16"/>
                <w:szCs w:val="16"/>
              </w:rPr>
              <w:t xml:space="preserve"> e insistimos en con esta resolución se modifica el </w:t>
            </w:r>
            <w:r w:rsidR="54A41DBB" w:rsidRPr="494D33A9">
              <w:rPr>
                <w:sz w:val="16"/>
                <w:szCs w:val="16"/>
              </w:rPr>
              <w:lastRenderedPageBreak/>
              <w:t xml:space="preserve">reglamento de distribución, que contiene aspectos técnicos sobre la operación del sistema, lo cual no debe </w:t>
            </w:r>
            <w:r w:rsidR="5242B917" w:rsidRPr="494D33A9">
              <w:rPr>
                <w:sz w:val="16"/>
                <w:szCs w:val="16"/>
              </w:rPr>
              <w:t xml:space="preserve">mezclar con </w:t>
            </w:r>
            <w:r w:rsidR="54A41DBB" w:rsidRPr="494D33A9">
              <w:rPr>
                <w:sz w:val="16"/>
                <w:szCs w:val="16"/>
              </w:rPr>
              <w:t xml:space="preserve"> aspectos relacionados con la remuneración en el reglamento de distribución establecido en la Resolución CREG 070 de 1998.</w:t>
            </w:r>
          </w:p>
        </w:tc>
      </w:tr>
      <w:tr w:rsidR="008E39E4" w:rsidRPr="007D2FCF" w14:paraId="39760A6E" w14:textId="77777777" w:rsidTr="32085FC4">
        <w:trPr>
          <w:trHeight w:val="737"/>
        </w:trPr>
        <w:tc>
          <w:tcPr>
            <w:tcW w:w="720" w:type="dxa"/>
            <w:gridSpan w:val="2"/>
            <w:shd w:val="clear" w:color="auto" w:fill="auto"/>
            <w:noWrap/>
            <w:vAlign w:val="center"/>
            <w:hideMark/>
          </w:tcPr>
          <w:p w14:paraId="2A420A92" w14:textId="77777777" w:rsidR="0078518A" w:rsidRPr="007D2FCF" w:rsidRDefault="0078518A">
            <w:pPr>
              <w:spacing w:before="0" w:after="0"/>
              <w:jc w:val="center"/>
              <w:rPr>
                <w:rFonts w:ascii="Calibri" w:hAnsi="Calibri" w:cs="Calibri"/>
                <w:bCs w:val="0"/>
                <w:color w:val="000000"/>
                <w:szCs w:val="22"/>
                <w:lang w:eastAsia="es-CO"/>
              </w:rPr>
            </w:pPr>
            <w:r w:rsidRPr="007D2FCF">
              <w:rPr>
                <w:rFonts w:ascii="Calibri" w:hAnsi="Calibri" w:cs="Calibri"/>
                <w:bCs w:val="0"/>
                <w:color w:val="000000"/>
                <w:szCs w:val="22"/>
                <w:lang w:eastAsia="es-CO"/>
              </w:rPr>
              <w:lastRenderedPageBreak/>
              <w:t>f)</w:t>
            </w:r>
          </w:p>
        </w:tc>
        <w:tc>
          <w:tcPr>
            <w:tcW w:w="4710" w:type="dxa"/>
            <w:shd w:val="clear" w:color="auto" w:fill="auto"/>
            <w:hideMark/>
          </w:tcPr>
          <w:p w14:paraId="429C5BFB" w14:textId="77777777" w:rsidR="0078518A" w:rsidRPr="007D2FCF" w:rsidRDefault="0078518A">
            <w:pPr>
              <w:spacing w:before="0" w:after="0"/>
              <w:jc w:val="left"/>
              <w:rPr>
                <w:rFonts w:ascii="Calibri" w:hAnsi="Calibri" w:cs="Calibri"/>
                <w:bCs w:val="0"/>
                <w:color w:val="000000"/>
                <w:szCs w:val="22"/>
                <w:lang w:eastAsia="es-CO"/>
              </w:rPr>
            </w:pPr>
            <w:r w:rsidRPr="007D2FCF">
              <w:rPr>
                <w:rFonts w:ascii="Calibri" w:hAnsi="Calibri" w:cs="Calibri"/>
                <w:bCs w:val="0"/>
                <w:color w:val="000000"/>
                <w:szCs w:val="22"/>
                <w:lang w:eastAsia="es-CO"/>
              </w:rPr>
              <w:t>Limita la libertad de las empresas para elegir sus procesos de producción o su forma de organización industrial.</w:t>
            </w:r>
          </w:p>
        </w:tc>
        <w:tc>
          <w:tcPr>
            <w:tcW w:w="420" w:type="dxa"/>
            <w:shd w:val="clear" w:color="auto" w:fill="auto"/>
            <w:noWrap/>
            <w:vAlign w:val="center"/>
            <w:hideMark/>
          </w:tcPr>
          <w:p w14:paraId="038176F7" w14:textId="77777777" w:rsidR="0078518A" w:rsidRPr="007D2FCF" w:rsidRDefault="0078518A">
            <w:pPr>
              <w:spacing w:before="0" w:after="0"/>
              <w:jc w:val="left"/>
              <w:rPr>
                <w:rFonts w:ascii="Calibri" w:hAnsi="Calibri" w:cs="Calibri"/>
                <w:bCs w:val="0"/>
                <w:color w:val="000000"/>
                <w:szCs w:val="22"/>
                <w:lang w:eastAsia="es-CO"/>
              </w:rPr>
            </w:pPr>
          </w:p>
        </w:tc>
        <w:tc>
          <w:tcPr>
            <w:tcW w:w="450" w:type="dxa"/>
            <w:shd w:val="clear" w:color="auto" w:fill="auto"/>
            <w:noWrap/>
            <w:vAlign w:val="center"/>
            <w:hideMark/>
          </w:tcPr>
          <w:p w14:paraId="18BD9FD9" w14:textId="77777777" w:rsidR="0078518A" w:rsidRPr="007D2FCF" w:rsidRDefault="0078518A">
            <w:pPr>
              <w:spacing w:before="0" w:after="0"/>
              <w:jc w:val="center"/>
              <w:rPr>
                <w:rFonts w:ascii="Calibri" w:hAnsi="Calibri" w:cs="Calibri"/>
                <w:bCs w:val="0"/>
                <w:color w:val="000000"/>
                <w:szCs w:val="22"/>
                <w:lang w:eastAsia="es-CO"/>
              </w:rPr>
            </w:pPr>
            <w:r w:rsidRPr="007D2FCF">
              <w:rPr>
                <w:rFonts w:ascii="Calibri" w:hAnsi="Calibri" w:cs="Calibri"/>
                <w:bCs w:val="0"/>
                <w:color w:val="000000"/>
                <w:szCs w:val="22"/>
                <w:lang w:eastAsia="es-CO"/>
              </w:rPr>
              <w:t>X</w:t>
            </w:r>
          </w:p>
        </w:tc>
        <w:tc>
          <w:tcPr>
            <w:tcW w:w="1440" w:type="dxa"/>
            <w:shd w:val="clear" w:color="auto" w:fill="auto"/>
            <w:noWrap/>
            <w:vAlign w:val="bottom"/>
            <w:hideMark/>
          </w:tcPr>
          <w:p w14:paraId="2969F925" w14:textId="4E1AAFBB" w:rsidR="32085FC4" w:rsidRDefault="32085FC4" w:rsidP="32085FC4">
            <w:pPr>
              <w:spacing w:before="0" w:after="0"/>
              <w:jc w:val="center"/>
              <w:rPr>
                <w:rFonts w:ascii="Calibri" w:hAnsi="Calibri" w:cs="Calibri"/>
                <w:color w:val="000000" w:themeColor="text1"/>
                <w:sz w:val="16"/>
                <w:szCs w:val="16"/>
                <w:lang w:eastAsia="es-CO"/>
              </w:rPr>
            </w:pPr>
            <w:r w:rsidRPr="32085FC4">
              <w:rPr>
                <w:rFonts w:ascii="Calibri" w:hAnsi="Calibri" w:cs="Calibri"/>
                <w:color w:val="000000" w:themeColor="text1"/>
                <w:sz w:val="16"/>
                <w:szCs w:val="16"/>
                <w:lang w:eastAsia="es-CO"/>
              </w:rPr>
              <w:t xml:space="preserve">Con la expedición de la presente resolución no se dictan disposiciones que </w:t>
            </w:r>
            <w:r w:rsidR="2D3AE1D5" w:rsidRPr="32085FC4">
              <w:rPr>
                <w:rFonts w:ascii="Calibri" w:hAnsi="Calibri" w:cs="Calibri"/>
                <w:color w:val="000000" w:themeColor="text1"/>
                <w:sz w:val="16"/>
                <w:szCs w:val="16"/>
                <w:lang w:eastAsia="es-CO"/>
              </w:rPr>
              <w:t>limiten la libertad de las empresas respecto de los procesos de producción o su organización industrial</w:t>
            </w:r>
            <w:r w:rsidR="52D5DC59" w:rsidRPr="494D33A9">
              <w:rPr>
                <w:rFonts w:ascii="Calibri" w:hAnsi="Calibri" w:cs="Calibri"/>
                <w:color w:val="000000" w:themeColor="text1"/>
                <w:sz w:val="16"/>
                <w:szCs w:val="16"/>
                <w:lang w:eastAsia="es-CO"/>
              </w:rPr>
              <w:t>, el objetivo es minimizar o el cobro o el transporte de energía re4activa capacitiva causado por algunos pocos reactivos inyect</w:t>
            </w:r>
            <w:r w:rsidR="005F651C">
              <w:rPr>
                <w:rFonts w:ascii="Calibri" w:hAnsi="Calibri" w:cs="Calibri"/>
                <w:color w:val="000000" w:themeColor="text1"/>
                <w:sz w:val="16"/>
                <w:szCs w:val="16"/>
                <w:lang w:eastAsia="es-CO"/>
              </w:rPr>
              <w:t>ad</w:t>
            </w:r>
            <w:r w:rsidR="52D5DC59" w:rsidRPr="494D33A9">
              <w:rPr>
                <w:rFonts w:ascii="Calibri" w:hAnsi="Calibri" w:cs="Calibri"/>
                <w:color w:val="000000" w:themeColor="text1"/>
                <w:sz w:val="16"/>
                <w:szCs w:val="16"/>
                <w:lang w:eastAsia="es-CO"/>
              </w:rPr>
              <w:t xml:space="preserve">os a la red. </w:t>
            </w:r>
            <w:r w:rsidR="2A7BAC8C" w:rsidRPr="32085FC4">
              <w:rPr>
                <w:rFonts w:ascii="Calibri" w:hAnsi="Calibri" w:cs="Calibri"/>
                <w:color w:val="000000" w:themeColor="text1"/>
                <w:sz w:val="16"/>
                <w:szCs w:val="16"/>
                <w:lang w:eastAsia="es-CO"/>
              </w:rPr>
              <w:t xml:space="preserve"> </w:t>
            </w:r>
            <w:r w:rsidRPr="32085FC4">
              <w:rPr>
                <w:rFonts w:ascii="Calibri" w:hAnsi="Calibri" w:cs="Calibri"/>
                <w:color w:val="000000" w:themeColor="text1"/>
                <w:sz w:val="16"/>
                <w:szCs w:val="16"/>
                <w:lang w:eastAsia="es-CO"/>
              </w:rPr>
              <w:t xml:space="preserve">  </w:t>
            </w:r>
          </w:p>
        </w:tc>
        <w:tc>
          <w:tcPr>
            <w:tcW w:w="1710" w:type="dxa"/>
            <w:shd w:val="clear" w:color="auto" w:fill="auto"/>
            <w:vAlign w:val="bottom"/>
            <w:hideMark/>
          </w:tcPr>
          <w:p w14:paraId="192761A4" w14:textId="23CD8A60" w:rsidR="32085FC4" w:rsidRDefault="3F7B8888" w:rsidP="494D33A9">
            <w:pPr>
              <w:spacing w:before="0" w:after="0"/>
              <w:rPr>
                <w:sz w:val="16"/>
                <w:szCs w:val="16"/>
              </w:rPr>
            </w:pPr>
            <w:r w:rsidRPr="494D33A9">
              <w:rPr>
                <w:sz w:val="16"/>
                <w:szCs w:val="16"/>
              </w:rPr>
              <w:t xml:space="preserve">Con la adopción de esta regulación no se limitan la elección de procesos de </w:t>
            </w:r>
            <w:r w:rsidR="005F651C" w:rsidRPr="494D33A9">
              <w:rPr>
                <w:sz w:val="16"/>
                <w:szCs w:val="16"/>
              </w:rPr>
              <w:t>producción</w:t>
            </w:r>
            <w:r w:rsidRPr="494D33A9">
              <w:rPr>
                <w:sz w:val="16"/>
                <w:szCs w:val="16"/>
              </w:rPr>
              <w:t xml:space="preserve"> o de </w:t>
            </w:r>
            <w:r w:rsidR="7ADF6FE1" w:rsidRPr="494D33A9">
              <w:rPr>
                <w:sz w:val="16"/>
                <w:szCs w:val="16"/>
              </w:rPr>
              <w:t>organización</w:t>
            </w:r>
            <w:r w:rsidRPr="494D33A9">
              <w:rPr>
                <w:sz w:val="16"/>
                <w:szCs w:val="16"/>
              </w:rPr>
              <w:t xml:space="preserve"> </w:t>
            </w:r>
            <w:r w:rsidR="755700E0" w:rsidRPr="494D33A9">
              <w:rPr>
                <w:sz w:val="16"/>
                <w:szCs w:val="16"/>
              </w:rPr>
              <w:t>industrial</w:t>
            </w:r>
            <w:r w:rsidRPr="494D33A9">
              <w:rPr>
                <w:sz w:val="16"/>
                <w:szCs w:val="16"/>
              </w:rPr>
              <w:t>,</w:t>
            </w:r>
            <w:r w:rsidR="631D59B9" w:rsidRPr="494D33A9">
              <w:rPr>
                <w:sz w:val="16"/>
                <w:szCs w:val="16"/>
              </w:rPr>
              <w:t xml:space="preserve"> no hay nexo causal entre lo uno y lo otro. </w:t>
            </w:r>
          </w:p>
          <w:p w14:paraId="676A5799" w14:textId="0230074B" w:rsidR="32085FC4" w:rsidRDefault="32085FC4" w:rsidP="494D33A9">
            <w:pPr>
              <w:spacing w:before="0" w:after="0"/>
              <w:rPr>
                <w:sz w:val="16"/>
                <w:szCs w:val="16"/>
              </w:rPr>
            </w:pPr>
          </w:p>
          <w:p w14:paraId="79FE14C5" w14:textId="18D8D595" w:rsidR="32085FC4" w:rsidRDefault="32085FC4" w:rsidP="494D33A9">
            <w:pPr>
              <w:spacing w:before="0" w:after="0"/>
              <w:rPr>
                <w:sz w:val="16"/>
                <w:szCs w:val="16"/>
              </w:rPr>
            </w:pPr>
          </w:p>
          <w:p w14:paraId="72770021" w14:textId="2C96E6C4" w:rsidR="32085FC4" w:rsidRDefault="32085FC4" w:rsidP="494D33A9">
            <w:pPr>
              <w:spacing w:before="0" w:after="0"/>
              <w:rPr>
                <w:sz w:val="16"/>
                <w:szCs w:val="16"/>
              </w:rPr>
            </w:pPr>
          </w:p>
          <w:p w14:paraId="447C4C42" w14:textId="3F10786E" w:rsidR="32085FC4" w:rsidRDefault="32085FC4" w:rsidP="494D33A9">
            <w:pPr>
              <w:spacing w:before="0" w:after="0"/>
              <w:rPr>
                <w:sz w:val="16"/>
                <w:szCs w:val="16"/>
                <w:lang w:eastAsia="es-CO"/>
              </w:rPr>
            </w:pPr>
          </w:p>
        </w:tc>
      </w:tr>
      <w:tr w:rsidR="008E39E4" w:rsidRPr="007D2FCF" w14:paraId="6D5A49AA" w14:textId="77777777" w:rsidTr="32085FC4">
        <w:trPr>
          <w:trHeight w:val="719"/>
        </w:trPr>
        <w:tc>
          <w:tcPr>
            <w:tcW w:w="720" w:type="dxa"/>
            <w:gridSpan w:val="2"/>
            <w:shd w:val="clear" w:color="auto" w:fill="auto"/>
            <w:noWrap/>
            <w:vAlign w:val="center"/>
            <w:hideMark/>
          </w:tcPr>
          <w:p w14:paraId="007AE85E" w14:textId="77777777" w:rsidR="0078518A" w:rsidRPr="007D2FCF" w:rsidRDefault="0078518A">
            <w:pPr>
              <w:spacing w:before="0" w:after="0"/>
              <w:jc w:val="center"/>
              <w:rPr>
                <w:rFonts w:ascii="Calibri" w:hAnsi="Calibri" w:cs="Calibri"/>
                <w:bCs w:val="0"/>
                <w:color w:val="000000"/>
                <w:szCs w:val="22"/>
                <w:lang w:eastAsia="es-CO"/>
              </w:rPr>
            </w:pPr>
            <w:r w:rsidRPr="007D2FCF">
              <w:rPr>
                <w:rFonts w:ascii="Calibri" w:hAnsi="Calibri" w:cs="Calibri"/>
                <w:bCs w:val="0"/>
                <w:color w:val="000000"/>
                <w:szCs w:val="22"/>
                <w:lang w:eastAsia="es-CO"/>
              </w:rPr>
              <w:t>g)</w:t>
            </w:r>
          </w:p>
        </w:tc>
        <w:tc>
          <w:tcPr>
            <w:tcW w:w="4710" w:type="dxa"/>
            <w:shd w:val="clear" w:color="auto" w:fill="auto"/>
            <w:hideMark/>
          </w:tcPr>
          <w:p w14:paraId="06311FCA" w14:textId="77777777" w:rsidR="0078518A" w:rsidRPr="007D2FCF" w:rsidRDefault="0078518A">
            <w:pPr>
              <w:spacing w:before="0" w:after="0"/>
              <w:jc w:val="left"/>
              <w:rPr>
                <w:rFonts w:ascii="Calibri" w:hAnsi="Calibri" w:cs="Calibri"/>
                <w:bCs w:val="0"/>
                <w:color w:val="000000"/>
                <w:szCs w:val="22"/>
                <w:lang w:eastAsia="es-CO"/>
              </w:rPr>
            </w:pPr>
            <w:r w:rsidRPr="007D2FCF">
              <w:rPr>
                <w:rFonts w:ascii="Calibri" w:hAnsi="Calibri" w:cs="Calibri"/>
                <w:bCs w:val="0"/>
                <w:color w:val="000000"/>
                <w:szCs w:val="22"/>
                <w:lang w:eastAsia="es-CO"/>
              </w:rPr>
              <w:t xml:space="preserve">Limita la innovación para ofrecer nuevos productos o productos existentes, pero bajo nuevas formas.   </w:t>
            </w:r>
          </w:p>
        </w:tc>
        <w:tc>
          <w:tcPr>
            <w:tcW w:w="420" w:type="dxa"/>
            <w:shd w:val="clear" w:color="auto" w:fill="auto"/>
            <w:noWrap/>
            <w:vAlign w:val="center"/>
            <w:hideMark/>
          </w:tcPr>
          <w:p w14:paraId="259D405B" w14:textId="77777777" w:rsidR="0078518A" w:rsidRPr="007D2FCF" w:rsidRDefault="0078518A">
            <w:pPr>
              <w:spacing w:before="0" w:after="0"/>
              <w:jc w:val="left"/>
              <w:rPr>
                <w:rFonts w:ascii="Calibri" w:hAnsi="Calibri" w:cs="Calibri"/>
                <w:bCs w:val="0"/>
                <w:color w:val="000000"/>
                <w:szCs w:val="22"/>
                <w:lang w:eastAsia="es-CO"/>
              </w:rPr>
            </w:pPr>
            <w:r w:rsidRPr="007D2FCF">
              <w:rPr>
                <w:rFonts w:ascii="Calibri" w:hAnsi="Calibri" w:cs="Calibri"/>
                <w:bCs w:val="0"/>
                <w:color w:val="000000"/>
                <w:szCs w:val="22"/>
                <w:lang w:eastAsia="es-CO"/>
              </w:rPr>
              <w:t> </w:t>
            </w:r>
          </w:p>
        </w:tc>
        <w:tc>
          <w:tcPr>
            <w:tcW w:w="450" w:type="dxa"/>
            <w:shd w:val="clear" w:color="auto" w:fill="auto"/>
            <w:noWrap/>
            <w:vAlign w:val="center"/>
            <w:hideMark/>
          </w:tcPr>
          <w:p w14:paraId="1CBABC55" w14:textId="77777777" w:rsidR="0078518A" w:rsidRPr="007D2FCF" w:rsidRDefault="0078518A">
            <w:pPr>
              <w:spacing w:before="0" w:after="0"/>
              <w:jc w:val="center"/>
              <w:rPr>
                <w:rFonts w:ascii="Calibri" w:hAnsi="Calibri" w:cs="Calibri"/>
                <w:bCs w:val="0"/>
                <w:color w:val="000000"/>
                <w:szCs w:val="22"/>
                <w:lang w:eastAsia="es-CO"/>
              </w:rPr>
            </w:pPr>
            <w:r w:rsidRPr="007D2FCF">
              <w:rPr>
                <w:rFonts w:ascii="Calibri" w:hAnsi="Calibri" w:cs="Calibri"/>
                <w:bCs w:val="0"/>
                <w:color w:val="000000"/>
                <w:szCs w:val="22"/>
                <w:lang w:eastAsia="es-CO"/>
              </w:rPr>
              <w:t>X</w:t>
            </w:r>
          </w:p>
        </w:tc>
        <w:tc>
          <w:tcPr>
            <w:tcW w:w="1440" w:type="dxa"/>
            <w:shd w:val="clear" w:color="auto" w:fill="auto"/>
            <w:noWrap/>
            <w:vAlign w:val="bottom"/>
            <w:hideMark/>
          </w:tcPr>
          <w:p w14:paraId="74D6B301" w14:textId="6F42B014" w:rsidR="32085FC4" w:rsidRDefault="32085FC4" w:rsidP="494D33A9">
            <w:pPr>
              <w:spacing w:before="0" w:after="0"/>
              <w:jc w:val="center"/>
              <w:rPr>
                <w:rFonts w:ascii="Calibri" w:hAnsi="Calibri" w:cs="Calibri"/>
                <w:color w:val="000000" w:themeColor="text1"/>
                <w:sz w:val="16"/>
                <w:szCs w:val="16"/>
                <w:lang w:eastAsia="es-CO"/>
              </w:rPr>
            </w:pPr>
            <w:r w:rsidRPr="32085FC4">
              <w:rPr>
                <w:rFonts w:ascii="Calibri" w:hAnsi="Calibri" w:cs="Calibri"/>
                <w:color w:val="000000" w:themeColor="text1"/>
                <w:sz w:val="16"/>
                <w:szCs w:val="16"/>
                <w:lang w:eastAsia="es-CO"/>
              </w:rPr>
              <w:t xml:space="preserve">Con la expedición de la presente resolución no se dictan disposiciones que </w:t>
            </w:r>
            <w:r w:rsidR="57F83609" w:rsidRPr="32085FC4">
              <w:rPr>
                <w:rFonts w:ascii="Calibri" w:hAnsi="Calibri" w:cs="Calibri"/>
                <w:color w:val="000000" w:themeColor="text1"/>
                <w:sz w:val="16"/>
                <w:szCs w:val="16"/>
                <w:lang w:eastAsia="es-CO"/>
              </w:rPr>
              <w:t xml:space="preserve">limiten la innovación a la </w:t>
            </w:r>
            <w:r w:rsidR="57F83609" w:rsidRPr="494D33A9">
              <w:rPr>
                <w:rFonts w:ascii="Calibri" w:hAnsi="Calibri" w:cs="Calibri"/>
                <w:color w:val="000000" w:themeColor="text1"/>
                <w:sz w:val="16"/>
                <w:szCs w:val="16"/>
                <w:lang w:eastAsia="es-CO"/>
              </w:rPr>
              <w:t>que</w:t>
            </w:r>
            <w:r w:rsidR="57F83609" w:rsidRPr="32085FC4">
              <w:rPr>
                <w:rFonts w:ascii="Calibri" w:hAnsi="Calibri" w:cs="Calibri"/>
                <w:color w:val="000000" w:themeColor="text1"/>
                <w:sz w:val="16"/>
                <w:szCs w:val="16"/>
                <w:lang w:eastAsia="es-CO"/>
              </w:rPr>
              <w:t xml:space="preserve"> se refiere este punto</w:t>
            </w:r>
            <w:r w:rsidRPr="32085FC4">
              <w:rPr>
                <w:rFonts w:ascii="Calibri" w:hAnsi="Calibri" w:cs="Calibri"/>
                <w:color w:val="000000" w:themeColor="text1"/>
                <w:sz w:val="16"/>
                <w:szCs w:val="16"/>
                <w:lang w:eastAsia="es-CO"/>
              </w:rPr>
              <w:t>.</w:t>
            </w:r>
            <w:r w:rsidR="55D62E6A" w:rsidRPr="32085FC4">
              <w:rPr>
                <w:rFonts w:ascii="Calibri" w:hAnsi="Calibri" w:cs="Calibri"/>
                <w:color w:val="000000" w:themeColor="text1"/>
                <w:sz w:val="16"/>
                <w:szCs w:val="16"/>
                <w:lang w:eastAsia="es-CO"/>
              </w:rPr>
              <w:t xml:space="preserve"> </w:t>
            </w:r>
            <w:r w:rsidRPr="32085FC4">
              <w:rPr>
                <w:rFonts w:ascii="Calibri" w:hAnsi="Calibri" w:cs="Calibri"/>
                <w:color w:val="000000" w:themeColor="text1"/>
                <w:sz w:val="16"/>
                <w:szCs w:val="16"/>
                <w:lang w:eastAsia="es-CO"/>
              </w:rPr>
              <w:t xml:space="preserve">  </w:t>
            </w:r>
          </w:p>
          <w:p w14:paraId="262B9F77" w14:textId="6B141A66" w:rsidR="32085FC4" w:rsidRDefault="32085FC4" w:rsidP="494D33A9">
            <w:pPr>
              <w:spacing w:before="0" w:after="0"/>
              <w:jc w:val="center"/>
              <w:rPr>
                <w:rFonts w:ascii="Calibri" w:hAnsi="Calibri" w:cs="Calibri"/>
                <w:color w:val="000000" w:themeColor="text1"/>
                <w:sz w:val="16"/>
                <w:szCs w:val="16"/>
                <w:lang w:eastAsia="es-CO"/>
              </w:rPr>
            </w:pPr>
          </w:p>
          <w:p w14:paraId="54DEB7C4" w14:textId="40348953" w:rsidR="32085FC4" w:rsidRDefault="32085FC4" w:rsidP="494D33A9">
            <w:pPr>
              <w:spacing w:before="0" w:after="0"/>
              <w:jc w:val="center"/>
              <w:rPr>
                <w:rFonts w:ascii="Calibri" w:hAnsi="Calibri" w:cs="Calibri"/>
                <w:color w:val="000000" w:themeColor="text1"/>
                <w:sz w:val="16"/>
                <w:szCs w:val="16"/>
                <w:lang w:eastAsia="es-CO"/>
              </w:rPr>
            </w:pPr>
          </w:p>
          <w:p w14:paraId="277CD029" w14:textId="6B75E135" w:rsidR="32085FC4" w:rsidRDefault="32085FC4" w:rsidP="494D33A9">
            <w:pPr>
              <w:spacing w:before="0" w:after="0"/>
              <w:jc w:val="center"/>
              <w:rPr>
                <w:rFonts w:ascii="Calibri" w:hAnsi="Calibri" w:cs="Calibri"/>
                <w:color w:val="000000" w:themeColor="text1"/>
                <w:sz w:val="16"/>
                <w:szCs w:val="16"/>
                <w:lang w:eastAsia="es-CO"/>
              </w:rPr>
            </w:pPr>
          </w:p>
          <w:p w14:paraId="5E16C5CE" w14:textId="0B926858" w:rsidR="32085FC4" w:rsidRDefault="32085FC4" w:rsidP="494D33A9">
            <w:pPr>
              <w:spacing w:before="0" w:after="0"/>
              <w:jc w:val="center"/>
              <w:rPr>
                <w:rFonts w:ascii="Calibri" w:hAnsi="Calibri" w:cs="Calibri"/>
                <w:color w:val="000000" w:themeColor="text1"/>
                <w:sz w:val="16"/>
                <w:szCs w:val="16"/>
                <w:lang w:eastAsia="es-CO"/>
              </w:rPr>
            </w:pPr>
          </w:p>
          <w:p w14:paraId="038C45A7" w14:textId="7E78FD99" w:rsidR="32085FC4" w:rsidRDefault="32085FC4" w:rsidP="32085FC4">
            <w:pPr>
              <w:spacing w:before="0" w:after="0"/>
              <w:jc w:val="center"/>
              <w:rPr>
                <w:rFonts w:ascii="Calibri" w:hAnsi="Calibri" w:cs="Calibri"/>
                <w:color w:val="000000" w:themeColor="text1"/>
                <w:sz w:val="16"/>
                <w:szCs w:val="16"/>
                <w:lang w:eastAsia="es-CO"/>
              </w:rPr>
            </w:pPr>
          </w:p>
        </w:tc>
        <w:tc>
          <w:tcPr>
            <w:tcW w:w="1710" w:type="dxa"/>
            <w:shd w:val="clear" w:color="auto" w:fill="auto"/>
            <w:noWrap/>
            <w:vAlign w:val="bottom"/>
            <w:hideMark/>
          </w:tcPr>
          <w:p w14:paraId="0AE242B7" w14:textId="5F02C07D" w:rsidR="32085FC4" w:rsidRDefault="32085FC4" w:rsidP="32085FC4">
            <w:pPr>
              <w:rPr>
                <w:sz w:val="16"/>
                <w:szCs w:val="16"/>
              </w:rPr>
            </w:pPr>
            <w:r w:rsidRPr="32085FC4">
              <w:rPr>
                <w:sz w:val="16"/>
                <w:szCs w:val="16"/>
              </w:rPr>
              <w:t xml:space="preserve">El principal objetivo de la presente </w:t>
            </w:r>
            <w:proofErr w:type="gramStart"/>
            <w:r w:rsidR="005F651C" w:rsidRPr="32085FC4">
              <w:rPr>
                <w:sz w:val="16"/>
                <w:szCs w:val="16"/>
              </w:rPr>
              <w:t>resolución,</w:t>
            </w:r>
            <w:proofErr w:type="gramEnd"/>
            <w:r w:rsidR="005F651C" w:rsidRPr="32085FC4">
              <w:rPr>
                <w:sz w:val="16"/>
                <w:szCs w:val="16"/>
              </w:rPr>
              <w:t xml:space="preserve"> consiste</w:t>
            </w:r>
            <w:r w:rsidRPr="32085FC4">
              <w:rPr>
                <w:sz w:val="16"/>
                <w:szCs w:val="16"/>
              </w:rPr>
              <w:t xml:space="preserve"> en minimizar o eliminar el cobro por el transporte de energía reactiva capacitiva causado por algunos pocos reactivos inyectados a la red</w:t>
            </w:r>
            <w:r w:rsidR="64718093" w:rsidRPr="494D33A9">
              <w:rPr>
                <w:sz w:val="16"/>
                <w:szCs w:val="16"/>
              </w:rPr>
              <w:t xml:space="preserve">, en ningún momento se observa un nexo causal entre lo que </w:t>
            </w:r>
            <w:r w:rsidR="005F651C" w:rsidRPr="494D33A9">
              <w:rPr>
                <w:sz w:val="16"/>
                <w:szCs w:val="16"/>
              </w:rPr>
              <w:t>se</w:t>
            </w:r>
            <w:r w:rsidR="64718093" w:rsidRPr="494D33A9">
              <w:rPr>
                <w:sz w:val="16"/>
                <w:szCs w:val="16"/>
              </w:rPr>
              <w:t xml:space="preserve"> adopta y el hecho de innovar para ofrecer nuevos productos o productos existentes bajo otras formas</w:t>
            </w:r>
            <w:r w:rsidRPr="32085FC4">
              <w:rPr>
                <w:sz w:val="16"/>
                <w:szCs w:val="16"/>
              </w:rPr>
              <w:t>.</w:t>
            </w:r>
          </w:p>
          <w:p w14:paraId="51707859" w14:textId="436AF39C" w:rsidR="32085FC4" w:rsidRDefault="32085FC4" w:rsidP="32085FC4">
            <w:pPr>
              <w:spacing w:before="0" w:after="0"/>
              <w:jc w:val="center"/>
              <w:rPr>
                <w:rFonts w:ascii="Calibri" w:hAnsi="Calibri" w:cs="Calibri"/>
                <w:color w:val="000000" w:themeColor="text1"/>
                <w:lang w:eastAsia="es-CO"/>
              </w:rPr>
            </w:pPr>
          </w:p>
        </w:tc>
      </w:tr>
      <w:tr w:rsidR="0078518A" w:rsidRPr="007D2FCF" w14:paraId="1D04F8C4" w14:textId="77777777" w:rsidTr="32085FC4">
        <w:trPr>
          <w:trHeight w:val="680"/>
        </w:trPr>
        <w:tc>
          <w:tcPr>
            <w:tcW w:w="720" w:type="dxa"/>
            <w:gridSpan w:val="2"/>
            <w:shd w:val="clear" w:color="auto" w:fill="auto"/>
            <w:noWrap/>
            <w:vAlign w:val="center"/>
            <w:hideMark/>
          </w:tcPr>
          <w:p w14:paraId="3BC8F4C5" w14:textId="77777777" w:rsidR="0078518A" w:rsidRPr="007D2FCF" w:rsidRDefault="0078518A">
            <w:pPr>
              <w:spacing w:before="0" w:after="0"/>
              <w:jc w:val="center"/>
              <w:rPr>
                <w:rFonts w:ascii="Calibri" w:hAnsi="Calibri" w:cs="Calibri"/>
                <w:b/>
                <w:color w:val="000000"/>
                <w:szCs w:val="22"/>
                <w:lang w:eastAsia="es-CO"/>
              </w:rPr>
            </w:pPr>
            <w:r w:rsidRPr="007D2FCF">
              <w:rPr>
                <w:rFonts w:ascii="Calibri" w:hAnsi="Calibri" w:cs="Calibri"/>
                <w:b/>
                <w:color w:val="000000"/>
                <w:szCs w:val="22"/>
                <w:lang w:eastAsia="es-CO"/>
              </w:rPr>
              <w:t>3.</w:t>
            </w:r>
          </w:p>
        </w:tc>
        <w:tc>
          <w:tcPr>
            <w:tcW w:w="8730" w:type="dxa"/>
            <w:gridSpan w:val="5"/>
            <w:shd w:val="clear" w:color="auto" w:fill="auto"/>
            <w:hideMark/>
          </w:tcPr>
          <w:p w14:paraId="276306B4" w14:textId="77777777" w:rsidR="0078518A" w:rsidRPr="007D2FCF" w:rsidRDefault="0078518A">
            <w:pPr>
              <w:spacing w:before="0" w:after="0"/>
              <w:jc w:val="left"/>
              <w:rPr>
                <w:rFonts w:ascii="Calibri" w:hAnsi="Calibri" w:cs="Calibri"/>
                <w:b/>
                <w:color w:val="000000"/>
                <w:szCs w:val="22"/>
                <w:lang w:eastAsia="es-CO"/>
              </w:rPr>
            </w:pPr>
            <w:r w:rsidRPr="007D2FCF">
              <w:rPr>
                <w:rFonts w:ascii="Calibri" w:hAnsi="Calibri" w:cs="Calibri"/>
                <w:b/>
                <w:color w:val="000000"/>
                <w:szCs w:val="22"/>
                <w:lang w:eastAsia="es-CO"/>
              </w:rPr>
              <w:t xml:space="preserve">¿La regulación implica reducir los incentivos de las empresas para competir en uno o varios mercados relevantes relacionados? </w:t>
            </w:r>
            <w:r w:rsidRPr="007D2FCF">
              <w:rPr>
                <w:rFonts w:ascii="Calibri" w:hAnsi="Calibri" w:cs="Calibri"/>
                <w:b/>
                <w:color w:val="000000"/>
                <w:szCs w:val="22"/>
                <w:lang w:eastAsia="es-CO"/>
              </w:rPr>
              <w:br/>
              <w:t>Es posible que esto suceda, entre otros eventos, cuando el proyecto de acto:</w:t>
            </w:r>
          </w:p>
        </w:tc>
      </w:tr>
      <w:tr w:rsidR="008E39E4" w:rsidRPr="007D2FCF" w14:paraId="354F27F0" w14:textId="77777777" w:rsidTr="32085FC4">
        <w:trPr>
          <w:trHeight w:val="377"/>
        </w:trPr>
        <w:tc>
          <w:tcPr>
            <w:tcW w:w="720" w:type="dxa"/>
            <w:gridSpan w:val="2"/>
            <w:shd w:val="clear" w:color="auto" w:fill="auto"/>
            <w:noWrap/>
            <w:vAlign w:val="center"/>
            <w:hideMark/>
          </w:tcPr>
          <w:p w14:paraId="62C834B8" w14:textId="77777777" w:rsidR="0078518A" w:rsidRPr="007D2FCF" w:rsidRDefault="0078518A">
            <w:pPr>
              <w:spacing w:before="0" w:after="0"/>
              <w:jc w:val="center"/>
              <w:rPr>
                <w:rFonts w:ascii="Calibri" w:hAnsi="Calibri" w:cs="Calibri"/>
                <w:bCs w:val="0"/>
                <w:color w:val="000000"/>
                <w:szCs w:val="22"/>
                <w:lang w:eastAsia="es-CO"/>
              </w:rPr>
            </w:pPr>
            <w:r w:rsidRPr="007D2FCF">
              <w:rPr>
                <w:rFonts w:ascii="Calibri" w:hAnsi="Calibri" w:cs="Calibri"/>
                <w:bCs w:val="0"/>
                <w:color w:val="000000"/>
                <w:szCs w:val="22"/>
                <w:lang w:eastAsia="es-CO"/>
              </w:rPr>
              <w:t>a)</w:t>
            </w:r>
          </w:p>
        </w:tc>
        <w:tc>
          <w:tcPr>
            <w:tcW w:w="4710" w:type="dxa"/>
            <w:shd w:val="clear" w:color="auto" w:fill="auto"/>
            <w:hideMark/>
          </w:tcPr>
          <w:p w14:paraId="359B558E" w14:textId="77777777" w:rsidR="0078518A" w:rsidRPr="007D2FCF" w:rsidRDefault="0078518A">
            <w:pPr>
              <w:spacing w:before="0" w:after="0"/>
              <w:jc w:val="left"/>
              <w:rPr>
                <w:rFonts w:ascii="Calibri" w:hAnsi="Calibri" w:cs="Calibri"/>
                <w:bCs w:val="0"/>
                <w:color w:val="000000"/>
                <w:szCs w:val="22"/>
                <w:lang w:eastAsia="es-CO"/>
              </w:rPr>
            </w:pPr>
            <w:r w:rsidRPr="007D2FCF">
              <w:rPr>
                <w:rFonts w:ascii="Calibri" w:hAnsi="Calibri" w:cs="Calibri"/>
                <w:bCs w:val="0"/>
                <w:color w:val="000000"/>
                <w:szCs w:val="22"/>
                <w:lang w:eastAsia="es-CO"/>
              </w:rPr>
              <w:t xml:space="preserve">Genera un régimen de autorregulación o </w:t>
            </w:r>
            <w:proofErr w:type="spellStart"/>
            <w:r w:rsidRPr="007D2FCF">
              <w:rPr>
                <w:rFonts w:ascii="Calibri" w:hAnsi="Calibri" w:cs="Calibri"/>
                <w:bCs w:val="0"/>
                <w:color w:val="000000"/>
                <w:szCs w:val="22"/>
                <w:lang w:eastAsia="es-CO"/>
              </w:rPr>
              <w:t>corregulación</w:t>
            </w:r>
            <w:proofErr w:type="spellEnd"/>
            <w:r w:rsidRPr="007D2FCF">
              <w:rPr>
                <w:rFonts w:ascii="Calibri" w:hAnsi="Calibri" w:cs="Calibri"/>
                <w:bCs w:val="0"/>
                <w:color w:val="000000"/>
                <w:szCs w:val="22"/>
                <w:lang w:eastAsia="es-CO"/>
              </w:rPr>
              <w:t>.</w:t>
            </w:r>
          </w:p>
        </w:tc>
        <w:tc>
          <w:tcPr>
            <w:tcW w:w="420" w:type="dxa"/>
            <w:shd w:val="clear" w:color="auto" w:fill="auto"/>
            <w:noWrap/>
            <w:vAlign w:val="center"/>
            <w:hideMark/>
          </w:tcPr>
          <w:p w14:paraId="232DF2D8" w14:textId="77777777" w:rsidR="0078518A" w:rsidRPr="007D2FCF" w:rsidRDefault="0078518A">
            <w:pPr>
              <w:spacing w:before="0" w:after="0"/>
              <w:jc w:val="left"/>
              <w:rPr>
                <w:rFonts w:ascii="Calibri" w:hAnsi="Calibri" w:cs="Calibri"/>
                <w:bCs w:val="0"/>
                <w:color w:val="000000"/>
                <w:szCs w:val="22"/>
                <w:lang w:eastAsia="es-CO"/>
              </w:rPr>
            </w:pPr>
            <w:r w:rsidRPr="007D2FCF">
              <w:rPr>
                <w:rFonts w:ascii="Calibri" w:hAnsi="Calibri" w:cs="Calibri"/>
                <w:bCs w:val="0"/>
                <w:color w:val="000000"/>
                <w:szCs w:val="22"/>
                <w:lang w:eastAsia="es-CO"/>
              </w:rPr>
              <w:t> </w:t>
            </w:r>
          </w:p>
        </w:tc>
        <w:tc>
          <w:tcPr>
            <w:tcW w:w="450" w:type="dxa"/>
            <w:shd w:val="clear" w:color="auto" w:fill="auto"/>
            <w:noWrap/>
            <w:vAlign w:val="center"/>
            <w:hideMark/>
          </w:tcPr>
          <w:p w14:paraId="34C9FC2C" w14:textId="77777777" w:rsidR="0078518A" w:rsidRPr="007D2FCF" w:rsidRDefault="0078518A">
            <w:pPr>
              <w:spacing w:before="0" w:after="0"/>
              <w:jc w:val="center"/>
              <w:rPr>
                <w:rFonts w:ascii="Calibri" w:hAnsi="Calibri" w:cs="Calibri"/>
                <w:bCs w:val="0"/>
                <w:color w:val="000000"/>
                <w:szCs w:val="22"/>
                <w:lang w:eastAsia="es-CO"/>
              </w:rPr>
            </w:pPr>
            <w:r w:rsidRPr="007D2FCF">
              <w:rPr>
                <w:rFonts w:ascii="Calibri" w:hAnsi="Calibri" w:cs="Calibri"/>
                <w:bCs w:val="0"/>
                <w:color w:val="000000"/>
                <w:szCs w:val="22"/>
                <w:lang w:eastAsia="es-CO"/>
              </w:rPr>
              <w:t>X</w:t>
            </w:r>
          </w:p>
        </w:tc>
        <w:tc>
          <w:tcPr>
            <w:tcW w:w="1440" w:type="dxa"/>
            <w:shd w:val="clear" w:color="auto" w:fill="auto"/>
            <w:noWrap/>
            <w:vAlign w:val="bottom"/>
            <w:hideMark/>
          </w:tcPr>
          <w:p w14:paraId="6E242C7C" w14:textId="3D0F174B" w:rsidR="32085FC4" w:rsidRDefault="32085FC4" w:rsidP="494D33A9">
            <w:pPr>
              <w:spacing w:before="0" w:after="0"/>
              <w:jc w:val="center"/>
              <w:rPr>
                <w:rFonts w:ascii="Calibri" w:hAnsi="Calibri" w:cs="Calibri"/>
                <w:color w:val="000000" w:themeColor="text1"/>
                <w:sz w:val="16"/>
                <w:szCs w:val="16"/>
                <w:lang w:eastAsia="es-CO"/>
              </w:rPr>
            </w:pPr>
            <w:r w:rsidRPr="32085FC4">
              <w:rPr>
                <w:rFonts w:ascii="Calibri" w:hAnsi="Calibri" w:cs="Calibri"/>
                <w:color w:val="000000" w:themeColor="text1"/>
                <w:sz w:val="16"/>
                <w:szCs w:val="16"/>
                <w:lang w:eastAsia="es-CO"/>
              </w:rPr>
              <w:t xml:space="preserve">Con la expedición de la presente resolución no se dictan </w:t>
            </w:r>
            <w:r w:rsidRPr="32085FC4">
              <w:rPr>
                <w:rFonts w:ascii="Calibri" w:hAnsi="Calibri" w:cs="Calibri"/>
                <w:color w:val="000000" w:themeColor="text1"/>
                <w:sz w:val="16"/>
                <w:szCs w:val="16"/>
                <w:lang w:eastAsia="es-CO"/>
              </w:rPr>
              <w:lastRenderedPageBreak/>
              <w:t xml:space="preserve">disposiciones que </w:t>
            </w:r>
            <w:r w:rsidR="1DC5B88A" w:rsidRPr="32085FC4">
              <w:rPr>
                <w:rFonts w:ascii="Calibri" w:hAnsi="Calibri" w:cs="Calibri"/>
                <w:color w:val="000000" w:themeColor="text1"/>
                <w:sz w:val="16"/>
                <w:szCs w:val="16"/>
                <w:lang w:eastAsia="es-CO"/>
              </w:rPr>
              <w:t xml:space="preserve">generen </w:t>
            </w:r>
            <w:proofErr w:type="spellStart"/>
            <w:r w:rsidR="1DC5B88A" w:rsidRPr="32085FC4">
              <w:rPr>
                <w:rFonts w:ascii="Calibri" w:hAnsi="Calibri" w:cs="Calibri"/>
                <w:color w:val="000000" w:themeColor="text1"/>
                <w:sz w:val="16"/>
                <w:szCs w:val="16"/>
                <w:lang w:eastAsia="es-CO"/>
              </w:rPr>
              <w:t>corregulación</w:t>
            </w:r>
            <w:proofErr w:type="spellEnd"/>
            <w:r w:rsidR="1DC5B88A" w:rsidRPr="32085FC4">
              <w:rPr>
                <w:rFonts w:ascii="Calibri" w:hAnsi="Calibri" w:cs="Calibri"/>
                <w:color w:val="000000" w:themeColor="text1"/>
                <w:sz w:val="16"/>
                <w:szCs w:val="16"/>
                <w:lang w:eastAsia="es-CO"/>
              </w:rPr>
              <w:t xml:space="preserve"> o autorregulación</w:t>
            </w:r>
            <w:r w:rsidRPr="32085FC4">
              <w:rPr>
                <w:rFonts w:ascii="Calibri" w:hAnsi="Calibri" w:cs="Calibri"/>
                <w:color w:val="000000" w:themeColor="text1"/>
                <w:sz w:val="16"/>
                <w:szCs w:val="16"/>
                <w:lang w:eastAsia="es-CO"/>
              </w:rPr>
              <w:t xml:space="preserve">. </w:t>
            </w:r>
            <w:r w:rsidR="72ADF5B6" w:rsidRPr="32085FC4">
              <w:rPr>
                <w:rFonts w:ascii="Calibri" w:hAnsi="Calibri" w:cs="Calibri"/>
                <w:color w:val="000000" w:themeColor="text1"/>
                <w:sz w:val="16"/>
                <w:szCs w:val="16"/>
                <w:lang w:eastAsia="es-CO"/>
              </w:rPr>
              <w:t xml:space="preserve"> </w:t>
            </w:r>
          </w:p>
          <w:p w14:paraId="528651AA" w14:textId="52ABD371" w:rsidR="32085FC4" w:rsidRDefault="32085FC4" w:rsidP="494D33A9">
            <w:pPr>
              <w:spacing w:before="0" w:after="0"/>
              <w:jc w:val="center"/>
              <w:rPr>
                <w:rFonts w:ascii="Calibri" w:hAnsi="Calibri" w:cs="Calibri"/>
                <w:color w:val="000000" w:themeColor="text1"/>
                <w:sz w:val="16"/>
                <w:szCs w:val="16"/>
                <w:lang w:eastAsia="es-CO"/>
              </w:rPr>
            </w:pPr>
          </w:p>
          <w:p w14:paraId="2E4768BB" w14:textId="767197C6" w:rsidR="32085FC4" w:rsidRDefault="32085FC4" w:rsidP="32085FC4">
            <w:pPr>
              <w:spacing w:before="0" w:after="0"/>
              <w:jc w:val="center"/>
              <w:rPr>
                <w:rFonts w:ascii="Calibri" w:hAnsi="Calibri" w:cs="Calibri"/>
                <w:color w:val="000000" w:themeColor="text1"/>
                <w:sz w:val="16"/>
                <w:szCs w:val="16"/>
                <w:lang w:eastAsia="es-CO"/>
              </w:rPr>
            </w:pPr>
            <w:r w:rsidRPr="32085FC4">
              <w:rPr>
                <w:rFonts w:ascii="Calibri" w:hAnsi="Calibri" w:cs="Calibri"/>
                <w:color w:val="000000" w:themeColor="text1"/>
                <w:sz w:val="16"/>
                <w:szCs w:val="16"/>
                <w:lang w:eastAsia="es-CO"/>
              </w:rPr>
              <w:t xml:space="preserve"> </w:t>
            </w:r>
          </w:p>
        </w:tc>
        <w:tc>
          <w:tcPr>
            <w:tcW w:w="1710" w:type="dxa"/>
            <w:shd w:val="clear" w:color="auto" w:fill="auto"/>
            <w:noWrap/>
            <w:vAlign w:val="bottom"/>
            <w:hideMark/>
          </w:tcPr>
          <w:p w14:paraId="5AC741F4" w14:textId="2B0C72CD" w:rsidR="32085FC4" w:rsidRDefault="32085FC4" w:rsidP="32085FC4">
            <w:pPr>
              <w:rPr>
                <w:sz w:val="16"/>
                <w:szCs w:val="16"/>
              </w:rPr>
            </w:pPr>
            <w:r w:rsidRPr="32085FC4">
              <w:rPr>
                <w:sz w:val="16"/>
                <w:szCs w:val="16"/>
              </w:rPr>
              <w:lastRenderedPageBreak/>
              <w:t xml:space="preserve">El principal objetivo de la presente </w:t>
            </w:r>
            <w:proofErr w:type="gramStart"/>
            <w:r w:rsidR="005F651C" w:rsidRPr="32085FC4">
              <w:rPr>
                <w:sz w:val="16"/>
                <w:szCs w:val="16"/>
              </w:rPr>
              <w:t>resolución,</w:t>
            </w:r>
            <w:proofErr w:type="gramEnd"/>
            <w:r w:rsidR="005F651C" w:rsidRPr="32085FC4">
              <w:rPr>
                <w:sz w:val="16"/>
                <w:szCs w:val="16"/>
              </w:rPr>
              <w:t xml:space="preserve"> consiste</w:t>
            </w:r>
            <w:r w:rsidRPr="32085FC4">
              <w:rPr>
                <w:sz w:val="16"/>
                <w:szCs w:val="16"/>
              </w:rPr>
              <w:t xml:space="preserve"> en minimizar o </w:t>
            </w:r>
            <w:r w:rsidRPr="32085FC4">
              <w:rPr>
                <w:sz w:val="16"/>
                <w:szCs w:val="16"/>
              </w:rPr>
              <w:lastRenderedPageBreak/>
              <w:t>eliminar el cobro por el transporte de energía reactiva capacitiva causado por algunos pocos reactivos inyectados a la red.</w:t>
            </w:r>
          </w:p>
          <w:p w14:paraId="29CC3F60" w14:textId="436AF39C" w:rsidR="32085FC4" w:rsidRDefault="32085FC4" w:rsidP="32085FC4">
            <w:pPr>
              <w:spacing w:before="0" w:after="0"/>
              <w:jc w:val="center"/>
              <w:rPr>
                <w:rFonts w:ascii="Calibri" w:hAnsi="Calibri" w:cs="Calibri"/>
                <w:color w:val="000000" w:themeColor="text1"/>
                <w:lang w:eastAsia="es-CO"/>
              </w:rPr>
            </w:pPr>
          </w:p>
        </w:tc>
      </w:tr>
      <w:tr w:rsidR="008E39E4" w:rsidRPr="007D2FCF" w14:paraId="48EC621D" w14:textId="77777777" w:rsidTr="32085FC4">
        <w:trPr>
          <w:trHeight w:val="980"/>
        </w:trPr>
        <w:tc>
          <w:tcPr>
            <w:tcW w:w="720" w:type="dxa"/>
            <w:gridSpan w:val="2"/>
            <w:shd w:val="clear" w:color="auto" w:fill="auto"/>
            <w:noWrap/>
            <w:vAlign w:val="center"/>
            <w:hideMark/>
          </w:tcPr>
          <w:p w14:paraId="38BBE360" w14:textId="77777777" w:rsidR="0078518A" w:rsidRPr="007D2FCF" w:rsidRDefault="0078518A">
            <w:pPr>
              <w:spacing w:before="0" w:after="0"/>
              <w:jc w:val="center"/>
              <w:rPr>
                <w:rFonts w:ascii="Calibri" w:hAnsi="Calibri" w:cs="Calibri"/>
                <w:bCs w:val="0"/>
                <w:color w:val="000000"/>
                <w:szCs w:val="22"/>
                <w:lang w:eastAsia="es-CO"/>
              </w:rPr>
            </w:pPr>
            <w:r w:rsidRPr="007D2FCF">
              <w:rPr>
                <w:rFonts w:ascii="Calibri" w:hAnsi="Calibri" w:cs="Calibri"/>
                <w:bCs w:val="0"/>
                <w:color w:val="000000"/>
                <w:szCs w:val="22"/>
                <w:lang w:eastAsia="es-CO"/>
              </w:rPr>
              <w:lastRenderedPageBreak/>
              <w:t>b)</w:t>
            </w:r>
          </w:p>
        </w:tc>
        <w:tc>
          <w:tcPr>
            <w:tcW w:w="4710" w:type="dxa"/>
            <w:shd w:val="clear" w:color="auto" w:fill="auto"/>
            <w:hideMark/>
          </w:tcPr>
          <w:p w14:paraId="1B0EB4C4" w14:textId="77777777" w:rsidR="0078518A" w:rsidRPr="007D2FCF" w:rsidRDefault="0078518A">
            <w:pPr>
              <w:spacing w:before="0" w:after="0"/>
              <w:jc w:val="left"/>
              <w:rPr>
                <w:rFonts w:ascii="Calibri" w:hAnsi="Calibri" w:cs="Calibri"/>
                <w:bCs w:val="0"/>
                <w:color w:val="000000"/>
                <w:szCs w:val="22"/>
                <w:lang w:eastAsia="es-CO"/>
              </w:rPr>
            </w:pPr>
            <w:r w:rsidRPr="007D2FCF">
              <w:rPr>
                <w:rFonts w:ascii="Calibri" w:hAnsi="Calibri" w:cs="Calibri"/>
                <w:bCs w:val="0"/>
                <w:color w:val="000000"/>
                <w:szCs w:val="22"/>
                <w:lang w:eastAsia="es-CO"/>
              </w:rPr>
              <w:t>Impone la obligación de dar publicidad sobre información sensible para una empresa que podría ser conocida por sus competidores (por ejemplo, precios, nivel de ventas, costos, etc.)</w:t>
            </w:r>
          </w:p>
        </w:tc>
        <w:tc>
          <w:tcPr>
            <w:tcW w:w="420" w:type="dxa"/>
            <w:shd w:val="clear" w:color="auto" w:fill="auto"/>
            <w:noWrap/>
            <w:vAlign w:val="center"/>
            <w:hideMark/>
          </w:tcPr>
          <w:p w14:paraId="1E398358" w14:textId="77777777" w:rsidR="0078518A" w:rsidRPr="007D2FCF" w:rsidRDefault="0078518A">
            <w:pPr>
              <w:spacing w:before="0" w:after="0"/>
              <w:jc w:val="left"/>
              <w:rPr>
                <w:rFonts w:ascii="Calibri" w:hAnsi="Calibri" w:cs="Calibri"/>
                <w:bCs w:val="0"/>
                <w:color w:val="000000"/>
                <w:szCs w:val="22"/>
                <w:lang w:eastAsia="es-CO"/>
              </w:rPr>
            </w:pPr>
          </w:p>
        </w:tc>
        <w:tc>
          <w:tcPr>
            <w:tcW w:w="450" w:type="dxa"/>
            <w:shd w:val="clear" w:color="auto" w:fill="auto"/>
            <w:noWrap/>
            <w:vAlign w:val="center"/>
            <w:hideMark/>
          </w:tcPr>
          <w:p w14:paraId="1F708D07" w14:textId="77777777" w:rsidR="0078518A" w:rsidRPr="007D2FCF" w:rsidRDefault="0078518A">
            <w:pPr>
              <w:spacing w:before="0" w:after="0"/>
              <w:jc w:val="center"/>
              <w:rPr>
                <w:rFonts w:ascii="Calibri" w:hAnsi="Calibri" w:cs="Calibri"/>
                <w:bCs w:val="0"/>
                <w:color w:val="000000"/>
                <w:szCs w:val="22"/>
                <w:lang w:eastAsia="es-CO"/>
              </w:rPr>
            </w:pPr>
            <w:r w:rsidRPr="007D2FCF">
              <w:rPr>
                <w:rFonts w:ascii="Calibri" w:hAnsi="Calibri" w:cs="Calibri"/>
                <w:bCs w:val="0"/>
                <w:color w:val="000000"/>
                <w:szCs w:val="22"/>
                <w:lang w:eastAsia="es-CO"/>
              </w:rPr>
              <w:t>X</w:t>
            </w:r>
          </w:p>
        </w:tc>
        <w:tc>
          <w:tcPr>
            <w:tcW w:w="1440" w:type="dxa"/>
            <w:shd w:val="clear" w:color="auto" w:fill="auto"/>
            <w:noWrap/>
            <w:vAlign w:val="bottom"/>
            <w:hideMark/>
          </w:tcPr>
          <w:p w14:paraId="0C5A882F" w14:textId="0E16D096" w:rsidR="32085FC4" w:rsidRDefault="32085FC4" w:rsidP="32085FC4">
            <w:pPr>
              <w:spacing w:before="0" w:after="0"/>
              <w:jc w:val="center"/>
              <w:rPr>
                <w:rFonts w:ascii="Calibri" w:hAnsi="Calibri" w:cs="Calibri"/>
                <w:color w:val="000000" w:themeColor="text1"/>
                <w:sz w:val="16"/>
                <w:szCs w:val="16"/>
                <w:lang w:eastAsia="es-CO"/>
              </w:rPr>
            </w:pPr>
            <w:r w:rsidRPr="32085FC4">
              <w:rPr>
                <w:rFonts w:ascii="Calibri" w:hAnsi="Calibri" w:cs="Calibri"/>
                <w:color w:val="000000" w:themeColor="text1"/>
                <w:sz w:val="16"/>
                <w:szCs w:val="16"/>
                <w:lang w:eastAsia="es-CO"/>
              </w:rPr>
              <w:t>Con la expedición de la presente resolución no se dictan disposiciones que</w:t>
            </w:r>
            <w:r w:rsidR="4ED54917" w:rsidRPr="32085FC4">
              <w:rPr>
                <w:rFonts w:ascii="Calibri" w:hAnsi="Calibri" w:cs="Calibri"/>
                <w:color w:val="000000" w:themeColor="text1"/>
                <w:sz w:val="16"/>
                <w:szCs w:val="16"/>
                <w:lang w:eastAsia="es-CO"/>
              </w:rPr>
              <w:t xml:space="preserve"> lleve a la publicación de información sensible de las empresas prestadoras del servicio</w:t>
            </w:r>
            <w:r w:rsidRPr="32085FC4">
              <w:rPr>
                <w:rFonts w:ascii="Calibri" w:hAnsi="Calibri" w:cs="Calibri"/>
                <w:color w:val="000000" w:themeColor="text1"/>
                <w:sz w:val="16"/>
                <w:szCs w:val="16"/>
                <w:lang w:eastAsia="es-CO"/>
              </w:rPr>
              <w:t xml:space="preserve">.  </w:t>
            </w:r>
          </w:p>
        </w:tc>
        <w:tc>
          <w:tcPr>
            <w:tcW w:w="1710" w:type="dxa"/>
            <w:shd w:val="clear" w:color="auto" w:fill="auto"/>
            <w:noWrap/>
            <w:vAlign w:val="bottom"/>
            <w:hideMark/>
          </w:tcPr>
          <w:p w14:paraId="24549171" w14:textId="73B04E13" w:rsidR="32085FC4" w:rsidRDefault="32085FC4" w:rsidP="32085FC4">
            <w:pPr>
              <w:rPr>
                <w:sz w:val="16"/>
                <w:szCs w:val="16"/>
              </w:rPr>
            </w:pPr>
            <w:r w:rsidRPr="32085FC4">
              <w:rPr>
                <w:sz w:val="16"/>
                <w:szCs w:val="16"/>
              </w:rPr>
              <w:t xml:space="preserve">El principal objetivo de la presente </w:t>
            </w:r>
            <w:r w:rsidR="00F569CF" w:rsidRPr="32085FC4">
              <w:rPr>
                <w:sz w:val="16"/>
                <w:szCs w:val="16"/>
              </w:rPr>
              <w:t>resolución</w:t>
            </w:r>
            <w:r w:rsidR="005F651C" w:rsidRPr="32085FC4">
              <w:rPr>
                <w:sz w:val="16"/>
                <w:szCs w:val="16"/>
              </w:rPr>
              <w:t xml:space="preserve"> consiste</w:t>
            </w:r>
            <w:r w:rsidRPr="32085FC4">
              <w:rPr>
                <w:sz w:val="16"/>
                <w:szCs w:val="16"/>
              </w:rPr>
              <w:t xml:space="preserve"> en minimizar o eliminar el cobro por el transporte de energía reactiva capacitiva causado por algunos pocos reactivos inyectados a la red.</w:t>
            </w:r>
          </w:p>
          <w:p w14:paraId="3EE289E8" w14:textId="436AF39C" w:rsidR="32085FC4" w:rsidRDefault="32085FC4" w:rsidP="32085FC4">
            <w:pPr>
              <w:spacing w:before="0" w:after="0"/>
              <w:jc w:val="center"/>
              <w:rPr>
                <w:rFonts w:ascii="Calibri" w:hAnsi="Calibri" w:cs="Calibri"/>
                <w:color w:val="000000" w:themeColor="text1"/>
                <w:lang w:eastAsia="es-CO"/>
              </w:rPr>
            </w:pPr>
          </w:p>
        </w:tc>
      </w:tr>
      <w:tr w:rsidR="0078518A" w:rsidRPr="007D2FCF" w14:paraId="60F5D957" w14:textId="77777777" w:rsidTr="32085FC4">
        <w:trPr>
          <w:trHeight w:val="570"/>
        </w:trPr>
        <w:tc>
          <w:tcPr>
            <w:tcW w:w="9450" w:type="dxa"/>
            <w:gridSpan w:val="7"/>
            <w:shd w:val="clear" w:color="auto" w:fill="auto"/>
            <w:noWrap/>
            <w:vAlign w:val="center"/>
            <w:hideMark/>
          </w:tcPr>
          <w:p w14:paraId="26A23118" w14:textId="4B29B9BE" w:rsidR="0078518A" w:rsidRPr="007D2FCF" w:rsidRDefault="0078518A" w:rsidP="494D33A9">
            <w:pPr>
              <w:spacing w:before="0" w:after="0"/>
              <w:jc w:val="center"/>
              <w:rPr>
                <w:rFonts w:ascii="Calibri" w:hAnsi="Calibri" w:cs="Calibri"/>
                <w:b/>
                <w:color w:val="000000" w:themeColor="text1"/>
                <w:lang w:eastAsia="es-CO"/>
              </w:rPr>
            </w:pPr>
            <w:r w:rsidRPr="494D33A9">
              <w:rPr>
                <w:rFonts w:ascii="Calibri" w:hAnsi="Calibri" w:cs="Calibri"/>
                <w:b/>
                <w:color w:val="000000" w:themeColor="text1"/>
                <w:lang w:eastAsia="es-CO"/>
              </w:rPr>
              <w:t>CONCLUSIONES</w:t>
            </w:r>
          </w:p>
          <w:p w14:paraId="23FE3176" w14:textId="401293BB" w:rsidR="0078518A" w:rsidRPr="007D2FCF" w:rsidRDefault="0078518A" w:rsidP="494D33A9">
            <w:pPr>
              <w:spacing w:before="0" w:after="0"/>
              <w:jc w:val="center"/>
              <w:rPr>
                <w:rFonts w:ascii="Calibri" w:hAnsi="Calibri" w:cs="Calibri"/>
                <w:b/>
                <w:color w:val="000000" w:themeColor="text1"/>
                <w:lang w:eastAsia="es-CO"/>
              </w:rPr>
            </w:pPr>
          </w:p>
          <w:p w14:paraId="71A85069" w14:textId="691B42F4" w:rsidR="0078518A" w:rsidRPr="007D2FCF" w:rsidRDefault="3EBB743E" w:rsidP="494D33A9">
            <w:pPr>
              <w:spacing w:before="0" w:after="0"/>
              <w:rPr>
                <w:rFonts w:ascii="Calibri" w:hAnsi="Calibri" w:cs="Calibri"/>
                <w:bCs w:val="0"/>
                <w:color w:val="000000" w:themeColor="text1"/>
                <w:lang w:eastAsia="es-CO"/>
              </w:rPr>
            </w:pPr>
            <w:r w:rsidRPr="494D33A9">
              <w:rPr>
                <w:rFonts w:ascii="Calibri" w:hAnsi="Calibri" w:cs="Calibri"/>
                <w:bCs w:val="0"/>
                <w:color w:val="000000" w:themeColor="text1"/>
                <w:lang w:eastAsia="es-CO"/>
              </w:rPr>
              <w:t>En conclusión lo que hace la regulación es modificar los estándares para el factor de potencia capacitivo (coseno phi capacitivo) del consumo de las ins</w:t>
            </w:r>
            <w:r w:rsidR="0E34A99E" w:rsidRPr="494D33A9">
              <w:rPr>
                <w:rFonts w:ascii="Calibri" w:hAnsi="Calibri" w:cs="Calibri"/>
                <w:bCs w:val="0"/>
                <w:color w:val="000000" w:themeColor="text1"/>
                <w:lang w:eastAsia="es-CO"/>
              </w:rPr>
              <w:t xml:space="preserve">talaciones de los usuarios igual o superior a cero punto noventa (0.90) capacitivo o en adelanto en los niveles de tensión 1 y 2, igual o superior a </w:t>
            </w:r>
            <w:r w:rsidR="4B6D169D" w:rsidRPr="494D33A9">
              <w:rPr>
                <w:rFonts w:ascii="Calibri" w:hAnsi="Calibri" w:cs="Calibri"/>
                <w:bCs w:val="0"/>
                <w:color w:val="000000" w:themeColor="text1"/>
                <w:lang w:eastAsia="es-CO"/>
              </w:rPr>
              <w:t xml:space="preserve">cero punto noventa y cinco (0.95) capacitivo o en adelanto a los niveles de tensión 3 e igual o superior a cero punto noventa y ocho (0.98) capacitivo </w:t>
            </w:r>
            <w:r w:rsidR="5D02EF83" w:rsidRPr="494D33A9">
              <w:rPr>
                <w:rFonts w:ascii="Calibri" w:hAnsi="Calibri" w:cs="Calibri"/>
                <w:bCs w:val="0"/>
                <w:color w:val="000000" w:themeColor="text1"/>
                <w:lang w:eastAsia="es-CO"/>
              </w:rPr>
              <w:t>o en adelanto en nivel de tensión 4 lo anterior con el fin de permitir una operación má</w:t>
            </w:r>
            <w:r w:rsidR="2E50B394" w:rsidRPr="494D33A9">
              <w:rPr>
                <w:rFonts w:ascii="Calibri" w:hAnsi="Calibri" w:cs="Calibri"/>
                <w:bCs w:val="0"/>
                <w:color w:val="000000" w:themeColor="text1"/>
                <w:lang w:eastAsia="es-CO"/>
              </w:rPr>
              <w:t>s</w:t>
            </w:r>
            <w:r w:rsidR="5D02EF83" w:rsidRPr="494D33A9">
              <w:rPr>
                <w:rFonts w:ascii="Calibri" w:hAnsi="Calibri" w:cs="Calibri"/>
                <w:bCs w:val="0"/>
                <w:color w:val="000000" w:themeColor="text1"/>
                <w:lang w:eastAsia="es-CO"/>
              </w:rPr>
              <w:t xml:space="preserve"> fl</w:t>
            </w:r>
            <w:r w:rsidR="0B8052BC" w:rsidRPr="494D33A9">
              <w:rPr>
                <w:rFonts w:ascii="Calibri" w:hAnsi="Calibri" w:cs="Calibri"/>
                <w:bCs w:val="0"/>
                <w:color w:val="000000" w:themeColor="text1"/>
                <w:lang w:eastAsia="es-CO"/>
              </w:rPr>
              <w:t>e</w:t>
            </w:r>
            <w:r w:rsidR="5D02EF83" w:rsidRPr="494D33A9">
              <w:rPr>
                <w:rFonts w:ascii="Calibri" w:hAnsi="Calibri" w:cs="Calibri"/>
                <w:bCs w:val="0"/>
                <w:color w:val="000000" w:themeColor="text1"/>
                <w:lang w:eastAsia="es-CO"/>
              </w:rPr>
              <w:t>xible del sistema, manteniendo los dem</w:t>
            </w:r>
            <w:r w:rsidR="67892D8B" w:rsidRPr="494D33A9">
              <w:rPr>
                <w:rFonts w:ascii="Calibri" w:hAnsi="Calibri" w:cs="Calibri"/>
                <w:bCs w:val="0"/>
                <w:color w:val="000000" w:themeColor="text1"/>
                <w:lang w:eastAsia="es-CO"/>
              </w:rPr>
              <w:t xml:space="preserve">ás estándares de calidad. </w:t>
            </w:r>
          </w:p>
          <w:p w14:paraId="572F9ED5" w14:textId="412A61FA" w:rsidR="0078518A" w:rsidRPr="007D2FCF" w:rsidRDefault="0078518A" w:rsidP="494D33A9">
            <w:pPr>
              <w:spacing w:before="0" w:after="0"/>
              <w:rPr>
                <w:rFonts w:ascii="Calibri" w:hAnsi="Calibri" w:cs="Calibri"/>
                <w:bCs w:val="0"/>
                <w:color w:val="000000" w:themeColor="text1"/>
                <w:lang w:eastAsia="es-CO"/>
              </w:rPr>
            </w:pPr>
          </w:p>
          <w:p w14:paraId="12C728F3" w14:textId="18809B9D" w:rsidR="0078518A" w:rsidRPr="007D2FCF" w:rsidRDefault="6CFF3E14" w:rsidP="494D33A9">
            <w:pPr>
              <w:spacing w:before="0" w:after="0"/>
              <w:rPr>
                <w:rFonts w:ascii="Calibri" w:hAnsi="Calibri" w:cs="Calibri"/>
                <w:bCs w:val="0"/>
                <w:color w:val="000000" w:themeColor="text1"/>
                <w:lang w:eastAsia="es-CO"/>
              </w:rPr>
            </w:pPr>
            <w:r w:rsidRPr="494D33A9">
              <w:rPr>
                <w:rFonts w:ascii="Calibri" w:hAnsi="Calibri" w:cs="Calibri"/>
                <w:bCs w:val="0"/>
                <w:color w:val="000000" w:themeColor="text1"/>
                <w:lang w:eastAsia="es-CO"/>
              </w:rPr>
              <w:t>Igualmente, las condiciones del medidor contenidas en los literales e y h del artículo 8 de la Resolución CREG 038 de 2014, referidos a las condiciones de los sistemas de medición no se modifican, para los nuevos agentes y para los existentes las reglas son claras en ese sentido y deben considerarse en la prestación del servicio público domiciliario de energía eléctrica</w:t>
            </w:r>
            <w:r w:rsidR="1DFCE988" w:rsidRPr="494D33A9">
              <w:rPr>
                <w:rFonts w:ascii="Calibri" w:hAnsi="Calibri" w:cs="Calibri"/>
                <w:bCs w:val="0"/>
                <w:color w:val="000000" w:themeColor="text1"/>
                <w:lang w:eastAsia="es-CO"/>
              </w:rPr>
              <w:t xml:space="preserve"> y es un incentivo a que busca que se reduzca el exceso de ese transporte </w:t>
            </w:r>
            <w:r w:rsidR="33C6C41D" w:rsidRPr="494D33A9">
              <w:rPr>
                <w:rFonts w:ascii="Calibri" w:hAnsi="Calibri" w:cs="Calibri"/>
                <w:bCs w:val="0"/>
                <w:color w:val="000000" w:themeColor="text1"/>
                <w:lang w:eastAsia="es-CO"/>
              </w:rPr>
              <w:t>cuando se excedan los límites establecidos en la regulación.</w:t>
            </w:r>
          </w:p>
          <w:p w14:paraId="2F7CC748" w14:textId="21E50E91" w:rsidR="0078518A" w:rsidRPr="007D2FCF" w:rsidRDefault="0078518A" w:rsidP="494D33A9">
            <w:pPr>
              <w:spacing w:before="0" w:after="0"/>
              <w:rPr>
                <w:rFonts w:ascii="Calibri" w:hAnsi="Calibri" w:cs="Calibri"/>
                <w:color w:val="000000"/>
                <w:lang w:eastAsia="es-CO"/>
              </w:rPr>
            </w:pPr>
          </w:p>
        </w:tc>
      </w:tr>
    </w:tbl>
    <w:p w14:paraId="5CC54C22" w14:textId="77777777" w:rsidR="00350EFB" w:rsidRPr="003D56B2" w:rsidRDefault="00350EFB" w:rsidP="008D41DE"/>
    <w:sectPr w:rsidR="00350EFB" w:rsidRPr="003D56B2" w:rsidSect="00A0085B">
      <w:headerReference w:type="default" r:id="rId96"/>
      <w:footerReference w:type="default" r:id="rId97"/>
      <w:pgSz w:w="12240" w:h="15840" w:code="1"/>
      <w:pgMar w:top="1701" w:right="1418" w:bottom="1418" w:left="1701" w:header="850" w:footer="562"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8AED8E" w14:textId="77777777" w:rsidR="00454F66" w:rsidRDefault="00454F66">
      <w:pPr>
        <w:spacing w:before="0" w:after="0"/>
      </w:pPr>
      <w:r>
        <w:separator/>
      </w:r>
    </w:p>
  </w:endnote>
  <w:endnote w:type="continuationSeparator" w:id="0">
    <w:p w14:paraId="07289CC4" w14:textId="77777777" w:rsidR="00454F66" w:rsidRDefault="00454F66">
      <w:pPr>
        <w:spacing w:before="0" w:after="0"/>
      </w:pPr>
      <w:r>
        <w:continuationSeparator/>
      </w:r>
    </w:p>
  </w:endnote>
  <w:endnote w:type="continuationNotice" w:id="1">
    <w:p w14:paraId="35861241" w14:textId="77777777" w:rsidR="00454F66" w:rsidRDefault="00454F66">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969342" w14:textId="5649A860" w:rsidR="00E72EFE" w:rsidRDefault="0055575E" w:rsidP="00E72EFE">
    <w:pPr>
      <w:pStyle w:val="Piedepgina"/>
      <w:spacing w:before="0" w:after="0"/>
      <w:rPr>
        <w:b/>
        <w:sz w:val="16"/>
      </w:rPr>
    </w:pPr>
    <w:r>
      <w:rPr>
        <w:b/>
        <w:sz w:val="16"/>
      </w:rPr>
      <w:t xml:space="preserve">D – 901 056 DE 2024 </w:t>
    </w:r>
    <w:r w:rsidR="00E72EFE">
      <w:rPr>
        <w:b/>
        <w:sz w:val="16"/>
      </w:rPr>
      <w:t>ENERGÍA REACTIVA – REVISIÓN DE ESTÁNDARES</w:t>
    </w:r>
  </w:p>
  <w:p w14:paraId="7FD98C59" w14:textId="2A4C8C0D" w:rsidR="00C34624" w:rsidRDefault="00C34624" w:rsidP="00C34624">
    <w:pPr>
      <w:pStyle w:val="Piedepgina"/>
      <w:spacing w:before="0" w:after="0"/>
      <w:rPr>
        <w:b/>
        <w:sz w:val="16"/>
      </w:rPr>
    </w:pPr>
  </w:p>
  <w:tbl>
    <w:tblPr>
      <w:tblW w:w="537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532"/>
      <w:gridCol w:w="2706"/>
      <w:gridCol w:w="2553"/>
    </w:tblGrid>
    <w:tr w:rsidR="00C34624" w:rsidRPr="00456730" w14:paraId="18F61B92" w14:textId="77777777" w:rsidTr="00276E1B">
      <w:trPr>
        <w:cantSplit/>
        <w:trHeight w:val="254"/>
        <w:jc w:val="center"/>
      </w:trPr>
      <w:tc>
        <w:tcPr>
          <w:tcW w:w="2314" w:type="pct"/>
          <w:vAlign w:val="center"/>
        </w:tcPr>
        <w:p w14:paraId="57EA2D23" w14:textId="77777777" w:rsidR="00C34624" w:rsidRPr="00456730" w:rsidRDefault="00C34624" w:rsidP="00C34624">
          <w:pPr>
            <w:spacing w:before="0" w:after="0"/>
            <w:contextualSpacing/>
            <w:rPr>
              <w:iCs/>
              <w:sz w:val="14"/>
            </w:rPr>
          </w:pPr>
          <w:r w:rsidRPr="00456730">
            <w:rPr>
              <w:rFonts w:cs="Arial"/>
              <w:iCs/>
              <w:sz w:val="14"/>
            </w:rPr>
            <w:t xml:space="preserve">Proceso        </w:t>
          </w:r>
          <w:r w:rsidRPr="00456730">
            <w:rPr>
              <w:rFonts w:cs="Arial"/>
              <w:b/>
              <w:iCs/>
              <w:sz w:val="14"/>
            </w:rPr>
            <w:t>REGULACIÓN</w:t>
          </w:r>
        </w:p>
      </w:tc>
      <w:tc>
        <w:tcPr>
          <w:tcW w:w="1382" w:type="pct"/>
          <w:vAlign w:val="center"/>
        </w:tcPr>
        <w:p w14:paraId="4DD28CD4" w14:textId="77777777" w:rsidR="00C34624" w:rsidRPr="00456730" w:rsidRDefault="00C34624" w:rsidP="00C34624">
          <w:pPr>
            <w:spacing w:before="0" w:after="0"/>
            <w:contextualSpacing/>
            <w:rPr>
              <w:rFonts w:cs="Arial"/>
              <w:iCs/>
              <w:sz w:val="14"/>
            </w:rPr>
          </w:pPr>
          <w:r w:rsidRPr="00456730">
            <w:rPr>
              <w:rFonts w:cs="Arial"/>
              <w:b/>
              <w:iCs/>
              <w:sz w:val="14"/>
            </w:rPr>
            <w:t xml:space="preserve">Código: </w:t>
          </w:r>
          <w:r w:rsidRPr="00456730">
            <w:rPr>
              <w:rFonts w:cs="Arial"/>
              <w:iCs/>
              <w:sz w:val="14"/>
            </w:rPr>
            <w:t>RG-FT-005</w:t>
          </w:r>
        </w:p>
      </w:tc>
      <w:tc>
        <w:tcPr>
          <w:tcW w:w="1304" w:type="pct"/>
          <w:vAlign w:val="center"/>
        </w:tcPr>
        <w:p w14:paraId="2171772F" w14:textId="77777777" w:rsidR="00C34624" w:rsidRPr="00456730" w:rsidRDefault="00C34624" w:rsidP="00C34624">
          <w:pPr>
            <w:spacing w:before="0" w:after="0"/>
            <w:contextualSpacing/>
            <w:rPr>
              <w:rFonts w:cs="Arial"/>
              <w:iCs/>
              <w:sz w:val="14"/>
            </w:rPr>
          </w:pPr>
          <w:r w:rsidRPr="00456730">
            <w:rPr>
              <w:rFonts w:cs="Arial"/>
              <w:b/>
              <w:iCs/>
              <w:sz w:val="14"/>
            </w:rPr>
            <w:t xml:space="preserve">Versión: </w:t>
          </w:r>
          <w:r>
            <w:rPr>
              <w:rFonts w:cs="Arial"/>
              <w:iCs/>
              <w:sz w:val="14"/>
            </w:rPr>
            <w:t>1</w:t>
          </w:r>
        </w:p>
      </w:tc>
    </w:tr>
    <w:tr w:rsidR="00C34624" w:rsidRPr="00456730" w14:paraId="69EAB755" w14:textId="77777777" w:rsidTr="00276E1B">
      <w:trPr>
        <w:cantSplit/>
        <w:trHeight w:val="261"/>
        <w:jc w:val="center"/>
      </w:trPr>
      <w:tc>
        <w:tcPr>
          <w:tcW w:w="2314" w:type="pct"/>
          <w:vAlign w:val="center"/>
        </w:tcPr>
        <w:p w14:paraId="348C6D2E" w14:textId="14F0716C" w:rsidR="00C34624" w:rsidRPr="00456730" w:rsidRDefault="00C34624" w:rsidP="00C34624">
          <w:pPr>
            <w:spacing w:before="0" w:after="0"/>
            <w:ind w:left="923" w:hanging="923"/>
            <w:contextualSpacing/>
            <w:rPr>
              <w:rFonts w:cs="Arial"/>
              <w:bCs w:val="0"/>
              <w:iCs/>
              <w:sz w:val="14"/>
            </w:rPr>
          </w:pPr>
          <w:r w:rsidRPr="00456730">
            <w:rPr>
              <w:rFonts w:cs="Arial"/>
              <w:iCs/>
              <w:sz w:val="14"/>
            </w:rPr>
            <w:t xml:space="preserve">Documento   </w:t>
          </w:r>
          <w:r w:rsidR="00B25172" w:rsidRPr="00456730">
            <w:rPr>
              <w:rFonts w:cs="Arial"/>
              <w:b/>
              <w:iCs/>
              <w:sz w:val="14"/>
            </w:rPr>
            <w:t>D</w:t>
          </w:r>
          <w:r w:rsidRPr="00456730">
            <w:rPr>
              <w:rFonts w:cs="Arial"/>
              <w:b/>
              <w:iCs/>
              <w:sz w:val="14"/>
            </w:rPr>
            <w:t xml:space="preserve"> CREG</w:t>
          </w:r>
          <w:r w:rsidR="00B25172" w:rsidRPr="007A32B2">
            <w:rPr>
              <w:rFonts w:cs="Arial"/>
              <w:b/>
              <w:iCs/>
              <w:sz w:val="14"/>
            </w:rPr>
            <w:t xml:space="preserve"> 901 017</w:t>
          </w:r>
          <w:r w:rsidR="00B25172">
            <w:rPr>
              <w:rFonts w:cs="Arial"/>
              <w:b/>
              <w:iCs/>
              <w:sz w:val="14"/>
            </w:rPr>
            <w:t xml:space="preserve"> DE 2023</w:t>
          </w:r>
        </w:p>
      </w:tc>
      <w:tc>
        <w:tcPr>
          <w:tcW w:w="1382" w:type="pct"/>
          <w:vAlign w:val="center"/>
        </w:tcPr>
        <w:p w14:paraId="0A455FF2" w14:textId="77777777" w:rsidR="00C34624" w:rsidRPr="00456730" w:rsidRDefault="00C34624" w:rsidP="00C34624">
          <w:pPr>
            <w:spacing w:before="0" w:after="0"/>
            <w:contextualSpacing/>
            <w:rPr>
              <w:rFonts w:cs="Arial"/>
              <w:iCs/>
              <w:sz w:val="14"/>
            </w:rPr>
          </w:pPr>
          <w:r w:rsidRPr="00456730">
            <w:rPr>
              <w:rFonts w:cs="Arial"/>
              <w:b/>
              <w:iCs/>
              <w:sz w:val="14"/>
            </w:rPr>
            <w:t xml:space="preserve">Fecha última revisión: </w:t>
          </w:r>
          <w:r>
            <w:rPr>
              <w:rFonts w:cs="Arial"/>
              <w:b/>
              <w:iCs/>
              <w:sz w:val="14"/>
            </w:rPr>
            <w:t>14/11/2017</w:t>
          </w:r>
        </w:p>
      </w:tc>
      <w:tc>
        <w:tcPr>
          <w:tcW w:w="1304" w:type="pct"/>
          <w:vAlign w:val="center"/>
        </w:tcPr>
        <w:p w14:paraId="227E7F6A" w14:textId="77777777" w:rsidR="00C34624" w:rsidRPr="00456730" w:rsidRDefault="00C34624" w:rsidP="00C34624">
          <w:pPr>
            <w:spacing w:before="0" w:after="0"/>
            <w:contextualSpacing/>
            <w:rPr>
              <w:rFonts w:cs="Arial"/>
              <w:iCs/>
              <w:sz w:val="14"/>
            </w:rPr>
          </w:pPr>
          <w:r w:rsidRPr="00456730">
            <w:rPr>
              <w:rFonts w:cs="Arial"/>
              <w:b/>
              <w:iCs/>
              <w:sz w:val="14"/>
            </w:rPr>
            <w:t>Página:</w:t>
          </w:r>
          <w:r w:rsidRPr="00456730">
            <w:rPr>
              <w:rFonts w:cs="Arial"/>
              <w:iCs/>
              <w:sz w:val="14"/>
            </w:rPr>
            <w:t xml:space="preserve"> </w:t>
          </w:r>
          <w:r w:rsidRPr="00456730">
            <w:rPr>
              <w:rFonts w:cs="Arial"/>
              <w:iCs/>
              <w:sz w:val="14"/>
            </w:rPr>
            <w:fldChar w:fldCharType="begin"/>
          </w:r>
          <w:r w:rsidRPr="00456730">
            <w:rPr>
              <w:rFonts w:cs="Arial"/>
              <w:iCs/>
              <w:sz w:val="14"/>
            </w:rPr>
            <w:instrText xml:space="preserve"> PAGE </w:instrText>
          </w:r>
          <w:r w:rsidRPr="00456730">
            <w:rPr>
              <w:rFonts w:cs="Arial"/>
              <w:iCs/>
              <w:sz w:val="14"/>
            </w:rPr>
            <w:fldChar w:fldCharType="separate"/>
          </w:r>
          <w:r>
            <w:rPr>
              <w:rFonts w:cs="Arial"/>
              <w:iCs/>
              <w:sz w:val="14"/>
            </w:rPr>
            <w:t>1</w:t>
          </w:r>
          <w:r w:rsidRPr="00456730">
            <w:rPr>
              <w:rFonts w:cs="Arial"/>
              <w:iCs/>
              <w:sz w:val="14"/>
            </w:rPr>
            <w:fldChar w:fldCharType="end"/>
          </w:r>
          <w:r>
            <w:rPr>
              <w:rFonts w:cs="Arial"/>
              <w:iCs/>
              <w:sz w:val="14"/>
            </w:rPr>
            <w:t xml:space="preserve"> </w:t>
          </w:r>
        </w:p>
      </w:tc>
    </w:tr>
  </w:tbl>
  <w:p w14:paraId="6C883010" w14:textId="77777777" w:rsidR="00C34624" w:rsidRPr="00EA0E4B" w:rsidRDefault="00C34624" w:rsidP="00C34624">
    <w:pPr>
      <w:pStyle w:val="Piedepgina"/>
      <w:spacing w:before="0" w:after="0"/>
      <w:rPr>
        <w:sz w:val="16"/>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5F6732" w14:textId="77777777" w:rsidR="00454F66" w:rsidRDefault="00454F66">
      <w:pPr>
        <w:spacing w:before="0" w:after="0"/>
      </w:pPr>
      <w:r>
        <w:separator/>
      </w:r>
    </w:p>
  </w:footnote>
  <w:footnote w:type="continuationSeparator" w:id="0">
    <w:p w14:paraId="6AAA9816" w14:textId="77777777" w:rsidR="00454F66" w:rsidRDefault="00454F66">
      <w:pPr>
        <w:spacing w:before="0" w:after="0"/>
      </w:pPr>
      <w:r>
        <w:continuationSeparator/>
      </w:r>
    </w:p>
  </w:footnote>
  <w:footnote w:type="continuationNotice" w:id="1">
    <w:p w14:paraId="729CE46C" w14:textId="77777777" w:rsidR="00454F66" w:rsidRDefault="00454F66">
      <w:pPr>
        <w:spacing w:before="0" w:after="0"/>
      </w:pPr>
    </w:p>
  </w:footnote>
  <w:footnote w:id="2">
    <w:p w14:paraId="721936BA" w14:textId="77777777" w:rsidR="007813C3" w:rsidRPr="00350455" w:rsidRDefault="007813C3" w:rsidP="00193BEB">
      <w:pPr>
        <w:pStyle w:val="Textonotapie"/>
        <w:spacing w:before="0" w:after="0"/>
        <w:rPr>
          <w:sz w:val="18"/>
          <w:szCs w:val="18"/>
          <w:lang w:val="en-US"/>
        </w:rPr>
      </w:pPr>
      <w:r w:rsidRPr="00193BEB">
        <w:rPr>
          <w:rStyle w:val="Refdenotaalpie"/>
          <w:sz w:val="18"/>
          <w:szCs w:val="18"/>
        </w:rPr>
        <w:footnoteRef/>
      </w:r>
      <w:r w:rsidRPr="00193BEB">
        <w:rPr>
          <w:sz w:val="18"/>
          <w:szCs w:val="18"/>
        </w:rPr>
        <w:t xml:space="preserve"> Comisión Nacional para el Uso Eficiente de la Energía. “Herramienta para el ajuste del factor de potencia”. </w:t>
      </w:r>
      <w:r w:rsidRPr="00350455">
        <w:rPr>
          <w:sz w:val="18"/>
          <w:szCs w:val="18"/>
          <w:lang w:val="en-US"/>
        </w:rPr>
        <w:t>(2016)</w:t>
      </w:r>
    </w:p>
  </w:footnote>
  <w:footnote w:id="3">
    <w:p w14:paraId="4C5572AF" w14:textId="2BA00D52" w:rsidR="007813C3" w:rsidRPr="00350455" w:rsidRDefault="007813C3" w:rsidP="00193BEB">
      <w:pPr>
        <w:pStyle w:val="Textonotapie"/>
        <w:spacing w:before="0" w:after="0"/>
        <w:rPr>
          <w:sz w:val="18"/>
          <w:szCs w:val="18"/>
          <w:lang w:val="en-US"/>
        </w:rPr>
      </w:pPr>
      <w:r w:rsidRPr="00193BEB">
        <w:rPr>
          <w:rStyle w:val="Refdenotaalpie"/>
          <w:sz w:val="18"/>
          <w:szCs w:val="18"/>
        </w:rPr>
        <w:footnoteRef/>
      </w:r>
      <w:r w:rsidRPr="00350455">
        <w:rPr>
          <w:sz w:val="18"/>
          <w:szCs w:val="18"/>
          <w:lang w:val="en-US"/>
        </w:rPr>
        <w:t xml:space="preserve"> Energyly. “Understanding Power Factor – Reasons for Low Power Factor</w:t>
      </w:r>
      <w:r w:rsidR="00100299" w:rsidRPr="00350455">
        <w:rPr>
          <w:sz w:val="18"/>
          <w:szCs w:val="18"/>
          <w:lang w:val="en-US"/>
        </w:rPr>
        <w:t>.”</w:t>
      </w:r>
      <w:r w:rsidRPr="00350455">
        <w:rPr>
          <w:sz w:val="18"/>
          <w:szCs w:val="18"/>
          <w:lang w:val="en-US"/>
        </w:rPr>
        <w:t xml:space="preserve"> (2020)</w:t>
      </w:r>
    </w:p>
  </w:footnote>
  <w:footnote w:id="4">
    <w:p w14:paraId="051D79D2" w14:textId="77777777" w:rsidR="007813C3" w:rsidRPr="00193BEB" w:rsidRDefault="007813C3" w:rsidP="00193BEB">
      <w:pPr>
        <w:pStyle w:val="Textonotapie"/>
        <w:spacing w:before="0" w:after="0"/>
        <w:rPr>
          <w:sz w:val="18"/>
          <w:szCs w:val="18"/>
        </w:rPr>
      </w:pPr>
      <w:r w:rsidRPr="00193BEB">
        <w:rPr>
          <w:rStyle w:val="Refdenotaalpie"/>
          <w:sz w:val="18"/>
          <w:szCs w:val="18"/>
        </w:rPr>
        <w:footnoteRef/>
      </w:r>
      <w:r w:rsidRPr="00350455">
        <w:rPr>
          <w:sz w:val="18"/>
          <w:szCs w:val="18"/>
          <w:lang w:val="en-US"/>
        </w:rPr>
        <w:t xml:space="preserve"> MACAS, Janel; SILVA, Moisés. </w:t>
      </w:r>
      <w:r w:rsidRPr="00193BEB">
        <w:rPr>
          <w:sz w:val="18"/>
          <w:szCs w:val="18"/>
        </w:rPr>
        <w:t>“Análisis para la penalización por bajo factor de potencia a grandes clientes con tarifa industrial en bajo y medio voltaje en la provincia de Orellana”. (2018)</w:t>
      </w:r>
    </w:p>
  </w:footnote>
  <w:footnote w:id="5">
    <w:p w14:paraId="56D72363" w14:textId="77777777" w:rsidR="007813C3" w:rsidRPr="00193BEB" w:rsidRDefault="007813C3" w:rsidP="00193BEB">
      <w:pPr>
        <w:pStyle w:val="Textonotapie"/>
        <w:spacing w:before="0" w:after="0"/>
        <w:rPr>
          <w:sz w:val="18"/>
          <w:szCs w:val="18"/>
        </w:rPr>
      </w:pPr>
      <w:r w:rsidRPr="00193BEB">
        <w:rPr>
          <w:rStyle w:val="Refdenotaalpie"/>
          <w:sz w:val="18"/>
          <w:szCs w:val="18"/>
        </w:rPr>
        <w:footnoteRef/>
      </w:r>
      <w:r w:rsidRPr="00193BEB">
        <w:rPr>
          <w:sz w:val="18"/>
          <w:szCs w:val="18"/>
        </w:rPr>
        <w:t xml:space="preserve"> Enel – Perú. “Conociendo las tarifas”.</w:t>
      </w:r>
    </w:p>
  </w:footnote>
  <w:footnote w:id="6">
    <w:p w14:paraId="16756C5A" w14:textId="77777777" w:rsidR="007813C3" w:rsidRPr="00193BEB" w:rsidRDefault="007813C3" w:rsidP="00193BEB">
      <w:pPr>
        <w:pStyle w:val="Textonotapie"/>
        <w:spacing w:before="0" w:after="0"/>
        <w:rPr>
          <w:sz w:val="18"/>
          <w:szCs w:val="18"/>
        </w:rPr>
      </w:pPr>
      <w:r w:rsidRPr="00193BEB">
        <w:rPr>
          <w:rStyle w:val="Refdenotaalpie"/>
          <w:sz w:val="18"/>
          <w:szCs w:val="18"/>
        </w:rPr>
        <w:footnoteRef/>
      </w:r>
      <w:r w:rsidRPr="00193BEB">
        <w:rPr>
          <w:sz w:val="18"/>
          <w:szCs w:val="18"/>
        </w:rPr>
        <w:t xml:space="preserve"> Energía de Santa Fe, “Factor de Potencia - Reactivo Faltante”</w:t>
      </w:r>
    </w:p>
  </w:footnote>
  <w:footnote w:id="7">
    <w:p w14:paraId="31CA74F0" w14:textId="77777777" w:rsidR="007813C3" w:rsidRPr="00193BEB" w:rsidRDefault="007813C3" w:rsidP="00193BEB">
      <w:pPr>
        <w:pStyle w:val="Textonotapie"/>
        <w:spacing w:before="0" w:after="0"/>
        <w:rPr>
          <w:sz w:val="18"/>
          <w:szCs w:val="18"/>
        </w:rPr>
      </w:pPr>
      <w:r w:rsidRPr="00193BEB">
        <w:rPr>
          <w:rStyle w:val="Refdenotaalpie"/>
          <w:sz w:val="18"/>
          <w:szCs w:val="18"/>
        </w:rPr>
        <w:footnoteRef/>
      </w:r>
      <w:r w:rsidRPr="00193BEB">
        <w:rPr>
          <w:sz w:val="18"/>
          <w:szCs w:val="18"/>
        </w:rPr>
        <w:t xml:space="preserve"> Trigo, Luis Ángel. “Estudio del tratamiento de la potencia reactiva en los mercados eléctricos liberalizados”.</w:t>
      </w:r>
    </w:p>
  </w:footnote>
  <w:footnote w:id="8">
    <w:p w14:paraId="3EF4F687" w14:textId="77777777" w:rsidR="007813C3" w:rsidRPr="00193BEB" w:rsidRDefault="007813C3" w:rsidP="00193BEB">
      <w:pPr>
        <w:pStyle w:val="Textonotapie"/>
        <w:spacing w:before="0" w:after="0"/>
        <w:rPr>
          <w:sz w:val="18"/>
          <w:szCs w:val="18"/>
        </w:rPr>
      </w:pPr>
      <w:r w:rsidRPr="00193BEB">
        <w:rPr>
          <w:rStyle w:val="Refdenotaalpie"/>
          <w:sz w:val="18"/>
          <w:szCs w:val="18"/>
        </w:rPr>
        <w:footnoteRef/>
      </w:r>
      <w:r w:rsidRPr="00193BEB">
        <w:rPr>
          <w:sz w:val="18"/>
          <w:szCs w:val="18"/>
        </w:rPr>
        <w:t xml:space="preserve"> “Norma Técnica de Calidad del Servicio” (2019)</w:t>
      </w:r>
    </w:p>
  </w:footnote>
  <w:footnote w:id="9">
    <w:p w14:paraId="56A25CA1" w14:textId="77777777" w:rsidR="007813C3" w:rsidRPr="0098024B" w:rsidRDefault="007813C3" w:rsidP="00193BEB">
      <w:pPr>
        <w:pStyle w:val="Textonotapie"/>
        <w:spacing w:before="0" w:after="0"/>
      </w:pPr>
      <w:r w:rsidRPr="00193BEB">
        <w:rPr>
          <w:rStyle w:val="Refdenotaalpie"/>
          <w:sz w:val="18"/>
          <w:szCs w:val="18"/>
        </w:rPr>
        <w:footnoteRef/>
      </w:r>
      <w:r w:rsidRPr="00193BEB">
        <w:rPr>
          <w:sz w:val="18"/>
          <w:szCs w:val="18"/>
        </w:rPr>
        <w:t xml:space="preserve"> Comité Asesor de Comercialización CAC. “Análisis técnico regulatorio sobre el comportamiento de potencia reactiva”. (2023)</w:t>
      </w:r>
    </w:p>
  </w:footnote>
  <w:footnote w:id="10">
    <w:p w14:paraId="686FFB3E" w14:textId="6A7FAF16" w:rsidR="00512957" w:rsidRPr="00350455" w:rsidRDefault="00512957">
      <w:pPr>
        <w:pStyle w:val="Textonotapie"/>
        <w:rPr>
          <w:sz w:val="18"/>
          <w:szCs w:val="18"/>
        </w:rPr>
      </w:pPr>
      <w:r w:rsidRPr="001C348B">
        <w:rPr>
          <w:rStyle w:val="Refdenotaalpie"/>
          <w:sz w:val="18"/>
          <w:szCs w:val="18"/>
        </w:rPr>
        <w:footnoteRef/>
      </w:r>
      <w:r w:rsidRPr="001C348B">
        <w:rPr>
          <w:sz w:val="18"/>
          <w:szCs w:val="18"/>
        </w:rPr>
        <w:t xml:space="preserve"> </w:t>
      </w:r>
      <w:r w:rsidR="00310B5A">
        <w:rPr>
          <w:sz w:val="18"/>
          <w:szCs w:val="18"/>
          <w:lang w:val="es-ES_tradnl"/>
        </w:rPr>
        <w:t>Fo</w:t>
      </w:r>
      <w:r w:rsidRPr="001C348B">
        <w:rPr>
          <w:sz w:val="18"/>
          <w:szCs w:val="18"/>
          <w:lang w:val="es-ES_tradnl"/>
        </w:rPr>
        <w:t>rmatos</w:t>
      </w:r>
      <w:r w:rsidRPr="001C348B">
        <w:rPr>
          <w:sz w:val="18"/>
          <w:szCs w:val="20"/>
          <w:lang w:val="es-ES_tradnl"/>
        </w:rPr>
        <w:t xml:space="preserve"> TC1 y TC2 de la Resolución SSPD </w:t>
      </w:r>
      <w:r w:rsidR="00310B5A" w:rsidRPr="001C348B">
        <w:rPr>
          <w:sz w:val="18"/>
          <w:szCs w:val="18"/>
          <w:lang w:val="es-ES_tradnl"/>
        </w:rPr>
        <w:t xml:space="preserve">20212200012515 </w:t>
      </w:r>
      <w:r w:rsidR="007D6078">
        <w:rPr>
          <w:sz w:val="18"/>
          <w:szCs w:val="18"/>
          <w:lang w:val="es-ES_tradnl"/>
        </w:rPr>
        <w:t>del</w:t>
      </w:r>
      <w:r w:rsidR="00310B5A" w:rsidRPr="0015711F">
        <w:rPr>
          <w:sz w:val="18"/>
          <w:szCs w:val="18"/>
          <w:lang w:val="es-ES_tradnl"/>
        </w:rPr>
        <w:t xml:space="preserve"> 26 de marzo de 2021</w:t>
      </w:r>
      <w:r w:rsidR="007D6078">
        <w:rPr>
          <w:sz w:val="18"/>
          <w:szCs w:val="18"/>
          <w:lang w:val="es-ES_tradnl"/>
        </w:rPr>
        <w:t>.</w:t>
      </w:r>
    </w:p>
  </w:footnote>
  <w:footnote w:id="11">
    <w:p w14:paraId="127D445F" w14:textId="77777777" w:rsidR="00AA58A8" w:rsidRPr="00F167E1" w:rsidRDefault="00AA58A8" w:rsidP="00AA58A8">
      <w:pPr>
        <w:pStyle w:val="Textonotapie"/>
        <w:rPr>
          <w:sz w:val="18"/>
          <w:szCs w:val="18"/>
        </w:rPr>
      </w:pPr>
      <w:r w:rsidRPr="00F167E1">
        <w:rPr>
          <w:rStyle w:val="Refdenotaalpie"/>
          <w:sz w:val="18"/>
          <w:szCs w:val="18"/>
        </w:rPr>
        <w:footnoteRef/>
      </w:r>
      <w:r w:rsidRPr="00F167E1">
        <w:rPr>
          <w:sz w:val="18"/>
          <w:szCs w:val="18"/>
        </w:rPr>
        <w:t xml:space="preserve"> Un cuartil es un valor que divide un conjunto de datos ordenados en cuatro partes iguales, de manera que cada parte contiene aproximadamente el 25% de los datos. Los cuartiles son medidas estadísticas que ayudan a comprender la distribución de los datos</w:t>
      </w:r>
      <w:r>
        <w:rPr>
          <w:sz w:val="18"/>
          <w:szCs w:val="18"/>
        </w:rPr>
        <w:t xml:space="preserve">, </w:t>
      </w:r>
      <w:r w:rsidRPr="00F167E1">
        <w:rPr>
          <w:sz w:val="18"/>
          <w:szCs w:val="18"/>
        </w:rPr>
        <w:t>identificar tendencias en un conjunto de valores</w:t>
      </w:r>
      <w:r>
        <w:rPr>
          <w:sz w:val="18"/>
          <w:szCs w:val="18"/>
        </w:rPr>
        <w:t>, valores atípicos y variabilidades.</w:t>
      </w:r>
    </w:p>
  </w:footnote>
  <w:footnote w:id="12">
    <w:p w14:paraId="3BB42F60" w14:textId="7B334C05" w:rsidR="005740CF" w:rsidRPr="0049725E" w:rsidRDefault="005740CF" w:rsidP="005740CF">
      <w:pPr>
        <w:pStyle w:val="Textonotapie"/>
        <w:rPr>
          <w:sz w:val="18"/>
          <w:szCs w:val="18"/>
        </w:rPr>
      </w:pPr>
      <w:r w:rsidRPr="0049725E">
        <w:rPr>
          <w:rStyle w:val="Refdenotaalpie"/>
          <w:sz w:val="18"/>
          <w:szCs w:val="18"/>
        </w:rPr>
        <w:footnoteRef/>
      </w:r>
      <w:r w:rsidRPr="0049725E">
        <w:rPr>
          <w:sz w:val="18"/>
          <w:szCs w:val="18"/>
        </w:rPr>
        <w:t xml:space="preserve"> Las </w:t>
      </w:r>
      <w:r w:rsidR="001D70C2">
        <w:rPr>
          <w:sz w:val="18"/>
          <w:szCs w:val="18"/>
        </w:rPr>
        <w:t>cerca de 90</w:t>
      </w:r>
      <w:r w:rsidRPr="0049725E">
        <w:rPr>
          <w:sz w:val="18"/>
          <w:szCs w:val="18"/>
        </w:rPr>
        <w:t xml:space="preserve"> facturas faltantes para completar el total no tienen nivel de tensión asociado.</w:t>
      </w:r>
    </w:p>
  </w:footnote>
  <w:footnote w:id="13">
    <w:p w14:paraId="6506F938" w14:textId="5C4F8F0A" w:rsidR="00B74744" w:rsidRPr="008D41DE" w:rsidRDefault="00B74744" w:rsidP="008D41DE">
      <w:pPr>
        <w:pStyle w:val="Textonotapie"/>
        <w:spacing w:before="0" w:after="0"/>
        <w:rPr>
          <w:lang w:val="en-US"/>
        </w:rPr>
      </w:pPr>
      <w:r>
        <w:rPr>
          <w:rStyle w:val="Refdenotaalpie"/>
        </w:rPr>
        <w:footnoteRef/>
      </w:r>
      <w:r>
        <w:t xml:space="preserve"> </w:t>
      </w:r>
      <w:r w:rsidRPr="008D41DE">
        <w:rPr>
          <w:sz w:val="18"/>
          <w:szCs w:val="20"/>
        </w:rPr>
        <w:t>60 Hz en Colombia</w:t>
      </w:r>
    </w:p>
  </w:footnote>
  <w:footnote w:id="14">
    <w:p w14:paraId="04ADA041" w14:textId="1DD3766D" w:rsidR="00EB5DB5" w:rsidRPr="008D41DE" w:rsidRDefault="00EB5DB5" w:rsidP="008D41DE">
      <w:pPr>
        <w:pStyle w:val="Textonotapie"/>
        <w:spacing w:before="0" w:after="0"/>
        <w:rPr>
          <w:lang w:val="en-US"/>
        </w:rPr>
      </w:pPr>
      <w:r>
        <w:rPr>
          <w:rStyle w:val="Refdenotaalpie"/>
        </w:rPr>
        <w:footnoteRef/>
      </w:r>
      <w:r>
        <w:t xml:space="preserve"> </w:t>
      </w:r>
      <w:r w:rsidRPr="008D41DE">
        <w:rPr>
          <w:i/>
          <w:iCs/>
          <w:sz w:val="18"/>
          <w:szCs w:val="20"/>
          <w:lang w:val="en-US"/>
        </w:rPr>
        <w:t>Power Line Communications</w:t>
      </w:r>
    </w:p>
  </w:footnote>
  <w:footnote w:id="15">
    <w:p w14:paraId="46D653D2" w14:textId="77777777" w:rsidR="009F3914" w:rsidRPr="00AC5BCB" w:rsidRDefault="009F3914" w:rsidP="009F3914">
      <w:pPr>
        <w:pStyle w:val="Textonotapie"/>
        <w:rPr>
          <w:sz w:val="18"/>
          <w:szCs w:val="20"/>
          <w:lang w:val="en-US"/>
        </w:rPr>
      </w:pPr>
      <w:r w:rsidRPr="00AC5BCB">
        <w:rPr>
          <w:rStyle w:val="Refdenotaalpie"/>
          <w:sz w:val="18"/>
          <w:szCs w:val="20"/>
        </w:rPr>
        <w:footnoteRef/>
      </w:r>
      <w:r w:rsidRPr="00AC5BCB">
        <w:rPr>
          <w:sz w:val="18"/>
          <w:szCs w:val="20"/>
        </w:rPr>
        <w:t xml:space="preserve"> </w:t>
      </w:r>
      <w:r w:rsidRPr="00AC5BCB">
        <w:rPr>
          <w:sz w:val="18"/>
          <w:szCs w:val="20"/>
          <w:lang w:val="en-US"/>
        </w:rPr>
        <w:t xml:space="preserve">Para tensiones entre </w:t>
      </w:r>
      <w:r w:rsidRPr="00AC5BCB">
        <w:rPr>
          <w:sz w:val="18"/>
          <w:szCs w:val="20"/>
          <w:lang w:val="es-ES"/>
        </w:rPr>
        <w:t>100 y 200 kV, el límite en Chile es de 0,995, que consideramos más relacionado con el STN colombiano que con los activos de nivel 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2EBA62" w14:textId="0ABD6BFF" w:rsidR="0055575E" w:rsidRPr="0055575E" w:rsidRDefault="0055575E">
    <w:pPr>
      <w:pStyle w:val="Encabezado"/>
      <w:rPr>
        <w:rFonts w:ascii="Arial" w:hAnsi="Arial" w:cs="Arial"/>
        <w:i/>
        <w:iCs/>
        <w:sz w:val="20"/>
        <w:szCs w:val="20"/>
      </w:rPr>
    </w:pPr>
    <w:r w:rsidRPr="0055575E">
      <w:rPr>
        <w:rFonts w:ascii="Arial" w:hAnsi="Arial" w:cs="Arial"/>
        <w:i/>
        <w:iCs/>
        <w:sz w:val="20"/>
        <w:szCs w:val="20"/>
      </w:rPr>
      <w:t>Sesión 1306</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872656"/>
    <w:multiLevelType w:val="multilevel"/>
    <w:tmpl w:val="DC9E26F0"/>
    <w:lvl w:ilvl="0">
      <w:start w:val="3"/>
      <w:numFmt w:val="decimal"/>
      <w:lvlText w:val="%1"/>
      <w:lvlJc w:val="left"/>
      <w:pPr>
        <w:tabs>
          <w:tab w:val="num" w:pos="432"/>
        </w:tabs>
        <w:ind w:left="432" w:hanging="432"/>
      </w:pPr>
      <w:rPr>
        <w:rFonts w:hint="default"/>
      </w:rPr>
    </w:lvl>
    <w:lvl w:ilvl="1">
      <w:start w:val="1"/>
      <w:numFmt w:val="decimal"/>
      <w:pStyle w:val="Estilo1"/>
      <w:lvlText w:val="%1.%2"/>
      <w:lvlJc w:val="left"/>
      <w:pPr>
        <w:tabs>
          <w:tab w:val="num" w:pos="576"/>
        </w:tabs>
        <w:ind w:left="576" w:hanging="576"/>
      </w:pPr>
      <w:rPr>
        <w:rFonts w:hint="default"/>
      </w:rPr>
    </w:lvl>
    <w:lvl w:ilvl="2">
      <w:start w:val="4"/>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 w15:restartNumberingAfterBreak="0">
    <w:nsid w:val="07922130"/>
    <w:multiLevelType w:val="hybridMultilevel"/>
    <w:tmpl w:val="D91229E8"/>
    <w:lvl w:ilvl="0" w:tplc="240A0013">
      <w:start w:val="1"/>
      <w:numFmt w:val="upperRoman"/>
      <w:lvlText w:val="%1."/>
      <w:lvlJc w:val="righ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15:restartNumberingAfterBreak="0">
    <w:nsid w:val="162D5FF2"/>
    <w:multiLevelType w:val="hybridMultilevel"/>
    <w:tmpl w:val="49CA56B2"/>
    <w:lvl w:ilvl="0" w:tplc="240A0013">
      <w:start w:val="1"/>
      <w:numFmt w:val="upperRoman"/>
      <w:lvlText w:val="%1."/>
      <w:lvlJc w:val="righ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15:restartNumberingAfterBreak="0">
    <w:nsid w:val="2AC6235B"/>
    <w:multiLevelType w:val="hybridMultilevel"/>
    <w:tmpl w:val="9B6856DA"/>
    <w:lvl w:ilvl="0" w:tplc="6FFCA760">
      <w:start w:val="1"/>
      <w:numFmt w:val="decimal"/>
      <w:pStyle w:val="Ttulo5"/>
      <w:lvlText w:val="Anexo %1."/>
      <w:lvlJc w:val="left"/>
      <w:pPr>
        <w:ind w:left="720" w:hanging="360"/>
      </w:pPr>
      <w:rPr>
        <w:rFonts w:cs="Times New Roman"/>
        <w:b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15:restartNumberingAfterBreak="0">
    <w:nsid w:val="2CB97E87"/>
    <w:multiLevelType w:val="hybridMultilevel"/>
    <w:tmpl w:val="B2783790"/>
    <w:lvl w:ilvl="0" w:tplc="240A0013">
      <w:start w:val="1"/>
      <w:numFmt w:val="upperRoman"/>
      <w:lvlText w:val="%1."/>
      <w:lvlJc w:val="righ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15:restartNumberingAfterBreak="0">
    <w:nsid w:val="358E5474"/>
    <w:multiLevelType w:val="hybridMultilevel"/>
    <w:tmpl w:val="39FA8384"/>
    <w:lvl w:ilvl="0" w:tplc="240A0017">
      <w:start w:val="1"/>
      <w:numFmt w:val="lowerLetter"/>
      <w:lvlText w:val="%1)"/>
      <w:lvlJc w:val="left"/>
      <w:pPr>
        <w:ind w:left="1068" w:hanging="360"/>
      </w:pPr>
      <w:rPr>
        <w:rFonts w:hint="default"/>
      </w:rPr>
    </w:lvl>
    <w:lvl w:ilvl="1" w:tplc="240A0019" w:tentative="1">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abstractNum w:abstractNumId="6" w15:restartNumberingAfterBreak="0">
    <w:nsid w:val="4F372F0B"/>
    <w:multiLevelType w:val="multilevel"/>
    <w:tmpl w:val="8C76FF42"/>
    <w:lvl w:ilvl="0">
      <w:start w:val="1"/>
      <w:numFmt w:val="decimal"/>
      <w:pStyle w:val="Ttulo1"/>
      <w:lvlText w:val="%1"/>
      <w:lvlJc w:val="left"/>
      <w:pPr>
        <w:tabs>
          <w:tab w:val="num" w:pos="432"/>
        </w:tabs>
        <w:ind w:left="432" w:hanging="432"/>
      </w:pPr>
      <w:rPr>
        <w:rFonts w:hint="default"/>
        <w:b/>
        <w:bCs w:val="0"/>
      </w:rPr>
    </w:lvl>
    <w:lvl w:ilvl="1">
      <w:start w:val="1"/>
      <w:numFmt w:val="decimal"/>
      <w:pStyle w:val="Ttulo2"/>
      <w:lvlText w:val="%1.%2"/>
      <w:lvlJc w:val="left"/>
      <w:pPr>
        <w:tabs>
          <w:tab w:val="num" w:pos="576"/>
        </w:tabs>
        <w:ind w:left="576" w:hanging="576"/>
      </w:pPr>
      <w:rPr>
        <w:rFonts w:hint="default"/>
      </w:rPr>
    </w:lvl>
    <w:lvl w:ilvl="2">
      <w:start w:val="1"/>
      <w:numFmt w:val="decimal"/>
      <w:pStyle w:val="Ttulo3"/>
      <w:lvlText w:val="%1.%2.%3"/>
      <w:lvlJc w:val="left"/>
      <w:pPr>
        <w:tabs>
          <w:tab w:val="num" w:pos="720"/>
        </w:tabs>
        <w:ind w:left="720" w:hanging="720"/>
      </w:pPr>
      <w:rPr>
        <w:rFonts w:hint="default"/>
      </w:rPr>
    </w:lvl>
    <w:lvl w:ilvl="3">
      <w:start w:val="1"/>
      <w:numFmt w:val="decimal"/>
      <w:pStyle w:val="Ttulo4"/>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pStyle w:val="Ttulo6"/>
      <w:lvlText w:val="%1.%2.%3.%4.%5.%6"/>
      <w:lvlJc w:val="left"/>
      <w:pPr>
        <w:tabs>
          <w:tab w:val="num" w:pos="1152"/>
        </w:tabs>
        <w:ind w:left="1152" w:hanging="1152"/>
      </w:pPr>
      <w:rPr>
        <w:rFonts w:hint="default"/>
      </w:rPr>
    </w:lvl>
    <w:lvl w:ilvl="6">
      <w:start w:val="1"/>
      <w:numFmt w:val="decimal"/>
      <w:pStyle w:val="Ttulo7"/>
      <w:lvlText w:val="%1.%2.%3.%4.%5.%6.%7"/>
      <w:lvlJc w:val="left"/>
      <w:pPr>
        <w:tabs>
          <w:tab w:val="num" w:pos="1296"/>
        </w:tabs>
        <w:ind w:left="1296" w:hanging="1296"/>
      </w:pPr>
      <w:rPr>
        <w:rFonts w:hint="default"/>
      </w:rPr>
    </w:lvl>
    <w:lvl w:ilvl="7">
      <w:start w:val="1"/>
      <w:numFmt w:val="none"/>
      <w:lvlText w:val=""/>
      <w:lvlJc w:val="left"/>
      <w:pPr>
        <w:tabs>
          <w:tab w:val="num" w:pos="360"/>
        </w:tabs>
        <w:ind w:left="0" w:firstLine="0"/>
      </w:pPr>
      <w:rPr>
        <w:rFonts w:hint="default"/>
      </w:rPr>
    </w:lvl>
    <w:lvl w:ilvl="8">
      <w:start w:val="1"/>
      <w:numFmt w:val="decimal"/>
      <w:pStyle w:val="Ttulo9"/>
      <w:lvlText w:val="%1.%2.%3.%4.%5.%6.%7.%8.%9"/>
      <w:lvlJc w:val="left"/>
      <w:pPr>
        <w:tabs>
          <w:tab w:val="num" w:pos="1584"/>
        </w:tabs>
        <w:ind w:left="1584" w:hanging="1584"/>
      </w:pPr>
      <w:rPr>
        <w:rFonts w:hint="default"/>
      </w:rPr>
    </w:lvl>
  </w:abstractNum>
  <w:abstractNum w:abstractNumId="7" w15:restartNumberingAfterBreak="0">
    <w:nsid w:val="5C403E19"/>
    <w:multiLevelType w:val="hybridMultilevel"/>
    <w:tmpl w:val="2F82FE82"/>
    <w:lvl w:ilvl="0" w:tplc="04090005">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8" w15:restartNumberingAfterBreak="0">
    <w:nsid w:val="651F3571"/>
    <w:multiLevelType w:val="hybridMultilevel"/>
    <w:tmpl w:val="3886BE3C"/>
    <w:lvl w:ilvl="0" w:tplc="04090005">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67090267"/>
    <w:multiLevelType w:val="hybridMultilevel"/>
    <w:tmpl w:val="A67C4BB8"/>
    <w:lvl w:ilvl="0" w:tplc="04090005">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0" w15:restartNumberingAfterBreak="0">
    <w:nsid w:val="707175E3"/>
    <w:multiLevelType w:val="hybridMultilevel"/>
    <w:tmpl w:val="B1E657EC"/>
    <w:lvl w:ilvl="0" w:tplc="04090005">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1" w15:restartNumberingAfterBreak="0">
    <w:nsid w:val="73793DF2"/>
    <w:multiLevelType w:val="hybridMultilevel"/>
    <w:tmpl w:val="C6203502"/>
    <w:lvl w:ilvl="0" w:tplc="C09E008E">
      <w:start w:val="1"/>
      <w:numFmt w:val="low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15:restartNumberingAfterBreak="0">
    <w:nsid w:val="73BA0806"/>
    <w:multiLevelType w:val="hybridMultilevel"/>
    <w:tmpl w:val="20E4262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7A031BDD"/>
    <w:multiLevelType w:val="hybridMultilevel"/>
    <w:tmpl w:val="98962F32"/>
    <w:lvl w:ilvl="0" w:tplc="240A0017">
      <w:start w:val="1"/>
      <w:numFmt w:val="lowerLetter"/>
      <w:lvlText w:val="%1)"/>
      <w:lvlJc w:val="left"/>
      <w:pPr>
        <w:ind w:left="720" w:hanging="360"/>
      </w:p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 w15:restartNumberingAfterBreak="0">
    <w:nsid w:val="7F7A35C2"/>
    <w:multiLevelType w:val="hybridMultilevel"/>
    <w:tmpl w:val="46860A90"/>
    <w:lvl w:ilvl="0" w:tplc="04090005">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16cid:durableId="446897521">
    <w:abstractNumId w:val="0"/>
  </w:num>
  <w:num w:numId="2" w16cid:durableId="2100905139">
    <w:abstractNumId w:val="6"/>
  </w:num>
  <w:num w:numId="3" w16cid:durableId="1524319520">
    <w:abstractNumId w:val="3"/>
  </w:num>
  <w:num w:numId="4" w16cid:durableId="458383806">
    <w:abstractNumId w:val="5"/>
  </w:num>
  <w:num w:numId="5" w16cid:durableId="246958539">
    <w:abstractNumId w:val="13"/>
  </w:num>
  <w:num w:numId="6" w16cid:durableId="305479380">
    <w:abstractNumId w:val="2"/>
  </w:num>
  <w:num w:numId="7" w16cid:durableId="900796217">
    <w:abstractNumId w:val="4"/>
  </w:num>
  <w:num w:numId="8" w16cid:durableId="176894321">
    <w:abstractNumId w:val="1"/>
  </w:num>
  <w:num w:numId="9" w16cid:durableId="1133865139">
    <w:abstractNumId w:val="9"/>
  </w:num>
  <w:num w:numId="10" w16cid:durableId="1823309134">
    <w:abstractNumId w:val="10"/>
  </w:num>
  <w:num w:numId="11" w16cid:durableId="1515145707">
    <w:abstractNumId w:val="14"/>
  </w:num>
  <w:num w:numId="12" w16cid:durableId="1830553530">
    <w:abstractNumId w:val="8"/>
  </w:num>
  <w:num w:numId="13" w16cid:durableId="343676454">
    <w:abstractNumId w:val="7"/>
  </w:num>
  <w:num w:numId="14" w16cid:durableId="143817685">
    <w:abstractNumId w:val="12"/>
  </w:num>
  <w:num w:numId="15" w16cid:durableId="713970602">
    <w:abstractNumId w:val="11"/>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D170D"/>
    <w:rsid w:val="00000A69"/>
    <w:rsid w:val="00000B29"/>
    <w:rsid w:val="00001627"/>
    <w:rsid w:val="00001A81"/>
    <w:rsid w:val="000027E3"/>
    <w:rsid w:val="000033CA"/>
    <w:rsid w:val="000037CC"/>
    <w:rsid w:val="00004836"/>
    <w:rsid w:val="00004E0A"/>
    <w:rsid w:val="00004E42"/>
    <w:rsid w:val="000051B9"/>
    <w:rsid w:val="0000530B"/>
    <w:rsid w:val="0000654B"/>
    <w:rsid w:val="00007023"/>
    <w:rsid w:val="000070EC"/>
    <w:rsid w:val="00007523"/>
    <w:rsid w:val="0000752C"/>
    <w:rsid w:val="00007AF4"/>
    <w:rsid w:val="00010BDF"/>
    <w:rsid w:val="00010D93"/>
    <w:rsid w:val="00010DDA"/>
    <w:rsid w:val="0001144D"/>
    <w:rsid w:val="00011570"/>
    <w:rsid w:val="00011813"/>
    <w:rsid w:val="00011A64"/>
    <w:rsid w:val="00011BFE"/>
    <w:rsid w:val="00011F0D"/>
    <w:rsid w:val="000127D3"/>
    <w:rsid w:val="000128BD"/>
    <w:rsid w:val="00012A4D"/>
    <w:rsid w:val="00012C29"/>
    <w:rsid w:val="00012E98"/>
    <w:rsid w:val="000133E9"/>
    <w:rsid w:val="00013500"/>
    <w:rsid w:val="00013640"/>
    <w:rsid w:val="000141F0"/>
    <w:rsid w:val="0001423F"/>
    <w:rsid w:val="000142DE"/>
    <w:rsid w:val="0001493C"/>
    <w:rsid w:val="00014A4D"/>
    <w:rsid w:val="00014BF2"/>
    <w:rsid w:val="00015048"/>
    <w:rsid w:val="000154F1"/>
    <w:rsid w:val="00015842"/>
    <w:rsid w:val="00015EF9"/>
    <w:rsid w:val="00015F6E"/>
    <w:rsid w:val="00015FA8"/>
    <w:rsid w:val="0001629A"/>
    <w:rsid w:val="0001634A"/>
    <w:rsid w:val="00016CD3"/>
    <w:rsid w:val="00016DE3"/>
    <w:rsid w:val="00017268"/>
    <w:rsid w:val="0001739C"/>
    <w:rsid w:val="00017B16"/>
    <w:rsid w:val="000208AF"/>
    <w:rsid w:val="00020E02"/>
    <w:rsid w:val="00021569"/>
    <w:rsid w:val="0002194F"/>
    <w:rsid w:val="000219F9"/>
    <w:rsid w:val="00021E8C"/>
    <w:rsid w:val="000229A6"/>
    <w:rsid w:val="00022F6D"/>
    <w:rsid w:val="00023F7C"/>
    <w:rsid w:val="00023FBC"/>
    <w:rsid w:val="0002477C"/>
    <w:rsid w:val="0002497F"/>
    <w:rsid w:val="000249C1"/>
    <w:rsid w:val="00024C96"/>
    <w:rsid w:val="00025206"/>
    <w:rsid w:val="0002547C"/>
    <w:rsid w:val="00025542"/>
    <w:rsid w:val="00025F1C"/>
    <w:rsid w:val="00025FDA"/>
    <w:rsid w:val="00026295"/>
    <w:rsid w:val="00026E1F"/>
    <w:rsid w:val="00027020"/>
    <w:rsid w:val="000272BD"/>
    <w:rsid w:val="0002790B"/>
    <w:rsid w:val="00027E65"/>
    <w:rsid w:val="00030033"/>
    <w:rsid w:val="00030507"/>
    <w:rsid w:val="0003097A"/>
    <w:rsid w:val="00030CBF"/>
    <w:rsid w:val="0003125A"/>
    <w:rsid w:val="00031592"/>
    <w:rsid w:val="00031816"/>
    <w:rsid w:val="0003198F"/>
    <w:rsid w:val="00032AB4"/>
    <w:rsid w:val="00032EDA"/>
    <w:rsid w:val="0003336B"/>
    <w:rsid w:val="00033CBF"/>
    <w:rsid w:val="00033EA8"/>
    <w:rsid w:val="00033F09"/>
    <w:rsid w:val="0003424E"/>
    <w:rsid w:val="000345A7"/>
    <w:rsid w:val="00034954"/>
    <w:rsid w:val="00034A0A"/>
    <w:rsid w:val="000352F4"/>
    <w:rsid w:val="000367B9"/>
    <w:rsid w:val="0003688B"/>
    <w:rsid w:val="00036F08"/>
    <w:rsid w:val="00037D3A"/>
    <w:rsid w:val="00037FA6"/>
    <w:rsid w:val="000401DA"/>
    <w:rsid w:val="00040A81"/>
    <w:rsid w:val="00040C2A"/>
    <w:rsid w:val="000410A9"/>
    <w:rsid w:val="00041490"/>
    <w:rsid w:val="00041A83"/>
    <w:rsid w:val="00041E1B"/>
    <w:rsid w:val="00041FD2"/>
    <w:rsid w:val="000423AB"/>
    <w:rsid w:val="00042485"/>
    <w:rsid w:val="00042590"/>
    <w:rsid w:val="0004273B"/>
    <w:rsid w:val="00042880"/>
    <w:rsid w:val="00042EEA"/>
    <w:rsid w:val="0004368F"/>
    <w:rsid w:val="00044DB5"/>
    <w:rsid w:val="000453F6"/>
    <w:rsid w:val="0004571F"/>
    <w:rsid w:val="00045A19"/>
    <w:rsid w:val="000461FA"/>
    <w:rsid w:val="000462F1"/>
    <w:rsid w:val="000468CF"/>
    <w:rsid w:val="000474BB"/>
    <w:rsid w:val="00047635"/>
    <w:rsid w:val="0004768D"/>
    <w:rsid w:val="0004779E"/>
    <w:rsid w:val="0004785D"/>
    <w:rsid w:val="00047E6C"/>
    <w:rsid w:val="0005006D"/>
    <w:rsid w:val="000504E3"/>
    <w:rsid w:val="000507BD"/>
    <w:rsid w:val="000512DB"/>
    <w:rsid w:val="000513E0"/>
    <w:rsid w:val="00051824"/>
    <w:rsid w:val="00051857"/>
    <w:rsid w:val="00051C2C"/>
    <w:rsid w:val="000522D7"/>
    <w:rsid w:val="00052830"/>
    <w:rsid w:val="00053981"/>
    <w:rsid w:val="00053FAC"/>
    <w:rsid w:val="000542D7"/>
    <w:rsid w:val="00054546"/>
    <w:rsid w:val="0005480E"/>
    <w:rsid w:val="00054D79"/>
    <w:rsid w:val="0005543E"/>
    <w:rsid w:val="00055451"/>
    <w:rsid w:val="00055671"/>
    <w:rsid w:val="0005581F"/>
    <w:rsid w:val="0005601F"/>
    <w:rsid w:val="0005614E"/>
    <w:rsid w:val="000566FA"/>
    <w:rsid w:val="00056BDA"/>
    <w:rsid w:val="00057636"/>
    <w:rsid w:val="00057B66"/>
    <w:rsid w:val="00057C13"/>
    <w:rsid w:val="000604C9"/>
    <w:rsid w:val="000606C4"/>
    <w:rsid w:val="00060716"/>
    <w:rsid w:val="0006087A"/>
    <w:rsid w:val="000608F3"/>
    <w:rsid w:val="00060DE5"/>
    <w:rsid w:val="00060E9D"/>
    <w:rsid w:val="00060FEB"/>
    <w:rsid w:val="00060FEC"/>
    <w:rsid w:val="00061536"/>
    <w:rsid w:val="00061564"/>
    <w:rsid w:val="0006182E"/>
    <w:rsid w:val="00061AEC"/>
    <w:rsid w:val="00061D9C"/>
    <w:rsid w:val="00061DAB"/>
    <w:rsid w:val="00062262"/>
    <w:rsid w:val="000622A0"/>
    <w:rsid w:val="000624F8"/>
    <w:rsid w:val="00062852"/>
    <w:rsid w:val="0006301E"/>
    <w:rsid w:val="000637DD"/>
    <w:rsid w:val="000638B7"/>
    <w:rsid w:val="00063B2F"/>
    <w:rsid w:val="000641CA"/>
    <w:rsid w:val="0006468C"/>
    <w:rsid w:val="00064946"/>
    <w:rsid w:val="00064A02"/>
    <w:rsid w:val="00064FAE"/>
    <w:rsid w:val="00065229"/>
    <w:rsid w:val="0006541F"/>
    <w:rsid w:val="000655E0"/>
    <w:rsid w:val="00065AA9"/>
    <w:rsid w:val="00065ADC"/>
    <w:rsid w:val="00065B95"/>
    <w:rsid w:val="00065E69"/>
    <w:rsid w:val="00065F21"/>
    <w:rsid w:val="00066747"/>
    <w:rsid w:val="00066854"/>
    <w:rsid w:val="00067A5C"/>
    <w:rsid w:val="000701F0"/>
    <w:rsid w:val="000708DC"/>
    <w:rsid w:val="00070ABA"/>
    <w:rsid w:val="00071054"/>
    <w:rsid w:val="00071193"/>
    <w:rsid w:val="0007160F"/>
    <w:rsid w:val="0007170C"/>
    <w:rsid w:val="0007204D"/>
    <w:rsid w:val="0007269A"/>
    <w:rsid w:val="0007286D"/>
    <w:rsid w:val="0007319C"/>
    <w:rsid w:val="00073288"/>
    <w:rsid w:val="00073318"/>
    <w:rsid w:val="0007336A"/>
    <w:rsid w:val="0007357A"/>
    <w:rsid w:val="000735C2"/>
    <w:rsid w:val="00073621"/>
    <w:rsid w:val="000738FD"/>
    <w:rsid w:val="00073B42"/>
    <w:rsid w:val="00073FA7"/>
    <w:rsid w:val="0007436A"/>
    <w:rsid w:val="00074C26"/>
    <w:rsid w:val="000750E9"/>
    <w:rsid w:val="00076357"/>
    <w:rsid w:val="000764A6"/>
    <w:rsid w:val="00076A60"/>
    <w:rsid w:val="00076D0E"/>
    <w:rsid w:val="0007739E"/>
    <w:rsid w:val="00077569"/>
    <w:rsid w:val="00077AE6"/>
    <w:rsid w:val="0008017E"/>
    <w:rsid w:val="000805E1"/>
    <w:rsid w:val="00080CB1"/>
    <w:rsid w:val="00080E0F"/>
    <w:rsid w:val="00080E72"/>
    <w:rsid w:val="00081090"/>
    <w:rsid w:val="00081301"/>
    <w:rsid w:val="00081531"/>
    <w:rsid w:val="00081D1D"/>
    <w:rsid w:val="00082A20"/>
    <w:rsid w:val="00083ABC"/>
    <w:rsid w:val="00083E7F"/>
    <w:rsid w:val="0008430F"/>
    <w:rsid w:val="00084534"/>
    <w:rsid w:val="000849F0"/>
    <w:rsid w:val="00084FBA"/>
    <w:rsid w:val="00084FF8"/>
    <w:rsid w:val="000858FF"/>
    <w:rsid w:val="00085A2B"/>
    <w:rsid w:val="0008617F"/>
    <w:rsid w:val="00086647"/>
    <w:rsid w:val="00086B3A"/>
    <w:rsid w:val="00086E30"/>
    <w:rsid w:val="0008726F"/>
    <w:rsid w:val="00087578"/>
    <w:rsid w:val="00087E27"/>
    <w:rsid w:val="00087FE2"/>
    <w:rsid w:val="00090152"/>
    <w:rsid w:val="0009074B"/>
    <w:rsid w:val="0009079D"/>
    <w:rsid w:val="00090A8C"/>
    <w:rsid w:val="00090A8F"/>
    <w:rsid w:val="00090B67"/>
    <w:rsid w:val="00091671"/>
    <w:rsid w:val="00091ACC"/>
    <w:rsid w:val="00091EF3"/>
    <w:rsid w:val="00092333"/>
    <w:rsid w:val="00092655"/>
    <w:rsid w:val="00092826"/>
    <w:rsid w:val="00092EB4"/>
    <w:rsid w:val="00093133"/>
    <w:rsid w:val="000933C1"/>
    <w:rsid w:val="00093DFD"/>
    <w:rsid w:val="00094025"/>
    <w:rsid w:val="00094049"/>
    <w:rsid w:val="00094052"/>
    <w:rsid w:val="00094A90"/>
    <w:rsid w:val="00094ADA"/>
    <w:rsid w:val="00094F46"/>
    <w:rsid w:val="00095380"/>
    <w:rsid w:val="00095574"/>
    <w:rsid w:val="00095C91"/>
    <w:rsid w:val="00095CE8"/>
    <w:rsid w:val="00095DAF"/>
    <w:rsid w:val="00095DDB"/>
    <w:rsid w:val="00096776"/>
    <w:rsid w:val="000971F5"/>
    <w:rsid w:val="00097400"/>
    <w:rsid w:val="00097B64"/>
    <w:rsid w:val="00097CFC"/>
    <w:rsid w:val="00097F7F"/>
    <w:rsid w:val="000A0204"/>
    <w:rsid w:val="000A02E0"/>
    <w:rsid w:val="000A0EE3"/>
    <w:rsid w:val="000A14CC"/>
    <w:rsid w:val="000A1B6A"/>
    <w:rsid w:val="000A1E66"/>
    <w:rsid w:val="000A284B"/>
    <w:rsid w:val="000A2E62"/>
    <w:rsid w:val="000A367C"/>
    <w:rsid w:val="000A3ECD"/>
    <w:rsid w:val="000A457B"/>
    <w:rsid w:val="000A458D"/>
    <w:rsid w:val="000A4688"/>
    <w:rsid w:val="000A493E"/>
    <w:rsid w:val="000A4B82"/>
    <w:rsid w:val="000A4DA0"/>
    <w:rsid w:val="000A51D1"/>
    <w:rsid w:val="000A57B9"/>
    <w:rsid w:val="000A5B5B"/>
    <w:rsid w:val="000A6904"/>
    <w:rsid w:val="000A7222"/>
    <w:rsid w:val="000A7F91"/>
    <w:rsid w:val="000B0233"/>
    <w:rsid w:val="000B0284"/>
    <w:rsid w:val="000B0A77"/>
    <w:rsid w:val="000B0B23"/>
    <w:rsid w:val="000B1714"/>
    <w:rsid w:val="000B1B3C"/>
    <w:rsid w:val="000B23A5"/>
    <w:rsid w:val="000B23B4"/>
    <w:rsid w:val="000B253F"/>
    <w:rsid w:val="000B27DE"/>
    <w:rsid w:val="000B2E1F"/>
    <w:rsid w:val="000B2FC6"/>
    <w:rsid w:val="000B30C8"/>
    <w:rsid w:val="000B323C"/>
    <w:rsid w:val="000B3436"/>
    <w:rsid w:val="000B3629"/>
    <w:rsid w:val="000B36F2"/>
    <w:rsid w:val="000B3F6D"/>
    <w:rsid w:val="000B40F8"/>
    <w:rsid w:val="000B436B"/>
    <w:rsid w:val="000B49B9"/>
    <w:rsid w:val="000B4BD1"/>
    <w:rsid w:val="000B4F81"/>
    <w:rsid w:val="000B51A3"/>
    <w:rsid w:val="000B52A9"/>
    <w:rsid w:val="000B5347"/>
    <w:rsid w:val="000B54C7"/>
    <w:rsid w:val="000B5EDA"/>
    <w:rsid w:val="000B625A"/>
    <w:rsid w:val="000B6448"/>
    <w:rsid w:val="000B68F1"/>
    <w:rsid w:val="000B6935"/>
    <w:rsid w:val="000B6D6A"/>
    <w:rsid w:val="000B6FB7"/>
    <w:rsid w:val="000B7069"/>
    <w:rsid w:val="000B71D8"/>
    <w:rsid w:val="000B74CE"/>
    <w:rsid w:val="000B7ABC"/>
    <w:rsid w:val="000B7C89"/>
    <w:rsid w:val="000C05E4"/>
    <w:rsid w:val="000C09F1"/>
    <w:rsid w:val="000C11BC"/>
    <w:rsid w:val="000C1214"/>
    <w:rsid w:val="000C1499"/>
    <w:rsid w:val="000C161C"/>
    <w:rsid w:val="000C193A"/>
    <w:rsid w:val="000C2A04"/>
    <w:rsid w:val="000C2E3F"/>
    <w:rsid w:val="000C32D6"/>
    <w:rsid w:val="000C38DD"/>
    <w:rsid w:val="000C4BF4"/>
    <w:rsid w:val="000C4DEF"/>
    <w:rsid w:val="000C5338"/>
    <w:rsid w:val="000C5350"/>
    <w:rsid w:val="000C580C"/>
    <w:rsid w:val="000C5838"/>
    <w:rsid w:val="000C66A4"/>
    <w:rsid w:val="000C66F4"/>
    <w:rsid w:val="000C6D73"/>
    <w:rsid w:val="000C71D7"/>
    <w:rsid w:val="000C7458"/>
    <w:rsid w:val="000C7B59"/>
    <w:rsid w:val="000D003F"/>
    <w:rsid w:val="000D03C7"/>
    <w:rsid w:val="000D049D"/>
    <w:rsid w:val="000D0CE0"/>
    <w:rsid w:val="000D0D6D"/>
    <w:rsid w:val="000D11EC"/>
    <w:rsid w:val="000D1236"/>
    <w:rsid w:val="000D123E"/>
    <w:rsid w:val="000D15D0"/>
    <w:rsid w:val="000D1D1B"/>
    <w:rsid w:val="000D1D77"/>
    <w:rsid w:val="000D25E0"/>
    <w:rsid w:val="000D2862"/>
    <w:rsid w:val="000D2A06"/>
    <w:rsid w:val="000D2B16"/>
    <w:rsid w:val="000D2C7A"/>
    <w:rsid w:val="000D3039"/>
    <w:rsid w:val="000D305B"/>
    <w:rsid w:val="000D3163"/>
    <w:rsid w:val="000D3AC9"/>
    <w:rsid w:val="000D3B18"/>
    <w:rsid w:val="000D4CA2"/>
    <w:rsid w:val="000D5391"/>
    <w:rsid w:val="000D58FF"/>
    <w:rsid w:val="000D65CE"/>
    <w:rsid w:val="000D6796"/>
    <w:rsid w:val="000D6B12"/>
    <w:rsid w:val="000D6C51"/>
    <w:rsid w:val="000D6E2C"/>
    <w:rsid w:val="000D76A5"/>
    <w:rsid w:val="000D7705"/>
    <w:rsid w:val="000E09B0"/>
    <w:rsid w:val="000E12D8"/>
    <w:rsid w:val="000E1B69"/>
    <w:rsid w:val="000E1CF2"/>
    <w:rsid w:val="000E2172"/>
    <w:rsid w:val="000E280D"/>
    <w:rsid w:val="000E2CC1"/>
    <w:rsid w:val="000E2CEC"/>
    <w:rsid w:val="000E2D69"/>
    <w:rsid w:val="000E2FEE"/>
    <w:rsid w:val="000E341A"/>
    <w:rsid w:val="000E34A4"/>
    <w:rsid w:val="000E401C"/>
    <w:rsid w:val="000E41DB"/>
    <w:rsid w:val="000E42A7"/>
    <w:rsid w:val="000E477D"/>
    <w:rsid w:val="000E4DB2"/>
    <w:rsid w:val="000E4E39"/>
    <w:rsid w:val="000E57A4"/>
    <w:rsid w:val="000E599A"/>
    <w:rsid w:val="000E6061"/>
    <w:rsid w:val="000E6116"/>
    <w:rsid w:val="000E6C29"/>
    <w:rsid w:val="000E6DC4"/>
    <w:rsid w:val="000E7B55"/>
    <w:rsid w:val="000E7D5A"/>
    <w:rsid w:val="000F0348"/>
    <w:rsid w:val="000F05E8"/>
    <w:rsid w:val="000F0958"/>
    <w:rsid w:val="000F0AC6"/>
    <w:rsid w:val="000F25DE"/>
    <w:rsid w:val="000F26E3"/>
    <w:rsid w:val="000F2AFB"/>
    <w:rsid w:val="000F2B25"/>
    <w:rsid w:val="000F30CC"/>
    <w:rsid w:val="000F345E"/>
    <w:rsid w:val="000F36F8"/>
    <w:rsid w:val="000F3E4A"/>
    <w:rsid w:val="000F426B"/>
    <w:rsid w:val="000F444B"/>
    <w:rsid w:val="000F4609"/>
    <w:rsid w:val="000F4626"/>
    <w:rsid w:val="000F510C"/>
    <w:rsid w:val="000F558F"/>
    <w:rsid w:val="000F5CDB"/>
    <w:rsid w:val="00100299"/>
    <w:rsid w:val="00100577"/>
    <w:rsid w:val="001007CA"/>
    <w:rsid w:val="00101CE0"/>
    <w:rsid w:val="00101DF6"/>
    <w:rsid w:val="00102B29"/>
    <w:rsid w:val="00102B4B"/>
    <w:rsid w:val="00102B9C"/>
    <w:rsid w:val="001043E7"/>
    <w:rsid w:val="00104B00"/>
    <w:rsid w:val="00104B58"/>
    <w:rsid w:val="001051CB"/>
    <w:rsid w:val="001057CC"/>
    <w:rsid w:val="00105F51"/>
    <w:rsid w:val="00106B89"/>
    <w:rsid w:val="00107163"/>
    <w:rsid w:val="00107DFB"/>
    <w:rsid w:val="00110406"/>
    <w:rsid w:val="00110497"/>
    <w:rsid w:val="0011164F"/>
    <w:rsid w:val="00111743"/>
    <w:rsid w:val="00111E9C"/>
    <w:rsid w:val="0011261B"/>
    <w:rsid w:val="00112B41"/>
    <w:rsid w:val="0011318B"/>
    <w:rsid w:val="001133CF"/>
    <w:rsid w:val="0011346D"/>
    <w:rsid w:val="00113B23"/>
    <w:rsid w:val="00113C44"/>
    <w:rsid w:val="00114356"/>
    <w:rsid w:val="00114605"/>
    <w:rsid w:val="0011470C"/>
    <w:rsid w:val="00114C9C"/>
    <w:rsid w:val="00115624"/>
    <w:rsid w:val="001157C7"/>
    <w:rsid w:val="001158CE"/>
    <w:rsid w:val="00115ABE"/>
    <w:rsid w:val="00115DAF"/>
    <w:rsid w:val="001160B7"/>
    <w:rsid w:val="00116513"/>
    <w:rsid w:val="001167D3"/>
    <w:rsid w:val="0011738F"/>
    <w:rsid w:val="001175B5"/>
    <w:rsid w:val="001178D8"/>
    <w:rsid w:val="001208C3"/>
    <w:rsid w:val="00120993"/>
    <w:rsid w:val="001210B9"/>
    <w:rsid w:val="001212C9"/>
    <w:rsid w:val="001212DD"/>
    <w:rsid w:val="00121826"/>
    <w:rsid w:val="001219BA"/>
    <w:rsid w:val="001219C3"/>
    <w:rsid w:val="00121C80"/>
    <w:rsid w:val="00122784"/>
    <w:rsid w:val="0012279A"/>
    <w:rsid w:val="0012287D"/>
    <w:rsid w:val="001229B2"/>
    <w:rsid w:val="00122EE6"/>
    <w:rsid w:val="00124412"/>
    <w:rsid w:val="00124654"/>
    <w:rsid w:val="00124CF1"/>
    <w:rsid w:val="00124E58"/>
    <w:rsid w:val="001252B2"/>
    <w:rsid w:val="001255DF"/>
    <w:rsid w:val="0012566E"/>
    <w:rsid w:val="0012575D"/>
    <w:rsid w:val="00125C54"/>
    <w:rsid w:val="00126775"/>
    <w:rsid w:val="001267DD"/>
    <w:rsid w:val="00126E12"/>
    <w:rsid w:val="00127C04"/>
    <w:rsid w:val="00130342"/>
    <w:rsid w:val="00132BCE"/>
    <w:rsid w:val="00132F7A"/>
    <w:rsid w:val="00133E5A"/>
    <w:rsid w:val="0013478D"/>
    <w:rsid w:val="00134902"/>
    <w:rsid w:val="00134A57"/>
    <w:rsid w:val="00134B0B"/>
    <w:rsid w:val="00134CA1"/>
    <w:rsid w:val="00134E0B"/>
    <w:rsid w:val="00135462"/>
    <w:rsid w:val="00135975"/>
    <w:rsid w:val="00135D8B"/>
    <w:rsid w:val="00136D05"/>
    <w:rsid w:val="00136EDD"/>
    <w:rsid w:val="00136FD0"/>
    <w:rsid w:val="00136FED"/>
    <w:rsid w:val="00137788"/>
    <w:rsid w:val="00137958"/>
    <w:rsid w:val="00137B69"/>
    <w:rsid w:val="00137D8C"/>
    <w:rsid w:val="001400F9"/>
    <w:rsid w:val="001402A7"/>
    <w:rsid w:val="0014056E"/>
    <w:rsid w:val="00140921"/>
    <w:rsid w:val="001410F0"/>
    <w:rsid w:val="0014198B"/>
    <w:rsid w:val="00141A60"/>
    <w:rsid w:val="00141C71"/>
    <w:rsid w:val="001420D2"/>
    <w:rsid w:val="00142B07"/>
    <w:rsid w:val="00142C07"/>
    <w:rsid w:val="001431D3"/>
    <w:rsid w:val="00143454"/>
    <w:rsid w:val="00143462"/>
    <w:rsid w:val="00143554"/>
    <w:rsid w:val="001435D9"/>
    <w:rsid w:val="00143773"/>
    <w:rsid w:val="001437B5"/>
    <w:rsid w:val="00143D8F"/>
    <w:rsid w:val="0014434C"/>
    <w:rsid w:val="00144AC9"/>
    <w:rsid w:val="00144B6F"/>
    <w:rsid w:val="00144BFE"/>
    <w:rsid w:val="00144F60"/>
    <w:rsid w:val="001453DA"/>
    <w:rsid w:val="0014569A"/>
    <w:rsid w:val="00146040"/>
    <w:rsid w:val="001464A2"/>
    <w:rsid w:val="00146679"/>
    <w:rsid w:val="00146E8E"/>
    <w:rsid w:val="001472EA"/>
    <w:rsid w:val="00147540"/>
    <w:rsid w:val="001510FF"/>
    <w:rsid w:val="001518FA"/>
    <w:rsid w:val="00151A0C"/>
    <w:rsid w:val="00151D5C"/>
    <w:rsid w:val="00151F82"/>
    <w:rsid w:val="00152047"/>
    <w:rsid w:val="00152561"/>
    <w:rsid w:val="0015284E"/>
    <w:rsid w:val="00152F2F"/>
    <w:rsid w:val="00153EAF"/>
    <w:rsid w:val="001545C6"/>
    <w:rsid w:val="00154A13"/>
    <w:rsid w:val="00154AB1"/>
    <w:rsid w:val="00155119"/>
    <w:rsid w:val="0015557F"/>
    <w:rsid w:val="00155895"/>
    <w:rsid w:val="00155D67"/>
    <w:rsid w:val="00156030"/>
    <w:rsid w:val="001561CC"/>
    <w:rsid w:val="001567D9"/>
    <w:rsid w:val="00156974"/>
    <w:rsid w:val="0015711F"/>
    <w:rsid w:val="00157C24"/>
    <w:rsid w:val="00157C2B"/>
    <w:rsid w:val="00160065"/>
    <w:rsid w:val="00160446"/>
    <w:rsid w:val="00160562"/>
    <w:rsid w:val="00160C00"/>
    <w:rsid w:val="00161977"/>
    <w:rsid w:val="00161A56"/>
    <w:rsid w:val="00161EFF"/>
    <w:rsid w:val="00162862"/>
    <w:rsid w:val="00162CF8"/>
    <w:rsid w:val="00163254"/>
    <w:rsid w:val="001642F7"/>
    <w:rsid w:val="001648EA"/>
    <w:rsid w:val="001649BD"/>
    <w:rsid w:val="00164D8D"/>
    <w:rsid w:val="00165261"/>
    <w:rsid w:val="001654BF"/>
    <w:rsid w:val="00165747"/>
    <w:rsid w:val="00165BDE"/>
    <w:rsid w:val="00165C5C"/>
    <w:rsid w:val="00166D33"/>
    <w:rsid w:val="00166F8E"/>
    <w:rsid w:val="001712F9"/>
    <w:rsid w:val="0017266B"/>
    <w:rsid w:val="001730BB"/>
    <w:rsid w:val="001734CB"/>
    <w:rsid w:val="00173790"/>
    <w:rsid w:val="00173AF2"/>
    <w:rsid w:val="0017473C"/>
    <w:rsid w:val="00175461"/>
    <w:rsid w:val="00175BD4"/>
    <w:rsid w:val="001766EB"/>
    <w:rsid w:val="00176A19"/>
    <w:rsid w:val="00176C02"/>
    <w:rsid w:val="00176CBD"/>
    <w:rsid w:val="00176EB4"/>
    <w:rsid w:val="00177040"/>
    <w:rsid w:val="00177833"/>
    <w:rsid w:val="001800D0"/>
    <w:rsid w:val="00181111"/>
    <w:rsid w:val="00181A59"/>
    <w:rsid w:val="00181AF4"/>
    <w:rsid w:val="00181B21"/>
    <w:rsid w:val="00181C9C"/>
    <w:rsid w:val="00182C6A"/>
    <w:rsid w:val="001837E8"/>
    <w:rsid w:val="00183BDB"/>
    <w:rsid w:val="00183C87"/>
    <w:rsid w:val="00183F66"/>
    <w:rsid w:val="00184591"/>
    <w:rsid w:val="00184D64"/>
    <w:rsid w:val="00185432"/>
    <w:rsid w:val="00185980"/>
    <w:rsid w:val="00185EB6"/>
    <w:rsid w:val="00186BA1"/>
    <w:rsid w:val="00186FF6"/>
    <w:rsid w:val="00187048"/>
    <w:rsid w:val="0018769B"/>
    <w:rsid w:val="00187A03"/>
    <w:rsid w:val="00187C09"/>
    <w:rsid w:val="001900A3"/>
    <w:rsid w:val="00190423"/>
    <w:rsid w:val="001904AE"/>
    <w:rsid w:val="001906FC"/>
    <w:rsid w:val="0019103F"/>
    <w:rsid w:val="001910DF"/>
    <w:rsid w:val="0019187A"/>
    <w:rsid w:val="00192559"/>
    <w:rsid w:val="00192C5A"/>
    <w:rsid w:val="00193BEB"/>
    <w:rsid w:val="00193D47"/>
    <w:rsid w:val="00193F43"/>
    <w:rsid w:val="001942FA"/>
    <w:rsid w:val="001942FB"/>
    <w:rsid w:val="00194C9D"/>
    <w:rsid w:val="00194E1D"/>
    <w:rsid w:val="0019620C"/>
    <w:rsid w:val="001963B6"/>
    <w:rsid w:val="00196A76"/>
    <w:rsid w:val="0019740A"/>
    <w:rsid w:val="001974E9"/>
    <w:rsid w:val="00197601"/>
    <w:rsid w:val="00197F2A"/>
    <w:rsid w:val="001A0119"/>
    <w:rsid w:val="001A020C"/>
    <w:rsid w:val="001A1B49"/>
    <w:rsid w:val="001A1C39"/>
    <w:rsid w:val="001A2287"/>
    <w:rsid w:val="001A236C"/>
    <w:rsid w:val="001A23A9"/>
    <w:rsid w:val="001A273F"/>
    <w:rsid w:val="001A305D"/>
    <w:rsid w:val="001A3849"/>
    <w:rsid w:val="001A3C78"/>
    <w:rsid w:val="001A4702"/>
    <w:rsid w:val="001A4C3E"/>
    <w:rsid w:val="001A4FF5"/>
    <w:rsid w:val="001A518E"/>
    <w:rsid w:val="001A5B28"/>
    <w:rsid w:val="001A6B0B"/>
    <w:rsid w:val="001A6B8D"/>
    <w:rsid w:val="001A7086"/>
    <w:rsid w:val="001A7434"/>
    <w:rsid w:val="001A74BC"/>
    <w:rsid w:val="001B1154"/>
    <w:rsid w:val="001B1A1C"/>
    <w:rsid w:val="001B1EBB"/>
    <w:rsid w:val="001B2174"/>
    <w:rsid w:val="001B21DC"/>
    <w:rsid w:val="001B2386"/>
    <w:rsid w:val="001B23BF"/>
    <w:rsid w:val="001B2642"/>
    <w:rsid w:val="001B289C"/>
    <w:rsid w:val="001B2B02"/>
    <w:rsid w:val="001B3774"/>
    <w:rsid w:val="001B384E"/>
    <w:rsid w:val="001B3ED5"/>
    <w:rsid w:val="001B480D"/>
    <w:rsid w:val="001B4E1B"/>
    <w:rsid w:val="001B5258"/>
    <w:rsid w:val="001B5544"/>
    <w:rsid w:val="001B588D"/>
    <w:rsid w:val="001B5940"/>
    <w:rsid w:val="001B5CD3"/>
    <w:rsid w:val="001B62BE"/>
    <w:rsid w:val="001B6357"/>
    <w:rsid w:val="001B6441"/>
    <w:rsid w:val="001B6BAF"/>
    <w:rsid w:val="001B6D13"/>
    <w:rsid w:val="001B6F19"/>
    <w:rsid w:val="001B7035"/>
    <w:rsid w:val="001C06F9"/>
    <w:rsid w:val="001C0B69"/>
    <w:rsid w:val="001C0E67"/>
    <w:rsid w:val="001C20FC"/>
    <w:rsid w:val="001C2651"/>
    <w:rsid w:val="001C2C76"/>
    <w:rsid w:val="001C348B"/>
    <w:rsid w:val="001C36F1"/>
    <w:rsid w:val="001C3A1D"/>
    <w:rsid w:val="001C3D6E"/>
    <w:rsid w:val="001C450C"/>
    <w:rsid w:val="001C4521"/>
    <w:rsid w:val="001C4DC8"/>
    <w:rsid w:val="001C4F13"/>
    <w:rsid w:val="001C51A2"/>
    <w:rsid w:val="001C5558"/>
    <w:rsid w:val="001C5559"/>
    <w:rsid w:val="001C607F"/>
    <w:rsid w:val="001C679F"/>
    <w:rsid w:val="001C6BCE"/>
    <w:rsid w:val="001C7023"/>
    <w:rsid w:val="001C74FB"/>
    <w:rsid w:val="001C7574"/>
    <w:rsid w:val="001D0B92"/>
    <w:rsid w:val="001D0C03"/>
    <w:rsid w:val="001D0CB7"/>
    <w:rsid w:val="001D0E4C"/>
    <w:rsid w:val="001D111D"/>
    <w:rsid w:val="001D18C7"/>
    <w:rsid w:val="001D1E22"/>
    <w:rsid w:val="001D230D"/>
    <w:rsid w:val="001D2389"/>
    <w:rsid w:val="001D26A0"/>
    <w:rsid w:val="001D2C89"/>
    <w:rsid w:val="001D2CE0"/>
    <w:rsid w:val="001D3002"/>
    <w:rsid w:val="001D3777"/>
    <w:rsid w:val="001D4155"/>
    <w:rsid w:val="001D4200"/>
    <w:rsid w:val="001D4B47"/>
    <w:rsid w:val="001D4C55"/>
    <w:rsid w:val="001D5BB6"/>
    <w:rsid w:val="001D5ED3"/>
    <w:rsid w:val="001D633B"/>
    <w:rsid w:val="001D6C19"/>
    <w:rsid w:val="001D70C2"/>
    <w:rsid w:val="001D7255"/>
    <w:rsid w:val="001D7602"/>
    <w:rsid w:val="001D7722"/>
    <w:rsid w:val="001D78B8"/>
    <w:rsid w:val="001D78D8"/>
    <w:rsid w:val="001D7E9F"/>
    <w:rsid w:val="001E0A84"/>
    <w:rsid w:val="001E0D11"/>
    <w:rsid w:val="001E1110"/>
    <w:rsid w:val="001E1617"/>
    <w:rsid w:val="001E17F3"/>
    <w:rsid w:val="001E21A2"/>
    <w:rsid w:val="001E2B7F"/>
    <w:rsid w:val="001E356F"/>
    <w:rsid w:val="001E36D8"/>
    <w:rsid w:val="001E3B53"/>
    <w:rsid w:val="001E3C12"/>
    <w:rsid w:val="001E454A"/>
    <w:rsid w:val="001E4829"/>
    <w:rsid w:val="001E4F6D"/>
    <w:rsid w:val="001E609B"/>
    <w:rsid w:val="001E61DC"/>
    <w:rsid w:val="001E6620"/>
    <w:rsid w:val="001E6B46"/>
    <w:rsid w:val="001E6EE7"/>
    <w:rsid w:val="001E6F73"/>
    <w:rsid w:val="001E7B06"/>
    <w:rsid w:val="001E7EE0"/>
    <w:rsid w:val="001F006A"/>
    <w:rsid w:val="001F0591"/>
    <w:rsid w:val="001F0668"/>
    <w:rsid w:val="001F06DD"/>
    <w:rsid w:val="001F0956"/>
    <w:rsid w:val="001F0F1B"/>
    <w:rsid w:val="001F0FAB"/>
    <w:rsid w:val="001F1011"/>
    <w:rsid w:val="001F1018"/>
    <w:rsid w:val="001F1898"/>
    <w:rsid w:val="001F1C14"/>
    <w:rsid w:val="001F1D90"/>
    <w:rsid w:val="001F218F"/>
    <w:rsid w:val="001F259D"/>
    <w:rsid w:val="001F2BE1"/>
    <w:rsid w:val="001F2EA8"/>
    <w:rsid w:val="001F30F3"/>
    <w:rsid w:val="001F3839"/>
    <w:rsid w:val="001F3846"/>
    <w:rsid w:val="001F48B3"/>
    <w:rsid w:val="001F52FC"/>
    <w:rsid w:val="001F530D"/>
    <w:rsid w:val="001F5F61"/>
    <w:rsid w:val="001F5F9E"/>
    <w:rsid w:val="001F6553"/>
    <w:rsid w:val="001F72B4"/>
    <w:rsid w:val="001F7498"/>
    <w:rsid w:val="001F75ED"/>
    <w:rsid w:val="001F7F71"/>
    <w:rsid w:val="0020060C"/>
    <w:rsid w:val="00200747"/>
    <w:rsid w:val="0020119B"/>
    <w:rsid w:val="00201499"/>
    <w:rsid w:val="002021B0"/>
    <w:rsid w:val="00202588"/>
    <w:rsid w:val="00203AC5"/>
    <w:rsid w:val="00203B13"/>
    <w:rsid w:val="002040CB"/>
    <w:rsid w:val="002043D1"/>
    <w:rsid w:val="002045E2"/>
    <w:rsid w:val="00204D33"/>
    <w:rsid w:val="00205340"/>
    <w:rsid w:val="0020557C"/>
    <w:rsid w:val="00205E2F"/>
    <w:rsid w:val="0020700C"/>
    <w:rsid w:val="0020723D"/>
    <w:rsid w:val="00207451"/>
    <w:rsid w:val="0020772E"/>
    <w:rsid w:val="00207791"/>
    <w:rsid w:val="00210A60"/>
    <w:rsid w:val="002116F8"/>
    <w:rsid w:val="00211C87"/>
    <w:rsid w:val="00212176"/>
    <w:rsid w:val="002126B4"/>
    <w:rsid w:val="002126E4"/>
    <w:rsid w:val="0021274C"/>
    <w:rsid w:val="002132FA"/>
    <w:rsid w:val="00214195"/>
    <w:rsid w:val="00214276"/>
    <w:rsid w:val="00214903"/>
    <w:rsid w:val="00214BA1"/>
    <w:rsid w:val="002153F7"/>
    <w:rsid w:val="00215D8B"/>
    <w:rsid w:val="00216874"/>
    <w:rsid w:val="00216CD7"/>
    <w:rsid w:val="00216E54"/>
    <w:rsid w:val="00217130"/>
    <w:rsid w:val="00217289"/>
    <w:rsid w:val="002173DF"/>
    <w:rsid w:val="00217FFA"/>
    <w:rsid w:val="00220012"/>
    <w:rsid w:val="002200DB"/>
    <w:rsid w:val="0022045E"/>
    <w:rsid w:val="0022046C"/>
    <w:rsid w:val="00220570"/>
    <w:rsid w:val="00220733"/>
    <w:rsid w:val="0022094C"/>
    <w:rsid w:val="00220B1B"/>
    <w:rsid w:val="00220E08"/>
    <w:rsid w:val="00221905"/>
    <w:rsid w:val="00221D9F"/>
    <w:rsid w:val="0022204B"/>
    <w:rsid w:val="00222330"/>
    <w:rsid w:val="002224DB"/>
    <w:rsid w:val="0022328F"/>
    <w:rsid w:val="00223845"/>
    <w:rsid w:val="00223BB5"/>
    <w:rsid w:val="00224051"/>
    <w:rsid w:val="00224298"/>
    <w:rsid w:val="002246C6"/>
    <w:rsid w:val="002247B2"/>
    <w:rsid w:val="00224E1E"/>
    <w:rsid w:val="00225713"/>
    <w:rsid w:val="00225A22"/>
    <w:rsid w:val="00225BCF"/>
    <w:rsid w:val="0022625E"/>
    <w:rsid w:val="002269FF"/>
    <w:rsid w:val="00227614"/>
    <w:rsid w:val="0023050B"/>
    <w:rsid w:val="00230BC3"/>
    <w:rsid w:val="00231017"/>
    <w:rsid w:val="00231DC0"/>
    <w:rsid w:val="002320CE"/>
    <w:rsid w:val="00232119"/>
    <w:rsid w:val="00232A9F"/>
    <w:rsid w:val="00232D8F"/>
    <w:rsid w:val="002334CF"/>
    <w:rsid w:val="00233939"/>
    <w:rsid w:val="002340E7"/>
    <w:rsid w:val="00234323"/>
    <w:rsid w:val="00234787"/>
    <w:rsid w:val="00234799"/>
    <w:rsid w:val="00234EE9"/>
    <w:rsid w:val="00234F3D"/>
    <w:rsid w:val="00235002"/>
    <w:rsid w:val="00235846"/>
    <w:rsid w:val="00235B98"/>
    <w:rsid w:val="00235EBF"/>
    <w:rsid w:val="002360DF"/>
    <w:rsid w:val="00236109"/>
    <w:rsid w:val="002366D8"/>
    <w:rsid w:val="00236A9F"/>
    <w:rsid w:val="00236F9E"/>
    <w:rsid w:val="00237122"/>
    <w:rsid w:val="0023716C"/>
    <w:rsid w:val="002372C3"/>
    <w:rsid w:val="00237542"/>
    <w:rsid w:val="00237710"/>
    <w:rsid w:val="002378D6"/>
    <w:rsid w:val="00237B50"/>
    <w:rsid w:val="00237EE1"/>
    <w:rsid w:val="00237F9C"/>
    <w:rsid w:val="00240240"/>
    <w:rsid w:val="00240C93"/>
    <w:rsid w:val="00240D79"/>
    <w:rsid w:val="00241032"/>
    <w:rsid w:val="002412FB"/>
    <w:rsid w:val="002414E1"/>
    <w:rsid w:val="002415AD"/>
    <w:rsid w:val="0024182F"/>
    <w:rsid w:val="00242023"/>
    <w:rsid w:val="002422AC"/>
    <w:rsid w:val="00242352"/>
    <w:rsid w:val="002438A1"/>
    <w:rsid w:val="00243EBF"/>
    <w:rsid w:val="00243ECD"/>
    <w:rsid w:val="00243F4C"/>
    <w:rsid w:val="0024435A"/>
    <w:rsid w:val="00244694"/>
    <w:rsid w:val="002448C4"/>
    <w:rsid w:val="00244F4B"/>
    <w:rsid w:val="00244F4D"/>
    <w:rsid w:val="0024515D"/>
    <w:rsid w:val="0024577B"/>
    <w:rsid w:val="0024580E"/>
    <w:rsid w:val="0024613B"/>
    <w:rsid w:val="002461EA"/>
    <w:rsid w:val="0024625C"/>
    <w:rsid w:val="0024662A"/>
    <w:rsid w:val="00247065"/>
    <w:rsid w:val="002471D9"/>
    <w:rsid w:val="0024744A"/>
    <w:rsid w:val="00247F42"/>
    <w:rsid w:val="00247FA7"/>
    <w:rsid w:val="00247FB4"/>
    <w:rsid w:val="0025010A"/>
    <w:rsid w:val="00250227"/>
    <w:rsid w:val="00250579"/>
    <w:rsid w:val="00250B0B"/>
    <w:rsid w:val="002518AE"/>
    <w:rsid w:val="00252024"/>
    <w:rsid w:val="0025229A"/>
    <w:rsid w:val="00252506"/>
    <w:rsid w:val="00252752"/>
    <w:rsid w:val="00252BE1"/>
    <w:rsid w:val="00252DD6"/>
    <w:rsid w:val="00252F63"/>
    <w:rsid w:val="00253269"/>
    <w:rsid w:val="0025355E"/>
    <w:rsid w:val="00253656"/>
    <w:rsid w:val="002536CD"/>
    <w:rsid w:val="0025394C"/>
    <w:rsid w:val="0025396B"/>
    <w:rsid w:val="00254776"/>
    <w:rsid w:val="00254C99"/>
    <w:rsid w:val="00254CEB"/>
    <w:rsid w:val="00255F52"/>
    <w:rsid w:val="0025604B"/>
    <w:rsid w:val="00256B9F"/>
    <w:rsid w:val="0025712C"/>
    <w:rsid w:val="00257203"/>
    <w:rsid w:val="00257282"/>
    <w:rsid w:val="00257CC3"/>
    <w:rsid w:val="00257D03"/>
    <w:rsid w:val="0026051F"/>
    <w:rsid w:val="00260866"/>
    <w:rsid w:val="00260E09"/>
    <w:rsid w:val="002610EB"/>
    <w:rsid w:val="00261132"/>
    <w:rsid w:val="00261691"/>
    <w:rsid w:val="0026178B"/>
    <w:rsid w:val="0026181E"/>
    <w:rsid w:val="00261A92"/>
    <w:rsid w:val="00262430"/>
    <w:rsid w:val="00262944"/>
    <w:rsid w:val="00262A8C"/>
    <w:rsid w:val="00262D5D"/>
    <w:rsid w:val="002634F8"/>
    <w:rsid w:val="00263582"/>
    <w:rsid w:val="002635B7"/>
    <w:rsid w:val="00263B99"/>
    <w:rsid w:val="002645E3"/>
    <w:rsid w:val="00264606"/>
    <w:rsid w:val="0026470C"/>
    <w:rsid w:val="0026540F"/>
    <w:rsid w:val="00265B1C"/>
    <w:rsid w:val="00265B7C"/>
    <w:rsid w:val="00265F36"/>
    <w:rsid w:val="0026617B"/>
    <w:rsid w:val="002667D6"/>
    <w:rsid w:val="0026698A"/>
    <w:rsid w:val="00266D2D"/>
    <w:rsid w:val="00267024"/>
    <w:rsid w:val="00267DE1"/>
    <w:rsid w:val="00267EA0"/>
    <w:rsid w:val="002700F3"/>
    <w:rsid w:val="00270C59"/>
    <w:rsid w:val="00271292"/>
    <w:rsid w:val="002727F6"/>
    <w:rsid w:val="002737AD"/>
    <w:rsid w:val="002741B0"/>
    <w:rsid w:val="00274A00"/>
    <w:rsid w:val="00274B03"/>
    <w:rsid w:val="00274E72"/>
    <w:rsid w:val="00274FBB"/>
    <w:rsid w:val="00274FE7"/>
    <w:rsid w:val="00275C1B"/>
    <w:rsid w:val="002763F5"/>
    <w:rsid w:val="0027656A"/>
    <w:rsid w:val="00276E1B"/>
    <w:rsid w:val="00277568"/>
    <w:rsid w:val="00277AAD"/>
    <w:rsid w:val="00277F63"/>
    <w:rsid w:val="002807F5"/>
    <w:rsid w:val="00280D00"/>
    <w:rsid w:val="00281D36"/>
    <w:rsid w:val="00281ECC"/>
    <w:rsid w:val="00282371"/>
    <w:rsid w:val="00282BBF"/>
    <w:rsid w:val="0028314A"/>
    <w:rsid w:val="00283CEF"/>
    <w:rsid w:val="002843AA"/>
    <w:rsid w:val="00284D61"/>
    <w:rsid w:val="0028506D"/>
    <w:rsid w:val="002852AA"/>
    <w:rsid w:val="002853E2"/>
    <w:rsid w:val="0028560A"/>
    <w:rsid w:val="00285A3E"/>
    <w:rsid w:val="00286088"/>
    <w:rsid w:val="00286125"/>
    <w:rsid w:val="0028640B"/>
    <w:rsid w:val="00286819"/>
    <w:rsid w:val="002869DB"/>
    <w:rsid w:val="00286A76"/>
    <w:rsid w:val="00287B59"/>
    <w:rsid w:val="0029042B"/>
    <w:rsid w:val="00290431"/>
    <w:rsid w:val="00290903"/>
    <w:rsid w:val="00290EFC"/>
    <w:rsid w:val="00291B5B"/>
    <w:rsid w:val="002923D1"/>
    <w:rsid w:val="0029251F"/>
    <w:rsid w:val="00292BCA"/>
    <w:rsid w:val="002938A3"/>
    <w:rsid w:val="002946D7"/>
    <w:rsid w:val="00294796"/>
    <w:rsid w:val="0029480B"/>
    <w:rsid w:val="00294926"/>
    <w:rsid w:val="002953EB"/>
    <w:rsid w:val="0029555D"/>
    <w:rsid w:val="0029559D"/>
    <w:rsid w:val="00295755"/>
    <w:rsid w:val="00295DA0"/>
    <w:rsid w:val="00296889"/>
    <w:rsid w:val="002973B5"/>
    <w:rsid w:val="00297DDE"/>
    <w:rsid w:val="002A0036"/>
    <w:rsid w:val="002A0957"/>
    <w:rsid w:val="002A0C71"/>
    <w:rsid w:val="002A17A9"/>
    <w:rsid w:val="002A1A79"/>
    <w:rsid w:val="002A1C10"/>
    <w:rsid w:val="002A1EA0"/>
    <w:rsid w:val="002A225D"/>
    <w:rsid w:val="002A2999"/>
    <w:rsid w:val="002A35B3"/>
    <w:rsid w:val="002A3CDB"/>
    <w:rsid w:val="002A417F"/>
    <w:rsid w:val="002A45A7"/>
    <w:rsid w:val="002A47B9"/>
    <w:rsid w:val="002A47ED"/>
    <w:rsid w:val="002A4A59"/>
    <w:rsid w:val="002A4A83"/>
    <w:rsid w:val="002A55F0"/>
    <w:rsid w:val="002A5F2E"/>
    <w:rsid w:val="002A61FE"/>
    <w:rsid w:val="002A673A"/>
    <w:rsid w:val="002A6776"/>
    <w:rsid w:val="002A68F6"/>
    <w:rsid w:val="002A7070"/>
    <w:rsid w:val="002A747C"/>
    <w:rsid w:val="002A7BE1"/>
    <w:rsid w:val="002B003B"/>
    <w:rsid w:val="002B0B6F"/>
    <w:rsid w:val="002B0BAB"/>
    <w:rsid w:val="002B1129"/>
    <w:rsid w:val="002B1654"/>
    <w:rsid w:val="002B1FC9"/>
    <w:rsid w:val="002B2AC8"/>
    <w:rsid w:val="002B2D3B"/>
    <w:rsid w:val="002B2EE7"/>
    <w:rsid w:val="002B2F42"/>
    <w:rsid w:val="002B3CBD"/>
    <w:rsid w:val="002B3CC4"/>
    <w:rsid w:val="002B427B"/>
    <w:rsid w:val="002B44DA"/>
    <w:rsid w:val="002B4A5F"/>
    <w:rsid w:val="002B4AC8"/>
    <w:rsid w:val="002B4FEB"/>
    <w:rsid w:val="002B5486"/>
    <w:rsid w:val="002B567D"/>
    <w:rsid w:val="002B5C49"/>
    <w:rsid w:val="002B5CFD"/>
    <w:rsid w:val="002B5F88"/>
    <w:rsid w:val="002B6066"/>
    <w:rsid w:val="002B60EE"/>
    <w:rsid w:val="002B628E"/>
    <w:rsid w:val="002B6361"/>
    <w:rsid w:val="002B68C6"/>
    <w:rsid w:val="002B7A87"/>
    <w:rsid w:val="002B7DED"/>
    <w:rsid w:val="002C04AC"/>
    <w:rsid w:val="002C089D"/>
    <w:rsid w:val="002C0A79"/>
    <w:rsid w:val="002C0FFD"/>
    <w:rsid w:val="002C1090"/>
    <w:rsid w:val="002C1250"/>
    <w:rsid w:val="002C1829"/>
    <w:rsid w:val="002C1901"/>
    <w:rsid w:val="002C1A2F"/>
    <w:rsid w:val="002C1C79"/>
    <w:rsid w:val="002C1CFB"/>
    <w:rsid w:val="002C235D"/>
    <w:rsid w:val="002C26F4"/>
    <w:rsid w:val="002C270B"/>
    <w:rsid w:val="002C29FB"/>
    <w:rsid w:val="002C3046"/>
    <w:rsid w:val="002C34CF"/>
    <w:rsid w:val="002C3706"/>
    <w:rsid w:val="002C374F"/>
    <w:rsid w:val="002C4891"/>
    <w:rsid w:val="002C4AB7"/>
    <w:rsid w:val="002C4C6F"/>
    <w:rsid w:val="002C5328"/>
    <w:rsid w:val="002C592D"/>
    <w:rsid w:val="002C5FE7"/>
    <w:rsid w:val="002C63D7"/>
    <w:rsid w:val="002C6625"/>
    <w:rsid w:val="002C686B"/>
    <w:rsid w:val="002C6B52"/>
    <w:rsid w:val="002C6C3D"/>
    <w:rsid w:val="002C6C53"/>
    <w:rsid w:val="002C6F44"/>
    <w:rsid w:val="002C6F9E"/>
    <w:rsid w:val="002C7003"/>
    <w:rsid w:val="002C728B"/>
    <w:rsid w:val="002C756E"/>
    <w:rsid w:val="002C7F32"/>
    <w:rsid w:val="002D00DF"/>
    <w:rsid w:val="002D01A0"/>
    <w:rsid w:val="002D09CD"/>
    <w:rsid w:val="002D0BBF"/>
    <w:rsid w:val="002D0D01"/>
    <w:rsid w:val="002D0D68"/>
    <w:rsid w:val="002D0F84"/>
    <w:rsid w:val="002D13EE"/>
    <w:rsid w:val="002D175F"/>
    <w:rsid w:val="002D280A"/>
    <w:rsid w:val="002D4ECB"/>
    <w:rsid w:val="002D5334"/>
    <w:rsid w:val="002D554D"/>
    <w:rsid w:val="002D55E0"/>
    <w:rsid w:val="002D573D"/>
    <w:rsid w:val="002D5979"/>
    <w:rsid w:val="002E0B21"/>
    <w:rsid w:val="002E1C8F"/>
    <w:rsid w:val="002E1E85"/>
    <w:rsid w:val="002E214C"/>
    <w:rsid w:val="002E2738"/>
    <w:rsid w:val="002E3A79"/>
    <w:rsid w:val="002E3D4D"/>
    <w:rsid w:val="002E41B2"/>
    <w:rsid w:val="002E4795"/>
    <w:rsid w:val="002E495B"/>
    <w:rsid w:val="002E5F6C"/>
    <w:rsid w:val="002E6816"/>
    <w:rsid w:val="002E6ABF"/>
    <w:rsid w:val="002E6F09"/>
    <w:rsid w:val="002E7126"/>
    <w:rsid w:val="002E74F4"/>
    <w:rsid w:val="002E76A9"/>
    <w:rsid w:val="002E7778"/>
    <w:rsid w:val="002E7BD8"/>
    <w:rsid w:val="002E7DBA"/>
    <w:rsid w:val="002F007E"/>
    <w:rsid w:val="002F066F"/>
    <w:rsid w:val="002F0B6B"/>
    <w:rsid w:val="002F1070"/>
    <w:rsid w:val="002F11AE"/>
    <w:rsid w:val="002F18F8"/>
    <w:rsid w:val="002F1995"/>
    <w:rsid w:val="002F2140"/>
    <w:rsid w:val="002F3E6D"/>
    <w:rsid w:val="002F4267"/>
    <w:rsid w:val="002F4C55"/>
    <w:rsid w:val="002F4D47"/>
    <w:rsid w:val="002F55A4"/>
    <w:rsid w:val="002F5D91"/>
    <w:rsid w:val="002F604A"/>
    <w:rsid w:val="002F6A97"/>
    <w:rsid w:val="002F6A99"/>
    <w:rsid w:val="002F73FF"/>
    <w:rsid w:val="002F7834"/>
    <w:rsid w:val="0030040B"/>
    <w:rsid w:val="0030057B"/>
    <w:rsid w:val="003006EC"/>
    <w:rsid w:val="00301549"/>
    <w:rsid w:val="0030202A"/>
    <w:rsid w:val="003020F1"/>
    <w:rsid w:val="003025E1"/>
    <w:rsid w:val="003028DE"/>
    <w:rsid w:val="003032F9"/>
    <w:rsid w:val="00303863"/>
    <w:rsid w:val="00303CF3"/>
    <w:rsid w:val="003042B9"/>
    <w:rsid w:val="00304330"/>
    <w:rsid w:val="00304D04"/>
    <w:rsid w:val="003050D9"/>
    <w:rsid w:val="003051F9"/>
    <w:rsid w:val="003059B0"/>
    <w:rsid w:val="00305F4F"/>
    <w:rsid w:val="0030634C"/>
    <w:rsid w:val="00306555"/>
    <w:rsid w:val="003069AE"/>
    <w:rsid w:val="0030762B"/>
    <w:rsid w:val="003076E4"/>
    <w:rsid w:val="00307B35"/>
    <w:rsid w:val="00307DD9"/>
    <w:rsid w:val="00307F78"/>
    <w:rsid w:val="00307F8C"/>
    <w:rsid w:val="00310068"/>
    <w:rsid w:val="0031047B"/>
    <w:rsid w:val="00310729"/>
    <w:rsid w:val="00310B5A"/>
    <w:rsid w:val="00311056"/>
    <w:rsid w:val="0031107C"/>
    <w:rsid w:val="003112E1"/>
    <w:rsid w:val="00311331"/>
    <w:rsid w:val="00311685"/>
    <w:rsid w:val="00311C05"/>
    <w:rsid w:val="00311FED"/>
    <w:rsid w:val="0031265C"/>
    <w:rsid w:val="003126E4"/>
    <w:rsid w:val="00312885"/>
    <w:rsid w:val="0031298A"/>
    <w:rsid w:val="00312999"/>
    <w:rsid w:val="00312DBB"/>
    <w:rsid w:val="00313211"/>
    <w:rsid w:val="0031417A"/>
    <w:rsid w:val="003145F8"/>
    <w:rsid w:val="00314B00"/>
    <w:rsid w:val="00314E72"/>
    <w:rsid w:val="00315150"/>
    <w:rsid w:val="0031542E"/>
    <w:rsid w:val="00315FDC"/>
    <w:rsid w:val="0031688C"/>
    <w:rsid w:val="00316942"/>
    <w:rsid w:val="00316BC9"/>
    <w:rsid w:val="00316BF4"/>
    <w:rsid w:val="00316C8C"/>
    <w:rsid w:val="00316F64"/>
    <w:rsid w:val="00317079"/>
    <w:rsid w:val="00317331"/>
    <w:rsid w:val="00317369"/>
    <w:rsid w:val="00317394"/>
    <w:rsid w:val="00317A70"/>
    <w:rsid w:val="00317B43"/>
    <w:rsid w:val="0032035C"/>
    <w:rsid w:val="0032170F"/>
    <w:rsid w:val="0032179E"/>
    <w:rsid w:val="003217F4"/>
    <w:rsid w:val="00321D96"/>
    <w:rsid w:val="003223B7"/>
    <w:rsid w:val="0032254D"/>
    <w:rsid w:val="0032261F"/>
    <w:rsid w:val="00322973"/>
    <w:rsid w:val="00323013"/>
    <w:rsid w:val="003231E7"/>
    <w:rsid w:val="00323396"/>
    <w:rsid w:val="0032366A"/>
    <w:rsid w:val="003236CC"/>
    <w:rsid w:val="00323DFB"/>
    <w:rsid w:val="00323FFC"/>
    <w:rsid w:val="00324174"/>
    <w:rsid w:val="0032435D"/>
    <w:rsid w:val="003256B1"/>
    <w:rsid w:val="00325989"/>
    <w:rsid w:val="00325BCE"/>
    <w:rsid w:val="00325F26"/>
    <w:rsid w:val="0032656D"/>
    <w:rsid w:val="00326CEC"/>
    <w:rsid w:val="00326D6C"/>
    <w:rsid w:val="003277E0"/>
    <w:rsid w:val="00327F35"/>
    <w:rsid w:val="003301AA"/>
    <w:rsid w:val="003305B2"/>
    <w:rsid w:val="00330B1E"/>
    <w:rsid w:val="00330FD0"/>
    <w:rsid w:val="003315AD"/>
    <w:rsid w:val="00331946"/>
    <w:rsid w:val="00331A7D"/>
    <w:rsid w:val="00331C16"/>
    <w:rsid w:val="003320F8"/>
    <w:rsid w:val="0033249A"/>
    <w:rsid w:val="003332CA"/>
    <w:rsid w:val="0033333B"/>
    <w:rsid w:val="0033395B"/>
    <w:rsid w:val="00333A22"/>
    <w:rsid w:val="00333BEA"/>
    <w:rsid w:val="00333D11"/>
    <w:rsid w:val="00333E63"/>
    <w:rsid w:val="00333E81"/>
    <w:rsid w:val="00334116"/>
    <w:rsid w:val="003342D6"/>
    <w:rsid w:val="003343CF"/>
    <w:rsid w:val="00334BC1"/>
    <w:rsid w:val="00334E73"/>
    <w:rsid w:val="00335000"/>
    <w:rsid w:val="00335170"/>
    <w:rsid w:val="00335D08"/>
    <w:rsid w:val="00335F52"/>
    <w:rsid w:val="00336908"/>
    <w:rsid w:val="00337A8A"/>
    <w:rsid w:val="00340642"/>
    <w:rsid w:val="00340BF2"/>
    <w:rsid w:val="00341835"/>
    <w:rsid w:val="00341F5F"/>
    <w:rsid w:val="00342311"/>
    <w:rsid w:val="00342789"/>
    <w:rsid w:val="003435F1"/>
    <w:rsid w:val="0034446D"/>
    <w:rsid w:val="00344FB2"/>
    <w:rsid w:val="003456D0"/>
    <w:rsid w:val="003459CA"/>
    <w:rsid w:val="00345B32"/>
    <w:rsid w:val="0034619B"/>
    <w:rsid w:val="003461DD"/>
    <w:rsid w:val="0034650E"/>
    <w:rsid w:val="00346833"/>
    <w:rsid w:val="00346A9E"/>
    <w:rsid w:val="00346D18"/>
    <w:rsid w:val="00346E0B"/>
    <w:rsid w:val="003470EC"/>
    <w:rsid w:val="0034761A"/>
    <w:rsid w:val="00347B30"/>
    <w:rsid w:val="00347D9C"/>
    <w:rsid w:val="00347FE5"/>
    <w:rsid w:val="00350455"/>
    <w:rsid w:val="003508A1"/>
    <w:rsid w:val="00350974"/>
    <w:rsid w:val="00350EFB"/>
    <w:rsid w:val="003510A6"/>
    <w:rsid w:val="00351D4D"/>
    <w:rsid w:val="00351D7B"/>
    <w:rsid w:val="00351FF8"/>
    <w:rsid w:val="00352216"/>
    <w:rsid w:val="00352640"/>
    <w:rsid w:val="0035293B"/>
    <w:rsid w:val="0035344E"/>
    <w:rsid w:val="00354051"/>
    <w:rsid w:val="00354361"/>
    <w:rsid w:val="00354633"/>
    <w:rsid w:val="003550EE"/>
    <w:rsid w:val="003554D5"/>
    <w:rsid w:val="00355752"/>
    <w:rsid w:val="00355E7A"/>
    <w:rsid w:val="00355E84"/>
    <w:rsid w:val="00355FB5"/>
    <w:rsid w:val="00356004"/>
    <w:rsid w:val="003567B5"/>
    <w:rsid w:val="003568A3"/>
    <w:rsid w:val="00356E90"/>
    <w:rsid w:val="00357636"/>
    <w:rsid w:val="00357A0F"/>
    <w:rsid w:val="00357D60"/>
    <w:rsid w:val="0036009F"/>
    <w:rsid w:val="00360585"/>
    <w:rsid w:val="00360930"/>
    <w:rsid w:val="00360BE9"/>
    <w:rsid w:val="0036132C"/>
    <w:rsid w:val="00361390"/>
    <w:rsid w:val="00361506"/>
    <w:rsid w:val="00361ADB"/>
    <w:rsid w:val="00362314"/>
    <w:rsid w:val="00362794"/>
    <w:rsid w:val="00362997"/>
    <w:rsid w:val="00362CA9"/>
    <w:rsid w:val="003636B6"/>
    <w:rsid w:val="003638DE"/>
    <w:rsid w:val="00363FF6"/>
    <w:rsid w:val="0036405B"/>
    <w:rsid w:val="0036476F"/>
    <w:rsid w:val="0036529C"/>
    <w:rsid w:val="00365455"/>
    <w:rsid w:val="00365B02"/>
    <w:rsid w:val="0036645B"/>
    <w:rsid w:val="00366861"/>
    <w:rsid w:val="00366AD5"/>
    <w:rsid w:val="00366C1D"/>
    <w:rsid w:val="003672F9"/>
    <w:rsid w:val="003674E3"/>
    <w:rsid w:val="00367ADF"/>
    <w:rsid w:val="003702B6"/>
    <w:rsid w:val="00370605"/>
    <w:rsid w:val="00371C58"/>
    <w:rsid w:val="003720CC"/>
    <w:rsid w:val="0037236A"/>
    <w:rsid w:val="00372371"/>
    <w:rsid w:val="0037298D"/>
    <w:rsid w:val="00374423"/>
    <w:rsid w:val="003746E0"/>
    <w:rsid w:val="00375042"/>
    <w:rsid w:val="0037505B"/>
    <w:rsid w:val="003754E6"/>
    <w:rsid w:val="00375645"/>
    <w:rsid w:val="0037624E"/>
    <w:rsid w:val="0037717F"/>
    <w:rsid w:val="003771B5"/>
    <w:rsid w:val="003772C0"/>
    <w:rsid w:val="00377636"/>
    <w:rsid w:val="00377938"/>
    <w:rsid w:val="00377A6A"/>
    <w:rsid w:val="00377D84"/>
    <w:rsid w:val="00377F82"/>
    <w:rsid w:val="003801A9"/>
    <w:rsid w:val="003808D7"/>
    <w:rsid w:val="00380CE8"/>
    <w:rsid w:val="00380EA4"/>
    <w:rsid w:val="00380F2E"/>
    <w:rsid w:val="003817BF"/>
    <w:rsid w:val="00381A0B"/>
    <w:rsid w:val="00381BF0"/>
    <w:rsid w:val="003820C1"/>
    <w:rsid w:val="003824BA"/>
    <w:rsid w:val="0038289C"/>
    <w:rsid w:val="00382A14"/>
    <w:rsid w:val="00382AE7"/>
    <w:rsid w:val="00382B7B"/>
    <w:rsid w:val="00382DC4"/>
    <w:rsid w:val="0038313D"/>
    <w:rsid w:val="00383168"/>
    <w:rsid w:val="00383225"/>
    <w:rsid w:val="0038373C"/>
    <w:rsid w:val="003839ED"/>
    <w:rsid w:val="00383D54"/>
    <w:rsid w:val="0038429F"/>
    <w:rsid w:val="00384AA5"/>
    <w:rsid w:val="00384C37"/>
    <w:rsid w:val="00384D00"/>
    <w:rsid w:val="00385983"/>
    <w:rsid w:val="00385993"/>
    <w:rsid w:val="00385C81"/>
    <w:rsid w:val="00385CDD"/>
    <w:rsid w:val="003860D4"/>
    <w:rsid w:val="0038630C"/>
    <w:rsid w:val="0038748F"/>
    <w:rsid w:val="00387A11"/>
    <w:rsid w:val="00387E67"/>
    <w:rsid w:val="00391451"/>
    <w:rsid w:val="0039189E"/>
    <w:rsid w:val="00391C97"/>
    <w:rsid w:val="00391E69"/>
    <w:rsid w:val="003926C2"/>
    <w:rsid w:val="0039280C"/>
    <w:rsid w:val="00392866"/>
    <w:rsid w:val="00392A8B"/>
    <w:rsid w:val="00392ADB"/>
    <w:rsid w:val="00392C17"/>
    <w:rsid w:val="00392CDC"/>
    <w:rsid w:val="00392CF4"/>
    <w:rsid w:val="0039359B"/>
    <w:rsid w:val="00393C68"/>
    <w:rsid w:val="0039403A"/>
    <w:rsid w:val="003943A4"/>
    <w:rsid w:val="0039489E"/>
    <w:rsid w:val="00394AE9"/>
    <w:rsid w:val="00394B1A"/>
    <w:rsid w:val="00394F38"/>
    <w:rsid w:val="00396452"/>
    <w:rsid w:val="0039696B"/>
    <w:rsid w:val="00396A5A"/>
    <w:rsid w:val="00396C0B"/>
    <w:rsid w:val="003970E0"/>
    <w:rsid w:val="003974B1"/>
    <w:rsid w:val="00397A9F"/>
    <w:rsid w:val="00397B57"/>
    <w:rsid w:val="00397FA5"/>
    <w:rsid w:val="003A0566"/>
    <w:rsid w:val="003A1373"/>
    <w:rsid w:val="003A17FA"/>
    <w:rsid w:val="003A1EDD"/>
    <w:rsid w:val="003A2031"/>
    <w:rsid w:val="003A229C"/>
    <w:rsid w:val="003A234F"/>
    <w:rsid w:val="003A260B"/>
    <w:rsid w:val="003A28FC"/>
    <w:rsid w:val="003A3124"/>
    <w:rsid w:val="003A325C"/>
    <w:rsid w:val="003A33D3"/>
    <w:rsid w:val="003A349A"/>
    <w:rsid w:val="003A34AA"/>
    <w:rsid w:val="003A39C5"/>
    <w:rsid w:val="003A3D20"/>
    <w:rsid w:val="003A40BB"/>
    <w:rsid w:val="003A45C5"/>
    <w:rsid w:val="003A484A"/>
    <w:rsid w:val="003A4DD7"/>
    <w:rsid w:val="003A51C5"/>
    <w:rsid w:val="003A58F3"/>
    <w:rsid w:val="003A5D76"/>
    <w:rsid w:val="003A6030"/>
    <w:rsid w:val="003A68CF"/>
    <w:rsid w:val="003A730A"/>
    <w:rsid w:val="003A74D2"/>
    <w:rsid w:val="003A74FA"/>
    <w:rsid w:val="003B0BAD"/>
    <w:rsid w:val="003B10BA"/>
    <w:rsid w:val="003B122C"/>
    <w:rsid w:val="003B1471"/>
    <w:rsid w:val="003B1480"/>
    <w:rsid w:val="003B1A7A"/>
    <w:rsid w:val="003B2102"/>
    <w:rsid w:val="003B2180"/>
    <w:rsid w:val="003B243D"/>
    <w:rsid w:val="003B2872"/>
    <w:rsid w:val="003B2DA1"/>
    <w:rsid w:val="003B2E51"/>
    <w:rsid w:val="003B342A"/>
    <w:rsid w:val="003B34B7"/>
    <w:rsid w:val="003B3585"/>
    <w:rsid w:val="003B3CA1"/>
    <w:rsid w:val="003B43C6"/>
    <w:rsid w:val="003B480E"/>
    <w:rsid w:val="003B4DD3"/>
    <w:rsid w:val="003B4E6C"/>
    <w:rsid w:val="003B5537"/>
    <w:rsid w:val="003B5B14"/>
    <w:rsid w:val="003B5B19"/>
    <w:rsid w:val="003B5C3D"/>
    <w:rsid w:val="003B5F50"/>
    <w:rsid w:val="003B5FDD"/>
    <w:rsid w:val="003B62CB"/>
    <w:rsid w:val="003B654C"/>
    <w:rsid w:val="003B6E76"/>
    <w:rsid w:val="003B700F"/>
    <w:rsid w:val="003B7407"/>
    <w:rsid w:val="003B7B8D"/>
    <w:rsid w:val="003B7B9C"/>
    <w:rsid w:val="003C1B1F"/>
    <w:rsid w:val="003C1D47"/>
    <w:rsid w:val="003C2165"/>
    <w:rsid w:val="003C36A5"/>
    <w:rsid w:val="003C385D"/>
    <w:rsid w:val="003C4088"/>
    <w:rsid w:val="003C4282"/>
    <w:rsid w:val="003C43A0"/>
    <w:rsid w:val="003C4460"/>
    <w:rsid w:val="003C48A1"/>
    <w:rsid w:val="003C4C65"/>
    <w:rsid w:val="003C5935"/>
    <w:rsid w:val="003C5DD3"/>
    <w:rsid w:val="003C5F4A"/>
    <w:rsid w:val="003C639F"/>
    <w:rsid w:val="003C698A"/>
    <w:rsid w:val="003C73CD"/>
    <w:rsid w:val="003D022E"/>
    <w:rsid w:val="003D0538"/>
    <w:rsid w:val="003D0FEA"/>
    <w:rsid w:val="003D151E"/>
    <w:rsid w:val="003D15CD"/>
    <w:rsid w:val="003D1773"/>
    <w:rsid w:val="003D1FF8"/>
    <w:rsid w:val="003D27B0"/>
    <w:rsid w:val="003D2877"/>
    <w:rsid w:val="003D294C"/>
    <w:rsid w:val="003D2AA7"/>
    <w:rsid w:val="003D2C34"/>
    <w:rsid w:val="003D31ED"/>
    <w:rsid w:val="003D3A0D"/>
    <w:rsid w:val="003D49D5"/>
    <w:rsid w:val="003D4BBE"/>
    <w:rsid w:val="003D50B1"/>
    <w:rsid w:val="003D553E"/>
    <w:rsid w:val="003D56B2"/>
    <w:rsid w:val="003D58BE"/>
    <w:rsid w:val="003D5959"/>
    <w:rsid w:val="003D5BCF"/>
    <w:rsid w:val="003D5BF9"/>
    <w:rsid w:val="003D639F"/>
    <w:rsid w:val="003D64D8"/>
    <w:rsid w:val="003D6A2E"/>
    <w:rsid w:val="003D6D83"/>
    <w:rsid w:val="003D72A0"/>
    <w:rsid w:val="003D7635"/>
    <w:rsid w:val="003D7A50"/>
    <w:rsid w:val="003D7F5B"/>
    <w:rsid w:val="003E010A"/>
    <w:rsid w:val="003E0267"/>
    <w:rsid w:val="003E033A"/>
    <w:rsid w:val="003E046C"/>
    <w:rsid w:val="003E0760"/>
    <w:rsid w:val="003E07AE"/>
    <w:rsid w:val="003E0F37"/>
    <w:rsid w:val="003E2AE4"/>
    <w:rsid w:val="003E34AC"/>
    <w:rsid w:val="003E36B1"/>
    <w:rsid w:val="003E5BFD"/>
    <w:rsid w:val="003E5FB4"/>
    <w:rsid w:val="003E66B7"/>
    <w:rsid w:val="003E67AC"/>
    <w:rsid w:val="003E68A5"/>
    <w:rsid w:val="003E6FB0"/>
    <w:rsid w:val="003E7057"/>
    <w:rsid w:val="003E7201"/>
    <w:rsid w:val="003E7677"/>
    <w:rsid w:val="003E7E0E"/>
    <w:rsid w:val="003F01C2"/>
    <w:rsid w:val="003F039C"/>
    <w:rsid w:val="003F0610"/>
    <w:rsid w:val="003F094A"/>
    <w:rsid w:val="003F0FA0"/>
    <w:rsid w:val="003F1562"/>
    <w:rsid w:val="003F1788"/>
    <w:rsid w:val="003F1C09"/>
    <w:rsid w:val="003F1E7F"/>
    <w:rsid w:val="003F246F"/>
    <w:rsid w:val="003F2BD8"/>
    <w:rsid w:val="003F3C00"/>
    <w:rsid w:val="003F3D69"/>
    <w:rsid w:val="003F3DD4"/>
    <w:rsid w:val="003F4144"/>
    <w:rsid w:val="003F447E"/>
    <w:rsid w:val="003F5016"/>
    <w:rsid w:val="003F517F"/>
    <w:rsid w:val="003F5254"/>
    <w:rsid w:val="003F5E9A"/>
    <w:rsid w:val="003F603C"/>
    <w:rsid w:val="003F610A"/>
    <w:rsid w:val="003F6215"/>
    <w:rsid w:val="003F62FC"/>
    <w:rsid w:val="003F6F4B"/>
    <w:rsid w:val="003F7331"/>
    <w:rsid w:val="003F77D2"/>
    <w:rsid w:val="003F78D6"/>
    <w:rsid w:val="003F7BA9"/>
    <w:rsid w:val="003F7BD6"/>
    <w:rsid w:val="003F7C8F"/>
    <w:rsid w:val="00400244"/>
    <w:rsid w:val="004005C6"/>
    <w:rsid w:val="004011DA"/>
    <w:rsid w:val="00401473"/>
    <w:rsid w:val="00401B7A"/>
    <w:rsid w:val="0040244D"/>
    <w:rsid w:val="004025A6"/>
    <w:rsid w:val="004027CF"/>
    <w:rsid w:val="00402816"/>
    <w:rsid w:val="00403589"/>
    <w:rsid w:val="004037BA"/>
    <w:rsid w:val="004048EA"/>
    <w:rsid w:val="004055F4"/>
    <w:rsid w:val="00406051"/>
    <w:rsid w:val="00406378"/>
    <w:rsid w:val="00406D0C"/>
    <w:rsid w:val="00407155"/>
    <w:rsid w:val="004071FF"/>
    <w:rsid w:val="00407D78"/>
    <w:rsid w:val="00410A48"/>
    <w:rsid w:val="00410C44"/>
    <w:rsid w:val="00410D26"/>
    <w:rsid w:val="004121C2"/>
    <w:rsid w:val="0041257D"/>
    <w:rsid w:val="004127F1"/>
    <w:rsid w:val="00413091"/>
    <w:rsid w:val="004133A8"/>
    <w:rsid w:val="004138B8"/>
    <w:rsid w:val="00413C67"/>
    <w:rsid w:val="00413EE2"/>
    <w:rsid w:val="00413F14"/>
    <w:rsid w:val="004140E0"/>
    <w:rsid w:val="004142B0"/>
    <w:rsid w:val="004147FE"/>
    <w:rsid w:val="004148C2"/>
    <w:rsid w:val="00414E2F"/>
    <w:rsid w:val="004150D2"/>
    <w:rsid w:val="0041578A"/>
    <w:rsid w:val="00415892"/>
    <w:rsid w:val="00415A68"/>
    <w:rsid w:val="00415A73"/>
    <w:rsid w:val="00415AE4"/>
    <w:rsid w:val="00415EB7"/>
    <w:rsid w:val="00415FD3"/>
    <w:rsid w:val="00416159"/>
    <w:rsid w:val="00416198"/>
    <w:rsid w:val="0041650F"/>
    <w:rsid w:val="004166E8"/>
    <w:rsid w:val="00417653"/>
    <w:rsid w:val="004177AE"/>
    <w:rsid w:val="004177B0"/>
    <w:rsid w:val="00417E21"/>
    <w:rsid w:val="00417F33"/>
    <w:rsid w:val="00417FDB"/>
    <w:rsid w:val="00420B22"/>
    <w:rsid w:val="00420CA6"/>
    <w:rsid w:val="0042145A"/>
    <w:rsid w:val="00421AB5"/>
    <w:rsid w:val="004221C1"/>
    <w:rsid w:val="0042232C"/>
    <w:rsid w:val="0042243C"/>
    <w:rsid w:val="004226F1"/>
    <w:rsid w:val="004228ED"/>
    <w:rsid w:val="00422BB7"/>
    <w:rsid w:val="00422E02"/>
    <w:rsid w:val="00423A9F"/>
    <w:rsid w:val="00424093"/>
    <w:rsid w:val="004243BF"/>
    <w:rsid w:val="00425159"/>
    <w:rsid w:val="00425D92"/>
    <w:rsid w:val="00426BC0"/>
    <w:rsid w:val="004279DC"/>
    <w:rsid w:val="004301B6"/>
    <w:rsid w:val="004302E3"/>
    <w:rsid w:val="0043081C"/>
    <w:rsid w:val="004309D8"/>
    <w:rsid w:val="004314D7"/>
    <w:rsid w:val="004323BB"/>
    <w:rsid w:val="004324EC"/>
    <w:rsid w:val="00432E9D"/>
    <w:rsid w:val="0043364F"/>
    <w:rsid w:val="00433796"/>
    <w:rsid w:val="00433974"/>
    <w:rsid w:val="00433E15"/>
    <w:rsid w:val="00433F9C"/>
    <w:rsid w:val="0043432A"/>
    <w:rsid w:val="0043476E"/>
    <w:rsid w:val="00434A23"/>
    <w:rsid w:val="00434B53"/>
    <w:rsid w:val="004350FA"/>
    <w:rsid w:val="00435540"/>
    <w:rsid w:val="004355CD"/>
    <w:rsid w:val="00435DDC"/>
    <w:rsid w:val="004360DA"/>
    <w:rsid w:val="004366EA"/>
    <w:rsid w:val="00436941"/>
    <w:rsid w:val="00437143"/>
    <w:rsid w:val="00437B6A"/>
    <w:rsid w:val="0044006A"/>
    <w:rsid w:val="004409A1"/>
    <w:rsid w:val="00440FC3"/>
    <w:rsid w:val="004414E5"/>
    <w:rsid w:val="004418CA"/>
    <w:rsid w:val="00441A43"/>
    <w:rsid w:val="00441C6B"/>
    <w:rsid w:val="00442295"/>
    <w:rsid w:val="00442459"/>
    <w:rsid w:val="00442F95"/>
    <w:rsid w:val="00443214"/>
    <w:rsid w:val="0044364B"/>
    <w:rsid w:val="00443CCF"/>
    <w:rsid w:val="0044466F"/>
    <w:rsid w:val="00444F17"/>
    <w:rsid w:val="00445FE8"/>
    <w:rsid w:val="0044658F"/>
    <w:rsid w:val="00446753"/>
    <w:rsid w:val="00447083"/>
    <w:rsid w:val="004475A4"/>
    <w:rsid w:val="004479E0"/>
    <w:rsid w:val="00450385"/>
    <w:rsid w:val="00450CE2"/>
    <w:rsid w:val="00450E99"/>
    <w:rsid w:val="004517E2"/>
    <w:rsid w:val="00451A65"/>
    <w:rsid w:val="00451EE7"/>
    <w:rsid w:val="0045207A"/>
    <w:rsid w:val="0045235A"/>
    <w:rsid w:val="004523DA"/>
    <w:rsid w:val="004524B4"/>
    <w:rsid w:val="00452F01"/>
    <w:rsid w:val="004530B1"/>
    <w:rsid w:val="004535BC"/>
    <w:rsid w:val="00453F24"/>
    <w:rsid w:val="00454170"/>
    <w:rsid w:val="00454213"/>
    <w:rsid w:val="00454582"/>
    <w:rsid w:val="00454F66"/>
    <w:rsid w:val="00455734"/>
    <w:rsid w:val="00455E29"/>
    <w:rsid w:val="00456114"/>
    <w:rsid w:val="00456E83"/>
    <w:rsid w:val="00457072"/>
    <w:rsid w:val="004578C6"/>
    <w:rsid w:val="00457F28"/>
    <w:rsid w:val="00457FDA"/>
    <w:rsid w:val="0046033A"/>
    <w:rsid w:val="00460881"/>
    <w:rsid w:val="00460A9E"/>
    <w:rsid w:val="00460ECF"/>
    <w:rsid w:val="00460F1E"/>
    <w:rsid w:val="00461763"/>
    <w:rsid w:val="0046190A"/>
    <w:rsid w:val="00461E4A"/>
    <w:rsid w:val="00461E90"/>
    <w:rsid w:val="00461ED4"/>
    <w:rsid w:val="004623A6"/>
    <w:rsid w:val="00462A0F"/>
    <w:rsid w:val="00462BDD"/>
    <w:rsid w:val="00462D59"/>
    <w:rsid w:val="00463185"/>
    <w:rsid w:val="004638DB"/>
    <w:rsid w:val="00463949"/>
    <w:rsid w:val="00464611"/>
    <w:rsid w:val="00464F20"/>
    <w:rsid w:val="00465167"/>
    <w:rsid w:val="004653FF"/>
    <w:rsid w:val="0046566D"/>
    <w:rsid w:val="00465EBE"/>
    <w:rsid w:val="00466209"/>
    <w:rsid w:val="004664C7"/>
    <w:rsid w:val="004667DF"/>
    <w:rsid w:val="00466C5A"/>
    <w:rsid w:val="004671D5"/>
    <w:rsid w:val="00470632"/>
    <w:rsid w:val="0047087B"/>
    <w:rsid w:val="00470D14"/>
    <w:rsid w:val="00470E8F"/>
    <w:rsid w:val="0047130F"/>
    <w:rsid w:val="00471415"/>
    <w:rsid w:val="0047213E"/>
    <w:rsid w:val="0047276F"/>
    <w:rsid w:val="004728AB"/>
    <w:rsid w:val="00472C8C"/>
    <w:rsid w:val="00472F0A"/>
    <w:rsid w:val="0047316A"/>
    <w:rsid w:val="00473375"/>
    <w:rsid w:val="004738D7"/>
    <w:rsid w:val="00473F7F"/>
    <w:rsid w:val="004742D4"/>
    <w:rsid w:val="00474A0E"/>
    <w:rsid w:val="00474C9D"/>
    <w:rsid w:val="0047505D"/>
    <w:rsid w:val="00475429"/>
    <w:rsid w:val="004758D4"/>
    <w:rsid w:val="00475AE3"/>
    <w:rsid w:val="00475BD0"/>
    <w:rsid w:val="0047612A"/>
    <w:rsid w:val="00476505"/>
    <w:rsid w:val="0047685A"/>
    <w:rsid w:val="00476B45"/>
    <w:rsid w:val="00476F02"/>
    <w:rsid w:val="00477267"/>
    <w:rsid w:val="00477709"/>
    <w:rsid w:val="00477E55"/>
    <w:rsid w:val="00480C88"/>
    <w:rsid w:val="00481195"/>
    <w:rsid w:val="004812EF"/>
    <w:rsid w:val="0048174E"/>
    <w:rsid w:val="0048191B"/>
    <w:rsid w:val="00481EAA"/>
    <w:rsid w:val="00482C6A"/>
    <w:rsid w:val="00482E21"/>
    <w:rsid w:val="0048319E"/>
    <w:rsid w:val="004831FA"/>
    <w:rsid w:val="00483B09"/>
    <w:rsid w:val="00484BE7"/>
    <w:rsid w:val="00484D1F"/>
    <w:rsid w:val="00484E15"/>
    <w:rsid w:val="00484EF4"/>
    <w:rsid w:val="004854AD"/>
    <w:rsid w:val="004856EC"/>
    <w:rsid w:val="00485C88"/>
    <w:rsid w:val="00485D5A"/>
    <w:rsid w:val="00486160"/>
    <w:rsid w:val="0048635F"/>
    <w:rsid w:val="00486378"/>
    <w:rsid w:val="00486468"/>
    <w:rsid w:val="0048675D"/>
    <w:rsid w:val="004871C1"/>
    <w:rsid w:val="00487347"/>
    <w:rsid w:val="00487BD8"/>
    <w:rsid w:val="00487BE9"/>
    <w:rsid w:val="0049019F"/>
    <w:rsid w:val="00490B76"/>
    <w:rsid w:val="00490FD6"/>
    <w:rsid w:val="0049103A"/>
    <w:rsid w:val="00491AC5"/>
    <w:rsid w:val="004921A5"/>
    <w:rsid w:val="00492B4C"/>
    <w:rsid w:val="0049353E"/>
    <w:rsid w:val="00493658"/>
    <w:rsid w:val="00493BFA"/>
    <w:rsid w:val="004944FB"/>
    <w:rsid w:val="004947CE"/>
    <w:rsid w:val="00494B32"/>
    <w:rsid w:val="00494EF0"/>
    <w:rsid w:val="00494FAF"/>
    <w:rsid w:val="004951AC"/>
    <w:rsid w:val="004952ED"/>
    <w:rsid w:val="0049544C"/>
    <w:rsid w:val="004954A3"/>
    <w:rsid w:val="004955F1"/>
    <w:rsid w:val="00495F50"/>
    <w:rsid w:val="00496370"/>
    <w:rsid w:val="004963B9"/>
    <w:rsid w:val="00496591"/>
    <w:rsid w:val="0049699A"/>
    <w:rsid w:val="004969A3"/>
    <w:rsid w:val="00496B7F"/>
    <w:rsid w:val="00496F21"/>
    <w:rsid w:val="0049725E"/>
    <w:rsid w:val="004A05D4"/>
    <w:rsid w:val="004A099A"/>
    <w:rsid w:val="004A0B06"/>
    <w:rsid w:val="004A0C46"/>
    <w:rsid w:val="004A14A5"/>
    <w:rsid w:val="004A19C0"/>
    <w:rsid w:val="004A1BF5"/>
    <w:rsid w:val="004A1C3A"/>
    <w:rsid w:val="004A215E"/>
    <w:rsid w:val="004A22FE"/>
    <w:rsid w:val="004A249E"/>
    <w:rsid w:val="004A2A9F"/>
    <w:rsid w:val="004A2DB4"/>
    <w:rsid w:val="004A3198"/>
    <w:rsid w:val="004A39A0"/>
    <w:rsid w:val="004A3A45"/>
    <w:rsid w:val="004A3AF6"/>
    <w:rsid w:val="004A4B64"/>
    <w:rsid w:val="004A4FCC"/>
    <w:rsid w:val="004A5F30"/>
    <w:rsid w:val="004A6144"/>
    <w:rsid w:val="004A6437"/>
    <w:rsid w:val="004A7787"/>
    <w:rsid w:val="004A793A"/>
    <w:rsid w:val="004B1170"/>
    <w:rsid w:val="004B121D"/>
    <w:rsid w:val="004B16F5"/>
    <w:rsid w:val="004B1794"/>
    <w:rsid w:val="004B1BB0"/>
    <w:rsid w:val="004B2092"/>
    <w:rsid w:val="004B2AAC"/>
    <w:rsid w:val="004B30EF"/>
    <w:rsid w:val="004B3194"/>
    <w:rsid w:val="004B335B"/>
    <w:rsid w:val="004B34E3"/>
    <w:rsid w:val="004B3CF8"/>
    <w:rsid w:val="004B3DDF"/>
    <w:rsid w:val="004B41CF"/>
    <w:rsid w:val="004B45E6"/>
    <w:rsid w:val="004B4AF3"/>
    <w:rsid w:val="004B4D28"/>
    <w:rsid w:val="004B4DDC"/>
    <w:rsid w:val="004B4F0C"/>
    <w:rsid w:val="004B55A6"/>
    <w:rsid w:val="004B5929"/>
    <w:rsid w:val="004B5C9A"/>
    <w:rsid w:val="004B5F85"/>
    <w:rsid w:val="004B622C"/>
    <w:rsid w:val="004B631A"/>
    <w:rsid w:val="004B67B4"/>
    <w:rsid w:val="004B6917"/>
    <w:rsid w:val="004B6B3F"/>
    <w:rsid w:val="004B6E90"/>
    <w:rsid w:val="004B72F1"/>
    <w:rsid w:val="004B75BB"/>
    <w:rsid w:val="004B7E2F"/>
    <w:rsid w:val="004C0FAB"/>
    <w:rsid w:val="004C122F"/>
    <w:rsid w:val="004C129A"/>
    <w:rsid w:val="004C139D"/>
    <w:rsid w:val="004C1C0B"/>
    <w:rsid w:val="004C2CFE"/>
    <w:rsid w:val="004C317D"/>
    <w:rsid w:val="004C335A"/>
    <w:rsid w:val="004C34DD"/>
    <w:rsid w:val="004C355E"/>
    <w:rsid w:val="004C398C"/>
    <w:rsid w:val="004C44E4"/>
    <w:rsid w:val="004C54FE"/>
    <w:rsid w:val="004C5881"/>
    <w:rsid w:val="004C6005"/>
    <w:rsid w:val="004C6D1A"/>
    <w:rsid w:val="004C714D"/>
    <w:rsid w:val="004C7222"/>
    <w:rsid w:val="004D0118"/>
    <w:rsid w:val="004D04CF"/>
    <w:rsid w:val="004D0578"/>
    <w:rsid w:val="004D05ED"/>
    <w:rsid w:val="004D0EEE"/>
    <w:rsid w:val="004D12C0"/>
    <w:rsid w:val="004D170D"/>
    <w:rsid w:val="004D22DF"/>
    <w:rsid w:val="004D24BC"/>
    <w:rsid w:val="004D2B9A"/>
    <w:rsid w:val="004D2F8A"/>
    <w:rsid w:val="004D3532"/>
    <w:rsid w:val="004D3CE8"/>
    <w:rsid w:val="004D43EA"/>
    <w:rsid w:val="004D445A"/>
    <w:rsid w:val="004D47A9"/>
    <w:rsid w:val="004D49FD"/>
    <w:rsid w:val="004D5783"/>
    <w:rsid w:val="004D5815"/>
    <w:rsid w:val="004D59D2"/>
    <w:rsid w:val="004D5D22"/>
    <w:rsid w:val="004D689F"/>
    <w:rsid w:val="004D70D0"/>
    <w:rsid w:val="004D799F"/>
    <w:rsid w:val="004D7A69"/>
    <w:rsid w:val="004D7AF1"/>
    <w:rsid w:val="004E06B1"/>
    <w:rsid w:val="004E0FBD"/>
    <w:rsid w:val="004E10D4"/>
    <w:rsid w:val="004E1323"/>
    <w:rsid w:val="004E16B1"/>
    <w:rsid w:val="004E1A1C"/>
    <w:rsid w:val="004E1C8C"/>
    <w:rsid w:val="004E2AF3"/>
    <w:rsid w:val="004E398F"/>
    <w:rsid w:val="004E40AD"/>
    <w:rsid w:val="004E4550"/>
    <w:rsid w:val="004E50DC"/>
    <w:rsid w:val="004E5133"/>
    <w:rsid w:val="004E5649"/>
    <w:rsid w:val="004E5855"/>
    <w:rsid w:val="004E58F5"/>
    <w:rsid w:val="004E5962"/>
    <w:rsid w:val="004E5DE1"/>
    <w:rsid w:val="004E6223"/>
    <w:rsid w:val="004E6654"/>
    <w:rsid w:val="004E762E"/>
    <w:rsid w:val="004E76C1"/>
    <w:rsid w:val="004E76F9"/>
    <w:rsid w:val="004E7948"/>
    <w:rsid w:val="004E7A80"/>
    <w:rsid w:val="004F03C9"/>
    <w:rsid w:val="004F07C7"/>
    <w:rsid w:val="004F08A4"/>
    <w:rsid w:val="004F0B28"/>
    <w:rsid w:val="004F1BFC"/>
    <w:rsid w:val="004F280B"/>
    <w:rsid w:val="004F3268"/>
    <w:rsid w:val="004F376F"/>
    <w:rsid w:val="004F37E6"/>
    <w:rsid w:val="004F3B78"/>
    <w:rsid w:val="004F3D50"/>
    <w:rsid w:val="004F3F5C"/>
    <w:rsid w:val="004F4091"/>
    <w:rsid w:val="004F41D6"/>
    <w:rsid w:val="004F4D5C"/>
    <w:rsid w:val="004F4FA7"/>
    <w:rsid w:val="004F5011"/>
    <w:rsid w:val="004F54A3"/>
    <w:rsid w:val="004F573A"/>
    <w:rsid w:val="004F5EB4"/>
    <w:rsid w:val="004F5FB7"/>
    <w:rsid w:val="004F5FCF"/>
    <w:rsid w:val="004F6044"/>
    <w:rsid w:val="004F6F0B"/>
    <w:rsid w:val="004F7065"/>
    <w:rsid w:val="004F73EF"/>
    <w:rsid w:val="004F7930"/>
    <w:rsid w:val="004F7DE2"/>
    <w:rsid w:val="005001FD"/>
    <w:rsid w:val="005002E4"/>
    <w:rsid w:val="005003F6"/>
    <w:rsid w:val="0050077B"/>
    <w:rsid w:val="00500A68"/>
    <w:rsid w:val="00501655"/>
    <w:rsid w:val="00501673"/>
    <w:rsid w:val="005019C3"/>
    <w:rsid w:val="00501C66"/>
    <w:rsid w:val="0050407E"/>
    <w:rsid w:val="0050486F"/>
    <w:rsid w:val="00504945"/>
    <w:rsid w:val="00504E90"/>
    <w:rsid w:val="00505017"/>
    <w:rsid w:val="005069A1"/>
    <w:rsid w:val="00506C23"/>
    <w:rsid w:val="005070C4"/>
    <w:rsid w:val="0050742E"/>
    <w:rsid w:val="005105FF"/>
    <w:rsid w:val="00510EA6"/>
    <w:rsid w:val="005116B0"/>
    <w:rsid w:val="00511A00"/>
    <w:rsid w:val="00511A6E"/>
    <w:rsid w:val="00511AA6"/>
    <w:rsid w:val="005120FB"/>
    <w:rsid w:val="00512957"/>
    <w:rsid w:val="00512A00"/>
    <w:rsid w:val="00513D39"/>
    <w:rsid w:val="00514357"/>
    <w:rsid w:val="005150EE"/>
    <w:rsid w:val="0051516D"/>
    <w:rsid w:val="005152DE"/>
    <w:rsid w:val="0051576E"/>
    <w:rsid w:val="00515994"/>
    <w:rsid w:val="00515B39"/>
    <w:rsid w:val="00515B61"/>
    <w:rsid w:val="00515BBB"/>
    <w:rsid w:val="00515D7C"/>
    <w:rsid w:val="005161B8"/>
    <w:rsid w:val="00516279"/>
    <w:rsid w:val="0051648A"/>
    <w:rsid w:val="0051670F"/>
    <w:rsid w:val="00516977"/>
    <w:rsid w:val="00516C6B"/>
    <w:rsid w:val="00516EBC"/>
    <w:rsid w:val="0051712D"/>
    <w:rsid w:val="00517951"/>
    <w:rsid w:val="00517BC5"/>
    <w:rsid w:val="00517F4A"/>
    <w:rsid w:val="00520277"/>
    <w:rsid w:val="00520442"/>
    <w:rsid w:val="0052059B"/>
    <w:rsid w:val="00520A13"/>
    <w:rsid w:val="00520CE1"/>
    <w:rsid w:val="005216F7"/>
    <w:rsid w:val="0052170B"/>
    <w:rsid w:val="005225F6"/>
    <w:rsid w:val="00522A88"/>
    <w:rsid w:val="00523A7F"/>
    <w:rsid w:val="00523A84"/>
    <w:rsid w:val="00523C2B"/>
    <w:rsid w:val="005243CF"/>
    <w:rsid w:val="00524511"/>
    <w:rsid w:val="0052483C"/>
    <w:rsid w:val="00524B86"/>
    <w:rsid w:val="00524C1E"/>
    <w:rsid w:val="00525FF1"/>
    <w:rsid w:val="00526088"/>
    <w:rsid w:val="005265C0"/>
    <w:rsid w:val="00526C97"/>
    <w:rsid w:val="0052700E"/>
    <w:rsid w:val="00527296"/>
    <w:rsid w:val="0052744A"/>
    <w:rsid w:val="00527598"/>
    <w:rsid w:val="0053005C"/>
    <w:rsid w:val="00530529"/>
    <w:rsid w:val="0053099F"/>
    <w:rsid w:val="00530A24"/>
    <w:rsid w:val="00530AF9"/>
    <w:rsid w:val="00530D7D"/>
    <w:rsid w:val="00531BC6"/>
    <w:rsid w:val="00531D21"/>
    <w:rsid w:val="00532015"/>
    <w:rsid w:val="00532236"/>
    <w:rsid w:val="005322D6"/>
    <w:rsid w:val="00532503"/>
    <w:rsid w:val="00533508"/>
    <w:rsid w:val="0053391B"/>
    <w:rsid w:val="005345B3"/>
    <w:rsid w:val="00534BE7"/>
    <w:rsid w:val="00535376"/>
    <w:rsid w:val="005357AA"/>
    <w:rsid w:val="00535A27"/>
    <w:rsid w:val="00535BAA"/>
    <w:rsid w:val="00535F38"/>
    <w:rsid w:val="005365A1"/>
    <w:rsid w:val="00536925"/>
    <w:rsid w:val="00536D61"/>
    <w:rsid w:val="00537580"/>
    <w:rsid w:val="005377F4"/>
    <w:rsid w:val="005407A1"/>
    <w:rsid w:val="00540B7A"/>
    <w:rsid w:val="00541369"/>
    <w:rsid w:val="00541E01"/>
    <w:rsid w:val="00542262"/>
    <w:rsid w:val="005438E3"/>
    <w:rsid w:val="00543969"/>
    <w:rsid w:val="00543EA9"/>
    <w:rsid w:val="0054424E"/>
    <w:rsid w:val="0054472A"/>
    <w:rsid w:val="00544C36"/>
    <w:rsid w:val="00544E82"/>
    <w:rsid w:val="0054500A"/>
    <w:rsid w:val="0054560B"/>
    <w:rsid w:val="00545750"/>
    <w:rsid w:val="005468D7"/>
    <w:rsid w:val="0054697E"/>
    <w:rsid w:val="005507BC"/>
    <w:rsid w:val="00550B7F"/>
    <w:rsid w:val="00550FD2"/>
    <w:rsid w:val="00551245"/>
    <w:rsid w:val="005514A6"/>
    <w:rsid w:val="00551CBC"/>
    <w:rsid w:val="00551F70"/>
    <w:rsid w:val="00552165"/>
    <w:rsid w:val="0055219B"/>
    <w:rsid w:val="0055260C"/>
    <w:rsid w:val="005528F8"/>
    <w:rsid w:val="00552993"/>
    <w:rsid w:val="00552E04"/>
    <w:rsid w:val="005532D2"/>
    <w:rsid w:val="00553819"/>
    <w:rsid w:val="00553B28"/>
    <w:rsid w:val="005543CE"/>
    <w:rsid w:val="00554CC6"/>
    <w:rsid w:val="005550BB"/>
    <w:rsid w:val="005554D4"/>
    <w:rsid w:val="00555758"/>
    <w:rsid w:val="0055575E"/>
    <w:rsid w:val="00555E97"/>
    <w:rsid w:val="00556021"/>
    <w:rsid w:val="005568CF"/>
    <w:rsid w:val="00556B46"/>
    <w:rsid w:val="0055704D"/>
    <w:rsid w:val="005578A9"/>
    <w:rsid w:val="00557BA8"/>
    <w:rsid w:val="00557C9F"/>
    <w:rsid w:val="00560241"/>
    <w:rsid w:val="005607DD"/>
    <w:rsid w:val="005609CB"/>
    <w:rsid w:val="005613CA"/>
    <w:rsid w:val="0056182F"/>
    <w:rsid w:val="00561859"/>
    <w:rsid w:val="005621A2"/>
    <w:rsid w:val="005626D0"/>
    <w:rsid w:val="00562785"/>
    <w:rsid w:val="00562B67"/>
    <w:rsid w:val="005634B3"/>
    <w:rsid w:val="0056393E"/>
    <w:rsid w:val="00563BDF"/>
    <w:rsid w:val="00564751"/>
    <w:rsid w:val="005648F7"/>
    <w:rsid w:val="00564D71"/>
    <w:rsid w:val="00564F7C"/>
    <w:rsid w:val="0056518E"/>
    <w:rsid w:val="00565367"/>
    <w:rsid w:val="005655EF"/>
    <w:rsid w:val="005657AB"/>
    <w:rsid w:val="0056607D"/>
    <w:rsid w:val="00566D7E"/>
    <w:rsid w:val="00567055"/>
    <w:rsid w:val="00567369"/>
    <w:rsid w:val="005674A1"/>
    <w:rsid w:val="00567BFB"/>
    <w:rsid w:val="00567E9E"/>
    <w:rsid w:val="00567EEF"/>
    <w:rsid w:val="005705C8"/>
    <w:rsid w:val="00570F51"/>
    <w:rsid w:val="00571965"/>
    <w:rsid w:val="00572304"/>
    <w:rsid w:val="00572C5B"/>
    <w:rsid w:val="00572F34"/>
    <w:rsid w:val="005730F9"/>
    <w:rsid w:val="0057362A"/>
    <w:rsid w:val="00573CBB"/>
    <w:rsid w:val="005740CF"/>
    <w:rsid w:val="0057433D"/>
    <w:rsid w:val="005744B1"/>
    <w:rsid w:val="00574594"/>
    <w:rsid w:val="00574C29"/>
    <w:rsid w:val="005752D9"/>
    <w:rsid w:val="0057558A"/>
    <w:rsid w:val="00575FAD"/>
    <w:rsid w:val="00576D9B"/>
    <w:rsid w:val="00577005"/>
    <w:rsid w:val="0057782D"/>
    <w:rsid w:val="005779FB"/>
    <w:rsid w:val="00577DE4"/>
    <w:rsid w:val="005809BA"/>
    <w:rsid w:val="0058171E"/>
    <w:rsid w:val="0058187E"/>
    <w:rsid w:val="00581CD1"/>
    <w:rsid w:val="00582842"/>
    <w:rsid w:val="0058326D"/>
    <w:rsid w:val="00583760"/>
    <w:rsid w:val="0058388E"/>
    <w:rsid w:val="00583CB9"/>
    <w:rsid w:val="00584199"/>
    <w:rsid w:val="005852E8"/>
    <w:rsid w:val="0058570C"/>
    <w:rsid w:val="00586556"/>
    <w:rsid w:val="0058708C"/>
    <w:rsid w:val="0058729D"/>
    <w:rsid w:val="00587B31"/>
    <w:rsid w:val="00590169"/>
    <w:rsid w:val="005905FE"/>
    <w:rsid w:val="0059096B"/>
    <w:rsid w:val="00590992"/>
    <w:rsid w:val="005909C6"/>
    <w:rsid w:val="00590C6E"/>
    <w:rsid w:val="00591712"/>
    <w:rsid w:val="00591C5C"/>
    <w:rsid w:val="0059278E"/>
    <w:rsid w:val="00592FAC"/>
    <w:rsid w:val="00593103"/>
    <w:rsid w:val="005931C8"/>
    <w:rsid w:val="005937D5"/>
    <w:rsid w:val="0059383E"/>
    <w:rsid w:val="00593C97"/>
    <w:rsid w:val="00594379"/>
    <w:rsid w:val="00594B28"/>
    <w:rsid w:val="005958B1"/>
    <w:rsid w:val="00595B70"/>
    <w:rsid w:val="00596209"/>
    <w:rsid w:val="00596217"/>
    <w:rsid w:val="00596350"/>
    <w:rsid w:val="0059644C"/>
    <w:rsid w:val="00597616"/>
    <w:rsid w:val="005A022B"/>
    <w:rsid w:val="005A0C95"/>
    <w:rsid w:val="005A11F7"/>
    <w:rsid w:val="005A127C"/>
    <w:rsid w:val="005A14EB"/>
    <w:rsid w:val="005A19A5"/>
    <w:rsid w:val="005A19E7"/>
    <w:rsid w:val="005A1A51"/>
    <w:rsid w:val="005A1ACF"/>
    <w:rsid w:val="005A1D0B"/>
    <w:rsid w:val="005A2D46"/>
    <w:rsid w:val="005A2E98"/>
    <w:rsid w:val="005A30E2"/>
    <w:rsid w:val="005A37B9"/>
    <w:rsid w:val="005A42BE"/>
    <w:rsid w:val="005A431A"/>
    <w:rsid w:val="005A538D"/>
    <w:rsid w:val="005A5F1E"/>
    <w:rsid w:val="005A5F81"/>
    <w:rsid w:val="005A720E"/>
    <w:rsid w:val="005A7363"/>
    <w:rsid w:val="005A757B"/>
    <w:rsid w:val="005A78CA"/>
    <w:rsid w:val="005B0641"/>
    <w:rsid w:val="005B0D97"/>
    <w:rsid w:val="005B0E83"/>
    <w:rsid w:val="005B152D"/>
    <w:rsid w:val="005B1576"/>
    <w:rsid w:val="005B1682"/>
    <w:rsid w:val="005B2347"/>
    <w:rsid w:val="005B255F"/>
    <w:rsid w:val="005B25AF"/>
    <w:rsid w:val="005B2DD8"/>
    <w:rsid w:val="005B3771"/>
    <w:rsid w:val="005B37E7"/>
    <w:rsid w:val="005B3C53"/>
    <w:rsid w:val="005B4340"/>
    <w:rsid w:val="005B46EB"/>
    <w:rsid w:val="005B47C5"/>
    <w:rsid w:val="005B4CF5"/>
    <w:rsid w:val="005B5899"/>
    <w:rsid w:val="005B60A3"/>
    <w:rsid w:val="005B63B3"/>
    <w:rsid w:val="005B7749"/>
    <w:rsid w:val="005B7803"/>
    <w:rsid w:val="005B7C85"/>
    <w:rsid w:val="005C0050"/>
    <w:rsid w:val="005C0857"/>
    <w:rsid w:val="005C0BDD"/>
    <w:rsid w:val="005C114A"/>
    <w:rsid w:val="005C1731"/>
    <w:rsid w:val="005C1A40"/>
    <w:rsid w:val="005C2939"/>
    <w:rsid w:val="005C345E"/>
    <w:rsid w:val="005C3A04"/>
    <w:rsid w:val="005C4731"/>
    <w:rsid w:val="005C4E35"/>
    <w:rsid w:val="005C5204"/>
    <w:rsid w:val="005C537A"/>
    <w:rsid w:val="005C547C"/>
    <w:rsid w:val="005C55D7"/>
    <w:rsid w:val="005C5673"/>
    <w:rsid w:val="005C5723"/>
    <w:rsid w:val="005C57AD"/>
    <w:rsid w:val="005C5967"/>
    <w:rsid w:val="005C5AAE"/>
    <w:rsid w:val="005C6979"/>
    <w:rsid w:val="005C6DDE"/>
    <w:rsid w:val="005C7716"/>
    <w:rsid w:val="005C77C9"/>
    <w:rsid w:val="005C7C9A"/>
    <w:rsid w:val="005C7D2A"/>
    <w:rsid w:val="005D02C0"/>
    <w:rsid w:val="005D0A3F"/>
    <w:rsid w:val="005D0DC3"/>
    <w:rsid w:val="005D1815"/>
    <w:rsid w:val="005D1CDE"/>
    <w:rsid w:val="005D1F6D"/>
    <w:rsid w:val="005D2016"/>
    <w:rsid w:val="005D2134"/>
    <w:rsid w:val="005D26E8"/>
    <w:rsid w:val="005D2798"/>
    <w:rsid w:val="005D28CA"/>
    <w:rsid w:val="005D2995"/>
    <w:rsid w:val="005D2A9A"/>
    <w:rsid w:val="005D2F48"/>
    <w:rsid w:val="005D2FB9"/>
    <w:rsid w:val="005D3B2F"/>
    <w:rsid w:val="005D4050"/>
    <w:rsid w:val="005D40A2"/>
    <w:rsid w:val="005D41A9"/>
    <w:rsid w:val="005D42A3"/>
    <w:rsid w:val="005D4361"/>
    <w:rsid w:val="005D4A3B"/>
    <w:rsid w:val="005D4ABA"/>
    <w:rsid w:val="005D4D0C"/>
    <w:rsid w:val="005D57AC"/>
    <w:rsid w:val="005D5E27"/>
    <w:rsid w:val="005D60D1"/>
    <w:rsid w:val="005D62B4"/>
    <w:rsid w:val="005D63AF"/>
    <w:rsid w:val="005D66CE"/>
    <w:rsid w:val="005D6AC0"/>
    <w:rsid w:val="005D6E10"/>
    <w:rsid w:val="005D6F09"/>
    <w:rsid w:val="005D781A"/>
    <w:rsid w:val="005D7AE5"/>
    <w:rsid w:val="005D7F29"/>
    <w:rsid w:val="005E0114"/>
    <w:rsid w:val="005E07DF"/>
    <w:rsid w:val="005E10F2"/>
    <w:rsid w:val="005E1395"/>
    <w:rsid w:val="005E1A6E"/>
    <w:rsid w:val="005E2210"/>
    <w:rsid w:val="005E23FD"/>
    <w:rsid w:val="005E280E"/>
    <w:rsid w:val="005E2A59"/>
    <w:rsid w:val="005E39CE"/>
    <w:rsid w:val="005E3CBA"/>
    <w:rsid w:val="005E498D"/>
    <w:rsid w:val="005E4E9D"/>
    <w:rsid w:val="005E55EF"/>
    <w:rsid w:val="005E5730"/>
    <w:rsid w:val="005E5E97"/>
    <w:rsid w:val="005E73D6"/>
    <w:rsid w:val="005E7817"/>
    <w:rsid w:val="005F0A61"/>
    <w:rsid w:val="005F0DE3"/>
    <w:rsid w:val="005F0E5B"/>
    <w:rsid w:val="005F1418"/>
    <w:rsid w:val="005F16C2"/>
    <w:rsid w:val="005F1BFB"/>
    <w:rsid w:val="005F1DB9"/>
    <w:rsid w:val="005F2405"/>
    <w:rsid w:val="005F251A"/>
    <w:rsid w:val="005F2747"/>
    <w:rsid w:val="005F280D"/>
    <w:rsid w:val="005F352E"/>
    <w:rsid w:val="005F381B"/>
    <w:rsid w:val="005F3C1A"/>
    <w:rsid w:val="005F42F2"/>
    <w:rsid w:val="005F47D1"/>
    <w:rsid w:val="005F552E"/>
    <w:rsid w:val="005F651C"/>
    <w:rsid w:val="005F663A"/>
    <w:rsid w:val="005F7014"/>
    <w:rsid w:val="005F7037"/>
    <w:rsid w:val="005F7039"/>
    <w:rsid w:val="005F7A9F"/>
    <w:rsid w:val="005F7E27"/>
    <w:rsid w:val="006005F2"/>
    <w:rsid w:val="00600654"/>
    <w:rsid w:val="006006E5"/>
    <w:rsid w:val="006009B5"/>
    <w:rsid w:val="00600CBB"/>
    <w:rsid w:val="00600D08"/>
    <w:rsid w:val="006012F7"/>
    <w:rsid w:val="006017C6"/>
    <w:rsid w:val="0060186B"/>
    <w:rsid w:val="00601DE8"/>
    <w:rsid w:val="00603F60"/>
    <w:rsid w:val="0060468E"/>
    <w:rsid w:val="00604707"/>
    <w:rsid w:val="00604764"/>
    <w:rsid w:val="00604A55"/>
    <w:rsid w:val="00604CAD"/>
    <w:rsid w:val="0060514B"/>
    <w:rsid w:val="006055A1"/>
    <w:rsid w:val="00605B08"/>
    <w:rsid w:val="00605FFC"/>
    <w:rsid w:val="00607074"/>
    <w:rsid w:val="00607568"/>
    <w:rsid w:val="00607C19"/>
    <w:rsid w:val="006108D5"/>
    <w:rsid w:val="00610C1C"/>
    <w:rsid w:val="00610D4D"/>
    <w:rsid w:val="00611067"/>
    <w:rsid w:val="00611715"/>
    <w:rsid w:val="00611774"/>
    <w:rsid w:val="0061248E"/>
    <w:rsid w:val="00612C28"/>
    <w:rsid w:val="00612F12"/>
    <w:rsid w:val="006130E7"/>
    <w:rsid w:val="0061323E"/>
    <w:rsid w:val="00613314"/>
    <w:rsid w:val="00614DAE"/>
    <w:rsid w:val="006150B6"/>
    <w:rsid w:val="0061538B"/>
    <w:rsid w:val="00615420"/>
    <w:rsid w:val="0061543F"/>
    <w:rsid w:val="00615D92"/>
    <w:rsid w:val="006165B0"/>
    <w:rsid w:val="00616957"/>
    <w:rsid w:val="00616CDC"/>
    <w:rsid w:val="006173F0"/>
    <w:rsid w:val="00620D58"/>
    <w:rsid w:val="00620DFD"/>
    <w:rsid w:val="00620E6F"/>
    <w:rsid w:val="00620E8B"/>
    <w:rsid w:val="006217F0"/>
    <w:rsid w:val="0062240E"/>
    <w:rsid w:val="0062283D"/>
    <w:rsid w:val="00622AD1"/>
    <w:rsid w:val="00622CFC"/>
    <w:rsid w:val="006233BE"/>
    <w:rsid w:val="0062360C"/>
    <w:rsid w:val="006238B2"/>
    <w:rsid w:val="00623EEF"/>
    <w:rsid w:val="00624791"/>
    <w:rsid w:val="0062480D"/>
    <w:rsid w:val="00624E72"/>
    <w:rsid w:val="00625A2B"/>
    <w:rsid w:val="00625D2C"/>
    <w:rsid w:val="006265DE"/>
    <w:rsid w:val="00626843"/>
    <w:rsid w:val="00626967"/>
    <w:rsid w:val="00626A18"/>
    <w:rsid w:val="00626A27"/>
    <w:rsid w:val="00626B7D"/>
    <w:rsid w:val="00626E11"/>
    <w:rsid w:val="00626EEB"/>
    <w:rsid w:val="006309B0"/>
    <w:rsid w:val="00631562"/>
    <w:rsid w:val="006315A4"/>
    <w:rsid w:val="006317C6"/>
    <w:rsid w:val="00631B9D"/>
    <w:rsid w:val="00631BDD"/>
    <w:rsid w:val="00631D94"/>
    <w:rsid w:val="006322EA"/>
    <w:rsid w:val="00632321"/>
    <w:rsid w:val="00632DE5"/>
    <w:rsid w:val="006333C3"/>
    <w:rsid w:val="00633F5E"/>
    <w:rsid w:val="00635094"/>
    <w:rsid w:val="00635171"/>
    <w:rsid w:val="00635E21"/>
    <w:rsid w:val="0063682A"/>
    <w:rsid w:val="00636B07"/>
    <w:rsid w:val="006374AE"/>
    <w:rsid w:val="006377EE"/>
    <w:rsid w:val="00637927"/>
    <w:rsid w:val="006402E1"/>
    <w:rsid w:val="00640477"/>
    <w:rsid w:val="00640664"/>
    <w:rsid w:val="00640998"/>
    <w:rsid w:val="00640F9F"/>
    <w:rsid w:val="0064145B"/>
    <w:rsid w:val="006415E7"/>
    <w:rsid w:val="00641A24"/>
    <w:rsid w:val="00641DEB"/>
    <w:rsid w:val="006426F9"/>
    <w:rsid w:val="0064343D"/>
    <w:rsid w:val="00643A84"/>
    <w:rsid w:val="00643DC1"/>
    <w:rsid w:val="00643F4B"/>
    <w:rsid w:val="0064407D"/>
    <w:rsid w:val="00645119"/>
    <w:rsid w:val="00645199"/>
    <w:rsid w:val="00645542"/>
    <w:rsid w:val="006458A8"/>
    <w:rsid w:val="00645B71"/>
    <w:rsid w:val="00645DE0"/>
    <w:rsid w:val="00645EBD"/>
    <w:rsid w:val="006463CD"/>
    <w:rsid w:val="006465D3"/>
    <w:rsid w:val="00646DC1"/>
    <w:rsid w:val="006471D9"/>
    <w:rsid w:val="006472E1"/>
    <w:rsid w:val="006473B3"/>
    <w:rsid w:val="0064770E"/>
    <w:rsid w:val="0065010A"/>
    <w:rsid w:val="006506E0"/>
    <w:rsid w:val="00650FE5"/>
    <w:rsid w:val="00651455"/>
    <w:rsid w:val="006514F1"/>
    <w:rsid w:val="006518CC"/>
    <w:rsid w:val="00651A1C"/>
    <w:rsid w:val="00652556"/>
    <w:rsid w:val="00652994"/>
    <w:rsid w:val="006537FB"/>
    <w:rsid w:val="00654A04"/>
    <w:rsid w:val="00654A52"/>
    <w:rsid w:val="00654B10"/>
    <w:rsid w:val="00654B58"/>
    <w:rsid w:val="00654C12"/>
    <w:rsid w:val="00655220"/>
    <w:rsid w:val="00655302"/>
    <w:rsid w:val="006553B4"/>
    <w:rsid w:val="00655554"/>
    <w:rsid w:val="0065576B"/>
    <w:rsid w:val="00656217"/>
    <w:rsid w:val="0065634A"/>
    <w:rsid w:val="0065650B"/>
    <w:rsid w:val="00656574"/>
    <w:rsid w:val="00656601"/>
    <w:rsid w:val="0065691F"/>
    <w:rsid w:val="0065697E"/>
    <w:rsid w:val="0065717A"/>
    <w:rsid w:val="00657630"/>
    <w:rsid w:val="0065777C"/>
    <w:rsid w:val="00657C18"/>
    <w:rsid w:val="00660420"/>
    <w:rsid w:val="0066076D"/>
    <w:rsid w:val="006608FA"/>
    <w:rsid w:val="00660A19"/>
    <w:rsid w:val="00661082"/>
    <w:rsid w:val="00661AA1"/>
    <w:rsid w:val="00661DE0"/>
    <w:rsid w:val="0066347D"/>
    <w:rsid w:val="0066349D"/>
    <w:rsid w:val="0066381A"/>
    <w:rsid w:val="00663918"/>
    <w:rsid w:val="006640EB"/>
    <w:rsid w:val="00664525"/>
    <w:rsid w:val="00664583"/>
    <w:rsid w:val="0066488B"/>
    <w:rsid w:val="00664CE5"/>
    <w:rsid w:val="00664F57"/>
    <w:rsid w:val="00664FEE"/>
    <w:rsid w:val="006650F5"/>
    <w:rsid w:val="00665257"/>
    <w:rsid w:val="00665D4D"/>
    <w:rsid w:val="00665D54"/>
    <w:rsid w:val="00666E51"/>
    <w:rsid w:val="0066740A"/>
    <w:rsid w:val="00667BFA"/>
    <w:rsid w:val="00667FBB"/>
    <w:rsid w:val="006706A2"/>
    <w:rsid w:val="006707CD"/>
    <w:rsid w:val="00670C86"/>
    <w:rsid w:val="00671683"/>
    <w:rsid w:val="00671764"/>
    <w:rsid w:val="00671BEB"/>
    <w:rsid w:val="0067256F"/>
    <w:rsid w:val="00673424"/>
    <w:rsid w:val="00673B69"/>
    <w:rsid w:val="0067647C"/>
    <w:rsid w:val="00676552"/>
    <w:rsid w:val="006767CF"/>
    <w:rsid w:val="00676FE7"/>
    <w:rsid w:val="006772F9"/>
    <w:rsid w:val="00677C02"/>
    <w:rsid w:val="00677CD5"/>
    <w:rsid w:val="00677FA2"/>
    <w:rsid w:val="006800A0"/>
    <w:rsid w:val="006801B5"/>
    <w:rsid w:val="0068024E"/>
    <w:rsid w:val="00680523"/>
    <w:rsid w:val="0068075F"/>
    <w:rsid w:val="00681629"/>
    <w:rsid w:val="00681E08"/>
    <w:rsid w:val="0068245F"/>
    <w:rsid w:val="0068271F"/>
    <w:rsid w:val="0068332D"/>
    <w:rsid w:val="00683ADC"/>
    <w:rsid w:val="00683D75"/>
    <w:rsid w:val="00684384"/>
    <w:rsid w:val="00684890"/>
    <w:rsid w:val="00684FDE"/>
    <w:rsid w:val="00685091"/>
    <w:rsid w:val="00685171"/>
    <w:rsid w:val="00685467"/>
    <w:rsid w:val="00685964"/>
    <w:rsid w:val="006860C7"/>
    <w:rsid w:val="00686705"/>
    <w:rsid w:val="00687287"/>
    <w:rsid w:val="006874EF"/>
    <w:rsid w:val="00687939"/>
    <w:rsid w:val="006905A3"/>
    <w:rsid w:val="00690CDF"/>
    <w:rsid w:val="00691070"/>
    <w:rsid w:val="00691994"/>
    <w:rsid w:val="00691B09"/>
    <w:rsid w:val="00691E59"/>
    <w:rsid w:val="00691FB3"/>
    <w:rsid w:val="00692062"/>
    <w:rsid w:val="00692D76"/>
    <w:rsid w:val="0069306E"/>
    <w:rsid w:val="00693546"/>
    <w:rsid w:val="00693E58"/>
    <w:rsid w:val="00693E95"/>
    <w:rsid w:val="00694069"/>
    <w:rsid w:val="006945F9"/>
    <w:rsid w:val="006949B9"/>
    <w:rsid w:val="00694A04"/>
    <w:rsid w:val="00694A1A"/>
    <w:rsid w:val="0069651B"/>
    <w:rsid w:val="006974B0"/>
    <w:rsid w:val="00697E38"/>
    <w:rsid w:val="00697EF9"/>
    <w:rsid w:val="006A0142"/>
    <w:rsid w:val="006A0216"/>
    <w:rsid w:val="006A0D4A"/>
    <w:rsid w:val="006A0EEB"/>
    <w:rsid w:val="006A0EFB"/>
    <w:rsid w:val="006A0FBF"/>
    <w:rsid w:val="006A14CB"/>
    <w:rsid w:val="006A1525"/>
    <w:rsid w:val="006A1707"/>
    <w:rsid w:val="006A1AC6"/>
    <w:rsid w:val="006A1F81"/>
    <w:rsid w:val="006A2032"/>
    <w:rsid w:val="006A2C45"/>
    <w:rsid w:val="006A2F51"/>
    <w:rsid w:val="006A3AB7"/>
    <w:rsid w:val="006A448A"/>
    <w:rsid w:val="006A449B"/>
    <w:rsid w:val="006A4C30"/>
    <w:rsid w:val="006A4D1E"/>
    <w:rsid w:val="006A5B2A"/>
    <w:rsid w:val="006A5EA9"/>
    <w:rsid w:val="006A5FDE"/>
    <w:rsid w:val="006A67FE"/>
    <w:rsid w:val="006A743A"/>
    <w:rsid w:val="006A75DF"/>
    <w:rsid w:val="006A77BC"/>
    <w:rsid w:val="006B0591"/>
    <w:rsid w:val="006B07BB"/>
    <w:rsid w:val="006B0CB8"/>
    <w:rsid w:val="006B0EA6"/>
    <w:rsid w:val="006B10F1"/>
    <w:rsid w:val="006B113D"/>
    <w:rsid w:val="006B1488"/>
    <w:rsid w:val="006B2043"/>
    <w:rsid w:val="006B2071"/>
    <w:rsid w:val="006B227A"/>
    <w:rsid w:val="006B2509"/>
    <w:rsid w:val="006B28E0"/>
    <w:rsid w:val="006B2AB3"/>
    <w:rsid w:val="006B2E6C"/>
    <w:rsid w:val="006B395C"/>
    <w:rsid w:val="006B3E19"/>
    <w:rsid w:val="006B4017"/>
    <w:rsid w:val="006B4508"/>
    <w:rsid w:val="006B4E06"/>
    <w:rsid w:val="006B4F44"/>
    <w:rsid w:val="006B55DD"/>
    <w:rsid w:val="006B561C"/>
    <w:rsid w:val="006B5680"/>
    <w:rsid w:val="006B5B2D"/>
    <w:rsid w:val="006B5EB3"/>
    <w:rsid w:val="006B60B2"/>
    <w:rsid w:val="006B6C2B"/>
    <w:rsid w:val="006B6C4D"/>
    <w:rsid w:val="006B6CF7"/>
    <w:rsid w:val="006B74C7"/>
    <w:rsid w:val="006B7716"/>
    <w:rsid w:val="006B7A2C"/>
    <w:rsid w:val="006C0236"/>
    <w:rsid w:val="006C0461"/>
    <w:rsid w:val="006C0C29"/>
    <w:rsid w:val="006C0D5C"/>
    <w:rsid w:val="006C0E7F"/>
    <w:rsid w:val="006C0F13"/>
    <w:rsid w:val="006C1477"/>
    <w:rsid w:val="006C16B6"/>
    <w:rsid w:val="006C1BAE"/>
    <w:rsid w:val="006C2048"/>
    <w:rsid w:val="006C2495"/>
    <w:rsid w:val="006C2D16"/>
    <w:rsid w:val="006C2EF2"/>
    <w:rsid w:val="006C3023"/>
    <w:rsid w:val="006C340C"/>
    <w:rsid w:val="006C3528"/>
    <w:rsid w:val="006C3759"/>
    <w:rsid w:val="006C375B"/>
    <w:rsid w:val="006C38BE"/>
    <w:rsid w:val="006C392E"/>
    <w:rsid w:val="006C4A64"/>
    <w:rsid w:val="006C4C35"/>
    <w:rsid w:val="006C4DBF"/>
    <w:rsid w:val="006C4DD3"/>
    <w:rsid w:val="006C534B"/>
    <w:rsid w:val="006C572D"/>
    <w:rsid w:val="006C5B4C"/>
    <w:rsid w:val="006C68BC"/>
    <w:rsid w:val="006C6C0E"/>
    <w:rsid w:val="006C6EBF"/>
    <w:rsid w:val="006C704A"/>
    <w:rsid w:val="006C70B5"/>
    <w:rsid w:val="006C7645"/>
    <w:rsid w:val="006C7D28"/>
    <w:rsid w:val="006D0CB1"/>
    <w:rsid w:val="006D0FC5"/>
    <w:rsid w:val="006D15A6"/>
    <w:rsid w:val="006D19CB"/>
    <w:rsid w:val="006D27A3"/>
    <w:rsid w:val="006D29A4"/>
    <w:rsid w:val="006D2B65"/>
    <w:rsid w:val="006D2D98"/>
    <w:rsid w:val="006D32AB"/>
    <w:rsid w:val="006D32B1"/>
    <w:rsid w:val="006D37BB"/>
    <w:rsid w:val="006D38D8"/>
    <w:rsid w:val="006D3F7A"/>
    <w:rsid w:val="006D4039"/>
    <w:rsid w:val="006D42EC"/>
    <w:rsid w:val="006D4459"/>
    <w:rsid w:val="006D45F6"/>
    <w:rsid w:val="006D4A5E"/>
    <w:rsid w:val="006D517A"/>
    <w:rsid w:val="006D5721"/>
    <w:rsid w:val="006D574C"/>
    <w:rsid w:val="006D57D4"/>
    <w:rsid w:val="006D5841"/>
    <w:rsid w:val="006D5B17"/>
    <w:rsid w:val="006D5BA6"/>
    <w:rsid w:val="006D5CDC"/>
    <w:rsid w:val="006D5F38"/>
    <w:rsid w:val="006D5F85"/>
    <w:rsid w:val="006D62EA"/>
    <w:rsid w:val="006D6B9E"/>
    <w:rsid w:val="006D7188"/>
    <w:rsid w:val="006D7611"/>
    <w:rsid w:val="006D78BE"/>
    <w:rsid w:val="006D7932"/>
    <w:rsid w:val="006D798B"/>
    <w:rsid w:val="006E0116"/>
    <w:rsid w:val="006E040F"/>
    <w:rsid w:val="006E0AEC"/>
    <w:rsid w:val="006E0F4C"/>
    <w:rsid w:val="006E123D"/>
    <w:rsid w:val="006E1D29"/>
    <w:rsid w:val="006E1D64"/>
    <w:rsid w:val="006E2BF5"/>
    <w:rsid w:val="006E368D"/>
    <w:rsid w:val="006E36FA"/>
    <w:rsid w:val="006E37CC"/>
    <w:rsid w:val="006E408F"/>
    <w:rsid w:val="006E42E2"/>
    <w:rsid w:val="006E46CF"/>
    <w:rsid w:val="006E4705"/>
    <w:rsid w:val="006E476A"/>
    <w:rsid w:val="006E4A92"/>
    <w:rsid w:val="006E4EAA"/>
    <w:rsid w:val="006E5C1B"/>
    <w:rsid w:val="006E709D"/>
    <w:rsid w:val="006E725D"/>
    <w:rsid w:val="006E79FE"/>
    <w:rsid w:val="006E7DFD"/>
    <w:rsid w:val="006F0973"/>
    <w:rsid w:val="006F0DE0"/>
    <w:rsid w:val="006F1853"/>
    <w:rsid w:val="006F19EC"/>
    <w:rsid w:val="006F1C11"/>
    <w:rsid w:val="006F205E"/>
    <w:rsid w:val="006F2213"/>
    <w:rsid w:val="006F2685"/>
    <w:rsid w:val="006F2F80"/>
    <w:rsid w:val="006F325F"/>
    <w:rsid w:val="006F4794"/>
    <w:rsid w:val="006F49A7"/>
    <w:rsid w:val="006F49CF"/>
    <w:rsid w:val="006F50D5"/>
    <w:rsid w:val="006F53FE"/>
    <w:rsid w:val="006F67B2"/>
    <w:rsid w:val="006F6873"/>
    <w:rsid w:val="006F6C83"/>
    <w:rsid w:val="006F6D5D"/>
    <w:rsid w:val="006F700D"/>
    <w:rsid w:val="006F702A"/>
    <w:rsid w:val="0070003B"/>
    <w:rsid w:val="00700060"/>
    <w:rsid w:val="00700925"/>
    <w:rsid w:val="00700A22"/>
    <w:rsid w:val="0070107D"/>
    <w:rsid w:val="00701969"/>
    <w:rsid w:val="00701A2E"/>
    <w:rsid w:val="007023B0"/>
    <w:rsid w:val="007025B7"/>
    <w:rsid w:val="007026D0"/>
    <w:rsid w:val="00702FFE"/>
    <w:rsid w:val="00703B75"/>
    <w:rsid w:val="00703D4C"/>
    <w:rsid w:val="00704BEF"/>
    <w:rsid w:val="00704C6C"/>
    <w:rsid w:val="0070535D"/>
    <w:rsid w:val="00705547"/>
    <w:rsid w:val="00706429"/>
    <w:rsid w:val="007066BD"/>
    <w:rsid w:val="00706868"/>
    <w:rsid w:val="00706BE3"/>
    <w:rsid w:val="00707232"/>
    <w:rsid w:val="00707349"/>
    <w:rsid w:val="007074E8"/>
    <w:rsid w:val="00707715"/>
    <w:rsid w:val="00707CCC"/>
    <w:rsid w:val="00710A7F"/>
    <w:rsid w:val="00711BCB"/>
    <w:rsid w:val="00711D92"/>
    <w:rsid w:val="00712151"/>
    <w:rsid w:val="007121FF"/>
    <w:rsid w:val="00712240"/>
    <w:rsid w:val="007131A8"/>
    <w:rsid w:val="00713257"/>
    <w:rsid w:val="00713660"/>
    <w:rsid w:val="007139F9"/>
    <w:rsid w:val="00713C33"/>
    <w:rsid w:val="00713DB0"/>
    <w:rsid w:val="00713E33"/>
    <w:rsid w:val="00713EC9"/>
    <w:rsid w:val="00714748"/>
    <w:rsid w:val="00714A3B"/>
    <w:rsid w:val="00714FBC"/>
    <w:rsid w:val="00715AA4"/>
    <w:rsid w:val="00715AAD"/>
    <w:rsid w:val="0071638E"/>
    <w:rsid w:val="007163DB"/>
    <w:rsid w:val="0071666E"/>
    <w:rsid w:val="0071767D"/>
    <w:rsid w:val="00717F32"/>
    <w:rsid w:val="00720638"/>
    <w:rsid w:val="0072086A"/>
    <w:rsid w:val="00720EC7"/>
    <w:rsid w:val="00721687"/>
    <w:rsid w:val="00722AC2"/>
    <w:rsid w:val="0072400A"/>
    <w:rsid w:val="0072402F"/>
    <w:rsid w:val="00724258"/>
    <w:rsid w:val="0072496C"/>
    <w:rsid w:val="00725310"/>
    <w:rsid w:val="007254D4"/>
    <w:rsid w:val="00725FC3"/>
    <w:rsid w:val="0072626B"/>
    <w:rsid w:val="007263F2"/>
    <w:rsid w:val="00726609"/>
    <w:rsid w:val="00726F25"/>
    <w:rsid w:val="00727465"/>
    <w:rsid w:val="00727CD5"/>
    <w:rsid w:val="00730039"/>
    <w:rsid w:val="00730922"/>
    <w:rsid w:val="00730F23"/>
    <w:rsid w:val="00730F8D"/>
    <w:rsid w:val="0073103B"/>
    <w:rsid w:val="007312FD"/>
    <w:rsid w:val="00731CEA"/>
    <w:rsid w:val="00731D39"/>
    <w:rsid w:val="00731E4B"/>
    <w:rsid w:val="00732101"/>
    <w:rsid w:val="00732531"/>
    <w:rsid w:val="00732DF1"/>
    <w:rsid w:val="0073312A"/>
    <w:rsid w:val="0073322F"/>
    <w:rsid w:val="0073381D"/>
    <w:rsid w:val="00733C4E"/>
    <w:rsid w:val="00733C74"/>
    <w:rsid w:val="00733D60"/>
    <w:rsid w:val="00733F06"/>
    <w:rsid w:val="007341A3"/>
    <w:rsid w:val="00734301"/>
    <w:rsid w:val="0073441E"/>
    <w:rsid w:val="00734694"/>
    <w:rsid w:val="0073575E"/>
    <w:rsid w:val="00735E8A"/>
    <w:rsid w:val="0073615E"/>
    <w:rsid w:val="00736A4B"/>
    <w:rsid w:val="00737099"/>
    <w:rsid w:val="007404CB"/>
    <w:rsid w:val="0074055D"/>
    <w:rsid w:val="00740833"/>
    <w:rsid w:val="00740E6E"/>
    <w:rsid w:val="007415AB"/>
    <w:rsid w:val="007415BB"/>
    <w:rsid w:val="007417A4"/>
    <w:rsid w:val="00742A3B"/>
    <w:rsid w:val="007431E4"/>
    <w:rsid w:val="00743702"/>
    <w:rsid w:val="0074382A"/>
    <w:rsid w:val="007446ED"/>
    <w:rsid w:val="007459E5"/>
    <w:rsid w:val="007460EB"/>
    <w:rsid w:val="00746236"/>
    <w:rsid w:val="007465B6"/>
    <w:rsid w:val="00746A9E"/>
    <w:rsid w:val="00746CB2"/>
    <w:rsid w:val="007474AB"/>
    <w:rsid w:val="00747540"/>
    <w:rsid w:val="00747745"/>
    <w:rsid w:val="00747E21"/>
    <w:rsid w:val="00750236"/>
    <w:rsid w:val="007502AF"/>
    <w:rsid w:val="007504A3"/>
    <w:rsid w:val="007504C2"/>
    <w:rsid w:val="00751D64"/>
    <w:rsid w:val="007523C5"/>
    <w:rsid w:val="007528D7"/>
    <w:rsid w:val="00752934"/>
    <w:rsid w:val="00752CA1"/>
    <w:rsid w:val="007535C0"/>
    <w:rsid w:val="007540C7"/>
    <w:rsid w:val="00754BE4"/>
    <w:rsid w:val="00754D33"/>
    <w:rsid w:val="00754E31"/>
    <w:rsid w:val="00754E92"/>
    <w:rsid w:val="00754ECD"/>
    <w:rsid w:val="00755BA5"/>
    <w:rsid w:val="00755CFB"/>
    <w:rsid w:val="00755D0A"/>
    <w:rsid w:val="00756487"/>
    <w:rsid w:val="0075660D"/>
    <w:rsid w:val="00756DE4"/>
    <w:rsid w:val="00756EEF"/>
    <w:rsid w:val="00756FD7"/>
    <w:rsid w:val="00760A0E"/>
    <w:rsid w:val="00760A17"/>
    <w:rsid w:val="00760C32"/>
    <w:rsid w:val="00760D98"/>
    <w:rsid w:val="0076126F"/>
    <w:rsid w:val="007614A6"/>
    <w:rsid w:val="0076175E"/>
    <w:rsid w:val="007617DD"/>
    <w:rsid w:val="0076190B"/>
    <w:rsid w:val="00762354"/>
    <w:rsid w:val="00762BEE"/>
    <w:rsid w:val="007630FA"/>
    <w:rsid w:val="0076337E"/>
    <w:rsid w:val="007635CB"/>
    <w:rsid w:val="007639E8"/>
    <w:rsid w:val="00763C35"/>
    <w:rsid w:val="00763E81"/>
    <w:rsid w:val="007641A0"/>
    <w:rsid w:val="0076424C"/>
    <w:rsid w:val="0076478D"/>
    <w:rsid w:val="00764A33"/>
    <w:rsid w:val="00764F77"/>
    <w:rsid w:val="0076577C"/>
    <w:rsid w:val="007658C7"/>
    <w:rsid w:val="007660B3"/>
    <w:rsid w:val="007660EF"/>
    <w:rsid w:val="0076649E"/>
    <w:rsid w:val="0076675D"/>
    <w:rsid w:val="00766FB1"/>
    <w:rsid w:val="007671AE"/>
    <w:rsid w:val="00767515"/>
    <w:rsid w:val="00767945"/>
    <w:rsid w:val="00767977"/>
    <w:rsid w:val="00767FD5"/>
    <w:rsid w:val="00771511"/>
    <w:rsid w:val="0077267D"/>
    <w:rsid w:val="00772C23"/>
    <w:rsid w:val="00772C26"/>
    <w:rsid w:val="00772E9B"/>
    <w:rsid w:val="007730B2"/>
    <w:rsid w:val="00773A2F"/>
    <w:rsid w:val="00773ED9"/>
    <w:rsid w:val="00774995"/>
    <w:rsid w:val="00774A12"/>
    <w:rsid w:val="00774A67"/>
    <w:rsid w:val="00775059"/>
    <w:rsid w:val="00775BF5"/>
    <w:rsid w:val="00775F3F"/>
    <w:rsid w:val="007766AE"/>
    <w:rsid w:val="00776A0F"/>
    <w:rsid w:val="00777546"/>
    <w:rsid w:val="00777938"/>
    <w:rsid w:val="0078029A"/>
    <w:rsid w:val="007807E0"/>
    <w:rsid w:val="0078091B"/>
    <w:rsid w:val="007813C3"/>
    <w:rsid w:val="00781682"/>
    <w:rsid w:val="00781964"/>
    <w:rsid w:val="00781B34"/>
    <w:rsid w:val="00781E2F"/>
    <w:rsid w:val="0078201E"/>
    <w:rsid w:val="007822B9"/>
    <w:rsid w:val="00782409"/>
    <w:rsid w:val="007827F6"/>
    <w:rsid w:val="00782AD8"/>
    <w:rsid w:val="007837B7"/>
    <w:rsid w:val="00783D3A"/>
    <w:rsid w:val="007843DF"/>
    <w:rsid w:val="00784AE9"/>
    <w:rsid w:val="00784D51"/>
    <w:rsid w:val="00785078"/>
    <w:rsid w:val="0078518A"/>
    <w:rsid w:val="00785F44"/>
    <w:rsid w:val="007863CB"/>
    <w:rsid w:val="007863E0"/>
    <w:rsid w:val="00786ADC"/>
    <w:rsid w:val="00786BEE"/>
    <w:rsid w:val="00787376"/>
    <w:rsid w:val="007877EC"/>
    <w:rsid w:val="00787DCE"/>
    <w:rsid w:val="0079080C"/>
    <w:rsid w:val="00790CAB"/>
    <w:rsid w:val="00790D3B"/>
    <w:rsid w:val="00790E1E"/>
    <w:rsid w:val="00791A35"/>
    <w:rsid w:val="007920C0"/>
    <w:rsid w:val="007922D7"/>
    <w:rsid w:val="007928E9"/>
    <w:rsid w:val="00792E41"/>
    <w:rsid w:val="007931DF"/>
    <w:rsid w:val="00793509"/>
    <w:rsid w:val="0079363A"/>
    <w:rsid w:val="00794FE4"/>
    <w:rsid w:val="00795471"/>
    <w:rsid w:val="0079584F"/>
    <w:rsid w:val="00795B93"/>
    <w:rsid w:val="00796277"/>
    <w:rsid w:val="00796BC6"/>
    <w:rsid w:val="00796C56"/>
    <w:rsid w:val="00796F75"/>
    <w:rsid w:val="00797118"/>
    <w:rsid w:val="007975D3"/>
    <w:rsid w:val="00797789"/>
    <w:rsid w:val="007979E0"/>
    <w:rsid w:val="007A029D"/>
    <w:rsid w:val="007A0A52"/>
    <w:rsid w:val="007A0ADA"/>
    <w:rsid w:val="007A0C66"/>
    <w:rsid w:val="007A1598"/>
    <w:rsid w:val="007A1D3B"/>
    <w:rsid w:val="007A1F81"/>
    <w:rsid w:val="007A21CC"/>
    <w:rsid w:val="007A2975"/>
    <w:rsid w:val="007A32B2"/>
    <w:rsid w:val="007A3300"/>
    <w:rsid w:val="007A3B95"/>
    <w:rsid w:val="007A3EBB"/>
    <w:rsid w:val="007A4A7C"/>
    <w:rsid w:val="007A519C"/>
    <w:rsid w:val="007A53B2"/>
    <w:rsid w:val="007A57A0"/>
    <w:rsid w:val="007A5B7C"/>
    <w:rsid w:val="007A5E47"/>
    <w:rsid w:val="007A5FE0"/>
    <w:rsid w:val="007A65F6"/>
    <w:rsid w:val="007A6ACF"/>
    <w:rsid w:val="007A6DCD"/>
    <w:rsid w:val="007A713D"/>
    <w:rsid w:val="007A76CF"/>
    <w:rsid w:val="007B04BF"/>
    <w:rsid w:val="007B0A3E"/>
    <w:rsid w:val="007B0C00"/>
    <w:rsid w:val="007B1942"/>
    <w:rsid w:val="007B1B53"/>
    <w:rsid w:val="007B259E"/>
    <w:rsid w:val="007B2FB4"/>
    <w:rsid w:val="007B37DF"/>
    <w:rsid w:val="007B4367"/>
    <w:rsid w:val="007B4717"/>
    <w:rsid w:val="007B4B1E"/>
    <w:rsid w:val="007B4D98"/>
    <w:rsid w:val="007B5319"/>
    <w:rsid w:val="007B599F"/>
    <w:rsid w:val="007B5A07"/>
    <w:rsid w:val="007B5B1F"/>
    <w:rsid w:val="007B5FED"/>
    <w:rsid w:val="007B6B2C"/>
    <w:rsid w:val="007B6B4C"/>
    <w:rsid w:val="007B7866"/>
    <w:rsid w:val="007C1053"/>
    <w:rsid w:val="007C1056"/>
    <w:rsid w:val="007C1175"/>
    <w:rsid w:val="007C1847"/>
    <w:rsid w:val="007C191A"/>
    <w:rsid w:val="007C2780"/>
    <w:rsid w:val="007C333E"/>
    <w:rsid w:val="007C33FB"/>
    <w:rsid w:val="007C3F86"/>
    <w:rsid w:val="007C46C3"/>
    <w:rsid w:val="007C504C"/>
    <w:rsid w:val="007C546C"/>
    <w:rsid w:val="007C6168"/>
    <w:rsid w:val="007C6B3F"/>
    <w:rsid w:val="007C6BB8"/>
    <w:rsid w:val="007C7406"/>
    <w:rsid w:val="007C7B85"/>
    <w:rsid w:val="007C7ECE"/>
    <w:rsid w:val="007D06F8"/>
    <w:rsid w:val="007D0FDA"/>
    <w:rsid w:val="007D1B05"/>
    <w:rsid w:val="007D1C50"/>
    <w:rsid w:val="007D253D"/>
    <w:rsid w:val="007D2664"/>
    <w:rsid w:val="007D2916"/>
    <w:rsid w:val="007D2A5B"/>
    <w:rsid w:val="007D2F10"/>
    <w:rsid w:val="007D2FCF"/>
    <w:rsid w:val="007D316F"/>
    <w:rsid w:val="007D351A"/>
    <w:rsid w:val="007D471C"/>
    <w:rsid w:val="007D4C6F"/>
    <w:rsid w:val="007D4DC2"/>
    <w:rsid w:val="007D5473"/>
    <w:rsid w:val="007D5B59"/>
    <w:rsid w:val="007D6078"/>
    <w:rsid w:val="007D645F"/>
    <w:rsid w:val="007D65DB"/>
    <w:rsid w:val="007D6AD8"/>
    <w:rsid w:val="007D7898"/>
    <w:rsid w:val="007D78DC"/>
    <w:rsid w:val="007E0052"/>
    <w:rsid w:val="007E08EC"/>
    <w:rsid w:val="007E1375"/>
    <w:rsid w:val="007E148B"/>
    <w:rsid w:val="007E1D36"/>
    <w:rsid w:val="007E2162"/>
    <w:rsid w:val="007E230C"/>
    <w:rsid w:val="007E29C5"/>
    <w:rsid w:val="007E2CB4"/>
    <w:rsid w:val="007E2D9D"/>
    <w:rsid w:val="007E30AF"/>
    <w:rsid w:val="007E3BA3"/>
    <w:rsid w:val="007E4460"/>
    <w:rsid w:val="007E4532"/>
    <w:rsid w:val="007E4576"/>
    <w:rsid w:val="007E5567"/>
    <w:rsid w:val="007E5A2D"/>
    <w:rsid w:val="007E5A42"/>
    <w:rsid w:val="007E5F98"/>
    <w:rsid w:val="007E6104"/>
    <w:rsid w:val="007E618D"/>
    <w:rsid w:val="007E646B"/>
    <w:rsid w:val="007E6558"/>
    <w:rsid w:val="007E6935"/>
    <w:rsid w:val="007E76D6"/>
    <w:rsid w:val="007E7B07"/>
    <w:rsid w:val="007E7F0F"/>
    <w:rsid w:val="007F0021"/>
    <w:rsid w:val="007F06C6"/>
    <w:rsid w:val="007F0A80"/>
    <w:rsid w:val="007F120F"/>
    <w:rsid w:val="007F1C47"/>
    <w:rsid w:val="007F1F40"/>
    <w:rsid w:val="007F221B"/>
    <w:rsid w:val="007F26CB"/>
    <w:rsid w:val="007F2C25"/>
    <w:rsid w:val="007F36E6"/>
    <w:rsid w:val="007F371B"/>
    <w:rsid w:val="007F37F1"/>
    <w:rsid w:val="007F3A8B"/>
    <w:rsid w:val="007F3AD1"/>
    <w:rsid w:val="007F3B76"/>
    <w:rsid w:val="007F3BBE"/>
    <w:rsid w:val="007F43EC"/>
    <w:rsid w:val="007F55D5"/>
    <w:rsid w:val="007F61BE"/>
    <w:rsid w:val="007F6403"/>
    <w:rsid w:val="007F642B"/>
    <w:rsid w:val="007F6434"/>
    <w:rsid w:val="007F69F2"/>
    <w:rsid w:val="007F6D1E"/>
    <w:rsid w:val="007F7FD7"/>
    <w:rsid w:val="00800C0D"/>
    <w:rsid w:val="00800D7E"/>
    <w:rsid w:val="00801435"/>
    <w:rsid w:val="00801CD3"/>
    <w:rsid w:val="00801D46"/>
    <w:rsid w:val="00802094"/>
    <w:rsid w:val="0080218A"/>
    <w:rsid w:val="0080219D"/>
    <w:rsid w:val="008024C7"/>
    <w:rsid w:val="0080281D"/>
    <w:rsid w:val="00802C8E"/>
    <w:rsid w:val="00802E39"/>
    <w:rsid w:val="0080395C"/>
    <w:rsid w:val="00803BC3"/>
    <w:rsid w:val="00803E30"/>
    <w:rsid w:val="00803F5B"/>
    <w:rsid w:val="008041E0"/>
    <w:rsid w:val="008047A3"/>
    <w:rsid w:val="00804979"/>
    <w:rsid w:val="00804DFA"/>
    <w:rsid w:val="0080526D"/>
    <w:rsid w:val="0080577C"/>
    <w:rsid w:val="00805A72"/>
    <w:rsid w:val="00805AFC"/>
    <w:rsid w:val="00805C46"/>
    <w:rsid w:val="008070E4"/>
    <w:rsid w:val="008070F5"/>
    <w:rsid w:val="0080727B"/>
    <w:rsid w:val="0080794E"/>
    <w:rsid w:val="00807B50"/>
    <w:rsid w:val="00807CAA"/>
    <w:rsid w:val="0081000B"/>
    <w:rsid w:val="008106C3"/>
    <w:rsid w:val="00810764"/>
    <w:rsid w:val="00811ED4"/>
    <w:rsid w:val="00812871"/>
    <w:rsid w:val="008136F1"/>
    <w:rsid w:val="008137B4"/>
    <w:rsid w:val="0081392A"/>
    <w:rsid w:val="00813BBA"/>
    <w:rsid w:val="008146A9"/>
    <w:rsid w:val="00814709"/>
    <w:rsid w:val="008149FE"/>
    <w:rsid w:val="00814E5B"/>
    <w:rsid w:val="00815C14"/>
    <w:rsid w:val="008163EE"/>
    <w:rsid w:val="00816BC4"/>
    <w:rsid w:val="008172A0"/>
    <w:rsid w:val="0081738B"/>
    <w:rsid w:val="00817438"/>
    <w:rsid w:val="0081750E"/>
    <w:rsid w:val="00817CB0"/>
    <w:rsid w:val="00817F54"/>
    <w:rsid w:val="00820FAA"/>
    <w:rsid w:val="00821A84"/>
    <w:rsid w:val="00821D9F"/>
    <w:rsid w:val="008224E7"/>
    <w:rsid w:val="00822599"/>
    <w:rsid w:val="00822A34"/>
    <w:rsid w:val="00822AFE"/>
    <w:rsid w:val="00823403"/>
    <w:rsid w:val="008238A3"/>
    <w:rsid w:val="00823C0F"/>
    <w:rsid w:val="00823F67"/>
    <w:rsid w:val="00824E07"/>
    <w:rsid w:val="00825732"/>
    <w:rsid w:val="008259A8"/>
    <w:rsid w:val="00825B65"/>
    <w:rsid w:val="00825B9F"/>
    <w:rsid w:val="008261B9"/>
    <w:rsid w:val="0082663C"/>
    <w:rsid w:val="00826806"/>
    <w:rsid w:val="00826981"/>
    <w:rsid w:val="00826E81"/>
    <w:rsid w:val="00826E8C"/>
    <w:rsid w:val="00826F15"/>
    <w:rsid w:val="00827057"/>
    <w:rsid w:val="00827E06"/>
    <w:rsid w:val="008307F1"/>
    <w:rsid w:val="0083149F"/>
    <w:rsid w:val="00831BAF"/>
    <w:rsid w:val="008322BF"/>
    <w:rsid w:val="00832571"/>
    <w:rsid w:val="00832BC0"/>
    <w:rsid w:val="00832CDC"/>
    <w:rsid w:val="00833940"/>
    <w:rsid w:val="008346AD"/>
    <w:rsid w:val="00834DC3"/>
    <w:rsid w:val="0083564A"/>
    <w:rsid w:val="00835BEC"/>
    <w:rsid w:val="00835FDF"/>
    <w:rsid w:val="008360EB"/>
    <w:rsid w:val="008366FA"/>
    <w:rsid w:val="0083671B"/>
    <w:rsid w:val="008367E9"/>
    <w:rsid w:val="0083709A"/>
    <w:rsid w:val="00837490"/>
    <w:rsid w:val="008376BA"/>
    <w:rsid w:val="00837E4F"/>
    <w:rsid w:val="00837FEB"/>
    <w:rsid w:val="00840152"/>
    <w:rsid w:val="008407C9"/>
    <w:rsid w:val="00840883"/>
    <w:rsid w:val="00840A84"/>
    <w:rsid w:val="008410FE"/>
    <w:rsid w:val="00841FC0"/>
    <w:rsid w:val="008424B9"/>
    <w:rsid w:val="00842A55"/>
    <w:rsid w:val="00842E51"/>
    <w:rsid w:val="0084370A"/>
    <w:rsid w:val="00843E98"/>
    <w:rsid w:val="00844098"/>
    <w:rsid w:val="008444CF"/>
    <w:rsid w:val="00845489"/>
    <w:rsid w:val="0084656C"/>
    <w:rsid w:val="00847180"/>
    <w:rsid w:val="00847503"/>
    <w:rsid w:val="00847596"/>
    <w:rsid w:val="00847FA2"/>
    <w:rsid w:val="0085002A"/>
    <w:rsid w:val="00850032"/>
    <w:rsid w:val="00850202"/>
    <w:rsid w:val="008504E0"/>
    <w:rsid w:val="008507AC"/>
    <w:rsid w:val="00850C40"/>
    <w:rsid w:val="00850DB2"/>
    <w:rsid w:val="00851384"/>
    <w:rsid w:val="0085178C"/>
    <w:rsid w:val="00851CED"/>
    <w:rsid w:val="00852864"/>
    <w:rsid w:val="00853471"/>
    <w:rsid w:val="0085373B"/>
    <w:rsid w:val="008537E7"/>
    <w:rsid w:val="008538B5"/>
    <w:rsid w:val="00853A28"/>
    <w:rsid w:val="00853E38"/>
    <w:rsid w:val="008544F3"/>
    <w:rsid w:val="0085486A"/>
    <w:rsid w:val="0085567C"/>
    <w:rsid w:val="0085591B"/>
    <w:rsid w:val="00855D82"/>
    <w:rsid w:val="00855FF0"/>
    <w:rsid w:val="008561D7"/>
    <w:rsid w:val="008568B7"/>
    <w:rsid w:val="00857053"/>
    <w:rsid w:val="00857526"/>
    <w:rsid w:val="0085776F"/>
    <w:rsid w:val="00860142"/>
    <w:rsid w:val="00860A8B"/>
    <w:rsid w:val="00860CD3"/>
    <w:rsid w:val="00860E45"/>
    <w:rsid w:val="00860FC5"/>
    <w:rsid w:val="00861043"/>
    <w:rsid w:val="0086121D"/>
    <w:rsid w:val="0086163F"/>
    <w:rsid w:val="00861CB5"/>
    <w:rsid w:val="008622F4"/>
    <w:rsid w:val="00862630"/>
    <w:rsid w:val="00862637"/>
    <w:rsid w:val="008626CE"/>
    <w:rsid w:val="00862866"/>
    <w:rsid w:val="00862BBC"/>
    <w:rsid w:val="00862C2A"/>
    <w:rsid w:val="00862E7F"/>
    <w:rsid w:val="0086325D"/>
    <w:rsid w:val="008635A8"/>
    <w:rsid w:val="00863964"/>
    <w:rsid w:val="00863FFE"/>
    <w:rsid w:val="00864487"/>
    <w:rsid w:val="00864528"/>
    <w:rsid w:val="0086479F"/>
    <w:rsid w:val="00864A20"/>
    <w:rsid w:val="008650B1"/>
    <w:rsid w:val="0086526A"/>
    <w:rsid w:val="008653AD"/>
    <w:rsid w:val="00866FA0"/>
    <w:rsid w:val="00867827"/>
    <w:rsid w:val="00867B95"/>
    <w:rsid w:val="00867DA2"/>
    <w:rsid w:val="0087016B"/>
    <w:rsid w:val="00870E22"/>
    <w:rsid w:val="0087114C"/>
    <w:rsid w:val="008718F0"/>
    <w:rsid w:val="00872949"/>
    <w:rsid w:val="00872B5E"/>
    <w:rsid w:val="00872BBB"/>
    <w:rsid w:val="008735E7"/>
    <w:rsid w:val="008737AC"/>
    <w:rsid w:val="008743D0"/>
    <w:rsid w:val="00874467"/>
    <w:rsid w:val="008749F7"/>
    <w:rsid w:val="00874E6E"/>
    <w:rsid w:val="008753BE"/>
    <w:rsid w:val="0087566E"/>
    <w:rsid w:val="0087597A"/>
    <w:rsid w:val="00875BA6"/>
    <w:rsid w:val="00875FFB"/>
    <w:rsid w:val="00876542"/>
    <w:rsid w:val="00876933"/>
    <w:rsid w:val="00876AE9"/>
    <w:rsid w:val="00876C94"/>
    <w:rsid w:val="0087714A"/>
    <w:rsid w:val="00877172"/>
    <w:rsid w:val="008779D0"/>
    <w:rsid w:val="00877AB9"/>
    <w:rsid w:val="00877CD6"/>
    <w:rsid w:val="00877E26"/>
    <w:rsid w:val="008801D1"/>
    <w:rsid w:val="00880223"/>
    <w:rsid w:val="008803D7"/>
    <w:rsid w:val="00880508"/>
    <w:rsid w:val="00880852"/>
    <w:rsid w:val="00880E14"/>
    <w:rsid w:val="00881224"/>
    <w:rsid w:val="008812B2"/>
    <w:rsid w:val="0088168F"/>
    <w:rsid w:val="008820B3"/>
    <w:rsid w:val="008820EC"/>
    <w:rsid w:val="00882A6D"/>
    <w:rsid w:val="00882B29"/>
    <w:rsid w:val="008830A8"/>
    <w:rsid w:val="0088320A"/>
    <w:rsid w:val="00883622"/>
    <w:rsid w:val="0088365F"/>
    <w:rsid w:val="008839BF"/>
    <w:rsid w:val="00883C73"/>
    <w:rsid w:val="00883FFF"/>
    <w:rsid w:val="0088442A"/>
    <w:rsid w:val="0088454C"/>
    <w:rsid w:val="008846DB"/>
    <w:rsid w:val="00884942"/>
    <w:rsid w:val="00885062"/>
    <w:rsid w:val="00885EA8"/>
    <w:rsid w:val="00886352"/>
    <w:rsid w:val="0088637C"/>
    <w:rsid w:val="00886D27"/>
    <w:rsid w:val="00886E18"/>
    <w:rsid w:val="0088714E"/>
    <w:rsid w:val="00887574"/>
    <w:rsid w:val="0088787E"/>
    <w:rsid w:val="00887C13"/>
    <w:rsid w:val="00890727"/>
    <w:rsid w:val="00890AE9"/>
    <w:rsid w:val="00890DF4"/>
    <w:rsid w:val="0089114A"/>
    <w:rsid w:val="008920A6"/>
    <w:rsid w:val="008921ED"/>
    <w:rsid w:val="00892316"/>
    <w:rsid w:val="00892B59"/>
    <w:rsid w:val="00892EAC"/>
    <w:rsid w:val="00893008"/>
    <w:rsid w:val="0089301B"/>
    <w:rsid w:val="008932E0"/>
    <w:rsid w:val="00893701"/>
    <w:rsid w:val="00894387"/>
    <w:rsid w:val="00894841"/>
    <w:rsid w:val="00895209"/>
    <w:rsid w:val="00895A56"/>
    <w:rsid w:val="00895DFE"/>
    <w:rsid w:val="008962DF"/>
    <w:rsid w:val="00896625"/>
    <w:rsid w:val="00896F1D"/>
    <w:rsid w:val="00897328"/>
    <w:rsid w:val="0089747C"/>
    <w:rsid w:val="00897E98"/>
    <w:rsid w:val="008A039A"/>
    <w:rsid w:val="008A04BF"/>
    <w:rsid w:val="008A18E7"/>
    <w:rsid w:val="008A244E"/>
    <w:rsid w:val="008A25F8"/>
    <w:rsid w:val="008A2984"/>
    <w:rsid w:val="008A299E"/>
    <w:rsid w:val="008A38D9"/>
    <w:rsid w:val="008A3E8C"/>
    <w:rsid w:val="008A42F7"/>
    <w:rsid w:val="008A461C"/>
    <w:rsid w:val="008A467C"/>
    <w:rsid w:val="008A4D3B"/>
    <w:rsid w:val="008A6086"/>
    <w:rsid w:val="008A6354"/>
    <w:rsid w:val="008A699A"/>
    <w:rsid w:val="008A6ABB"/>
    <w:rsid w:val="008A708F"/>
    <w:rsid w:val="008A78CB"/>
    <w:rsid w:val="008B0031"/>
    <w:rsid w:val="008B013F"/>
    <w:rsid w:val="008B0767"/>
    <w:rsid w:val="008B09F1"/>
    <w:rsid w:val="008B15E2"/>
    <w:rsid w:val="008B16B6"/>
    <w:rsid w:val="008B18F5"/>
    <w:rsid w:val="008B197D"/>
    <w:rsid w:val="008B19FC"/>
    <w:rsid w:val="008B1BA7"/>
    <w:rsid w:val="008B1C20"/>
    <w:rsid w:val="008B2648"/>
    <w:rsid w:val="008B26A8"/>
    <w:rsid w:val="008B2848"/>
    <w:rsid w:val="008B2BF0"/>
    <w:rsid w:val="008B415E"/>
    <w:rsid w:val="008B452B"/>
    <w:rsid w:val="008B4595"/>
    <w:rsid w:val="008B495E"/>
    <w:rsid w:val="008B4DD3"/>
    <w:rsid w:val="008B50CC"/>
    <w:rsid w:val="008B516B"/>
    <w:rsid w:val="008B5296"/>
    <w:rsid w:val="008B540F"/>
    <w:rsid w:val="008B5B09"/>
    <w:rsid w:val="008B64DD"/>
    <w:rsid w:val="008B6616"/>
    <w:rsid w:val="008B70BA"/>
    <w:rsid w:val="008C0822"/>
    <w:rsid w:val="008C097E"/>
    <w:rsid w:val="008C1479"/>
    <w:rsid w:val="008C166E"/>
    <w:rsid w:val="008C1C24"/>
    <w:rsid w:val="008C1F11"/>
    <w:rsid w:val="008C22EA"/>
    <w:rsid w:val="008C271C"/>
    <w:rsid w:val="008C2A67"/>
    <w:rsid w:val="008C2ECE"/>
    <w:rsid w:val="008C2FED"/>
    <w:rsid w:val="008C30A0"/>
    <w:rsid w:val="008C3500"/>
    <w:rsid w:val="008C3631"/>
    <w:rsid w:val="008C3B06"/>
    <w:rsid w:val="008C3B7A"/>
    <w:rsid w:val="008C44D0"/>
    <w:rsid w:val="008C46E8"/>
    <w:rsid w:val="008C5042"/>
    <w:rsid w:val="008C62B2"/>
    <w:rsid w:val="008C6451"/>
    <w:rsid w:val="008C66DC"/>
    <w:rsid w:val="008C6E70"/>
    <w:rsid w:val="008C7FB4"/>
    <w:rsid w:val="008D0127"/>
    <w:rsid w:val="008D037C"/>
    <w:rsid w:val="008D0A65"/>
    <w:rsid w:val="008D0A94"/>
    <w:rsid w:val="008D187E"/>
    <w:rsid w:val="008D18D9"/>
    <w:rsid w:val="008D26C4"/>
    <w:rsid w:val="008D2DBA"/>
    <w:rsid w:val="008D3427"/>
    <w:rsid w:val="008D3BE6"/>
    <w:rsid w:val="008D3E6A"/>
    <w:rsid w:val="008D41DE"/>
    <w:rsid w:val="008D438F"/>
    <w:rsid w:val="008D5B30"/>
    <w:rsid w:val="008D5F3E"/>
    <w:rsid w:val="008D69F5"/>
    <w:rsid w:val="008E056F"/>
    <w:rsid w:val="008E0D77"/>
    <w:rsid w:val="008E0E9A"/>
    <w:rsid w:val="008E165D"/>
    <w:rsid w:val="008E2469"/>
    <w:rsid w:val="008E2656"/>
    <w:rsid w:val="008E2ECD"/>
    <w:rsid w:val="008E2F69"/>
    <w:rsid w:val="008E3252"/>
    <w:rsid w:val="008E39E4"/>
    <w:rsid w:val="008E3C2A"/>
    <w:rsid w:val="008E3F86"/>
    <w:rsid w:val="008E4613"/>
    <w:rsid w:val="008E473A"/>
    <w:rsid w:val="008E4748"/>
    <w:rsid w:val="008E5164"/>
    <w:rsid w:val="008E6525"/>
    <w:rsid w:val="008E6591"/>
    <w:rsid w:val="008E73AF"/>
    <w:rsid w:val="008E75AD"/>
    <w:rsid w:val="008E7B05"/>
    <w:rsid w:val="008F014C"/>
    <w:rsid w:val="008F01BB"/>
    <w:rsid w:val="008F0589"/>
    <w:rsid w:val="008F0DEE"/>
    <w:rsid w:val="008F1255"/>
    <w:rsid w:val="008F1A87"/>
    <w:rsid w:val="008F1AD8"/>
    <w:rsid w:val="008F1BE2"/>
    <w:rsid w:val="008F2175"/>
    <w:rsid w:val="008F2403"/>
    <w:rsid w:val="008F262D"/>
    <w:rsid w:val="008F34F0"/>
    <w:rsid w:val="008F36CB"/>
    <w:rsid w:val="008F3BE8"/>
    <w:rsid w:val="008F3F5D"/>
    <w:rsid w:val="008F4702"/>
    <w:rsid w:val="008F4E9B"/>
    <w:rsid w:val="008F4F99"/>
    <w:rsid w:val="008F5350"/>
    <w:rsid w:val="008F567E"/>
    <w:rsid w:val="008F649D"/>
    <w:rsid w:val="008F6E2D"/>
    <w:rsid w:val="008F6E81"/>
    <w:rsid w:val="008F716F"/>
    <w:rsid w:val="008F7964"/>
    <w:rsid w:val="008F797F"/>
    <w:rsid w:val="00900ED2"/>
    <w:rsid w:val="009010BD"/>
    <w:rsid w:val="00901E1C"/>
    <w:rsid w:val="00901E67"/>
    <w:rsid w:val="00901FF1"/>
    <w:rsid w:val="0090240B"/>
    <w:rsid w:val="00902572"/>
    <w:rsid w:val="00902673"/>
    <w:rsid w:val="00902784"/>
    <w:rsid w:val="00902DFE"/>
    <w:rsid w:val="00902F7D"/>
    <w:rsid w:val="00903081"/>
    <w:rsid w:val="00903312"/>
    <w:rsid w:val="00903498"/>
    <w:rsid w:val="0090373E"/>
    <w:rsid w:val="00903E0F"/>
    <w:rsid w:val="009040AB"/>
    <w:rsid w:val="00904C7D"/>
    <w:rsid w:val="0090560B"/>
    <w:rsid w:val="00905738"/>
    <w:rsid w:val="00906083"/>
    <w:rsid w:val="009062F9"/>
    <w:rsid w:val="009067F2"/>
    <w:rsid w:val="009068D9"/>
    <w:rsid w:val="00906E17"/>
    <w:rsid w:val="0090724D"/>
    <w:rsid w:val="0090792E"/>
    <w:rsid w:val="00907D1E"/>
    <w:rsid w:val="009101EC"/>
    <w:rsid w:val="00910252"/>
    <w:rsid w:val="009104DE"/>
    <w:rsid w:val="009108E5"/>
    <w:rsid w:val="0091154F"/>
    <w:rsid w:val="0091174C"/>
    <w:rsid w:val="009117B2"/>
    <w:rsid w:val="00912F02"/>
    <w:rsid w:val="0091328B"/>
    <w:rsid w:val="009135F2"/>
    <w:rsid w:val="00913FCC"/>
    <w:rsid w:val="0091469D"/>
    <w:rsid w:val="0091471F"/>
    <w:rsid w:val="00914FCC"/>
    <w:rsid w:val="00915831"/>
    <w:rsid w:val="00915838"/>
    <w:rsid w:val="00915A00"/>
    <w:rsid w:val="00915F0F"/>
    <w:rsid w:val="00915FAB"/>
    <w:rsid w:val="0091626C"/>
    <w:rsid w:val="00916813"/>
    <w:rsid w:val="009168B4"/>
    <w:rsid w:val="00916CAF"/>
    <w:rsid w:val="00916D39"/>
    <w:rsid w:val="00917170"/>
    <w:rsid w:val="009175A8"/>
    <w:rsid w:val="009176CC"/>
    <w:rsid w:val="00917C7C"/>
    <w:rsid w:val="00920E87"/>
    <w:rsid w:val="00921394"/>
    <w:rsid w:val="00921CC2"/>
    <w:rsid w:val="0092245E"/>
    <w:rsid w:val="0092262B"/>
    <w:rsid w:val="009228B9"/>
    <w:rsid w:val="009228BE"/>
    <w:rsid w:val="00923C21"/>
    <w:rsid w:val="0092458A"/>
    <w:rsid w:val="00924B89"/>
    <w:rsid w:val="00924E1A"/>
    <w:rsid w:val="00925765"/>
    <w:rsid w:val="00925949"/>
    <w:rsid w:val="009267C3"/>
    <w:rsid w:val="00926CE3"/>
    <w:rsid w:val="00926F31"/>
    <w:rsid w:val="00927296"/>
    <w:rsid w:val="00927B62"/>
    <w:rsid w:val="0093014A"/>
    <w:rsid w:val="00930432"/>
    <w:rsid w:val="00930583"/>
    <w:rsid w:val="00930713"/>
    <w:rsid w:val="00930D36"/>
    <w:rsid w:val="009312FA"/>
    <w:rsid w:val="00931B2C"/>
    <w:rsid w:val="00931D18"/>
    <w:rsid w:val="00931E7D"/>
    <w:rsid w:val="00932EEF"/>
    <w:rsid w:val="009333B1"/>
    <w:rsid w:val="00933670"/>
    <w:rsid w:val="009336AD"/>
    <w:rsid w:val="0093377D"/>
    <w:rsid w:val="00933C2A"/>
    <w:rsid w:val="0093487F"/>
    <w:rsid w:val="00935BB9"/>
    <w:rsid w:val="00935E3D"/>
    <w:rsid w:val="00935FA5"/>
    <w:rsid w:val="00936501"/>
    <w:rsid w:val="00936545"/>
    <w:rsid w:val="0093698D"/>
    <w:rsid w:val="00937210"/>
    <w:rsid w:val="009375DA"/>
    <w:rsid w:val="00937606"/>
    <w:rsid w:val="00937FA0"/>
    <w:rsid w:val="009402D8"/>
    <w:rsid w:val="00940FBC"/>
    <w:rsid w:val="00941242"/>
    <w:rsid w:val="00941296"/>
    <w:rsid w:val="00941618"/>
    <w:rsid w:val="009422F0"/>
    <w:rsid w:val="00942437"/>
    <w:rsid w:val="00942B50"/>
    <w:rsid w:val="00942DF1"/>
    <w:rsid w:val="00942E71"/>
    <w:rsid w:val="0094300D"/>
    <w:rsid w:val="0094326E"/>
    <w:rsid w:val="009436EB"/>
    <w:rsid w:val="009440FA"/>
    <w:rsid w:val="009443BA"/>
    <w:rsid w:val="009444EF"/>
    <w:rsid w:val="0094470C"/>
    <w:rsid w:val="0094471D"/>
    <w:rsid w:val="00944778"/>
    <w:rsid w:val="009449DF"/>
    <w:rsid w:val="00944C2F"/>
    <w:rsid w:val="00944FD8"/>
    <w:rsid w:val="00945623"/>
    <w:rsid w:val="00945815"/>
    <w:rsid w:val="00945939"/>
    <w:rsid w:val="0094645B"/>
    <w:rsid w:val="00946DE3"/>
    <w:rsid w:val="00946E2B"/>
    <w:rsid w:val="009470E3"/>
    <w:rsid w:val="00950396"/>
    <w:rsid w:val="00950A23"/>
    <w:rsid w:val="00950D8C"/>
    <w:rsid w:val="009511A1"/>
    <w:rsid w:val="00951931"/>
    <w:rsid w:val="009521D3"/>
    <w:rsid w:val="00953125"/>
    <w:rsid w:val="00953730"/>
    <w:rsid w:val="00953A31"/>
    <w:rsid w:val="00953B6C"/>
    <w:rsid w:val="00953C35"/>
    <w:rsid w:val="009543B7"/>
    <w:rsid w:val="0095446E"/>
    <w:rsid w:val="00954536"/>
    <w:rsid w:val="009548C7"/>
    <w:rsid w:val="00954D0F"/>
    <w:rsid w:val="00955153"/>
    <w:rsid w:val="0095531D"/>
    <w:rsid w:val="00955F1B"/>
    <w:rsid w:val="009565A7"/>
    <w:rsid w:val="009565B6"/>
    <w:rsid w:val="00956742"/>
    <w:rsid w:val="00956A2F"/>
    <w:rsid w:val="00956C16"/>
    <w:rsid w:val="00957624"/>
    <w:rsid w:val="0095784A"/>
    <w:rsid w:val="00957DD1"/>
    <w:rsid w:val="009602C5"/>
    <w:rsid w:val="00960613"/>
    <w:rsid w:val="0096081B"/>
    <w:rsid w:val="00960C25"/>
    <w:rsid w:val="009613F7"/>
    <w:rsid w:val="009617C8"/>
    <w:rsid w:val="00961C0C"/>
    <w:rsid w:val="00961EAF"/>
    <w:rsid w:val="0096222A"/>
    <w:rsid w:val="009626D9"/>
    <w:rsid w:val="009629E0"/>
    <w:rsid w:val="00963C9F"/>
    <w:rsid w:val="00963F58"/>
    <w:rsid w:val="0096445A"/>
    <w:rsid w:val="009646DC"/>
    <w:rsid w:val="009648AF"/>
    <w:rsid w:val="00964AA3"/>
    <w:rsid w:val="00964F39"/>
    <w:rsid w:val="00965139"/>
    <w:rsid w:val="0096520B"/>
    <w:rsid w:val="009659B1"/>
    <w:rsid w:val="00965B4B"/>
    <w:rsid w:val="00965E9D"/>
    <w:rsid w:val="00965FE7"/>
    <w:rsid w:val="00966106"/>
    <w:rsid w:val="009661AF"/>
    <w:rsid w:val="009661E3"/>
    <w:rsid w:val="0096789A"/>
    <w:rsid w:val="00970132"/>
    <w:rsid w:val="00970982"/>
    <w:rsid w:val="009711D2"/>
    <w:rsid w:val="00971636"/>
    <w:rsid w:val="00971650"/>
    <w:rsid w:val="009717E8"/>
    <w:rsid w:val="00971801"/>
    <w:rsid w:val="0097197A"/>
    <w:rsid w:val="00971E1A"/>
    <w:rsid w:val="00972056"/>
    <w:rsid w:val="0097283E"/>
    <w:rsid w:val="00972A7B"/>
    <w:rsid w:val="00972DA1"/>
    <w:rsid w:val="00973076"/>
    <w:rsid w:val="0097390D"/>
    <w:rsid w:val="00973A45"/>
    <w:rsid w:val="00973C57"/>
    <w:rsid w:val="009741C5"/>
    <w:rsid w:val="00974B0D"/>
    <w:rsid w:val="00975165"/>
    <w:rsid w:val="0097562A"/>
    <w:rsid w:val="00975981"/>
    <w:rsid w:val="00975A97"/>
    <w:rsid w:val="009764EA"/>
    <w:rsid w:val="00976CB6"/>
    <w:rsid w:val="009774B6"/>
    <w:rsid w:val="0097756D"/>
    <w:rsid w:val="0097770A"/>
    <w:rsid w:val="0098009F"/>
    <w:rsid w:val="00980249"/>
    <w:rsid w:val="009803A7"/>
    <w:rsid w:val="009803B8"/>
    <w:rsid w:val="009808EA"/>
    <w:rsid w:val="00981197"/>
    <w:rsid w:val="00981A11"/>
    <w:rsid w:val="00981A3F"/>
    <w:rsid w:val="00981AA2"/>
    <w:rsid w:val="00981E4A"/>
    <w:rsid w:val="0098277C"/>
    <w:rsid w:val="00982FA9"/>
    <w:rsid w:val="009838A9"/>
    <w:rsid w:val="00983C1C"/>
    <w:rsid w:val="00984299"/>
    <w:rsid w:val="00984473"/>
    <w:rsid w:val="009845C1"/>
    <w:rsid w:val="00984AC9"/>
    <w:rsid w:val="00984C20"/>
    <w:rsid w:val="0098505C"/>
    <w:rsid w:val="009853C5"/>
    <w:rsid w:val="0098566C"/>
    <w:rsid w:val="00985A3B"/>
    <w:rsid w:val="00985AA3"/>
    <w:rsid w:val="009862A9"/>
    <w:rsid w:val="009864F7"/>
    <w:rsid w:val="00987006"/>
    <w:rsid w:val="009879EB"/>
    <w:rsid w:val="00987F6B"/>
    <w:rsid w:val="0099094A"/>
    <w:rsid w:val="00990D5C"/>
    <w:rsid w:val="00991156"/>
    <w:rsid w:val="009919AF"/>
    <w:rsid w:val="00991E24"/>
    <w:rsid w:val="0099207C"/>
    <w:rsid w:val="009925DE"/>
    <w:rsid w:val="009926A0"/>
    <w:rsid w:val="00992844"/>
    <w:rsid w:val="009929F4"/>
    <w:rsid w:val="00992BBF"/>
    <w:rsid w:val="009936A8"/>
    <w:rsid w:val="00993772"/>
    <w:rsid w:val="009937E6"/>
    <w:rsid w:val="00993D50"/>
    <w:rsid w:val="0099452C"/>
    <w:rsid w:val="009950AA"/>
    <w:rsid w:val="009952C5"/>
    <w:rsid w:val="00995CA9"/>
    <w:rsid w:val="00995CFD"/>
    <w:rsid w:val="00995F16"/>
    <w:rsid w:val="009967F8"/>
    <w:rsid w:val="009969DF"/>
    <w:rsid w:val="00996C1D"/>
    <w:rsid w:val="00996FB3"/>
    <w:rsid w:val="0099707A"/>
    <w:rsid w:val="00997323"/>
    <w:rsid w:val="009975BA"/>
    <w:rsid w:val="009979FE"/>
    <w:rsid w:val="00997A54"/>
    <w:rsid w:val="009A08E9"/>
    <w:rsid w:val="009A0B63"/>
    <w:rsid w:val="009A16AC"/>
    <w:rsid w:val="009A22BA"/>
    <w:rsid w:val="009A24A6"/>
    <w:rsid w:val="009A25D1"/>
    <w:rsid w:val="009A3133"/>
    <w:rsid w:val="009A329E"/>
    <w:rsid w:val="009A3798"/>
    <w:rsid w:val="009A3821"/>
    <w:rsid w:val="009A3CF8"/>
    <w:rsid w:val="009A4BEC"/>
    <w:rsid w:val="009A550B"/>
    <w:rsid w:val="009A57EF"/>
    <w:rsid w:val="009A6037"/>
    <w:rsid w:val="009A60F6"/>
    <w:rsid w:val="009A661E"/>
    <w:rsid w:val="009A6638"/>
    <w:rsid w:val="009A75DE"/>
    <w:rsid w:val="009A77B8"/>
    <w:rsid w:val="009A7AD9"/>
    <w:rsid w:val="009B0072"/>
    <w:rsid w:val="009B0F1B"/>
    <w:rsid w:val="009B1267"/>
    <w:rsid w:val="009B1A34"/>
    <w:rsid w:val="009B2B3D"/>
    <w:rsid w:val="009B3273"/>
    <w:rsid w:val="009B39F6"/>
    <w:rsid w:val="009B3B88"/>
    <w:rsid w:val="009B43CF"/>
    <w:rsid w:val="009B4649"/>
    <w:rsid w:val="009B5252"/>
    <w:rsid w:val="009B5315"/>
    <w:rsid w:val="009B534D"/>
    <w:rsid w:val="009B5743"/>
    <w:rsid w:val="009B6288"/>
    <w:rsid w:val="009B69D6"/>
    <w:rsid w:val="009B6FCB"/>
    <w:rsid w:val="009B75FE"/>
    <w:rsid w:val="009B76B4"/>
    <w:rsid w:val="009B7A1D"/>
    <w:rsid w:val="009B7B15"/>
    <w:rsid w:val="009B7E99"/>
    <w:rsid w:val="009C0244"/>
    <w:rsid w:val="009C0C63"/>
    <w:rsid w:val="009C146B"/>
    <w:rsid w:val="009C1674"/>
    <w:rsid w:val="009C33F2"/>
    <w:rsid w:val="009C3B49"/>
    <w:rsid w:val="009C4288"/>
    <w:rsid w:val="009C48E8"/>
    <w:rsid w:val="009C4AC5"/>
    <w:rsid w:val="009C556F"/>
    <w:rsid w:val="009C568D"/>
    <w:rsid w:val="009C5A15"/>
    <w:rsid w:val="009C5E38"/>
    <w:rsid w:val="009C5EC7"/>
    <w:rsid w:val="009C6182"/>
    <w:rsid w:val="009C6365"/>
    <w:rsid w:val="009C6F5B"/>
    <w:rsid w:val="009C7023"/>
    <w:rsid w:val="009C72F0"/>
    <w:rsid w:val="009C74D6"/>
    <w:rsid w:val="009C792D"/>
    <w:rsid w:val="009C7D8E"/>
    <w:rsid w:val="009C7F37"/>
    <w:rsid w:val="009D01D0"/>
    <w:rsid w:val="009D08EF"/>
    <w:rsid w:val="009D0DCD"/>
    <w:rsid w:val="009D0E02"/>
    <w:rsid w:val="009D1EF1"/>
    <w:rsid w:val="009D210F"/>
    <w:rsid w:val="009D2AAD"/>
    <w:rsid w:val="009D3270"/>
    <w:rsid w:val="009D335F"/>
    <w:rsid w:val="009D383F"/>
    <w:rsid w:val="009D3904"/>
    <w:rsid w:val="009D3A75"/>
    <w:rsid w:val="009D3E0F"/>
    <w:rsid w:val="009D3E53"/>
    <w:rsid w:val="009D3EB1"/>
    <w:rsid w:val="009D43B5"/>
    <w:rsid w:val="009D49E4"/>
    <w:rsid w:val="009D4D86"/>
    <w:rsid w:val="009D6A4B"/>
    <w:rsid w:val="009D7068"/>
    <w:rsid w:val="009D727A"/>
    <w:rsid w:val="009D747A"/>
    <w:rsid w:val="009D7CEA"/>
    <w:rsid w:val="009D7D6D"/>
    <w:rsid w:val="009E00FA"/>
    <w:rsid w:val="009E0177"/>
    <w:rsid w:val="009E0303"/>
    <w:rsid w:val="009E0575"/>
    <w:rsid w:val="009E0967"/>
    <w:rsid w:val="009E1023"/>
    <w:rsid w:val="009E1130"/>
    <w:rsid w:val="009E1CA1"/>
    <w:rsid w:val="009E1EAA"/>
    <w:rsid w:val="009E20BF"/>
    <w:rsid w:val="009E35AC"/>
    <w:rsid w:val="009E3DE8"/>
    <w:rsid w:val="009E50E9"/>
    <w:rsid w:val="009E5184"/>
    <w:rsid w:val="009E5576"/>
    <w:rsid w:val="009E57D3"/>
    <w:rsid w:val="009E5E3A"/>
    <w:rsid w:val="009E5F97"/>
    <w:rsid w:val="009E65E4"/>
    <w:rsid w:val="009E6C7E"/>
    <w:rsid w:val="009E79E2"/>
    <w:rsid w:val="009E7BB7"/>
    <w:rsid w:val="009E7E21"/>
    <w:rsid w:val="009F018E"/>
    <w:rsid w:val="009F053C"/>
    <w:rsid w:val="009F068F"/>
    <w:rsid w:val="009F13F9"/>
    <w:rsid w:val="009F144F"/>
    <w:rsid w:val="009F1569"/>
    <w:rsid w:val="009F1A60"/>
    <w:rsid w:val="009F1C83"/>
    <w:rsid w:val="009F1EA9"/>
    <w:rsid w:val="009F25D3"/>
    <w:rsid w:val="009F2850"/>
    <w:rsid w:val="009F28E3"/>
    <w:rsid w:val="009F2DBE"/>
    <w:rsid w:val="009F3326"/>
    <w:rsid w:val="009F3914"/>
    <w:rsid w:val="009F3C9E"/>
    <w:rsid w:val="009F43F1"/>
    <w:rsid w:val="009F46FA"/>
    <w:rsid w:val="009F47B6"/>
    <w:rsid w:val="009F496E"/>
    <w:rsid w:val="009F4AB0"/>
    <w:rsid w:val="009F5051"/>
    <w:rsid w:val="009F5084"/>
    <w:rsid w:val="009F5248"/>
    <w:rsid w:val="009F595D"/>
    <w:rsid w:val="009F5989"/>
    <w:rsid w:val="009F5BD4"/>
    <w:rsid w:val="009F5CAA"/>
    <w:rsid w:val="009F5DD6"/>
    <w:rsid w:val="009F5DF8"/>
    <w:rsid w:val="009F60B7"/>
    <w:rsid w:val="009F6B16"/>
    <w:rsid w:val="009F6C67"/>
    <w:rsid w:val="009F6DFF"/>
    <w:rsid w:val="009F70E9"/>
    <w:rsid w:val="009F7454"/>
    <w:rsid w:val="009F76AB"/>
    <w:rsid w:val="009F7BFB"/>
    <w:rsid w:val="009F7DDA"/>
    <w:rsid w:val="009F7E28"/>
    <w:rsid w:val="009F7EAB"/>
    <w:rsid w:val="00A00379"/>
    <w:rsid w:val="00A00796"/>
    <w:rsid w:val="00A0085B"/>
    <w:rsid w:val="00A00B29"/>
    <w:rsid w:val="00A00C67"/>
    <w:rsid w:val="00A0188C"/>
    <w:rsid w:val="00A0219A"/>
    <w:rsid w:val="00A025F8"/>
    <w:rsid w:val="00A02717"/>
    <w:rsid w:val="00A02C69"/>
    <w:rsid w:val="00A02D11"/>
    <w:rsid w:val="00A02FB0"/>
    <w:rsid w:val="00A02FC5"/>
    <w:rsid w:val="00A0356C"/>
    <w:rsid w:val="00A0378A"/>
    <w:rsid w:val="00A038B4"/>
    <w:rsid w:val="00A03AB2"/>
    <w:rsid w:val="00A04074"/>
    <w:rsid w:val="00A04134"/>
    <w:rsid w:val="00A04BE9"/>
    <w:rsid w:val="00A054AA"/>
    <w:rsid w:val="00A05AE7"/>
    <w:rsid w:val="00A05CA2"/>
    <w:rsid w:val="00A05DFC"/>
    <w:rsid w:val="00A06730"/>
    <w:rsid w:val="00A06F37"/>
    <w:rsid w:val="00A07A6D"/>
    <w:rsid w:val="00A07DC0"/>
    <w:rsid w:val="00A1008C"/>
    <w:rsid w:val="00A1008F"/>
    <w:rsid w:val="00A1045D"/>
    <w:rsid w:val="00A10893"/>
    <w:rsid w:val="00A112CC"/>
    <w:rsid w:val="00A1201C"/>
    <w:rsid w:val="00A12B79"/>
    <w:rsid w:val="00A12E4A"/>
    <w:rsid w:val="00A1310B"/>
    <w:rsid w:val="00A132C6"/>
    <w:rsid w:val="00A139A4"/>
    <w:rsid w:val="00A14029"/>
    <w:rsid w:val="00A1456B"/>
    <w:rsid w:val="00A14A7A"/>
    <w:rsid w:val="00A14B98"/>
    <w:rsid w:val="00A1504A"/>
    <w:rsid w:val="00A15452"/>
    <w:rsid w:val="00A16419"/>
    <w:rsid w:val="00A1641A"/>
    <w:rsid w:val="00A16CFA"/>
    <w:rsid w:val="00A16E84"/>
    <w:rsid w:val="00A17116"/>
    <w:rsid w:val="00A171F2"/>
    <w:rsid w:val="00A1752A"/>
    <w:rsid w:val="00A17FA7"/>
    <w:rsid w:val="00A20028"/>
    <w:rsid w:val="00A205EF"/>
    <w:rsid w:val="00A209B9"/>
    <w:rsid w:val="00A20E19"/>
    <w:rsid w:val="00A20E3A"/>
    <w:rsid w:val="00A217C1"/>
    <w:rsid w:val="00A2182C"/>
    <w:rsid w:val="00A21B20"/>
    <w:rsid w:val="00A222C5"/>
    <w:rsid w:val="00A22496"/>
    <w:rsid w:val="00A228F2"/>
    <w:rsid w:val="00A22979"/>
    <w:rsid w:val="00A23361"/>
    <w:rsid w:val="00A23D1B"/>
    <w:rsid w:val="00A241C4"/>
    <w:rsid w:val="00A24406"/>
    <w:rsid w:val="00A24D05"/>
    <w:rsid w:val="00A24D9E"/>
    <w:rsid w:val="00A25068"/>
    <w:rsid w:val="00A25077"/>
    <w:rsid w:val="00A25169"/>
    <w:rsid w:val="00A25F10"/>
    <w:rsid w:val="00A26019"/>
    <w:rsid w:val="00A26282"/>
    <w:rsid w:val="00A262F4"/>
    <w:rsid w:val="00A263C7"/>
    <w:rsid w:val="00A265B0"/>
    <w:rsid w:val="00A26B1F"/>
    <w:rsid w:val="00A26C3B"/>
    <w:rsid w:val="00A2709C"/>
    <w:rsid w:val="00A27BA4"/>
    <w:rsid w:val="00A30A98"/>
    <w:rsid w:val="00A30CC1"/>
    <w:rsid w:val="00A3134D"/>
    <w:rsid w:val="00A31A26"/>
    <w:rsid w:val="00A31D2E"/>
    <w:rsid w:val="00A3257A"/>
    <w:rsid w:val="00A32C1D"/>
    <w:rsid w:val="00A32C9E"/>
    <w:rsid w:val="00A334CA"/>
    <w:rsid w:val="00A33FC8"/>
    <w:rsid w:val="00A352A6"/>
    <w:rsid w:val="00A355C4"/>
    <w:rsid w:val="00A359C9"/>
    <w:rsid w:val="00A35FC6"/>
    <w:rsid w:val="00A36286"/>
    <w:rsid w:val="00A36904"/>
    <w:rsid w:val="00A369D0"/>
    <w:rsid w:val="00A36B1E"/>
    <w:rsid w:val="00A36FEB"/>
    <w:rsid w:val="00A3768C"/>
    <w:rsid w:val="00A37960"/>
    <w:rsid w:val="00A37D2D"/>
    <w:rsid w:val="00A37D9D"/>
    <w:rsid w:val="00A37E7E"/>
    <w:rsid w:val="00A408E4"/>
    <w:rsid w:val="00A40ACA"/>
    <w:rsid w:val="00A41805"/>
    <w:rsid w:val="00A41B4E"/>
    <w:rsid w:val="00A41C71"/>
    <w:rsid w:val="00A431C0"/>
    <w:rsid w:val="00A43509"/>
    <w:rsid w:val="00A43F0F"/>
    <w:rsid w:val="00A44883"/>
    <w:rsid w:val="00A448B3"/>
    <w:rsid w:val="00A44C7D"/>
    <w:rsid w:val="00A45F1D"/>
    <w:rsid w:val="00A472E5"/>
    <w:rsid w:val="00A47C38"/>
    <w:rsid w:val="00A50166"/>
    <w:rsid w:val="00A50525"/>
    <w:rsid w:val="00A50742"/>
    <w:rsid w:val="00A5078D"/>
    <w:rsid w:val="00A50BDD"/>
    <w:rsid w:val="00A511C4"/>
    <w:rsid w:val="00A512BC"/>
    <w:rsid w:val="00A51472"/>
    <w:rsid w:val="00A51EF7"/>
    <w:rsid w:val="00A52021"/>
    <w:rsid w:val="00A5351F"/>
    <w:rsid w:val="00A5360B"/>
    <w:rsid w:val="00A53610"/>
    <w:rsid w:val="00A5423B"/>
    <w:rsid w:val="00A54595"/>
    <w:rsid w:val="00A547AA"/>
    <w:rsid w:val="00A54AC2"/>
    <w:rsid w:val="00A54F3F"/>
    <w:rsid w:val="00A55717"/>
    <w:rsid w:val="00A55ED0"/>
    <w:rsid w:val="00A566B4"/>
    <w:rsid w:val="00A56CA7"/>
    <w:rsid w:val="00A56F79"/>
    <w:rsid w:val="00A57370"/>
    <w:rsid w:val="00A6045E"/>
    <w:rsid w:val="00A60998"/>
    <w:rsid w:val="00A611AA"/>
    <w:rsid w:val="00A61875"/>
    <w:rsid w:val="00A621F6"/>
    <w:rsid w:val="00A62410"/>
    <w:rsid w:val="00A624C0"/>
    <w:rsid w:val="00A62D2D"/>
    <w:rsid w:val="00A63CFE"/>
    <w:rsid w:val="00A63ECF"/>
    <w:rsid w:val="00A64086"/>
    <w:rsid w:val="00A6441C"/>
    <w:rsid w:val="00A646C6"/>
    <w:rsid w:val="00A65734"/>
    <w:rsid w:val="00A65D7C"/>
    <w:rsid w:val="00A65E46"/>
    <w:rsid w:val="00A65F33"/>
    <w:rsid w:val="00A66182"/>
    <w:rsid w:val="00A66319"/>
    <w:rsid w:val="00A66379"/>
    <w:rsid w:val="00A66A51"/>
    <w:rsid w:val="00A66B53"/>
    <w:rsid w:val="00A66D14"/>
    <w:rsid w:val="00A66EE4"/>
    <w:rsid w:val="00A674A3"/>
    <w:rsid w:val="00A679E7"/>
    <w:rsid w:val="00A67A1C"/>
    <w:rsid w:val="00A67FC5"/>
    <w:rsid w:val="00A70387"/>
    <w:rsid w:val="00A703D7"/>
    <w:rsid w:val="00A70625"/>
    <w:rsid w:val="00A709E5"/>
    <w:rsid w:val="00A70AC0"/>
    <w:rsid w:val="00A70C18"/>
    <w:rsid w:val="00A71337"/>
    <w:rsid w:val="00A71461"/>
    <w:rsid w:val="00A71A52"/>
    <w:rsid w:val="00A71C34"/>
    <w:rsid w:val="00A71F12"/>
    <w:rsid w:val="00A721A8"/>
    <w:rsid w:val="00A72DD3"/>
    <w:rsid w:val="00A72DD5"/>
    <w:rsid w:val="00A731F8"/>
    <w:rsid w:val="00A7351D"/>
    <w:rsid w:val="00A7366E"/>
    <w:rsid w:val="00A73D85"/>
    <w:rsid w:val="00A74A05"/>
    <w:rsid w:val="00A74C74"/>
    <w:rsid w:val="00A74D05"/>
    <w:rsid w:val="00A74D75"/>
    <w:rsid w:val="00A75054"/>
    <w:rsid w:val="00A75692"/>
    <w:rsid w:val="00A75815"/>
    <w:rsid w:val="00A75B24"/>
    <w:rsid w:val="00A769E7"/>
    <w:rsid w:val="00A77747"/>
    <w:rsid w:val="00A77A87"/>
    <w:rsid w:val="00A77EAE"/>
    <w:rsid w:val="00A80146"/>
    <w:rsid w:val="00A8028E"/>
    <w:rsid w:val="00A80E3C"/>
    <w:rsid w:val="00A811DD"/>
    <w:rsid w:val="00A817C4"/>
    <w:rsid w:val="00A81AEF"/>
    <w:rsid w:val="00A81EE7"/>
    <w:rsid w:val="00A826F8"/>
    <w:rsid w:val="00A82FAA"/>
    <w:rsid w:val="00A83022"/>
    <w:rsid w:val="00A831D0"/>
    <w:rsid w:val="00A838D0"/>
    <w:rsid w:val="00A83934"/>
    <w:rsid w:val="00A839AA"/>
    <w:rsid w:val="00A83F04"/>
    <w:rsid w:val="00A842AE"/>
    <w:rsid w:val="00A84450"/>
    <w:rsid w:val="00A8477F"/>
    <w:rsid w:val="00A848CD"/>
    <w:rsid w:val="00A849F2"/>
    <w:rsid w:val="00A84A97"/>
    <w:rsid w:val="00A84B2E"/>
    <w:rsid w:val="00A84F8E"/>
    <w:rsid w:val="00A85088"/>
    <w:rsid w:val="00A85409"/>
    <w:rsid w:val="00A85ABD"/>
    <w:rsid w:val="00A85C2E"/>
    <w:rsid w:val="00A85CEA"/>
    <w:rsid w:val="00A85D88"/>
    <w:rsid w:val="00A86242"/>
    <w:rsid w:val="00A86671"/>
    <w:rsid w:val="00A86ED4"/>
    <w:rsid w:val="00A875B1"/>
    <w:rsid w:val="00A879AD"/>
    <w:rsid w:val="00A90760"/>
    <w:rsid w:val="00A909BD"/>
    <w:rsid w:val="00A90D9E"/>
    <w:rsid w:val="00A91138"/>
    <w:rsid w:val="00A916E6"/>
    <w:rsid w:val="00A91DE7"/>
    <w:rsid w:val="00A91FEF"/>
    <w:rsid w:val="00A929A0"/>
    <w:rsid w:val="00A92D39"/>
    <w:rsid w:val="00A931CE"/>
    <w:rsid w:val="00A9343C"/>
    <w:rsid w:val="00A9361C"/>
    <w:rsid w:val="00A93D91"/>
    <w:rsid w:val="00A93E4E"/>
    <w:rsid w:val="00A93F09"/>
    <w:rsid w:val="00A9429B"/>
    <w:rsid w:val="00A943CF"/>
    <w:rsid w:val="00A94B17"/>
    <w:rsid w:val="00A94B62"/>
    <w:rsid w:val="00A94CC6"/>
    <w:rsid w:val="00A961BC"/>
    <w:rsid w:val="00A963E1"/>
    <w:rsid w:val="00A96B0B"/>
    <w:rsid w:val="00A97319"/>
    <w:rsid w:val="00A9790A"/>
    <w:rsid w:val="00A97E0C"/>
    <w:rsid w:val="00AA0386"/>
    <w:rsid w:val="00AA0526"/>
    <w:rsid w:val="00AA0E10"/>
    <w:rsid w:val="00AA0E3F"/>
    <w:rsid w:val="00AA0F19"/>
    <w:rsid w:val="00AA1175"/>
    <w:rsid w:val="00AA2023"/>
    <w:rsid w:val="00AA21CB"/>
    <w:rsid w:val="00AA314E"/>
    <w:rsid w:val="00AA3349"/>
    <w:rsid w:val="00AA34CE"/>
    <w:rsid w:val="00AA372F"/>
    <w:rsid w:val="00AA40AA"/>
    <w:rsid w:val="00AA421D"/>
    <w:rsid w:val="00AA4DB4"/>
    <w:rsid w:val="00AA58A8"/>
    <w:rsid w:val="00AA5A8C"/>
    <w:rsid w:val="00AA5C43"/>
    <w:rsid w:val="00AA5C62"/>
    <w:rsid w:val="00AA5FB3"/>
    <w:rsid w:val="00AA65B4"/>
    <w:rsid w:val="00AA705F"/>
    <w:rsid w:val="00AA7233"/>
    <w:rsid w:val="00AA730E"/>
    <w:rsid w:val="00AA73B9"/>
    <w:rsid w:val="00AA79DB"/>
    <w:rsid w:val="00AA7A1D"/>
    <w:rsid w:val="00AB016F"/>
    <w:rsid w:val="00AB0307"/>
    <w:rsid w:val="00AB037A"/>
    <w:rsid w:val="00AB0A73"/>
    <w:rsid w:val="00AB104F"/>
    <w:rsid w:val="00AB1291"/>
    <w:rsid w:val="00AB12F6"/>
    <w:rsid w:val="00AB227F"/>
    <w:rsid w:val="00AB2412"/>
    <w:rsid w:val="00AB2549"/>
    <w:rsid w:val="00AB26A1"/>
    <w:rsid w:val="00AB2C79"/>
    <w:rsid w:val="00AB2F83"/>
    <w:rsid w:val="00AB34E6"/>
    <w:rsid w:val="00AB3CFB"/>
    <w:rsid w:val="00AB3F54"/>
    <w:rsid w:val="00AB40DE"/>
    <w:rsid w:val="00AB4B67"/>
    <w:rsid w:val="00AB4E68"/>
    <w:rsid w:val="00AB5098"/>
    <w:rsid w:val="00AB545E"/>
    <w:rsid w:val="00AB562B"/>
    <w:rsid w:val="00AB5C42"/>
    <w:rsid w:val="00AB636B"/>
    <w:rsid w:val="00AB7312"/>
    <w:rsid w:val="00AB7410"/>
    <w:rsid w:val="00AB7D02"/>
    <w:rsid w:val="00AB7E6C"/>
    <w:rsid w:val="00AC0393"/>
    <w:rsid w:val="00AC0CE0"/>
    <w:rsid w:val="00AC281D"/>
    <w:rsid w:val="00AC35DA"/>
    <w:rsid w:val="00AC3CFA"/>
    <w:rsid w:val="00AC462C"/>
    <w:rsid w:val="00AC464C"/>
    <w:rsid w:val="00AC49CA"/>
    <w:rsid w:val="00AC4B09"/>
    <w:rsid w:val="00AC4B35"/>
    <w:rsid w:val="00AC4BEF"/>
    <w:rsid w:val="00AC4BFF"/>
    <w:rsid w:val="00AC5004"/>
    <w:rsid w:val="00AC5145"/>
    <w:rsid w:val="00AC51D9"/>
    <w:rsid w:val="00AC5251"/>
    <w:rsid w:val="00AC5537"/>
    <w:rsid w:val="00AC5BCB"/>
    <w:rsid w:val="00AC630E"/>
    <w:rsid w:val="00AC6351"/>
    <w:rsid w:val="00AC65FD"/>
    <w:rsid w:val="00AC6806"/>
    <w:rsid w:val="00AC7440"/>
    <w:rsid w:val="00AC762B"/>
    <w:rsid w:val="00AC783A"/>
    <w:rsid w:val="00AC798E"/>
    <w:rsid w:val="00AD01F5"/>
    <w:rsid w:val="00AD0801"/>
    <w:rsid w:val="00AD0AAC"/>
    <w:rsid w:val="00AD1AD7"/>
    <w:rsid w:val="00AD1AEF"/>
    <w:rsid w:val="00AD20D7"/>
    <w:rsid w:val="00AD263A"/>
    <w:rsid w:val="00AD2A7E"/>
    <w:rsid w:val="00AD36FB"/>
    <w:rsid w:val="00AD374E"/>
    <w:rsid w:val="00AD3798"/>
    <w:rsid w:val="00AD3D8A"/>
    <w:rsid w:val="00AD3E6D"/>
    <w:rsid w:val="00AD46CA"/>
    <w:rsid w:val="00AD4707"/>
    <w:rsid w:val="00AD4DFC"/>
    <w:rsid w:val="00AD50F8"/>
    <w:rsid w:val="00AD5184"/>
    <w:rsid w:val="00AD519E"/>
    <w:rsid w:val="00AD57D6"/>
    <w:rsid w:val="00AD5CB0"/>
    <w:rsid w:val="00AD60C5"/>
    <w:rsid w:val="00AD75B0"/>
    <w:rsid w:val="00AD76A0"/>
    <w:rsid w:val="00AD76E9"/>
    <w:rsid w:val="00AD7E78"/>
    <w:rsid w:val="00AE0145"/>
    <w:rsid w:val="00AE04B7"/>
    <w:rsid w:val="00AE0A8C"/>
    <w:rsid w:val="00AE12F2"/>
    <w:rsid w:val="00AE1845"/>
    <w:rsid w:val="00AE1EE7"/>
    <w:rsid w:val="00AE2B29"/>
    <w:rsid w:val="00AE3495"/>
    <w:rsid w:val="00AE3950"/>
    <w:rsid w:val="00AE3E2D"/>
    <w:rsid w:val="00AE41B2"/>
    <w:rsid w:val="00AE432E"/>
    <w:rsid w:val="00AE4865"/>
    <w:rsid w:val="00AE4A85"/>
    <w:rsid w:val="00AE5241"/>
    <w:rsid w:val="00AE674F"/>
    <w:rsid w:val="00AE67A2"/>
    <w:rsid w:val="00AE6CD1"/>
    <w:rsid w:val="00AE6D36"/>
    <w:rsid w:val="00AE7293"/>
    <w:rsid w:val="00AE7582"/>
    <w:rsid w:val="00AE7594"/>
    <w:rsid w:val="00AE7868"/>
    <w:rsid w:val="00AE7CE7"/>
    <w:rsid w:val="00AF0587"/>
    <w:rsid w:val="00AF0AD3"/>
    <w:rsid w:val="00AF0C70"/>
    <w:rsid w:val="00AF0FFA"/>
    <w:rsid w:val="00AF139D"/>
    <w:rsid w:val="00AF16A9"/>
    <w:rsid w:val="00AF1FBD"/>
    <w:rsid w:val="00AF2341"/>
    <w:rsid w:val="00AF26A8"/>
    <w:rsid w:val="00AF2ACE"/>
    <w:rsid w:val="00AF3230"/>
    <w:rsid w:val="00AF39F0"/>
    <w:rsid w:val="00AF443E"/>
    <w:rsid w:val="00AF4821"/>
    <w:rsid w:val="00AF4857"/>
    <w:rsid w:val="00AF4E76"/>
    <w:rsid w:val="00AF4EF6"/>
    <w:rsid w:val="00AF5053"/>
    <w:rsid w:val="00AF52D7"/>
    <w:rsid w:val="00AF5E5F"/>
    <w:rsid w:val="00AF5F65"/>
    <w:rsid w:val="00AF6526"/>
    <w:rsid w:val="00AF6FC2"/>
    <w:rsid w:val="00AF6FD5"/>
    <w:rsid w:val="00AF7603"/>
    <w:rsid w:val="00AF7689"/>
    <w:rsid w:val="00B01097"/>
    <w:rsid w:val="00B0162D"/>
    <w:rsid w:val="00B01662"/>
    <w:rsid w:val="00B01A7B"/>
    <w:rsid w:val="00B01C08"/>
    <w:rsid w:val="00B01F7C"/>
    <w:rsid w:val="00B0259A"/>
    <w:rsid w:val="00B027C7"/>
    <w:rsid w:val="00B029F8"/>
    <w:rsid w:val="00B02C0D"/>
    <w:rsid w:val="00B02D0F"/>
    <w:rsid w:val="00B02FEF"/>
    <w:rsid w:val="00B030BC"/>
    <w:rsid w:val="00B0327E"/>
    <w:rsid w:val="00B0333E"/>
    <w:rsid w:val="00B0341E"/>
    <w:rsid w:val="00B03C1D"/>
    <w:rsid w:val="00B040AB"/>
    <w:rsid w:val="00B0443E"/>
    <w:rsid w:val="00B044D2"/>
    <w:rsid w:val="00B04823"/>
    <w:rsid w:val="00B04C36"/>
    <w:rsid w:val="00B04FB2"/>
    <w:rsid w:val="00B054D7"/>
    <w:rsid w:val="00B05B20"/>
    <w:rsid w:val="00B06050"/>
    <w:rsid w:val="00B0635C"/>
    <w:rsid w:val="00B066A1"/>
    <w:rsid w:val="00B06AFA"/>
    <w:rsid w:val="00B07869"/>
    <w:rsid w:val="00B078E3"/>
    <w:rsid w:val="00B07E18"/>
    <w:rsid w:val="00B1048F"/>
    <w:rsid w:val="00B1063D"/>
    <w:rsid w:val="00B11015"/>
    <w:rsid w:val="00B11078"/>
    <w:rsid w:val="00B1190A"/>
    <w:rsid w:val="00B11B01"/>
    <w:rsid w:val="00B121FB"/>
    <w:rsid w:val="00B12302"/>
    <w:rsid w:val="00B1273A"/>
    <w:rsid w:val="00B12894"/>
    <w:rsid w:val="00B1368E"/>
    <w:rsid w:val="00B13F26"/>
    <w:rsid w:val="00B145B9"/>
    <w:rsid w:val="00B1507E"/>
    <w:rsid w:val="00B15174"/>
    <w:rsid w:val="00B157F3"/>
    <w:rsid w:val="00B15989"/>
    <w:rsid w:val="00B15E54"/>
    <w:rsid w:val="00B15EC0"/>
    <w:rsid w:val="00B15F38"/>
    <w:rsid w:val="00B1609B"/>
    <w:rsid w:val="00B16121"/>
    <w:rsid w:val="00B1627C"/>
    <w:rsid w:val="00B1636F"/>
    <w:rsid w:val="00B16635"/>
    <w:rsid w:val="00B1666C"/>
    <w:rsid w:val="00B1671F"/>
    <w:rsid w:val="00B16984"/>
    <w:rsid w:val="00B16AA0"/>
    <w:rsid w:val="00B16B0E"/>
    <w:rsid w:val="00B16C90"/>
    <w:rsid w:val="00B1757F"/>
    <w:rsid w:val="00B1791A"/>
    <w:rsid w:val="00B2034D"/>
    <w:rsid w:val="00B205C5"/>
    <w:rsid w:val="00B20AC8"/>
    <w:rsid w:val="00B20DCB"/>
    <w:rsid w:val="00B211B2"/>
    <w:rsid w:val="00B21492"/>
    <w:rsid w:val="00B21AEB"/>
    <w:rsid w:val="00B22E7B"/>
    <w:rsid w:val="00B22EB6"/>
    <w:rsid w:val="00B22F7B"/>
    <w:rsid w:val="00B233A5"/>
    <w:rsid w:val="00B233C1"/>
    <w:rsid w:val="00B23B0A"/>
    <w:rsid w:val="00B23BED"/>
    <w:rsid w:val="00B23E89"/>
    <w:rsid w:val="00B2406C"/>
    <w:rsid w:val="00B24129"/>
    <w:rsid w:val="00B24406"/>
    <w:rsid w:val="00B2465B"/>
    <w:rsid w:val="00B2492E"/>
    <w:rsid w:val="00B25172"/>
    <w:rsid w:val="00B252B3"/>
    <w:rsid w:val="00B253CC"/>
    <w:rsid w:val="00B25877"/>
    <w:rsid w:val="00B259B3"/>
    <w:rsid w:val="00B25E7C"/>
    <w:rsid w:val="00B26265"/>
    <w:rsid w:val="00B26FB7"/>
    <w:rsid w:val="00B27046"/>
    <w:rsid w:val="00B2733A"/>
    <w:rsid w:val="00B274D8"/>
    <w:rsid w:val="00B27B1D"/>
    <w:rsid w:val="00B27C13"/>
    <w:rsid w:val="00B300B7"/>
    <w:rsid w:val="00B302C9"/>
    <w:rsid w:val="00B3036C"/>
    <w:rsid w:val="00B30718"/>
    <w:rsid w:val="00B30FA6"/>
    <w:rsid w:val="00B3101A"/>
    <w:rsid w:val="00B310F9"/>
    <w:rsid w:val="00B31206"/>
    <w:rsid w:val="00B3143C"/>
    <w:rsid w:val="00B31EF4"/>
    <w:rsid w:val="00B32335"/>
    <w:rsid w:val="00B3241A"/>
    <w:rsid w:val="00B3257D"/>
    <w:rsid w:val="00B32B08"/>
    <w:rsid w:val="00B3360A"/>
    <w:rsid w:val="00B339F0"/>
    <w:rsid w:val="00B343D0"/>
    <w:rsid w:val="00B34921"/>
    <w:rsid w:val="00B349E3"/>
    <w:rsid w:val="00B357CD"/>
    <w:rsid w:val="00B369A5"/>
    <w:rsid w:val="00B369E5"/>
    <w:rsid w:val="00B36C07"/>
    <w:rsid w:val="00B37B84"/>
    <w:rsid w:val="00B4027F"/>
    <w:rsid w:val="00B40527"/>
    <w:rsid w:val="00B408F7"/>
    <w:rsid w:val="00B40C3E"/>
    <w:rsid w:val="00B41365"/>
    <w:rsid w:val="00B419BE"/>
    <w:rsid w:val="00B4263E"/>
    <w:rsid w:val="00B42FDB"/>
    <w:rsid w:val="00B430CC"/>
    <w:rsid w:val="00B432B0"/>
    <w:rsid w:val="00B439A6"/>
    <w:rsid w:val="00B43B0A"/>
    <w:rsid w:val="00B43DFD"/>
    <w:rsid w:val="00B44595"/>
    <w:rsid w:val="00B44989"/>
    <w:rsid w:val="00B44F08"/>
    <w:rsid w:val="00B458FF"/>
    <w:rsid w:val="00B45D90"/>
    <w:rsid w:val="00B46B48"/>
    <w:rsid w:val="00B47024"/>
    <w:rsid w:val="00B476F5"/>
    <w:rsid w:val="00B4773E"/>
    <w:rsid w:val="00B50157"/>
    <w:rsid w:val="00B50271"/>
    <w:rsid w:val="00B50948"/>
    <w:rsid w:val="00B511E9"/>
    <w:rsid w:val="00B516EE"/>
    <w:rsid w:val="00B5173A"/>
    <w:rsid w:val="00B517DF"/>
    <w:rsid w:val="00B5193A"/>
    <w:rsid w:val="00B5211F"/>
    <w:rsid w:val="00B525C8"/>
    <w:rsid w:val="00B5272F"/>
    <w:rsid w:val="00B5278F"/>
    <w:rsid w:val="00B52E41"/>
    <w:rsid w:val="00B5302E"/>
    <w:rsid w:val="00B535D7"/>
    <w:rsid w:val="00B53D88"/>
    <w:rsid w:val="00B53F82"/>
    <w:rsid w:val="00B54498"/>
    <w:rsid w:val="00B54DD3"/>
    <w:rsid w:val="00B54E2F"/>
    <w:rsid w:val="00B550E4"/>
    <w:rsid w:val="00B55527"/>
    <w:rsid w:val="00B556A4"/>
    <w:rsid w:val="00B55DF2"/>
    <w:rsid w:val="00B5643D"/>
    <w:rsid w:val="00B5673B"/>
    <w:rsid w:val="00B56849"/>
    <w:rsid w:val="00B56A36"/>
    <w:rsid w:val="00B56A93"/>
    <w:rsid w:val="00B56E44"/>
    <w:rsid w:val="00B57527"/>
    <w:rsid w:val="00B579A1"/>
    <w:rsid w:val="00B57A79"/>
    <w:rsid w:val="00B57DD4"/>
    <w:rsid w:val="00B57EB8"/>
    <w:rsid w:val="00B605D8"/>
    <w:rsid w:val="00B607E1"/>
    <w:rsid w:val="00B60932"/>
    <w:rsid w:val="00B60B5D"/>
    <w:rsid w:val="00B60DA6"/>
    <w:rsid w:val="00B616B0"/>
    <w:rsid w:val="00B6190D"/>
    <w:rsid w:val="00B61B01"/>
    <w:rsid w:val="00B61B1C"/>
    <w:rsid w:val="00B629D0"/>
    <w:rsid w:val="00B63820"/>
    <w:rsid w:val="00B63AEB"/>
    <w:rsid w:val="00B63C35"/>
    <w:rsid w:val="00B643D9"/>
    <w:rsid w:val="00B644EE"/>
    <w:rsid w:val="00B647BB"/>
    <w:rsid w:val="00B6487E"/>
    <w:rsid w:val="00B64A83"/>
    <w:rsid w:val="00B64C6D"/>
    <w:rsid w:val="00B64F53"/>
    <w:rsid w:val="00B65084"/>
    <w:rsid w:val="00B652DE"/>
    <w:rsid w:val="00B6555C"/>
    <w:rsid w:val="00B65CE8"/>
    <w:rsid w:val="00B65FE4"/>
    <w:rsid w:val="00B6627A"/>
    <w:rsid w:val="00B66A4F"/>
    <w:rsid w:val="00B67AFD"/>
    <w:rsid w:val="00B67CA0"/>
    <w:rsid w:val="00B70208"/>
    <w:rsid w:val="00B71140"/>
    <w:rsid w:val="00B71782"/>
    <w:rsid w:val="00B71D12"/>
    <w:rsid w:val="00B72220"/>
    <w:rsid w:val="00B726B0"/>
    <w:rsid w:val="00B7294C"/>
    <w:rsid w:val="00B73024"/>
    <w:rsid w:val="00B7433C"/>
    <w:rsid w:val="00B74744"/>
    <w:rsid w:val="00B74EF8"/>
    <w:rsid w:val="00B75139"/>
    <w:rsid w:val="00B751DB"/>
    <w:rsid w:val="00B75403"/>
    <w:rsid w:val="00B75BAE"/>
    <w:rsid w:val="00B7630B"/>
    <w:rsid w:val="00B767D3"/>
    <w:rsid w:val="00B767FB"/>
    <w:rsid w:val="00B76F73"/>
    <w:rsid w:val="00B806BD"/>
    <w:rsid w:val="00B80835"/>
    <w:rsid w:val="00B80DF4"/>
    <w:rsid w:val="00B818D8"/>
    <w:rsid w:val="00B81A05"/>
    <w:rsid w:val="00B820F5"/>
    <w:rsid w:val="00B8217C"/>
    <w:rsid w:val="00B822C0"/>
    <w:rsid w:val="00B8246F"/>
    <w:rsid w:val="00B8288B"/>
    <w:rsid w:val="00B8307A"/>
    <w:rsid w:val="00B83303"/>
    <w:rsid w:val="00B83E22"/>
    <w:rsid w:val="00B840F5"/>
    <w:rsid w:val="00B84194"/>
    <w:rsid w:val="00B84726"/>
    <w:rsid w:val="00B84CC8"/>
    <w:rsid w:val="00B8508B"/>
    <w:rsid w:val="00B85180"/>
    <w:rsid w:val="00B85C58"/>
    <w:rsid w:val="00B860D2"/>
    <w:rsid w:val="00B861EF"/>
    <w:rsid w:val="00B86372"/>
    <w:rsid w:val="00B866D5"/>
    <w:rsid w:val="00B86B25"/>
    <w:rsid w:val="00B870A0"/>
    <w:rsid w:val="00B8764E"/>
    <w:rsid w:val="00B900DE"/>
    <w:rsid w:val="00B901F2"/>
    <w:rsid w:val="00B902C7"/>
    <w:rsid w:val="00B9031F"/>
    <w:rsid w:val="00B90DA1"/>
    <w:rsid w:val="00B90F84"/>
    <w:rsid w:val="00B913AF"/>
    <w:rsid w:val="00B9180B"/>
    <w:rsid w:val="00B91944"/>
    <w:rsid w:val="00B91A40"/>
    <w:rsid w:val="00B91ED0"/>
    <w:rsid w:val="00B92B51"/>
    <w:rsid w:val="00B92F67"/>
    <w:rsid w:val="00B94AB8"/>
    <w:rsid w:val="00B94CD8"/>
    <w:rsid w:val="00B94E50"/>
    <w:rsid w:val="00B96B6E"/>
    <w:rsid w:val="00BA01A8"/>
    <w:rsid w:val="00BA0444"/>
    <w:rsid w:val="00BA074B"/>
    <w:rsid w:val="00BA0EAD"/>
    <w:rsid w:val="00BA1590"/>
    <w:rsid w:val="00BA1770"/>
    <w:rsid w:val="00BA1B81"/>
    <w:rsid w:val="00BA1FA7"/>
    <w:rsid w:val="00BA1FAC"/>
    <w:rsid w:val="00BA2031"/>
    <w:rsid w:val="00BA286D"/>
    <w:rsid w:val="00BA2874"/>
    <w:rsid w:val="00BA29EC"/>
    <w:rsid w:val="00BA2AF8"/>
    <w:rsid w:val="00BA323D"/>
    <w:rsid w:val="00BA3472"/>
    <w:rsid w:val="00BA34FC"/>
    <w:rsid w:val="00BA3C50"/>
    <w:rsid w:val="00BA41B5"/>
    <w:rsid w:val="00BA4E31"/>
    <w:rsid w:val="00BA4F9A"/>
    <w:rsid w:val="00BA533D"/>
    <w:rsid w:val="00BA5A76"/>
    <w:rsid w:val="00BA5AC9"/>
    <w:rsid w:val="00BA62E1"/>
    <w:rsid w:val="00BA6540"/>
    <w:rsid w:val="00BA6A43"/>
    <w:rsid w:val="00BA6FC3"/>
    <w:rsid w:val="00BA74F9"/>
    <w:rsid w:val="00BA7E5E"/>
    <w:rsid w:val="00BB039A"/>
    <w:rsid w:val="00BB0450"/>
    <w:rsid w:val="00BB05A0"/>
    <w:rsid w:val="00BB0BB7"/>
    <w:rsid w:val="00BB20E9"/>
    <w:rsid w:val="00BB355F"/>
    <w:rsid w:val="00BB4C8D"/>
    <w:rsid w:val="00BB4F33"/>
    <w:rsid w:val="00BB54CB"/>
    <w:rsid w:val="00BB5BD9"/>
    <w:rsid w:val="00BB6050"/>
    <w:rsid w:val="00BB6767"/>
    <w:rsid w:val="00BB7245"/>
    <w:rsid w:val="00BB7877"/>
    <w:rsid w:val="00BB7898"/>
    <w:rsid w:val="00BC0971"/>
    <w:rsid w:val="00BC0A01"/>
    <w:rsid w:val="00BC0A08"/>
    <w:rsid w:val="00BC1208"/>
    <w:rsid w:val="00BC2606"/>
    <w:rsid w:val="00BC27D6"/>
    <w:rsid w:val="00BC2868"/>
    <w:rsid w:val="00BC2AEC"/>
    <w:rsid w:val="00BC2BA3"/>
    <w:rsid w:val="00BC2C0E"/>
    <w:rsid w:val="00BC307F"/>
    <w:rsid w:val="00BC3228"/>
    <w:rsid w:val="00BC3957"/>
    <w:rsid w:val="00BC3BE6"/>
    <w:rsid w:val="00BC3F16"/>
    <w:rsid w:val="00BC44BB"/>
    <w:rsid w:val="00BC4582"/>
    <w:rsid w:val="00BC458A"/>
    <w:rsid w:val="00BC4977"/>
    <w:rsid w:val="00BC553B"/>
    <w:rsid w:val="00BC57D1"/>
    <w:rsid w:val="00BC6058"/>
    <w:rsid w:val="00BC60E6"/>
    <w:rsid w:val="00BC69B1"/>
    <w:rsid w:val="00BC69C7"/>
    <w:rsid w:val="00BC6EBF"/>
    <w:rsid w:val="00BC7097"/>
    <w:rsid w:val="00BC70FD"/>
    <w:rsid w:val="00BC7B7C"/>
    <w:rsid w:val="00BC7BB6"/>
    <w:rsid w:val="00BC7DB2"/>
    <w:rsid w:val="00BD03A6"/>
    <w:rsid w:val="00BD0DDB"/>
    <w:rsid w:val="00BD0EB5"/>
    <w:rsid w:val="00BD0F1A"/>
    <w:rsid w:val="00BD129D"/>
    <w:rsid w:val="00BD16E0"/>
    <w:rsid w:val="00BD1C3A"/>
    <w:rsid w:val="00BD1E95"/>
    <w:rsid w:val="00BD1FE4"/>
    <w:rsid w:val="00BD2CB6"/>
    <w:rsid w:val="00BD336B"/>
    <w:rsid w:val="00BD39DB"/>
    <w:rsid w:val="00BD4C5C"/>
    <w:rsid w:val="00BD528C"/>
    <w:rsid w:val="00BD562E"/>
    <w:rsid w:val="00BD5D49"/>
    <w:rsid w:val="00BD6B4C"/>
    <w:rsid w:val="00BD78D2"/>
    <w:rsid w:val="00BD79D8"/>
    <w:rsid w:val="00BD7DC3"/>
    <w:rsid w:val="00BD7E92"/>
    <w:rsid w:val="00BE01CB"/>
    <w:rsid w:val="00BE0429"/>
    <w:rsid w:val="00BE0F3C"/>
    <w:rsid w:val="00BE2140"/>
    <w:rsid w:val="00BE26AE"/>
    <w:rsid w:val="00BE2A67"/>
    <w:rsid w:val="00BE34DA"/>
    <w:rsid w:val="00BE3B0E"/>
    <w:rsid w:val="00BE42E6"/>
    <w:rsid w:val="00BE42EB"/>
    <w:rsid w:val="00BE49B2"/>
    <w:rsid w:val="00BE4F71"/>
    <w:rsid w:val="00BE528A"/>
    <w:rsid w:val="00BE557D"/>
    <w:rsid w:val="00BE5D67"/>
    <w:rsid w:val="00BE6471"/>
    <w:rsid w:val="00BE64C7"/>
    <w:rsid w:val="00BE69AB"/>
    <w:rsid w:val="00BE71B1"/>
    <w:rsid w:val="00BE7F64"/>
    <w:rsid w:val="00BF00EB"/>
    <w:rsid w:val="00BF02A4"/>
    <w:rsid w:val="00BF02E7"/>
    <w:rsid w:val="00BF06D7"/>
    <w:rsid w:val="00BF0B12"/>
    <w:rsid w:val="00BF0CCF"/>
    <w:rsid w:val="00BF12D9"/>
    <w:rsid w:val="00BF19FB"/>
    <w:rsid w:val="00BF2008"/>
    <w:rsid w:val="00BF23EB"/>
    <w:rsid w:val="00BF2808"/>
    <w:rsid w:val="00BF2955"/>
    <w:rsid w:val="00BF2E00"/>
    <w:rsid w:val="00BF2F0B"/>
    <w:rsid w:val="00BF3968"/>
    <w:rsid w:val="00BF3DBF"/>
    <w:rsid w:val="00BF3E0F"/>
    <w:rsid w:val="00BF4CD7"/>
    <w:rsid w:val="00BF54B6"/>
    <w:rsid w:val="00BF5759"/>
    <w:rsid w:val="00BF5D27"/>
    <w:rsid w:val="00BF6160"/>
    <w:rsid w:val="00BF6521"/>
    <w:rsid w:val="00BF6766"/>
    <w:rsid w:val="00BF6B19"/>
    <w:rsid w:val="00BF6D80"/>
    <w:rsid w:val="00BF71A7"/>
    <w:rsid w:val="00BF71D9"/>
    <w:rsid w:val="00BF76CF"/>
    <w:rsid w:val="00BF7894"/>
    <w:rsid w:val="00C006E0"/>
    <w:rsid w:val="00C00883"/>
    <w:rsid w:val="00C00925"/>
    <w:rsid w:val="00C00E5C"/>
    <w:rsid w:val="00C01C00"/>
    <w:rsid w:val="00C01F32"/>
    <w:rsid w:val="00C02397"/>
    <w:rsid w:val="00C02492"/>
    <w:rsid w:val="00C026F5"/>
    <w:rsid w:val="00C02AEB"/>
    <w:rsid w:val="00C02BBB"/>
    <w:rsid w:val="00C0370E"/>
    <w:rsid w:val="00C03AB9"/>
    <w:rsid w:val="00C03DCC"/>
    <w:rsid w:val="00C03F4A"/>
    <w:rsid w:val="00C03F69"/>
    <w:rsid w:val="00C0439F"/>
    <w:rsid w:val="00C047D8"/>
    <w:rsid w:val="00C04CE6"/>
    <w:rsid w:val="00C04E80"/>
    <w:rsid w:val="00C05264"/>
    <w:rsid w:val="00C05DA4"/>
    <w:rsid w:val="00C0641D"/>
    <w:rsid w:val="00C07002"/>
    <w:rsid w:val="00C074F2"/>
    <w:rsid w:val="00C07857"/>
    <w:rsid w:val="00C07D0E"/>
    <w:rsid w:val="00C07ECD"/>
    <w:rsid w:val="00C10323"/>
    <w:rsid w:val="00C11566"/>
    <w:rsid w:val="00C11596"/>
    <w:rsid w:val="00C115B5"/>
    <w:rsid w:val="00C11B31"/>
    <w:rsid w:val="00C12212"/>
    <w:rsid w:val="00C12278"/>
    <w:rsid w:val="00C1263B"/>
    <w:rsid w:val="00C12925"/>
    <w:rsid w:val="00C12BAE"/>
    <w:rsid w:val="00C12C8A"/>
    <w:rsid w:val="00C130D3"/>
    <w:rsid w:val="00C13391"/>
    <w:rsid w:val="00C13897"/>
    <w:rsid w:val="00C1398C"/>
    <w:rsid w:val="00C14F99"/>
    <w:rsid w:val="00C15987"/>
    <w:rsid w:val="00C15AF7"/>
    <w:rsid w:val="00C15C8A"/>
    <w:rsid w:val="00C15CB8"/>
    <w:rsid w:val="00C15D8B"/>
    <w:rsid w:val="00C15F00"/>
    <w:rsid w:val="00C162DA"/>
    <w:rsid w:val="00C16FC5"/>
    <w:rsid w:val="00C16FE2"/>
    <w:rsid w:val="00C17E7A"/>
    <w:rsid w:val="00C20071"/>
    <w:rsid w:val="00C207CF"/>
    <w:rsid w:val="00C20845"/>
    <w:rsid w:val="00C20A61"/>
    <w:rsid w:val="00C20D0C"/>
    <w:rsid w:val="00C20EE0"/>
    <w:rsid w:val="00C20F79"/>
    <w:rsid w:val="00C2146C"/>
    <w:rsid w:val="00C2150B"/>
    <w:rsid w:val="00C22A1E"/>
    <w:rsid w:val="00C22E62"/>
    <w:rsid w:val="00C22EA7"/>
    <w:rsid w:val="00C23268"/>
    <w:rsid w:val="00C233FB"/>
    <w:rsid w:val="00C2368F"/>
    <w:rsid w:val="00C23A65"/>
    <w:rsid w:val="00C23FFA"/>
    <w:rsid w:val="00C2425B"/>
    <w:rsid w:val="00C24627"/>
    <w:rsid w:val="00C26190"/>
    <w:rsid w:val="00C2758A"/>
    <w:rsid w:val="00C2778D"/>
    <w:rsid w:val="00C2798E"/>
    <w:rsid w:val="00C27C30"/>
    <w:rsid w:val="00C27D4E"/>
    <w:rsid w:val="00C3000A"/>
    <w:rsid w:val="00C30117"/>
    <w:rsid w:val="00C307F9"/>
    <w:rsid w:val="00C30A59"/>
    <w:rsid w:val="00C30CA5"/>
    <w:rsid w:val="00C31D07"/>
    <w:rsid w:val="00C32186"/>
    <w:rsid w:val="00C3234A"/>
    <w:rsid w:val="00C32637"/>
    <w:rsid w:val="00C326D1"/>
    <w:rsid w:val="00C34624"/>
    <w:rsid w:val="00C34D92"/>
    <w:rsid w:val="00C356A3"/>
    <w:rsid w:val="00C35809"/>
    <w:rsid w:val="00C35B78"/>
    <w:rsid w:val="00C36064"/>
    <w:rsid w:val="00C367DA"/>
    <w:rsid w:val="00C3692C"/>
    <w:rsid w:val="00C36FBE"/>
    <w:rsid w:val="00C37763"/>
    <w:rsid w:val="00C377F9"/>
    <w:rsid w:val="00C37F15"/>
    <w:rsid w:val="00C40F87"/>
    <w:rsid w:val="00C41539"/>
    <w:rsid w:val="00C4163C"/>
    <w:rsid w:val="00C41E92"/>
    <w:rsid w:val="00C41F84"/>
    <w:rsid w:val="00C4390D"/>
    <w:rsid w:val="00C44193"/>
    <w:rsid w:val="00C4454C"/>
    <w:rsid w:val="00C44929"/>
    <w:rsid w:val="00C456E4"/>
    <w:rsid w:val="00C45AE8"/>
    <w:rsid w:val="00C46081"/>
    <w:rsid w:val="00C46149"/>
    <w:rsid w:val="00C466FC"/>
    <w:rsid w:val="00C46B88"/>
    <w:rsid w:val="00C46BC0"/>
    <w:rsid w:val="00C46CEF"/>
    <w:rsid w:val="00C47087"/>
    <w:rsid w:val="00C47545"/>
    <w:rsid w:val="00C47BB5"/>
    <w:rsid w:val="00C47D18"/>
    <w:rsid w:val="00C501FE"/>
    <w:rsid w:val="00C50A08"/>
    <w:rsid w:val="00C51475"/>
    <w:rsid w:val="00C515A3"/>
    <w:rsid w:val="00C51DE5"/>
    <w:rsid w:val="00C5201B"/>
    <w:rsid w:val="00C52155"/>
    <w:rsid w:val="00C52473"/>
    <w:rsid w:val="00C53187"/>
    <w:rsid w:val="00C536FF"/>
    <w:rsid w:val="00C53C88"/>
    <w:rsid w:val="00C53E10"/>
    <w:rsid w:val="00C54009"/>
    <w:rsid w:val="00C546F9"/>
    <w:rsid w:val="00C547A3"/>
    <w:rsid w:val="00C54888"/>
    <w:rsid w:val="00C54B06"/>
    <w:rsid w:val="00C55DD8"/>
    <w:rsid w:val="00C5628C"/>
    <w:rsid w:val="00C56577"/>
    <w:rsid w:val="00C56780"/>
    <w:rsid w:val="00C578EE"/>
    <w:rsid w:val="00C6019C"/>
    <w:rsid w:val="00C60344"/>
    <w:rsid w:val="00C608E3"/>
    <w:rsid w:val="00C6120D"/>
    <w:rsid w:val="00C61592"/>
    <w:rsid w:val="00C616F8"/>
    <w:rsid w:val="00C61AA7"/>
    <w:rsid w:val="00C621FC"/>
    <w:rsid w:val="00C6287E"/>
    <w:rsid w:val="00C62F0A"/>
    <w:rsid w:val="00C633E3"/>
    <w:rsid w:val="00C6448E"/>
    <w:rsid w:val="00C64E86"/>
    <w:rsid w:val="00C650A7"/>
    <w:rsid w:val="00C654F6"/>
    <w:rsid w:val="00C6564E"/>
    <w:rsid w:val="00C65BB8"/>
    <w:rsid w:val="00C65EE5"/>
    <w:rsid w:val="00C6617D"/>
    <w:rsid w:val="00C66951"/>
    <w:rsid w:val="00C66C15"/>
    <w:rsid w:val="00C6762C"/>
    <w:rsid w:val="00C67FEC"/>
    <w:rsid w:val="00C70206"/>
    <w:rsid w:val="00C704D3"/>
    <w:rsid w:val="00C707B8"/>
    <w:rsid w:val="00C7124F"/>
    <w:rsid w:val="00C71988"/>
    <w:rsid w:val="00C71AB5"/>
    <w:rsid w:val="00C71D98"/>
    <w:rsid w:val="00C71E1F"/>
    <w:rsid w:val="00C720EA"/>
    <w:rsid w:val="00C72361"/>
    <w:rsid w:val="00C7246C"/>
    <w:rsid w:val="00C7252E"/>
    <w:rsid w:val="00C7258E"/>
    <w:rsid w:val="00C72AFE"/>
    <w:rsid w:val="00C72CFF"/>
    <w:rsid w:val="00C72F8E"/>
    <w:rsid w:val="00C735F9"/>
    <w:rsid w:val="00C739C0"/>
    <w:rsid w:val="00C73ACC"/>
    <w:rsid w:val="00C73EB8"/>
    <w:rsid w:val="00C74576"/>
    <w:rsid w:val="00C74AF1"/>
    <w:rsid w:val="00C74B0E"/>
    <w:rsid w:val="00C74E55"/>
    <w:rsid w:val="00C74E93"/>
    <w:rsid w:val="00C75FDC"/>
    <w:rsid w:val="00C760FD"/>
    <w:rsid w:val="00C7687D"/>
    <w:rsid w:val="00C76A8F"/>
    <w:rsid w:val="00C76D62"/>
    <w:rsid w:val="00C771CC"/>
    <w:rsid w:val="00C77440"/>
    <w:rsid w:val="00C779D8"/>
    <w:rsid w:val="00C77B00"/>
    <w:rsid w:val="00C77D33"/>
    <w:rsid w:val="00C8090C"/>
    <w:rsid w:val="00C80B3C"/>
    <w:rsid w:val="00C80BD2"/>
    <w:rsid w:val="00C80C27"/>
    <w:rsid w:val="00C80C58"/>
    <w:rsid w:val="00C81433"/>
    <w:rsid w:val="00C815BF"/>
    <w:rsid w:val="00C819AC"/>
    <w:rsid w:val="00C81FCD"/>
    <w:rsid w:val="00C8224A"/>
    <w:rsid w:val="00C8232B"/>
    <w:rsid w:val="00C82CA7"/>
    <w:rsid w:val="00C82FFD"/>
    <w:rsid w:val="00C830C9"/>
    <w:rsid w:val="00C831A1"/>
    <w:rsid w:val="00C83F5C"/>
    <w:rsid w:val="00C84764"/>
    <w:rsid w:val="00C84D6C"/>
    <w:rsid w:val="00C852BB"/>
    <w:rsid w:val="00C85955"/>
    <w:rsid w:val="00C85A0A"/>
    <w:rsid w:val="00C85AE8"/>
    <w:rsid w:val="00C85F99"/>
    <w:rsid w:val="00C86117"/>
    <w:rsid w:val="00C863FA"/>
    <w:rsid w:val="00C865AB"/>
    <w:rsid w:val="00C86823"/>
    <w:rsid w:val="00C87172"/>
    <w:rsid w:val="00C87B6D"/>
    <w:rsid w:val="00C902C9"/>
    <w:rsid w:val="00C90763"/>
    <w:rsid w:val="00C90C74"/>
    <w:rsid w:val="00C90D1E"/>
    <w:rsid w:val="00C91204"/>
    <w:rsid w:val="00C91549"/>
    <w:rsid w:val="00C91B03"/>
    <w:rsid w:val="00C91C1C"/>
    <w:rsid w:val="00C9223E"/>
    <w:rsid w:val="00C92E7A"/>
    <w:rsid w:val="00C9384B"/>
    <w:rsid w:val="00C9408B"/>
    <w:rsid w:val="00C943CD"/>
    <w:rsid w:val="00C948DB"/>
    <w:rsid w:val="00C94970"/>
    <w:rsid w:val="00C95482"/>
    <w:rsid w:val="00C954C2"/>
    <w:rsid w:val="00C95F78"/>
    <w:rsid w:val="00C96817"/>
    <w:rsid w:val="00C96C0D"/>
    <w:rsid w:val="00C96F5E"/>
    <w:rsid w:val="00C970C5"/>
    <w:rsid w:val="00C97326"/>
    <w:rsid w:val="00C97621"/>
    <w:rsid w:val="00C97623"/>
    <w:rsid w:val="00C9767A"/>
    <w:rsid w:val="00CA00F0"/>
    <w:rsid w:val="00CA0685"/>
    <w:rsid w:val="00CA09FE"/>
    <w:rsid w:val="00CA1F74"/>
    <w:rsid w:val="00CA2130"/>
    <w:rsid w:val="00CA24FB"/>
    <w:rsid w:val="00CA256F"/>
    <w:rsid w:val="00CA2934"/>
    <w:rsid w:val="00CA318D"/>
    <w:rsid w:val="00CA372C"/>
    <w:rsid w:val="00CA44F3"/>
    <w:rsid w:val="00CA4A54"/>
    <w:rsid w:val="00CA5018"/>
    <w:rsid w:val="00CA5A5E"/>
    <w:rsid w:val="00CA5B08"/>
    <w:rsid w:val="00CA5ED7"/>
    <w:rsid w:val="00CA5FA0"/>
    <w:rsid w:val="00CA60CB"/>
    <w:rsid w:val="00CA66B0"/>
    <w:rsid w:val="00CA6809"/>
    <w:rsid w:val="00CA6971"/>
    <w:rsid w:val="00CA6AD9"/>
    <w:rsid w:val="00CA7A7D"/>
    <w:rsid w:val="00CB0E17"/>
    <w:rsid w:val="00CB106D"/>
    <w:rsid w:val="00CB12F2"/>
    <w:rsid w:val="00CB1869"/>
    <w:rsid w:val="00CB187D"/>
    <w:rsid w:val="00CB1944"/>
    <w:rsid w:val="00CB1DE6"/>
    <w:rsid w:val="00CB22DA"/>
    <w:rsid w:val="00CB2471"/>
    <w:rsid w:val="00CB26D8"/>
    <w:rsid w:val="00CB3364"/>
    <w:rsid w:val="00CB357B"/>
    <w:rsid w:val="00CB37A1"/>
    <w:rsid w:val="00CB3F67"/>
    <w:rsid w:val="00CB41F5"/>
    <w:rsid w:val="00CB420D"/>
    <w:rsid w:val="00CB4415"/>
    <w:rsid w:val="00CB4D44"/>
    <w:rsid w:val="00CB597A"/>
    <w:rsid w:val="00CB5E8E"/>
    <w:rsid w:val="00CB65CA"/>
    <w:rsid w:val="00CB6C6E"/>
    <w:rsid w:val="00CB6E4A"/>
    <w:rsid w:val="00CB72D1"/>
    <w:rsid w:val="00CB7507"/>
    <w:rsid w:val="00CB757F"/>
    <w:rsid w:val="00CB7EB1"/>
    <w:rsid w:val="00CC0BE5"/>
    <w:rsid w:val="00CC0BED"/>
    <w:rsid w:val="00CC0C6B"/>
    <w:rsid w:val="00CC112C"/>
    <w:rsid w:val="00CC11E9"/>
    <w:rsid w:val="00CC134B"/>
    <w:rsid w:val="00CC147F"/>
    <w:rsid w:val="00CC18B1"/>
    <w:rsid w:val="00CC2247"/>
    <w:rsid w:val="00CC2694"/>
    <w:rsid w:val="00CC31A7"/>
    <w:rsid w:val="00CC3440"/>
    <w:rsid w:val="00CC360A"/>
    <w:rsid w:val="00CC3937"/>
    <w:rsid w:val="00CC395F"/>
    <w:rsid w:val="00CC414A"/>
    <w:rsid w:val="00CC41A2"/>
    <w:rsid w:val="00CC4453"/>
    <w:rsid w:val="00CC48C5"/>
    <w:rsid w:val="00CC5014"/>
    <w:rsid w:val="00CC5945"/>
    <w:rsid w:val="00CC5BDA"/>
    <w:rsid w:val="00CC643C"/>
    <w:rsid w:val="00CC66CC"/>
    <w:rsid w:val="00CC6AB7"/>
    <w:rsid w:val="00CC6C26"/>
    <w:rsid w:val="00CC7350"/>
    <w:rsid w:val="00CC77F4"/>
    <w:rsid w:val="00CC791A"/>
    <w:rsid w:val="00CC7F8B"/>
    <w:rsid w:val="00CD0148"/>
    <w:rsid w:val="00CD0186"/>
    <w:rsid w:val="00CD02FF"/>
    <w:rsid w:val="00CD0581"/>
    <w:rsid w:val="00CD1843"/>
    <w:rsid w:val="00CD1A19"/>
    <w:rsid w:val="00CD1BD8"/>
    <w:rsid w:val="00CD1D91"/>
    <w:rsid w:val="00CD22A1"/>
    <w:rsid w:val="00CD22F5"/>
    <w:rsid w:val="00CD26DA"/>
    <w:rsid w:val="00CD2AC8"/>
    <w:rsid w:val="00CD2D99"/>
    <w:rsid w:val="00CD2E83"/>
    <w:rsid w:val="00CD2F5B"/>
    <w:rsid w:val="00CD3F10"/>
    <w:rsid w:val="00CD4024"/>
    <w:rsid w:val="00CD4190"/>
    <w:rsid w:val="00CD5351"/>
    <w:rsid w:val="00CD56B4"/>
    <w:rsid w:val="00CD61A4"/>
    <w:rsid w:val="00CD6217"/>
    <w:rsid w:val="00CD63C1"/>
    <w:rsid w:val="00CD6460"/>
    <w:rsid w:val="00CD7172"/>
    <w:rsid w:val="00CD71C6"/>
    <w:rsid w:val="00CD728B"/>
    <w:rsid w:val="00CD738B"/>
    <w:rsid w:val="00CD75C4"/>
    <w:rsid w:val="00CD7615"/>
    <w:rsid w:val="00CD7B5E"/>
    <w:rsid w:val="00CD7BD2"/>
    <w:rsid w:val="00CE05AA"/>
    <w:rsid w:val="00CE0E75"/>
    <w:rsid w:val="00CE1724"/>
    <w:rsid w:val="00CE1CDB"/>
    <w:rsid w:val="00CE28C4"/>
    <w:rsid w:val="00CE335A"/>
    <w:rsid w:val="00CE4093"/>
    <w:rsid w:val="00CE41A9"/>
    <w:rsid w:val="00CE44B3"/>
    <w:rsid w:val="00CE4A8E"/>
    <w:rsid w:val="00CE5564"/>
    <w:rsid w:val="00CE584D"/>
    <w:rsid w:val="00CE5CD7"/>
    <w:rsid w:val="00CE5F15"/>
    <w:rsid w:val="00CE6027"/>
    <w:rsid w:val="00CE6609"/>
    <w:rsid w:val="00CE6949"/>
    <w:rsid w:val="00CE698A"/>
    <w:rsid w:val="00CE6F9B"/>
    <w:rsid w:val="00CE76A5"/>
    <w:rsid w:val="00CE7701"/>
    <w:rsid w:val="00CE7D51"/>
    <w:rsid w:val="00CE7DDD"/>
    <w:rsid w:val="00CE7F85"/>
    <w:rsid w:val="00CF01C1"/>
    <w:rsid w:val="00CF01E9"/>
    <w:rsid w:val="00CF0845"/>
    <w:rsid w:val="00CF09F7"/>
    <w:rsid w:val="00CF15EB"/>
    <w:rsid w:val="00CF172E"/>
    <w:rsid w:val="00CF22C9"/>
    <w:rsid w:val="00CF23F4"/>
    <w:rsid w:val="00CF2B71"/>
    <w:rsid w:val="00CF2DA1"/>
    <w:rsid w:val="00CF2EDB"/>
    <w:rsid w:val="00CF3BB7"/>
    <w:rsid w:val="00CF3F5A"/>
    <w:rsid w:val="00CF4AB8"/>
    <w:rsid w:val="00CF4F3F"/>
    <w:rsid w:val="00CF5A77"/>
    <w:rsid w:val="00CF5ED4"/>
    <w:rsid w:val="00CF6763"/>
    <w:rsid w:val="00CF6D2D"/>
    <w:rsid w:val="00CF6E3E"/>
    <w:rsid w:val="00CF6F0D"/>
    <w:rsid w:val="00CF7587"/>
    <w:rsid w:val="00CF7639"/>
    <w:rsid w:val="00CF7835"/>
    <w:rsid w:val="00CF7906"/>
    <w:rsid w:val="00CF7B79"/>
    <w:rsid w:val="00CF7FD4"/>
    <w:rsid w:val="00D00B52"/>
    <w:rsid w:val="00D00B8C"/>
    <w:rsid w:val="00D00CF2"/>
    <w:rsid w:val="00D0124F"/>
    <w:rsid w:val="00D01835"/>
    <w:rsid w:val="00D02271"/>
    <w:rsid w:val="00D02F04"/>
    <w:rsid w:val="00D033EF"/>
    <w:rsid w:val="00D03494"/>
    <w:rsid w:val="00D0362B"/>
    <w:rsid w:val="00D036EA"/>
    <w:rsid w:val="00D041B0"/>
    <w:rsid w:val="00D04F6B"/>
    <w:rsid w:val="00D0554D"/>
    <w:rsid w:val="00D05777"/>
    <w:rsid w:val="00D05E3A"/>
    <w:rsid w:val="00D06351"/>
    <w:rsid w:val="00D06A6F"/>
    <w:rsid w:val="00D06D4D"/>
    <w:rsid w:val="00D070A7"/>
    <w:rsid w:val="00D0722D"/>
    <w:rsid w:val="00D074E3"/>
    <w:rsid w:val="00D10339"/>
    <w:rsid w:val="00D103BA"/>
    <w:rsid w:val="00D10F74"/>
    <w:rsid w:val="00D1143D"/>
    <w:rsid w:val="00D114E2"/>
    <w:rsid w:val="00D1189F"/>
    <w:rsid w:val="00D1228D"/>
    <w:rsid w:val="00D13310"/>
    <w:rsid w:val="00D13653"/>
    <w:rsid w:val="00D13C3A"/>
    <w:rsid w:val="00D143C4"/>
    <w:rsid w:val="00D14577"/>
    <w:rsid w:val="00D14E69"/>
    <w:rsid w:val="00D155E2"/>
    <w:rsid w:val="00D15882"/>
    <w:rsid w:val="00D16832"/>
    <w:rsid w:val="00D16CD0"/>
    <w:rsid w:val="00D174C4"/>
    <w:rsid w:val="00D17B39"/>
    <w:rsid w:val="00D17BEA"/>
    <w:rsid w:val="00D20661"/>
    <w:rsid w:val="00D20B69"/>
    <w:rsid w:val="00D20EC2"/>
    <w:rsid w:val="00D217CE"/>
    <w:rsid w:val="00D21DCB"/>
    <w:rsid w:val="00D220CD"/>
    <w:rsid w:val="00D22C81"/>
    <w:rsid w:val="00D2308F"/>
    <w:rsid w:val="00D23287"/>
    <w:rsid w:val="00D23566"/>
    <w:rsid w:val="00D2367F"/>
    <w:rsid w:val="00D238C5"/>
    <w:rsid w:val="00D239E6"/>
    <w:rsid w:val="00D2401E"/>
    <w:rsid w:val="00D24C97"/>
    <w:rsid w:val="00D24D66"/>
    <w:rsid w:val="00D2533D"/>
    <w:rsid w:val="00D2656E"/>
    <w:rsid w:val="00D26907"/>
    <w:rsid w:val="00D26AB6"/>
    <w:rsid w:val="00D2744F"/>
    <w:rsid w:val="00D277ED"/>
    <w:rsid w:val="00D27883"/>
    <w:rsid w:val="00D27905"/>
    <w:rsid w:val="00D27D41"/>
    <w:rsid w:val="00D27E2C"/>
    <w:rsid w:val="00D30BBE"/>
    <w:rsid w:val="00D312BE"/>
    <w:rsid w:val="00D31681"/>
    <w:rsid w:val="00D31AB9"/>
    <w:rsid w:val="00D325B1"/>
    <w:rsid w:val="00D328C9"/>
    <w:rsid w:val="00D32A56"/>
    <w:rsid w:val="00D32A7D"/>
    <w:rsid w:val="00D32A97"/>
    <w:rsid w:val="00D33103"/>
    <w:rsid w:val="00D3395F"/>
    <w:rsid w:val="00D339F9"/>
    <w:rsid w:val="00D340EF"/>
    <w:rsid w:val="00D34823"/>
    <w:rsid w:val="00D3526D"/>
    <w:rsid w:val="00D3701A"/>
    <w:rsid w:val="00D37144"/>
    <w:rsid w:val="00D37146"/>
    <w:rsid w:val="00D37488"/>
    <w:rsid w:val="00D37D2C"/>
    <w:rsid w:val="00D37E4D"/>
    <w:rsid w:val="00D40334"/>
    <w:rsid w:val="00D4200A"/>
    <w:rsid w:val="00D4230C"/>
    <w:rsid w:val="00D42393"/>
    <w:rsid w:val="00D42ADF"/>
    <w:rsid w:val="00D4327B"/>
    <w:rsid w:val="00D434BD"/>
    <w:rsid w:val="00D4352A"/>
    <w:rsid w:val="00D438B9"/>
    <w:rsid w:val="00D44EA7"/>
    <w:rsid w:val="00D45819"/>
    <w:rsid w:val="00D45F49"/>
    <w:rsid w:val="00D4620E"/>
    <w:rsid w:val="00D46334"/>
    <w:rsid w:val="00D4679D"/>
    <w:rsid w:val="00D469BF"/>
    <w:rsid w:val="00D471DC"/>
    <w:rsid w:val="00D4758F"/>
    <w:rsid w:val="00D476DE"/>
    <w:rsid w:val="00D47E3C"/>
    <w:rsid w:val="00D50263"/>
    <w:rsid w:val="00D50C82"/>
    <w:rsid w:val="00D50E58"/>
    <w:rsid w:val="00D5127A"/>
    <w:rsid w:val="00D515AB"/>
    <w:rsid w:val="00D51B6B"/>
    <w:rsid w:val="00D52374"/>
    <w:rsid w:val="00D52CA3"/>
    <w:rsid w:val="00D545A1"/>
    <w:rsid w:val="00D54633"/>
    <w:rsid w:val="00D546D7"/>
    <w:rsid w:val="00D5472D"/>
    <w:rsid w:val="00D550FA"/>
    <w:rsid w:val="00D55138"/>
    <w:rsid w:val="00D552CA"/>
    <w:rsid w:val="00D55471"/>
    <w:rsid w:val="00D56226"/>
    <w:rsid w:val="00D56A22"/>
    <w:rsid w:val="00D57055"/>
    <w:rsid w:val="00D5718C"/>
    <w:rsid w:val="00D5769D"/>
    <w:rsid w:val="00D5782A"/>
    <w:rsid w:val="00D57CBF"/>
    <w:rsid w:val="00D57D73"/>
    <w:rsid w:val="00D603B9"/>
    <w:rsid w:val="00D60760"/>
    <w:rsid w:val="00D60B88"/>
    <w:rsid w:val="00D62087"/>
    <w:rsid w:val="00D62100"/>
    <w:rsid w:val="00D62F1D"/>
    <w:rsid w:val="00D631AA"/>
    <w:rsid w:val="00D63276"/>
    <w:rsid w:val="00D637C5"/>
    <w:rsid w:val="00D63E55"/>
    <w:rsid w:val="00D64528"/>
    <w:rsid w:val="00D651F7"/>
    <w:rsid w:val="00D66153"/>
    <w:rsid w:val="00D664E7"/>
    <w:rsid w:val="00D66B7A"/>
    <w:rsid w:val="00D66F76"/>
    <w:rsid w:val="00D6720D"/>
    <w:rsid w:val="00D67551"/>
    <w:rsid w:val="00D67BF0"/>
    <w:rsid w:val="00D7088E"/>
    <w:rsid w:val="00D70DFF"/>
    <w:rsid w:val="00D71259"/>
    <w:rsid w:val="00D7155B"/>
    <w:rsid w:val="00D715C4"/>
    <w:rsid w:val="00D7212F"/>
    <w:rsid w:val="00D730BE"/>
    <w:rsid w:val="00D73540"/>
    <w:rsid w:val="00D73635"/>
    <w:rsid w:val="00D7402D"/>
    <w:rsid w:val="00D745A1"/>
    <w:rsid w:val="00D74DDD"/>
    <w:rsid w:val="00D75040"/>
    <w:rsid w:val="00D75386"/>
    <w:rsid w:val="00D75751"/>
    <w:rsid w:val="00D7575C"/>
    <w:rsid w:val="00D7583C"/>
    <w:rsid w:val="00D75CFA"/>
    <w:rsid w:val="00D75D52"/>
    <w:rsid w:val="00D75DF3"/>
    <w:rsid w:val="00D75E73"/>
    <w:rsid w:val="00D76D50"/>
    <w:rsid w:val="00D76D6D"/>
    <w:rsid w:val="00D7725E"/>
    <w:rsid w:val="00D77FFD"/>
    <w:rsid w:val="00D80326"/>
    <w:rsid w:val="00D80404"/>
    <w:rsid w:val="00D80616"/>
    <w:rsid w:val="00D80A4D"/>
    <w:rsid w:val="00D80E1D"/>
    <w:rsid w:val="00D80EB6"/>
    <w:rsid w:val="00D812AE"/>
    <w:rsid w:val="00D819FF"/>
    <w:rsid w:val="00D81A81"/>
    <w:rsid w:val="00D8274A"/>
    <w:rsid w:val="00D82B11"/>
    <w:rsid w:val="00D83A42"/>
    <w:rsid w:val="00D83C4A"/>
    <w:rsid w:val="00D840B4"/>
    <w:rsid w:val="00D8465B"/>
    <w:rsid w:val="00D846D4"/>
    <w:rsid w:val="00D8485E"/>
    <w:rsid w:val="00D84D25"/>
    <w:rsid w:val="00D85085"/>
    <w:rsid w:val="00D855E7"/>
    <w:rsid w:val="00D8596A"/>
    <w:rsid w:val="00D85B2D"/>
    <w:rsid w:val="00D85DEF"/>
    <w:rsid w:val="00D86307"/>
    <w:rsid w:val="00D86EC5"/>
    <w:rsid w:val="00D87109"/>
    <w:rsid w:val="00D9059E"/>
    <w:rsid w:val="00D910A4"/>
    <w:rsid w:val="00D919B4"/>
    <w:rsid w:val="00D923EE"/>
    <w:rsid w:val="00D93C16"/>
    <w:rsid w:val="00D94254"/>
    <w:rsid w:val="00D94696"/>
    <w:rsid w:val="00D94B09"/>
    <w:rsid w:val="00D94BF3"/>
    <w:rsid w:val="00D94EFF"/>
    <w:rsid w:val="00D94FF3"/>
    <w:rsid w:val="00D95330"/>
    <w:rsid w:val="00D958D6"/>
    <w:rsid w:val="00D96739"/>
    <w:rsid w:val="00D968C4"/>
    <w:rsid w:val="00D97450"/>
    <w:rsid w:val="00D97491"/>
    <w:rsid w:val="00D97D8F"/>
    <w:rsid w:val="00DA1967"/>
    <w:rsid w:val="00DA2067"/>
    <w:rsid w:val="00DA20B2"/>
    <w:rsid w:val="00DA2113"/>
    <w:rsid w:val="00DA2479"/>
    <w:rsid w:val="00DA2743"/>
    <w:rsid w:val="00DA28A9"/>
    <w:rsid w:val="00DA3100"/>
    <w:rsid w:val="00DA38E7"/>
    <w:rsid w:val="00DA39B1"/>
    <w:rsid w:val="00DA441C"/>
    <w:rsid w:val="00DA5033"/>
    <w:rsid w:val="00DA5086"/>
    <w:rsid w:val="00DA5ADF"/>
    <w:rsid w:val="00DA6081"/>
    <w:rsid w:val="00DA6689"/>
    <w:rsid w:val="00DA73EC"/>
    <w:rsid w:val="00DA772E"/>
    <w:rsid w:val="00DA791C"/>
    <w:rsid w:val="00DA7A7E"/>
    <w:rsid w:val="00DA7D9B"/>
    <w:rsid w:val="00DA7EDB"/>
    <w:rsid w:val="00DB000B"/>
    <w:rsid w:val="00DB02D5"/>
    <w:rsid w:val="00DB03C1"/>
    <w:rsid w:val="00DB0AF4"/>
    <w:rsid w:val="00DB0B32"/>
    <w:rsid w:val="00DB10FE"/>
    <w:rsid w:val="00DB12FC"/>
    <w:rsid w:val="00DB1BF6"/>
    <w:rsid w:val="00DB2013"/>
    <w:rsid w:val="00DB219D"/>
    <w:rsid w:val="00DB2238"/>
    <w:rsid w:val="00DB24C5"/>
    <w:rsid w:val="00DB2C2B"/>
    <w:rsid w:val="00DB2E91"/>
    <w:rsid w:val="00DB38BE"/>
    <w:rsid w:val="00DB3A4E"/>
    <w:rsid w:val="00DB3C97"/>
    <w:rsid w:val="00DB3F0A"/>
    <w:rsid w:val="00DB3FC9"/>
    <w:rsid w:val="00DB46A5"/>
    <w:rsid w:val="00DB4815"/>
    <w:rsid w:val="00DB4CDE"/>
    <w:rsid w:val="00DB5363"/>
    <w:rsid w:val="00DB5FDC"/>
    <w:rsid w:val="00DB66B6"/>
    <w:rsid w:val="00DB6C98"/>
    <w:rsid w:val="00DB6DFE"/>
    <w:rsid w:val="00DB6FD0"/>
    <w:rsid w:val="00DB78FF"/>
    <w:rsid w:val="00DB79F6"/>
    <w:rsid w:val="00DB7E11"/>
    <w:rsid w:val="00DC0026"/>
    <w:rsid w:val="00DC04AE"/>
    <w:rsid w:val="00DC084C"/>
    <w:rsid w:val="00DC0AF7"/>
    <w:rsid w:val="00DC0B0B"/>
    <w:rsid w:val="00DC0C6D"/>
    <w:rsid w:val="00DC0F23"/>
    <w:rsid w:val="00DC102E"/>
    <w:rsid w:val="00DC1067"/>
    <w:rsid w:val="00DC16F5"/>
    <w:rsid w:val="00DC1B4B"/>
    <w:rsid w:val="00DC1BBF"/>
    <w:rsid w:val="00DC1DB9"/>
    <w:rsid w:val="00DC2A49"/>
    <w:rsid w:val="00DC319A"/>
    <w:rsid w:val="00DC3CC1"/>
    <w:rsid w:val="00DC3CEF"/>
    <w:rsid w:val="00DC3E02"/>
    <w:rsid w:val="00DC40EE"/>
    <w:rsid w:val="00DC426E"/>
    <w:rsid w:val="00DC43F2"/>
    <w:rsid w:val="00DC47F2"/>
    <w:rsid w:val="00DC532A"/>
    <w:rsid w:val="00DC57C3"/>
    <w:rsid w:val="00DC5E5E"/>
    <w:rsid w:val="00DC6708"/>
    <w:rsid w:val="00DC684C"/>
    <w:rsid w:val="00DC6AFC"/>
    <w:rsid w:val="00DC6F93"/>
    <w:rsid w:val="00DC70EF"/>
    <w:rsid w:val="00DC7195"/>
    <w:rsid w:val="00DC71E5"/>
    <w:rsid w:val="00DC7303"/>
    <w:rsid w:val="00DD0512"/>
    <w:rsid w:val="00DD06EB"/>
    <w:rsid w:val="00DD0C14"/>
    <w:rsid w:val="00DD0E47"/>
    <w:rsid w:val="00DD25EC"/>
    <w:rsid w:val="00DD2EBD"/>
    <w:rsid w:val="00DD2F76"/>
    <w:rsid w:val="00DD34F8"/>
    <w:rsid w:val="00DD3552"/>
    <w:rsid w:val="00DD3959"/>
    <w:rsid w:val="00DD3B1B"/>
    <w:rsid w:val="00DD3E4C"/>
    <w:rsid w:val="00DD4203"/>
    <w:rsid w:val="00DD4456"/>
    <w:rsid w:val="00DD44CC"/>
    <w:rsid w:val="00DD4C3E"/>
    <w:rsid w:val="00DD51BB"/>
    <w:rsid w:val="00DD5C14"/>
    <w:rsid w:val="00DD5CC9"/>
    <w:rsid w:val="00DD5DA4"/>
    <w:rsid w:val="00DD5F2C"/>
    <w:rsid w:val="00DD6371"/>
    <w:rsid w:val="00DD6940"/>
    <w:rsid w:val="00DD6F0C"/>
    <w:rsid w:val="00DD6FB2"/>
    <w:rsid w:val="00DD727B"/>
    <w:rsid w:val="00DD743C"/>
    <w:rsid w:val="00DD77B8"/>
    <w:rsid w:val="00DD7830"/>
    <w:rsid w:val="00DD79C0"/>
    <w:rsid w:val="00DD7AC6"/>
    <w:rsid w:val="00DE0B9A"/>
    <w:rsid w:val="00DE0CF9"/>
    <w:rsid w:val="00DE0FBE"/>
    <w:rsid w:val="00DE17C1"/>
    <w:rsid w:val="00DE21FE"/>
    <w:rsid w:val="00DE22E8"/>
    <w:rsid w:val="00DE2550"/>
    <w:rsid w:val="00DE3065"/>
    <w:rsid w:val="00DE328C"/>
    <w:rsid w:val="00DE3A65"/>
    <w:rsid w:val="00DE3E67"/>
    <w:rsid w:val="00DE404D"/>
    <w:rsid w:val="00DE466E"/>
    <w:rsid w:val="00DE48E6"/>
    <w:rsid w:val="00DE5CEA"/>
    <w:rsid w:val="00DE66DF"/>
    <w:rsid w:val="00DE6B6D"/>
    <w:rsid w:val="00DE6CC8"/>
    <w:rsid w:val="00DE703F"/>
    <w:rsid w:val="00DE7437"/>
    <w:rsid w:val="00DE77FF"/>
    <w:rsid w:val="00DE79A4"/>
    <w:rsid w:val="00DE7C73"/>
    <w:rsid w:val="00DE7EA0"/>
    <w:rsid w:val="00DF020C"/>
    <w:rsid w:val="00DF0D4E"/>
    <w:rsid w:val="00DF0F91"/>
    <w:rsid w:val="00DF1283"/>
    <w:rsid w:val="00DF143B"/>
    <w:rsid w:val="00DF1B97"/>
    <w:rsid w:val="00DF25E2"/>
    <w:rsid w:val="00DF261F"/>
    <w:rsid w:val="00DF2E56"/>
    <w:rsid w:val="00DF30E5"/>
    <w:rsid w:val="00DF350A"/>
    <w:rsid w:val="00DF3A8F"/>
    <w:rsid w:val="00DF4C7B"/>
    <w:rsid w:val="00DF50A1"/>
    <w:rsid w:val="00DF5284"/>
    <w:rsid w:val="00DF5BF1"/>
    <w:rsid w:val="00DF5BFC"/>
    <w:rsid w:val="00DF5F0D"/>
    <w:rsid w:val="00DF66EB"/>
    <w:rsid w:val="00DF6ACE"/>
    <w:rsid w:val="00DF6BAB"/>
    <w:rsid w:val="00DF6DE1"/>
    <w:rsid w:val="00DF7856"/>
    <w:rsid w:val="00DF7C5C"/>
    <w:rsid w:val="00DF7F57"/>
    <w:rsid w:val="00DF7FA4"/>
    <w:rsid w:val="00DFD5DD"/>
    <w:rsid w:val="00E002B9"/>
    <w:rsid w:val="00E0047A"/>
    <w:rsid w:val="00E010FB"/>
    <w:rsid w:val="00E01381"/>
    <w:rsid w:val="00E0183A"/>
    <w:rsid w:val="00E0210A"/>
    <w:rsid w:val="00E022EC"/>
    <w:rsid w:val="00E02758"/>
    <w:rsid w:val="00E02DF4"/>
    <w:rsid w:val="00E033F8"/>
    <w:rsid w:val="00E03AB2"/>
    <w:rsid w:val="00E03C2A"/>
    <w:rsid w:val="00E03F6A"/>
    <w:rsid w:val="00E046DA"/>
    <w:rsid w:val="00E04C6B"/>
    <w:rsid w:val="00E04F53"/>
    <w:rsid w:val="00E0509D"/>
    <w:rsid w:val="00E05496"/>
    <w:rsid w:val="00E05B35"/>
    <w:rsid w:val="00E05CA8"/>
    <w:rsid w:val="00E05DFE"/>
    <w:rsid w:val="00E0678B"/>
    <w:rsid w:val="00E06C4D"/>
    <w:rsid w:val="00E07AF6"/>
    <w:rsid w:val="00E10241"/>
    <w:rsid w:val="00E10262"/>
    <w:rsid w:val="00E10428"/>
    <w:rsid w:val="00E1059F"/>
    <w:rsid w:val="00E105C4"/>
    <w:rsid w:val="00E10AF3"/>
    <w:rsid w:val="00E10D3A"/>
    <w:rsid w:val="00E12419"/>
    <w:rsid w:val="00E1245F"/>
    <w:rsid w:val="00E126F7"/>
    <w:rsid w:val="00E12898"/>
    <w:rsid w:val="00E1289A"/>
    <w:rsid w:val="00E13213"/>
    <w:rsid w:val="00E13984"/>
    <w:rsid w:val="00E13C57"/>
    <w:rsid w:val="00E13D6E"/>
    <w:rsid w:val="00E144C6"/>
    <w:rsid w:val="00E14826"/>
    <w:rsid w:val="00E14827"/>
    <w:rsid w:val="00E14ABD"/>
    <w:rsid w:val="00E14BBC"/>
    <w:rsid w:val="00E16BE5"/>
    <w:rsid w:val="00E16EAB"/>
    <w:rsid w:val="00E16F88"/>
    <w:rsid w:val="00E17026"/>
    <w:rsid w:val="00E174CB"/>
    <w:rsid w:val="00E17C3F"/>
    <w:rsid w:val="00E17DE3"/>
    <w:rsid w:val="00E202FF"/>
    <w:rsid w:val="00E2070F"/>
    <w:rsid w:val="00E20EAB"/>
    <w:rsid w:val="00E21037"/>
    <w:rsid w:val="00E21B06"/>
    <w:rsid w:val="00E2264F"/>
    <w:rsid w:val="00E22AF4"/>
    <w:rsid w:val="00E22B5E"/>
    <w:rsid w:val="00E22C54"/>
    <w:rsid w:val="00E22DC6"/>
    <w:rsid w:val="00E22FCC"/>
    <w:rsid w:val="00E23438"/>
    <w:rsid w:val="00E23BE4"/>
    <w:rsid w:val="00E23DE6"/>
    <w:rsid w:val="00E24565"/>
    <w:rsid w:val="00E24C30"/>
    <w:rsid w:val="00E24CAD"/>
    <w:rsid w:val="00E24E38"/>
    <w:rsid w:val="00E26380"/>
    <w:rsid w:val="00E26777"/>
    <w:rsid w:val="00E267D2"/>
    <w:rsid w:val="00E26886"/>
    <w:rsid w:val="00E27164"/>
    <w:rsid w:val="00E271C9"/>
    <w:rsid w:val="00E27DC5"/>
    <w:rsid w:val="00E30334"/>
    <w:rsid w:val="00E3075F"/>
    <w:rsid w:val="00E30B72"/>
    <w:rsid w:val="00E30F27"/>
    <w:rsid w:val="00E3121A"/>
    <w:rsid w:val="00E319AE"/>
    <w:rsid w:val="00E3230D"/>
    <w:rsid w:val="00E32EBF"/>
    <w:rsid w:val="00E330B4"/>
    <w:rsid w:val="00E3360A"/>
    <w:rsid w:val="00E33A25"/>
    <w:rsid w:val="00E33C9E"/>
    <w:rsid w:val="00E33F6C"/>
    <w:rsid w:val="00E3417A"/>
    <w:rsid w:val="00E34310"/>
    <w:rsid w:val="00E34E40"/>
    <w:rsid w:val="00E34F61"/>
    <w:rsid w:val="00E35090"/>
    <w:rsid w:val="00E35593"/>
    <w:rsid w:val="00E35D9A"/>
    <w:rsid w:val="00E369EA"/>
    <w:rsid w:val="00E36BC9"/>
    <w:rsid w:val="00E36DD3"/>
    <w:rsid w:val="00E3731C"/>
    <w:rsid w:val="00E37752"/>
    <w:rsid w:val="00E37A55"/>
    <w:rsid w:val="00E37B4D"/>
    <w:rsid w:val="00E37E8F"/>
    <w:rsid w:val="00E4043E"/>
    <w:rsid w:val="00E4064C"/>
    <w:rsid w:val="00E40EFD"/>
    <w:rsid w:val="00E41F0E"/>
    <w:rsid w:val="00E42046"/>
    <w:rsid w:val="00E428CC"/>
    <w:rsid w:val="00E4331D"/>
    <w:rsid w:val="00E43386"/>
    <w:rsid w:val="00E43E2E"/>
    <w:rsid w:val="00E43F49"/>
    <w:rsid w:val="00E4414B"/>
    <w:rsid w:val="00E442EA"/>
    <w:rsid w:val="00E44691"/>
    <w:rsid w:val="00E4478C"/>
    <w:rsid w:val="00E44E55"/>
    <w:rsid w:val="00E45362"/>
    <w:rsid w:val="00E459CC"/>
    <w:rsid w:val="00E459DC"/>
    <w:rsid w:val="00E45CA0"/>
    <w:rsid w:val="00E45E93"/>
    <w:rsid w:val="00E46303"/>
    <w:rsid w:val="00E46334"/>
    <w:rsid w:val="00E46608"/>
    <w:rsid w:val="00E467D3"/>
    <w:rsid w:val="00E470D1"/>
    <w:rsid w:val="00E47B39"/>
    <w:rsid w:val="00E5003A"/>
    <w:rsid w:val="00E5004C"/>
    <w:rsid w:val="00E51EB1"/>
    <w:rsid w:val="00E51F72"/>
    <w:rsid w:val="00E51FF9"/>
    <w:rsid w:val="00E53830"/>
    <w:rsid w:val="00E539A9"/>
    <w:rsid w:val="00E53C7E"/>
    <w:rsid w:val="00E54144"/>
    <w:rsid w:val="00E5472B"/>
    <w:rsid w:val="00E54758"/>
    <w:rsid w:val="00E548F1"/>
    <w:rsid w:val="00E54F59"/>
    <w:rsid w:val="00E5585F"/>
    <w:rsid w:val="00E55AB7"/>
    <w:rsid w:val="00E56538"/>
    <w:rsid w:val="00E56758"/>
    <w:rsid w:val="00E56967"/>
    <w:rsid w:val="00E569DA"/>
    <w:rsid w:val="00E56E7B"/>
    <w:rsid w:val="00E57F99"/>
    <w:rsid w:val="00E6072D"/>
    <w:rsid w:val="00E611C0"/>
    <w:rsid w:val="00E61D4B"/>
    <w:rsid w:val="00E620C5"/>
    <w:rsid w:val="00E623EA"/>
    <w:rsid w:val="00E62AC7"/>
    <w:rsid w:val="00E62B2F"/>
    <w:rsid w:val="00E62DA4"/>
    <w:rsid w:val="00E62FB9"/>
    <w:rsid w:val="00E6301D"/>
    <w:rsid w:val="00E641A0"/>
    <w:rsid w:val="00E64313"/>
    <w:rsid w:val="00E64B84"/>
    <w:rsid w:val="00E65A42"/>
    <w:rsid w:val="00E65CF8"/>
    <w:rsid w:val="00E65FAE"/>
    <w:rsid w:val="00E667BB"/>
    <w:rsid w:val="00E675A4"/>
    <w:rsid w:val="00E67EF6"/>
    <w:rsid w:val="00E708A8"/>
    <w:rsid w:val="00E70AB4"/>
    <w:rsid w:val="00E70F24"/>
    <w:rsid w:val="00E71F88"/>
    <w:rsid w:val="00E72664"/>
    <w:rsid w:val="00E72B78"/>
    <w:rsid w:val="00E72EFE"/>
    <w:rsid w:val="00E7301E"/>
    <w:rsid w:val="00E73149"/>
    <w:rsid w:val="00E73BE0"/>
    <w:rsid w:val="00E73BFD"/>
    <w:rsid w:val="00E7477B"/>
    <w:rsid w:val="00E756E7"/>
    <w:rsid w:val="00E75EB2"/>
    <w:rsid w:val="00E7645D"/>
    <w:rsid w:val="00E771B0"/>
    <w:rsid w:val="00E775C2"/>
    <w:rsid w:val="00E775C8"/>
    <w:rsid w:val="00E77820"/>
    <w:rsid w:val="00E77830"/>
    <w:rsid w:val="00E779B2"/>
    <w:rsid w:val="00E77B9C"/>
    <w:rsid w:val="00E77CC2"/>
    <w:rsid w:val="00E77FD6"/>
    <w:rsid w:val="00E802C1"/>
    <w:rsid w:val="00E8056A"/>
    <w:rsid w:val="00E80FFE"/>
    <w:rsid w:val="00E81E44"/>
    <w:rsid w:val="00E8212F"/>
    <w:rsid w:val="00E83230"/>
    <w:rsid w:val="00E83246"/>
    <w:rsid w:val="00E83398"/>
    <w:rsid w:val="00E8360C"/>
    <w:rsid w:val="00E83D1D"/>
    <w:rsid w:val="00E840B0"/>
    <w:rsid w:val="00E8473A"/>
    <w:rsid w:val="00E848FF"/>
    <w:rsid w:val="00E854B7"/>
    <w:rsid w:val="00E85A5C"/>
    <w:rsid w:val="00E85C74"/>
    <w:rsid w:val="00E86E69"/>
    <w:rsid w:val="00E86F2F"/>
    <w:rsid w:val="00E871C6"/>
    <w:rsid w:val="00E873E2"/>
    <w:rsid w:val="00E87A6A"/>
    <w:rsid w:val="00E87B73"/>
    <w:rsid w:val="00E87FEF"/>
    <w:rsid w:val="00E900AD"/>
    <w:rsid w:val="00E90733"/>
    <w:rsid w:val="00E912E5"/>
    <w:rsid w:val="00E91541"/>
    <w:rsid w:val="00E91717"/>
    <w:rsid w:val="00E91875"/>
    <w:rsid w:val="00E9193E"/>
    <w:rsid w:val="00E9194A"/>
    <w:rsid w:val="00E9205C"/>
    <w:rsid w:val="00E921EB"/>
    <w:rsid w:val="00E923FC"/>
    <w:rsid w:val="00E9245D"/>
    <w:rsid w:val="00E924F8"/>
    <w:rsid w:val="00E92BBE"/>
    <w:rsid w:val="00E92BD3"/>
    <w:rsid w:val="00E92FB2"/>
    <w:rsid w:val="00E9317F"/>
    <w:rsid w:val="00E93263"/>
    <w:rsid w:val="00E944C6"/>
    <w:rsid w:val="00E94A43"/>
    <w:rsid w:val="00E94BFE"/>
    <w:rsid w:val="00E951D9"/>
    <w:rsid w:val="00E95950"/>
    <w:rsid w:val="00E95CD6"/>
    <w:rsid w:val="00E95FA7"/>
    <w:rsid w:val="00E9689B"/>
    <w:rsid w:val="00E96E65"/>
    <w:rsid w:val="00E97755"/>
    <w:rsid w:val="00E97F77"/>
    <w:rsid w:val="00EA0460"/>
    <w:rsid w:val="00EA0637"/>
    <w:rsid w:val="00EA0A86"/>
    <w:rsid w:val="00EA0C84"/>
    <w:rsid w:val="00EA0E4B"/>
    <w:rsid w:val="00EA160E"/>
    <w:rsid w:val="00EA1A5A"/>
    <w:rsid w:val="00EA1BC6"/>
    <w:rsid w:val="00EA1C4A"/>
    <w:rsid w:val="00EA2707"/>
    <w:rsid w:val="00EA2C64"/>
    <w:rsid w:val="00EA2E9A"/>
    <w:rsid w:val="00EA350E"/>
    <w:rsid w:val="00EA360D"/>
    <w:rsid w:val="00EA3678"/>
    <w:rsid w:val="00EA447A"/>
    <w:rsid w:val="00EA4A13"/>
    <w:rsid w:val="00EA5393"/>
    <w:rsid w:val="00EA5775"/>
    <w:rsid w:val="00EA5EEB"/>
    <w:rsid w:val="00EA661D"/>
    <w:rsid w:val="00EA698B"/>
    <w:rsid w:val="00EA6FF5"/>
    <w:rsid w:val="00EA73CF"/>
    <w:rsid w:val="00EA76E3"/>
    <w:rsid w:val="00EB0DA8"/>
    <w:rsid w:val="00EB10B6"/>
    <w:rsid w:val="00EB1298"/>
    <w:rsid w:val="00EB1698"/>
    <w:rsid w:val="00EB1707"/>
    <w:rsid w:val="00EB1A0D"/>
    <w:rsid w:val="00EB222B"/>
    <w:rsid w:val="00EB2801"/>
    <w:rsid w:val="00EB2B3C"/>
    <w:rsid w:val="00EB2CBF"/>
    <w:rsid w:val="00EB3BA1"/>
    <w:rsid w:val="00EB3C87"/>
    <w:rsid w:val="00EB48AF"/>
    <w:rsid w:val="00EB4979"/>
    <w:rsid w:val="00EB4E65"/>
    <w:rsid w:val="00EB5DB5"/>
    <w:rsid w:val="00EB5EC4"/>
    <w:rsid w:val="00EB6C02"/>
    <w:rsid w:val="00EB7655"/>
    <w:rsid w:val="00EB7C65"/>
    <w:rsid w:val="00EB7F0B"/>
    <w:rsid w:val="00EC00E9"/>
    <w:rsid w:val="00EC039A"/>
    <w:rsid w:val="00EC0793"/>
    <w:rsid w:val="00EC0E0F"/>
    <w:rsid w:val="00EC14D9"/>
    <w:rsid w:val="00EC1AE0"/>
    <w:rsid w:val="00EC1F93"/>
    <w:rsid w:val="00EC2079"/>
    <w:rsid w:val="00EC289C"/>
    <w:rsid w:val="00EC2B9A"/>
    <w:rsid w:val="00EC367D"/>
    <w:rsid w:val="00EC3E04"/>
    <w:rsid w:val="00EC3E05"/>
    <w:rsid w:val="00EC42C6"/>
    <w:rsid w:val="00EC4A6C"/>
    <w:rsid w:val="00EC5291"/>
    <w:rsid w:val="00EC5BB4"/>
    <w:rsid w:val="00EC5D1C"/>
    <w:rsid w:val="00EC5DBD"/>
    <w:rsid w:val="00EC5FDB"/>
    <w:rsid w:val="00EC6472"/>
    <w:rsid w:val="00EC6CB3"/>
    <w:rsid w:val="00EC7651"/>
    <w:rsid w:val="00EC7CCE"/>
    <w:rsid w:val="00EC7D41"/>
    <w:rsid w:val="00ED024A"/>
    <w:rsid w:val="00ED0945"/>
    <w:rsid w:val="00ED1290"/>
    <w:rsid w:val="00ED1C31"/>
    <w:rsid w:val="00ED1F30"/>
    <w:rsid w:val="00ED242F"/>
    <w:rsid w:val="00ED266F"/>
    <w:rsid w:val="00ED2D3B"/>
    <w:rsid w:val="00ED2D51"/>
    <w:rsid w:val="00ED333E"/>
    <w:rsid w:val="00ED346B"/>
    <w:rsid w:val="00ED3994"/>
    <w:rsid w:val="00ED3ADA"/>
    <w:rsid w:val="00ED4240"/>
    <w:rsid w:val="00ED4281"/>
    <w:rsid w:val="00ED42A9"/>
    <w:rsid w:val="00ED4AC1"/>
    <w:rsid w:val="00ED4DCE"/>
    <w:rsid w:val="00ED4E84"/>
    <w:rsid w:val="00ED4F4D"/>
    <w:rsid w:val="00ED6385"/>
    <w:rsid w:val="00ED7292"/>
    <w:rsid w:val="00ED72E9"/>
    <w:rsid w:val="00ED7626"/>
    <w:rsid w:val="00ED7D7A"/>
    <w:rsid w:val="00EE0243"/>
    <w:rsid w:val="00EE0540"/>
    <w:rsid w:val="00EE060C"/>
    <w:rsid w:val="00EE0901"/>
    <w:rsid w:val="00EE09A1"/>
    <w:rsid w:val="00EE0B91"/>
    <w:rsid w:val="00EE0D6C"/>
    <w:rsid w:val="00EE2129"/>
    <w:rsid w:val="00EE2143"/>
    <w:rsid w:val="00EE346D"/>
    <w:rsid w:val="00EE3B23"/>
    <w:rsid w:val="00EE4168"/>
    <w:rsid w:val="00EE427A"/>
    <w:rsid w:val="00EE4742"/>
    <w:rsid w:val="00EE4776"/>
    <w:rsid w:val="00EE4B61"/>
    <w:rsid w:val="00EE4BBC"/>
    <w:rsid w:val="00EE550F"/>
    <w:rsid w:val="00EE5789"/>
    <w:rsid w:val="00EE59D8"/>
    <w:rsid w:val="00EE6036"/>
    <w:rsid w:val="00EE6066"/>
    <w:rsid w:val="00EE6D04"/>
    <w:rsid w:val="00EE6E0C"/>
    <w:rsid w:val="00EE6F69"/>
    <w:rsid w:val="00EE7C8F"/>
    <w:rsid w:val="00EE7EBE"/>
    <w:rsid w:val="00EE7FD6"/>
    <w:rsid w:val="00EF047E"/>
    <w:rsid w:val="00EF0C6D"/>
    <w:rsid w:val="00EF0C8E"/>
    <w:rsid w:val="00EF0F15"/>
    <w:rsid w:val="00EF118D"/>
    <w:rsid w:val="00EF19D3"/>
    <w:rsid w:val="00EF1F58"/>
    <w:rsid w:val="00EF2C03"/>
    <w:rsid w:val="00EF2D32"/>
    <w:rsid w:val="00EF2E06"/>
    <w:rsid w:val="00EF34AA"/>
    <w:rsid w:val="00EF35A7"/>
    <w:rsid w:val="00EF3CB9"/>
    <w:rsid w:val="00EF3DF3"/>
    <w:rsid w:val="00EF4407"/>
    <w:rsid w:val="00EF481B"/>
    <w:rsid w:val="00EF4D3A"/>
    <w:rsid w:val="00EF51A9"/>
    <w:rsid w:val="00EF5455"/>
    <w:rsid w:val="00EF58B5"/>
    <w:rsid w:val="00EF5A86"/>
    <w:rsid w:val="00EF6460"/>
    <w:rsid w:val="00EF6656"/>
    <w:rsid w:val="00EF70B6"/>
    <w:rsid w:val="00EF725C"/>
    <w:rsid w:val="00EF761F"/>
    <w:rsid w:val="00EF78F0"/>
    <w:rsid w:val="00F00DDB"/>
    <w:rsid w:val="00F01595"/>
    <w:rsid w:val="00F015A8"/>
    <w:rsid w:val="00F017F2"/>
    <w:rsid w:val="00F02496"/>
    <w:rsid w:val="00F0256B"/>
    <w:rsid w:val="00F037AB"/>
    <w:rsid w:val="00F039BB"/>
    <w:rsid w:val="00F039D5"/>
    <w:rsid w:val="00F03CBC"/>
    <w:rsid w:val="00F041D5"/>
    <w:rsid w:val="00F044C6"/>
    <w:rsid w:val="00F053B8"/>
    <w:rsid w:val="00F05CDE"/>
    <w:rsid w:val="00F05D14"/>
    <w:rsid w:val="00F05D54"/>
    <w:rsid w:val="00F05E0E"/>
    <w:rsid w:val="00F06313"/>
    <w:rsid w:val="00F0683D"/>
    <w:rsid w:val="00F069E1"/>
    <w:rsid w:val="00F06F12"/>
    <w:rsid w:val="00F06F2C"/>
    <w:rsid w:val="00F073B6"/>
    <w:rsid w:val="00F07574"/>
    <w:rsid w:val="00F075B0"/>
    <w:rsid w:val="00F07B9D"/>
    <w:rsid w:val="00F105C1"/>
    <w:rsid w:val="00F1071B"/>
    <w:rsid w:val="00F10C64"/>
    <w:rsid w:val="00F112B1"/>
    <w:rsid w:val="00F1143D"/>
    <w:rsid w:val="00F11E8F"/>
    <w:rsid w:val="00F122C7"/>
    <w:rsid w:val="00F13413"/>
    <w:rsid w:val="00F13439"/>
    <w:rsid w:val="00F138A6"/>
    <w:rsid w:val="00F138AD"/>
    <w:rsid w:val="00F139BB"/>
    <w:rsid w:val="00F1427F"/>
    <w:rsid w:val="00F142F1"/>
    <w:rsid w:val="00F14367"/>
    <w:rsid w:val="00F143AB"/>
    <w:rsid w:val="00F14B8D"/>
    <w:rsid w:val="00F14EB7"/>
    <w:rsid w:val="00F15328"/>
    <w:rsid w:val="00F155A3"/>
    <w:rsid w:val="00F15ADD"/>
    <w:rsid w:val="00F16050"/>
    <w:rsid w:val="00F167E1"/>
    <w:rsid w:val="00F16AE9"/>
    <w:rsid w:val="00F16C6D"/>
    <w:rsid w:val="00F16E5D"/>
    <w:rsid w:val="00F2031C"/>
    <w:rsid w:val="00F20F05"/>
    <w:rsid w:val="00F21563"/>
    <w:rsid w:val="00F2198D"/>
    <w:rsid w:val="00F21A6B"/>
    <w:rsid w:val="00F21AB6"/>
    <w:rsid w:val="00F21DAB"/>
    <w:rsid w:val="00F2213C"/>
    <w:rsid w:val="00F22517"/>
    <w:rsid w:val="00F22577"/>
    <w:rsid w:val="00F23238"/>
    <w:rsid w:val="00F23242"/>
    <w:rsid w:val="00F23BBF"/>
    <w:rsid w:val="00F23CBE"/>
    <w:rsid w:val="00F25D41"/>
    <w:rsid w:val="00F26203"/>
    <w:rsid w:val="00F26A65"/>
    <w:rsid w:val="00F26B70"/>
    <w:rsid w:val="00F26B79"/>
    <w:rsid w:val="00F27101"/>
    <w:rsid w:val="00F271E6"/>
    <w:rsid w:val="00F271FD"/>
    <w:rsid w:val="00F27346"/>
    <w:rsid w:val="00F27746"/>
    <w:rsid w:val="00F30630"/>
    <w:rsid w:val="00F30A56"/>
    <w:rsid w:val="00F30ED3"/>
    <w:rsid w:val="00F31571"/>
    <w:rsid w:val="00F3173B"/>
    <w:rsid w:val="00F317D8"/>
    <w:rsid w:val="00F317E5"/>
    <w:rsid w:val="00F318D3"/>
    <w:rsid w:val="00F31E19"/>
    <w:rsid w:val="00F321F0"/>
    <w:rsid w:val="00F322DB"/>
    <w:rsid w:val="00F3268C"/>
    <w:rsid w:val="00F32EA9"/>
    <w:rsid w:val="00F33273"/>
    <w:rsid w:val="00F34003"/>
    <w:rsid w:val="00F34A39"/>
    <w:rsid w:val="00F34FD9"/>
    <w:rsid w:val="00F35A78"/>
    <w:rsid w:val="00F35BE7"/>
    <w:rsid w:val="00F36628"/>
    <w:rsid w:val="00F36C0D"/>
    <w:rsid w:val="00F36F71"/>
    <w:rsid w:val="00F3730C"/>
    <w:rsid w:val="00F37F56"/>
    <w:rsid w:val="00F4092A"/>
    <w:rsid w:val="00F410AB"/>
    <w:rsid w:val="00F416DF"/>
    <w:rsid w:val="00F41D5D"/>
    <w:rsid w:val="00F42204"/>
    <w:rsid w:val="00F42F62"/>
    <w:rsid w:val="00F4337A"/>
    <w:rsid w:val="00F43BFF"/>
    <w:rsid w:val="00F45138"/>
    <w:rsid w:val="00F453AF"/>
    <w:rsid w:val="00F4550B"/>
    <w:rsid w:val="00F45D09"/>
    <w:rsid w:val="00F4611E"/>
    <w:rsid w:val="00F471BD"/>
    <w:rsid w:val="00F47787"/>
    <w:rsid w:val="00F47B6B"/>
    <w:rsid w:val="00F50F33"/>
    <w:rsid w:val="00F50F6C"/>
    <w:rsid w:val="00F5107C"/>
    <w:rsid w:val="00F5117A"/>
    <w:rsid w:val="00F52A03"/>
    <w:rsid w:val="00F52A47"/>
    <w:rsid w:val="00F52ACB"/>
    <w:rsid w:val="00F52C9F"/>
    <w:rsid w:val="00F53072"/>
    <w:rsid w:val="00F53572"/>
    <w:rsid w:val="00F5360B"/>
    <w:rsid w:val="00F53830"/>
    <w:rsid w:val="00F53A94"/>
    <w:rsid w:val="00F53B39"/>
    <w:rsid w:val="00F53B90"/>
    <w:rsid w:val="00F53BC2"/>
    <w:rsid w:val="00F5430C"/>
    <w:rsid w:val="00F54315"/>
    <w:rsid w:val="00F54335"/>
    <w:rsid w:val="00F5489B"/>
    <w:rsid w:val="00F549C7"/>
    <w:rsid w:val="00F54E68"/>
    <w:rsid w:val="00F55001"/>
    <w:rsid w:val="00F55244"/>
    <w:rsid w:val="00F553D9"/>
    <w:rsid w:val="00F55551"/>
    <w:rsid w:val="00F55692"/>
    <w:rsid w:val="00F55E75"/>
    <w:rsid w:val="00F5667C"/>
    <w:rsid w:val="00F569CF"/>
    <w:rsid w:val="00F56C4D"/>
    <w:rsid w:val="00F572A5"/>
    <w:rsid w:val="00F57370"/>
    <w:rsid w:val="00F57702"/>
    <w:rsid w:val="00F60179"/>
    <w:rsid w:val="00F60D58"/>
    <w:rsid w:val="00F61470"/>
    <w:rsid w:val="00F617C8"/>
    <w:rsid w:val="00F61BE1"/>
    <w:rsid w:val="00F61C5F"/>
    <w:rsid w:val="00F62177"/>
    <w:rsid w:val="00F62617"/>
    <w:rsid w:val="00F62F64"/>
    <w:rsid w:val="00F63116"/>
    <w:rsid w:val="00F638D1"/>
    <w:rsid w:val="00F63A03"/>
    <w:rsid w:val="00F63CA5"/>
    <w:rsid w:val="00F64536"/>
    <w:rsid w:val="00F64AFC"/>
    <w:rsid w:val="00F64BCB"/>
    <w:rsid w:val="00F64BFE"/>
    <w:rsid w:val="00F65677"/>
    <w:rsid w:val="00F65A10"/>
    <w:rsid w:val="00F65BB2"/>
    <w:rsid w:val="00F65DE1"/>
    <w:rsid w:val="00F65F2A"/>
    <w:rsid w:val="00F66CD1"/>
    <w:rsid w:val="00F67524"/>
    <w:rsid w:val="00F67CD1"/>
    <w:rsid w:val="00F67D32"/>
    <w:rsid w:val="00F713EF"/>
    <w:rsid w:val="00F72AAF"/>
    <w:rsid w:val="00F72D8B"/>
    <w:rsid w:val="00F72DAA"/>
    <w:rsid w:val="00F72DBA"/>
    <w:rsid w:val="00F7336E"/>
    <w:rsid w:val="00F737B4"/>
    <w:rsid w:val="00F73D1A"/>
    <w:rsid w:val="00F741D9"/>
    <w:rsid w:val="00F74CFA"/>
    <w:rsid w:val="00F74DDE"/>
    <w:rsid w:val="00F7574F"/>
    <w:rsid w:val="00F7581D"/>
    <w:rsid w:val="00F7602E"/>
    <w:rsid w:val="00F762F3"/>
    <w:rsid w:val="00F7669E"/>
    <w:rsid w:val="00F76DAC"/>
    <w:rsid w:val="00F76F8D"/>
    <w:rsid w:val="00F80196"/>
    <w:rsid w:val="00F803FF"/>
    <w:rsid w:val="00F80605"/>
    <w:rsid w:val="00F80639"/>
    <w:rsid w:val="00F813F2"/>
    <w:rsid w:val="00F81C74"/>
    <w:rsid w:val="00F8230A"/>
    <w:rsid w:val="00F82318"/>
    <w:rsid w:val="00F82436"/>
    <w:rsid w:val="00F82791"/>
    <w:rsid w:val="00F831EB"/>
    <w:rsid w:val="00F83819"/>
    <w:rsid w:val="00F84257"/>
    <w:rsid w:val="00F84D45"/>
    <w:rsid w:val="00F853F7"/>
    <w:rsid w:val="00F85659"/>
    <w:rsid w:val="00F85BB6"/>
    <w:rsid w:val="00F85F49"/>
    <w:rsid w:val="00F86387"/>
    <w:rsid w:val="00F8653F"/>
    <w:rsid w:val="00F869B2"/>
    <w:rsid w:val="00F86A49"/>
    <w:rsid w:val="00F86E08"/>
    <w:rsid w:val="00F87781"/>
    <w:rsid w:val="00F902B2"/>
    <w:rsid w:val="00F90C28"/>
    <w:rsid w:val="00F912D4"/>
    <w:rsid w:val="00F91E33"/>
    <w:rsid w:val="00F92031"/>
    <w:rsid w:val="00F92265"/>
    <w:rsid w:val="00F9234F"/>
    <w:rsid w:val="00F925F5"/>
    <w:rsid w:val="00F9282A"/>
    <w:rsid w:val="00F92D74"/>
    <w:rsid w:val="00F93003"/>
    <w:rsid w:val="00F93566"/>
    <w:rsid w:val="00F938E4"/>
    <w:rsid w:val="00F93ADD"/>
    <w:rsid w:val="00F93B1D"/>
    <w:rsid w:val="00F93B9D"/>
    <w:rsid w:val="00F93DE7"/>
    <w:rsid w:val="00F93E93"/>
    <w:rsid w:val="00F94054"/>
    <w:rsid w:val="00F9454D"/>
    <w:rsid w:val="00F9463B"/>
    <w:rsid w:val="00F94C9E"/>
    <w:rsid w:val="00F94D23"/>
    <w:rsid w:val="00F94E36"/>
    <w:rsid w:val="00F9525A"/>
    <w:rsid w:val="00F952F6"/>
    <w:rsid w:val="00F95A26"/>
    <w:rsid w:val="00F96246"/>
    <w:rsid w:val="00F963AC"/>
    <w:rsid w:val="00F96611"/>
    <w:rsid w:val="00F96971"/>
    <w:rsid w:val="00F96A19"/>
    <w:rsid w:val="00F96C0D"/>
    <w:rsid w:val="00F96CF4"/>
    <w:rsid w:val="00F96DF5"/>
    <w:rsid w:val="00F9740F"/>
    <w:rsid w:val="00F97A1D"/>
    <w:rsid w:val="00FA0846"/>
    <w:rsid w:val="00FA13F2"/>
    <w:rsid w:val="00FA1958"/>
    <w:rsid w:val="00FA1C5F"/>
    <w:rsid w:val="00FA1C89"/>
    <w:rsid w:val="00FA1FF5"/>
    <w:rsid w:val="00FA2246"/>
    <w:rsid w:val="00FA22A9"/>
    <w:rsid w:val="00FA266F"/>
    <w:rsid w:val="00FA3160"/>
    <w:rsid w:val="00FA322A"/>
    <w:rsid w:val="00FA32A9"/>
    <w:rsid w:val="00FA354C"/>
    <w:rsid w:val="00FA3846"/>
    <w:rsid w:val="00FA428A"/>
    <w:rsid w:val="00FA4792"/>
    <w:rsid w:val="00FA48CE"/>
    <w:rsid w:val="00FA5644"/>
    <w:rsid w:val="00FA760D"/>
    <w:rsid w:val="00FA762D"/>
    <w:rsid w:val="00FA7E5C"/>
    <w:rsid w:val="00FB0186"/>
    <w:rsid w:val="00FB0BC8"/>
    <w:rsid w:val="00FB1572"/>
    <w:rsid w:val="00FB1859"/>
    <w:rsid w:val="00FB1F50"/>
    <w:rsid w:val="00FB26F2"/>
    <w:rsid w:val="00FB2967"/>
    <w:rsid w:val="00FB3200"/>
    <w:rsid w:val="00FB340F"/>
    <w:rsid w:val="00FB3BA9"/>
    <w:rsid w:val="00FB3D5C"/>
    <w:rsid w:val="00FB4279"/>
    <w:rsid w:val="00FB435C"/>
    <w:rsid w:val="00FB4595"/>
    <w:rsid w:val="00FB4BEF"/>
    <w:rsid w:val="00FB4DD6"/>
    <w:rsid w:val="00FB4DF1"/>
    <w:rsid w:val="00FB4F40"/>
    <w:rsid w:val="00FB52D5"/>
    <w:rsid w:val="00FB5981"/>
    <w:rsid w:val="00FB5CF3"/>
    <w:rsid w:val="00FB61A5"/>
    <w:rsid w:val="00FB63BA"/>
    <w:rsid w:val="00FB745E"/>
    <w:rsid w:val="00FB7BBE"/>
    <w:rsid w:val="00FB7FD1"/>
    <w:rsid w:val="00FC0941"/>
    <w:rsid w:val="00FC0DB3"/>
    <w:rsid w:val="00FC1227"/>
    <w:rsid w:val="00FC12FB"/>
    <w:rsid w:val="00FC131F"/>
    <w:rsid w:val="00FC1A45"/>
    <w:rsid w:val="00FC1E3C"/>
    <w:rsid w:val="00FC1FF0"/>
    <w:rsid w:val="00FC3545"/>
    <w:rsid w:val="00FC359A"/>
    <w:rsid w:val="00FC3FD6"/>
    <w:rsid w:val="00FC4638"/>
    <w:rsid w:val="00FC4DFA"/>
    <w:rsid w:val="00FC528F"/>
    <w:rsid w:val="00FC5456"/>
    <w:rsid w:val="00FC580A"/>
    <w:rsid w:val="00FC611E"/>
    <w:rsid w:val="00FC63A5"/>
    <w:rsid w:val="00FC63EB"/>
    <w:rsid w:val="00FC6F0C"/>
    <w:rsid w:val="00FC7370"/>
    <w:rsid w:val="00FC7B57"/>
    <w:rsid w:val="00FD0130"/>
    <w:rsid w:val="00FD08F7"/>
    <w:rsid w:val="00FD110C"/>
    <w:rsid w:val="00FD120A"/>
    <w:rsid w:val="00FD1408"/>
    <w:rsid w:val="00FD1C64"/>
    <w:rsid w:val="00FD22CC"/>
    <w:rsid w:val="00FD29EB"/>
    <w:rsid w:val="00FD2EB1"/>
    <w:rsid w:val="00FD32A4"/>
    <w:rsid w:val="00FD380B"/>
    <w:rsid w:val="00FD3892"/>
    <w:rsid w:val="00FD3ECE"/>
    <w:rsid w:val="00FD62D3"/>
    <w:rsid w:val="00FD63BE"/>
    <w:rsid w:val="00FD6C5A"/>
    <w:rsid w:val="00FD6D52"/>
    <w:rsid w:val="00FD7206"/>
    <w:rsid w:val="00FE0A45"/>
    <w:rsid w:val="00FE0AD6"/>
    <w:rsid w:val="00FE0ADA"/>
    <w:rsid w:val="00FE0CDA"/>
    <w:rsid w:val="00FE1FFB"/>
    <w:rsid w:val="00FE227C"/>
    <w:rsid w:val="00FE22DA"/>
    <w:rsid w:val="00FE2BF0"/>
    <w:rsid w:val="00FE377F"/>
    <w:rsid w:val="00FE37CF"/>
    <w:rsid w:val="00FE3E38"/>
    <w:rsid w:val="00FE444F"/>
    <w:rsid w:val="00FE44CA"/>
    <w:rsid w:val="00FE4645"/>
    <w:rsid w:val="00FE4678"/>
    <w:rsid w:val="00FE4764"/>
    <w:rsid w:val="00FE4B1D"/>
    <w:rsid w:val="00FE4BCB"/>
    <w:rsid w:val="00FE4C35"/>
    <w:rsid w:val="00FE4F84"/>
    <w:rsid w:val="00FE532A"/>
    <w:rsid w:val="00FE55F2"/>
    <w:rsid w:val="00FE6227"/>
    <w:rsid w:val="00FE6366"/>
    <w:rsid w:val="00FE6DAA"/>
    <w:rsid w:val="00FE7C3C"/>
    <w:rsid w:val="00FF0445"/>
    <w:rsid w:val="00FF0A6C"/>
    <w:rsid w:val="00FF0A80"/>
    <w:rsid w:val="00FF0D99"/>
    <w:rsid w:val="00FF1052"/>
    <w:rsid w:val="00FF19C6"/>
    <w:rsid w:val="00FF1E53"/>
    <w:rsid w:val="00FF29A6"/>
    <w:rsid w:val="00FF29E0"/>
    <w:rsid w:val="00FF33B2"/>
    <w:rsid w:val="00FF3761"/>
    <w:rsid w:val="00FF3806"/>
    <w:rsid w:val="00FF3884"/>
    <w:rsid w:val="00FF39A0"/>
    <w:rsid w:val="00FF3A0C"/>
    <w:rsid w:val="00FF3D47"/>
    <w:rsid w:val="00FF45E6"/>
    <w:rsid w:val="00FF4F29"/>
    <w:rsid w:val="00FF4FD0"/>
    <w:rsid w:val="00FF51F3"/>
    <w:rsid w:val="00FF5613"/>
    <w:rsid w:val="00FF563A"/>
    <w:rsid w:val="00FF5BB3"/>
    <w:rsid w:val="00FF6502"/>
    <w:rsid w:val="00FF660E"/>
    <w:rsid w:val="00FF6AD8"/>
    <w:rsid w:val="00FF6C75"/>
    <w:rsid w:val="00FF716D"/>
    <w:rsid w:val="00FF737D"/>
    <w:rsid w:val="00FF766B"/>
    <w:rsid w:val="00FF7861"/>
    <w:rsid w:val="00FF7E44"/>
    <w:rsid w:val="00FF7E50"/>
    <w:rsid w:val="00FF7ECD"/>
    <w:rsid w:val="01014988"/>
    <w:rsid w:val="0113BB3D"/>
    <w:rsid w:val="018FD0D1"/>
    <w:rsid w:val="02B0211F"/>
    <w:rsid w:val="030347C8"/>
    <w:rsid w:val="03216242"/>
    <w:rsid w:val="03751DF3"/>
    <w:rsid w:val="04134246"/>
    <w:rsid w:val="04B0CDDB"/>
    <w:rsid w:val="04F39FF8"/>
    <w:rsid w:val="05247302"/>
    <w:rsid w:val="0573A4AC"/>
    <w:rsid w:val="0615FCEC"/>
    <w:rsid w:val="06784442"/>
    <w:rsid w:val="068965A8"/>
    <w:rsid w:val="077AA62C"/>
    <w:rsid w:val="07ACCB27"/>
    <w:rsid w:val="07DAD198"/>
    <w:rsid w:val="089C5828"/>
    <w:rsid w:val="0B0D6ECD"/>
    <w:rsid w:val="0B36B317"/>
    <w:rsid w:val="0B8052BC"/>
    <w:rsid w:val="0C6E0554"/>
    <w:rsid w:val="0CE44D86"/>
    <w:rsid w:val="0CF6BF87"/>
    <w:rsid w:val="0D5ECEEF"/>
    <w:rsid w:val="0D685E0A"/>
    <w:rsid w:val="0E34A99E"/>
    <w:rsid w:val="0E98F37B"/>
    <w:rsid w:val="0EEB0D41"/>
    <w:rsid w:val="104D125E"/>
    <w:rsid w:val="11558905"/>
    <w:rsid w:val="119FF2CF"/>
    <w:rsid w:val="11CB14DE"/>
    <w:rsid w:val="129C34F2"/>
    <w:rsid w:val="13858CFB"/>
    <w:rsid w:val="1399932A"/>
    <w:rsid w:val="13B69179"/>
    <w:rsid w:val="13C30732"/>
    <w:rsid w:val="152D1EAB"/>
    <w:rsid w:val="152FA877"/>
    <w:rsid w:val="153C1B25"/>
    <w:rsid w:val="1561B884"/>
    <w:rsid w:val="16934777"/>
    <w:rsid w:val="1729C350"/>
    <w:rsid w:val="17B845C3"/>
    <w:rsid w:val="18133CE6"/>
    <w:rsid w:val="1872F9FF"/>
    <w:rsid w:val="18EF9800"/>
    <w:rsid w:val="193BDFB8"/>
    <w:rsid w:val="195A8136"/>
    <w:rsid w:val="19E53A1F"/>
    <w:rsid w:val="1AA4D38C"/>
    <w:rsid w:val="1B3B144E"/>
    <w:rsid w:val="1B777683"/>
    <w:rsid w:val="1BD0A341"/>
    <w:rsid w:val="1BFF70D7"/>
    <w:rsid w:val="1C277177"/>
    <w:rsid w:val="1CD3E206"/>
    <w:rsid w:val="1D4A5E5E"/>
    <w:rsid w:val="1D7F5C65"/>
    <w:rsid w:val="1DBD1F6E"/>
    <w:rsid w:val="1DC5B88A"/>
    <w:rsid w:val="1DFCE988"/>
    <w:rsid w:val="1E4B324D"/>
    <w:rsid w:val="1EB2DA9F"/>
    <w:rsid w:val="1EB8DA7F"/>
    <w:rsid w:val="1FAA2F4B"/>
    <w:rsid w:val="2051440D"/>
    <w:rsid w:val="20A0B979"/>
    <w:rsid w:val="20BAF9C5"/>
    <w:rsid w:val="211F1B40"/>
    <w:rsid w:val="2178A5F2"/>
    <w:rsid w:val="21DC2449"/>
    <w:rsid w:val="22BC3A92"/>
    <w:rsid w:val="23D207F1"/>
    <w:rsid w:val="249D1C61"/>
    <w:rsid w:val="25006A43"/>
    <w:rsid w:val="2526464F"/>
    <w:rsid w:val="25C0ECEB"/>
    <w:rsid w:val="262D4E09"/>
    <w:rsid w:val="266AB08B"/>
    <w:rsid w:val="26FDF129"/>
    <w:rsid w:val="2702BB12"/>
    <w:rsid w:val="275D5706"/>
    <w:rsid w:val="2A7BAC8C"/>
    <w:rsid w:val="2AD81FFA"/>
    <w:rsid w:val="2B82B14D"/>
    <w:rsid w:val="2B90C3D9"/>
    <w:rsid w:val="2BF3B325"/>
    <w:rsid w:val="2C30285C"/>
    <w:rsid w:val="2C5647C5"/>
    <w:rsid w:val="2D3AE1D5"/>
    <w:rsid w:val="2D421233"/>
    <w:rsid w:val="2D69962B"/>
    <w:rsid w:val="2E50B394"/>
    <w:rsid w:val="2E8D28AB"/>
    <w:rsid w:val="2E8FE8E7"/>
    <w:rsid w:val="2ECEFE49"/>
    <w:rsid w:val="2FD4ED9A"/>
    <w:rsid w:val="30CD5017"/>
    <w:rsid w:val="3108DAEA"/>
    <w:rsid w:val="32085FC4"/>
    <w:rsid w:val="326ABDDB"/>
    <w:rsid w:val="329B9BEE"/>
    <w:rsid w:val="32D8D364"/>
    <w:rsid w:val="33C6C41D"/>
    <w:rsid w:val="362CDBD2"/>
    <w:rsid w:val="365FA610"/>
    <w:rsid w:val="3748841C"/>
    <w:rsid w:val="3900F7AE"/>
    <w:rsid w:val="3A6FCE8B"/>
    <w:rsid w:val="3B36567A"/>
    <w:rsid w:val="3B73A3FF"/>
    <w:rsid w:val="3B944E5C"/>
    <w:rsid w:val="3C3D6DC0"/>
    <w:rsid w:val="3C70687F"/>
    <w:rsid w:val="3D9282E5"/>
    <w:rsid w:val="3DAA364A"/>
    <w:rsid w:val="3EBB743E"/>
    <w:rsid w:val="3F6DA398"/>
    <w:rsid w:val="3F7B8888"/>
    <w:rsid w:val="406D0538"/>
    <w:rsid w:val="409D0BDD"/>
    <w:rsid w:val="409F7D00"/>
    <w:rsid w:val="41DA58D6"/>
    <w:rsid w:val="422FCEAC"/>
    <w:rsid w:val="42495F79"/>
    <w:rsid w:val="4259F126"/>
    <w:rsid w:val="42A4DFB3"/>
    <w:rsid w:val="42ADA974"/>
    <w:rsid w:val="42BE87E7"/>
    <w:rsid w:val="4316A184"/>
    <w:rsid w:val="43F950AD"/>
    <w:rsid w:val="4556555A"/>
    <w:rsid w:val="460F3444"/>
    <w:rsid w:val="468ADC3F"/>
    <w:rsid w:val="4723BD3F"/>
    <w:rsid w:val="4764B36B"/>
    <w:rsid w:val="48150774"/>
    <w:rsid w:val="494D33A9"/>
    <w:rsid w:val="49740BD4"/>
    <w:rsid w:val="49E297C0"/>
    <w:rsid w:val="49EE2DF2"/>
    <w:rsid w:val="4A044BE5"/>
    <w:rsid w:val="4B6D169D"/>
    <w:rsid w:val="4BF9E5E0"/>
    <w:rsid w:val="4C1C07B4"/>
    <w:rsid w:val="4C5B6939"/>
    <w:rsid w:val="4C5FE1A5"/>
    <w:rsid w:val="4CD05D9A"/>
    <w:rsid w:val="4DF404F0"/>
    <w:rsid w:val="4E10019C"/>
    <w:rsid w:val="4E4F1038"/>
    <w:rsid w:val="4E5E557D"/>
    <w:rsid w:val="4E9087C6"/>
    <w:rsid w:val="4EB89775"/>
    <w:rsid w:val="4ED54917"/>
    <w:rsid w:val="4EECC1FA"/>
    <w:rsid w:val="4FBA7812"/>
    <w:rsid w:val="4FF5D7EC"/>
    <w:rsid w:val="51378DF0"/>
    <w:rsid w:val="515A1D09"/>
    <w:rsid w:val="5242B917"/>
    <w:rsid w:val="5245F276"/>
    <w:rsid w:val="527B319F"/>
    <w:rsid w:val="52D5DC59"/>
    <w:rsid w:val="54A41DBB"/>
    <w:rsid w:val="552415ED"/>
    <w:rsid w:val="55915911"/>
    <w:rsid w:val="55D62E6A"/>
    <w:rsid w:val="5632116C"/>
    <w:rsid w:val="56528EDC"/>
    <w:rsid w:val="56FE3281"/>
    <w:rsid w:val="57F83609"/>
    <w:rsid w:val="580B1823"/>
    <w:rsid w:val="581E6163"/>
    <w:rsid w:val="5840A5FC"/>
    <w:rsid w:val="5888627C"/>
    <w:rsid w:val="59C81AF1"/>
    <w:rsid w:val="5AEE0767"/>
    <w:rsid w:val="5AF815AA"/>
    <w:rsid w:val="5B0CF38E"/>
    <w:rsid w:val="5B2406C6"/>
    <w:rsid w:val="5CC693F6"/>
    <w:rsid w:val="5D02EF83"/>
    <w:rsid w:val="5D925B40"/>
    <w:rsid w:val="5E2794BA"/>
    <w:rsid w:val="5F20D358"/>
    <w:rsid w:val="5FB25FD7"/>
    <w:rsid w:val="60002E9E"/>
    <w:rsid w:val="60098D50"/>
    <w:rsid w:val="615341D5"/>
    <w:rsid w:val="617E49FD"/>
    <w:rsid w:val="631D59B9"/>
    <w:rsid w:val="6426AD13"/>
    <w:rsid w:val="6465C04A"/>
    <w:rsid w:val="64718093"/>
    <w:rsid w:val="64F5DCF7"/>
    <w:rsid w:val="654F74A0"/>
    <w:rsid w:val="6672D4D8"/>
    <w:rsid w:val="667E7362"/>
    <w:rsid w:val="66900855"/>
    <w:rsid w:val="67892D8B"/>
    <w:rsid w:val="67A2CFAC"/>
    <w:rsid w:val="6837E287"/>
    <w:rsid w:val="69220F4A"/>
    <w:rsid w:val="6926A8F6"/>
    <w:rsid w:val="6937F225"/>
    <w:rsid w:val="694B33A6"/>
    <w:rsid w:val="69DA7A98"/>
    <w:rsid w:val="6AD6120E"/>
    <w:rsid w:val="6C7259E4"/>
    <w:rsid w:val="6CFF3E14"/>
    <w:rsid w:val="6E420C44"/>
    <w:rsid w:val="6F0BF5AB"/>
    <w:rsid w:val="6F5E7040"/>
    <w:rsid w:val="70559B4A"/>
    <w:rsid w:val="70DEC0F6"/>
    <w:rsid w:val="7171BF80"/>
    <w:rsid w:val="7179AD06"/>
    <w:rsid w:val="72008CA4"/>
    <w:rsid w:val="7221BA74"/>
    <w:rsid w:val="726FDD25"/>
    <w:rsid w:val="72ADF5B6"/>
    <w:rsid w:val="731EF215"/>
    <w:rsid w:val="7345961E"/>
    <w:rsid w:val="74704D04"/>
    <w:rsid w:val="74B2B284"/>
    <w:rsid w:val="755700E0"/>
    <w:rsid w:val="7649564E"/>
    <w:rsid w:val="766E8B26"/>
    <w:rsid w:val="767748A8"/>
    <w:rsid w:val="7754EDC6"/>
    <w:rsid w:val="77E630B7"/>
    <w:rsid w:val="78172697"/>
    <w:rsid w:val="7868A97A"/>
    <w:rsid w:val="78DC47D1"/>
    <w:rsid w:val="7A84F8BB"/>
    <w:rsid w:val="7ADF6FE1"/>
    <w:rsid w:val="7B245D3E"/>
    <w:rsid w:val="7B3D52CA"/>
    <w:rsid w:val="7BB0D03A"/>
    <w:rsid w:val="7C0FAF12"/>
    <w:rsid w:val="7CC02307"/>
    <w:rsid w:val="7CFF9A76"/>
    <w:rsid w:val="7DCBFA27"/>
    <w:rsid w:val="7F2ADD1E"/>
    <w:rsid w:val="7F5A24FD"/>
    <w:rsid w:val="7FA387EB"/>
    <w:rsid w:val="7FA58D1F"/>
  </w:rsids>
  <m:mathPr>
    <m:mathFont m:val="Cambria Math"/>
    <m:brkBin m:val="before"/>
    <m:brkBinSub m:val="--"/>
    <m:smallFrac m:val="0"/>
    <m:dispDef/>
    <m:lMargin m:val="0"/>
    <m:rMargin m:val="0"/>
    <m:defJc m:val="centerGroup"/>
    <m:wrapIndent m:val="1440"/>
    <m:intLim m:val="subSup"/>
    <m:naryLim m:val="undOvr"/>
  </m:mathPr>
  <w:themeFontLang w:val="es-CO"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C14C8E3"/>
  <w15:chartTrackingRefBased/>
  <w15:docId w15:val="{0E590753-30D4-4400-92D8-08A7ACA5E7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imes New Roman" w:hAnsi="Arial" w:cs="Times New Roman"/>
        <w:lang w:val="es-CO" w:eastAsia="es-CO"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005F2"/>
    <w:pPr>
      <w:spacing w:before="160" w:after="160"/>
      <w:jc w:val="both"/>
    </w:pPr>
    <w:rPr>
      <w:bCs/>
      <w:sz w:val="22"/>
      <w:szCs w:val="24"/>
      <w:lang w:eastAsia="es-ES"/>
    </w:rPr>
  </w:style>
  <w:style w:type="paragraph" w:styleId="Ttulo1">
    <w:name w:val="heading 1"/>
    <w:basedOn w:val="Normal"/>
    <w:next w:val="Normal"/>
    <w:link w:val="Ttulo1Car"/>
    <w:qFormat/>
    <w:rsid w:val="00C20071"/>
    <w:pPr>
      <w:keepNext/>
      <w:numPr>
        <w:numId w:val="2"/>
      </w:numPr>
      <w:tabs>
        <w:tab w:val="left" w:pos="1077"/>
      </w:tabs>
      <w:spacing w:before="360" w:after="240"/>
      <w:outlineLvl w:val="0"/>
    </w:pPr>
    <w:rPr>
      <w:b/>
      <w:caps/>
      <w:sz w:val="24"/>
      <w:lang w:val="en-US"/>
    </w:rPr>
  </w:style>
  <w:style w:type="paragraph" w:styleId="Ttulo2">
    <w:name w:val="heading 2"/>
    <w:aliases w:val="Neg"/>
    <w:basedOn w:val="Normal"/>
    <w:next w:val="Normal"/>
    <w:link w:val="Ttulo2Car"/>
    <w:autoRedefine/>
    <w:qFormat/>
    <w:rsid w:val="009626D9"/>
    <w:pPr>
      <w:keepNext/>
      <w:numPr>
        <w:ilvl w:val="1"/>
        <w:numId w:val="2"/>
      </w:numPr>
      <w:spacing w:before="240"/>
      <w:outlineLvl w:val="1"/>
    </w:pPr>
    <w:rPr>
      <w:b/>
      <w:szCs w:val="22"/>
    </w:rPr>
  </w:style>
  <w:style w:type="paragraph" w:styleId="Ttulo3">
    <w:name w:val="heading 3"/>
    <w:basedOn w:val="Normal"/>
    <w:next w:val="Normal"/>
    <w:link w:val="Ttulo3Car"/>
    <w:qFormat/>
    <w:rsid w:val="00FB745E"/>
    <w:pPr>
      <w:keepNext/>
      <w:numPr>
        <w:ilvl w:val="2"/>
        <w:numId w:val="2"/>
      </w:numPr>
      <w:outlineLvl w:val="2"/>
    </w:pPr>
    <w:rPr>
      <w:b/>
      <w:szCs w:val="22"/>
    </w:rPr>
  </w:style>
  <w:style w:type="paragraph" w:styleId="Ttulo4">
    <w:name w:val="heading 4"/>
    <w:basedOn w:val="Normal"/>
    <w:next w:val="Normal"/>
    <w:link w:val="Ttulo4Car"/>
    <w:qFormat/>
    <w:rsid w:val="008A2984"/>
    <w:pPr>
      <w:keepNext/>
      <w:numPr>
        <w:ilvl w:val="3"/>
        <w:numId w:val="2"/>
      </w:numPr>
      <w:outlineLvl w:val="3"/>
    </w:pPr>
    <w:rPr>
      <w:b/>
    </w:rPr>
  </w:style>
  <w:style w:type="paragraph" w:styleId="Ttulo5">
    <w:name w:val="heading 5"/>
    <w:basedOn w:val="Normal"/>
    <w:next w:val="Normal"/>
    <w:qFormat/>
    <w:rsid w:val="002D13EE"/>
    <w:pPr>
      <w:keepNext/>
      <w:numPr>
        <w:numId w:val="3"/>
      </w:numPr>
      <w:jc w:val="center"/>
      <w:outlineLvl w:val="4"/>
    </w:pPr>
    <w:rPr>
      <w:b/>
    </w:rPr>
  </w:style>
  <w:style w:type="paragraph" w:styleId="Ttulo6">
    <w:name w:val="heading 6"/>
    <w:basedOn w:val="Normal"/>
    <w:next w:val="Normal"/>
    <w:qFormat/>
    <w:rsid w:val="008A2984"/>
    <w:pPr>
      <w:keepNext/>
      <w:numPr>
        <w:ilvl w:val="5"/>
        <w:numId w:val="2"/>
      </w:numPr>
      <w:outlineLvl w:val="5"/>
    </w:pPr>
    <w:rPr>
      <w:b/>
    </w:rPr>
  </w:style>
  <w:style w:type="paragraph" w:styleId="Ttulo7">
    <w:name w:val="heading 7"/>
    <w:basedOn w:val="Normal"/>
    <w:next w:val="Normal"/>
    <w:qFormat/>
    <w:rsid w:val="008A2984"/>
    <w:pPr>
      <w:keepNext/>
      <w:numPr>
        <w:ilvl w:val="6"/>
        <w:numId w:val="2"/>
      </w:numPr>
      <w:outlineLvl w:val="6"/>
    </w:pPr>
  </w:style>
  <w:style w:type="paragraph" w:styleId="Ttulo8">
    <w:name w:val="heading 8"/>
    <w:basedOn w:val="Normal"/>
    <w:next w:val="Normal"/>
    <w:link w:val="Ttulo8Car"/>
    <w:qFormat/>
    <w:rsid w:val="008A2984"/>
    <w:pPr>
      <w:keepNext/>
      <w:outlineLvl w:val="7"/>
    </w:pPr>
    <w:rPr>
      <w:b/>
    </w:rPr>
  </w:style>
  <w:style w:type="paragraph" w:styleId="Ttulo9">
    <w:name w:val="heading 9"/>
    <w:basedOn w:val="Normal"/>
    <w:next w:val="Normal"/>
    <w:qFormat/>
    <w:rsid w:val="008A2984"/>
    <w:pPr>
      <w:keepNext/>
      <w:numPr>
        <w:ilvl w:val="8"/>
        <w:numId w:val="2"/>
      </w:numPr>
      <w:outlineLvl w:val="8"/>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rsid w:val="008A2984"/>
    <w:rPr>
      <w:color w:val="0000FF"/>
      <w:u w:val="single"/>
    </w:rPr>
  </w:style>
  <w:style w:type="character" w:styleId="Hipervnculovisitado">
    <w:name w:val="FollowedHyperlink"/>
    <w:basedOn w:val="Fuentedeprrafopredeter"/>
    <w:semiHidden/>
    <w:rsid w:val="008A2984"/>
    <w:rPr>
      <w:color w:val="800080"/>
      <w:u w:val="single"/>
    </w:rPr>
  </w:style>
  <w:style w:type="paragraph" w:styleId="Textonotapie">
    <w:name w:val="footnote text"/>
    <w:basedOn w:val="Normal"/>
    <w:link w:val="TextonotapieCar"/>
    <w:uiPriority w:val="99"/>
    <w:semiHidden/>
    <w:rsid w:val="008A2984"/>
  </w:style>
  <w:style w:type="character" w:styleId="Refdenotaalpie">
    <w:name w:val="footnote reference"/>
    <w:basedOn w:val="Fuentedeprrafopredeter"/>
    <w:semiHidden/>
    <w:rsid w:val="008A2984"/>
    <w:rPr>
      <w:vertAlign w:val="superscript"/>
    </w:rPr>
  </w:style>
  <w:style w:type="paragraph" w:styleId="Piedepgina">
    <w:name w:val="footer"/>
    <w:basedOn w:val="Normal"/>
    <w:link w:val="PiedepginaCar"/>
    <w:uiPriority w:val="99"/>
    <w:rsid w:val="008A2984"/>
    <w:pPr>
      <w:tabs>
        <w:tab w:val="center" w:pos="4252"/>
        <w:tab w:val="right" w:pos="8504"/>
      </w:tabs>
    </w:pPr>
  </w:style>
  <w:style w:type="character" w:styleId="Nmerodepgina">
    <w:name w:val="page number"/>
    <w:basedOn w:val="Fuentedeprrafopredeter"/>
    <w:semiHidden/>
    <w:rsid w:val="008A2984"/>
  </w:style>
  <w:style w:type="paragraph" w:styleId="Textoindependiente2">
    <w:name w:val="Body Text 2"/>
    <w:basedOn w:val="Normal"/>
    <w:semiHidden/>
    <w:rsid w:val="008A2984"/>
    <w:rPr>
      <w:lang w:val="es-ES"/>
    </w:rPr>
  </w:style>
  <w:style w:type="paragraph" w:styleId="Listaconvietas">
    <w:name w:val="List Bullet"/>
    <w:basedOn w:val="Normal"/>
    <w:autoRedefine/>
    <w:semiHidden/>
    <w:rsid w:val="008A2984"/>
    <w:pPr>
      <w:tabs>
        <w:tab w:val="num" w:pos="360"/>
      </w:tabs>
      <w:ind w:left="360" w:hanging="360"/>
    </w:pPr>
    <w:rPr>
      <w:rFonts w:ascii="CG Times" w:hAnsi="CG Times"/>
    </w:rPr>
  </w:style>
  <w:style w:type="paragraph" w:styleId="Listaconvietas2">
    <w:name w:val="List Bullet 2"/>
    <w:basedOn w:val="Normal"/>
    <w:autoRedefine/>
    <w:semiHidden/>
    <w:rsid w:val="008A2984"/>
    <w:pPr>
      <w:tabs>
        <w:tab w:val="num" w:pos="643"/>
      </w:tabs>
      <w:ind w:left="643" w:hanging="360"/>
    </w:pPr>
    <w:rPr>
      <w:rFonts w:ascii="CG Times" w:hAnsi="CG Times"/>
    </w:rPr>
  </w:style>
  <w:style w:type="paragraph" w:styleId="Listaconvietas4">
    <w:name w:val="List Bullet 4"/>
    <w:basedOn w:val="Normal"/>
    <w:autoRedefine/>
    <w:semiHidden/>
    <w:rsid w:val="008A2984"/>
    <w:pPr>
      <w:tabs>
        <w:tab w:val="num" w:pos="1209"/>
      </w:tabs>
      <w:ind w:left="1209" w:hanging="360"/>
    </w:pPr>
    <w:rPr>
      <w:rFonts w:ascii="CG Times" w:hAnsi="CG Times"/>
    </w:rPr>
  </w:style>
  <w:style w:type="paragraph" w:styleId="Textodebloque">
    <w:name w:val="Block Text"/>
    <w:basedOn w:val="Normal"/>
    <w:semiHidden/>
    <w:rsid w:val="008A2984"/>
    <w:pPr>
      <w:ind w:left="709" w:right="901"/>
      <w:jc w:val="center"/>
    </w:pPr>
    <w:rPr>
      <w:rFonts w:ascii="Bookman Old Style" w:hAnsi="Bookman Old Style"/>
      <w:lang w:val="es-ES_tradnl"/>
    </w:rPr>
  </w:style>
  <w:style w:type="paragraph" w:styleId="Textoindependiente">
    <w:name w:val="Body Text"/>
    <w:basedOn w:val="Normal"/>
    <w:link w:val="TextoindependienteCar"/>
    <w:semiHidden/>
    <w:rsid w:val="008A2984"/>
    <w:pPr>
      <w:jc w:val="center"/>
    </w:pPr>
    <w:rPr>
      <w:b/>
      <w:i/>
      <w:sz w:val="28"/>
    </w:rPr>
  </w:style>
  <w:style w:type="paragraph" w:styleId="Sangra2detindependiente">
    <w:name w:val="Body Text Indent 2"/>
    <w:basedOn w:val="Normal"/>
    <w:semiHidden/>
    <w:rsid w:val="008A2984"/>
    <w:pPr>
      <w:ind w:left="567" w:hanging="567"/>
      <w:outlineLvl w:val="0"/>
    </w:pPr>
    <w:rPr>
      <w:rFonts w:ascii="Bookman Old Style" w:hAnsi="Bookman Old Style"/>
      <w:b/>
    </w:rPr>
  </w:style>
  <w:style w:type="paragraph" w:styleId="Sangradetextonormal">
    <w:name w:val="Body Text Indent"/>
    <w:basedOn w:val="Normal"/>
    <w:rsid w:val="008A2984"/>
    <w:pPr>
      <w:numPr>
        <w:ilvl w:val="12"/>
      </w:numPr>
      <w:tabs>
        <w:tab w:val="left" w:pos="0"/>
      </w:tabs>
    </w:pPr>
    <w:rPr>
      <w:b/>
    </w:rPr>
  </w:style>
  <w:style w:type="paragraph" w:styleId="Encabezado">
    <w:name w:val="header"/>
    <w:basedOn w:val="Normal"/>
    <w:semiHidden/>
    <w:rsid w:val="008A2984"/>
    <w:pPr>
      <w:tabs>
        <w:tab w:val="center" w:pos="4252"/>
        <w:tab w:val="right" w:pos="8504"/>
      </w:tabs>
    </w:pPr>
    <w:rPr>
      <w:rFonts w:ascii="CG Times" w:hAnsi="CG Times"/>
    </w:rPr>
  </w:style>
  <w:style w:type="paragraph" w:styleId="Textoindependiente3">
    <w:name w:val="Body Text 3"/>
    <w:basedOn w:val="Normal"/>
    <w:semiHidden/>
    <w:rsid w:val="008A2984"/>
    <w:rPr>
      <w:sz w:val="28"/>
      <w:lang w:val="es-ES"/>
    </w:rPr>
  </w:style>
  <w:style w:type="paragraph" w:customStyle="1" w:styleId="Epgrafe">
    <w:name w:val="Epígrafe"/>
    <w:basedOn w:val="Normal"/>
    <w:next w:val="Normal"/>
    <w:qFormat/>
    <w:rsid w:val="005F663A"/>
    <w:pPr>
      <w:keepNext/>
    </w:pPr>
    <w:rPr>
      <w:snapToGrid w:val="0"/>
      <w:lang w:val="es-ES_tradnl"/>
    </w:rPr>
  </w:style>
  <w:style w:type="paragraph" w:styleId="TDC1">
    <w:name w:val="toc 1"/>
    <w:basedOn w:val="Normal"/>
    <w:next w:val="Normal"/>
    <w:autoRedefine/>
    <w:uiPriority w:val="39"/>
    <w:rsid w:val="00B0635C"/>
    <w:pPr>
      <w:tabs>
        <w:tab w:val="left" w:pos="567"/>
        <w:tab w:val="right" w:leader="dot" w:pos="9111"/>
      </w:tabs>
      <w:spacing w:before="240" w:after="0"/>
      <w:ind w:left="567" w:hanging="567"/>
      <w:jc w:val="left"/>
    </w:pPr>
    <w:rPr>
      <w:b/>
      <w:caps/>
      <w:noProof/>
      <w:szCs w:val="26"/>
    </w:rPr>
  </w:style>
  <w:style w:type="paragraph" w:styleId="TDC2">
    <w:name w:val="toc 2"/>
    <w:basedOn w:val="Normal"/>
    <w:next w:val="Normal"/>
    <w:autoRedefine/>
    <w:uiPriority w:val="39"/>
    <w:rsid w:val="007A3300"/>
    <w:pPr>
      <w:tabs>
        <w:tab w:val="left" w:pos="567"/>
        <w:tab w:val="right" w:leader="dot" w:pos="9111"/>
      </w:tabs>
      <w:spacing w:before="120" w:after="120"/>
      <w:jc w:val="left"/>
    </w:pPr>
    <w:rPr>
      <w:caps/>
    </w:rPr>
  </w:style>
  <w:style w:type="paragraph" w:styleId="TDC3">
    <w:name w:val="toc 3"/>
    <w:basedOn w:val="Normal"/>
    <w:next w:val="Normal"/>
    <w:autoRedefine/>
    <w:uiPriority w:val="39"/>
    <w:rsid w:val="007F06C6"/>
    <w:pPr>
      <w:tabs>
        <w:tab w:val="left" w:pos="1815"/>
        <w:tab w:val="right" w:leader="dot" w:pos="9408"/>
      </w:tabs>
      <w:spacing w:before="120" w:after="120"/>
      <w:ind w:left="238"/>
      <w:jc w:val="left"/>
    </w:pPr>
  </w:style>
  <w:style w:type="paragraph" w:styleId="TDC4">
    <w:name w:val="toc 4"/>
    <w:basedOn w:val="Normal"/>
    <w:next w:val="Normal"/>
    <w:autoRedefine/>
    <w:uiPriority w:val="39"/>
    <w:rsid w:val="00FF45E6"/>
    <w:pPr>
      <w:spacing w:before="0" w:after="0"/>
      <w:ind w:left="480"/>
      <w:jc w:val="left"/>
    </w:pPr>
    <w:rPr>
      <w:sz w:val="20"/>
    </w:rPr>
  </w:style>
  <w:style w:type="paragraph" w:styleId="TDC5">
    <w:name w:val="toc 5"/>
    <w:basedOn w:val="Normal"/>
    <w:next w:val="Normal"/>
    <w:autoRedefine/>
    <w:uiPriority w:val="39"/>
    <w:rsid w:val="007807E0"/>
    <w:pPr>
      <w:tabs>
        <w:tab w:val="left" w:pos="1820"/>
        <w:tab w:val="right" w:leader="dot" w:pos="9111"/>
      </w:tabs>
      <w:spacing w:before="0" w:after="0"/>
      <w:ind w:left="1815" w:hanging="1095"/>
      <w:jc w:val="left"/>
    </w:pPr>
    <w:rPr>
      <w:rFonts w:cs="Arial"/>
      <w:noProof/>
      <w:szCs w:val="22"/>
    </w:rPr>
  </w:style>
  <w:style w:type="paragraph" w:styleId="TDC6">
    <w:name w:val="toc 6"/>
    <w:basedOn w:val="Normal"/>
    <w:next w:val="Normal"/>
    <w:autoRedefine/>
    <w:semiHidden/>
    <w:rsid w:val="008A2984"/>
    <w:pPr>
      <w:spacing w:before="0" w:after="0"/>
      <w:ind w:left="960"/>
      <w:jc w:val="left"/>
    </w:pPr>
    <w:rPr>
      <w:rFonts w:ascii="Times New Roman" w:hAnsi="Times New Roman"/>
    </w:rPr>
  </w:style>
  <w:style w:type="paragraph" w:styleId="TDC7">
    <w:name w:val="toc 7"/>
    <w:basedOn w:val="Normal"/>
    <w:next w:val="Normal"/>
    <w:autoRedefine/>
    <w:semiHidden/>
    <w:rsid w:val="008A2984"/>
    <w:pPr>
      <w:spacing w:before="0" w:after="0"/>
      <w:ind w:left="1200"/>
      <w:jc w:val="left"/>
    </w:pPr>
    <w:rPr>
      <w:rFonts w:ascii="Times New Roman" w:hAnsi="Times New Roman"/>
    </w:rPr>
  </w:style>
  <w:style w:type="paragraph" w:styleId="TDC8">
    <w:name w:val="toc 8"/>
    <w:basedOn w:val="Normal"/>
    <w:next w:val="Normal"/>
    <w:autoRedefine/>
    <w:uiPriority w:val="39"/>
    <w:rsid w:val="008A2984"/>
    <w:pPr>
      <w:tabs>
        <w:tab w:val="right" w:leader="dot" w:pos="9111"/>
      </w:tabs>
      <w:spacing w:before="0" w:after="0"/>
      <w:ind w:left="1560" w:hanging="1560"/>
      <w:jc w:val="left"/>
    </w:pPr>
    <w:rPr>
      <w:b/>
      <w:noProof/>
    </w:rPr>
  </w:style>
  <w:style w:type="paragraph" w:styleId="TDC9">
    <w:name w:val="toc 9"/>
    <w:basedOn w:val="Normal"/>
    <w:next w:val="Normal"/>
    <w:autoRedefine/>
    <w:semiHidden/>
    <w:rsid w:val="008A2984"/>
    <w:pPr>
      <w:spacing w:before="0" w:after="0"/>
      <w:ind w:left="1680"/>
      <w:jc w:val="left"/>
    </w:pPr>
    <w:rPr>
      <w:rFonts w:ascii="Times New Roman" w:hAnsi="Times New Roman"/>
    </w:rPr>
  </w:style>
  <w:style w:type="paragraph" w:customStyle="1" w:styleId="Textodenotaalfinal">
    <w:name w:val="Texto de nota al final"/>
    <w:basedOn w:val="Normal"/>
    <w:rsid w:val="008A2984"/>
    <w:pPr>
      <w:widowControl w:val="0"/>
    </w:pPr>
    <w:rPr>
      <w:rFonts w:ascii="Courier New" w:hAnsi="Courier New"/>
      <w:lang w:val="es-ES_tradnl"/>
    </w:rPr>
  </w:style>
  <w:style w:type="paragraph" w:styleId="Sangra3detindependiente">
    <w:name w:val="Body Text Indent 3"/>
    <w:basedOn w:val="Normal"/>
    <w:semiHidden/>
    <w:rsid w:val="008A2984"/>
    <w:pPr>
      <w:ind w:left="2880" w:hanging="2880"/>
    </w:pPr>
    <w:rPr>
      <w:rFonts w:ascii="Bookman Old Style" w:hAnsi="Bookman Old Style"/>
      <w:spacing w:val="-4"/>
    </w:rPr>
  </w:style>
  <w:style w:type="table" w:styleId="Tablaconcuadrcula">
    <w:name w:val="Table Grid"/>
    <w:basedOn w:val="Tablanormal"/>
    <w:uiPriority w:val="59"/>
    <w:rsid w:val="00F42F6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Estilo1">
    <w:name w:val="Estilo1"/>
    <w:basedOn w:val="Ttulo2"/>
    <w:autoRedefine/>
    <w:rsid w:val="008A2984"/>
    <w:pPr>
      <w:numPr>
        <w:numId w:val="1"/>
      </w:numPr>
    </w:pPr>
  </w:style>
  <w:style w:type="paragraph" w:styleId="Textodeglobo">
    <w:name w:val="Balloon Text"/>
    <w:basedOn w:val="Normal"/>
    <w:link w:val="TextodegloboCar"/>
    <w:uiPriority w:val="99"/>
    <w:semiHidden/>
    <w:unhideWhenUsed/>
    <w:rsid w:val="0076675D"/>
    <w:pPr>
      <w:spacing w:before="0" w:after="0"/>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6675D"/>
    <w:rPr>
      <w:rFonts w:ascii="Tahoma" w:hAnsi="Tahoma" w:cs="Tahoma"/>
      <w:sz w:val="16"/>
      <w:szCs w:val="16"/>
      <w:lang w:eastAsia="es-ES"/>
    </w:rPr>
  </w:style>
  <w:style w:type="paragraph" w:styleId="Prrafodelista">
    <w:name w:val="List Paragraph"/>
    <w:basedOn w:val="Normal"/>
    <w:link w:val="PrrafodelistaCar"/>
    <w:qFormat/>
    <w:rsid w:val="0036645B"/>
    <w:pPr>
      <w:spacing w:before="120" w:after="120"/>
      <w:ind w:left="720"/>
    </w:pPr>
    <w:rPr>
      <w:rFonts w:eastAsia="Calibri" w:cs="Arial"/>
      <w:szCs w:val="22"/>
      <w:lang w:eastAsia="en-US"/>
    </w:rPr>
  </w:style>
  <w:style w:type="paragraph" w:styleId="Cita">
    <w:name w:val="Quote"/>
    <w:basedOn w:val="Normal"/>
    <w:next w:val="Normal"/>
    <w:link w:val="CitaCar"/>
    <w:uiPriority w:val="29"/>
    <w:qFormat/>
    <w:rsid w:val="004A4FCC"/>
    <w:pPr>
      <w:spacing w:before="0" w:after="120"/>
      <w:ind w:left="567" w:right="616"/>
    </w:pPr>
    <w:rPr>
      <w:rFonts w:eastAsia="Calibri" w:cs="Arial"/>
      <w:i/>
      <w:iCs/>
      <w:color w:val="000000"/>
      <w:sz w:val="20"/>
      <w:szCs w:val="22"/>
      <w:lang w:eastAsia="en-US"/>
    </w:rPr>
  </w:style>
  <w:style w:type="character" w:customStyle="1" w:styleId="CitaCar">
    <w:name w:val="Cita Car"/>
    <w:basedOn w:val="Fuentedeprrafopredeter"/>
    <w:link w:val="Cita"/>
    <w:uiPriority w:val="29"/>
    <w:rsid w:val="004A4FCC"/>
    <w:rPr>
      <w:rFonts w:ascii="Arial" w:eastAsia="Calibri" w:hAnsi="Arial" w:cs="Arial"/>
      <w:i/>
      <w:iCs/>
      <w:color w:val="000000"/>
      <w:szCs w:val="22"/>
      <w:lang w:eastAsia="en-US"/>
    </w:rPr>
  </w:style>
  <w:style w:type="character" w:customStyle="1" w:styleId="TextoindependienteCar">
    <w:name w:val="Texto independiente Car"/>
    <w:basedOn w:val="Fuentedeprrafopredeter"/>
    <w:link w:val="Textoindependiente"/>
    <w:semiHidden/>
    <w:rsid w:val="00B70208"/>
    <w:rPr>
      <w:rFonts w:ascii="Arial" w:hAnsi="Arial"/>
      <w:b/>
      <w:i/>
      <w:sz w:val="28"/>
      <w:lang w:eastAsia="es-ES"/>
    </w:rPr>
  </w:style>
  <w:style w:type="character" w:styleId="Refdecomentario">
    <w:name w:val="annotation reference"/>
    <w:basedOn w:val="Fuentedeprrafopredeter"/>
    <w:uiPriority w:val="99"/>
    <w:semiHidden/>
    <w:unhideWhenUsed/>
    <w:rsid w:val="004C7222"/>
    <w:rPr>
      <w:sz w:val="16"/>
      <w:szCs w:val="16"/>
    </w:rPr>
  </w:style>
  <w:style w:type="paragraph" w:styleId="Textocomentario">
    <w:name w:val="annotation text"/>
    <w:basedOn w:val="Normal"/>
    <w:link w:val="TextocomentarioCar"/>
    <w:uiPriority w:val="99"/>
    <w:unhideWhenUsed/>
    <w:rsid w:val="004C7222"/>
    <w:rPr>
      <w:sz w:val="20"/>
    </w:rPr>
  </w:style>
  <w:style w:type="character" w:customStyle="1" w:styleId="TextocomentarioCar">
    <w:name w:val="Texto comentario Car"/>
    <w:basedOn w:val="Fuentedeprrafopredeter"/>
    <w:link w:val="Textocomentario"/>
    <w:uiPriority w:val="99"/>
    <w:rsid w:val="004C7222"/>
    <w:rPr>
      <w:rFonts w:ascii="Arial" w:hAnsi="Arial"/>
      <w:lang w:eastAsia="es-ES"/>
    </w:rPr>
  </w:style>
  <w:style w:type="paragraph" w:styleId="Asuntodelcomentario">
    <w:name w:val="annotation subject"/>
    <w:basedOn w:val="Textocomentario"/>
    <w:next w:val="Textocomentario"/>
    <w:link w:val="AsuntodelcomentarioCar"/>
    <w:uiPriority w:val="99"/>
    <w:semiHidden/>
    <w:unhideWhenUsed/>
    <w:rsid w:val="004C7222"/>
    <w:rPr>
      <w:b/>
    </w:rPr>
  </w:style>
  <w:style w:type="character" w:customStyle="1" w:styleId="AsuntodelcomentarioCar">
    <w:name w:val="Asunto del comentario Car"/>
    <w:basedOn w:val="TextocomentarioCar"/>
    <w:link w:val="Asuntodelcomentario"/>
    <w:uiPriority w:val="99"/>
    <w:semiHidden/>
    <w:rsid w:val="004C7222"/>
    <w:rPr>
      <w:rFonts w:ascii="Arial" w:hAnsi="Arial"/>
      <w:b/>
      <w:bCs/>
      <w:lang w:eastAsia="es-ES"/>
    </w:rPr>
  </w:style>
  <w:style w:type="paragraph" w:styleId="Descripcin">
    <w:name w:val="caption"/>
    <w:basedOn w:val="Normal"/>
    <w:next w:val="Normal"/>
    <w:uiPriority w:val="35"/>
    <w:qFormat/>
    <w:rsid w:val="00D910A4"/>
    <w:pPr>
      <w:keepNext/>
      <w:spacing w:before="0" w:after="200"/>
      <w:jc w:val="center"/>
    </w:pPr>
    <w:rPr>
      <w:i/>
      <w:iCs/>
      <w:sz w:val="18"/>
      <w:szCs w:val="18"/>
    </w:rPr>
  </w:style>
  <w:style w:type="paragraph" w:customStyle="1" w:styleId="TTULO80">
    <w:name w:val="TÍTULO 8"/>
    <w:basedOn w:val="Ttulo8"/>
    <w:link w:val="TTULO8Car0"/>
    <w:autoRedefine/>
    <w:qFormat/>
    <w:rsid w:val="00DF2E56"/>
    <w:pPr>
      <w:jc w:val="center"/>
    </w:pPr>
  </w:style>
  <w:style w:type="character" w:customStyle="1" w:styleId="Ttulo8Car">
    <w:name w:val="Título 8 Car"/>
    <w:basedOn w:val="Fuentedeprrafopredeter"/>
    <w:link w:val="Ttulo8"/>
    <w:rsid w:val="00DF2E56"/>
    <w:rPr>
      <w:b/>
      <w:bCs/>
      <w:sz w:val="24"/>
      <w:szCs w:val="24"/>
      <w:lang w:eastAsia="es-ES"/>
    </w:rPr>
  </w:style>
  <w:style w:type="character" w:customStyle="1" w:styleId="TTULO8Car0">
    <w:name w:val="TÍTULO 8 Car"/>
    <w:basedOn w:val="Ttulo8Car"/>
    <w:link w:val="TTULO80"/>
    <w:rsid w:val="00DF2E56"/>
    <w:rPr>
      <w:b/>
      <w:bCs/>
      <w:sz w:val="24"/>
      <w:szCs w:val="24"/>
      <w:lang w:eastAsia="es-ES"/>
    </w:rPr>
  </w:style>
  <w:style w:type="paragraph" w:customStyle="1" w:styleId="doctor">
    <w:name w:val="doctor"/>
    <w:basedOn w:val="Textoindependiente"/>
    <w:rsid w:val="000D65CE"/>
    <w:pPr>
      <w:spacing w:before="0" w:after="0"/>
      <w:jc w:val="both"/>
    </w:pPr>
    <w:rPr>
      <w:rFonts w:cs="Arial"/>
      <w:b w:val="0"/>
      <w:bCs w:val="0"/>
      <w:i w:val="0"/>
      <w:spacing w:val="-5"/>
      <w:sz w:val="24"/>
      <w:szCs w:val="20"/>
      <w:lang w:eastAsia="en-US"/>
    </w:rPr>
  </w:style>
  <w:style w:type="character" w:customStyle="1" w:styleId="TextonotapieCar">
    <w:name w:val="Texto nota pie Car"/>
    <w:basedOn w:val="Fuentedeprrafopredeter"/>
    <w:link w:val="Textonotapie"/>
    <w:uiPriority w:val="99"/>
    <w:semiHidden/>
    <w:rsid w:val="00C07002"/>
    <w:rPr>
      <w:bCs/>
      <w:sz w:val="24"/>
      <w:szCs w:val="24"/>
      <w:lang w:eastAsia="es-ES"/>
    </w:rPr>
  </w:style>
  <w:style w:type="paragraph" w:styleId="ndice1">
    <w:name w:val="index 1"/>
    <w:basedOn w:val="Normal"/>
    <w:next w:val="Normal"/>
    <w:autoRedefine/>
    <w:uiPriority w:val="99"/>
    <w:semiHidden/>
    <w:unhideWhenUsed/>
    <w:rsid w:val="00C6564E"/>
    <w:pPr>
      <w:spacing w:before="0" w:after="0"/>
      <w:ind w:left="238" w:hanging="238"/>
    </w:pPr>
  </w:style>
  <w:style w:type="paragraph" w:styleId="TtuloTDC">
    <w:name w:val="TOC Heading"/>
    <w:basedOn w:val="Ttulo1"/>
    <w:next w:val="Normal"/>
    <w:uiPriority w:val="39"/>
    <w:unhideWhenUsed/>
    <w:qFormat/>
    <w:rsid w:val="00CB0E17"/>
    <w:pPr>
      <w:keepLines/>
      <w:numPr>
        <w:numId w:val="0"/>
      </w:numPr>
      <w:tabs>
        <w:tab w:val="clear" w:pos="1077"/>
      </w:tabs>
      <w:spacing w:before="240" w:after="0" w:line="259" w:lineRule="auto"/>
      <w:jc w:val="left"/>
      <w:outlineLvl w:val="9"/>
    </w:pPr>
    <w:rPr>
      <w:rFonts w:asciiTheme="majorHAnsi" w:eastAsiaTheme="majorEastAsia" w:hAnsiTheme="majorHAnsi" w:cstheme="majorBidi"/>
      <w:b w:val="0"/>
      <w:bCs w:val="0"/>
      <w:caps w:val="0"/>
      <w:color w:val="2E74B5" w:themeColor="accent1" w:themeShade="BF"/>
      <w:sz w:val="32"/>
      <w:szCs w:val="32"/>
      <w:lang w:val="es-CO" w:eastAsia="es-CO"/>
    </w:rPr>
  </w:style>
  <w:style w:type="character" w:customStyle="1" w:styleId="Ttulo4Car">
    <w:name w:val="Título 4 Car"/>
    <w:basedOn w:val="Fuentedeprrafopredeter"/>
    <w:link w:val="Ttulo4"/>
    <w:rsid w:val="0087597A"/>
    <w:rPr>
      <w:b/>
      <w:bCs/>
      <w:sz w:val="22"/>
      <w:szCs w:val="24"/>
      <w:lang w:eastAsia="es-ES"/>
    </w:rPr>
  </w:style>
  <w:style w:type="paragraph" w:customStyle="1" w:styleId="paragraph">
    <w:name w:val="paragraph"/>
    <w:basedOn w:val="Normal"/>
    <w:rsid w:val="00304330"/>
    <w:pPr>
      <w:spacing w:before="0" w:after="0"/>
      <w:jc w:val="left"/>
    </w:pPr>
    <w:rPr>
      <w:rFonts w:ascii="Times New Roman" w:hAnsi="Times New Roman"/>
      <w:bCs w:val="0"/>
      <w:sz w:val="24"/>
      <w:lang w:eastAsia="es-CO"/>
    </w:rPr>
  </w:style>
  <w:style w:type="character" w:customStyle="1" w:styleId="normaltextrun1">
    <w:name w:val="normaltextrun1"/>
    <w:basedOn w:val="Fuentedeprrafopredeter"/>
    <w:rsid w:val="00304330"/>
  </w:style>
  <w:style w:type="character" w:customStyle="1" w:styleId="eop">
    <w:name w:val="eop"/>
    <w:basedOn w:val="Fuentedeprrafopredeter"/>
    <w:rsid w:val="00304330"/>
  </w:style>
  <w:style w:type="character" w:customStyle="1" w:styleId="Ttulo3Car">
    <w:name w:val="Título 3 Car"/>
    <w:basedOn w:val="Fuentedeprrafopredeter"/>
    <w:link w:val="Ttulo3"/>
    <w:rsid w:val="00304330"/>
    <w:rPr>
      <w:b/>
      <w:bCs/>
      <w:sz w:val="22"/>
      <w:szCs w:val="22"/>
      <w:lang w:eastAsia="es-ES"/>
    </w:rPr>
  </w:style>
  <w:style w:type="character" w:customStyle="1" w:styleId="PrrafodelistaCar">
    <w:name w:val="Párrafo de lista Car"/>
    <w:link w:val="Prrafodelista"/>
    <w:rsid w:val="00937FA0"/>
    <w:rPr>
      <w:rFonts w:eastAsia="Calibri" w:cs="Arial"/>
      <w:bCs/>
      <w:sz w:val="22"/>
      <w:szCs w:val="22"/>
      <w:lang w:eastAsia="en-US"/>
    </w:rPr>
  </w:style>
  <w:style w:type="character" w:customStyle="1" w:styleId="Ttulo2Car">
    <w:name w:val="Título 2 Car"/>
    <w:aliases w:val="Neg Car"/>
    <w:basedOn w:val="Fuentedeprrafopredeter"/>
    <w:link w:val="Ttulo2"/>
    <w:rsid w:val="009626D9"/>
    <w:rPr>
      <w:b/>
      <w:bCs/>
      <w:sz w:val="22"/>
      <w:szCs w:val="22"/>
      <w:lang w:eastAsia="es-ES"/>
    </w:rPr>
  </w:style>
  <w:style w:type="character" w:customStyle="1" w:styleId="Ttulo1Car">
    <w:name w:val="Título 1 Car"/>
    <w:basedOn w:val="Fuentedeprrafopredeter"/>
    <w:link w:val="Ttulo1"/>
    <w:rsid w:val="0092458A"/>
    <w:rPr>
      <w:b/>
      <w:bCs/>
      <w:caps/>
      <w:sz w:val="24"/>
      <w:szCs w:val="24"/>
      <w:lang w:val="en-US" w:eastAsia="es-ES"/>
    </w:rPr>
  </w:style>
  <w:style w:type="character" w:styleId="Mencinsinresolver">
    <w:name w:val="Unresolved Mention"/>
    <w:basedOn w:val="Fuentedeprrafopredeter"/>
    <w:uiPriority w:val="99"/>
    <w:semiHidden/>
    <w:unhideWhenUsed/>
    <w:rsid w:val="00837E4F"/>
    <w:rPr>
      <w:color w:val="605E5C"/>
      <w:shd w:val="clear" w:color="auto" w:fill="E1DFDD"/>
    </w:rPr>
  </w:style>
  <w:style w:type="paragraph" w:styleId="Revisin">
    <w:name w:val="Revision"/>
    <w:hidden/>
    <w:uiPriority w:val="99"/>
    <w:semiHidden/>
    <w:rsid w:val="00E24C30"/>
    <w:rPr>
      <w:bCs/>
      <w:sz w:val="22"/>
      <w:szCs w:val="24"/>
      <w:lang w:eastAsia="es-ES"/>
    </w:rPr>
  </w:style>
  <w:style w:type="character" w:styleId="Textodelmarcadordeposicin">
    <w:name w:val="Placeholder Text"/>
    <w:basedOn w:val="Fuentedeprrafopredeter"/>
    <w:uiPriority w:val="99"/>
    <w:semiHidden/>
    <w:rsid w:val="00DD0C14"/>
    <w:rPr>
      <w:color w:val="808080"/>
    </w:rPr>
  </w:style>
  <w:style w:type="character" w:customStyle="1" w:styleId="PiedepginaCar">
    <w:name w:val="Pie de página Car"/>
    <w:basedOn w:val="Fuentedeprrafopredeter"/>
    <w:link w:val="Piedepgina"/>
    <w:uiPriority w:val="99"/>
    <w:rsid w:val="009F76AB"/>
    <w:rPr>
      <w:bCs/>
      <w:sz w:val="22"/>
      <w:szCs w:val="24"/>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703386">
      <w:bodyDiv w:val="1"/>
      <w:marLeft w:val="0"/>
      <w:marRight w:val="0"/>
      <w:marTop w:val="0"/>
      <w:marBottom w:val="0"/>
      <w:divBdr>
        <w:top w:val="none" w:sz="0" w:space="0" w:color="auto"/>
        <w:left w:val="none" w:sz="0" w:space="0" w:color="auto"/>
        <w:bottom w:val="none" w:sz="0" w:space="0" w:color="auto"/>
        <w:right w:val="none" w:sz="0" w:space="0" w:color="auto"/>
      </w:divBdr>
    </w:div>
    <w:div w:id="75444367">
      <w:bodyDiv w:val="1"/>
      <w:marLeft w:val="0"/>
      <w:marRight w:val="0"/>
      <w:marTop w:val="0"/>
      <w:marBottom w:val="0"/>
      <w:divBdr>
        <w:top w:val="none" w:sz="0" w:space="0" w:color="auto"/>
        <w:left w:val="none" w:sz="0" w:space="0" w:color="auto"/>
        <w:bottom w:val="none" w:sz="0" w:space="0" w:color="auto"/>
        <w:right w:val="none" w:sz="0" w:space="0" w:color="auto"/>
      </w:divBdr>
    </w:div>
    <w:div w:id="79721491">
      <w:bodyDiv w:val="1"/>
      <w:marLeft w:val="0"/>
      <w:marRight w:val="0"/>
      <w:marTop w:val="0"/>
      <w:marBottom w:val="0"/>
      <w:divBdr>
        <w:top w:val="none" w:sz="0" w:space="0" w:color="auto"/>
        <w:left w:val="none" w:sz="0" w:space="0" w:color="auto"/>
        <w:bottom w:val="none" w:sz="0" w:space="0" w:color="auto"/>
        <w:right w:val="none" w:sz="0" w:space="0" w:color="auto"/>
      </w:divBdr>
    </w:div>
    <w:div w:id="127557143">
      <w:bodyDiv w:val="1"/>
      <w:marLeft w:val="0"/>
      <w:marRight w:val="0"/>
      <w:marTop w:val="0"/>
      <w:marBottom w:val="0"/>
      <w:divBdr>
        <w:top w:val="none" w:sz="0" w:space="0" w:color="auto"/>
        <w:left w:val="none" w:sz="0" w:space="0" w:color="auto"/>
        <w:bottom w:val="none" w:sz="0" w:space="0" w:color="auto"/>
        <w:right w:val="none" w:sz="0" w:space="0" w:color="auto"/>
      </w:divBdr>
    </w:div>
    <w:div w:id="132187262">
      <w:bodyDiv w:val="1"/>
      <w:marLeft w:val="0"/>
      <w:marRight w:val="0"/>
      <w:marTop w:val="0"/>
      <w:marBottom w:val="0"/>
      <w:divBdr>
        <w:top w:val="none" w:sz="0" w:space="0" w:color="auto"/>
        <w:left w:val="none" w:sz="0" w:space="0" w:color="auto"/>
        <w:bottom w:val="none" w:sz="0" w:space="0" w:color="auto"/>
        <w:right w:val="none" w:sz="0" w:space="0" w:color="auto"/>
      </w:divBdr>
    </w:div>
    <w:div w:id="140930351">
      <w:bodyDiv w:val="1"/>
      <w:marLeft w:val="0"/>
      <w:marRight w:val="0"/>
      <w:marTop w:val="0"/>
      <w:marBottom w:val="0"/>
      <w:divBdr>
        <w:top w:val="none" w:sz="0" w:space="0" w:color="auto"/>
        <w:left w:val="none" w:sz="0" w:space="0" w:color="auto"/>
        <w:bottom w:val="none" w:sz="0" w:space="0" w:color="auto"/>
        <w:right w:val="none" w:sz="0" w:space="0" w:color="auto"/>
      </w:divBdr>
    </w:div>
    <w:div w:id="157501882">
      <w:bodyDiv w:val="1"/>
      <w:marLeft w:val="0"/>
      <w:marRight w:val="0"/>
      <w:marTop w:val="0"/>
      <w:marBottom w:val="0"/>
      <w:divBdr>
        <w:top w:val="none" w:sz="0" w:space="0" w:color="auto"/>
        <w:left w:val="none" w:sz="0" w:space="0" w:color="auto"/>
        <w:bottom w:val="none" w:sz="0" w:space="0" w:color="auto"/>
        <w:right w:val="none" w:sz="0" w:space="0" w:color="auto"/>
      </w:divBdr>
    </w:div>
    <w:div w:id="179201462">
      <w:bodyDiv w:val="1"/>
      <w:marLeft w:val="0"/>
      <w:marRight w:val="0"/>
      <w:marTop w:val="0"/>
      <w:marBottom w:val="0"/>
      <w:divBdr>
        <w:top w:val="none" w:sz="0" w:space="0" w:color="auto"/>
        <w:left w:val="none" w:sz="0" w:space="0" w:color="auto"/>
        <w:bottom w:val="none" w:sz="0" w:space="0" w:color="auto"/>
        <w:right w:val="none" w:sz="0" w:space="0" w:color="auto"/>
      </w:divBdr>
    </w:div>
    <w:div w:id="183595918">
      <w:bodyDiv w:val="1"/>
      <w:marLeft w:val="0"/>
      <w:marRight w:val="0"/>
      <w:marTop w:val="0"/>
      <w:marBottom w:val="0"/>
      <w:divBdr>
        <w:top w:val="none" w:sz="0" w:space="0" w:color="auto"/>
        <w:left w:val="none" w:sz="0" w:space="0" w:color="auto"/>
        <w:bottom w:val="none" w:sz="0" w:space="0" w:color="auto"/>
        <w:right w:val="none" w:sz="0" w:space="0" w:color="auto"/>
      </w:divBdr>
    </w:div>
    <w:div w:id="185481834">
      <w:bodyDiv w:val="1"/>
      <w:marLeft w:val="0"/>
      <w:marRight w:val="0"/>
      <w:marTop w:val="0"/>
      <w:marBottom w:val="0"/>
      <w:divBdr>
        <w:top w:val="none" w:sz="0" w:space="0" w:color="auto"/>
        <w:left w:val="none" w:sz="0" w:space="0" w:color="auto"/>
        <w:bottom w:val="none" w:sz="0" w:space="0" w:color="auto"/>
        <w:right w:val="none" w:sz="0" w:space="0" w:color="auto"/>
      </w:divBdr>
    </w:div>
    <w:div w:id="209609685">
      <w:bodyDiv w:val="1"/>
      <w:marLeft w:val="0"/>
      <w:marRight w:val="0"/>
      <w:marTop w:val="0"/>
      <w:marBottom w:val="0"/>
      <w:divBdr>
        <w:top w:val="none" w:sz="0" w:space="0" w:color="auto"/>
        <w:left w:val="none" w:sz="0" w:space="0" w:color="auto"/>
        <w:bottom w:val="none" w:sz="0" w:space="0" w:color="auto"/>
        <w:right w:val="none" w:sz="0" w:space="0" w:color="auto"/>
      </w:divBdr>
    </w:div>
    <w:div w:id="214506050">
      <w:bodyDiv w:val="1"/>
      <w:marLeft w:val="0"/>
      <w:marRight w:val="0"/>
      <w:marTop w:val="0"/>
      <w:marBottom w:val="0"/>
      <w:divBdr>
        <w:top w:val="none" w:sz="0" w:space="0" w:color="auto"/>
        <w:left w:val="none" w:sz="0" w:space="0" w:color="auto"/>
        <w:bottom w:val="none" w:sz="0" w:space="0" w:color="auto"/>
        <w:right w:val="none" w:sz="0" w:space="0" w:color="auto"/>
      </w:divBdr>
    </w:div>
    <w:div w:id="220363431">
      <w:bodyDiv w:val="1"/>
      <w:marLeft w:val="0"/>
      <w:marRight w:val="0"/>
      <w:marTop w:val="0"/>
      <w:marBottom w:val="0"/>
      <w:divBdr>
        <w:top w:val="none" w:sz="0" w:space="0" w:color="auto"/>
        <w:left w:val="none" w:sz="0" w:space="0" w:color="auto"/>
        <w:bottom w:val="none" w:sz="0" w:space="0" w:color="auto"/>
        <w:right w:val="none" w:sz="0" w:space="0" w:color="auto"/>
      </w:divBdr>
    </w:div>
    <w:div w:id="222066991">
      <w:bodyDiv w:val="1"/>
      <w:marLeft w:val="0"/>
      <w:marRight w:val="0"/>
      <w:marTop w:val="0"/>
      <w:marBottom w:val="0"/>
      <w:divBdr>
        <w:top w:val="none" w:sz="0" w:space="0" w:color="auto"/>
        <w:left w:val="none" w:sz="0" w:space="0" w:color="auto"/>
        <w:bottom w:val="none" w:sz="0" w:space="0" w:color="auto"/>
        <w:right w:val="none" w:sz="0" w:space="0" w:color="auto"/>
      </w:divBdr>
    </w:div>
    <w:div w:id="230390686">
      <w:bodyDiv w:val="1"/>
      <w:marLeft w:val="0"/>
      <w:marRight w:val="0"/>
      <w:marTop w:val="0"/>
      <w:marBottom w:val="0"/>
      <w:divBdr>
        <w:top w:val="none" w:sz="0" w:space="0" w:color="auto"/>
        <w:left w:val="none" w:sz="0" w:space="0" w:color="auto"/>
        <w:bottom w:val="none" w:sz="0" w:space="0" w:color="auto"/>
        <w:right w:val="none" w:sz="0" w:space="0" w:color="auto"/>
      </w:divBdr>
    </w:div>
    <w:div w:id="271327767">
      <w:bodyDiv w:val="1"/>
      <w:marLeft w:val="0"/>
      <w:marRight w:val="0"/>
      <w:marTop w:val="0"/>
      <w:marBottom w:val="0"/>
      <w:divBdr>
        <w:top w:val="none" w:sz="0" w:space="0" w:color="auto"/>
        <w:left w:val="none" w:sz="0" w:space="0" w:color="auto"/>
        <w:bottom w:val="none" w:sz="0" w:space="0" w:color="auto"/>
        <w:right w:val="none" w:sz="0" w:space="0" w:color="auto"/>
      </w:divBdr>
    </w:div>
    <w:div w:id="305355937">
      <w:bodyDiv w:val="1"/>
      <w:marLeft w:val="0"/>
      <w:marRight w:val="0"/>
      <w:marTop w:val="0"/>
      <w:marBottom w:val="0"/>
      <w:divBdr>
        <w:top w:val="none" w:sz="0" w:space="0" w:color="auto"/>
        <w:left w:val="none" w:sz="0" w:space="0" w:color="auto"/>
        <w:bottom w:val="none" w:sz="0" w:space="0" w:color="auto"/>
        <w:right w:val="none" w:sz="0" w:space="0" w:color="auto"/>
      </w:divBdr>
    </w:div>
    <w:div w:id="309095053">
      <w:bodyDiv w:val="1"/>
      <w:marLeft w:val="0"/>
      <w:marRight w:val="0"/>
      <w:marTop w:val="0"/>
      <w:marBottom w:val="0"/>
      <w:divBdr>
        <w:top w:val="none" w:sz="0" w:space="0" w:color="auto"/>
        <w:left w:val="none" w:sz="0" w:space="0" w:color="auto"/>
        <w:bottom w:val="none" w:sz="0" w:space="0" w:color="auto"/>
        <w:right w:val="none" w:sz="0" w:space="0" w:color="auto"/>
      </w:divBdr>
    </w:div>
    <w:div w:id="318848683">
      <w:bodyDiv w:val="1"/>
      <w:marLeft w:val="0"/>
      <w:marRight w:val="0"/>
      <w:marTop w:val="0"/>
      <w:marBottom w:val="0"/>
      <w:divBdr>
        <w:top w:val="none" w:sz="0" w:space="0" w:color="auto"/>
        <w:left w:val="none" w:sz="0" w:space="0" w:color="auto"/>
        <w:bottom w:val="none" w:sz="0" w:space="0" w:color="auto"/>
        <w:right w:val="none" w:sz="0" w:space="0" w:color="auto"/>
      </w:divBdr>
    </w:div>
    <w:div w:id="324629877">
      <w:bodyDiv w:val="1"/>
      <w:marLeft w:val="0"/>
      <w:marRight w:val="0"/>
      <w:marTop w:val="0"/>
      <w:marBottom w:val="0"/>
      <w:divBdr>
        <w:top w:val="none" w:sz="0" w:space="0" w:color="auto"/>
        <w:left w:val="none" w:sz="0" w:space="0" w:color="auto"/>
        <w:bottom w:val="none" w:sz="0" w:space="0" w:color="auto"/>
        <w:right w:val="none" w:sz="0" w:space="0" w:color="auto"/>
      </w:divBdr>
      <w:divsChild>
        <w:div w:id="253978405">
          <w:marLeft w:val="0"/>
          <w:marRight w:val="0"/>
          <w:marTop w:val="0"/>
          <w:marBottom w:val="0"/>
          <w:divBdr>
            <w:top w:val="none" w:sz="0" w:space="0" w:color="auto"/>
            <w:left w:val="none" w:sz="0" w:space="0" w:color="auto"/>
            <w:bottom w:val="none" w:sz="0" w:space="0" w:color="auto"/>
            <w:right w:val="none" w:sz="0" w:space="0" w:color="auto"/>
          </w:divBdr>
          <w:divsChild>
            <w:div w:id="1169634794">
              <w:marLeft w:val="0"/>
              <w:marRight w:val="0"/>
              <w:marTop w:val="0"/>
              <w:marBottom w:val="0"/>
              <w:divBdr>
                <w:top w:val="none" w:sz="0" w:space="0" w:color="auto"/>
                <w:left w:val="none" w:sz="0" w:space="0" w:color="auto"/>
                <w:bottom w:val="none" w:sz="0" w:space="0" w:color="auto"/>
                <w:right w:val="none" w:sz="0" w:space="0" w:color="auto"/>
              </w:divBdr>
              <w:divsChild>
                <w:div w:id="1939946478">
                  <w:marLeft w:val="0"/>
                  <w:marRight w:val="0"/>
                  <w:marTop w:val="0"/>
                  <w:marBottom w:val="0"/>
                  <w:divBdr>
                    <w:top w:val="none" w:sz="0" w:space="0" w:color="auto"/>
                    <w:left w:val="none" w:sz="0" w:space="0" w:color="auto"/>
                    <w:bottom w:val="none" w:sz="0" w:space="0" w:color="auto"/>
                    <w:right w:val="none" w:sz="0" w:space="0" w:color="auto"/>
                  </w:divBdr>
                  <w:divsChild>
                    <w:div w:id="818110440">
                      <w:marLeft w:val="0"/>
                      <w:marRight w:val="0"/>
                      <w:marTop w:val="0"/>
                      <w:marBottom w:val="0"/>
                      <w:divBdr>
                        <w:top w:val="none" w:sz="0" w:space="0" w:color="auto"/>
                        <w:left w:val="none" w:sz="0" w:space="0" w:color="auto"/>
                        <w:bottom w:val="none" w:sz="0" w:space="0" w:color="auto"/>
                        <w:right w:val="none" w:sz="0" w:space="0" w:color="auto"/>
                      </w:divBdr>
                      <w:divsChild>
                        <w:div w:id="33314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1253998">
              <w:marLeft w:val="0"/>
              <w:marRight w:val="0"/>
              <w:marTop w:val="0"/>
              <w:marBottom w:val="0"/>
              <w:divBdr>
                <w:top w:val="none" w:sz="0" w:space="0" w:color="auto"/>
                <w:left w:val="none" w:sz="0" w:space="0" w:color="auto"/>
                <w:bottom w:val="none" w:sz="0" w:space="0" w:color="auto"/>
                <w:right w:val="none" w:sz="0" w:space="0" w:color="auto"/>
              </w:divBdr>
              <w:divsChild>
                <w:div w:id="1245917367">
                  <w:marLeft w:val="0"/>
                  <w:marRight w:val="0"/>
                  <w:marTop w:val="0"/>
                  <w:marBottom w:val="0"/>
                  <w:divBdr>
                    <w:top w:val="none" w:sz="0" w:space="0" w:color="auto"/>
                    <w:left w:val="none" w:sz="0" w:space="0" w:color="auto"/>
                    <w:bottom w:val="none" w:sz="0" w:space="0" w:color="auto"/>
                    <w:right w:val="none" w:sz="0" w:space="0" w:color="auto"/>
                  </w:divBdr>
                  <w:divsChild>
                    <w:div w:id="1130050318">
                      <w:marLeft w:val="0"/>
                      <w:marRight w:val="0"/>
                      <w:marTop w:val="0"/>
                      <w:marBottom w:val="0"/>
                      <w:divBdr>
                        <w:top w:val="none" w:sz="0" w:space="0" w:color="auto"/>
                        <w:left w:val="none" w:sz="0" w:space="0" w:color="auto"/>
                        <w:bottom w:val="none" w:sz="0" w:space="0" w:color="auto"/>
                        <w:right w:val="none" w:sz="0" w:space="0" w:color="auto"/>
                      </w:divBdr>
                      <w:divsChild>
                        <w:div w:id="1665011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3606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8145392">
      <w:bodyDiv w:val="1"/>
      <w:marLeft w:val="0"/>
      <w:marRight w:val="0"/>
      <w:marTop w:val="0"/>
      <w:marBottom w:val="0"/>
      <w:divBdr>
        <w:top w:val="none" w:sz="0" w:space="0" w:color="auto"/>
        <w:left w:val="none" w:sz="0" w:space="0" w:color="auto"/>
        <w:bottom w:val="none" w:sz="0" w:space="0" w:color="auto"/>
        <w:right w:val="none" w:sz="0" w:space="0" w:color="auto"/>
      </w:divBdr>
    </w:div>
    <w:div w:id="358626215">
      <w:bodyDiv w:val="1"/>
      <w:marLeft w:val="0"/>
      <w:marRight w:val="0"/>
      <w:marTop w:val="0"/>
      <w:marBottom w:val="0"/>
      <w:divBdr>
        <w:top w:val="none" w:sz="0" w:space="0" w:color="auto"/>
        <w:left w:val="none" w:sz="0" w:space="0" w:color="auto"/>
        <w:bottom w:val="none" w:sz="0" w:space="0" w:color="auto"/>
        <w:right w:val="none" w:sz="0" w:space="0" w:color="auto"/>
      </w:divBdr>
    </w:div>
    <w:div w:id="369958128">
      <w:bodyDiv w:val="1"/>
      <w:marLeft w:val="0"/>
      <w:marRight w:val="0"/>
      <w:marTop w:val="0"/>
      <w:marBottom w:val="0"/>
      <w:divBdr>
        <w:top w:val="none" w:sz="0" w:space="0" w:color="auto"/>
        <w:left w:val="none" w:sz="0" w:space="0" w:color="auto"/>
        <w:bottom w:val="none" w:sz="0" w:space="0" w:color="auto"/>
        <w:right w:val="none" w:sz="0" w:space="0" w:color="auto"/>
      </w:divBdr>
    </w:div>
    <w:div w:id="381053205">
      <w:bodyDiv w:val="1"/>
      <w:marLeft w:val="0"/>
      <w:marRight w:val="0"/>
      <w:marTop w:val="0"/>
      <w:marBottom w:val="0"/>
      <w:divBdr>
        <w:top w:val="none" w:sz="0" w:space="0" w:color="auto"/>
        <w:left w:val="none" w:sz="0" w:space="0" w:color="auto"/>
        <w:bottom w:val="none" w:sz="0" w:space="0" w:color="auto"/>
        <w:right w:val="none" w:sz="0" w:space="0" w:color="auto"/>
      </w:divBdr>
    </w:div>
    <w:div w:id="409231197">
      <w:bodyDiv w:val="1"/>
      <w:marLeft w:val="0"/>
      <w:marRight w:val="0"/>
      <w:marTop w:val="0"/>
      <w:marBottom w:val="0"/>
      <w:divBdr>
        <w:top w:val="none" w:sz="0" w:space="0" w:color="auto"/>
        <w:left w:val="none" w:sz="0" w:space="0" w:color="auto"/>
        <w:bottom w:val="none" w:sz="0" w:space="0" w:color="auto"/>
        <w:right w:val="none" w:sz="0" w:space="0" w:color="auto"/>
      </w:divBdr>
    </w:div>
    <w:div w:id="497773922">
      <w:bodyDiv w:val="1"/>
      <w:marLeft w:val="0"/>
      <w:marRight w:val="0"/>
      <w:marTop w:val="0"/>
      <w:marBottom w:val="0"/>
      <w:divBdr>
        <w:top w:val="none" w:sz="0" w:space="0" w:color="auto"/>
        <w:left w:val="none" w:sz="0" w:space="0" w:color="auto"/>
        <w:bottom w:val="none" w:sz="0" w:space="0" w:color="auto"/>
        <w:right w:val="none" w:sz="0" w:space="0" w:color="auto"/>
      </w:divBdr>
    </w:div>
    <w:div w:id="571819787">
      <w:bodyDiv w:val="1"/>
      <w:marLeft w:val="0"/>
      <w:marRight w:val="0"/>
      <w:marTop w:val="0"/>
      <w:marBottom w:val="0"/>
      <w:divBdr>
        <w:top w:val="none" w:sz="0" w:space="0" w:color="auto"/>
        <w:left w:val="none" w:sz="0" w:space="0" w:color="auto"/>
        <w:bottom w:val="none" w:sz="0" w:space="0" w:color="auto"/>
        <w:right w:val="none" w:sz="0" w:space="0" w:color="auto"/>
      </w:divBdr>
    </w:div>
    <w:div w:id="581835754">
      <w:bodyDiv w:val="1"/>
      <w:marLeft w:val="0"/>
      <w:marRight w:val="0"/>
      <w:marTop w:val="0"/>
      <w:marBottom w:val="0"/>
      <w:divBdr>
        <w:top w:val="none" w:sz="0" w:space="0" w:color="auto"/>
        <w:left w:val="none" w:sz="0" w:space="0" w:color="auto"/>
        <w:bottom w:val="none" w:sz="0" w:space="0" w:color="auto"/>
        <w:right w:val="none" w:sz="0" w:space="0" w:color="auto"/>
      </w:divBdr>
    </w:div>
    <w:div w:id="620259654">
      <w:bodyDiv w:val="1"/>
      <w:marLeft w:val="0"/>
      <w:marRight w:val="0"/>
      <w:marTop w:val="0"/>
      <w:marBottom w:val="0"/>
      <w:divBdr>
        <w:top w:val="none" w:sz="0" w:space="0" w:color="auto"/>
        <w:left w:val="none" w:sz="0" w:space="0" w:color="auto"/>
        <w:bottom w:val="none" w:sz="0" w:space="0" w:color="auto"/>
        <w:right w:val="none" w:sz="0" w:space="0" w:color="auto"/>
      </w:divBdr>
    </w:div>
    <w:div w:id="621377990">
      <w:bodyDiv w:val="1"/>
      <w:marLeft w:val="0"/>
      <w:marRight w:val="0"/>
      <w:marTop w:val="0"/>
      <w:marBottom w:val="0"/>
      <w:divBdr>
        <w:top w:val="none" w:sz="0" w:space="0" w:color="auto"/>
        <w:left w:val="none" w:sz="0" w:space="0" w:color="auto"/>
        <w:bottom w:val="none" w:sz="0" w:space="0" w:color="auto"/>
        <w:right w:val="none" w:sz="0" w:space="0" w:color="auto"/>
      </w:divBdr>
    </w:div>
    <w:div w:id="668020469">
      <w:bodyDiv w:val="1"/>
      <w:marLeft w:val="0"/>
      <w:marRight w:val="0"/>
      <w:marTop w:val="0"/>
      <w:marBottom w:val="0"/>
      <w:divBdr>
        <w:top w:val="none" w:sz="0" w:space="0" w:color="auto"/>
        <w:left w:val="none" w:sz="0" w:space="0" w:color="auto"/>
        <w:bottom w:val="none" w:sz="0" w:space="0" w:color="auto"/>
        <w:right w:val="none" w:sz="0" w:space="0" w:color="auto"/>
      </w:divBdr>
    </w:div>
    <w:div w:id="675230956">
      <w:bodyDiv w:val="1"/>
      <w:marLeft w:val="0"/>
      <w:marRight w:val="0"/>
      <w:marTop w:val="0"/>
      <w:marBottom w:val="0"/>
      <w:divBdr>
        <w:top w:val="none" w:sz="0" w:space="0" w:color="auto"/>
        <w:left w:val="none" w:sz="0" w:space="0" w:color="auto"/>
        <w:bottom w:val="none" w:sz="0" w:space="0" w:color="auto"/>
        <w:right w:val="none" w:sz="0" w:space="0" w:color="auto"/>
      </w:divBdr>
    </w:div>
    <w:div w:id="730232831">
      <w:bodyDiv w:val="1"/>
      <w:marLeft w:val="0"/>
      <w:marRight w:val="0"/>
      <w:marTop w:val="0"/>
      <w:marBottom w:val="0"/>
      <w:divBdr>
        <w:top w:val="none" w:sz="0" w:space="0" w:color="auto"/>
        <w:left w:val="none" w:sz="0" w:space="0" w:color="auto"/>
        <w:bottom w:val="none" w:sz="0" w:space="0" w:color="auto"/>
        <w:right w:val="none" w:sz="0" w:space="0" w:color="auto"/>
      </w:divBdr>
    </w:div>
    <w:div w:id="747653240">
      <w:bodyDiv w:val="1"/>
      <w:marLeft w:val="0"/>
      <w:marRight w:val="0"/>
      <w:marTop w:val="0"/>
      <w:marBottom w:val="0"/>
      <w:divBdr>
        <w:top w:val="none" w:sz="0" w:space="0" w:color="auto"/>
        <w:left w:val="none" w:sz="0" w:space="0" w:color="auto"/>
        <w:bottom w:val="none" w:sz="0" w:space="0" w:color="auto"/>
        <w:right w:val="none" w:sz="0" w:space="0" w:color="auto"/>
      </w:divBdr>
    </w:div>
    <w:div w:id="758065374">
      <w:bodyDiv w:val="1"/>
      <w:marLeft w:val="0"/>
      <w:marRight w:val="0"/>
      <w:marTop w:val="0"/>
      <w:marBottom w:val="0"/>
      <w:divBdr>
        <w:top w:val="none" w:sz="0" w:space="0" w:color="auto"/>
        <w:left w:val="none" w:sz="0" w:space="0" w:color="auto"/>
        <w:bottom w:val="none" w:sz="0" w:space="0" w:color="auto"/>
        <w:right w:val="none" w:sz="0" w:space="0" w:color="auto"/>
      </w:divBdr>
    </w:div>
    <w:div w:id="775102877">
      <w:bodyDiv w:val="1"/>
      <w:marLeft w:val="0"/>
      <w:marRight w:val="0"/>
      <w:marTop w:val="0"/>
      <w:marBottom w:val="0"/>
      <w:divBdr>
        <w:top w:val="none" w:sz="0" w:space="0" w:color="auto"/>
        <w:left w:val="none" w:sz="0" w:space="0" w:color="auto"/>
        <w:bottom w:val="none" w:sz="0" w:space="0" w:color="auto"/>
        <w:right w:val="none" w:sz="0" w:space="0" w:color="auto"/>
      </w:divBdr>
    </w:div>
    <w:div w:id="780611308">
      <w:bodyDiv w:val="1"/>
      <w:marLeft w:val="0"/>
      <w:marRight w:val="0"/>
      <w:marTop w:val="0"/>
      <w:marBottom w:val="0"/>
      <w:divBdr>
        <w:top w:val="none" w:sz="0" w:space="0" w:color="auto"/>
        <w:left w:val="none" w:sz="0" w:space="0" w:color="auto"/>
        <w:bottom w:val="none" w:sz="0" w:space="0" w:color="auto"/>
        <w:right w:val="none" w:sz="0" w:space="0" w:color="auto"/>
      </w:divBdr>
    </w:div>
    <w:div w:id="781723948">
      <w:bodyDiv w:val="1"/>
      <w:marLeft w:val="0"/>
      <w:marRight w:val="0"/>
      <w:marTop w:val="0"/>
      <w:marBottom w:val="0"/>
      <w:divBdr>
        <w:top w:val="none" w:sz="0" w:space="0" w:color="auto"/>
        <w:left w:val="none" w:sz="0" w:space="0" w:color="auto"/>
        <w:bottom w:val="none" w:sz="0" w:space="0" w:color="auto"/>
        <w:right w:val="none" w:sz="0" w:space="0" w:color="auto"/>
      </w:divBdr>
    </w:div>
    <w:div w:id="794564876">
      <w:bodyDiv w:val="1"/>
      <w:marLeft w:val="0"/>
      <w:marRight w:val="0"/>
      <w:marTop w:val="0"/>
      <w:marBottom w:val="0"/>
      <w:divBdr>
        <w:top w:val="none" w:sz="0" w:space="0" w:color="auto"/>
        <w:left w:val="none" w:sz="0" w:space="0" w:color="auto"/>
        <w:bottom w:val="none" w:sz="0" w:space="0" w:color="auto"/>
        <w:right w:val="none" w:sz="0" w:space="0" w:color="auto"/>
      </w:divBdr>
    </w:div>
    <w:div w:id="822280883">
      <w:bodyDiv w:val="1"/>
      <w:marLeft w:val="0"/>
      <w:marRight w:val="0"/>
      <w:marTop w:val="0"/>
      <w:marBottom w:val="0"/>
      <w:divBdr>
        <w:top w:val="none" w:sz="0" w:space="0" w:color="auto"/>
        <w:left w:val="none" w:sz="0" w:space="0" w:color="auto"/>
        <w:bottom w:val="none" w:sz="0" w:space="0" w:color="auto"/>
        <w:right w:val="none" w:sz="0" w:space="0" w:color="auto"/>
      </w:divBdr>
    </w:div>
    <w:div w:id="860557912">
      <w:bodyDiv w:val="1"/>
      <w:marLeft w:val="0"/>
      <w:marRight w:val="0"/>
      <w:marTop w:val="0"/>
      <w:marBottom w:val="0"/>
      <w:divBdr>
        <w:top w:val="none" w:sz="0" w:space="0" w:color="auto"/>
        <w:left w:val="none" w:sz="0" w:space="0" w:color="auto"/>
        <w:bottom w:val="none" w:sz="0" w:space="0" w:color="auto"/>
        <w:right w:val="none" w:sz="0" w:space="0" w:color="auto"/>
      </w:divBdr>
    </w:div>
    <w:div w:id="907574586">
      <w:bodyDiv w:val="1"/>
      <w:marLeft w:val="0"/>
      <w:marRight w:val="0"/>
      <w:marTop w:val="0"/>
      <w:marBottom w:val="0"/>
      <w:divBdr>
        <w:top w:val="none" w:sz="0" w:space="0" w:color="auto"/>
        <w:left w:val="none" w:sz="0" w:space="0" w:color="auto"/>
        <w:bottom w:val="none" w:sz="0" w:space="0" w:color="auto"/>
        <w:right w:val="none" w:sz="0" w:space="0" w:color="auto"/>
      </w:divBdr>
    </w:div>
    <w:div w:id="997146507">
      <w:bodyDiv w:val="1"/>
      <w:marLeft w:val="0"/>
      <w:marRight w:val="0"/>
      <w:marTop w:val="0"/>
      <w:marBottom w:val="0"/>
      <w:divBdr>
        <w:top w:val="none" w:sz="0" w:space="0" w:color="auto"/>
        <w:left w:val="none" w:sz="0" w:space="0" w:color="auto"/>
        <w:bottom w:val="none" w:sz="0" w:space="0" w:color="auto"/>
        <w:right w:val="none" w:sz="0" w:space="0" w:color="auto"/>
      </w:divBdr>
    </w:div>
    <w:div w:id="1005523152">
      <w:bodyDiv w:val="1"/>
      <w:marLeft w:val="0"/>
      <w:marRight w:val="0"/>
      <w:marTop w:val="0"/>
      <w:marBottom w:val="0"/>
      <w:divBdr>
        <w:top w:val="none" w:sz="0" w:space="0" w:color="auto"/>
        <w:left w:val="none" w:sz="0" w:space="0" w:color="auto"/>
        <w:bottom w:val="none" w:sz="0" w:space="0" w:color="auto"/>
        <w:right w:val="none" w:sz="0" w:space="0" w:color="auto"/>
      </w:divBdr>
    </w:div>
    <w:div w:id="1052388653">
      <w:bodyDiv w:val="1"/>
      <w:marLeft w:val="0"/>
      <w:marRight w:val="0"/>
      <w:marTop w:val="0"/>
      <w:marBottom w:val="0"/>
      <w:divBdr>
        <w:top w:val="none" w:sz="0" w:space="0" w:color="auto"/>
        <w:left w:val="none" w:sz="0" w:space="0" w:color="auto"/>
        <w:bottom w:val="none" w:sz="0" w:space="0" w:color="auto"/>
        <w:right w:val="none" w:sz="0" w:space="0" w:color="auto"/>
      </w:divBdr>
    </w:div>
    <w:div w:id="1065490735">
      <w:bodyDiv w:val="1"/>
      <w:marLeft w:val="0"/>
      <w:marRight w:val="0"/>
      <w:marTop w:val="0"/>
      <w:marBottom w:val="0"/>
      <w:divBdr>
        <w:top w:val="none" w:sz="0" w:space="0" w:color="auto"/>
        <w:left w:val="none" w:sz="0" w:space="0" w:color="auto"/>
        <w:bottom w:val="none" w:sz="0" w:space="0" w:color="auto"/>
        <w:right w:val="none" w:sz="0" w:space="0" w:color="auto"/>
      </w:divBdr>
    </w:div>
    <w:div w:id="1068069276">
      <w:bodyDiv w:val="1"/>
      <w:marLeft w:val="0"/>
      <w:marRight w:val="0"/>
      <w:marTop w:val="0"/>
      <w:marBottom w:val="0"/>
      <w:divBdr>
        <w:top w:val="none" w:sz="0" w:space="0" w:color="auto"/>
        <w:left w:val="none" w:sz="0" w:space="0" w:color="auto"/>
        <w:bottom w:val="none" w:sz="0" w:space="0" w:color="auto"/>
        <w:right w:val="none" w:sz="0" w:space="0" w:color="auto"/>
      </w:divBdr>
    </w:div>
    <w:div w:id="1095322013">
      <w:bodyDiv w:val="1"/>
      <w:marLeft w:val="0"/>
      <w:marRight w:val="0"/>
      <w:marTop w:val="0"/>
      <w:marBottom w:val="0"/>
      <w:divBdr>
        <w:top w:val="none" w:sz="0" w:space="0" w:color="auto"/>
        <w:left w:val="none" w:sz="0" w:space="0" w:color="auto"/>
        <w:bottom w:val="none" w:sz="0" w:space="0" w:color="auto"/>
        <w:right w:val="none" w:sz="0" w:space="0" w:color="auto"/>
      </w:divBdr>
    </w:div>
    <w:div w:id="1124930414">
      <w:bodyDiv w:val="1"/>
      <w:marLeft w:val="0"/>
      <w:marRight w:val="0"/>
      <w:marTop w:val="0"/>
      <w:marBottom w:val="0"/>
      <w:divBdr>
        <w:top w:val="none" w:sz="0" w:space="0" w:color="auto"/>
        <w:left w:val="none" w:sz="0" w:space="0" w:color="auto"/>
        <w:bottom w:val="none" w:sz="0" w:space="0" w:color="auto"/>
        <w:right w:val="none" w:sz="0" w:space="0" w:color="auto"/>
      </w:divBdr>
    </w:div>
    <w:div w:id="1141537558">
      <w:bodyDiv w:val="1"/>
      <w:marLeft w:val="0"/>
      <w:marRight w:val="0"/>
      <w:marTop w:val="0"/>
      <w:marBottom w:val="0"/>
      <w:divBdr>
        <w:top w:val="none" w:sz="0" w:space="0" w:color="auto"/>
        <w:left w:val="none" w:sz="0" w:space="0" w:color="auto"/>
        <w:bottom w:val="none" w:sz="0" w:space="0" w:color="auto"/>
        <w:right w:val="none" w:sz="0" w:space="0" w:color="auto"/>
      </w:divBdr>
    </w:div>
    <w:div w:id="1145312395">
      <w:bodyDiv w:val="1"/>
      <w:marLeft w:val="0"/>
      <w:marRight w:val="0"/>
      <w:marTop w:val="0"/>
      <w:marBottom w:val="0"/>
      <w:divBdr>
        <w:top w:val="none" w:sz="0" w:space="0" w:color="auto"/>
        <w:left w:val="none" w:sz="0" w:space="0" w:color="auto"/>
        <w:bottom w:val="none" w:sz="0" w:space="0" w:color="auto"/>
        <w:right w:val="none" w:sz="0" w:space="0" w:color="auto"/>
      </w:divBdr>
    </w:div>
    <w:div w:id="1179467142">
      <w:bodyDiv w:val="1"/>
      <w:marLeft w:val="0"/>
      <w:marRight w:val="0"/>
      <w:marTop w:val="0"/>
      <w:marBottom w:val="0"/>
      <w:divBdr>
        <w:top w:val="none" w:sz="0" w:space="0" w:color="auto"/>
        <w:left w:val="none" w:sz="0" w:space="0" w:color="auto"/>
        <w:bottom w:val="none" w:sz="0" w:space="0" w:color="auto"/>
        <w:right w:val="none" w:sz="0" w:space="0" w:color="auto"/>
      </w:divBdr>
    </w:div>
    <w:div w:id="1193956018">
      <w:bodyDiv w:val="1"/>
      <w:marLeft w:val="0"/>
      <w:marRight w:val="0"/>
      <w:marTop w:val="0"/>
      <w:marBottom w:val="0"/>
      <w:divBdr>
        <w:top w:val="none" w:sz="0" w:space="0" w:color="auto"/>
        <w:left w:val="none" w:sz="0" w:space="0" w:color="auto"/>
        <w:bottom w:val="none" w:sz="0" w:space="0" w:color="auto"/>
        <w:right w:val="none" w:sz="0" w:space="0" w:color="auto"/>
      </w:divBdr>
    </w:div>
    <w:div w:id="1202790666">
      <w:bodyDiv w:val="1"/>
      <w:marLeft w:val="0"/>
      <w:marRight w:val="0"/>
      <w:marTop w:val="0"/>
      <w:marBottom w:val="0"/>
      <w:divBdr>
        <w:top w:val="none" w:sz="0" w:space="0" w:color="auto"/>
        <w:left w:val="none" w:sz="0" w:space="0" w:color="auto"/>
        <w:bottom w:val="none" w:sz="0" w:space="0" w:color="auto"/>
        <w:right w:val="none" w:sz="0" w:space="0" w:color="auto"/>
      </w:divBdr>
    </w:div>
    <w:div w:id="1213688795">
      <w:bodyDiv w:val="1"/>
      <w:marLeft w:val="0"/>
      <w:marRight w:val="0"/>
      <w:marTop w:val="0"/>
      <w:marBottom w:val="0"/>
      <w:divBdr>
        <w:top w:val="none" w:sz="0" w:space="0" w:color="auto"/>
        <w:left w:val="none" w:sz="0" w:space="0" w:color="auto"/>
        <w:bottom w:val="none" w:sz="0" w:space="0" w:color="auto"/>
        <w:right w:val="none" w:sz="0" w:space="0" w:color="auto"/>
      </w:divBdr>
    </w:div>
    <w:div w:id="1218593717">
      <w:bodyDiv w:val="1"/>
      <w:marLeft w:val="0"/>
      <w:marRight w:val="0"/>
      <w:marTop w:val="0"/>
      <w:marBottom w:val="0"/>
      <w:divBdr>
        <w:top w:val="none" w:sz="0" w:space="0" w:color="auto"/>
        <w:left w:val="none" w:sz="0" w:space="0" w:color="auto"/>
        <w:bottom w:val="none" w:sz="0" w:space="0" w:color="auto"/>
        <w:right w:val="none" w:sz="0" w:space="0" w:color="auto"/>
      </w:divBdr>
    </w:div>
    <w:div w:id="1246764759">
      <w:bodyDiv w:val="1"/>
      <w:marLeft w:val="0"/>
      <w:marRight w:val="0"/>
      <w:marTop w:val="0"/>
      <w:marBottom w:val="0"/>
      <w:divBdr>
        <w:top w:val="none" w:sz="0" w:space="0" w:color="auto"/>
        <w:left w:val="none" w:sz="0" w:space="0" w:color="auto"/>
        <w:bottom w:val="none" w:sz="0" w:space="0" w:color="auto"/>
        <w:right w:val="none" w:sz="0" w:space="0" w:color="auto"/>
      </w:divBdr>
    </w:div>
    <w:div w:id="1247954133">
      <w:bodyDiv w:val="1"/>
      <w:marLeft w:val="0"/>
      <w:marRight w:val="0"/>
      <w:marTop w:val="0"/>
      <w:marBottom w:val="0"/>
      <w:divBdr>
        <w:top w:val="none" w:sz="0" w:space="0" w:color="auto"/>
        <w:left w:val="none" w:sz="0" w:space="0" w:color="auto"/>
        <w:bottom w:val="none" w:sz="0" w:space="0" w:color="auto"/>
        <w:right w:val="none" w:sz="0" w:space="0" w:color="auto"/>
      </w:divBdr>
    </w:div>
    <w:div w:id="1252473956">
      <w:bodyDiv w:val="1"/>
      <w:marLeft w:val="0"/>
      <w:marRight w:val="0"/>
      <w:marTop w:val="0"/>
      <w:marBottom w:val="0"/>
      <w:divBdr>
        <w:top w:val="none" w:sz="0" w:space="0" w:color="auto"/>
        <w:left w:val="none" w:sz="0" w:space="0" w:color="auto"/>
        <w:bottom w:val="none" w:sz="0" w:space="0" w:color="auto"/>
        <w:right w:val="none" w:sz="0" w:space="0" w:color="auto"/>
      </w:divBdr>
    </w:div>
    <w:div w:id="1257057246">
      <w:bodyDiv w:val="1"/>
      <w:marLeft w:val="0"/>
      <w:marRight w:val="0"/>
      <w:marTop w:val="0"/>
      <w:marBottom w:val="0"/>
      <w:divBdr>
        <w:top w:val="none" w:sz="0" w:space="0" w:color="auto"/>
        <w:left w:val="none" w:sz="0" w:space="0" w:color="auto"/>
        <w:bottom w:val="none" w:sz="0" w:space="0" w:color="auto"/>
        <w:right w:val="none" w:sz="0" w:space="0" w:color="auto"/>
      </w:divBdr>
    </w:div>
    <w:div w:id="1307587251">
      <w:bodyDiv w:val="1"/>
      <w:marLeft w:val="0"/>
      <w:marRight w:val="0"/>
      <w:marTop w:val="0"/>
      <w:marBottom w:val="0"/>
      <w:divBdr>
        <w:top w:val="none" w:sz="0" w:space="0" w:color="auto"/>
        <w:left w:val="none" w:sz="0" w:space="0" w:color="auto"/>
        <w:bottom w:val="none" w:sz="0" w:space="0" w:color="auto"/>
        <w:right w:val="none" w:sz="0" w:space="0" w:color="auto"/>
      </w:divBdr>
    </w:div>
    <w:div w:id="1319769202">
      <w:bodyDiv w:val="1"/>
      <w:marLeft w:val="0"/>
      <w:marRight w:val="0"/>
      <w:marTop w:val="0"/>
      <w:marBottom w:val="0"/>
      <w:divBdr>
        <w:top w:val="none" w:sz="0" w:space="0" w:color="auto"/>
        <w:left w:val="none" w:sz="0" w:space="0" w:color="auto"/>
        <w:bottom w:val="none" w:sz="0" w:space="0" w:color="auto"/>
        <w:right w:val="none" w:sz="0" w:space="0" w:color="auto"/>
      </w:divBdr>
    </w:div>
    <w:div w:id="1331565194">
      <w:bodyDiv w:val="1"/>
      <w:marLeft w:val="0"/>
      <w:marRight w:val="0"/>
      <w:marTop w:val="0"/>
      <w:marBottom w:val="0"/>
      <w:divBdr>
        <w:top w:val="none" w:sz="0" w:space="0" w:color="auto"/>
        <w:left w:val="none" w:sz="0" w:space="0" w:color="auto"/>
        <w:bottom w:val="none" w:sz="0" w:space="0" w:color="auto"/>
        <w:right w:val="none" w:sz="0" w:space="0" w:color="auto"/>
      </w:divBdr>
    </w:div>
    <w:div w:id="1332172634">
      <w:bodyDiv w:val="1"/>
      <w:marLeft w:val="0"/>
      <w:marRight w:val="0"/>
      <w:marTop w:val="0"/>
      <w:marBottom w:val="0"/>
      <w:divBdr>
        <w:top w:val="none" w:sz="0" w:space="0" w:color="auto"/>
        <w:left w:val="none" w:sz="0" w:space="0" w:color="auto"/>
        <w:bottom w:val="none" w:sz="0" w:space="0" w:color="auto"/>
        <w:right w:val="none" w:sz="0" w:space="0" w:color="auto"/>
      </w:divBdr>
      <w:divsChild>
        <w:div w:id="42608595">
          <w:marLeft w:val="446"/>
          <w:marRight w:val="0"/>
          <w:marTop w:val="0"/>
          <w:marBottom w:val="0"/>
          <w:divBdr>
            <w:top w:val="none" w:sz="0" w:space="0" w:color="auto"/>
            <w:left w:val="none" w:sz="0" w:space="0" w:color="auto"/>
            <w:bottom w:val="none" w:sz="0" w:space="0" w:color="auto"/>
            <w:right w:val="none" w:sz="0" w:space="0" w:color="auto"/>
          </w:divBdr>
        </w:div>
        <w:div w:id="397049226">
          <w:marLeft w:val="446"/>
          <w:marRight w:val="0"/>
          <w:marTop w:val="0"/>
          <w:marBottom w:val="0"/>
          <w:divBdr>
            <w:top w:val="none" w:sz="0" w:space="0" w:color="auto"/>
            <w:left w:val="none" w:sz="0" w:space="0" w:color="auto"/>
            <w:bottom w:val="none" w:sz="0" w:space="0" w:color="auto"/>
            <w:right w:val="none" w:sz="0" w:space="0" w:color="auto"/>
          </w:divBdr>
        </w:div>
        <w:div w:id="1967858099">
          <w:marLeft w:val="446"/>
          <w:marRight w:val="0"/>
          <w:marTop w:val="0"/>
          <w:marBottom w:val="0"/>
          <w:divBdr>
            <w:top w:val="none" w:sz="0" w:space="0" w:color="auto"/>
            <w:left w:val="none" w:sz="0" w:space="0" w:color="auto"/>
            <w:bottom w:val="none" w:sz="0" w:space="0" w:color="auto"/>
            <w:right w:val="none" w:sz="0" w:space="0" w:color="auto"/>
          </w:divBdr>
        </w:div>
      </w:divsChild>
    </w:div>
    <w:div w:id="1402605149">
      <w:bodyDiv w:val="1"/>
      <w:marLeft w:val="0"/>
      <w:marRight w:val="0"/>
      <w:marTop w:val="0"/>
      <w:marBottom w:val="0"/>
      <w:divBdr>
        <w:top w:val="none" w:sz="0" w:space="0" w:color="auto"/>
        <w:left w:val="none" w:sz="0" w:space="0" w:color="auto"/>
        <w:bottom w:val="none" w:sz="0" w:space="0" w:color="auto"/>
        <w:right w:val="none" w:sz="0" w:space="0" w:color="auto"/>
      </w:divBdr>
    </w:div>
    <w:div w:id="1406800952">
      <w:bodyDiv w:val="1"/>
      <w:marLeft w:val="0"/>
      <w:marRight w:val="0"/>
      <w:marTop w:val="0"/>
      <w:marBottom w:val="0"/>
      <w:divBdr>
        <w:top w:val="none" w:sz="0" w:space="0" w:color="auto"/>
        <w:left w:val="none" w:sz="0" w:space="0" w:color="auto"/>
        <w:bottom w:val="none" w:sz="0" w:space="0" w:color="auto"/>
        <w:right w:val="none" w:sz="0" w:space="0" w:color="auto"/>
      </w:divBdr>
      <w:divsChild>
        <w:div w:id="45380264">
          <w:marLeft w:val="1440"/>
          <w:marRight w:val="0"/>
          <w:marTop w:val="60"/>
          <w:marBottom w:val="60"/>
          <w:divBdr>
            <w:top w:val="none" w:sz="0" w:space="0" w:color="auto"/>
            <w:left w:val="none" w:sz="0" w:space="0" w:color="auto"/>
            <w:bottom w:val="none" w:sz="0" w:space="0" w:color="auto"/>
            <w:right w:val="none" w:sz="0" w:space="0" w:color="auto"/>
          </w:divBdr>
        </w:div>
      </w:divsChild>
    </w:div>
    <w:div w:id="1410957111">
      <w:bodyDiv w:val="1"/>
      <w:marLeft w:val="0"/>
      <w:marRight w:val="0"/>
      <w:marTop w:val="0"/>
      <w:marBottom w:val="0"/>
      <w:divBdr>
        <w:top w:val="none" w:sz="0" w:space="0" w:color="auto"/>
        <w:left w:val="none" w:sz="0" w:space="0" w:color="auto"/>
        <w:bottom w:val="none" w:sz="0" w:space="0" w:color="auto"/>
        <w:right w:val="none" w:sz="0" w:space="0" w:color="auto"/>
      </w:divBdr>
    </w:div>
    <w:div w:id="1439060478">
      <w:bodyDiv w:val="1"/>
      <w:marLeft w:val="0"/>
      <w:marRight w:val="0"/>
      <w:marTop w:val="0"/>
      <w:marBottom w:val="0"/>
      <w:divBdr>
        <w:top w:val="none" w:sz="0" w:space="0" w:color="auto"/>
        <w:left w:val="none" w:sz="0" w:space="0" w:color="auto"/>
        <w:bottom w:val="none" w:sz="0" w:space="0" w:color="auto"/>
        <w:right w:val="none" w:sz="0" w:space="0" w:color="auto"/>
      </w:divBdr>
    </w:div>
    <w:div w:id="1449274702">
      <w:bodyDiv w:val="1"/>
      <w:marLeft w:val="0"/>
      <w:marRight w:val="0"/>
      <w:marTop w:val="0"/>
      <w:marBottom w:val="0"/>
      <w:divBdr>
        <w:top w:val="none" w:sz="0" w:space="0" w:color="auto"/>
        <w:left w:val="none" w:sz="0" w:space="0" w:color="auto"/>
        <w:bottom w:val="none" w:sz="0" w:space="0" w:color="auto"/>
        <w:right w:val="none" w:sz="0" w:space="0" w:color="auto"/>
      </w:divBdr>
      <w:divsChild>
        <w:div w:id="258300189">
          <w:marLeft w:val="0"/>
          <w:marRight w:val="0"/>
          <w:marTop w:val="0"/>
          <w:marBottom w:val="0"/>
          <w:divBdr>
            <w:top w:val="none" w:sz="0" w:space="0" w:color="auto"/>
            <w:left w:val="none" w:sz="0" w:space="0" w:color="auto"/>
            <w:bottom w:val="none" w:sz="0" w:space="0" w:color="auto"/>
            <w:right w:val="none" w:sz="0" w:space="0" w:color="auto"/>
          </w:divBdr>
        </w:div>
      </w:divsChild>
    </w:div>
    <w:div w:id="1466389016">
      <w:bodyDiv w:val="1"/>
      <w:marLeft w:val="0"/>
      <w:marRight w:val="0"/>
      <w:marTop w:val="0"/>
      <w:marBottom w:val="0"/>
      <w:divBdr>
        <w:top w:val="none" w:sz="0" w:space="0" w:color="auto"/>
        <w:left w:val="none" w:sz="0" w:space="0" w:color="auto"/>
        <w:bottom w:val="none" w:sz="0" w:space="0" w:color="auto"/>
        <w:right w:val="none" w:sz="0" w:space="0" w:color="auto"/>
      </w:divBdr>
    </w:div>
    <w:div w:id="1494249943">
      <w:bodyDiv w:val="1"/>
      <w:marLeft w:val="0"/>
      <w:marRight w:val="0"/>
      <w:marTop w:val="0"/>
      <w:marBottom w:val="0"/>
      <w:divBdr>
        <w:top w:val="none" w:sz="0" w:space="0" w:color="auto"/>
        <w:left w:val="none" w:sz="0" w:space="0" w:color="auto"/>
        <w:bottom w:val="none" w:sz="0" w:space="0" w:color="auto"/>
        <w:right w:val="none" w:sz="0" w:space="0" w:color="auto"/>
      </w:divBdr>
    </w:div>
    <w:div w:id="1524443751">
      <w:bodyDiv w:val="1"/>
      <w:marLeft w:val="0"/>
      <w:marRight w:val="0"/>
      <w:marTop w:val="0"/>
      <w:marBottom w:val="0"/>
      <w:divBdr>
        <w:top w:val="none" w:sz="0" w:space="0" w:color="auto"/>
        <w:left w:val="none" w:sz="0" w:space="0" w:color="auto"/>
        <w:bottom w:val="none" w:sz="0" w:space="0" w:color="auto"/>
        <w:right w:val="none" w:sz="0" w:space="0" w:color="auto"/>
      </w:divBdr>
    </w:div>
    <w:div w:id="1560090490">
      <w:bodyDiv w:val="1"/>
      <w:marLeft w:val="0"/>
      <w:marRight w:val="0"/>
      <w:marTop w:val="0"/>
      <w:marBottom w:val="0"/>
      <w:divBdr>
        <w:top w:val="none" w:sz="0" w:space="0" w:color="auto"/>
        <w:left w:val="none" w:sz="0" w:space="0" w:color="auto"/>
        <w:bottom w:val="none" w:sz="0" w:space="0" w:color="auto"/>
        <w:right w:val="none" w:sz="0" w:space="0" w:color="auto"/>
      </w:divBdr>
    </w:div>
    <w:div w:id="1570922022">
      <w:bodyDiv w:val="1"/>
      <w:marLeft w:val="0"/>
      <w:marRight w:val="0"/>
      <w:marTop w:val="0"/>
      <w:marBottom w:val="0"/>
      <w:divBdr>
        <w:top w:val="none" w:sz="0" w:space="0" w:color="auto"/>
        <w:left w:val="none" w:sz="0" w:space="0" w:color="auto"/>
        <w:bottom w:val="none" w:sz="0" w:space="0" w:color="auto"/>
        <w:right w:val="none" w:sz="0" w:space="0" w:color="auto"/>
      </w:divBdr>
    </w:div>
    <w:div w:id="1583025367">
      <w:bodyDiv w:val="1"/>
      <w:marLeft w:val="0"/>
      <w:marRight w:val="0"/>
      <w:marTop w:val="0"/>
      <w:marBottom w:val="0"/>
      <w:divBdr>
        <w:top w:val="none" w:sz="0" w:space="0" w:color="auto"/>
        <w:left w:val="none" w:sz="0" w:space="0" w:color="auto"/>
        <w:bottom w:val="none" w:sz="0" w:space="0" w:color="auto"/>
        <w:right w:val="none" w:sz="0" w:space="0" w:color="auto"/>
      </w:divBdr>
    </w:div>
    <w:div w:id="1589995691">
      <w:bodyDiv w:val="1"/>
      <w:marLeft w:val="0"/>
      <w:marRight w:val="0"/>
      <w:marTop w:val="0"/>
      <w:marBottom w:val="0"/>
      <w:divBdr>
        <w:top w:val="none" w:sz="0" w:space="0" w:color="auto"/>
        <w:left w:val="none" w:sz="0" w:space="0" w:color="auto"/>
        <w:bottom w:val="none" w:sz="0" w:space="0" w:color="auto"/>
        <w:right w:val="none" w:sz="0" w:space="0" w:color="auto"/>
      </w:divBdr>
    </w:div>
    <w:div w:id="1614899240">
      <w:bodyDiv w:val="1"/>
      <w:marLeft w:val="0"/>
      <w:marRight w:val="0"/>
      <w:marTop w:val="0"/>
      <w:marBottom w:val="0"/>
      <w:divBdr>
        <w:top w:val="none" w:sz="0" w:space="0" w:color="auto"/>
        <w:left w:val="none" w:sz="0" w:space="0" w:color="auto"/>
        <w:bottom w:val="none" w:sz="0" w:space="0" w:color="auto"/>
        <w:right w:val="none" w:sz="0" w:space="0" w:color="auto"/>
      </w:divBdr>
    </w:div>
    <w:div w:id="1627392713">
      <w:bodyDiv w:val="1"/>
      <w:marLeft w:val="0"/>
      <w:marRight w:val="0"/>
      <w:marTop w:val="0"/>
      <w:marBottom w:val="0"/>
      <w:divBdr>
        <w:top w:val="none" w:sz="0" w:space="0" w:color="auto"/>
        <w:left w:val="none" w:sz="0" w:space="0" w:color="auto"/>
        <w:bottom w:val="none" w:sz="0" w:space="0" w:color="auto"/>
        <w:right w:val="none" w:sz="0" w:space="0" w:color="auto"/>
      </w:divBdr>
    </w:div>
    <w:div w:id="1639922034">
      <w:bodyDiv w:val="1"/>
      <w:marLeft w:val="0"/>
      <w:marRight w:val="0"/>
      <w:marTop w:val="0"/>
      <w:marBottom w:val="0"/>
      <w:divBdr>
        <w:top w:val="none" w:sz="0" w:space="0" w:color="auto"/>
        <w:left w:val="none" w:sz="0" w:space="0" w:color="auto"/>
        <w:bottom w:val="none" w:sz="0" w:space="0" w:color="auto"/>
        <w:right w:val="none" w:sz="0" w:space="0" w:color="auto"/>
      </w:divBdr>
    </w:div>
    <w:div w:id="1675456543">
      <w:bodyDiv w:val="1"/>
      <w:marLeft w:val="0"/>
      <w:marRight w:val="0"/>
      <w:marTop w:val="0"/>
      <w:marBottom w:val="0"/>
      <w:divBdr>
        <w:top w:val="none" w:sz="0" w:space="0" w:color="auto"/>
        <w:left w:val="none" w:sz="0" w:space="0" w:color="auto"/>
        <w:bottom w:val="none" w:sz="0" w:space="0" w:color="auto"/>
        <w:right w:val="none" w:sz="0" w:space="0" w:color="auto"/>
      </w:divBdr>
      <w:divsChild>
        <w:div w:id="661202275">
          <w:marLeft w:val="0"/>
          <w:marRight w:val="0"/>
          <w:marTop w:val="0"/>
          <w:marBottom w:val="0"/>
          <w:divBdr>
            <w:top w:val="none" w:sz="0" w:space="0" w:color="auto"/>
            <w:left w:val="none" w:sz="0" w:space="0" w:color="auto"/>
            <w:bottom w:val="none" w:sz="0" w:space="0" w:color="auto"/>
            <w:right w:val="none" w:sz="0" w:space="0" w:color="auto"/>
          </w:divBdr>
        </w:div>
      </w:divsChild>
    </w:div>
    <w:div w:id="1675914988">
      <w:bodyDiv w:val="1"/>
      <w:marLeft w:val="0"/>
      <w:marRight w:val="0"/>
      <w:marTop w:val="0"/>
      <w:marBottom w:val="0"/>
      <w:divBdr>
        <w:top w:val="none" w:sz="0" w:space="0" w:color="auto"/>
        <w:left w:val="none" w:sz="0" w:space="0" w:color="auto"/>
        <w:bottom w:val="none" w:sz="0" w:space="0" w:color="auto"/>
        <w:right w:val="none" w:sz="0" w:space="0" w:color="auto"/>
      </w:divBdr>
    </w:div>
    <w:div w:id="1681615550">
      <w:bodyDiv w:val="1"/>
      <w:marLeft w:val="0"/>
      <w:marRight w:val="0"/>
      <w:marTop w:val="0"/>
      <w:marBottom w:val="0"/>
      <w:divBdr>
        <w:top w:val="none" w:sz="0" w:space="0" w:color="auto"/>
        <w:left w:val="none" w:sz="0" w:space="0" w:color="auto"/>
        <w:bottom w:val="none" w:sz="0" w:space="0" w:color="auto"/>
        <w:right w:val="none" w:sz="0" w:space="0" w:color="auto"/>
      </w:divBdr>
    </w:div>
    <w:div w:id="1700937022">
      <w:bodyDiv w:val="1"/>
      <w:marLeft w:val="0"/>
      <w:marRight w:val="0"/>
      <w:marTop w:val="0"/>
      <w:marBottom w:val="0"/>
      <w:divBdr>
        <w:top w:val="none" w:sz="0" w:space="0" w:color="auto"/>
        <w:left w:val="none" w:sz="0" w:space="0" w:color="auto"/>
        <w:bottom w:val="none" w:sz="0" w:space="0" w:color="auto"/>
        <w:right w:val="none" w:sz="0" w:space="0" w:color="auto"/>
      </w:divBdr>
      <w:divsChild>
        <w:div w:id="2084721068">
          <w:marLeft w:val="1440"/>
          <w:marRight w:val="0"/>
          <w:marTop w:val="60"/>
          <w:marBottom w:val="60"/>
          <w:divBdr>
            <w:top w:val="none" w:sz="0" w:space="0" w:color="auto"/>
            <w:left w:val="none" w:sz="0" w:space="0" w:color="auto"/>
            <w:bottom w:val="none" w:sz="0" w:space="0" w:color="auto"/>
            <w:right w:val="none" w:sz="0" w:space="0" w:color="auto"/>
          </w:divBdr>
        </w:div>
      </w:divsChild>
    </w:div>
    <w:div w:id="1774936731">
      <w:bodyDiv w:val="1"/>
      <w:marLeft w:val="0"/>
      <w:marRight w:val="0"/>
      <w:marTop w:val="0"/>
      <w:marBottom w:val="0"/>
      <w:divBdr>
        <w:top w:val="none" w:sz="0" w:space="0" w:color="auto"/>
        <w:left w:val="none" w:sz="0" w:space="0" w:color="auto"/>
        <w:bottom w:val="none" w:sz="0" w:space="0" w:color="auto"/>
        <w:right w:val="none" w:sz="0" w:space="0" w:color="auto"/>
      </w:divBdr>
    </w:div>
    <w:div w:id="1800301136">
      <w:bodyDiv w:val="1"/>
      <w:marLeft w:val="0"/>
      <w:marRight w:val="0"/>
      <w:marTop w:val="0"/>
      <w:marBottom w:val="0"/>
      <w:divBdr>
        <w:top w:val="none" w:sz="0" w:space="0" w:color="auto"/>
        <w:left w:val="none" w:sz="0" w:space="0" w:color="auto"/>
        <w:bottom w:val="none" w:sz="0" w:space="0" w:color="auto"/>
        <w:right w:val="none" w:sz="0" w:space="0" w:color="auto"/>
      </w:divBdr>
    </w:div>
    <w:div w:id="1843473590">
      <w:bodyDiv w:val="1"/>
      <w:marLeft w:val="0"/>
      <w:marRight w:val="0"/>
      <w:marTop w:val="0"/>
      <w:marBottom w:val="0"/>
      <w:divBdr>
        <w:top w:val="none" w:sz="0" w:space="0" w:color="auto"/>
        <w:left w:val="none" w:sz="0" w:space="0" w:color="auto"/>
        <w:bottom w:val="none" w:sz="0" w:space="0" w:color="auto"/>
        <w:right w:val="none" w:sz="0" w:space="0" w:color="auto"/>
      </w:divBdr>
    </w:div>
    <w:div w:id="1860118335">
      <w:bodyDiv w:val="1"/>
      <w:marLeft w:val="0"/>
      <w:marRight w:val="0"/>
      <w:marTop w:val="0"/>
      <w:marBottom w:val="0"/>
      <w:divBdr>
        <w:top w:val="none" w:sz="0" w:space="0" w:color="auto"/>
        <w:left w:val="none" w:sz="0" w:space="0" w:color="auto"/>
        <w:bottom w:val="none" w:sz="0" w:space="0" w:color="auto"/>
        <w:right w:val="none" w:sz="0" w:space="0" w:color="auto"/>
      </w:divBdr>
    </w:div>
    <w:div w:id="1875650333">
      <w:bodyDiv w:val="1"/>
      <w:marLeft w:val="0"/>
      <w:marRight w:val="0"/>
      <w:marTop w:val="0"/>
      <w:marBottom w:val="0"/>
      <w:divBdr>
        <w:top w:val="none" w:sz="0" w:space="0" w:color="auto"/>
        <w:left w:val="none" w:sz="0" w:space="0" w:color="auto"/>
        <w:bottom w:val="none" w:sz="0" w:space="0" w:color="auto"/>
        <w:right w:val="none" w:sz="0" w:space="0" w:color="auto"/>
      </w:divBdr>
    </w:div>
    <w:div w:id="1948081698">
      <w:bodyDiv w:val="1"/>
      <w:marLeft w:val="0"/>
      <w:marRight w:val="0"/>
      <w:marTop w:val="0"/>
      <w:marBottom w:val="0"/>
      <w:divBdr>
        <w:top w:val="none" w:sz="0" w:space="0" w:color="auto"/>
        <w:left w:val="none" w:sz="0" w:space="0" w:color="auto"/>
        <w:bottom w:val="none" w:sz="0" w:space="0" w:color="auto"/>
        <w:right w:val="none" w:sz="0" w:space="0" w:color="auto"/>
      </w:divBdr>
    </w:div>
    <w:div w:id="1960380605">
      <w:bodyDiv w:val="1"/>
      <w:marLeft w:val="0"/>
      <w:marRight w:val="0"/>
      <w:marTop w:val="0"/>
      <w:marBottom w:val="0"/>
      <w:divBdr>
        <w:top w:val="none" w:sz="0" w:space="0" w:color="auto"/>
        <w:left w:val="none" w:sz="0" w:space="0" w:color="auto"/>
        <w:bottom w:val="none" w:sz="0" w:space="0" w:color="auto"/>
        <w:right w:val="none" w:sz="0" w:space="0" w:color="auto"/>
      </w:divBdr>
    </w:div>
    <w:div w:id="1979339422">
      <w:bodyDiv w:val="1"/>
      <w:marLeft w:val="0"/>
      <w:marRight w:val="0"/>
      <w:marTop w:val="0"/>
      <w:marBottom w:val="0"/>
      <w:divBdr>
        <w:top w:val="none" w:sz="0" w:space="0" w:color="auto"/>
        <w:left w:val="none" w:sz="0" w:space="0" w:color="auto"/>
        <w:bottom w:val="none" w:sz="0" w:space="0" w:color="auto"/>
        <w:right w:val="none" w:sz="0" w:space="0" w:color="auto"/>
      </w:divBdr>
    </w:div>
    <w:div w:id="1999454349">
      <w:bodyDiv w:val="1"/>
      <w:marLeft w:val="0"/>
      <w:marRight w:val="0"/>
      <w:marTop w:val="0"/>
      <w:marBottom w:val="0"/>
      <w:divBdr>
        <w:top w:val="none" w:sz="0" w:space="0" w:color="auto"/>
        <w:left w:val="none" w:sz="0" w:space="0" w:color="auto"/>
        <w:bottom w:val="none" w:sz="0" w:space="0" w:color="auto"/>
        <w:right w:val="none" w:sz="0" w:space="0" w:color="auto"/>
      </w:divBdr>
    </w:div>
    <w:div w:id="2002922774">
      <w:bodyDiv w:val="1"/>
      <w:marLeft w:val="0"/>
      <w:marRight w:val="0"/>
      <w:marTop w:val="0"/>
      <w:marBottom w:val="0"/>
      <w:divBdr>
        <w:top w:val="none" w:sz="0" w:space="0" w:color="auto"/>
        <w:left w:val="none" w:sz="0" w:space="0" w:color="auto"/>
        <w:bottom w:val="none" w:sz="0" w:space="0" w:color="auto"/>
        <w:right w:val="none" w:sz="0" w:space="0" w:color="auto"/>
      </w:divBdr>
    </w:div>
    <w:div w:id="2033534104">
      <w:bodyDiv w:val="1"/>
      <w:marLeft w:val="0"/>
      <w:marRight w:val="0"/>
      <w:marTop w:val="0"/>
      <w:marBottom w:val="0"/>
      <w:divBdr>
        <w:top w:val="none" w:sz="0" w:space="0" w:color="auto"/>
        <w:left w:val="none" w:sz="0" w:space="0" w:color="auto"/>
        <w:bottom w:val="none" w:sz="0" w:space="0" w:color="auto"/>
        <w:right w:val="none" w:sz="0" w:space="0" w:color="auto"/>
      </w:divBdr>
    </w:div>
    <w:div w:id="2045910245">
      <w:bodyDiv w:val="1"/>
      <w:marLeft w:val="0"/>
      <w:marRight w:val="0"/>
      <w:marTop w:val="0"/>
      <w:marBottom w:val="0"/>
      <w:divBdr>
        <w:top w:val="none" w:sz="0" w:space="0" w:color="auto"/>
        <w:left w:val="none" w:sz="0" w:space="0" w:color="auto"/>
        <w:bottom w:val="none" w:sz="0" w:space="0" w:color="auto"/>
        <w:right w:val="none" w:sz="0" w:space="0" w:color="auto"/>
      </w:divBdr>
    </w:div>
    <w:div w:id="2077629356">
      <w:bodyDiv w:val="1"/>
      <w:marLeft w:val="0"/>
      <w:marRight w:val="0"/>
      <w:marTop w:val="0"/>
      <w:marBottom w:val="0"/>
      <w:divBdr>
        <w:top w:val="none" w:sz="0" w:space="0" w:color="auto"/>
        <w:left w:val="none" w:sz="0" w:space="0" w:color="auto"/>
        <w:bottom w:val="none" w:sz="0" w:space="0" w:color="auto"/>
        <w:right w:val="none" w:sz="0" w:space="0" w:color="auto"/>
      </w:divBdr>
    </w:div>
    <w:div w:id="2080512847">
      <w:bodyDiv w:val="1"/>
      <w:marLeft w:val="0"/>
      <w:marRight w:val="0"/>
      <w:marTop w:val="0"/>
      <w:marBottom w:val="0"/>
      <w:divBdr>
        <w:top w:val="none" w:sz="0" w:space="0" w:color="auto"/>
        <w:left w:val="none" w:sz="0" w:space="0" w:color="auto"/>
        <w:bottom w:val="none" w:sz="0" w:space="0" w:color="auto"/>
        <w:right w:val="none" w:sz="0" w:space="0" w:color="auto"/>
      </w:divBdr>
    </w:div>
    <w:div w:id="2094473533">
      <w:bodyDiv w:val="1"/>
      <w:marLeft w:val="0"/>
      <w:marRight w:val="0"/>
      <w:marTop w:val="0"/>
      <w:marBottom w:val="0"/>
      <w:divBdr>
        <w:top w:val="none" w:sz="0" w:space="0" w:color="auto"/>
        <w:left w:val="none" w:sz="0" w:space="0" w:color="auto"/>
        <w:bottom w:val="none" w:sz="0" w:space="0" w:color="auto"/>
        <w:right w:val="none" w:sz="0" w:space="0" w:color="auto"/>
      </w:divBdr>
      <w:divsChild>
        <w:div w:id="527838818">
          <w:marLeft w:val="547"/>
          <w:marRight w:val="0"/>
          <w:marTop w:val="360"/>
          <w:marBottom w:val="360"/>
          <w:divBdr>
            <w:top w:val="none" w:sz="0" w:space="0" w:color="auto"/>
            <w:left w:val="none" w:sz="0" w:space="0" w:color="auto"/>
            <w:bottom w:val="none" w:sz="0" w:space="0" w:color="auto"/>
            <w:right w:val="none" w:sz="0" w:space="0" w:color="auto"/>
          </w:divBdr>
        </w:div>
        <w:div w:id="1066953364">
          <w:marLeft w:val="547"/>
          <w:marRight w:val="0"/>
          <w:marTop w:val="360"/>
          <w:marBottom w:val="360"/>
          <w:divBdr>
            <w:top w:val="none" w:sz="0" w:space="0" w:color="auto"/>
            <w:left w:val="none" w:sz="0" w:space="0" w:color="auto"/>
            <w:bottom w:val="none" w:sz="0" w:space="0" w:color="auto"/>
            <w:right w:val="none" w:sz="0" w:space="0" w:color="auto"/>
          </w:divBdr>
        </w:div>
        <w:div w:id="1309364443">
          <w:marLeft w:val="547"/>
          <w:marRight w:val="0"/>
          <w:marTop w:val="360"/>
          <w:marBottom w:val="360"/>
          <w:divBdr>
            <w:top w:val="none" w:sz="0" w:space="0" w:color="auto"/>
            <w:left w:val="none" w:sz="0" w:space="0" w:color="auto"/>
            <w:bottom w:val="none" w:sz="0" w:space="0" w:color="auto"/>
            <w:right w:val="none" w:sz="0" w:space="0" w:color="auto"/>
          </w:divBdr>
        </w:div>
      </w:divsChild>
    </w:div>
    <w:div w:id="2095545523">
      <w:bodyDiv w:val="1"/>
      <w:marLeft w:val="0"/>
      <w:marRight w:val="0"/>
      <w:marTop w:val="0"/>
      <w:marBottom w:val="0"/>
      <w:divBdr>
        <w:top w:val="none" w:sz="0" w:space="0" w:color="auto"/>
        <w:left w:val="none" w:sz="0" w:space="0" w:color="auto"/>
        <w:bottom w:val="none" w:sz="0" w:space="0" w:color="auto"/>
        <w:right w:val="none" w:sz="0" w:space="0" w:color="auto"/>
      </w:divBdr>
    </w:div>
    <w:div w:id="2102530264">
      <w:bodyDiv w:val="1"/>
      <w:marLeft w:val="0"/>
      <w:marRight w:val="0"/>
      <w:marTop w:val="0"/>
      <w:marBottom w:val="0"/>
      <w:divBdr>
        <w:top w:val="none" w:sz="0" w:space="0" w:color="auto"/>
        <w:left w:val="none" w:sz="0" w:space="0" w:color="auto"/>
        <w:bottom w:val="none" w:sz="0" w:space="0" w:color="auto"/>
        <w:right w:val="none" w:sz="0" w:space="0" w:color="auto"/>
      </w:divBdr>
    </w:div>
    <w:div w:id="2142645624">
      <w:bodyDiv w:val="1"/>
      <w:marLeft w:val="0"/>
      <w:marRight w:val="0"/>
      <w:marTop w:val="0"/>
      <w:marBottom w:val="0"/>
      <w:divBdr>
        <w:top w:val="none" w:sz="0" w:space="0" w:color="auto"/>
        <w:left w:val="none" w:sz="0" w:space="0" w:color="auto"/>
        <w:bottom w:val="none" w:sz="0" w:space="0" w:color="auto"/>
        <w:right w:val="none" w:sz="0" w:space="0" w:color="auto"/>
      </w:divBdr>
    </w:div>
    <w:div w:id="21469256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svg"/><Relationship Id="rId21" Type="http://schemas.openxmlformats.org/officeDocument/2006/relationships/image" Target="media/image11.png"/><Relationship Id="rId42" Type="http://schemas.openxmlformats.org/officeDocument/2006/relationships/image" Target="media/image32.sv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svg"/><Relationship Id="rId84" Type="http://schemas.openxmlformats.org/officeDocument/2006/relationships/image" Target="media/image74.svg"/><Relationship Id="rId89" Type="http://schemas.openxmlformats.org/officeDocument/2006/relationships/image" Target="media/image79.png"/><Relationship Id="rId16" Type="http://schemas.openxmlformats.org/officeDocument/2006/relationships/image" Target="media/image6.png"/><Relationship Id="rId11" Type="http://schemas.openxmlformats.org/officeDocument/2006/relationships/image" Target="media/image1.png"/><Relationship Id="rId32" Type="http://schemas.openxmlformats.org/officeDocument/2006/relationships/image" Target="media/image22.sv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svg"/><Relationship Id="rId74" Type="http://schemas.openxmlformats.org/officeDocument/2006/relationships/image" Target="media/image64.svg"/><Relationship Id="rId79" Type="http://schemas.openxmlformats.org/officeDocument/2006/relationships/image" Target="media/image69.png"/><Relationship Id="rId5" Type="http://schemas.openxmlformats.org/officeDocument/2006/relationships/numbering" Target="numbering.xml"/><Relationship Id="rId90" Type="http://schemas.openxmlformats.org/officeDocument/2006/relationships/image" Target="media/image80.svg"/><Relationship Id="rId95" Type="http://schemas.openxmlformats.org/officeDocument/2006/relationships/image" Target="media/image85.png"/><Relationship Id="rId22" Type="http://schemas.openxmlformats.org/officeDocument/2006/relationships/image" Target="media/image12.svg"/><Relationship Id="rId27" Type="http://schemas.openxmlformats.org/officeDocument/2006/relationships/image" Target="media/image17.emf"/><Relationship Id="rId43" Type="http://schemas.openxmlformats.org/officeDocument/2006/relationships/image" Target="media/image33.png"/><Relationship Id="rId48" Type="http://schemas.openxmlformats.org/officeDocument/2006/relationships/image" Target="media/image38.svg"/><Relationship Id="rId64" Type="http://schemas.openxmlformats.org/officeDocument/2006/relationships/image" Target="media/image54.svg"/><Relationship Id="rId69" Type="http://schemas.openxmlformats.org/officeDocument/2006/relationships/image" Target="media/image59.png"/><Relationship Id="rId80" Type="http://schemas.openxmlformats.org/officeDocument/2006/relationships/image" Target="media/image70.svg"/><Relationship Id="rId85" Type="http://schemas.openxmlformats.org/officeDocument/2006/relationships/image" Target="media/image75.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svg"/><Relationship Id="rId46" Type="http://schemas.openxmlformats.org/officeDocument/2006/relationships/image" Target="media/image36.sv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svg"/><Relationship Id="rId62" Type="http://schemas.openxmlformats.org/officeDocument/2006/relationships/image" Target="media/image52.svg"/><Relationship Id="rId70" Type="http://schemas.openxmlformats.org/officeDocument/2006/relationships/image" Target="media/image60.sv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svg"/><Relationship Id="rId91" Type="http://schemas.openxmlformats.org/officeDocument/2006/relationships/image" Target="media/image81.png"/><Relationship Id="rId9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emf"/><Relationship Id="rId36" Type="http://schemas.openxmlformats.org/officeDocument/2006/relationships/image" Target="media/image26.sv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4.svg"/><Relationship Id="rId52" Type="http://schemas.openxmlformats.org/officeDocument/2006/relationships/image" Target="media/image42.svg"/><Relationship Id="rId60" Type="http://schemas.openxmlformats.org/officeDocument/2006/relationships/image" Target="media/image50.sv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svg"/><Relationship Id="rId81" Type="http://schemas.openxmlformats.org/officeDocument/2006/relationships/image" Target="media/image71.png"/><Relationship Id="rId86" Type="http://schemas.openxmlformats.org/officeDocument/2006/relationships/image" Target="media/image76.svg"/><Relationship Id="rId94" Type="http://schemas.openxmlformats.org/officeDocument/2006/relationships/image" Target="media/image84.svg"/><Relationship Id="rId9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svg"/><Relationship Id="rId50" Type="http://schemas.openxmlformats.org/officeDocument/2006/relationships/image" Target="media/image40.svg"/><Relationship Id="rId55" Type="http://schemas.openxmlformats.org/officeDocument/2006/relationships/image" Target="media/image45.png"/><Relationship Id="rId76" Type="http://schemas.openxmlformats.org/officeDocument/2006/relationships/image" Target="media/image66.svg"/><Relationship Id="rId97" Type="http://schemas.openxmlformats.org/officeDocument/2006/relationships/footer" Target="footer1.xml"/><Relationship Id="rId7" Type="http://schemas.openxmlformats.org/officeDocument/2006/relationships/settings" Target="settings.xml"/><Relationship Id="rId71" Type="http://schemas.openxmlformats.org/officeDocument/2006/relationships/image" Target="media/image61.png"/><Relationship Id="rId92" Type="http://schemas.openxmlformats.org/officeDocument/2006/relationships/image" Target="media/image82.sv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svg"/><Relationship Id="rId40" Type="http://schemas.openxmlformats.org/officeDocument/2006/relationships/image" Target="media/image30.svg"/><Relationship Id="rId45" Type="http://schemas.openxmlformats.org/officeDocument/2006/relationships/image" Target="media/image35.png"/><Relationship Id="rId66" Type="http://schemas.openxmlformats.org/officeDocument/2006/relationships/image" Target="media/image56.svg"/><Relationship Id="rId87" Type="http://schemas.openxmlformats.org/officeDocument/2006/relationships/image" Target="media/image77.png"/><Relationship Id="rId61" Type="http://schemas.openxmlformats.org/officeDocument/2006/relationships/image" Target="media/image51.png"/><Relationship Id="rId82" Type="http://schemas.openxmlformats.org/officeDocument/2006/relationships/image" Target="media/image72.svg"/><Relationship Id="rId19" Type="http://schemas.openxmlformats.org/officeDocument/2006/relationships/image" Target="media/image9.svg"/><Relationship Id="rId14" Type="http://schemas.openxmlformats.org/officeDocument/2006/relationships/image" Target="media/image4.emf"/><Relationship Id="rId30" Type="http://schemas.openxmlformats.org/officeDocument/2006/relationships/image" Target="media/image20.svg"/><Relationship Id="rId35" Type="http://schemas.openxmlformats.org/officeDocument/2006/relationships/image" Target="media/image25.png"/><Relationship Id="rId56" Type="http://schemas.openxmlformats.org/officeDocument/2006/relationships/image" Target="media/image46.svg"/><Relationship Id="rId77" Type="http://schemas.openxmlformats.org/officeDocument/2006/relationships/image" Target="media/image67.png"/><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2.svg"/><Relationship Id="rId93" Type="http://schemas.openxmlformats.org/officeDocument/2006/relationships/image" Target="media/image83.png"/><Relationship Id="rId98"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c5e352c5-a0a5-4aff-9101-fc8c076df9f7">
      <UserInfo>
        <DisplayName>Graciela Rincon Bonilla</DisplayName>
        <AccountId>14</AccountId>
        <AccountType/>
      </UserInfo>
      <UserInfo>
        <DisplayName>Diego Ernesto Mariño Silva</DisplayName>
        <AccountId>15</AccountId>
        <AccountType/>
      </UserInfo>
      <UserInfo>
        <DisplayName>Andres Vargas Rojas</DisplayName>
        <AccountId>12</AccountId>
        <AccountType/>
      </UserInfo>
    </SharedWithUsers>
    <TaxCatchAll xmlns="c5e352c5-a0a5-4aff-9101-fc8c076df9f7" xsi:nil="true"/>
    <lcf76f155ced4ddcb4097134ff3c332f xmlns="52f50d89-700a-49c3-acb1-cc45863f80d1">
      <Terms xmlns="http://schemas.microsoft.com/office/infopath/2007/PartnerControls"/>
    </lcf76f155ced4ddcb4097134ff3c332f>
  </documentManagement>
</p:properties>
</file>

<file path=customXml/item4.xml><?xml version="1.0" encoding="utf-8"?>
<ct:contentTypeSchema xmlns:ct="http://schemas.microsoft.com/office/2006/metadata/contentType" xmlns:ma="http://schemas.microsoft.com/office/2006/metadata/properties/metaAttributes" ct:_="" ma:_="" ma:contentTypeName="Documento" ma:contentTypeID="0x010100DCDD0B26ABEDD0459BD4267A57D8442E" ma:contentTypeVersion="17" ma:contentTypeDescription="Crear nuevo documento." ma:contentTypeScope="" ma:versionID="d2cb70e79c00bed14d5a5536c55124d2">
  <xsd:schema xmlns:xsd="http://www.w3.org/2001/XMLSchema" xmlns:xs="http://www.w3.org/2001/XMLSchema" xmlns:p="http://schemas.microsoft.com/office/2006/metadata/properties" xmlns:ns2="52f50d89-700a-49c3-acb1-cc45863f80d1" xmlns:ns3="c5e352c5-a0a5-4aff-9101-fc8c076df9f7" targetNamespace="http://schemas.microsoft.com/office/2006/metadata/properties" ma:root="true" ma:fieldsID="c18c26698dd5add1dafe0ebada72a9fc" ns2:_="" ns3:_="">
    <xsd:import namespace="52f50d89-700a-49c3-acb1-cc45863f80d1"/>
    <xsd:import namespace="c5e352c5-a0a5-4aff-9101-fc8c076df9f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3:SharedWithUsers" minOccurs="0"/>
                <xsd:element ref="ns3:SharedWithDetails" minOccurs="0"/>
                <xsd:element ref="ns2:MediaServiceGenerationTime" minOccurs="0"/>
                <xsd:element ref="ns2:MediaServiceEventHashCode" minOccurs="0"/>
                <xsd:element ref="ns2:MediaServiceOCR" minOccurs="0"/>
                <xsd:element ref="ns2:lcf76f155ced4ddcb4097134ff3c332f" minOccurs="0"/>
                <xsd:element ref="ns3:TaxCatchAll"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2f50d89-700a-49c3-acb1-cc45863f80d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Length (seconds)" ma:internalName="MediaLengthInSeconds" ma:readOnly="true">
      <xsd:simpleType>
        <xsd:restriction base="dms:Unknow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lcf76f155ced4ddcb4097134ff3c332f" ma:index="20" nillable="true" ma:taxonomy="true" ma:internalName="lcf76f155ced4ddcb4097134ff3c332f" ma:taxonomyFieldName="MediaServiceImageTags" ma:displayName="Etiquetas de imagen" ma:readOnly="false" ma:fieldId="{5cf76f15-5ced-4ddc-b409-7134ff3c332f}" ma:taxonomyMulti="true" ma:sspId="42cdfcee-ca2d-46b2-8159-5b17d2d80cf8" ma:termSetId="09814cd3-568e-fe90-9814-8d621ff8fb84" ma:anchorId="fba54fb3-c3e1-fe81-a776-ca4b69148c4d" ma:open="true" ma:isKeyword="false">
      <xsd:complexType>
        <xsd:sequence>
          <xsd:element ref="pc:Terms" minOccurs="0" maxOccurs="1"/>
        </xsd:sequence>
      </xsd:complex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5e352c5-a0a5-4aff-9101-fc8c076df9f7" elementFormDefault="qualified">
    <xsd:import namespace="http://schemas.microsoft.com/office/2006/documentManagement/types"/>
    <xsd:import namespace="http://schemas.microsoft.com/office/infopath/2007/PartnerControls"/>
    <xsd:element name="SharedWithUsers" ma:index="14"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Detalles de uso compartido" ma:internalName="SharedWithDetails" ma:readOnly="true">
      <xsd:simpleType>
        <xsd:restriction base="dms:Note">
          <xsd:maxLength value="255"/>
        </xsd:restriction>
      </xsd:simpleType>
    </xsd:element>
    <xsd:element name="TaxCatchAll" ma:index="21" nillable="true" ma:displayName="Taxonomy Catch All Column" ma:hidden="true" ma:list="{c4f91114-da55-458f-b2e4-07801fb3de9c}" ma:internalName="TaxCatchAll" ma:showField="CatchAllData" ma:web="c5e352c5-a0a5-4aff-9101-fc8c076df9f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9B57167-7FC1-41A2-9A37-1DE37ABC1604}">
  <ds:schemaRefs>
    <ds:schemaRef ds:uri="http://schemas.openxmlformats.org/officeDocument/2006/bibliography"/>
  </ds:schemaRefs>
</ds:datastoreItem>
</file>

<file path=customXml/itemProps2.xml><?xml version="1.0" encoding="utf-8"?>
<ds:datastoreItem xmlns:ds="http://schemas.openxmlformats.org/officeDocument/2006/customXml" ds:itemID="{37032035-CAD7-4374-A695-65D450C274DD}">
  <ds:schemaRefs>
    <ds:schemaRef ds:uri="http://schemas.microsoft.com/sharepoint/v3/contenttype/forms"/>
  </ds:schemaRefs>
</ds:datastoreItem>
</file>

<file path=customXml/itemProps3.xml><?xml version="1.0" encoding="utf-8"?>
<ds:datastoreItem xmlns:ds="http://schemas.openxmlformats.org/officeDocument/2006/customXml" ds:itemID="{97349118-9983-4B0E-A17D-E2FF61EBD9A5}">
  <ds:schemaRefs>
    <ds:schemaRef ds:uri="c5e352c5-a0a5-4aff-9101-fc8c076df9f7"/>
    <ds:schemaRef ds:uri="http://schemas.microsoft.com/office/2006/documentManagement/types"/>
    <ds:schemaRef ds:uri="http://purl.org/dc/terms/"/>
    <ds:schemaRef ds:uri="http://purl.org/dc/elements/1.1/"/>
    <ds:schemaRef ds:uri="http://www.w3.org/XML/1998/namespace"/>
    <ds:schemaRef ds:uri="http://schemas.openxmlformats.org/package/2006/metadata/core-properties"/>
    <ds:schemaRef ds:uri="52f50d89-700a-49c3-acb1-cc45863f80d1"/>
    <ds:schemaRef ds:uri="http://schemas.microsoft.com/office/infopath/2007/PartnerControls"/>
    <ds:schemaRef ds:uri="http://schemas.microsoft.com/office/2006/metadata/properties"/>
    <ds:schemaRef ds:uri="http://purl.org/dc/dcmitype/"/>
  </ds:schemaRefs>
</ds:datastoreItem>
</file>

<file path=customXml/itemProps4.xml><?xml version="1.0" encoding="utf-8"?>
<ds:datastoreItem xmlns:ds="http://schemas.openxmlformats.org/officeDocument/2006/customXml" ds:itemID="{D2940340-53D5-4D28-8F06-BEBB9FBFB46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2f50d89-700a-49c3-acb1-cc45863f80d1"/>
    <ds:schemaRef ds:uri="c5e352c5-a0a5-4aff-9101-fc8c076df9f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95</Pages>
  <Words>24815</Words>
  <Characters>131547</Characters>
  <Application>Microsoft Office Word</Application>
  <DocSecurity>0</DocSecurity>
  <Lines>1096</Lines>
  <Paragraphs>312</Paragraphs>
  <ScaleCrop>false</ScaleCrop>
  <HeadingPairs>
    <vt:vector size="2" baseType="variant">
      <vt:variant>
        <vt:lpstr>Título</vt:lpstr>
      </vt:variant>
      <vt:variant>
        <vt:i4>1</vt:i4>
      </vt:variant>
    </vt:vector>
  </HeadingPairs>
  <TitlesOfParts>
    <vt:vector size="1" baseType="lpstr">
      <vt:lpstr>CARGOS POR USO EDEQ</vt:lpstr>
    </vt:vector>
  </TitlesOfParts>
  <Company>Hewlett-Packard Company</Company>
  <LinksUpToDate>false</LinksUpToDate>
  <CharactersWithSpaces>156050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CARGOS POR USO EDEQ</dc:title>
  <dc:subject/>
  <dc:creator>MARCELA Y GRACIELA</dc:creator>
  <cp:keywords/>
  <cp:lastModifiedBy>Eliana Rodriguez Fonseca</cp:lastModifiedBy>
  <cp:revision>5</cp:revision>
  <cp:lastPrinted>2024-02-07T16:31:00Z</cp:lastPrinted>
  <dcterms:created xsi:type="dcterms:W3CDTF">2024-02-07T16:29:00Z</dcterms:created>
  <dcterms:modified xsi:type="dcterms:W3CDTF">2024-02-07T16:31:00Z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0x010100DCDD0B26ABEDD0459BD4267A57D8442E</vt:lpwstr>
  </property>
  <property fmtid="{D5CDD505-2E9C-101B-9397-08002B2CF9AE}" pid="3" name="MediaServiceImageTags">
    <vt:lpwstr/>
  </property>
</Properties>
</file>