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0A74" w14:textId="07078D03" w:rsidR="00625DC6" w:rsidRPr="00E060BE" w:rsidRDefault="004B01D2" w:rsidP="00FB4C2D">
      <w:pPr>
        <w:pStyle w:val="Encabezado"/>
        <w:tabs>
          <w:tab w:val="clear" w:pos="4252"/>
          <w:tab w:val="clear" w:pos="8504"/>
          <w:tab w:val="left" w:pos="0"/>
          <w:tab w:val="left" w:pos="279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pt;margin-top:-46.75pt;width:38.55pt;height:39.05pt;z-index:251658240" fillcolor="#0c9">
            <v:imagedata r:id="rId9" o:title=""/>
          </v:shape>
          <o:OLEObject Type="Embed" ProgID="PBrush" ShapeID="_x0000_s1026" DrawAspect="Content" ObjectID="_1757593700" r:id="rId10"/>
        </w:object>
      </w: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270C034E" w:rsidR="00A06511" w:rsidRPr="00E060BE" w:rsidRDefault="00762080"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 xml:space="preserve">RESOLUCIÓN No. </w:t>
      </w:r>
      <w:r w:rsidR="00F11613" w:rsidRPr="00F11613">
        <w:rPr>
          <w:rFonts w:ascii="Bookman Old Style" w:hAnsi="Bookman Old Style"/>
          <w:sz w:val="32"/>
          <w:szCs w:val="32"/>
        </w:rPr>
        <w:t>701 026</w:t>
      </w:r>
      <w:r w:rsidR="00F11613">
        <w:rPr>
          <w:rFonts w:ascii="Bookman Old Style" w:hAnsi="Bookman Old Style"/>
          <w:sz w:val="24"/>
          <w:szCs w:val="24"/>
        </w:rPr>
        <w:t xml:space="preserve"> </w:t>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2A1539AF" w:rsidR="00CA77FB" w:rsidRPr="00F11613" w:rsidRDefault="00F11613" w:rsidP="00012259">
      <w:pPr>
        <w:pStyle w:val="Ttulo3"/>
        <w:tabs>
          <w:tab w:val="left" w:pos="0"/>
          <w:tab w:val="right" w:pos="9356"/>
        </w:tabs>
        <w:ind w:left="0"/>
        <w:rPr>
          <w:rFonts w:ascii="Bookman Old Style" w:hAnsi="Bookman Old Style"/>
          <w:sz w:val="28"/>
          <w:szCs w:val="28"/>
        </w:rPr>
      </w:pPr>
      <w:r w:rsidRPr="00F11613">
        <w:rPr>
          <w:rFonts w:ascii="Bookman Old Style" w:hAnsi="Bookman Old Style"/>
          <w:sz w:val="28"/>
          <w:szCs w:val="28"/>
        </w:rPr>
        <w:t>(28 SEP. 2023</w:t>
      </w:r>
      <w:r w:rsidR="00CA77FB" w:rsidRPr="00F11613">
        <w:rPr>
          <w:rFonts w:ascii="Bookman Old Style" w:hAnsi="Bookman Old Style"/>
          <w:sz w:val="28"/>
          <w:szCs w:val="28"/>
        </w:rPr>
        <w:t>)</w:t>
      </w:r>
    </w:p>
    <w:p w14:paraId="15A71B8E" w14:textId="77777777" w:rsidR="00B351B4" w:rsidRPr="00555AA0" w:rsidRDefault="00B351B4" w:rsidP="00012259">
      <w:pPr>
        <w:ind w:left="0"/>
        <w:rPr>
          <w:rFonts w:ascii="Bookman Old Style" w:hAnsi="Bookman Old Style"/>
          <w:bCs/>
          <w:lang w:val="es-ES_tradnl"/>
        </w:rPr>
      </w:pPr>
    </w:p>
    <w:p w14:paraId="74C8987B" w14:textId="77777777" w:rsidR="00D07EEE" w:rsidRDefault="00D07EEE" w:rsidP="00045D3D">
      <w:pPr>
        <w:ind w:left="0"/>
        <w:jc w:val="center"/>
        <w:rPr>
          <w:rFonts w:ascii="Bookman Old Style" w:hAnsi="Bookman Old Style"/>
        </w:rPr>
      </w:pPr>
    </w:p>
    <w:p w14:paraId="089CB839" w14:textId="77777777" w:rsidR="00D07EEE" w:rsidRPr="004D3CB9" w:rsidRDefault="00D07EEE" w:rsidP="00D07EEE">
      <w:pPr>
        <w:spacing w:before="360"/>
        <w:ind w:left="0"/>
        <w:contextualSpacing/>
        <w:jc w:val="both"/>
        <w:rPr>
          <w:rFonts w:ascii="Bookman Old Style" w:hAnsi="Bookman Old Style"/>
        </w:rPr>
      </w:pPr>
      <w:r w:rsidRPr="004D3CB9">
        <w:rPr>
          <w:rFonts w:ascii="Bookman Old Style" w:hAnsi="Bookman Old Style"/>
        </w:rPr>
        <w:t xml:space="preserve">La </w:t>
      </w:r>
      <w:r w:rsidRPr="004D3CB9">
        <w:rPr>
          <w:rFonts w:ascii="Bookman Old Style" w:hAnsi="Bookman Old Style" w:cs="Arial"/>
        </w:rPr>
        <w:t>Comisión</w:t>
      </w:r>
      <w:r w:rsidRPr="004D3CB9">
        <w:rPr>
          <w:rFonts w:ascii="Bookman Old Style" w:hAnsi="Bookman Old Style"/>
        </w:rPr>
        <w:t xml:space="preserve"> de </w:t>
      </w:r>
      <w:r w:rsidRPr="005C277E">
        <w:rPr>
          <w:rFonts w:ascii="Bookman Old Style" w:hAnsi="Bookman Old Style"/>
        </w:rPr>
        <w:t>Regulación de Energía y Gas, en su sesión No.</w:t>
      </w:r>
      <w:r>
        <w:rPr>
          <w:rFonts w:ascii="Bookman Old Style" w:hAnsi="Bookman Old Style"/>
        </w:rPr>
        <w:t xml:space="preserve"> 1289</w:t>
      </w:r>
      <w:r w:rsidRPr="00975AFF">
        <w:rPr>
          <w:rFonts w:ascii="Bookman Old Style" w:hAnsi="Bookman Old Style"/>
        </w:rPr>
        <w:t xml:space="preserve"> del </w:t>
      </w:r>
      <w:r>
        <w:rPr>
          <w:rFonts w:ascii="Bookman Old Style" w:hAnsi="Bookman Old Style"/>
        </w:rPr>
        <w:t>28</w:t>
      </w:r>
      <w:r w:rsidRPr="005C277E">
        <w:rPr>
          <w:rFonts w:ascii="Bookman Old Style" w:hAnsi="Bookman Old Style"/>
        </w:rPr>
        <w:t xml:space="preserve"> de </w:t>
      </w:r>
      <w:r>
        <w:rPr>
          <w:rFonts w:ascii="Bookman Old Style" w:hAnsi="Bookman Old Style"/>
        </w:rPr>
        <w:t>septiembre</w:t>
      </w:r>
      <w:r w:rsidRPr="005C277E">
        <w:rPr>
          <w:rFonts w:ascii="Bookman Old Style" w:hAnsi="Bookman Old Style"/>
        </w:rPr>
        <w:t xml:space="preserve"> de </w:t>
      </w:r>
      <w:r w:rsidRPr="00C26341">
        <w:rPr>
          <w:rFonts w:ascii="Bookman Old Style" w:hAnsi="Bookman Old Style"/>
        </w:rPr>
        <w:t>2023, aprobó someter a consulta pública el presente proyecto de resolución durante cinco (5) días hábiles contados a partir del día siguiente a su publicación en el portal web de la CREG.</w:t>
      </w:r>
    </w:p>
    <w:p w14:paraId="7F542936" w14:textId="77777777" w:rsidR="00D07EEE" w:rsidRPr="004D3CB9" w:rsidRDefault="00D07EEE" w:rsidP="00D07EEE">
      <w:pPr>
        <w:spacing w:before="240"/>
        <w:ind w:left="0"/>
        <w:jc w:val="both"/>
        <w:rPr>
          <w:rFonts w:ascii="Bookman Old Style" w:hAnsi="Bookman Old Style" w:cs="Arial"/>
          <w:color w:val="000000"/>
        </w:rPr>
      </w:pPr>
      <w:r w:rsidRPr="004D3CB9">
        <w:rPr>
          <w:rFonts w:ascii="Bookman Old Style" w:hAnsi="Bookman Old Style" w:cs="Arial"/>
          <w:color w:val="000000"/>
        </w:rPr>
        <w:t xml:space="preserve">Se invita a los agentes, a los usuarios, </w:t>
      </w:r>
      <w:r w:rsidRPr="004D3CB9">
        <w:rPr>
          <w:rFonts w:ascii="Bookman Old Style" w:hAnsi="Bookman Old Style" w:cs="Arial"/>
        </w:rPr>
        <w:t>a las autoridades locales municipales y departamentales competentes,</w:t>
      </w:r>
      <w:r w:rsidRPr="004D3CB9">
        <w:rPr>
          <w:rFonts w:ascii="Bookman Old Style" w:hAnsi="Bookman Old Style" w:cs="Arial"/>
          <w:color w:val="000000"/>
        </w:rPr>
        <w:t xml:space="preserve"> a la Superintendencia de Servicios Públicos Domiciliarios y demás interesados, para que remitan sus observaciones o sugerencias sobre la propuesta, dentro del plazo establecido.</w:t>
      </w:r>
    </w:p>
    <w:p w14:paraId="5ABDF9E5" w14:textId="6AA25DFF" w:rsidR="00D07EEE" w:rsidRPr="004D3CB9" w:rsidRDefault="00D07EEE" w:rsidP="00D07EEE">
      <w:pPr>
        <w:spacing w:before="240"/>
        <w:ind w:left="0"/>
        <w:jc w:val="both"/>
        <w:rPr>
          <w:rFonts w:ascii="Bookman Old Style" w:hAnsi="Bookman Old Style"/>
        </w:rPr>
      </w:pPr>
      <w:r w:rsidRPr="004D3CB9">
        <w:rPr>
          <w:rFonts w:ascii="Bookman Old Style" w:hAnsi="Bookman Old Style"/>
        </w:rPr>
        <w:t xml:space="preserve">Los interesados podrán dirigir sus comentarios al </w:t>
      </w:r>
      <w:r>
        <w:rPr>
          <w:rFonts w:ascii="Bookman Old Style" w:hAnsi="Bookman Old Style"/>
        </w:rPr>
        <w:t>d</w:t>
      </w:r>
      <w:r w:rsidRPr="004D3CB9">
        <w:rPr>
          <w:rFonts w:ascii="Bookman Old Style" w:hAnsi="Bookman Old Style"/>
        </w:rPr>
        <w:t xml:space="preserve">irector </w:t>
      </w:r>
      <w:r>
        <w:rPr>
          <w:rFonts w:ascii="Bookman Old Style" w:hAnsi="Bookman Old Style"/>
        </w:rPr>
        <w:t>e</w:t>
      </w:r>
      <w:r w:rsidRPr="004D3CB9">
        <w:rPr>
          <w:rFonts w:ascii="Bookman Old Style" w:hAnsi="Bookman Old Style"/>
        </w:rPr>
        <w:t xml:space="preserve">jecutivo de la Comisión de Regulación de Energía y Gas, al correo electrónico </w:t>
      </w:r>
      <w:hyperlink r:id="rId11" w:history="1">
        <w:r w:rsidRPr="004D3CB9">
          <w:rPr>
            <w:rStyle w:val="Hipervnculo"/>
            <w:rFonts w:ascii="Bookman Old Style" w:hAnsi="Bookman Old Style"/>
          </w:rPr>
          <w:t>creg@creg.gov.co</w:t>
        </w:r>
      </w:hyperlink>
      <w:r w:rsidRPr="004D3CB9">
        <w:rPr>
          <w:rFonts w:ascii="Bookman Old Style" w:hAnsi="Bookman Old Style"/>
        </w:rPr>
        <w:t xml:space="preserve">, identificando el mensaje con el siguiente asunto </w:t>
      </w:r>
      <w:r w:rsidRPr="004D3CB9">
        <w:rPr>
          <w:rFonts w:ascii="Bookman Old Style" w:hAnsi="Bookman Old Style"/>
          <w:i/>
          <w:iCs/>
        </w:rPr>
        <w:t xml:space="preserve">“Comentarios </w:t>
      </w:r>
      <w:r>
        <w:rPr>
          <w:rFonts w:ascii="Bookman Old Style" w:hAnsi="Bookman Old Style"/>
          <w:i/>
          <w:iCs/>
        </w:rPr>
        <w:t xml:space="preserve">al Proyecto de Resolución CREG </w:t>
      </w:r>
      <w:r w:rsidRPr="00F11613">
        <w:rPr>
          <w:rFonts w:ascii="Bookman Old Style" w:hAnsi="Bookman Old Style"/>
          <w:i/>
          <w:iCs/>
        </w:rPr>
        <w:t xml:space="preserve">701 </w:t>
      </w:r>
      <w:r w:rsidR="00F11613" w:rsidRPr="00F11613">
        <w:rPr>
          <w:rFonts w:ascii="Bookman Old Style" w:hAnsi="Bookman Old Style"/>
          <w:i/>
          <w:iCs/>
        </w:rPr>
        <w:t>026</w:t>
      </w:r>
      <w:r>
        <w:rPr>
          <w:rFonts w:ascii="Bookman Old Style" w:hAnsi="Bookman Old Style"/>
          <w:i/>
          <w:iCs/>
        </w:rPr>
        <w:t xml:space="preserve"> de 2023</w:t>
      </w:r>
      <w:r w:rsidRPr="004D3CB9">
        <w:rPr>
          <w:rFonts w:ascii="Bookman Old Style" w:hAnsi="Bookman Old Style"/>
          <w:i/>
          <w:iCs/>
        </w:rPr>
        <w:t>”</w:t>
      </w:r>
      <w:r w:rsidRPr="00E43A71">
        <w:rPr>
          <w:rFonts w:ascii="Bookman Old Style" w:hAnsi="Bookman Old Style"/>
        </w:rPr>
        <w:t>, utilizando el formato anexo</w:t>
      </w:r>
      <w:r>
        <w:rPr>
          <w:rFonts w:ascii="Bookman Old Style" w:hAnsi="Bookman Old Style"/>
          <w:i/>
          <w:iCs/>
        </w:rPr>
        <w:t xml:space="preserve">. </w:t>
      </w:r>
    </w:p>
    <w:p w14:paraId="4528BB01" w14:textId="77777777" w:rsidR="00D07EEE" w:rsidRDefault="00D07EEE" w:rsidP="00D07EEE">
      <w:pPr>
        <w:spacing w:before="240"/>
        <w:ind w:left="0"/>
        <w:jc w:val="both"/>
        <w:rPr>
          <w:rFonts w:ascii="Bookman Old Style" w:hAnsi="Bookman Old Style"/>
        </w:rPr>
      </w:pPr>
      <w:r w:rsidRPr="00DE6FA2">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Pr>
          <w:rFonts w:ascii="Bookman Old Style" w:hAnsi="Bookman Old Style"/>
        </w:rPr>
        <w:t>a</w:t>
      </w:r>
      <w:r w:rsidRPr="00DE6FA2">
        <w:rPr>
          <w:rFonts w:ascii="Bookman Old Style" w:hAnsi="Bookman Old Style"/>
        </w:rPr>
        <w:t>rtículo 2.2.2.30.5.</w:t>
      </w:r>
    </w:p>
    <w:p w14:paraId="2F239D5F" w14:textId="77777777" w:rsidR="00FB4C2D" w:rsidRPr="004D3CB9" w:rsidRDefault="00FB4C2D" w:rsidP="00D07EEE">
      <w:pPr>
        <w:spacing w:before="240"/>
        <w:ind w:left="0"/>
        <w:jc w:val="both"/>
        <w:rPr>
          <w:rFonts w:ascii="Bookman Old Style" w:hAnsi="Bookman Old Style"/>
        </w:rPr>
      </w:pPr>
    </w:p>
    <w:p w14:paraId="469AF605" w14:textId="77777777" w:rsidR="00D07EEE" w:rsidRPr="00324CE2" w:rsidRDefault="00D07EEE" w:rsidP="00FB4C2D">
      <w:pPr>
        <w:tabs>
          <w:tab w:val="left" w:pos="0"/>
          <w:tab w:val="right" w:pos="9356"/>
        </w:tabs>
        <w:spacing w:before="120"/>
        <w:ind w:left="0"/>
        <w:jc w:val="center"/>
        <w:rPr>
          <w:rFonts w:ascii="Bookman Old Style" w:hAnsi="Bookman Old Style"/>
          <w:b/>
          <w:bCs/>
          <w:lang w:val="es-ES_tradnl"/>
        </w:rPr>
      </w:pPr>
      <w:r w:rsidRPr="00324CE2">
        <w:rPr>
          <w:rFonts w:ascii="Bookman Old Style" w:hAnsi="Bookman Old Style"/>
          <w:b/>
          <w:bCs/>
          <w:lang w:val="es-ES_tradnl"/>
        </w:rPr>
        <w:t>PROYECTO DE RESOLUCIÓN</w:t>
      </w:r>
    </w:p>
    <w:p w14:paraId="41DD03CB" w14:textId="77777777" w:rsidR="00D07EEE" w:rsidRPr="0008506C" w:rsidRDefault="00D07EEE" w:rsidP="00D07EEE">
      <w:pPr>
        <w:rPr>
          <w:lang w:val="es-ES_tradnl"/>
        </w:rPr>
      </w:pPr>
    </w:p>
    <w:p w14:paraId="56E764C0" w14:textId="77777777" w:rsidR="00D07EEE" w:rsidRDefault="00D07EEE" w:rsidP="00D07EEE">
      <w:pPr>
        <w:ind w:left="0"/>
        <w:jc w:val="center"/>
        <w:rPr>
          <w:rFonts w:ascii="Bookman Old Style" w:hAnsi="Bookman Old Style"/>
        </w:rPr>
      </w:pPr>
      <w:r w:rsidRPr="0008506C">
        <w:rPr>
          <w:rFonts w:ascii="Bookman Old Style" w:hAnsi="Bookman Old Style"/>
        </w:rPr>
        <w:t xml:space="preserve">Por la cual se </w:t>
      </w:r>
      <w:r>
        <w:rPr>
          <w:rFonts w:ascii="Bookman Old Style" w:hAnsi="Bookman Old Style"/>
        </w:rPr>
        <w:t>suspende temporalmente una obligación prevista en el numeral 4.3 del Anexo 1 de la Resolución CREG 022 de 2001, relacionado con compromisos de consumo de usuarios no regulados que se conectan al STN</w:t>
      </w:r>
      <w:r w:rsidRPr="0008506C">
        <w:rPr>
          <w:rFonts w:ascii="Bookman Old Style" w:hAnsi="Bookman Old Style"/>
        </w:rPr>
        <w:t>.</w:t>
      </w:r>
    </w:p>
    <w:p w14:paraId="506332B2" w14:textId="77777777" w:rsidR="00D07EEE" w:rsidRDefault="00D07EEE" w:rsidP="00045D3D">
      <w:pPr>
        <w:ind w:left="0"/>
        <w:jc w:val="center"/>
        <w:rPr>
          <w:rFonts w:ascii="Bookman Old Style" w:hAnsi="Bookman Old Style"/>
        </w:rPr>
      </w:pPr>
    </w:p>
    <w:p w14:paraId="053FCB54" w14:textId="77777777" w:rsidR="00045D3D" w:rsidRPr="00C435C3" w:rsidRDefault="00045D3D" w:rsidP="00FB4C2D">
      <w:pPr>
        <w:rPr>
          <w:rFonts w:ascii="Bookman Old Style" w:hAnsi="Bookman Old Style"/>
        </w:rPr>
      </w:pPr>
    </w:p>
    <w:p w14:paraId="7B67FAFA" w14:textId="77777777" w:rsidR="00045D3D" w:rsidRPr="00C435C3" w:rsidRDefault="00045D3D" w:rsidP="00FB4C2D">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2739C8D4" w14:textId="77777777" w:rsidR="00045D3D" w:rsidRPr="00C435C3" w:rsidRDefault="00045D3D" w:rsidP="00045D3D">
      <w:pPr>
        <w:ind w:left="0" w:right="51"/>
        <w:rPr>
          <w:rFonts w:ascii="Bookman Old Style" w:hAnsi="Bookman Old Style"/>
        </w:rPr>
      </w:pPr>
    </w:p>
    <w:p w14:paraId="6EDA2283" w14:textId="1C0E547C" w:rsidR="00045D3D" w:rsidRPr="00C435C3" w:rsidRDefault="00045D3D" w:rsidP="00FB4C2D">
      <w:pPr>
        <w:ind w:left="284" w:right="284"/>
        <w:jc w:val="center"/>
        <w:rPr>
          <w:rFonts w:ascii="Bookman Old Style" w:hAnsi="Bookman Old Style"/>
          <w:b/>
        </w:rPr>
      </w:pPr>
      <w:r w:rsidRPr="00C435C3">
        <w:rPr>
          <w:rFonts w:ascii="Bookman Old Style" w:hAnsi="Bookman Old Style"/>
        </w:rPr>
        <w:t xml:space="preserve">En ejercicio de sus atribuciones constitucionales y legales, en especial </w:t>
      </w:r>
      <w:r w:rsidR="00FB4C2D">
        <w:rPr>
          <w:rFonts w:ascii="Bookman Old Style" w:hAnsi="Bookman Old Style"/>
        </w:rPr>
        <w:br/>
      </w:r>
      <w:r w:rsidRPr="00C435C3">
        <w:rPr>
          <w:rFonts w:ascii="Bookman Old Style" w:hAnsi="Bookman Old Style"/>
        </w:rPr>
        <w:t xml:space="preserve">las conferidas por las </w:t>
      </w:r>
      <w:r w:rsidR="002352B9">
        <w:rPr>
          <w:rFonts w:ascii="Bookman Old Style" w:hAnsi="Bookman Old Style"/>
        </w:rPr>
        <w:t>l</w:t>
      </w:r>
      <w:r w:rsidRPr="00C435C3">
        <w:rPr>
          <w:rFonts w:ascii="Bookman Old Style" w:hAnsi="Bookman Old Style"/>
        </w:rPr>
        <w:t xml:space="preserve">eyes 142 y 143 de 1994, y en desarrollo de los </w:t>
      </w:r>
      <w:r w:rsidR="005830B4" w:rsidRPr="00576D9E">
        <w:rPr>
          <w:rFonts w:ascii="Bookman Old Style" w:hAnsi="Bookman Old Style"/>
        </w:rPr>
        <w:t>Decretos 1524, 2253 de 1994 y 1260 de 2013</w:t>
      </w:r>
      <w:r w:rsidRPr="00C435C3">
        <w:rPr>
          <w:rFonts w:ascii="Bookman Old Style" w:hAnsi="Bookman Old Style"/>
        </w:rPr>
        <w:t>.</w:t>
      </w:r>
    </w:p>
    <w:p w14:paraId="416AEFF4" w14:textId="77777777" w:rsidR="00045D3D" w:rsidRDefault="00045D3D" w:rsidP="00FB4C2D">
      <w:pPr>
        <w:ind w:left="0" w:right="51"/>
        <w:rPr>
          <w:rFonts w:ascii="Bookman Old Style" w:hAnsi="Bookman Old Style"/>
        </w:rPr>
      </w:pPr>
    </w:p>
    <w:p w14:paraId="23519171" w14:textId="77777777" w:rsidR="00FB4C2D" w:rsidRDefault="00FB4C2D" w:rsidP="00FB4C2D">
      <w:pPr>
        <w:ind w:left="0"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04D08FF7" w14:textId="77777777" w:rsidR="00045D3D" w:rsidRDefault="00045D3D" w:rsidP="00045D3D">
      <w:pPr>
        <w:ind w:left="0"/>
        <w:jc w:val="both"/>
        <w:rPr>
          <w:rFonts w:ascii="Bookman Old Style" w:hAnsi="Bookman Old Style"/>
        </w:rPr>
      </w:pPr>
    </w:p>
    <w:p w14:paraId="109935BA" w14:textId="77777777" w:rsidR="007F5EEF" w:rsidRPr="00273924" w:rsidRDefault="007F5EEF" w:rsidP="00FB4C2D">
      <w:pPr>
        <w:ind w:left="0"/>
        <w:jc w:val="both"/>
        <w:rPr>
          <w:rStyle w:val="normaltextrun"/>
          <w:rFonts w:ascii="Bookman Old Style" w:hAnsi="Bookman Old Style" w:cs="Segoe UI"/>
        </w:rPr>
      </w:pPr>
      <w:r w:rsidRPr="00273924">
        <w:rPr>
          <w:rStyle w:val="normaltextrun"/>
          <w:rFonts w:ascii="Bookman Old Style" w:hAnsi="Bookman Old Style" w:cs="Segoe UI"/>
        </w:rPr>
        <w:t>De conformidad con el artículo 20 de la Ley 143 de 1994, la función de</w:t>
      </w:r>
      <w:r>
        <w:rPr>
          <w:rStyle w:val="normaltextrun"/>
          <w:rFonts w:ascii="Bookman Old Style" w:hAnsi="Bookman Old Style" w:cs="Segoe UI"/>
        </w:rPr>
        <w:t xml:space="preserve"> la</w:t>
      </w:r>
      <w:r w:rsidRPr="00273924">
        <w:rPr>
          <w:rStyle w:val="normaltextrun"/>
          <w:rFonts w:ascii="Bookman Old Style" w:hAnsi="Bookman Old Style" w:cs="Segoe UI"/>
        </w:rPr>
        <w:t xml:space="preserve"> regulación tiene como objetivo </w:t>
      </w:r>
      <w:r>
        <w:rPr>
          <w:rStyle w:val="normaltextrun"/>
          <w:rFonts w:ascii="Bookman Old Style" w:hAnsi="Bookman Old Style" w:cs="Segoe UI"/>
        </w:rPr>
        <w:t>principal</w:t>
      </w:r>
      <w:r w:rsidRPr="00273924">
        <w:rPr>
          <w:rStyle w:val="normaltextrun"/>
          <w:rFonts w:ascii="Bookman Old Style" w:hAnsi="Bookman Old Style" w:cs="Segoe UI"/>
        </w:rPr>
        <w:t xml:space="preserve"> asegurar una adecuada prestación del servicio, mediante el aprovechamiento eficiente de los diferentes recursos </w:t>
      </w:r>
      <w:r w:rsidRPr="00273924">
        <w:rPr>
          <w:rStyle w:val="normaltextrun"/>
          <w:rFonts w:ascii="Bookman Old Style" w:hAnsi="Bookman Old Style" w:cs="Segoe UI"/>
        </w:rPr>
        <w:lastRenderedPageBreak/>
        <w:t>energéticos en beneficio del usuario, en términos de calidad, oportunidad y costo del servicio.</w:t>
      </w:r>
    </w:p>
    <w:p w14:paraId="60AEC7FB"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Para el logro del mencionado objetivo, la citada Ley le asignó a la Comisión de Regulación de Energía y Gas, CREG, la función de promover</w:t>
      </w:r>
      <w:bookmarkStart w:id="0" w:name="_GoBack"/>
      <w:bookmarkEnd w:id="0"/>
      <w:r w:rsidRPr="00273924">
        <w:rPr>
          <w:rStyle w:val="normaltextrun"/>
          <w:rFonts w:ascii="Bookman Old Style" w:hAnsi="Bookman Old Style" w:cs="Segoe UI"/>
        </w:rPr>
        <w:t xml:space="preserve">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2C3AD6DB"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La Ley 143 de 1994, en sus artículos 23 y 41, asignó a la CREG la función de establecer la metodología de cálculo y aprobar las tarifas por el acceso y uso de las redes eléctricas, así como los procedimientos para hacer efectivo su pago.</w:t>
      </w:r>
    </w:p>
    <w:p w14:paraId="68514DE6"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El artículo 39 de la Ley 143 de 1994 establece que los cargos asociados con el acceso y uso del Sistema de Transmisión Nacional, STN, deben cubrir los costos de inversión de las redes, incluido el costo de oportunidad del capital y los costos de administración, operación y mantenimiento, en condiciones adecuadas de calidad y confiabilidad, y en condiciones óptimas de gestión, teniendo en cuenta criterios de viabilidad financiera.</w:t>
      </w:r>
    </w:p>
    <w:p w14:paraId="12264F31"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El artículo 18 de la Ley 143 de 1994 determina que compete al Ministerio de Minas y Energía definir los planes de expansión de la red de interconexión, buscando optimizar el balance de los recursos energéticos para la satisfacción de la demanda nacional de electricidad, en concordancia con el Plan Nacional de Desarrollo y el Plan Energético Nacional. El mismo artículo ordena que la CREG debe desarrollar el marco regulatorio que incentive la inversión en expansión de la capacidad de transmisión del sistema interconectado por parte de inversionistas estratégicos, y establecer esquemas que promuevan la entrada de nueva capacidad de transmisión.</w:t>
      </w:r>
    </w:p>
    <w:p w14:paraId="62B8CE16"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Igualmente,</w:t>
      </w:r>
      <w:r>
        <w:rPr>
          <w:rStyle w:val="normaltextrun"/>
          <w:rFonts w:ascii="Bookman Old Style" w:hAnsi="Bookman Old Style" w:cs="Segoe UI"/>
        </w:rPr>
        <w:t xml:space="preserve"> el parágrafo 2 del artículo 18 de la Ley 143 de 1994,</w:t>
      </w:r>
      <w:r w:rsidRPr="00273924">
        <w:rPr>
          <w:rStyle w:val="normaltextrun"/>
          <w:rFonts w:ascii="Bookman Old Style" w:hAnsi="Bookman Old Style" w:cs="Segoe UI"/>
        </w:rPr>
        <w:t xml:space="preserve"> señala que el Gobierno Nacional tomará las medidas necesarias para garantizar la confiabilidad en el sistema de energía eléctrica del país, y sólo asumirá los riesgos inherentes a la construcción y explotación de proyectos de transmisión cuando no se logre la incorporación de inversionistas estratégicos, siempre y cuando los proyectos sean sostenibles financiera y fiscalmente, de acuerdo con el marco fiscal de mediano plazo. </w:t>
      </w:r>
    </w:p>
    <w:p w14:paraId="66C7002D" w14:textId="77777777" w:rsidR="007F5EEF" w:rsidRPr="00677685" w:rsidRDefault="007F5EEF" w:rsidP="007F5EEF">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t>El numeral 3.8 del artículo 3 de la Ley 142 de 1994 definió como instrumentos de intervención estatal en los servicios públicos domiciliarios, aquellos que promuevan un estímulo a la inversión de los particulares en los mencionados servicios.</w:t>
      </w:r>
    </w:p>
    <w:p w14:paraId="7B5EA48C" w14:textId="77777777" w:rsidR="007F5EEF" w:rsidRPr="00677685" w:rsidRDefault="007F5EEF" w:rsidP="007F5EEF">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t>La Ley 143 de 1994, artículo 6, dispuso que las actividades relacionadas con el servicio de electricidad se regirán, entre otros principios, por el de eficiencia, el cual “</w:t>
      </w:r>
      <w:r w:rsidRPr="00220835">
        <w:rPr>
          <w:rStyle w:val="normaltextrun"/>
          <w:rFonts w:ascii="Bookman Old Style" w:hAnsi="Bookman Old Style" w:cs="Segoe UI"/>
          <w:i/>
          <w:iCs/>
        </w:rPr>
        <w:t>obliga a la correcta asignación y utilización de los recursos de tal forma que se garantice la prestación del servicio al menor costo económico</w:t>
      </w:r>
      <w:r w:rsidRPr="00677685">
        <w:rPr>
          <w:rStyle w:val="normaltextrun"/>
          <w:rFonts w:ascii="Bookman Old Style" w:hAnsi="Bookman Old Style" w:cs="Segoe UI"/>
        </w:rPr>
        <w:t>”.</w:t>
      </w:r>
    </w:p>
    <w:p w14:paraId="78DB85C4" w14:textId="77777777" w:rsidR="007F5EEF" w:rsidRDefault="007F5EEF" w:rsidP="007F5EEF">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En el artículo 16 de la Ley 143 de 1994 se dispone que la </w:t>
      </w:r>
      <w:r w:rsidRPr="006A64BE">
        <w:rPr>
          <w:rStyle w:val="normaltextrun"/>
          <w:rFonts w:ascii="Bookman Old Style" w:hAnsi="Bookman Old Style" w:cs="Segoe UI"/>
        </w:rPr>
        <w:t>Unidad de Planeación Minero</w:t>
      </w:r>
      <w:r>
        <w:rPr>
          <w:rStyle w:val="normaltextrun"/>
          <w:rFonts w:ascii="Bookman Old Style" w:hAnsi="Bookman Old Style" w:cs="Segoe UI"/>
        </w:rPr>
        <w:t xml:space="preserve"> </w:t>
      </w:r>
      <w:r w:rsidRPr="006A64BE">
        <w:rPr>
          <w:rStyle w:val="normaltextrun"/>
          <w:rFonts w:ascii="Bookman Old Style" w:hAnsi="Bookman Old Style" w:cs="Segoe UI"/>
        </w:rPr>
        <w:t>Energética</w:t>
      </w:r>
      <w:r>
        <w:rPr>
          <w:rStyle w:val="normaltextrun"/>
          <w:rFonts w:ascii="Bookman Old Style" w:hAnsi="Bookman Old Style" w:cs="Segoe UI"/>
        </w:rPr>
        <w:t>, UPME, será la encargada de e</w:t>
      </w:r>
      <w:r w:rsidRPr="00275A33">
        <w:rPr>
          <w:rStyle w:val="normaltextrun"/>
          <w:rFonts w:ascii="Bookman Old Style" w:hAnsi="Bookman Old Style" w:cs="Segoe UI"/>
        </w:rPr>
        <w:t>laborar y actualizar el Plan de Expansión del sector eléctrico</w:t>
      </w:r>
      <w:r>
        <w:rPr>
          <w:rStyle w:val="normaltextrun"/>
          <w:rFonts w:ascii="Bookman Old Style" w:hAnsi="Bookman Old Style" w:cs="Segoe UI"/>
        </w:rPr>
        <w:t>.</w:t>
      </w:r>
    </w:p>
    <w:p w14:paraId="18A7BA99" w14:textId="77777777" w:rsidR="007F5EEF" w:rsidRPr="00273924" w:rsidRDefault="007F5EEF" w:rsidP="007F5EEF">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lastRenderedPageBreak/>
        <w:t xml:space="preserve">Los criterios y la forma para elaborar el Plan de Expansión del Sistema </w:t>
      </w:r>
      <w:r w:rsidRPr="00273924">
        <w:rPr>
          <w:rStyle w:val="normaltextrun"/>
          <w:rFonts w:ascii="Bookman Old Style" w:hAnsi="Bookman Old Style" w:cs="Segoe UI"/>
        </w:rPr>
        <w:t>Interconectado Nacional fueron establecidos por el Ministerio de Minas y Energía, MME, mediante la Resolución 181313 de 2002.</w:t>
      </w:r>
    </w:p>
    <w:p w14:paraId="75AE45F0" w14:textId="77777777" w:rsidR="007F5EEF" w:rsidRPr="00273924"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El MME mediante la Resolución 180924 de 2003, establec</w:t>
      </w:r>
      <w:r>
        <w:rPr>
          <w:rStyle w:val="normaltextrun"/>
          <w:rFonts w:ascii="Bookman Old Style" w:hAnsi="Bookman Old Style" w:cs="Segoe UI"/>
        </w:rPr>
        <w:t>ió</w:t>
      </w:r>
      <w:r w:rsidRPr="00273924">
        <w:rPr>
          <w:rStyle w:val="normaltextrun"/>
          <w:rFonts w:ascii="Bookman Old Style" w:hAnsi="Bookman Old Style" w:cs="Segoe UI"/>
        </w:rPr>
        <w:t xml:space="preserve"> y desarroll</w:t>
      </w:r>
      <w:r>
        <w:rPr>
          <w:rStyle w:val="normaltextrun"/>
          <w:rFonts w:ascii="Bookman Old Style" w:hAnsi="Bookman Old Style" w:cs="Segoe UI"/>
        </w:rPr>
        <w:t>ó</w:t>
      </w:r>
      <w:r w:rsidRPr="00273924">
        <w:rPr>
          <w:rStyle w:val="normaltextrun"/>
          <w:rFonts w:ascii="Bookman Old Style" w:hAnsi="Bookman Old Style" w:cs="Segoe UI"/>
        </w:rPr>
        <w:t xml:space="preserve"> el mecanismo de las Convocatorias Públicas para la ejecución de los proyectos definidos en el Plan de Expansión de Transmisión del Sistema Interconectado Nacional.</w:t>
      </w:r>
    </w:p>
    <w:p w14:paraId="39BDF788" w14:textId="77777777" w:rsidR="007F5EEF" w:rsidRDefault="007F5EEF" w:rsidP="007F5EEF">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 xml:space="preserve">La Comisión, mediante </w:t>
      </w:r>
      <w:r>
        <w:rPr>
          <w:rStyle w:val="normaltextrun"/>
          <w:rFonts w:ascii="Bookman Old Style" w:hAnsi="Bookman Old Style" w:cs="Segoe UI"/>
        </w:rPr>
        <w:t xml:space="preserve">la </w:t>
      </w:r>
      <w:r w:rsidRPr="00273924">
        <w:rPr>
          <w:rStyle w:val="normaltextrun"/>
          <w:rFonts w:ascii="Bookman Old Style" w:hAnsi="Bookman Old Style" w:cs="Segoe UI"/>
        </w:rPr>
        <w:t xml:space="preserve">Resolución CREG 022 de 2001, aprobó los principios generales y los procedimientos para definir el Plan de Expansión de Referencia del STN, modificando el numeral 7 del Código de Planeamiento de la Expansión del Sistema de Transmisión Nacional, y estableció la metodología para determinar el Ingreso Regulado por concepto del uso de este sistema. Mediante las resoluciones CREG 085 de 2002, </w:t>
      </w:r>
      <w:r>
        <w:rPr>
          <w:rStyle w:val="normaltextrun"/>
          <w:rFonts w:ascii="Bookman Old Style" w:hAnsi="Bookman Old Style" w:cs="Segoe UI"/>
        </w:rPr>
        <w:t xml:space="preserve">001 y 008 de 2006, </w:t>
      </w:r>
      <w:r w:rsidRPr="00273924">
        <w:rPr>
          <w:rStyle w:val="normaltextrun"/>
          <w:rFonts w:ascii="Bookman Old Style" w:hAnsi="Bookman Old Style" w:cs="Segoe UI"/>
        </w:rPr>
        <w:t>093 de 2007, 147 de 2011</w:t>
      </w:r>
      <w:r>
        <w:rPr>
          <w:rStyle w:val="normaltextrun"/>
          <w:rFonts w:ascii="Bookman Old Style" w:hAnsi="Bookman Old Style" w:cs="Segoe UI"/>
        </w:rPr>
        <w:t>,</w:t>
      </w:r>
      <w:r w:rsidRPr="00273924">
        <w:rPr>
          <w:rStyle w:val="normaltextrun"/>
          <w:rFonts w:ascii="Bookman Old Style" w:hAnsi="Bookman Old Style" w:cs="Segoe UI"/>
        </w:rPr>
        <w:t xml:space="preserve"> 064 de 2013</w:t>
      </w:r>
      <w:r>
        <w:rPr>
          <w:rStyle w:val="normaltextrun"/>
          <w:rFonts w:ascii="Bookman Old Style" w:hAnsi="Bookman Old Style" w:cs="Segoe UI"/>
        </w:rPr>
        <w:t xml:space="preserve"> y 193 de 2020</w:t>
      </w:r>
      <w:r w:rsidRPr="00273924">
        <w:rPr>
          <w:rStyle w:val="normaltextrun"/>
          <w:rFonts w:ascii="Bookman Old Style" w:hAnsi="Bookman Old Style" w:cs="Segoe UI"/>
        </w:rPr>
        <w:t>, se modificaron algunos apartes de la Resolución CREG 022 de 2001.</w:t>
      </w:r>
    </w:p>
    <w:p w14:paraId="47CDF33F" w14:textId="77777777" w:rsidR="007F5EEF" w:rsidRDefault="007F5EEF" w:rsidP="007F5EEF">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En el literal b) del numeral 4.3.1 del Anexo 1 de la Resolución CREG 022 de 2001, relacionado con las </w:t>
      </w:r>
      <w:r w:rsidRPr="00701152">
        <w:rPr>
          <w:rStyle w:val="normaltextrun"/>
          <w:rFonts w:ascii="Bookman Old Style" w:hAnsi="Bookman Old Style" w:cs="Segoe UI"/>
        </w:rPr>
        <w:t>obligaciones a garantizar</w:t>
      </w:r>
      <w:r>
        <w:rPr>
          <w:rStyle w:val="normaltextrun"/>
          <w:rFonts w:ascii="Bookman Old Style" w:hAnsi="Bookman Old Style" w:cs="Segoe UI"/>
        </w:rPr>
        <w:t xml:space="preserve"> </w:t>
      </w:r>
      <w:r w:rsidRPr="00135738">
        <w:rPr>
          <w:rStyle w:val="normaltextrun"/>
          <w:rFonts w:ascii="Bookman Old Style" w:hAnsi="Bookman Old Style" w:cs="Segoe UI"/>
        </w:rPr>
        <w:t>en los casos de conexión de nuevas cargas</w:t>
      </w:r>
      <w:r>
        <w:rPr>
          <w:rStyle w:val="normaltextrun"/>
          <w:rFonts w:ascii="Bookman Old Style" w:hAnsi="Bookman Old Style" w:cs="Segoe UI"/>
        </w:rPr>
        <w:t>, se establece lo siguiente:</w:t>
      </w:r>
    </w:p>
    <w:p w14:paraId="42F9A5BB" w14:textId="77777777" w:rsidR="007F5EEF" w:rsidRPr="00135738" w:rsidRDefault="007F5EEF" w:rsidP="007F5EEF">
      <w:pPr>
        <w:pStyle w:val="Citas"/>
        <w:spacing w:before="120" w:after="120"/>
        <w:ind w:left="284" w:right="284"/>
        <w:rPr>
          <w:lang w:val="es-ES_tradnl"/>
        </w:rPr>
      </w:pPr>
      <w:r>
        <w:t>“</w:t>
      </w:r>
      <w:r w:rsidRPr="00135738">
        <w:rPr>
          <w:lang w:val="es-ES_tradnl"/>
        </w:rPr>
        <w:t>b) Tomar energía del sistema, durante diez (10) meses contados entre el noveno y el decimoctavo mes después de la fecha de puesta en operación de la conexión de cada usuario, en un valor igual o superior al 90% de la demanda de energía que el usuario proyectó consumir durante este mismo período, de acuerdo con la información entregada en cumplimiento de lo previsto en el literal a) del numeral 4.1 de este anexo.</w:t>
      </w:r>
    </w:p>
    <w:p w14:paraId="7E57DBB5" w14:textId="77777777" w:rsidR="007F5EEF" w:rsidRPr="00135738" w:rsidRDefault="007F5EEF" w:rsidP="007F5EEF">
      <w:pPr>
        <w:pStyle w:val="Citas"/>
        <w:spacing w:before="120" w:after="120"/>
        <w:ind w:left="284" w:right="284"/>
        <w:rPr>
          <w:lang w:val="es-ES_tradnl"/>
        </w:rPr>
      </w:pPr>
      <w:r w:rsidRPr="00135738">
        <w:rPr>
          <w:lang w:val="es-ES_tradnl"/>
        </w:rPr>
        <w:t>Esta obligación no aplica para los OR.</w:t>
      </w:r>
    </w:p>
    <w:p w14:paraId="0B94BAB9" w14:textId="77777777" w:rsidR="007F5EEF" w:rsidRPr="000A4387" w:rsidRDefault="007F5EEF" w:rsidP="007F5EEF">
      <w:pPr>
        <w:pStyle w:val="Citas"/>
        <w:spacing w:before="120" w:after="120"/>
        <w:ind w:left="284" w:right="284"/>
        <w:rPr>
          <w:lang w:val="es-ES_tradnl"/>
        </w:rPr>
      </w:pPr>
      <w:r w:rsidRPr="00135738">
        <w:rPr>
          <w:lang w:val="es-ES_tradnl"/>
        </w:rPr>
        <w:t>Para los usuarios finales, esta obligación se entenderá cumplida con la liquidación de los consumos que efectúe el ASIC en la respectiva frontera comercial del usuario, en la que se determine que, en suma, durante cualquier período de diez meses continuos, antes de completarse el decimoctavo, dicho usuario tomó energía en un valor igual o superior al 90% de la demanda de energía que se proyectó atender entre el noveno y el decimoctavo mes después de la fecha de puesta en operación</w:t>
      </w:r>
      <w:r>
        <w:rPr>
          <w:lang w:val="es-ES_tradnl"/>
        </w:rPr>
        <w:t>”</w:t>
      </w:r>
      <w:r w:rsidRPr="000A4387">
        <w:rPr>
          <w:lang w:val="es-ES_tradnl"/>
        </w:rPr>
        <w:t>.</w:t>
      </w:r>
    </w:p>
    <w:p w14:paraId="63CC0A5F" w14:textId="145F97FB" w:rsidR="007F5EEF" w:rsidRDefault="007F5EEF" w:rsidP="007F5EEF">
      <w:pPr>
        <w:spacing w:before="240"/>
        <w:ind w:left="0"/>
        <w:jc w:val="both"/>
        <w:rPr>
          <w:rStyle w:val="normaltextrun"/>
          <w:rFonts w:ascii="Bookman Old Style" w:hAnsi="Bookman Old Style" w:cs="Segoe UI"/>
        </w:rPr>
      </w:pPr>
      <w:r>
        <w:rPr>
          <w:rStyle w:val="normaltextrun"/>
          <w:rFonts w:ascii="Bookman Old Style" w:hAnsi="Bookman Old Style" w:cs="Segoe UI"/>
        </w:rPr>
        <w:t>Mediante comunicaciones recibidas de un operador de red, una agremiación y un usuario no regulado, UNR, se solicitó a la Comisión analizar la posibilidad</w:t>
      </w:r>
      <w:r w:rsidR="00FB4C2D">
        <w:rPr>
          <w:rStyle w:val="normaltextrun"/>
          <w:rFonts w:ascii="Bookman Old Style" w:hAnsi="Bookman Old Style" w:cs="Segoe UI"/>
        </w:rPr>
        <w:t>,</w:t>
      </w:r>
      <w:r>
        <w:rPr>
          <w:rStyle w:val="normaltextrun"/>
          <w:rFonts w:ascii="Bookman Old Style" w:hAnsi="Bookman Old Style" w:cs="Segoe UI"/>
        </w:rPr>
        <w:t xml:space="preserve"> de</w:t>
      </w:r>
      <w:r w:rsidR="00FB4C2D">
        <w:rPr>
          <w:rStyle w:val="normaltextrun"/>
          <w:rFonts w:ascii="Bookman Old Style" w:hAnsi="Bookman Old Style" w:cs="Segoe UI"/>
        </w:rPr>
        <w:t xml:space="preserve"> forma temporal,</w:t>
      </w:r>
      <w:r>
        <w:rPr>
          <w:rStyle w:val="normaltextrun"/>
          <w:rFonts w:ascii="Bookman Old Style" w:hAnsi="Bookman Old Style" w:cs="Segoe UI"/>
        </w:rPr>
        <w:t xml:space="preserve"> </w:t>
      </w:r>
      <w:r w:rsidR="00FB4C2D">
        <w:rPr>
          <w:rStyle w:val="normaltextrun"/>
          <w:rFonts w:ascii="Bookman Old Style" w:hAnsi="Bookman Old Style" w:cs="Segoe UI"/>
        </w:rPr>
        <w:t xml:space="preserve">de </w:t>
      </w:r>
      <w:r>
        <w:rPr>
          <w:rStyle w:val="normaltextrun"/>
          <w:rFonts w:ascii="Bookman Old Style" w:hAnsi="Bookman Old Style" w:cs="Segoe UI"/>
        </w:rPr>
        <w:t>no exigir el compromiso de toma de energía</w:t>
      </w:r>
      <w:r w:rsidDel="00ED14B9">
        <w:rPr>
          <w:rStyle w:val="normaltextrun"/>
          <w:rFonts w:ascii="Bookman Old Style" w:hAnsi="Bookman Old Style" w:cs="Segoe UI"/>
        </w:rPr>
        <w:t xml:space="preserve"> </w:t>
      </w:r>
      <w:r>
        <w:rPr>
          <w:rStyle w:val="normaltextrun"/>
          <w:rFonts w:ascii="Bookman Old Style" w:hAnsi="Bookman Old Style" w:cs="Segoe UI"/>
        </w:rPr>
        <w:t>que tienen los UNR que se conectan a un proyecto del STN. El detalle de las comunicaciones recibidas se incluye en el documento soporte de esta resolución.</w:t>
      </w:r>
    </w:p>
    <w:p w14:paraId="25B6BD13" w14:textId="5907182C" w:rsidR="007F5EEF" w:rsidRDefault="007F5EEF" w:rsidP="007F5EEF">
      <w:pPr>
        <w:spacing w:before="240"/>
        <w:ind w:left="0"/>
        <w:jc w:val="both"/>
        <w:rPr>
          <w:rStyle w:val="normaltextrun"/>
          <w:rFonts w:ascii="Bookman Old Style" w:hAnsi="Bookman Old Style" w:cs="Segoe UI"/>
        </w:rPr>
      </w:pPr>
      <w:r>
        <w:rPr>
          <w:rStyle w:val="normaltextrun"/>
          <w:rFonts w:ascii="Bookman Old Style" w:hAnsi="Bookman Old Style" w:cs="Segoe UI"/>
        </w:rPr>
        <w:t>La solicitud realizada en dichas comunicaciones</w:t>
      </w:r>
      <w:r w:rsidR="00FB4C2D">
        <w:rPr>
          <w:rStyle w:val="normaltextrun"/>
          <w:rFonts w:ascii="Bookman Old Style" w:hAnsi="Bookman Old Style" w:cs="Segoe UI"/>
        </w:rPr>
        <w:t xml:space="preserve"> busca que se incentive el uso eficiente de energía y de mecanismos de gestión de demanda por parte de los usuarios a los que aplica dicho requisito, que resulten en reducciones de consumo de energía con el propósito de aliviar los posibles efectos del Fenómeno de El Niño</w:t>
      </w:r>
      <w:r>
        <w:rPr>
          <w:rStyle w:val="normaltextrun"/>
          <w:rFonts w:ascii="Bookman Old Style" w:hAnsi="Bookman Old Style" w:cs="Segoe UI"/>
        </w:rPr>
        <w:t>.</w:t>
      </w:r>
    </w:p>
    <w:p w14:paraId="6E803E38" w14:textId="2C3F5D14" w:rsidR="007F5EEF" w:rsidRDefault="003C6942" w:rsidP="007F5EEF">
      <w:pPr>
        <w:spacing w:before="240"/>
        <w:ind w:left="0"/>
        <w:jc w:val="both"/>
        <w:rPr>
          <w:rStyle w:val="normaltextrun"/>
          <w:rFonts w:ascii="Bookman Old Style" w:hAnsi="Bookman Old Style" w:cs="Segoe UI"/>
        </w:rPr>
      </w:pPr>
      <w:r>
        <w:rPr>
          <w:rStyle w:val="normaltextrun"/>
          <w:rFonts w:ascii="Bookman Old Style" w:hAnsi="Bookman Old Style" w:cs="Segoe UI"/>
        </w:rPr>
        <w:t>Conforme a lo anterior, l</w:t>
      </w:r>
      <w:r w:rsidR="007F5EEF">
        <w:rPr>
          <w:rStyle w:val="normaltextrun"/>
          <w:rFonts w:ascii="Bookman Old Style" w:hAnsi="Bookman Old Style" w:cs="Segoe UI"/>
        </w:rPr>
        <w:t>a Comisión consideró conveniente proponer una suspensión temporal de la verificación de toma de energía por parte de los UNR</w:t>
      </w:r>
      <w:r>
        <w:rPr>
          <w:rStyle w:val="normaltextrun"/>
          <w:rFonts w:ascii="Bookman Old Style" w:hAnsi="Bookman Old Style" w:cs="Segoe UI"/>
        </w:rPr>
        <w:t xml:space="preserve"> </w:t>
      </w:r>
      <w:r>
        <w:rPr>
          <w:rStyle w:val="normaltextrun"/>
          <w:rFonts w:ascii="Bookman Old Style" w:hAnsi="Bookman Old Style" w:cs="Segoe UI"/>
        </w:rPr>
        <w:lastRenderedPageBreak/>
        <w:t>durante el período de El Niño</w:t>
      </w:r>
      <w:r w:rsidR="007F5EEF">
        <w:rPr>
          <w:rStyle w:val="normaltextrun"/>
          <w:rFonts w:ascii="Bookman Old Style" w:hAnsi="Bookman Old Style" w:cs="Segoe UI"/>
        </w:rPr>
        <w:t xml:space="preserve"> y, en consecuencia, se propone un ajuste al numeral 4.3.1 del Anexo 1 de la Resolución CREG 022 de 2001.</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426D502D" w14:textId="77777777" w:rsidR="00C71041" w:rsidRPr="00C90D81" w:rsidRDefault="00C71041" w:rsidP="00C71041">
      <w:pPr>
        <w:pStyle w:val="Estilo5"/>
        <w:keepNext w:val="0"/>
        <w:numPr>
          <w:ilvl w:val="0"/>
          <w:numId w:val="23"/>
        </w:numPr>
        <w:tabs>
          <w:tab w:val="left" w:pos="1560"/>
        </w:tabs>
        <w:spacing w:after="0"/>
        <w:ind w:left="0" w:right="142"/>
        <w:outlineLvl w:val="9"/>
        <w:rPr>
          <w:b w:val="0"/>
          <w:bCs/>
        </w:rPr>
      </w:pPr>
      <w:r>
        <w:t>Suspensión de la aplicación de un aparte de la Resolución CREG 022 de 2001</w:t>
      </w:r>
      <w:r w:rsidRPr="00F643D7">
        <w:t>.</w:t>
      </w:r>
      <w:r w:rsidRPr="00F643D7">
        <w:rPr>
          <w:b w:val="0"/>
          <w:bCs/>
        </w:rPr>
        <w:t xml:space="preserve"> </w:t>
      </w:r>
      <w:r>
        <w:rPr>
          <w:b w:val="0"/>
          <w:bCs/>
        </w:rPr>
        <w:t xml:space="preserve">Durante el plazo de esta medida, definido en el </w:t>
      </w:r>
      <w:bookmarkStart w:id="1" w:name="_Hlk144847067"/>
      <w:r>
        <w:rPr>
          <w:b w:val="0"/>
          <w:bCs/>
        </w:rPr>
        <w:t xml:space="preserve">artículo </w:t>
      </w:r>
      <w:r>
        <w:rPr>
          <w:b w:val="0"/>
          <w:bCs/>
        </w:rPr>
        <w:fldChar w:fldCharType="begin"/>
      </w:r>
      <w:r>
        <w:rPr>
          <w:b w:val="0"/>
          <w:bCs/>
        </w:rPr>
        <w:instrText xml:space="preserve"> REF _Ref144846887 \r \h \t</w:instrText>
      </w:r>
      <w:r>
        <w:rPr>
          <w:b w:val="0"/>
          <w:bCs/>
        </w:rPr>
      </w:r>
      <w:r>
        <w:rPr>
          <w:b w:val="0"/>
          <w:bCs/>
        </w:rPr>
        <w:fldChar w:fldCharType="separate"/>
      </w:r>
      <w:r>
        <w:rPr>
          <w:b w:val="0"/>
          <w:bCs/>
        </w:rPr>
        <w:t>2</w:t>
      </w:r>
      <w:r>
        <w:rPr>
          <w:b w:val="0"/>
          <w:bCs/>
        </w:rPr>
        <w:fldChar w:fldCharType="end"/>
      </w:r>
      <w:r>
        <w:rPr>
          <w:b w:val="0"/>
          <w:bCs/>
        </w:rPr>
        <w:t xml:space="preserve"> de esta resolución</w:t>
      </w:r>
      <w:bookmarkEnd w:id="1"/>
      <w:r>
        <w:rPr>
          <w:b w:val="0"/>
          <w:bCs/>
        </w:rPr>
        <w:t xml:space="preserve">, se suspende la obligación de toma de energía del sistema por parte de los Usuarios No Regulados que se conectan al </w:t>
      </w:r>
      <w:r w:rsidRPr="00220835">
        <w:rPr>
          <w:b w:val="0"/>
          <w:bCs/>
        </w:rPr>
        <w:t>Sistema Interconectado Nacional</w:t>
      </w:r>
      <w:r>
        <w:rPr>
          <w:b w:val="0"/>
          <w:bCs/>
        </w:rPr>
        <w:t xml:space="preserve">, establecida en el literal b) del numeral 4.3.1 del Anexo 1 de la </w:t>
      </w:r>
      <w:r w:rsidRPr="008F4D66">
        <w:rPr>
          <w:rFonts w:cs="Arial"/>
          <w:b w:val="0"/>
          <w:bCs/>
        </w:rPr>
        <w:t>Resolución CREG 0</w:t>
      </w:r>
      <w:r>
        <w:rPr>
          <w:rFonts w:cs="Arial"/>
          <w:b w:val="0"/>
          <w:bCs/>
        </w:rPr>
        <w:t>22</w:t>
      </w:r>
      <w:r w:rsidRPr="008F4D66">
        <w:rPr>
          <w:rFonts w:cs="Arial"/>
          <w:b w:val="0"/>
          <w:bCs/>
        </w:rPr>
        <w:t xml:space="preserve"> de 20</w:t>
      </w:r>
      <w:r>
        <w:rPr>
          <w:rFonts w:cs="Arial"/>
          <w:b w:val="0"/>
          <w:bCs/>
        </w:rPr>
        <w:t>0</w:t>
      </w:r>
      <w:r w:rsidRPr="008F4D66">
        <w:rPr>
          <w:rFonts w:cs="Arial"/>
          <w:b w:val="0"/>
          <w:bCs/>
        </w:rPr>
        <w:t>1</w:t>
      </w:r>
      <w:r>
        <w:rPr>
          <w:rFonts w:cs="Arial"/>
          <w:b w:val="0"/>
          <w:bCs/>
        </w:rPr>
        <w:t>.</w:t>
      </w:r>
    </w:p>
    <w:p w14:paraId="76A9B11A" w14:textId="15E28C27" w:rsidR="00C71041" w:rsidRDefault="00C71041" w:rsidP="00C71041">
      <w:pPr>
        <w:spacing w:before="240"/>
        <w:ind w:left="0"/>
        <w:jc w:val="both"/>
        <w:rPr>
          <w:rFonts w:ascii="Bookman Old Style" w:hAnsi="Bookman Old Style"/>
        </w:rPr>
      </w:pPr>
      <w:r w:rsidRPr="00C90D81">
        <w:rPr>
          <w:rFonts w:ascii="Bookman Old Style" w:hAnsi="Bookman Old Style"/>
        </w:rPr>
        <w:t>Los meses durante los que aplique esta medida no se contar</w:t>
      </w:r>
      <w:r>
        <w:rPr>
          <w:rFonts w:ascii="Bookman Old Style" w:hAnsi="Bookman Old Style"/>
        </w:rPr>
        <w:t>á</w:t>
      </w:r>
      <w:r w:rsidRPr="00C90D81">
        <w:rPr>
          <w:rFonts w:ascii="Bookman Old Style" w:hAnsi="Bookman Old Style"/>
        </w:rPr>
        <w:t xml:space="preserve">n como parte del periodo de </w:t>
      </w:r>
      <w:r>
        <w:rPr>
          <w:rFonts w:ascii="Bookman Old Style" w:hAnsi="Bookman Old Style"/>
        </w:rPr>
        <w:t xml:space="preserve">cumplimiento de la obligación </w:t>
      </w:r>
      <w:r w:rsidRPr="00C90D81">
        <w:rPr>
          <w:rFonts w:ascii="Bookman Old Style" w:hAnsi="Bookman Old Style"/>
        </w:rPr>
        <w:t>establecido en</w:t>
      </w:r>
      <w:r>
        <w:rPr>
          <w:rFonts w:ascii="Bookman Old Style" w:hAnsi="Bookman Old Style"/>
        </w:rPr>
        <w:t xml:space="preserve"> </w:t>
      </w:r>
      <w:r w:rsidRPr="00C90D81">
        <w:rPr>
          <w:rFonts w:ascii="Bookman Old Style" w:hAnsi="Bookman Old Style"/>
        </w:rPr>
        <w:t xml:space="preserve">el </w:t>
      </w:r>
      <w:r>
        <w:rPr>
          <w:rFonts w:ascii="Bookman Old Style" w:hAnsi="Bookman Old Style"/>
        </w:rPr>
        <w:t xml:space="preserve">literal b) del numeral 4.3.1 del Anexo 1 de la Resolución CREG 022 de 2001 </w:t>
      </w:r>
      <w:r w:rsidRPr="00C90D81">
        <w:rPr>
          <w:rFonts w:ascii="Bookman Old Style" w:hAnsi="Bookman Old Style"/>
        </w:rPr>
        <w:t xml:space="preserve">y </w:t>
      </w:r>
      <w:r>
        <w:rPr>
          <w:rFonts w:ascii="Bookman Old Style" w:hAnsi="Bookman Old Style"/>
        </w:rPr>
        <w:t>por lo tanto e</w:t>
      </w:r>
      <w:r w:rsidRPr="00C90D81">
        <w:rPr>
          <w:rFonts w:ascii="Bookman Old Style" w:hAnsi="Bookman Old Style"/>
        </w:rPr>
        <w:t>l plazo</w:t>
      </w:r>
      <w:r>
        <w:rPr>
          <w:rFonts w:ascii="Bookman Old Style" w:hAnsi="Bookman Old Style"/>
        </w:rPr>
        <w:t xml:space="preserve"> restante para finalizar con el cumplimiento de la citada obligación </w:t>
      </w:r>
      <w:r w:rsidRPr="00C90D81">
        <w:rPr>
          <w:rFonts w:ascii="Bookman Old Style" w:hAnsi="Bookman Old Style"/>
        </w:rPr>
        <w:t xml:space="preserve">se prorrogará </w:t>
      </w:r>
      <w:r>
        <w:rPr>
          <w:rFonts w:ascii="Bookman Old Style" w:hAnsi="Bookman Old Style"/>
        </w:rPr>
        <w:t>por el tiempo en que se encuentre vigente su suspensión y hasta que se cumpla la misma</w:t>
      </w:r>
      <w:r w:rsidRPr="00C90D81">
        <w:rPr>
          <w:rFonts w:ascii="Bookman Old Style" w:hAnsi="Bookman Old Style"/>
        </w:rPr>
        <w:t>.</w:t>
      </w:r>
    </w:p>
    <w:p w14:paraId="66FC1BB8" w14:textId="77777777" w:rsidR="00C71041" w:rsidRPr="00C90D81" w:rsidRDefault="00C71041" w:rsidP="00C71041">
      <w:pPr>
        <w:spacing w:before="240"/>
        <w:ind w:left="0"/>
        <w:jc w:val="both"/>
        <w:rPr>
          <w:rFonts w:ascii="Bookman Old Style" w:hAnsi="Bookman Old Style"/>
          <w:b/>
          <w:bCs/>
        </w:rPr>
      </w:pPr>
      <w:r>
        <w:rPr>
          <w:rFonts w:ascii="Bookman Old Style" w:hAnsi="Bookman Old Style"/>
        </w:rPr>
        <w:t xml:space="preserve">En concordancia con esta suspensión, no se aplicará lo previsto en el </w:t>
      </w:r>
      <w:r w:rsidRPr="00475911">
        <w:rPr>
          <w:rFonts w:ascii="Bookman Old Style" w:hAnsi="Bookman Old Style"/>
        </w:rPr>
        <w:t>literal b) del numeral 4.</w:t>
      </w:r>
      <w:r>
        <w:rPr>
          <w:rFonts w:ascii="Bookman Old Style" w:hAnsi="Bookman Old Style"/>
        </w:rPr>
        <w:t>4</w:t>
      </w:r>
      <w:r w:rsidRPr="00475911">
        <w:rPr>
          <w:rFonts w:ascii="Bookman Old Style" w:hAnsi="Bookman Old Style"/>
        </w:rPr>
        <w:t xml:space="preserve">.1 del </w:t>
      </w:r>
      <w:r>
        <w:rPr>
          <w:rFonts w:ascii="Bookman Old Style" w:hAnsi="Bookman Old Style"/>
        </w:rPr>
        <w:t>A</w:t>
      </w:r>
      <w:r w:rsidRPr="00475911">
        <w:rPr>
          <w:rFonts w:ascii="Bookman Old Style" w:hAnsi="Bookman Old Style"/>
        </w:rPr>
        <w:t>nexo 1 de la Resolución CREG 022 de 2001</w:t>
      </w:r>
      <w:r>
        <w:rPr>
          <w:rFonts w:ascii="Bookman Old Style" w:hAnsi="Bookman Old Style"/>
        </w:rPr>
        <w:t xml:space="preserve">, durante el mismo periodo definido en el </w:t>
      </w:r>
      <w:r w:rsidRPr="00475911">
        <w:rPr>
          <w:rFonts w:ascii="Bookman Old Style" w:hAnsi="Bookman Old Style"/>
        </w:rPr>
        <w:t xml:space="preserve">artículo </w:t>
      </w:r>
      <w:r w:rsidRPr="00475911">
        <w:rPr>
          <w:rFonts w:ascii="Bookman Old Style" w:hAnsi="Bookman Old Style"/>
        </w:rPr>
        <w:fldChar w:fldCharType="begin"/>
      </w:r>
      <w:r w:rsidRPr="00475911">
        <w:rPr>
          <w:rFonts w:ascii="Bookman Old Style" w:hAnsi="Bookman Old Style"/>
        </w:rPr>
        <w:instrText xml:space="preserve"> REF _Ref144846887 \r \h \t</w:instrText>
      </w:r>
      <w:r>
        <w:rPr>
          <w:rFonts w:ascii="Bookman Old Style" w:hAnsi="Bookman Old Style"/>
        </w:rPr>
        <w:instrText xml:space="preserve"> \* MERGEFORMAT </w:instrText>
      </w:r>
      <w:r w:rsidRPr="00475911">
        <w:rPr>
          <w:rFonts w:ascii="Bookman Old Style" w:hAnsi="Bookman Old Style"/>
        </w:rPr>
      </w:r>
      <w:r w:rsidRPr="00475911">
        <w:rPr>
          <w:rFonts w:ascii="Bookman Old Style" w:hAnsi="Bookman Old Style"/>
        </w:rPr>
        <w:fldChar w:fldCharType="separate"/>
      </w:r>
      <w:r w:rsidRPr="00475911">
        <w:rPr>
          <w:rFonts w:ascii="Bookman Old Style" w:hAnsi="Bookman Old Style"/>
        </w:rPr>
        <w:t>2</w:t>
      </w:r>
      <w:r w:rsidRPr="00475911">
        <w:rPr>
          <w:rFonts w:ascii="Bookman Old Style" w:hAnsi="Bookman Old Style"/>
        </w:rPr>
        <w:fldChar w:fldCharType="end"/>
      </w:r>
      <w:r w:rsidRPr="00475911">
        <w:rPr>
          <w:rFonts w:ascii="Bookman Old Style" w:hAnsi="Bookman Old Style"/>
        </w:rPr>
        <w:t xml:space="preserve"> de </w:t>
      </w:r>
      <w:r>
        <w:rPr>
          <w:rFonts w:ascii="Bookman Old Style" w:hAnsi="Bookman Old Style"/>
        </w:rPr>
        <w:t>la presente</w:t>
      </w:r>
      <w:r w:rsidRPr="00475911">
        <w:rPr>
          <w:rFonts w:ascii="Bookman Old Style" w:hAnsi="Bookman Old Style"/>
        </w:rPr>
        <w:t xml:space="preserve"> resolución</w:t>
      </w:r>
      <w:r>
        <w:rPr>
          <w:rFonts w:ascii="Bookman Old Style" w:hAnsi="Bookman Old Style"/>
        </w:rPr>
        <w:t>.</w:t>
      </w:r>
    </w:p>
    <w:p w14:paraId="70C0439F" w14:textId="77777777" w:rsidR="00C71041" w:rsidRPr="00C26341" w:rsidRDefault="00C71041" w:rsidP="003C6942">
      <w:pPr>
        <w:pStyle w:val="Estilo5"/>
        <w:keepNext w:val="0"/>
        <w:numPr>
          <w:ilvl w:val="0"/>
          <w:numId w:val="23"/>
        </w:numPr>
        <w:tabs>
          <w:tab w:val="left" w:pos="1560"/>
        </w:tabs>
        <w:spacing w:before="360" w:after="0"/>
        <w:ind w:left="0" w:right="142"/>
        <w:outlineLvl w:val="9"/>
        <w:rPr>
          <w:b w:val="0"/>
          <w:bCs/>
        </w:rPr>
      </w:pPr>
      <w:bookmarkStart w:id="2" w:name="_Ref144846887"/>
      <w:r w:rsidRPr="00C26341">
        <w:t xml:space="preserve">Duración de la suspensión. </w:t>
      </w:r>
      <w:r w:rsidRPr="00C26341">
        <w:rPr>
          <w:b w:val="0"/>
          <w:bCs/>
        </w:rPr>
        <w:t>La suspensión tendrá efecto a partir del mes de diciembre de 2023 y hasta el mes de abril de 2024, inclusive.</w:t>
      </w:r>
      <w:bookmarkEnd w:id="2"/>
    </w:p>
    <w:p w14:paraId="1AEF2C8A" w14:textId="77777777" w:rsidR="00C71041" w:rsidRPr="00C90D81" w:rsidRDefault="00C71041" w:rsidP="00C71041">
      <w:pPr>
        <w:spacing w:before="240"/>
        <w:ind w:left="0"/>
        <w:jc w:val="both"/>
        <w:rPr>
          <w:rFonts w:ascii="Bookman Old Style" w:hAnsi="Bookman Old Style"/>
        </w:rPr>
      </w:pPr>
      <w:r w:rsidRPr="00C90D81">
        <w:rPr>
          <w:rFonts w:ascii="Bookman Old Style" w:hAnsi="Bookman Old Style"/>
        </w:rPr>
        <w:t xml:space="preserve">La Comisión, de acuerdo con </w:t>
      </w:r>
      <w:r>
        <w:rPr>
          <w:rFonts w:ascii="Bookman Old Style" w:hAnsi="Bookman Old Style"/>
        </w:rPr>
        <w:t>los</w:t>
      </w:r>
      <w:r w:rsidRPr="00C90D81">
        <w:rPr>
          <w:rFonts w:ascii="Bookman Old Style" w:hAnsi="Bookman Old Style"/>
        </w:rPr>
        <w:t xml:space="preserve"> </w:t>
      </w:r>
      <w:r>
        <w:rPr>
          <w:rFonts w:ascii="Bookman Old Style" w:hAnsi="Bookman Old Style"/>
        </w:rPr>
        <w:t xml:space="preserve">análisis sobre el desempeño del Sistema Interconectado Nacional durante </w:t>
      </w:r>
      <w:r w:rsidRPr="00C90D81">
        <w:rPr>
          <w:rFonts w:ascii="Bookman Old Style" w:hAnsi="Bookman Old Style"/>
        </w:rPr>
        <w:t>el Fenómeno d</w:t>
      </w:r>
      <w:r>
        <w:rPr>
          <w:rFonts w:ascii="Bookman Old Style" w:hAnsi="Bookman Old Style"/>
        </w:rPr>
        <w:t>e El</w:t>
      </w:r>
      <w:r w:rsidRPr="00C90D81">
        <w:rPr>
          <w:rFonts w:ascii="Bookman Old Style" w:hAnsi="Bookman Old Style"/>
        </w:rPr>
        <w:t xml:space="preserve"> Niño, decidirá si acorta o prorroga el plazo previsto</w:t>
      </w:r>
      <w:r>
        <w:rPr>
          <w:rFonts w:ascii="Bookman Old Style" w:hAnsi="Bookman Old Style"/>
        </w:rPr>
        <w:t xml:space="preserve"> en este artículo</w:t>
      </w:r>
      <w:r w:rsidRPr="00C90D81">
        <w:rPr>
          <w:rFonts w:ascii="Bookman Old Style" w:hAnsi="Bookman Old Style"/>
        </w:rPr>
        <w:t>.</w:t>
      </w:r>
    </w:p>
    <w:p w14:paraId="648C74AF" w14:textId="77777777" w:rsidR="00C71041" w:rsidRPr="00475911" w:rsidRDefault="00C71041" w:rsidP="00C71041">
      <w:pPr>
        <w:pStyle w:val="Estilo5"/>
        <w:keepNext w:val="0"/>
        <w:numPr>
          <w:ilvl w:val="0"/>
          <w:numId w:val="23"/>
        </w:numPr>
        <w:tabs>
          <w:tab w:val="left" w:pos="1560"/>
        </w:tabs>
        <w:spacing w:after="0"/>
        <w:ind w:left="0" w:right="142"/>
        <w:outlineLvl w:val="9"/>
        <w:rPr>
          <w:b w:val="0"/>
          <w:bCs/>
        </w:rPr>
      </w:pPr>
      <w:r w:rsidRPr="00F643D7">
        <w:t xml:space="preserve">Vigencia. </w:t>
      </w:r>
      <w:r w:rsidRPr="00F643D7">
        <w:rPr>
          <w:b w:val="0"/>
          <w:bCs/>
        </w:rPr>
        <w:t xml:space="preserve">La presente resolución rige a partir de la fecha de su publicación en el </w:t>
      </w:r>
      <w:r w:rsidRPr="00F643D7">
        <w:rPr>
          <w:b w:val="0"/>
          <w:bCs/>
          <w:i/>
          <w:iCs/>
        </w:rPr>
        <w:t>Diario Oficial</w:t>
      </w:r>
      <w:r>
        <w:rPr>
          <w:b w:val="0"/>
          <w:bCs/>
        </w:rPr>
        <w:t xml:space="preserve"> y el inicio de su aplicación, así como su terminación se harán con base en lo previsto </w:t>
      </w:r>
      <w:r w:rsidRPr="00475911">
        <w:rPr>
          <w:b w:val="0"/>
          <w:bCs/>
        </w:rPr>
        <w:t xml:space="preserve">en el artículo </w:t>
      </w:r>
      <w:r w:rsidRPr="00475911">
        <w:rPr>
          <w:b w:val="0"/>
          <w:bCs/>
        </w:rPr>
        <w:fldChar w:fldCharType="begin"/>
      </w:r>
      <w:r w:rsidRPr="00475911">
        <w:rPr>
          <w:b w:val="0"/>
          <w:bCs/>
        </w:rPr>
        <w:instrText xml:space="preserve"> REF _Ref144846887 \r \h \t \* MERGEFORMAT </w:instrText>
      </w:r>
      <w:r w:rsidRPr="00475911">
        <w:rPr>
          <w:b w:val="0"/>
          <w:bCs/>
        </w:rPr>
      </w:r>
      <w:r w:rsidRPr="00475911">
        <w:rPr>
          <w:b w:val="0"/>
          <w:bCs/>
        </w:rPr>
        <w:fldChar w:fldCharType="separate"/>
      </w:r>
      <w:r w:rsidRPr="00475911">
        <w:rPr>
          <w:b w:val="0"/>
          <w:bCs/>
        </w:rPr>
        <w:t>2</w:t>
      </w:r>
      <w:r w:rsidRPr="00475911">
        <w:rPr>
          <w:b w:val="0"/>
          <w:bCs/>
        </w:rPr>
        <w:fldChar w:fldCharType="end"/>
      </w:r>
      <w:r>
        <w:rPr>
          <w:b w:val="0"/>
          <w:bCs/>
        </w:rPr>
        <w:t>.</w:t>
      </w:r>
      <w:r w:rsidRPr="00475911">
        <w:rPr>
          <w:b w:val="0"/>
          <w:bCs/>
        </w:rPr>
        <w:t xml:space="preserve"> </w:t>
      </w:r>
    </w:p>
    <w:p w14:paraId="7B655382" w14:textId="77777777" w:rsidR="00C71041" w:rsidRDefault="00C71041" w:rsidP="00C71041">
      <w:pPr>
        <w:jc w:val="both"/>
        <w:rPr>
          <w:rFonts w:ascii="Bookman Old Style" w:hAnsi="Bookman Old Style"/>
          <w:i/>
          <w:sz w:val="22"/>
        </w:rPr>
      </w:pPr>
    </w:p>
    <w:p w14:paraId="4C3505C4" w14:textId="77777777" w:rsidR="00045D3D" w:rsidRPr="00C435C3" w:rsidRDefault="00045D3D" w:rsidP="00045D3D">
      <w:pPr>
        <w:ind w:left="0"/>
        <w:rPr>
          <w:rFonts w:ascii="Bookman Old Style" w:hAnsi="Bookman Old Style"/>
        </w:rPr>
      </w:pPr>
    </w:p>
    <w:p w14:paraId="292B1F06" w14:textId="704358BE" w:rsidR="00045D3D" w:rsidRPr="00C435C3" w:rsidRDefault="00045D3D" w:rsidP="00045D3D">
      <w:pPr>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sectPr w:rsidR="00045D3D" w:rsidRPr="00C435C3"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F591" w14:textId="77777777" w:rsidR="004B01D2" w:rsidRDefault="004B01D2">
      <w:r>
        <w:separator/>
      </w:r>
    </w:p>
  </w:endnote>
  <w:endnote w:type="continuationSeparator" w:id="0">
    <w:p w14:paraId="6FD29C81" w14:textId="77777777" w:rsidR="004B01D2" w:rsidRDefault="004B01D2">
      <w:r>
        <w:continuationSeparator/>
      </w:r>
    </w:p>
  </w:endnote>
  <w:endnote w:type="continuationNotice" w:id="1">
    <w:p w14:paraId="70B83220" w14:textId="77777777" w:rsidR="004B01D2" w:rsidRDefault="004B0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20E0" w14:textId="77777777" w:rsidR="004B01D2" w:rsidRDefault="004B01D2">
      <w:r>
        <w:separator/>
      </w:r>
    </w:p>
  </w:footnote>
  <w:footnote w:type="continuationSeparator" w:id="0">
    <w:p w14:paraId="40D4AD1F" w14:textId="77777777" w:rsidR="004B01D2" w:rsidRDefault="004B01D2">
      <w:r>
        <w:continuationSeparator/>
      </w:r>
    </w:p>
  </w:footnote>
  <w:footnote w:type="continuationNotice" w:id="1">
    <w:p w14:paraId="08D4F9C8" w14:textId="77777777" w:rsidR="004B01D2" w:rsidRDefault="004B01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76608100" w:rsidR="0087657D" w:rsidRPr="00951F79" w:rsidRDefault="005610DD"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F11613">
      <w:rPr>
        <w:rFonts w:ascii="Bookman Old Style" w:hAnsi="Bookman Old Style" w:cs="Arial"/>
        <w:b w:val="0"/>
        <w:sz w:val="22"/>
        <w:szCs w:val="22"/>
      </w:rPr>
      <w:t xml:space="preserve"> </w:t>
    </w:r>
    <w:r w:rsidR="00F11613" w:rsidRPr="00F11613">
      <w:rPr>
        <w:rFonts w:ascii="Bookman Old Style" w:hAnsi="Bookman Old Style" w:cs="Arial"/>
        <w:szCs w:val="24"/>
        <w:u w:val="single"/>
      </w:rPr>
      <w:t>701 026</w:t>
    </w:r>
    <w:r w:rsidR="00725FA4" w:rsidRPr="00F11613">
      <w:rPr>
        <w:rFonts w:ascii="Bookman Old Style" w:hAnsi="Bookman Old Style" w:cs="Arial"/>
        <w:b w:val="0"/>
        <w:sz w:val="22"/>
        <w:szCs w:val="22"/>
      </w:rPr>
      <w:tab/>
    </w:r>
    <w:r w:rsidR="00886EE1" w:rsidRPr="00F11613">
      <w:rPr>
        <w:rFonts w:ascii="Bookman Old Style" w:hAnsi="Bookman Old Style" w:cs="Arial"/>
        <w:b w:val="0"/>
        <w:sz w:val="22"/>
        <w:szCs w:val="22"/>
      </w:rPr>
      <w:t>DE</w:t>
    </w:r>
    <w:r w:rsidR="00F11613">
      <w:rPr>
        <w:rFonts w:ascii="Bookman Old Style" w:hAnsi="Bookman Old Style" w:cs="Arial"/>
        <w:b w:val="0"/>
        <w:sz w:val="22"/>
        <w:szCs w:val="22"/>
      </w:rPr>
      <w:t xml:space="preserve"> </w:t>
    </w:r>
    <w:r w:rsidR="000D26F8" w:rsidRPr="00F11613">
      <w:rPr>
        <w:rFonts w:ascii="Bookman Old Style" w:hAnsi="Bookman Old Style" w:cs="Arial"/>
        <w:b w:val="0"/>
        <w:sz w:val="22"/>
        <w:szCs w:val="22"/>
      </w:rPr>
      <w:t xml:space="preserve"> </w:t>
    </w:r>
    <w:r w:rsidR="00F11613" w:rsidRPr="00F11613">
      <w:rPr>
        <w:rFonts w:ascii="Bookman Old Style" w:hAnsi="Bookman Old Style" w:cs="Arial"/>
        <w:szCs w:val="24"/>
        <w:u w:val="single"/>
      </w:rPr>
      <w:t>28 SEP. 2023</w:t>
    </w:r>
    <w:r w:rsidR="00F11613">
      <w:rPr>
        <w:rFonts w:ascii="Bookman Old Style" w:hAnsi="Bookman Old Style" w:cs="Arial"/>
        <w:b w:val="0"/>
        <w:sz w:val="22"/>
        <w:szCs w:val="22"/>
      </w:rPr>
      <w:t xml:space="preserve">  </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11613">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4B01D2">
      <w:fldChar w:fldCharType="begin"/>
    </w:r>
    <w:r w:rsidR="004B01D2">
      <w:instrText xml:space="preserve"> NUMPAGES  \* MERGEFORMAT </w:instrText>
    </w:r>
    <w:r w:rsidR="004B01D2">
      <w:fldChar w:fldCharType="separate"/>
    </w:r>
    <w:r w:rsidR="00F11613" w:rsidRPr="00F11613">
      <w:rPr>
        <w:rFonts w:ascii="Bookman Old Style" w:hAnsi="Bookman Old Style" w:cs="Arial"/>
        <w:b w:val="0"/>
        <w:noProof/>
        <w:sz w:val="22"/>
        <w:szCs w:val="22"/>
      </w:rPr>
      <w:t>4</w:t>
    </w:r>
    <w:r w:rsidR="004B01D2">
      <w:rPr>
        <w:rFonts w:ascii="Bookman Old Style" w:hAnsi="Bookman Old Style" w:cs="Arial"/>
        <w:b w:val="0"/>
        <w:noProof/>
        <w:sz w:val="22"/>
        <w:szCs w:val="22"/>
      </w:rPr>
      <w:fldChar w:fldCharType="end"/>
    </w:r>
  </w:p>
  <w:p w14:paraId="39489639" w14:textId="1B038965" w:rsidR="006F6D95" w:rsidRDefault="00DF16F5" w:rsidP="00F11613">
    <w:pPr>
      <w:ind w:left="0"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DA16" w14:textId="6A67CC31" w:rsidR="00725FA4" w:rsidRDefault="00725FA4" w:rsidP="00FB4C2D">
    <w:pPr>
      <w:pStyle w:val="Encabezado"/>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FB4C2D">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6"/>
  </w:num>
  <w:num w:numId="5">
    <w:abstractNumId w:val="16"/>
  </w:num>
  <w:num w:numId="6">
    <w:abstractNumId w:val="4"/>
  </w:num>
  <w:num w:numId="7">
    <w:abstractNumId w:val="3"/>
  </w:num>
  <w:num w:numId="8">
    <w:abstractNumId w:val="18"/>
  </w:num>
  <w:num w:numId="9">
    <w:abstractNumId w:val="17"/>
  </w:num>
  <w:num w:numId="10">
    <w:abstractNumId w:val="13"/>
  </w:num>
  <w:num w:numId="11">
    <w:abstractNumId w:val="22"/>
  </w:num>
  <w:num w:numId="12">
    <w:abstractNumId w:val="20"/>
  </w:num>
  <w:num w:numId="13">
    <w:abstractNumId w:val="11"/>
  </w:num>
  <w:num w:numId="14">
    <w:abstractNumId w:val="2"/>
  </w:num>
  <w:num w:numId="15">
    <w:abstractNumId w:val="14"/>
  </w:num>
  <w:num w:numId="16">
    <w:abstractNumId w:val="1"/>
  </w:num>
  <w:num w:numId="17">
    <w:abstractNumId w:val="9"/>
  </w:num>
  <w:num w:numId="18">
    <w:abstractNumId w:val="0"/>
  </w:num>
  <w:num w:numId="19">
    <w:abstractNumId w:val="19"/>
  </w:num>
  <w:num w:numId="20">
    <w:abstractNumId w:val="15"/>
  </w:num>
  <w:num w:numId="21">
    <w:abstractNumId w:val="7"/>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0"/>
    <w:rsid w:val="00006AE2"/>
    <w:rsid w:val="000076A1"/>
    <w:rsid w:val="00012259"/>
    <w:rsid w:val="00025383"/>
    <w:rsid w:val="00045D3D"/>
    <w:rsid w:val="00063657"/>
    <w:rsid w:val="00076680"/>
    <w:rsid w:val="00076A1D"/>
    <w:rsid w:val="0008073E"/>
    <w:rsid w:val="00091CDB"/>
    <w:rsid w:val="000A19AC"/>
    <w:rsid w:val="000B2EC9"/>
    <w:rsid w:val="000D26F8"/>
    <w:rsid w:val="00106654"/>
    <w:rsid w:val="0013526C"/>
    <w:rsid w:val="001405C6"/>
    <w:rsid w:val="00141013"/>
    <w:rsid w:val="00192CBF"/>
    <w:rsid w:val="00192FF1"/>
    <w:rsid w:val="001A5F1B"/>
    <w:rsid w:val="001B1C22"/>
    <w:rsid w:val="001B34C6"/>
    <w:rsid w:val="001D7832"/>
    <w:rsid w:val="00210DC1"/>
    <w:rsid w:val="00211D34"/>
    <w:rsid w:val="00214F04"/>
    <w:rsid w:val="002352B9"/>
    <w:rsid w:val="00266CD6"/>
    <w:rsid w:val="002673AC"/>
    <w:rsid w:val="00275DAB"/>
    <w:rsid w:val="002903C0"/>
    <w:rsid w:val="002A782A"/>
    <w:rsid w:val="002B11E2"/>
    <w:rsid w:val="002B24B8"/>
    <w:rsid w:val="002D3AE9"/>
    <w:rsid w:val="002D4510"/>
    <w:rsid w:val="002F0734"/>
    <w:rsid w:val="002F175F"/>
    <w:rsid w:val="002F46E7"/>
    <w:rsid w:val="003101DA"/>
    <w:rsid w:val="003111C3"/>
    <w:rsid w:val="00314757"/>
    <w:rsid w:val="003163BC"/>
    <w:rsid w:val="003211CE"/>
    <w:rsid w:val="0035403A"/>
    <w:rsid w:val="0036394B"/>
    <w:rsid w:val="00366DB6"/>
    <w:rsid w:val="003709B5"/>
    <w:rsid w:val="003759C2"/>
    <w:rsid w:val="00397365"/>
    <w:rsid w:val="003A31F6"/>
    <w:rsid w:val="003C3447"/>
    <w:rsid w:val="003C6942"/>
    <w:rsid w:val="003D076C"/>
    <w:rsid w:val="003E78B5"/>
    <w:rsid w:val="00415BAB"/>
    <w:rsid w:val="00415ED2"/>
    <w:rsid w:val="0042068C"/>
    <w:rsid w:val="0044318E"/>
    <w:rsid w:val="00443B35"/>
    <w:rsid w:val="0045488D"/>
    <w:rsid w:val="00457839"/>
    <w:rsid w:val="0047122B"/>
    <w:rsid w:val="00473B7A"/>
    <w:rsid w:val="004960E9"/>
    <w:rsid w:val="004A2E88"/>
    <w:rsid w:val="004A5305"/>
    <w:rsid w:val="004B01D2"/>
    <w:rsid w:val="004C39D0"/>
    <w:rsid w:val="004D7634"/>
    <w:rsid w:val="004E611A"/>
    <w:rsid w:val="004F6460"/>
    <w:rsid w:val="00521247"/>
    <w:rsid w:val="005300D3"/>
    <w:rsid w:val="00542A10"/>
    <w:rsid w:val="00544F82"/>
    <w:rsid w:val="005509D2"/>
    <w:rsid w:val="00555AA0"/>
    <w:rsid w:val="005610DD"/>
    <w:rsid w:val="005830B4"/>
    <w:rsid w:val="00593C4F"/>
    <w:rsid w:val="005946A8"/>
    <w:rsid w:val="005A4407"/>
    <w:rsid w:val="005A59EF"/>
    <w:rsid w:val="005B1C7E"/>
    <w:rsid w:val="005C6976"/>
    <w:rsid w:val="005F6F41"/>
    <w:rsid w:val="00625DC6"/>
    <w:rsid w:val="0064391D"/>
    <w:rsid w:val="00651821"/>
    <w:rsid w:val="00654384"/>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40446"/>
    <w:rsid w:val="007438A9"/>
    <w:rsid w:val="0074491E"/>
    <w:rsid w:val="00762080"/>
    <w:rsid w:val="0076247A"/>
    <w:rsid w:val="00775964"/>
    <w:rsid w:val="007765FE"/>
    <w:rsid w:val="00794E2E"/>
    <w:rsid w:val="00795BFB"/>
    <w:rsid w:val="007A6181"/>
    <w:rsid w:val="007B2760"/>
    <w:rsid w:val="007B5A60"/>
    <w:rsid w:val="007F5EEF"/>
    <w:rsid w:val="00806C01"/>
    <w:rsid w:val="008148CC"/>
    <w:rsid w:val="008211A4"/>
    <w:rsid w:val="0084693A"/>
    <w:rsid w:val="00873150"/>
    <w:rsid w:val="0087657D"/>
    <w:rsid w:val="008807D5"/>
    <w:rsid w:val="00880832"/>
    <w:rsid w:val="00886EE1"/>
    <w:rsid w:val="0088727D"/>
    <w:rsid w:val="00897C75"/>
    <w:rsid w:val="008C1130"/>
    <w:rsid w:val="008D18E6"/>
    <w:rsid w:val="008D7A9B"/>
    <w:rsid w:val="008E0060"/>
    <w:rsid w:val="008E7091"/>
    <w:rsid w:val="008E76AC"/>
    <w:rsid w:val="008F21F6"/>
    <w:rsid w:val="008F5E72"/>
    <w:rsid w:val="00951F79"/>
    <w:rsid w:val="00974AB5"/>
    <w:rsid w:val="0098706D"/>
    <w:rsid w:val="009935FB"/>
    <w:rsid w:val="009F4A54"/>
    <w:rsid w:val="009F4BEC"/>
    <w:rsid w:val="009F5874"/>
    <w:rsid w:val="00A06511"/>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351B4"/>
    <w:rsid w:val="00B46BCA"/>
    <w:rsid w:val="00B478AA"/>
    <w:rsid w:val="00B87806"/>
    <w:rsid w:val="00B87EC9"/>
    <w:rsid w:val="00BC38FD"/>
    <w:rsid w:val="00BD65D1"/>
    <w:rsid w:val="00C034CB"/>
    <w:rsid w:val="00C051A8"/>
    <w:rsid w:val="00C054BC"/>
    <w:rsid w:val="00C17897"/>
    <w:rsid w:val="00C34B7F"/>
    <w:rsid w:val="00C409D5"/>
    <w:rsid w:val="00C435C3"/>
    <w:rsid w:val="00C44E5F"/>
    <w:rsid w:val="00C51B7C"/>
    <w:rsid w:val="00C6234B"/>
    <w:rsid w:val="00C63EAE"/>
    <w:rsid w:val="00C71041"/>
    <w:rsid w:val="00C73260"/>
    <w:rsid w:val="00C7629F"/>
    <w:rsid w:val="00C8661B"/>
    <w:rsid w:val="00CA03C8"/>
    <w:rsid w:val="00CA139A"/>
    <w:rsid w:val="00CA1B81"/>
    <w:rsid w:val="00CA2899"/>
    <w:rsid w:val="00CA3A3D"/>
    <w:rsid w:val="00CA3AA6"/>
    <w:rsid w:val="00CA77FB"/>
    <w:rsid w:val="00CB379B"/>
    <w:rsid w:val="00CB5DD0"/>
    <w:rsid w:val="00CC51D4"/>
    <w:rsid w:val="00CC65DA"/>
    <w:rsid w:val="00CF21B9"/>
    <w:rsid w:val="00CF6BF9"/>
    <w:rsid w:val="00D03800"/>
    <w:rsid w:val="00D065D3"/>
    <w:rsid w:val="00D07EEE"/>
    <w:rsid w:val="00D14C94"/>
    <w:rsid w:val="00D342A6"/>
    <w:rsid w:val="00D45CA6"/>
    <w:rsid w:val="00D464BF"/>
    <w:rsid w:val="00D53E26"/>
    <w:rsid w:val="00D83F43"/>
    <w:rsid w:val="00DB182C"/>
    <w:rsid w:val="00DD4F0E"/>
    <w:rsid w:val="00DF0BF0"/>
    <w:rsid w:val="00DF16F5"/>
    <w:rsid w:val="00DF3CA2"/>
    <w:rsid w:val="00DF753F"/>
    <w:rsid w:val="00E01463"/>
    <w:rsid w:val="00E05E0A"/>
    <w:rsid w:val="00E060BE"/>
    <w:rsid w:val="00E534CF"/>
    <w:rsid w:val="00E63920"/>
    <w:rsid w:val="00E81CB4"/>
    <w:rsid w:val="00E8585B"/>
    <w:rsid w:val="00E87F41"/>
    <w:rsid w:val="00EA3F15"/>
    <w:rsid w:val="00EA7847"/>
    <w:rsid w:val="00EB4C2F"/>
    <w:rsid w:val="00EE2E6E"/>
    <w:rsid w:val="00F0759E"/>
    <w:rsid w:val="00F11613"/>
    <w:rsid w:val="00F16A43"/>
    <w:rsid w:val="00F46780"/>
    <w:rsid w:val="00F55DB1"/>
    <w:rsid w:val="00F77D2D"/>
    <w:rsid w:val="00F821A3"/>
    <w:rsid w:val="00F9314A"/>
    <w:rsid w:val="00F940B2"/>
    <w:rsid w:val="00FB4C2D"/>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unhideWhenUsed/>
    <w:rsid w:val="00D07EEE"/>
    <w:rPr>
      <w:color w:val="0000FF"/>
      <w:u w:val="single"/>
    </w:rPr>
  </w:style>
  <w:style w:type="character" w:customStyle="1" w:styleId="normaltextrun">
    <w:name w:val="normaltextrun"/>
    <w:basedOn w:val="Fuentedeprrafopredeter"/>
    <w:rsid w:val="007F5EEF"/>
  </w:style>
  <w:style w:type="paragraph" w:customStyle="1" w:styleId="Citas">
    <w:name w:val="Citas"/>
    <w:basedOn w:val="Normal"/>
    <w:rsid w:val="007F5EEF"/>
    <w:pPr>
      <w:spacing w:before="240" w:after="240"/>
      <w:ind w:left="708" w:right="618"/>
      <w:jc w:val="both"/>
    </w:pPr>
    <w:rPr>
      <w:rFonts w:ascii="Bookman Old Style" w:hAnsi="Bookman Old Style" w:cs="Arial"/>
      <w:i/>
      <w:iCs/>
      <w:szCs w:val="20"/>
    </w:rPr>
  </w:style>
  <w:style w:type="paragraph" w:customStyle="1" w:styleId="Estilo5">
    <w:name w:val="Estilo5"/>
    <w:basedOn w:val="Normal"/>
    <w:qFormat/>
    <w:rsid w:val="00C71041"/>
    <w:pPr>
      <w:keepNext/>
      <w:spacing w:before="240" w:after="60"/>
      <w:ind w:left="0"/>
      <w:jc w:val="both"/>
      <w:outlineLvl w:val="0"/>
    </w:pPr>
    <w:rPr>
      <w:rFonts w:ascii="Bookman Old Style" w:hAnsi="Bookman Old Style"/>
      <w:b/>
      <w:kern w:val="28"/>
      <w:szCs w:val="22"/>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g@creg.gov.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15B13-1E29-4138-9BEA-0A28B3DD8F8D}">
  <ds:schemaRefs>
    <ds:schemaRef ds:uri="http://schemas.microsoft.com/sharepoint/v3/contenttype/forms"/>
  </ds:schemaRefs>
</ds:datastoreItem>
</file>

<file path=customXml/itemProps2.xml><?xml version="1.0" encoding="utf-8"?>
<ds:datastoreItem xmlns:ds="http://schemas.openxmlformats.org/officeDocument/2006/customXml" ds:itemID="{8B488CCF-973E-4EB1-A609-2B8396BD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22</TotalTime>
  <Pages>4</Pages>
  <Words>1486</Words>
  <Characters>8475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Usuario de Windows</cp:lastModifiedBy>
  <cp:revision>17</cp:revision>
  <cp:lastPrinted>2011-07-21T13:53:00Z</cp:lastPrinted>
  <dcterms:created xsi:type="dcterms:W3CDTF">2022-05-18T20:58:00Z</dcterms:created>
  <dcterms:modified xsi:type="dcterms:W3CDTF">2023-09-30T20:42:00Z</dcterms:modified>
</cp:coreProperties>
</file>