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D8240" w14:textId="61F971ED" w:rsidR="00020441" w:rsidRDefault="00020441" w:rsidP="008A0C85">
      <w:pPr>
        <w:pStyle w:val="TDC1"/>
        <w:jc w:val="left"/>
      </w:pPr>
    </w:p>
    <w:p w14:paraId="5DDAA11F" w14:textId="39948709" w:rsidR="00020441" w:rsidRDefault="00020441" w:rsidP="008A0C85">
      <w:pPr>
        <w:jc w:val="left"/>
      </w:pPr>
    </w:p>
    <w:p w14:paraId="2764143B" w14:textId="77777777" w:rsidR="00020441" w:rsidRDefault="00000520" w:rsidP="008A0C85">
      <w:pPr>
        <w:jc w:val="left"/>
      </w:pPr>
      <w:r>
        <w:rPr>
          <w:noProof/>
          <w:sz w:val="20"/>
          <w:lang w:val="es-CO" w:eastAsia="es-CO"/>
        </w:rPr>
        <w:drawing>
          <wp:anchor distT="0" distB="0" distL="114300" distR="114300" simplePos="0" relativeHeight="251657728" behindDoc="0" locked="0" layoutInCell="1" allowOverlap="1" wp14:anchorId="6FEF7975" wp14:editId="51137CBB">
            <wp:simplePos x="0" y="0"/>
            <wp:positionH relativeFrom="column">
              <wp:posOffset>1714500</wp:posOffset>
            </wp:positionH>
            <wp:positionV relativeFrom="paragraph">
              <wp:posOffset>215265</wp:posOffset>
            </wp:positionV>
            <wp:extent cx="2377440" cy="109283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8D979" w14:textId="77777777" w:rsidR="00020441" w:rsidRDefault="00020441" w:rsidP="008A0C85">
      <w:pPr>
        <w:jc w:val="left"/>
      </w:pPr>
    </w:p>
    <w:p w14:paraId="626BE014" w14:textId="77777777" w:rsidR="00020441" w:rsidRDefault="00020441" w:rsidP="008A0C85">
      <w:pPr>
        <w:pStyle w:val="TDC1"/>
        <w:jc w:val="left"/>
      </w:pPr>
    </w:p>
    <w:p w14:paraId="5F805966" w14:textId="120D3A5E" w:rsidR="00020441" w:rsidRDefault="00020441" w:rsidP="008A0C85">
      <w:pPr>
        <w:jc w:val="left"/>
      </w:pPr>
    </w:p>
    <w:p w14:paraId="59F27ABD" w14:textId="77777777" w:rsidR="00020441" w:rsidRDefault="00020441" w:rsidP="008A0C85">
      <w:pPr>
        <w:pStyle w:val="TDC1"/>
        <w:jc w:val="left"/>
      </w:pPr>
    </w:p>
    <w:p w14:paraId="465B98F3" w14:textId="77777777" w:rsidR="00020441" w:rsidRDefault="00020441" w:rsidP="008A0C85">
      <w:pPr>
        <w:jc w:val="left"/>
      </w:pPr>
    </w:p>
    <w:p w14:paraId="43077885" w14:textId="77777777" w:rsidR="00020441" w:rsidRDefault="00020441" w:rsidP="008A0C85">
      <w:pPr>
        <w:jc w:val="left"/>
      </w:pPr>
    </w:p>
    <w:p w14:paraId="10A762C8" w14:textId="77777777" w:rsidR="00020441" w:rsidRDefault="00020441" w:rsidP="008A0C85">
      <w:pPr>
        <w:jc w:val="left"/>
      </w:pPr>
    </w:p>
    <w:p w14:paraId="00854BAE" w14:textId="3D60B50E" w:rsidR="00020441" w:rsidRDefault="0033168B" w:rsidP="00850434">
      <w:pPr>
        <w:pStyle w:val="Textoindependiente"/>
        <w:rPr>
          <w:bCs/>
          <w:sz w:val="32"/>
        </w:rPr>
      </w:pPr>
      <w:r>
        <w:rPr>
          <w:sz w:val="40"/>
          <w:szCs w:val="40"/>
        </w:rPr>
        <w:t>SUSPEN</w:t>
      </w:r>
      <w:r w:rsidR="00164FA3">
        <w:rPr>
          <w:sz w:val="40"/>
          <w:szCs w:val="40"/>
        </w:rPr>
        <w:t xml:space="preserve">SIÓN </w:t>
      </w:r>
      <w:r>
        <w:rPr>
          <w:sz w:val="40"/>
          <w:szCs w:val="40"/>
        </w:rPr>
        <w:t xml:space="preserve">DE LA APLICACIÓN </w:t>
      </w:r>
      <w:r w:rsidR="00164FA3">
        <w:rPr>
          <w:sz w:val="40"/>
          <w:szCs w:val="40"/>
        </w:rPr>
        <w:t>DEL NUMERAL 4.</w:t>
      </w:r>
      <w:r>
        <w:rPr>
          <w:sz w:val="40"/>
          <w:szCs w:val="40"/>
        </w:rPr>
        <w:t>3.1</w:t>
      </w:r>
      <w:r w:rsidR="00164FA3">
        <w:rPr>
          <w:sz w:val="40"/>
          <w:szCs w:val="40"/>
        </w:rPr>
        <w:t xml:space="preserve"> DEL ANEXO </w:t>
      </w:r>
      <w:r w:rsidR="0058472F">
        <w:rPr>
          <w:sz w:val="40"/>
          <w:szCs w:val="40"/>
        </w:rPr>
        <w:t xml:space="preserve">1 </w:t>
      </w:r>
      <w:r w:rsidR="00164FA3">
        <w:rPr>
          <w:sz w:val="40"/>
          <w:szCs w:val="40"/>
        </w:rPr>
        <w:t>DE LA RESOLUCIÓN</w:t>
      </w:r>
      <w:r w:rsidR="00D57F2B" w:rsidRPr="00F7516E">
        <w:rPr>
          <w:sz w:val="40"/>
          <w:szCs w:val="40"/>
        </w:rPr>
        <w:t xml:space="preserve"> CREG 0</w:t>
      </w:r>
      <w:r w:rsidR="00164FA3">
        <w:rPr>
          <w:sz w:val="40"/>
          <w:szCs w:val="40"/>
        </w:rPr>
        <w:t>22</w:t>
      </w:r>
      <w:r w:rsidR="00D57F2B" w:rsidRPr="00F7516E">
        <w:rPr>
          <w:sz w:val="40"/>
          <w:szCs w:val="40"/>
        </w:rPr>
        <w:t xml:space="preserve"> DE 20</w:t>
      </w:r>
      <w:r w:rsidR="00164FA3">
        <w:rPr>
          <w:sz w:val="40"/>
          <w:szCs w:val="40"/>
        </w:rPr>
        <w:t>01</w:t>
      </w:r>
    </w:p>
    <w:p w14:paraId="14B50E75" w14:textId="77777777" w:rsidR="00020441" w:rsidRDefault="00020441" w:rsidP="008A0C85">
      <w:pPr>
        <w:pStyle w:val="TDC1"/>
        <w:jc w:val="left"/>
      </w:pPr>
    </w:p>
    <w:p w14:paraId="00F8537C" w14:textId="77777777" w:rsidR="00020441" w:rsidRDefault="00020441" w:rsidP="008A0C85">
      <w:pPr>
        <w:jc w:val="left"/>
      </w:pPr>
    </w:p>
    <w:p w14:paraId="51A764C5" w14:textId="77777777" w:rsidR="00020441" w:rsidRDefault="00020441" w:rsidP="008A0C85">
      <w:pPr>
        <w:jc w:val="left"/>
      </w:pPr>
    </w:p>
    <w:p w14:paraId="1DD1BBEA" w14:textId="42A10538" w:rsidR="00020441" w:rsidRDefault="00020441" w:rsidP="008A0C85">
      <w:pPr>
        <w:jc w:val="left"/>
      </w:pPr>
    </w:p>
    <w:p w14:paraId="1222BB47" w14:textId="77777777" w:rsidR="00020441" w:rsidRDefault="00020441" w:rsidP="008A0C85">
      <w:pPr>
        <w:jc w:val="left"/>
      </w:pPr>
    </w:p>
    <w:p w14:paraId="59776045" w14:textId="77777777" w:rsidR="00020441" w:rsidRDefault="00020441" w:rsidP="008A0C85">
      <w:pPr>
        <w:jc w:val="left"/>
      </w:pPr>
    </w:p>
    <w:p w14:paraId="53B509DC" w14:textId="24D315A9" w:rsidR="00020441" w:rsidRDefault="00020441" w:rsidP="008A0C85">
      <w:pPr>
        <w:jc w:val="left"/>
        <w:rPr>
          <w:b/>
          <w:caps/>
          <w:sz w:val="36"/>
          <w:lang w:val="es-ES"/>
        </w:rPr>
      </w:pPr>
      <w:r>
        <w:rPr>
          <w:b/>
          <w:caps/>
          <w:sz w:val="28"/>
          <w:lang w:val="es-ES"/>
        </w:rPr>
        <w:t xml:space="preserve">DOCUMENTO </w:t>
      </w:r>
      <w:r>
        <w:rPr>
          <w:b/>
          <w:caps/>
          <w:sz w:val="40"/>
          <w:lang w:val="es-ES"/>
        </w:rPr>
        <w:t>CREG-</w:t>
      </w:r>
      <w:r w:rsidR="00CB1250">
        <w:rPr>
          <w:rFonts w:cs="Arial"/>
          <w:b/>
          <w:bCs/>
          <w:sz w:val="40"/>
          <w:szCs w:val="40"/>
          <w:lang w:val="es-MX"/>
        </w:rPr>
        <w:t xml:space="preserve"> 901 028</w:t>
      </w:r>
      <w:r w:rsidR="00F40D91" w:rsidRPr="00ED211B">
        <w:rPr>
          <w:rFonts w:cs="Arial"/>
          <w:b/>
          <w:bCs/>
          <w:lang w:val="es-MX"/>
        </w:rPr>
        <w:t xml:space="preserve"> </w:t>
      </w:r>
    </w:p>
    <w:p w14:paraId="44F07507" w14:textId="0D2CEAE3" w:rsidR="000B5AD2" w:rsidRDefault="00F40D91" w:rsidP="008A0C85">
      <w:pPr>
        <w:tabs>
          <w:tab w:val="left" w:pos="9142"/>
        </w:tabs>
        <w:ind w:left="9142" w:hanging="9142"/>
        <w:jc w:val="left"/>
        <w:rPr>
          <w:rFonts w:cs="Arial"/>
          <w:b/>
          <w:bCs/>
          <w:sz w:val="28"/>
          <w:szCs w:val="28"/>
          <w:lang w:val="es-MX"/>
        </w:rPr>
      </w:pPr>
      <w:r w:rsidRPr="00F40D91">
        <w:rPr>
          <w:rFonts w:cs="Arial"/>
          <w:b/>
          <w:bCs/>
          <w:sz w:val="28"/>
          <w:szCs w:val="28"/>
          <w:lang w:val="es-MX"/>
        </w:rPr>
        <w:fldChar w:fldCharType="begin"/>
      </w:r>
      <w:r w:rsidRPr="00F40D91">
        <w:rPr>
          <w:rFonts w:cs="Arial"/>
          <w:b/>
          <w:bCs/>
          <w:sz w:val="28"/>
          <w:szCs w:val="28"/>
          <w:lang w:val="es-MX"/>
        </w:rPr>
        <w:instrText xml:space="preserve"> MERGEFIELD  Fecha  \* MERGEFORMAT </w:instrText>
      </w:r>
      <w:r w:rsidRPr="00F40D91">
        <w:rPr>
          <w:rFonts w:cs="Arial"/>
          <w:b/>
          <w:bCs/>
          <w:sz w:val="28"/>
          <w:szCs w:val="28"/>
          <w:lang w:val="es-MX"/>
        </w:rPr>
        <w:fldChar w:fldCharType="separate"/>
      </w:r>
      <w:r w:rsidR="00CB1250">
        <w:rPr>
          <w:rFonts w:cs="Arial"/>
          <w:b/>
          <w:bCs/>
          <w:noProof/>
          <w:sz w:val="28"/>
          <w:szCs w:val="28"/>
          <w:lang w:val="es-MX"/>
        </w:rPr>
        <w:t>28 DE SEPTIEMBRE DE 2023</w:t>
      </w:r>
      <w:r w:rsidRPr="00F40D91">
        <w:rPr>
          <w:rFonts w:cs="Arial"/>
          <w:b/>
          <w:bCs/>
          <w:sz w:val="28"/>
          <w:szCs w:val="28"/>
          <w:lang w:val="es-MX"/>
        </w:rPr>
        <w:fldChar w:fldCharType="end"/>
      </w:r>
      <w:r w:rsidR="00CB1250">
        <w:rPr>
          <w:rFonts w:cs="Arial"/>
          <w:b/>
          <w:bCs/>
          <w:sz w:val="28"/>
          <w:szCs w:val="28"/>
          <w:lang w:val="es-MX"/>
        </w:rPr>
        <w:t xml:space="preserve">      </w:t>
      </w:r>
      <w:r w:rsidR="009C08C1">
        <w:rPr>
          <w:rFonts w:cs="Arial"/>
          <w:b/>
          <w:bCs/>
          <w:sz w:val="28"/>
          <w:szCs w:val="28"/>
          <w:lang w:val="es-MX"/>
        </w:rPr>
        <w:tab/>
      </w:r>
    </w:p>
    <w:p w14:paraId="18F1E9BA" w14:textId="075CEE6C" w:rsidR="00E166D7" w:rsidRDefault="00E166D7" w:rsidP="008A0C85">
      <w:pPr>
        <w:tabs>
          <w:tab w:val="left" w:pos="9142"/>
        </w:tabs>
        <w:jc w:val="left"/>
        <w:rPr>
          <w:rFonts w:cs="Arial"/>
          <w:sz w:val="22"/>
          <w:szCs w:val="22"/>
          <w:lang w:val="es-MX"/>
        </w:rPr>
      </w:pPr>
    </w:p>
    <w:p w14:paraId="6E829A66" w14:textId="77777777" w:rsidR="0010544E" w:rsidRPr="00F40D91" w:rsidRDefault="0010544E" w:rsidP="008A0C85">
      <w:pPr>
        <w:tabs>
          <w:tab w:val="left" w:pos="9142"/>
        </w:tabs>
        <w:ind w:left="9142" w:hanging="9142"/>
        <w:jc w:val="left"/>
        <w:rPr>
          <w:sz w:val="28"/>
          <w:szCs w:val="28"/>
        </w:rPr>
      </w:pPr>
    </w:p>
    <w:p w14:paraId="63B7394E" w14:textId="3651FF39" w:rsidR="00020441" w:rsidRDefault="00020441" w:rsidP="008A0C85">
      <w:pPr>
        <w:pStyle w:val="TDC1"/>
        <w:jc w:val="left"/>
      </w:pPr>
    </w:p>
    <w:p w14:paraId="071E5D13" w14:textId="02B90B4C" w:rsidR="00020441" w:rsidRDefault="00020441" w:rsidP="008A0C85">
      <w:pPr>
        <w:ind w:left="4956"/>
        <w:jc w:val="left"/>
        <w:rPr>
          <w:bCs/>
        </w:rPr>
      </w:pPr>
    </w:p>
    <w:p w14:paraId="32E55F6B" w14:textId="77777777" w:rsidR="00020441" w:rsidRDefault="00020441" w:rsidP="008A0C85">
      <w:pPr>
        <w:ind w:left="4956"/>
        <w:jc w:val="left"/>
        <w:rPr>
          <w:b/>
        </w:rPr>
      </w:pPr>
    </w:p>
    <w:tbl>
      <w:tblPr>
        <w:tblW w:w="0" w:type="auto"/>
        <w:tblInd w:w="4956" w:type="dxa"/>
        <w:tblCellMar>
          <w:left w:w="70" w:type="dxa"/>
          <w:right w:w="70" w:type="dxa"/>
        </w:tblCellMar>
        <w:tblLook w:val="0000" w:firstRow="0" w:lastRow="0" w:firstColumn="0" w:lastColumn="0" w:noHBand="0" w:noVBand="0"/>
      </w:tblPr>
      <w:tblGrid>
        <w:gridCol w:w="4024"/>
      </w:tblGrid>
      <w:tr w:rsidR="00020441" w14:paraId="5FB9C57C" w14:textId="77777777">
        <w:tc>
          <w:tcPr>
            <w:tcW w:w="4024" w:type="dxa"/>
          </w:tcPr>
          <w:p w14:paraId="248A6A95" w14:textId="77777777" w:rsidR="0077100C" w:rsidRDefault="0077100C" w:rsidP="008A0C85">
            <w:pPr>
              <w:jc w:val="left"/>
              <w:rPr>
                <w:b/>
                <w:bCs/>
              </w:rPr>
            </w:pPr>
          </w:p>
          <w:p w14:paraId="6D27A061" w14:textId="77777777" w:rsidR="0077100C" w:rsidRDefault="0077100C" w:rsidP="008A0C85">
            <w:pPr>
              <w:jc w:val="left"/>
              <w:rPr>
                <w:b/>
                <w:bCs/>
              </w:rPr>
            </w:pPr>
          </w:p>
          <w:p w14:paraId="2440A9AB" w14:textId="77777777" w:rsidR="00020441" w:rsidRDefault="00020441" w:rsidP="008A0C85">
            <w:pPr>
              <w:jc w:val="left"/>
              <w:rPr>
                <w:b/>
                <w:bCs/>
              </w:rPr>
            </w:pPr>
            <w:r>
              <w:rPr>
                <w:b/>
                <w:bCs/>
              </w:rPr>
              <w:t>CIRCULACIÓN:</w:t>
            </w:r>
          </w:p>
        </w:tc>
      </w:tr>
      <w:tr w:rsidR="00020441" w14:paraId="6A659732" w14:textId="77777777">
        <w:tc>
          <w:tcPr>
            <w:tcW w:w="4024" w:type="dxa"/>
          </w:tcPr>
          <w:p w14:paraId="74DA0102" w14:textId="77777777" w:rsidR="00020441" w:rsidRDefault="00020441" w:rsidP="008A0C85">
            <w:pPr>
              <w:jc w:val="left"/>
              <w:rPr>
                <w:b/>
                <w:bCs/>
              </w:rPr>
            </w:pPr>
            <w:r>
              <w:rPr>
                <w:b/>
                <w:bCs/>
              </w:rPr>
              <w:t>MIEMBROS DE LA COMISIÓN DE</w:t>
            </w:r>
          </w:p>
        </w:tc>
      </w:tr>
      <w:tr w:rsidR="00020441" w14:paraId="2BED25F3" w14:textId="77777777">
        <w:tc>
          <w:tcPr>
            <w:tcW w:w="4024" w:type="dxa"/>
          </w:tcPr>
          <w:p w14:paraId="5666418A" w14:textId="0FF31111" w:rsidR="00020441" w:rsidRDefault="00020441" w:rsidP="008A0C85">
            <w:pPr>
              <w:tabs>
                <w:tab w:val="left" w:pos="4606"/>
                <w:tab w:val="left" w:pos="9142"/>
              </w:tabs>
              <w:jc w:val="left"/>
              <w:rPr>
                <w:b/>
                <w:bCs/>
              </w:rPr>
            </w:pPr>
            <w:r>
              <w:rPr>
                <w:b/>
                <w:bCs/>
              </w:rPr>
              <w:t>REGULACIÓN DE ENERGÍA Y GAS</w:t>
            </w:r>
          </w:p>
        </w:tc>
      </w:tr>
    </w:tbl>
    <w:p w14:paraId="43D59473" w14:textId="77777777" w:rsidR="00E7209B" w:rsidRDefault="00E7209B" w:rsidP="00813A23"/>
    <w:p w14:paraId="73ACC9F4" w14:textId="77777777" w:rsidR="00E7209B" w:rsidRDefault="00020441" w:rsidP="008A0C85">
      <w:pPr>
        <w:pStyle w:val="Ttulo1"/>
        <w:keepNext w:val="0"/>
        <w:numPr>
          <w:ilvl w:val="0"/>
          <w:numId w:val="0"/>
        </w:numPr>
        <w:ind w:left="431" w:hanging="431"/>
        <w:jc w:val="left"/>
      </w:pPr>
      <w:r>
        <w:br w:type="page"/>
      </w:r>
      <w:bookmarkStart w:id="0" w:name="_Toc417034533"/>
      <w:bookmarkStart w:id="1" w:name="_Toc429486657"/>
    </w:p>
    <w:p w14:paraId="46CC8F19" w14:textId="77777777" w:rsidR="00E7209B" w:rsidRDefault="00E7209B" w:rsidP="00813A23"/>
    <w:p w14:paraId="309A9CDB" w14:textId="77777777" w:rsidR="00E7209B" w:rsidRDefault="00E7209B" w:rsidP="00813A23"/>
    <w:bookmarkEnd w:id="0"/>
    <w:bookmarkEnd w:id="1"/>
    <w:p w14:paraId="1660D085" w14:textId="77777777" w:rsidR="00D57F2B" w:rsidRPr="007256E5" w:rsidRDefault="00D57F2B" w:rsidP="008A0C85">
      <w:pPr>
        <w:jc w:val="left"/>
        <w:rPr>
          <w:rFonts w:cs="Arial"/>
          <w:b/>
          <w:sz w:val="28"/>
          <w:szCs w:val="28"/>
        </w:rPr>
      </w:pPr>
      <w:r w:rsidRPr="007256E5">
        <w:rPr>
          <w:rFonts w:cs="Arial"/>
          <w:b/>
          <w:sz w:val="28"/>
          <w:szCs w:val="28"/>
        </w:rPr>
        <w:t>CONTENIDO</w:t>
      </w:r>
    </w:p>
    <w:sdt>
      <w:sdtPr>
        <w:rPr>
          <w:rFonts w:cs="Arial"/>
          <w:lang w:val="es-ES"/>
        </w:rPr>
        <w:id w:val="-2028864548"/>
        <w:docPartObj>
          <w:docPartGallery w:val="Table of Contents"/>
          <w:docPartUnique/>
        </w:docPartObj>
      </w:sdtPr>
      <w:sdtEndPr>
        <w:rPr>
          <w:b/>
          <w:bCs/>
        </w:rPr>
      </w:sdtEndPr>
      <w:sdtContent>
        <w:p w14:paraId="1B2C316C" w14:textId="77777777" w:rsidR="00D57F2B" w:rsidRPr="007256E5" w:rsidRDefault="00D57F2B" w:rsidP="008A0C85">
          <w:pPr>
            <w:jc w:val="left"/>
            <w:rPr>
              <w:rFonts w:cs="Arial"/>
            </w:rPr>
          </w:pPr>
        </w:p>
        <w:p w14:paraId="2969D58E" w14:textId="195AB1F3" w:rsidR="00524968" w:rsidRDefault="00D57F2B">
          <w:pPr>
            <w:pStyle w:val="TDC1"/>
            <w:rPr>
              <w:rFonts w:asciiTheme="minorHAnsi" w:eastAsiaTheme="minorEastAsia" w:hAnsiTheme="minorHAnsi" w:cstheme="minorBidi"/>
              <w:kern w:val="2"/>
              <w:sz w:val="22"/>
              <w:szCs w:val="22"/>
              <w:lang w:val="es-CO" w:eastAsia="es-CO"/>
              <w14:ligatures w14:val="standardContextual"/>
            </w:rPr>
          </w:pPr>
          <w:r w:rsidRPr="007256E5">
            <w:rPr>
              <w:rFonts w:cs="Arial"/>
              <w:b/>
              <w:bCs/>
            </w:rPr>
            <w:fldChar w:fldCharType="begin"/>
          </w:r>
          <w:r w:rsidRPr="007256E5">
            <w:rPr>
              <w:rFonts w:cs="Arial"/>
              <w:b/>
              <w:bCs/>
            </w:rPr>
            <w:instrText xml:space="preserve"> TOC \o "1-3" \h \z \u </w:instrText>
          </w:r>
          <w:r w:rsidRPr="007256E5">
            <w:rPr>
              <w:rFonts w:cs="Arial"/>
              <w:b/>
              <w:bCs/>
            </w:rPr>
            <w:fldChar w:fldCharType="separate"/>
          </w:r>
          <w:hyperlink w:anchor="_Toc144934262" w:history="1">
            <w:r w:rsidR="00524968" w:rsidRPr="00284072">
              <w:rPr>
                <w:rStyle w:val="Hipervnculo"/>
                <w:rFonts w:cs="Arial"/>
              </w:rPr>
              <w:t>1.</w:t>
            </w:r>
            <w:r w:rsidR="00524968">
              <w:rPr>
                <w:rFonts w:asciiTheme="minorHAnsi" w:eastAsiaTheme="minorEastAsia" w:hAnsiTheme="minorHAnsi" w:cstheme="minorBidi"/>
                <w:kern w:val="2"/>
                <w:sz w:val="22"/>
                <w:szCs w:val="22"/>
                <w:lang w:val="es-CO" w:eastAsia="es-CO"/>
                <w14:ligatures w14:val="standardContextual"/>
              </w:rPr>
              <w:tab/>
            </w:r>
            <w:r w:rsidR="00524968" w:rsidRPr="00284072">
              <w:rPr>
                <w:rStyle w:val="Hipervnculo"/>
                <w:rFonts w:cs="Arial"/>
              </w:rPr>
              <w:t>ANTECEDENTES</w:t>
            </w:r>
            <w:r w:rsidR="00524968">
              <w:rPr>
                <w:webHidden/>
              </w:rPr>
              <w:tab/>
            </w:r>
            <w:r w:rsidR="00524968">
              <w:rPr>
                <w:webHidden/>
              </w:rPr>
              <w:fldChar w:fldCharType="begin"/>
            </w:r>
            <w:r w:rsidR="00524968">
              <w:rPr>
                <w:webHidden/>
              </w:rPr>
              <w:instrText xml:space="preserve"> PAGEREF _Toc144934262 \h </w:instrText>
            </w:r>
            <w:r w:rsidR="00524968">
              <w:rPr>
                <w:webHidden/>
              </w:rPr>
            </w:r>
            <w:r w:rsidR="00524968">
              <w:rPr>
                <w:webHidden/>
              </w:rPr>
              <w:fldChar w:fldCharType="separate"/>
            </w:r>
            <w:r w:rsidR="00524968">
              <w:rPr>
                <w:webHidden/>
              </w:rPr>
              <w:t>3</w:t>
            </w:r>
            <w:r w:rsidR="00524968">
              <w:rPr>
                <w:webHidden/>
              </w:rPr>
              <w:fldChar w:fldCharType="end"/>
            </w:r>
          </w:hyperlink>
        </w:p>
        <w:p w14:paraId="5C327B61" w14:textId="401B5918" w:rsidR="00524968" w:rsidRDefault="00CB1250">
          <w:pPr>
            <w:pStyle w:val="TDC1"/>
            <w:rPr>
              <w:rFonts w:asciiTheme="minorHAnsi" w:eastAsiaTheme="minorEastAsia" w:hAnsiTheme="minorHAnsi" w:cstheme="minorBidi"/>
              <w:kern w:val="2"/>
              <w:sz w:val="22"/>
              <w:szCs w:val="22"/>
              <w:lang w:val="es-CO" w:eastAsia="es-CO"/>
              <w14:ligatures w14:val="standardContextual"/>
            </w:rPr>
          </w:pPr>
          <w:hyperlink w:anchor="_Toc144934263" w:history="1">
            <w:r w:rsidR="00524968" w:rsidRPr="00284072">
              <w:rPr>
                <w:rStyle w:val="Hipervnculo"/>
                <w:rFonts w:cs="Arial"/>
              </w:rPr>
              <w:t>2.</w:t>
            </w:r>
            <w:r w:rsidR="00524968">
              <w:rPr>
                <w:rFonts w:asciiTheme="minorHAnsi" w:eastAsiaTheme="minorEastAsia" w:hAnsiTheme="minorHAnsi" w:cstheme="minorBidi"/>
                <w:kern w:val="2"/>
                <w:sz w:val="22"/>
                <w:szCs w:val="22"/>
                <w:lang w:val="es-CO" w:eastAsia="es-CO"/>
                <w14:ligatures w14:val="standardContextual"/>
              </w:rPr>
              <w:tab/>
            </w:r>
            <w:r w:rsidR="00524968" w:rsidRPr="00284072">
              <w:rPr>
                <w:rStyle w:val="Hipervnculo"/>
                <w:rFonts w:cs="Arial"/>
              </w:rPr>
              <w:t>DEFINICIÓN DEL PROBLEMA</w:t>
            </w:r>
            <w:r w:rsidR="00524968">
              <w:rPr>
                <w:webHidden/>
              </w:rPr>
              <w:tab/>
            </w:r>
            <w:r w:rsidR="00524968">
              <w:rPr>
                <w:webHidden/>
              </w:rPr>
              <w:fldChar w:fldCharType="begin"/>
            </w:r>
            <w:r w:rsidR="00524968">
              <w:rPr>
                <w:webHidden/>
              </w:rPr>
              <w:instrText xml:space="preserve"> PAGEREF _Toc144934263 \h </w:instrText>
            </w:r>
            <w:r w:rsidR="00524968">
              <w:rPr>
                <w:webHidden/>
              </w:rPr>
            </w:r>
            <w:r w:rsidR="00524968">
              <w:rPr>
                <w:webHidden/>
              </w:rPr>
              <w:fldChar w:fldCharType="separate"/>
            </w:r>
            <w:r w:rsidR="00524968">
              <w:rPr>
                <w:webHidden/>
              </w:rPr>
              <w:t>5</w:t>
            </w:r>
            <w:r w:rsidR="00524968">
              <w:rPr>
                <w:webHidden/>
              </w:rPr>
              <w:fldChar w:fldCharType="end"/>
            </w:r>
          </w:hyperlink>
        </w:p>
        <w:p w14:paraId="17B42D6E" w14:textId="3FC1EE9F" w:rsidR="00524968" w:rsidRDefault="00CB1250">
          <w:pPr>
            <w:pStyle w:val="TDC1"/>
            <w:rPr>
              <w:rFonts w:asciiTheme="minorHAnsi" w:eastAsiaTheme="minorEastAsia" w:hAnsiTheme="minorHAnsi" w:cstheme="minorBidi"/>
              <w:kern w:val="2"/>
              <w:sz w:val="22"/>
              <w:szCs w:val="22"/>
              <w:lang w:val="es-CO" w:eastAsia="es-CO"/>
              <w14:ligatures w14:val="standardContextual"/>
            </w:rPr>
          </w:pPr>
          <w:hyperlink w:anchor="_Toc144934264" w:history="1">
            <w:r w:rsidR="00524968" w:rsidRPr="00284072">
              <w:rPr>
                <w:rStyle w:val="Hipervnculo"/>
                <w:rFonts w:cs="Arial"/>
              </w:rPr>
              <w:t>3.</w:t>
            </w:r>
            <w:r w:rsidR="00524968">
              <w:rPr>
                <w:rFonts w:asciiTheme="minorHAnsi" w:eastAsiaTheme="minorEastAsia" w:hAnsiTheme="minorHAnsi" w:cstheme="minorBidi"/>
                <w:kern w:val="2"/>
                <w:sz w:val="22"/>
                <w:szCs w:val="22"/>
                <w:lang w:val="es-CO" w:eastAsia="es-CO"/>
                <w14:ligatures w14:val="standardContextual"/>
              </w:rPr>
              <w:tab/>
            </w:r>
            <w:r w:rsidR="00524968" w:rsidRPr="00284072">
              <w:rPr>
                <w:rStyle w:val="Hipervnculo"/>
                <w:rFonts w:cs="Arial"/>
              </w:rPr>
              <w:t>OBJETIVOS</w:t>
            </w:r>
            <w:r w:rsidR="00524968">
              <w:rPr>
                <w:webHidden/>
              </w:rPr>
              <w:tab/>
            </w:r>
            <w:r w:rsidR="00524968">
              <w:rPr>
                <w:webHidden/>
              </w:rPr>
              <w:fldChar w:fldCharType="begin"/>
            </w:r>
            <w:r w:rsidR="00524968">
              <w:rPr>
                <w:webHidden/>
              </w:rPr>
              <w:instrText xml:space="preserve"> PAGEREF _Toc144934264 \h </w:instrText>
            </w:r>
            <w:r w:rsidR="00524968">
              <w:rPr>
                <w:webHidden/>
              </w:rPr>
            </w:r>
            <w:r w:rsidR="00524968">
              <w:rPr>
                <w:webHidden/>
              </w:rPr>
              <w:fldChar w:fldCharType="separate"/>
            </w:r>
            <w:r w:rsidR="00524968">
              <w:rPr>
                <w:webHidden/>
              </w:rPr>
              <w:t>5</w:t>
            </w:r>
            <w:r w:rsidR="00524968">
              <w:rPr>
                <w:webHidden/>
              </w:rPr>
              <w:fldChar w:fldCharType="end"/>
            </w:r>
          </w:hyperlink>
        </w:p>
        <w:p w14:paraId="763F8BBB" w14:textId="55F06285" w:rsidR="00524968" w:rsidRDefault="00CB1250">
          <w:pPr>
            <w:pStyle w:val="TDC1"/>
            <w:rPr>
              <w:rFonts w:asciiTheme="minorHAnsi" w:eastAsiaTheme="minorEastAsia" w:hAnsiTheme="minorHAnsi" w:cstheme="minorBidi"/>
              <w:kern w:val="2"/>
              <w:sz w:val="22"/>
              <w:szCs w:val="22"/>
              <w:lang w:val="es-CO" w:eastAsia="es-CO"/>
              <w14:ligatures w14:val="standardContextual"/>
            </w:rPr>
          </w:pPr>
          <w:hyperlink w:anchor="_Toc144934265" w:history="1">
            <w:r w:rsidR="00524968" w:rsidRPr="00284072">
              <w:rPr>
                <w:rStyle w:val="Hipervnculo"/>
                <w:rFonts w:cs="Arial"/>
              </w:rPr>
              <w:t>4.</w:t>
            </w:r>
            <w:r w:rsidR="00524968">
              <w:rPr>
                <w:rFonts w:asciiTheme="minorHAnsi" w:eastAsiaTheme="minorEastAsia" w:hAnsiTheme="minorHAnsi" w:cstheme="minorBidi"/>
                <w:kern w:val="2"/>
                <w:sz w:val="22"/>
                <w:szCs w:val="22"/>
                <w:lang w:val="es-CO" w:eastAsia="es-CO"/>
                <w14:ligatures w14:val="standardContextual"/>
              </w:rPr>
              <w:tab/>
            </w:r>
            <w:r w:rsidR="00524968" w:rsidRPr="00284072">
              <w:rPr>
                <w:rStyle w:val="Hipervnculo"/>
                <w:rFonts w:cs="Arial"/>
              </w:rPr>
              <w:t>ANÁLISIS DE ALTERNATIVAS</w:t>
            </w:r>
            <w:r w:rsidR="00524968">
              <w:rPr>
                <w:webHidden/>
              </w:rPr>
              <w:tab/>
            </w:r>
            <w:r w:rsidR="00524968">
              <w:rPr>
                <w:webHidden/>
              </w:rPr>
              <w:fldChar w:fldCharType="begin"/>
            </w:r>
            <w:r w:rsidR="00524968">
              <w:rPr>
                <w:webHidden/>
              </w:rPr>
              <w:instrText xml:space="preserve"> PAGEREF _Toc144934265 \h </w:instrText>
            </w:r>
            <w:r w:rsidR="00524968">
              <w:rPr>
                <w:webHidden/>
              </w:rPr>
            </w:r>
            <w:r w:rsidR="00524968">
              <w:rPr>
                <w:webHidden/>
              </w:rPr>
              <w:fldChar w:fldCharType="separate"/>
            </w:r>
            <w:r w:rsidR="00524968">
              <w:rPr>
                <w:webHidden/>
              </w:rPr>
              <w:t>5</w:t>
            </w:r>
            <w:r w:rsidR="00524968">
              <w:rPr>
                <w:webHidden/>
              </w:rPr>
              <w:fldChar w:fldCharType="end"/>
            </w:r>
          </w:hyperlink>
        </w:p>
        <w:p w14:paraId="7EE07CAA" w14:textId="4C3CBFE7" w:rsidR="00524968" w:rsidRDefault="00CB1250">
          <w:pPr>
            <w:pStyle w:val="TDC2"/>
            <w:rPr>
              <w:rFonts w:asciiTheme="minorHAnsi" w:eastAsiaTheme="minorEastAsia" w:hAnsiTheme="minorHAnsi" w:cstheme="minorBidi"/>
              <w:kern w:val="2"/>
              <w:sz w:val="22"/>
              <w:szCs w:val="22"/>
              <w:lang w:val="es-CO" w:eastAsia="es-CO"/>
              <w14:ligatures w14:val="standardContextual"/>
            </w:rPr>
          </w:pPr>
          <w:hyperlink w:anchor="_Toc144934266" w:history="1">
            <w:r w:rsidR="00524968" w:rsidRPr="00284072">
              <w:rPr>
                <w:rStyle w:val="Hipervnculo"/>
              </w:rPr>
              <w:t>4.1</w:t>
            </w:r>
            <w:r w:rsidR="00524968">
              <w:rPr>
                <w:rFonts w:asciiTheme="minorHAnsi" w:eastAsiaTheme="minorEastAsia" w:hAnsiTheme="minorHAnsi" w:cstheme="minorBidi"/>
                <w:kern w:val="2"/>
                <w:sz w:val="22"/>
                <w:szCs w:val="22"/>
                <w:lang w:val="es-CO" w:eastAsia="es-CO"/>
                <w14:ligatures w14:val="standardContextual"/>
              </w:rPr>
              <w:tab/>
            </w:r>
            <w:r w:rsidR="00524968" w:rsidRPr="00284072">
              <w:rPr>
                <w:rStyle w:val="Hipervnculo"/>
              </w:rPr>
              <w:t>Alternativa 1. Mantener los compromisos de toma de energía</w:t>
            </w:r>
            <w:r w:rsidR="00524968">
              <w:rPr>
                <w:webHidden/>
              </w:rPr>
              <w:tab/>
            </w:r>
            <w:r w:rsidR="00524968">
              <w:rPr>
                <w:webHidden/>
              </w:rPr>
              <w:fldChar w:fldCharType="begin"/>
            </w:r>
            <w:r w:rsidR="00524968">
              <w:rPr>
                <w:webHidden/>
              </w:rPr>
              <w:instrText xml:space="preserve"> PAGEREF _Toc144934266 \h </w:instrText>
            </w:r>
            <w:r w:rsidR="00524968">
              <w:rPr>
                <w:webHidden/>
              </w:rPr>
            </w:r>
            <w:r w:rsidR="00524968">
              <w:rPr>
                <w:webHidden/>
              </w:rPr>
              <w:fldChar w:fldCharType="separate"/>
            </w:r>
            <w:r w:rsidR="00524968">
              <w:rPr>
                <w:webHidden/>
              </w:rPr>
              <w:t>5</w:t>
            </w:r>
            <w:r w:rsidR="00524968">
              <w:rPr>
                <w:webHidden/>
              </w:rPr>
              <w:fldChar w:fldCharType="end"/>
            </w:r>
          </w:hyperlink>
        </w:p>
        <w:p w14:paraId="051B9027" w14:textId="3A4630B4" w:rsidR="00524968" w:rsidRDefault="00CB1250">
          <w:pPr>
            <w:pStyle w:val="TDC2"/>
            <w:rPr>
              <w:rFonts w:asciiTheme="minorHAnsi" w:eastAsiaTheme="minorEastAsia" w:hAnsiTheme="minorHAnsi" w:cstheme="minorBidi"/>
              <w:kern w:val="2"/>
              <w:sz w:val="22"/>
              <w:szCs w:val="22"/>
              <w:lang w:val="es-CO" w:eastAsia="es-CO"/>
              <w14:ligatures w14:val="standardContextual"/>
            </w:rPr>
          </w:pPr>
          <w:hyperlink w:anchor="_Toc144934267" w:history="1">
            <w:r w:rsidR="00524968" w:rsidRPr="00284072">
              <w:rPr>
                <w:rStyle w:val="Hipervnculo"/>
              </w:rPr>
              <w:t>4.2</w:t>
            </w:r>
            <w:r w:rsidR="00524968">
              <w:rPr>
                <w:rFonts w:asciiTheme="minorHAnsi" w:eastAsiaTheme="minorEastAsia" w:hAnsiTheme="minorHAnsi" w:cstheme="minorBidi"/>
                <w:kern w:val="2"/>
                <w:sz w:val="22"/>
                <w:szCs w:val="22"/>
                <w:lang w:val="es-CO" w:eastAsia="es-CO"/>
                <w14:ligatures w14:val="standardContextual"/>
              </w:rPr>
              <w:tab/>
            </w:r>
            <w:r w:rsidR="00524968" w:rsidRPr="00284072">
              <w:rPr>
                <w:rStyle w:val="Hipervnculo"/>
              </w:rPr>
              <w:t>Alternativa 2. Proponer la disminución de los compromisos de toma de energía</w:t>
            </w:r>
            <w:r w:rsidR="00524968">
              <w:rPr>
                <w:webHidden/>
              </w:rPr>
              <w:tab/>
            </w:r>
            <w:r w:rsidR="00524968">
              <w:rPr>
                <w:webHidden/>
              </w:rPr>
              <w:fldChar w:fldCharType="begin"/>
            </w:r>
            <w:r w:rsidR="00524968">
              <w:rPr>
                <w:webHidden/>
              </w:rPr>
              <w:instrText xml:space="preserve"> PAGEREF _Toc144934267 \h </w:instrText>
            </w:r>
            <w:r w:rsidR="00524968">
              <w:rPr>
                <w:webHidden/>
              </w:rPr>
            </w:r>
            <w:r w:rsidR="00524968">
              <w:rPr>
                <w:webHidden/>
              </w:rPr>
              <w:fldChar w:fldCharType="separate"/>
            </w:r>
            <w:r w:rsidR="00524968">
              <w:rPr>
                <w:webHidden/>
              </w:rPr>
              <w:t>5</w:t>
            </w:r>
            <w:r w:rsidR="00524968">
              <w:rPr>
                <w:webHidden/>
              </w:rPr>
              <w:fldChar w:fldCharType="end"/>
            </w:r>
          </w:hyperlink>
        </w:p>
        <w:p w14:paraId="0D75EE87" w14:textId="6DB57DA5" w:rsidR="00524968" w:rsidRDefault="00CB1250">
          <w:pPr>
            <w:pStyle w:val="TDC1"/>
            <w:rPr>
              <w:rFonts w:asciiTheme="minorHAnsi" w:eastAsiaTheme="minorEastAsia" w:hAnsiTheme="minorHAnsi" w:cstheme="minorBidi"/>
              <w:kern w:val="2"/>
              <w:sz w:val="22"/>
              <w:szCs w:val="22"/>
              <w:lang w:val="es-CO" w:eastAsia="es-CO"/>
              <w14:ligatures w14:val="standardContextual"/>
            </w:rPr>
          </w:pPr>
          <w:hyperlink w:anchor="_Toc144934268" w:history="1">
            <w:r w:rsidR="00524968" w:rsidRPr="00284072">
              <w:rPr>
                <w:rStyle w:val="Hipervnculo"/>
                <w:rFonts w:cs="Arial"/>
              </w:rPr>
              <w:t>5.</w:t>
            </w:r>
            <w:r w:rsidR="00524968">
              <w:rPr>
                <w:rFonts w:asciiTheme="minorHAnsi" w:eastAsiaTheme="minorEastAsia" w:hAnsiTheme="minorHAnsi" w:cstheme="minorBidi"/>
                <w:kern w:val="2"/>
                <w:sz w:val="22"/>
                <w:szCs w:val="22"/>
                <w:lang w:val="es-CO" w:eastAsia="es-CO"/>
                <w14:ligatures w14:val="standardContextual"/>
              </w:rPr>
              <w:tab/>
            </w:r>
            <w:r w:rsidR="00524968" w:rsidRPr="00284072">
              <w:rPr>
                <w:rStyle w:val="Hipervnculo"/>
                <w:rFonts w:cs="Arial"/>
              </w:rPr>
              <w:t>PROPUESTA REGULATORIA</w:t>
            </w:r>
            <w:r w:rsidR="00524968">
              <w:rPr>
                <w:webHidden/>
              </w:rPr>
              <w:tab/>
            </w:r>
            <w:r w:rsidR="00524968">
              <w:rPr>
                <w:webHidden/>
              </w:rPr>
              <w:fldChar w:fldCharType="begin"/>
            </w:r>
            <w:r w:rsidR="00524968">
              <w:rPr>
                <w:webHidden/>
              </w:rPr>
              <w:instrText xml:space="preserve"> PAGEREF _Toc144934268 \h </w:instrText>
            </w:r>
            <w:r w:rsidR="00524968">
              <w:rPr>
                <w:webHidden/>
              </w:rPr>
            </w:r>
            <w:r w:rsidR="00524968">
              <w:rPr>
                <w:webHidden/>
              </w:rPr>
              <w:fldChar w:fldCharType="separate"/>
            </w:r>
            <w:r w:rsidR="00524968">
              <w:rPr>
                <w:webHidden/>
              </w:rPr>
              <w:t>6</w:t>
            </w:r>
            <w:r w:rsidR="00524968">
              <w:rPr>
                <w:webHidden/>
              </w:rPr>
              <w:fldChar w:fldCharType="end"/>
            </w:r>
          </w:hyperlink>
        </w:p>
        <w:p w14:paraId="004C7A07" w14:textId="45BFFB04" w:rsidR="00524968" w:rsidRDefault="00CB1250">
          <w:pPr>
            <w:pStyle w:val="TDC2"/>
            <w:rPr>
              <w:rFonts w:asciiTheme="minorHAnsi" w:eastAsiaTheme="minorEastAsia" w:hAnsiTheme="minorHAnsi" w:cstheme="minorBidi"/>
              <w:kern w:val="2"/>
              <w:sz w:val="22"/>
              <w:szCs w:val="22"/>
              <w:lang w:val="es-CO" w:eastAsia="es-CO"/>
              <w14:ligatures w14:val="standardContextual"/>
            </w:rPr>
          </w:pPr>
          <w:hyperlink w:anchor="_Toc144934269" w:history="1">
            <w:r w:rsidR="00524968" w:rsidRPr="00284072">
              <w:rPr>
                <w:rStyle w:val="Hipervnculo"/>
              </w:rPr>
              <w:t>5.1</w:t>
            </w:r>
            <w:r w:rsidR="00524968">
              <w:rPr>
                <w:rFonts w:asciiTheme="minorHAnsi" w:eastAsiaTheme="minorEastAsia" w:hAnsiTheme="minorHAnsi" w:cstheme="minorBidi"/>
                <w:kern w:val="2"/>
                <w:sz w:val="22"/>
                <w:szCs w:val="22"/>
                <w:lang w:val="es-CO" w:eastAsia="es-CO"/>
                <w14:ligatures w14:val="standardContextual"/>
              </w:rPr>
              <w:tab/>
            </w:r>
            <w:r w:rsidR="00524968" w:rsidRPr="00284072">
              <w:rPr>
                <w:rStyle w:val="Hipervnculo"/>
              </w:rPr>
              <w:t>Suspensión de la obligación de toma de energía</w:t>
            </w:r>
            <w:r w:rsidR="00524968">
              <w:rPr>
                <w:webHidden/>
              </w:rPr>
              <w:tab/>
            </w:r>
            <w:r w:rsidR="00524968">
              <w:rPr>
                <w:webHidden/>
              </w:rPr>
              <w:fldChar w:fldCharType="begin"/>
            </w:r>
            <w:r w:rsidR="00524968">
              <w:rPr>
                <w:webHidden/>
              </w:rPr>
              <w:instrText xml:space="preserve"> PAGEREF _Toc144934269 \h </w:instrText>
            </w:r>
            <w:r w:rsidR="00524968">
              <w:rPr>
                <w:webHidden/>
              </w:rPr>
            </w:r>
            <w:r w:rsidR="00524968">
              <w:rPr>
                <w:webHidden/>
              </w:rPr>
              <w:fldChar w:fldCharType="separate"/>
            </w:r>
            <w:r w:rsidR="00524968">
              <w:rPr>
                <w:webHidden/>
              </w:rPr>
              <w:t>6</w:t>
            </w:r>
            <w:r w:rsidR="00524968">
              <w:rPr>
                <w:webHidden/>
              </w:rPr>
              <w:fldChar w:fldCharType="end"/>
            </w:r>
          </w:hyperlink>
        </w:p>
        <w:p w14:paraId="10F20EE0" w14:textId="4AD0B5FA" w:rsidR="00524968" w:rsidRDefault="00CB1250">
          <w:pPr>
            <w:pStyle w:val="TDC2"/>
            <w:rPr>
              <w:rFonts w:asciiTheme="minorHAnsi" w:eastAsiaTheme="minorEastAsia" w:hAnsiTheme="minorHAnsi" w:cstheme="minorBidi"/>
              <w:kern w:val="2"/>
              <w:sz w:val="22"/>
              <w:szCs w:val="22"/>
              <w:lang w:val="es-CO" w:eastAsia="es-CO"/>
              <w14:ligatures w14:val="standardContextual"/>
            </w:rPr>
          </w:pPr>
          <w:hyperlink w:anchor="_Toc144934270" w:history="1">
            <w:r w:rsidR="00524968" w:rsidRPr="00284072">
              <w:rPr>
                <w:rStyle w:val="Hipervnculo"/>
              </w:rPr>
              <w:t>5.2</w:t>
            </w:r>
            <w:r w:rsidR="00524968">
              <w:rPr>
                <w:rFonts w:asciiTheme="minorHAnsi" w:eastAsiaTheme="minorEastAsia" w:hAnsiTheme="minorHAnsi" w:cstheme="minorBidi"/>
                <w:kern w:val="2"/>
                <w:sz w:val="22"/>
                <w:szCs w:val="22"/>
                <w:lang w:val="es-CO" w:eastAsia="es-CO"/>
                <w14:ligatures w14:val="standardContextual"/>
              </w:rPr>
              <w:tab/>
            </w:r>
            <w:r w:rsidR="00524968" w:rsidRPr="00284072">
              <w:rPr>
                <w:rStyle w:val="Hipervnculo"/>
              </w:rPr>
              <w:t>Ventana de tiempo</w:t>
            </w:r>
            <w:r w:rsidR="00524968">
              <w:rPr>
                <w:webHidden/>
              </w:rPr>
              <w:tab/>
            </w:r>
            <w:r w:rsidR="00524968">
              <w:rPr>
                <w:webHidden/>
              </w:rPr>
              <w:fldChar w:fldCharType="begin"/>
            </w:r>
            <w:r w:rsidR="00524968">
              <w:rPr>
                <w:webHidden/>
              </w:rPr>
              <w:instrText xml:space="preserve"> PAGEREF _Toc144934270 \h </w:instrText>
            </w:r>
            <w:r w:rsidR="00524968">
              <w:rPr>
                <w:webHidden/>
              </w:rPr>
            </w:r>
            <w:r w:rsidR="00524968">
              <w:rPr>
                <w:webHidden/>
              </w:rPr>
              <w:fldChar w:fldCharType="separate"/>
            </w:r>
            <w:r w:rsidR="00524968">
              <w:rPr>
                <w:webHidden/>
              </w:rPr>
              <w:t>6</w:t>
            </w:r>
            <w:r w:rsidR="00524968">
              <w:rPr>
                <w:webHidden/>
              </w:rPr>
              <w:fldChar w:fldCharType="end"/>
            </w:r>
          </w:hyperlink>
        </w:p>
        <w:p w14:paraId="313160EC" w14:textId="32AF0B7D" w:rsidR="00524968" w:rsidRDefault="00CB1250">
          <w:pPr>
            <w:pStyle w:val="TDC2"/>
            <w:rPr>
              <w:rFonts w:asciiTheme="minorHAnsi" w:eastAsiaTheme="minorEastAsia" w:hAnsiTheme="minorHAnsi" w:cstheme="minorBidi"/>
              <w:kern w:val="2"/>
              <w:sz w:val="22"/>
              <w:szCs w:val="22"/>
              <w:lang w:val="es-CO" w:eastAsia="es-CO"/>
              <w14:ligatures w14:val="standardContextual"/>
            </w:rPr>
          </w:pPr>
          <w:hyperlink w:anchor="_Toc144934271" w:history="1">
            <w:r w:rsidR="00524968" w:rsidRPr="00284072">
              <w:rPr>
                <w:rStyle w:val="Hipervnculo"/>
              </w:rPr>
              <w:t>5.3</w:t>
            </w:r>
            <w:r w:rsidR="00524968">
              <w:rPr>
                <w:rFonts w:asciiTheme="minorHAnsi" w:eastAsiaTheme="minorEastAsia" w:hAnsiTheme="minorHAnsi" w:cstheme="minorBidi"/>
                <w:kern w:val="2"/>
                <w:sz w:val="22"/>
                <w:szCs w:val="22"/>
                <w:lang w:val="es-CO" w:eastAsia="es-CO"/>
                <w14:ligatures w14:val="standardContextual"/>
              </w:rPr>
              <w:tab/>
            </w:r>
            <w:r w:rsidR="00524968" w:rsidRPr="00284072">
              <w:rPr>
                <w:rStyle w:val="Hipervnculo"/>
              </w:rPr>
              <w:t>Ajuste regulatorio</w:t>
            </w:r>
            <w:r w:rsidR="00524968">
              <w:rPr>
                <w:webHidden/>
              </w:rPr>
              <w:tab/>
            </w:r>
            <w:r w:rsidR="00524968">
              <w:rPr>
                <w:webHidden/>
              </w:rPr>
              <w:fldChar w:fldCharType="begin"/>
            </w:r>
            <w:r w:rsidR="00524968">
              <w:rPr>
                <w:webHidden/>
              </w:rPr>
              <w:instrText xml:space="preserve"> PAGEREF _Toc144934271 \h </w:instrText>
            </w:r>
            <w:r w:rsidR="00524968">
              <w:rPr>
                <w:webHidden/>
              </w:rPr>
            </w:r>
            <w:r w:rsidR="00524968">
              <w:rPr>
                <w:webHidden/>
              </w:rPr>
              <w:fldChar w:fldCharType="separate"/>
            </w:r>
            <w:r w:rsidR="00524968">
              <w:rPr>
                <w:webHidden/>
              </w:rPr>
              <w:t>6</w:t>
            </w:r>
            <w:r w:rsidR="00524968">
              <w:rPr>
                <w:webHidden/>
              </w:rPr>
              <w:fldChar w:fldCharType="end"/>
            </w:r>
          </w:hyperlink>
        </w:p>
        <w:p w14:paraId="4E6012C2" w14:textId="041361B1" w:rsidR="00524968" w:rsidRDefault="00CB1250">
          <w:pPr>
            <w:pStyle w:val="TDC1"/>
            <w:rPr>
              <w:rFonts w:asciiTheme="minorHAnsi" w:eastAsiaTheme="minorEastAsia" w:hAnsiTheme="minorHAnsi" w:cstheme="minorBidi"/>
              <w:kern w:val="2"/>
              <w:sz w:val="22"/>
              <w:szCs w:val="22"/>
              <w:lang w:val="es-CO" w:eastAsia="es-CO"/>
              <w14:ligatures w14:val="standardContextual"/>
            </w:rPr>
          </w:pPr>
          <w:hyperlink w:anchor="_Toc144934272" w:history="1">
            <w:r w:rsidR="00524968" w:rsidRPr="00284072">
              <w:rPr>
                <w:rStyle w:val="Hipervnculo"/>
                <w:rFonts w:cs="Arial"/>
              </w:rPr>
              <w:t>6.</w:t>
            </w:r>
            <w:r w:rsidR="00524968">
              <w:rPr>
                <w:rFonts w:asciiTheme="minorHAnsi" w:eastAsiaTheme="minorEastAsia" w:hAnsiTheme="minorHAnsi" w:cstheme="minorBidi"/>
                <w:kern w:val="2"/>
                <w:sz w:val="22"/>
                <w:szCs w:val="22"/>
                <w:lang w:val="es-CO" w:eastAsia="es-CO"/>
                <w14:ligatures w14:val="standardContextual"/>
              </w:rPr>
              <w:tab/>
            </w:r>
            <w:r w:rsidR="00524968" w:rsidRPr="00284072">
              <w:rPr>
                <w:rStyle w:val="Hipervnculo"/>
                <w:rFonts w:cs="Arial"/>
              </w:rPr>
              <w:t>CONSULTA PÚBLICA</w:t>
            </w:r>
            <w:r w:rsidR="00524968">
              <w:rPr>
                <w:webHidden/>
              </w:rPr>
              <w:tab/>
            </w:r>
            <w:r w:rsidR="00524968">
              <w:rPr>
                <w:webHidden/>
              </w:rPr>
              <w:fldChar w:fldCharType="begin"/>
            </w:r>
            <w:r w:rsidR="00524968">
              <w:rPr>
                <w:webHidden/>
              </w:rPr>
              <w:instrText xml:space="preserve"> PAGEREF _Toc144934272 \h </w:instrText>
            </w:r>
            <w:r w:rsidR="00524968">
              <w:rPr>
                <w:webHidden/>
              </w:rPr>
            </w:r>
            <w:r w:rsidR="00524968">
              <w:rPr>
                <w:webHidden/>
              </w:rPr>
              <w:fldChar w:fldCharType="separate"/>
            </w:r>
            <w:r w:rsidR="00524968">
              <w:rPr>
                <w:webHidden/>
              </w:rPr>
              <w:t>6</w:t>
            </w:r>
            <w:r w:rsidR="00524968">
              <w:rPr>
                <w:webHidden/>
              </w:rPr>
              <w:fldChar w:fldCharType="end"/>
            </w:r>
          </w:hyperlink>
        </w:p>
        <w:p w14:paraId="56BC8467" w14:textId="7C93F0F2" w:rsidR="00524968" w:rsidRDefault="00CB1250">
          <w:pPr>
            <w:pStyle w:val="TDC1"/>
            <w:rPr>
              <w:rFonts w:asciiTheme="minorHAnsi" w:eastAsiaTheme="minorEastAsia" w:hAnsiTheme="minorHAnsi" w:cstheme="minorBidi"/>
              <w:kern w:val="2"/>
              <w:sz w:val="22"/>
              <w:szCs w:val="22"/>
              <w:lang w:val="es-CO" w:eastAsia="es-CO"/>
              <w14:ligatures w14:val="standardContextual"/>
            </w:rPr>
          </w:pPr>
          <w:hyperlink w:anchor="_Toc144934273" w:history="1">
            <w:r w:rsidR="00524968" w:rsidRPr="00284072">
              <w:rPr>
                <w:rStyle w:val="Hipervnculo"/>
                <w:rFonts w:cs="Arial"/>
              </w:rPr>
              <w:t>7.</w:t>
            </w:r>
            <w:r w:rsidR="00524968">
              <w:rPr>
                <w:rFonts w:asciiTheme="minorHAnsi" w:eastAsiaTheme="minorEastAsia" w:hAnsiTheme="minorHAnsi" w:cstheme="minorBidi"/>
                <w:kern w:val="2"/>
                <w:sz w:val="22"/>
                <w:szCs w:val="22"/>
                <w:lang w:val="es-CO" w:eastAsia="es-CO"/>
                <w14:ligatures w14:val="standardContextual"/>
              </w:rPr>
              <w:tab/>
            </w:r>
            <w:r w:rsidR="00524968" w:rsidRPr="00284072">
              <w:rPr>
                <w:rStyle w:val="Hipervnculo"/>
                <w:rFonts w:cs="Arial"/>
              </w:rPr>
              <w:t>CONCLUSIONES</w:t>
            </w:r>
            <w:r w:rsidR="00524968">
              <w:rPr>
                <w:webHidden/>
              </w:rPr>
              <w:tab/>
            </w:r>
            <w:r w:rsidR="00524968">
              <w:rPr>
                <w:webHidden/>
              </w:rPr>
              <w:fldChar w:fldCharType="begin"/>
            </w:r>
            <w:r w:rsidR="00524968">
              <w:rPr>
                <w:webHidden/>
              </w:rPr>
              <w:instrText xml:space="preserve"> PAGEREF _Toc144934273 \h </w:instrText>
            </w:r>
            <w:r w:rsidR="00524968">
              <w:rPr>
                <w:webHidden/>
              </w:rPr>
            </w:r>
            <w:r w:rsidR="00524968">
              <w:rPr>
                <w:webHidden/>
              </w:rPr>
              <w:fldChar w:fldCharType="separate"/>
            </w:r>
            <w:r w:rsidR="00524968">
              <w:rPr>
                <w:webHidden/>
              </w:rPr>
              <w:t>6</w:t>
            </w:r>
            <w:r w:rsidR="00524968">
              <w:rPr>
                <w:webHidden/>
              </w:rPr>
              <w:fldChar w:fldCharType="end"/>
            </w:r>
          </w:hyperlink>
        </w:p>
        <w:p w14:paraId="399BE02E" w14:textId="19303AC9" w:rsidR="00D57F2B" w:rsidRPr="007256E5" w:rsidRDefault="00D57F2B" w:rsidP="008A0C85">
          <w:pPr>
            <w:jc w:val="left"/>
            <w:rPr>
              <w:rFonts w:cs="Arial"/>
            </w:rPr>
          </w:pPr>
          <w:r w:rsidRPr="007256E5">
            <w:rPr>
              <w:rFonts w:cs="Arial"/>
              <w:b/>
              <w:bCs/>
              <w:lang w:val="es-ES"/>
            </w:rPr>
            <w:fldChar w:fldCharType="end"/>
          </w:r>
        </w:p>
      </w:sdtContent>
    </w:sdt>
    <w:p w14:paraId="2BF40E4B" w14:textId="77777777" w:rsidR="00D57F2B" w:rsidRPr="007256E5" w:rsidRDefault="00D57F2B" w:rsidP="008A0C85">
      <w:pPr>
        <w:jc w:val="left"/>
        <w:rPr>
          <w:rFonts w:cs="Arial"/>
          <w:sz w:val="22"/>
        </w:rPr>
      </w:pPr>
    </w:p>
    <w:p w14:paraId="4CD514F5" w14:textId="77777777" w:rsidR="00D57F2B" w:rsidRPr="007256E5" w:rsidRDefault="00D57F2B" w:rsidP="008A0C85">
      <w:pPr>
        <w:jc w:val="left"/>
        <w:rPr>
          <w:rFonts w:cs="Arial"/>
          <w:sz w:val="22"/>
        </w:rPr>
      </w:pPr>
      <w:r w:rsidRPr="007256E5">
        <w:rPr>
          <w:rFonts w:cs="Arial"/>
          <w:sz w:val="22"/>
        </w:rPr>
        <w:br w:type="page"/>
      </w:r>
    </w:p>
    <w:p w14:paraId="2591E04F" w14:textId="77777777" w:rsidR="00D57F2B" w:rsidRDefault="00D57F2B" w:rsidP="008A0C85">
      <w:pPr>
        <w:jc w:val="left"/>
        <w:rPr>
          <w:rFonts w:cs="Arial"/>
          <w:sz w:val="22"/>
        </w:rPr>
      </w:pPr>
    </w:p>
    <w:p w14:paraId="3BF916CD" w14:textId="77777777" w:rsidR="00D57F2B" w:rsidRDefault="00D57F2B" w:rsidP="008A0C85">
      <w:pPr>
        <w:jc w:val="left"/>
        <w:rPr>
          <w:rFonts w:cs="Arial"/>
          <w:sz w:val="22"/>
        </w:rPr>
      </w:pPr>
    </w:p>
    <w:p w14:paraId="567A8978" w14:textId="77777777" w:rsidR="00D57F2B" w:rsidRPr="007256E5" w:rsidRDefault="00D57F2B" w:rsidP="008A0C85">
      <w:pPr>
        <w:jc w:val="left"/>
        <w:rPr>
          <w:rFonts w:cs="Arial"/>
          <w:sz w:val="22"/>
        </w:rPr>
      </w:pPr>
    </w:p>
    <w:p w14:paraId="76CA8977" w14:textId="77777777" w:rsidR="00925600" w:rsidRDefault="00925600" w:rsidP="00850434">
      <w:pPr>
        <w:pStyle w:val="Ttulo"/>
        <w:rPr>
          <w:rFonts w:cs="Arial"/>
        </w:rPr>
      </w:pPr>
      <w:r w:rsidRPr="00925600">
        <w:rPr>
          <w:rFonts w:cs="Arial"/>
        </w:rPr>
        <w:t xml:space="preserve">SUSPENSIÓN DE LA APLICACIÓN DEL NUMERAL 4.3.1 </w:t>
      </w:r>
    </w:p>
    <w:p w14:paraId="6CB56BBD" w14:textId="5E8D88EB" w:rsidR="00D57F2B" w:rsidRPr="007256E5" w:rsidRDefault="00925600" w:rsidP="00850434">
      <w:pPr>
        <w:pStyle w:val="Ttulo"/>
        <w:rPr>
          <w:rFonts w:cs="Arial"/>
          <w:sz w:val="28"/>
        </w:rPr>
      </w:pPr>
      <w:r w:rsidRPr="00925600">
        <w:rPr>
          <w:rFonts w:cs="Arial"/>
        </w:rPr>
        <w:t>DEL ANEXO 1 DE LA RESOLUCIÓN CREG 022 DE 2001</w:t>
      </w:r>
    </w:p>
    <w:p w14:paraId="06F312D9" w14:textId="77777777" w:rsidR="00D57F2B" w:rsidRPr="007256E5" w:rsidRDefault="00D57F2B" w:rsidP="008A0C85">
      <w:pPr>
        <w:pStyle w:val="Ttulo1"/>
        <w:numPr>
          <w:ilvl w:val="0"/>
          <w:numId w:val="14"/>
        </w:numPr>
        <w:spacing w:before="360" w:after="0"/>
        <w:ind w:left="431" w:hanging="431"/>
        <w:jc w:val="left"/>
        <w:rPr>
          <w:rFonts w:cs="Arial"/>
          <w:sz w:val="22"/>
          <w:szCs w:val="22"/>
        </w:rPr>
      </w:pPr>
      <w:bookmarkStart w:id="2" w:name="_Toc41901972"/>
      <w:bookmarkStart w:id="3" w:name="_Toc506979468"/>
      <w:bookmarkStart w:id="4" w:name="_Toc494863466"/>
      <w:bookmarkStart w:id="5" w:name="_Toc144934262"/>
      <w:r w:rsidRPr="007256E5">
        <w:rPr>
          <w:rFonts w:cs="Arial"/>
          <w:sz w:val="22"/>
          <w:szCs w:val="22"/>
        </w:rPr>
        <w:t>ANTECEDENTES</w:t>
      </w:r>
      <w:bookmarkEnd w:id="2"/>
      <w:bookmarkEnd w:id="3"/>
      <w:bookmarkEnd w:id="4"/>
      <w:bookmarkEnd w:id="5"/>
    </w:p>
    <w:p w14:paraId="7517A1E7" w14:textId="137C6238" w:rsidR="00164FA3" w:rsidRPr="00183D01" w:rsidRDefault="00164FA3" w:rsidP="008A0C85">
      <w:pPr>
        <w:spacing w:before="240"/>
        <w:jc w:val="left"/>
        <w:rPr>
          <w:rStyle w:val="normaltextrun"/>
          <w:rFonts w:cs="Arial"/>
          <w:sz w:val="22"/>
          <w:szCs w:val="22"/>
        </w:rPr>
      </w:pPr>
      <w:bookmarkStart w:id="6" w:name="_Ref55054465"/>
      <w:bookmarkStart w:id="7" w:name="_Toc86260310"/>
      <w:r w:rsidRPr="00183D01">
        <w:rPr>
          <w:rStyle w:val="normaltextrun"/>
          <w:rFonts w:cs="Arial"/>
          <w:sz w:val="22"/>
          <w:szCs w:val="22"/>
        </w:rPr>
        <w:t xml:space="preserve">Mediante la Resolución CREG 022 de 2001, se aprobaron los principios generales y los procedimientos para definir el Plan de Expansión de Referencia del </w:t>
      </w:r>
      <w:r w:rsidR="00343314" w:rsidRPr="00343314">
        <w:rPr>
          <w:rStyle w:val="normaltextrun"/>
          <w:rFonts w:cs="Arial"/>
          <w:sz w:val="22"/>
          <w:szCs w:val="22"/>
        </w:rPr>
        <w:t>Sistema de Transmisión Nacional</w:t>
      </w:r>
      <w:r w:rsidR="00343314">
        <w:rPr>
          <w:rStyle w:val="normaltextrun"/>
          <w:rFonts w:cs="Arial"/>
          <w:sz w:val="22"/>
          <w:szCs w:val="22"/>
        </w:rPr>
        <w:t xml:space="preserve">, </w:t>
      </w:r>
      <w:r w:rsidRPr="00183D01">
        <w:rPr>
          <w:rStyle w:val="normaltextrun"/>
          <w:rFonts w:cs="Arial"/>
          <w:sz w:val="22"/>
          <w:szCs w:val="22"/>
        </w:rPr>
        <w:t xml:space="preserve">STN, y se estableció la metodología para determinar el </w:t>
      </w:r>
      <w:r w:rsidR="00DD1ABC" w:rsidRPr="00183D01">
        <w:rPr>
          <w:rStyle w:val="normaltextrun"/>
          <w:rFonts w:cs="Arial"/>
          <w:sz w:val="22"/>
          <w:szCs w:val="22"/>
        </w:rPr>
        <w:t>ingreso regulado</w:t>
      </w:r>
      <w:r w:rsidRPr="00183D01">
        <w:rPr>
          <w:rStyle w:val="normaltextrun"/>
          <w:rFonts w:cs="Arial"/>
          <w:sz w:val="22"/>
          <w:szCs w:val="22"/>
        </w:rPr>
        <w:t xml:space="preserve"> por concepto del uso de este sistema. </w:t>
      </w:r>
      <w:r w:rsidR="00DD1ABC" w:rsidRPr="00183D01">
        <w:rPr>
          <w:rStyle w:val="normaltextrun"/>
          <w:rFonts w:cs="Arial"/>
          <w:sz w:val="22"/>
          <w:szCs w:val="22"/>
        </w:rPr>
        <w:t xml:space="preserve">Esta resolución ha sido modificada </w:t>
      </w:r>
      <w:r w:rsidR="0058472F" w:rsidRPr="00183D01">
        <w:rPr>
          <w:rStyle w:val="normaltextrun"/>
          <w:rFonts w:cs="Arial"/>
          <w:sz w:val="22"/>
          <w:szCs w:val="22"/>
        </w:rPr>
        <w:t>por las</w:t>
      </w:r>
      <w:r w:rsidRPr="00183D01">
        <w:rPr>
          <w:rStyle w:val="normaltextrun"/>
          <w:rFonts w:cs="Arial"/>
          <w:sz w:val="22"/>
          <w:szCs w:val="22"/>
        </w:rPr>
        <w:t xml:space="preserve"> resoluciones CREG 085 de 2002, 001 y 008 de 2006, 093 de 2007, 147 de 2011, 064 de 2013 y 193 de 2020.</w:t>
      </w:r>
    </w:p>
    <w:p w14:paraId="46B94BF0" w14:textId="09A1DAFB" w:rsidR="00DD1ABC" w:rsidRPr="00183D01" w:rsidRDefault="001F6820" w:rsidP="008A0C85">
      <w:pPr>
        <w:spacing w:before="240"/>
        <w:jc w:val="left"/>
        <w:rPr>
          <w:rStyle w:val="normaltextrun"/>
          <w:rFonts w:cs="Arial"/>
          <w:sz w:val="22"/>
          <w:szCs w:val="22"/>
        </w:rPr>
      </w:pPr>
      <w:r>
        <w:rPr>
          <w:rStyle w:val="normaltextrun"/>
          <w:rFonts w:cs="Arial"/>
          <w:sz w:val="22"/>
          <w:szCs w:val="22"/>
        </w:rPr>
        <w:t>E</w:t>
      </w:r>
      <w:r w:rsidR="00DD1ABC" w:rsidRPr="00183D01">
        <w:rPr>
          <w:rStyle w:val="normaltextrun"/>
          <w:rFonts w:cs="Arial"/>
          <w:sz w:val="22"/>
          <w:szCs w:val="22"/>
        </w:rPr>
        <w:t>n el artículo 4 de la referida resolución, se introducen elementos de eficiencia en la ejecución del plan de expansión de referencia del STN y se establece lo siguiente:</w:t>
      </w:r>
    </w:p>
    <w:p w14:paraId="034332E0" w14:textId="20A5BB7C" w:rsidR="00DD1ABC" w:rsidRPr="00183D01" w:rsidRDefault="006A7A7A" w:rsidP="008A0C85">
      <w:pPr>
        <w:pStyle w:val="Citas"/>
        <w:spacing w:before="120" w:after="120"/>
        <w:ind w:left="284" w:right="284"/>
        <w:jc w:val="left"/>
        <w:rPr>
          <w:rFonts w:ascii="Arial" w:hAnsi="Arial"/>
          <w:sz w:val="22"/>
          <w:szCs w:val="22"/>
        </w:rPr>
      </w:pPr>
      <w:r w:rsidRPr="00183D01">
        <w:rPr>
          <w:rFonts w:ascii="Arial" w:hAnsi="Arial"/>
          <w:sz w:val="22"/>
          <w:szCs w:val="22"/>
        </w:rPr>
        <w:t>La expansión del Sistema de Transmisión Nacional se hará mediante la ejecución, a mínimo costo, de los proyectos del Plan de Expansión de Transmisión de Referencia, por parte de los inversionistas que resulten seleccionados en procesos que estimulen y garanticen la libre competencia en la escogencia de dichos proyectos.</w:t>
      </w:r>
    </w:p>
    <w:p w14:paraId="51EBBC70" w14:textId="66CFD752" w:rsidR="00DD1ABC" w:rsidRPr="00183D01" w:rsidRDefault="006A7A7A" w:rsidP="008A0C85">
      <w:pPr>
        <w:spacing w:before="240"/>
        <w:jc w:val="left"/>
        <w:rPr>
          <w:rStyle w:val="normaltextrun"/>
          <w:rFonts w:cs="Arial"/>
          <w:sz w:val="22"/>
          <w:szCs w:val="22"/>
        </w:rPr>
      </w:pPr>
      <w:r w:rsidRPr="00183D01">
        <w:rPr>
          <w:rStyle w:val="normaltextrun"/>
          <w:rFonts w:cs="Arial"/>
          <w:sz w:val="22"/>
          <w:szCs w:val="22"/>
        </w:rPr>
        <w:t>En el aparte I del literal b) de este mismo artículo se señala la obligación que tienen los usuarios del proyecto de transmisión</w:t>
      </w:r>
      <w:r w:rsidR="008E20CE" w:rsidRPr="00183D01">
        <w:rPr>
          <w:rStyle w:val="Refdenotaalpie"/>
          <w:sz w:val="22"/>
          <w:szCs w:val="22"/>
        </w:rPr>
        <w:footnoteReference w:id="1"/>
      </w:r>
      <w:r w:rsidRPr="00183D01">
        <w:rPr>
          <w:rStyle w:val="normaltextrun"/>
          <w:rFonts w:cs="Arial"/>
          <w:sz w:val="22"/>
          <w:szCs w:val="22"/>
        </w:rPr>
        <w:t xml:space="preserve"> de entregar garantías en los siguientes términos:</w:t>
      </w:r>
    </w:p>
    <w:p w14:paraId="14113CAE" w14:textId="77777777" w:rsidR="006A7A7A" w:rsidRPr="00183D01" w:rsidRDefault="006A7A7A" w:rsidP="008A0C85">
      <w:pPr>
        <w:pStyle w:val="Citas"/>
        <w:spacing w:before="120" w:after="120"/>
        <w:ind w:left="284" w:right="284"/>
        <w:jc w:val="left"/>
        <w:rPr>
          <w:rFonts w:ascii="Arial" w:hAnsi="Arial"/>
          <w:sz w:val="22"/>
          <w:szCs w:val="22"/>
        </w:rPr>
      </w:pPr>
      <w:r w:rsidRPr="00183D01">
        <w:rPr>
          <w:rFonts w:ascii="Arial" w:hAnsi="Arial"/>
          <w:sz w:val="22"/>
          <w:szCs w:val="22"/>
        </w:rPr>
        <w:t>Adicionalmente, en los casos en que las convocatorias correspondan a proyectos de expansión originados en solicitudes de conexión de usuarios (dentro de los cuales se incluyen los usuarios finales del servicio de energía eléctrica, los Operadores de Red y los Generadores) al Sistema de Transmisión Nacional (STN), a la solicitud de oficialización del ingreso deberá anexarse copia de la garantía que debe constituir y entregar el respectivo usuario, con anterioridad a la apertura de la convocatoria, a la entidad responsable de adelantar dicho proceso. Esta garantía deberá cumplir lo establecido en el Anexo 1 de esta resolución.</w:t>
      </w:r>
    </w:p>
    <w:p w14:paraId="4D144294" w14:textId="7C075DFB" w:rsidR="006A7A7A" w:rsidRPr="00183D01" w:rsidRDefault="006A7A7A" w:rsidP="008A0C85">
      <w:pPr>
        <w:pStyle w:val="Citas"/>
        <w:spacing w:before="120" w:after="120"/>
        <w:ind w:left="284" w:right="284"/>
        <w:jc w:val="left"/>
        <w:rPr>
          <w:rFonts w:ascii="Arial" w:hAnsi="Arial"/>
          <w:sz w:val="22"/>
          <w:szCs w:val="22"/>
        </w:rPr>
      </w:pPr>
      <w:r w:rsidRPr="00183D01">
        <w:rPr>
          <w:rFonts w:ascii="Arial" w:hAnsi="Arial"/>
          <w:sz w:val="22"/>
          <w:szCs w:val="22"/>
        </w:rPr>
        <w:t>Cuando ocurra alguno de los eventos de incumplimiento definidos en el Anexo 1 de esta resolución, el Administrador del Sistema de Intercambios Comerciales (ASIC) informará de esta situación al garante y al usuario, y hará efectiva la garantía. En todos los casos, el emisor o garante deberá girar el valor total garantizado al beneficiario.</w:t>
      </w:r>
    </w:p>
    <w:p w14:paraId="26AB1667" w14:textId="5DA1CB86" w:rsidR="00164FA3" w:rsidRPr="00183D01" w:rsidRDefault="006A7A7A" w:rsidP="008A0C85">
      <w:pPr>
        <w:spacing w:before="240"/>
        <w:jc w:val="left"/>
        <w:rPr>
          <w:rStyle w:val="normaltextrun"/>
          <w:rFonts w:cs="Arial"/>
          <w:sz w:val="22"/>
          <w:szCs w:val="22"/>
        </w:rPr>
      </w:pPr>
      <w:r w:rsidRPr="00183D01">
        <w:rPr>
          <w:rStyle w:val="normaltextrun"/>
          <w:rFonts w:cs="Arial"/>
          <w:sz w:val="22"/>
          <w:szCs w:val="22"/>
        </w:rPr>
        <w:t>Por su parte</w:t>
      </w:r>
      <w:r w:rsidR="003D7620" w:rsidRPr="00183D01">
        <w:rPr>
          <w:rStyle w:val="normaltextrun"/>
          <w:rFonts w:cs="Arial"/>
          <w:sz w:val="22"/>
          <w:szCs w:val="22"/>
        </w:rPr>
        <w:t>,</w:t>
      </w:r>
      <w:r w:rsidRPr="00183D01">
        <w:rPr>
          <w:rStyle w:val="normaltextrun"/>
          <w:rFonts w:cs="Arial"/>
          <w:sz w:val="22"/>
          <w:szCs w:val="22"/>
        </w:rPr>
        <w:t xml:space="preserve"> </w:t>
      </w:r>
      <w:r w:rsidR="004060D0">
        <w:rPr>
          <w:rStyle w:val="normaltextrun"/>
          <w:rFonts w:cs="Arial"/>
          <w:sz w:val="22"/>
          <w:szCs w:val="22"/>
        </w:rPr>
        <w:t xml:space="preserve">en </w:t>
      </w:r>
      <w:r w:rsidR="00164FA3" w:rsidRPr="00183D01">
        <w:rPr>
          <w:rStyle w:val="normaltextrun"/>
          <w:rFonts w:cs="Arial"/>
          <w:sz w:val="22"/>
          <w:szCs w:val="22"/>
        </w:rPr>
        <w:t>el numeral 4.</w:t>
      </w:r>
      <w:r w:rsidR="004060D0">
        <w:rPr>
          <w:rStyle w:val="normaltextrun"/>
          <w:rFonts w:cs="Arial"/>
          <w:sz w:val="22"/>
          <w:szCs w:val="22"/>
        </w:rPr>
        <w:t>3</w:t>
      </w:r>
      <w:r w:rsidR="00AE570F">
        <w:rPr>
          <w:rStyle w:val="normaltextrun"/>
          <w:rFonts w:cs="Arial"/>
          <w:sz w:val="22"/>
          <w:szCs w:val="22"/>
        </w:rPr>
        <w:t>.1</w:t>
      </w:r>
      <w:r w:rsidR="00164FA3" w:rsidRPr="00183D01">
        <w:rPr>
          <w:rStyle w:val="normaltextrun"/>
          <w:rFonts w:cs="Arial"/>
          <w:sz w:val="22"/>
          <w:szCs w:val="22"/>
        </w:rPr>
        <w:t xml:space="preserve"> del anexo </w:t>
      </w:r>
      <w:r w:rsidR="003B06DB" w:rsidRPr="00183D01">
        <w:rPr>
          <w:rStyle w:val="normaltextrun"/>
          <w:rFonts w:cs="Arial"/>
          <w:sz w:val="22"/>
          <w:szCs w:val="22"/>
        </w:rPr>
        <w:t xml:space="preserve">1 </w:t>
      </w:r>
      <w:r w:rsidR="00164FA3" w:rsidRPr="00183D01">
        <w:rPr>
          <w:rStyle w:val="normaltextrun"/>
          <w:rFonts w:cs="Arial"/>
          <w:sz w:val="22"/>
          <w:szCs w:val="22"/>
        </w:rPr>
        <w:t>de la Resolución CREG 022 de 2001</w:t>
      </w:r>
      <w:r w:rsidR="004060D0">
        <w:rPr>
          <w:rStyle w:val="normaltextrun"/>
          <w:rFonts w:cs="Arial"/>
          <w:sz w:val="22"/>
          <w:szCs w:val="22"/>
        </w:rPr>
        <w:t xml:space="preserve">, relacionado con las </w:t>
      </w:r>
      <w:r w:rsidR="004060D0" w:rsidRPr="004060D0">
        <w:rPr>
          <w:rStyle w:val="normaltextrun"/>
          <w:rFonts w:cs="Arial"/>
          <w:sz w:val="22"/>
          <w:szCs w:val="22"/>
        </w:rPr>
        <w:t>obligaciones a garantizar</w:t>
      </w:r>
      <w:r w:rsidR="004060D0">
        <w:rPr>
          <w:rStyle w:val="normaltextrun"/>
          <w:rFonts w:cs="Arial"/>
          <w:sz w:val="22"/>
          <w:szCs w:val="22"/>
        </w:rPr>
        <w:t>, en particular, para los casos de conexión de nuevas cargas</w:t>
      </w:r>
      <w:r w:rsidR="00695EE5">
        <w:rPr>
          <w:rStyle w:val="normaltextrun"/>
          <w:rFonts w:cs="Arial"/>
          <w:sz w:val="22"/>
          <w:szCs w:val="22"/>
        </w:rPr>
        <w:t xml:space="preserve">, </w:t>
      </w:r>
      <w:r w:rsidR="004060D0">
        <w:rPr>
          <w:rStyle w:val="normaltextrun"/>
          <w:rFonts w:cs="Arial"/>
          <w:sz w:val="22"/>
          <w:szCs w:val="22"/>
        </w:rPr>
        <w:t xml:space="preserve">se </w:t>
      </w:r>
      <w:r w:rsidR="00164FA3" w:rsidRPr="00183D01">
        <w:rPr>
          <w:rStyle w:val="normaltextrun"/>
          <w:rFonts w:cs="Arial"/>
          <w:sz w:val="22"/>
          <w:szCs w:val="22"/>
        </w:rPr>
        <w:t>establece l</w:t>
      </w:r>
      <w:r w:rsidR="004060D0">
        <w:rPr>
          <w:rStyle w:val="normaltextrun"/>
          <w:rFonts w:cs="Arial"/>
          <w:sz w:val="22"/>
          <w:szCs w:val="22"/>
        </w:rPr>
        <w:t>a</w:t>
      </w:r>
      <w:r w:rsidR="00164FA3" w:rsidRPr="00183D01">
        <w:rPr>
          <w:rStyle w:val="normaltextrun"/>
          <w:rFonts w:cs="Arial"/>
          <w:sz w:val="22"/>
          <w:szCs w:val="22"/>
        </w:rPr>
        <w:t xml:space="preserve"> siguiente</w:t>
      </w:r>
      <w:r w:rsidR="004060D0">
        <w:rPr>
          <w:rStyle w:val="normaltextrun"/>
          <w:rFonts w:cs="Arial"/>
          <w:sz w:val="22"/>
          <w:szCs w:val="22"/>
        </w:rPr>
        <w:t xml:space="preserve"> obligación</w:t>
      </w:r>
      <w:r w:rsidR="00164FA3" w:rsidRPr="00183D01">
        <w:rPr>
          <w:rStyle w:val="normaltextrun"/>
          <w:rFonts w:cs="Arial"/>
          <w:sz w:val="22"/>
          <w:szCs w:val="22"/>
        </w:rPr>
        <w:t>:</w:t>
      </w:r>
    </w:p>
    <w:p w14:paraId="5278D29B" w14:textId="77777777" w:rsidR="004060D0" w:rsidRPr="004060D0" w:rsidRDefault="004060D0" w:rsidP="004060D0">
      <w:pPr>
        <w:pStyle w:val="Citas"/>
        <w:spacing w:before="120" w:after="120"/>
        <w:ind w:left="284" w:right="284"/>
        <w:jc w:val="left"/>
        <w:rPr>
          <w:rFonts w:ascii="Arial" w:hAnsi="Arial" w:cs="Arial"/>
          <w:bCs/>
          <w:iCs w:val="0"/>
          <w:sz w:val="22"/>
          <w:szCs w:val="22"/>
        </w:rPr>
      </w:pPr>
      <w:r w:rsidRPr="004060D0">
        <w:rPr>
          <w:rFonts w:ascii="Arial" w:hAnsi="Arial" w:cs="Arial"/>
          <w:bCs/>
          <w:iCs w:val="0"/>
          <w:sz w:val="22"/>
          <w:szCs w:val="22"/>
        </w:rPr>
        <w:t xml:space="preserve">b) Tomar energía del sistema, durante diez (10) meses contados entre el noveno y el decimoctavo mes después de la fecha de puesta en operación de la conexión de cada usuario, en un valor igual o superior al 90% de la demanda de energía que el usuario </w:t>
      </w:r>
      <w:r w:rsidRPr="004060D0">
        <w:rPr>
          <w:rFonts w:ascii="Arial" w:hAnsi="Arial" w:cs="Arial"/>
          <w:bCs/>
          <w:iCs w:val="0"/>
          <w:sz w:val="22"/>
          <w:szCs w:val="22"/>
        </w:rPr>
        <w:lastRenderedPageBreak/>
        <w:t>proyectó consumir durante este mismo período, de acuerdo con la información entregada en cumplimiento de lo previsto en el literal a) del numeral 4.1 de este anexo.</w:t>
      </w:r>
    </w:p>
    <w:p w14:paraId="76B8CAB2" w14:textId="77777777" w:rsidR="004060D0" w:rsidRPr="004060D0" w:rsidRDefault="004060D0" w:rsidP="004060D0">
      <w:pPr>
        <w:pStyle w:val="Citas"/>
        <w:spacing w:before="120" w:after="120"/>
        <w:ind w:left="284" w:right="284"/>
        <w:jc w:val="left"/>
        <w:rPr>
          <w:rFonts w:ascii="Arial" w:hAnsi="Arial" w:cs="Arial"/>
          <w:bCs/>
          <w:iCs w:val="0"/>
          <w:sz w:val="22"/>
          <w:szCs w:val="22"/>
        </w:rPr>
      </w:pPr>
      <w:r w:rsidRPr="004060D0">
        <w:rPr>
          <w:rFonts w:ascii="Arial" w:hAnsi="Arial" w:cs="Arial"/>
          <w:bCs/>
          <w:iCs w:val="0"/>
          <w:sz w:val="22"/>
          <w:szCs w:val="22"/>
        </w:rPr>
        <w:t>Esta obligación no aplica para los OR.</w:t>
      </w:r>
    </w:p>
    <w:p w14:paraId="4E965D99" w14:textId="33056110" w:rsidR="00164FA3" w:rsidRPr="004060D0" w:rsidRDefault="004060D0" w:rsidP="004060D0">
      <w:pPr>
        <w:pStyle w:val="Citas"/>
        <w:spacing w:before="120" w:after="120"/>
        <w:ind w:left="284" w:right="284"/>
        <w:jc w:val="left"/>
        <w:rPr>
          <w:rFonts w:ascii="Arial" w:hAnsi="Arial" w:cs="Arial"/>
          <w:bCs/>
          <w:sz w:val="22"/>
          <w:szCs w:val="22"/>
        </w:rPr>
      </w:pPr>
      <w:r w:rsidRPr="004060D0">
        <w:rPr>
          <w:rFonts w:ascii="Arial" w:hAnsi="Arial" w:cs="Arial"/>
          <w:bCs/>
          <w:iCs w:val="0"/>
          <w:sz w:val="22"/>
          <w:szCs w:val="22"/>
        </w:rPr>
        <w:t>Para los usuarios finales, esta obligación se entenderá cumplida con la liquidación de los consumos que efectúe el ASIC en la respectiva frontera comercial del usuario, en la que se determine que, en suma, durante cualquier período de diez meses continuos, antes de completarse el decimoctavo, dicho usuario tomó energía en un valor igual o superior al 90% de la demanda de energía que se proyectó atender entre el noveno y el decimoctavo mes después de la fecha de puesta en operación.</w:t>
      </w:r>
    </w:p>
    <w:p w14:paraId="719BBB2E" w14:textId="065E5AC0" w:rsidR="00332582" w:rsidRDefault="004060D0" w:rsidP="008A0C85">
      <w:pPr>
        <w:spacing w:before="240"/>
        <w:jc w:val="left"/>
        <w:rPr>
          <w:rStyle w:val="normaltextrun"/>
          <w:rFonts w:cs="Arial"/>
          <w:sz w:val="22"/>
          <w:szCs w:val="22"/>
        </w:rPr>
      </w:pPr>
      <w:r>
        <w:rPr>
          <w:rStyle w:val="normaltextrun"/>
          <w:rFonts w:cs="Arial"/>
          <w:sz w:val="22"/>
          <w:szCs w:val="22"/>
        </w:rPr>
        <w:t>En la Comisión se recibieron comunicaciones de Air-e</w:t>
      </w:r>
      <w:r w:rsidR="00FE3AC3">
        <w:rPr>
          <w:rStyle w:val="normaltextrun"/>
          <w:rFonts w:cs="Arial"/>
          <w:sz w:val="22"/>
          <w:szCs w:val="22"/>
        </w:rPr>
        <w:t xml:space="preserve">, con radicados CREG </w:t>
      </w:r>
      <w:r w:rsidR="00FE3AC3" w:rsidRPr="00FE3AC3">
        <w:rPr>
          <w:rStyle w:val="normaltextrun"/>
          <w:rFonts w:cs="Arial"/>
          <w:sz w:val="22"/>
          <w:szCs w:val="22"/>
        </w:rPr>
        <w:t>E2023012282</w:t>
      </w:r>
      <w:r w:rsidR="00FE3AC3">
        <w:rPr>
          <w:rStyle w:val="normaltextrun"/>
          <w:rFonts w:cs="Arial"/>
          <w:sz w:val="22"/>
          <w:szCs w:val="22"/>
        </w:rPr>
        <w:t xml:space="preserve"> y </w:t>
      </w:r>
      <w:r w:rsidR="00FE3AC3" w:rsidRPr="00FE3AC3">
        <w:rPr>
          <w:rStyle w:val="normaltextrun"/>
          <w:rFonts w:cs="Arial"/>
          <w:sz w:val="22"/>
          <w:szCs w:val="22"/>
        </w:rPr>
        <w:t>E2023013725</w:t>
      </w:r>
      <w:r w:rsidR="00FE3AC3">
        <w:rPr>
          <w:rStyle w:val="normaltextrun"/>
          <w:rFonts w:cs="Arial"/>
          <w:sz w:val="22"/>
          <w:szCs w:val="22"/>
        </w:rPr>
        <w:t>;</w:t>
      </w:r>
      <w:r>
        <w:rPr>
          <w:rStyle w:val="normaltextrun"/>
          <w:rFonts w:cs="Arial"/>
          <w:sz w:val="22"/>
          <w:szCs w:val="22"/>
        </w:rPr>
        <w:t xml:space="preserve"> la ANDI,</w:t>
      </w:r>
      <w:r w:rsidR="00FE3AC3">
        <w:rPr>
          <w:rStyle w:val="normaltextrun"/>
          <w:rFonts w:cs="Arial"/>
          <w:sz w:val="22"/>
          <w:szCs w:val="22"/>
        </w:rPr>
        <w:t xml:space="preserve"> </w:t>
      </w:r>
      <w:r w:rsidR="00FE3AC3" w:rsidRPr="00FE3AC3">
        <w:rPr>
          <w:rStyle w:val="normaltextrun"/>
          <w:rFonts w:cs="Arial"/>
          <w:sz w:val="22"/>
          <w:szCs w:val="22"/>
        </w:rPr>
        <w:t>E2023012678</w:t>
      </w:r>
      <w:r w:rsidR="00FE3AC3">
        <w:rPr>
          <w:rStyle w:val="normaltextrun"/>
          <w:rFonts w:cs="Arial"/>
          <w:sz w:val="22"/>
          <w:szCs w:val="22"/>
        </w:rPr>
        <w:t xml:space="preserve">; Asocodis, </w:t>
      </w:r>
      <w:r w:rsidR="00FE3AC3" w:rsidRPr="00FE3AC3">
        <w:rPr>
          <w:rStyle w:val="normaltextrun"/>
          <w:rFonts w:cs="Arial"/>
          <w:sz w:val="22"/>
          <w:szCs w:val="22"/>
        </w:rPr>
        <w:t>E2023013824</w:t>
      </w:r>
      <w:r w:rsidR="00FE3AC3">
        <w:rPr>
          <w:rStyle w:val="normaltextrun"/>
          <w:rFonts w:cs="Arial"/>
          <w:sz w:val="22"/>
          <w:szCs w:val="22"/>
        </w:rPr>
        <w:t xml:space="preserve">; </w:t>
      </w:r>
      <w:r w:rsidR="00332582">
        <w:rPr>
          <w:rStyle w:val="normaltextrun"/>
          <w:rFonts w:cs="Arial"/>
          <w:sz w:val="22"/>
          <w:szCs w:val="22"/>
        </w:rPr>
        <w:t>donde se propone a la Comisión suspender la aplicación de la obligación de tomar energía para los usuarios no regulados que se conectan al STN. La misma solicitud se incluyó por parte de varios agentes dentro de los comentarios recibidos sobre a la propuesta regulatoria para el ajuste de las garantías de los usuarios de los proyectos del STN, Resolución CREG 701 014 de 2023.</w:t>
      </w:r>
    </w:p>
    <w:p w14:paraId="22022478" w14:textId="619EDBB0" w:rsidR="004060D0" w:rsidRDefault="00332582" w:rsidP="008A0C85">
      <w:pPr>
        <w:spacing w:before="240"/>
        <w:jc w:val="left"/>
        <w:rPr>
          <w:rStyle w:val="normaltextrun"/>
          <w:rFonts w:cs="Arial"/>
          <w:sz w:val="22"/>
          <w:szCs w:val="22"/>
        </w:rPr>
      </w:pPr>
      <w:r>
        <w:rPr>
          <w:rStyle w:val="normaltextrun"/>
          <w:rFonts w:cs="Arial"/>
          <w:sz w:val="22"/>
          <w:szCs w:val="22"/>
        </w:rPr>
        <w:t>El propósito, referido en todas las comunicaciones recibidas, es el de disminuir el consumo de energía durante el Fenómeno d</w:t>
      </w:r>
      <w:r w:rsidR="006B3650">
        <w:rPr>
          <w:rStyle w:val="normaltextrun"/>
          <w:rFonts w:cs="Arial"/>
          <w:sz w:val="22"/>
          <w:szCs w:val="22"/>
        </w:rPr>
        <w:t xml:space="preserve">e El </w:t>
      </w:r>
      <w:r>
        <w:rPr>
          <w:rStyle w:val="normaltextrun"/>
          <w:rFonts w:cs="Arial"/>
          <w:sz w:val="22"/>
          <w:szCs w:val="22"/>
        </w:rPr>
        <w:t>Niño.</w:t>
      </w:r>
      <w:r w:rsidR="00FE3AC3">
        <w:rPr>
          <w:rStyle w:val="normaltextrun"/>
          <w:rFonts w:cs="Arial"/>
          <w:sz w:val="22"/>
          <w:szCs w:val="22"/>
        </w:rPr>
        <w:t xml:space="preserve"> </w:t>
      </w:r>
    </w:p>
    <w:p w14:paraId="2945E622" w14:textId="19C1452B" w:rsidR="004060D0" w:rsidRDefault="00332582" w:rsidP="008A0C85">
      <w:pPr>
        <w:spacing w:before="240"/>
        <w:jc w:val="left"/>
        <w:rPr>
          <w:rStyle w:val="normaltextrun"/>
          <w:rFonts w:cs="Arial"/>
          <w:sz w:val="22"/>
          <w:szCs w:val="22"/>
        </w:rPr>
      </w:pPr>
      <w:r>
        <w:rPr>
          <w:rStyle w:val="normaltextrun"/>
          <w:rFonts w:cs="Arial"/>
          <w:sz w:val="22"/>
          <w:szCs w:val="22"/>
        </w:rPr>
        <w:t xml:space="preserve">Por su parte, XM </w:t>
      </w:r>
      <w:r w:rsidRPr="00332582">
        <w:rPr>
          <w:rStyle w:val="normaltextrun"/>
          <w:rFonts w:cs="Arial"/>
          <w:sz w:val="22"/>
          <w:szCs w:val="22"/>
          <w:shd w:val="clear" w:color="auto" w:fill="FFFFFF"/>
        </w:rPr>
        <w:t>S.A. E.S.P.</w:t>
      </w:r>
      <w:r>
        <w:rPr>
          <w:rStyle w:val="normaltextrun"/>
          <w:rFonts w:cs="Arial"/>
          <w:sz w:val="22"/>
          <w:szCs w:val="22"/>
          <w:shd w:val="clear" w:color="auto" w:fill="FFFFFF"/>
        </w:rPr>
        <w:t>, en respuesta a una solicitud de la CREG</w:t>
      </w:r>
      <w:r w:rsidR="003A29EC">
        <w:rPr>
          <w:rStyle w:val="normaltextrun"/>
          <w:rFonts w:cs="Arial"/>
          <w:sz w:val="22"/>
          <w:szCs w:val="22"/>
          <w:shd w:val="clear" w:color="auto" w:fill="FFFFFF"/>
        </w:rPr>
        <w:t>,</w:t>
      </w:r>
      <w:r>
        <w:rPr>
          <w:rStyle w:val="normaltextrun"/>
          <w:rFonts w:cs="Arial"/>
          <w:sz w:val="22"/>
          <w:szCs w:val="22"/>
          <w:shd w:val="clear" w:color="auto" w:fill="FFFFFF"/>
        </w:rPr>
        <w:t xml:space="preserve"> entregó información sobre los usuarios que han otorgado garantías por conexión de cargas, la FPO del</w:t>
      </w:r>
      <w:r w:rsidR="008E7CC5">
        <w:rPr>
          <w:rStyle w:val="normaltextrun"/>
          <w:rFonts w:cs="Arial"/>
          <w:sz w:val="22"/>
          <w:szCs w:val="22"/>
          <w:shd w:val="clear" w:color="auto" w:fill="FFFFFF"/>
        </w:rPr>
        <w:t xml:space="preserve"> </w:t>
      </w:r>
      <w:r>
        <w:rPr>
          <w:rStyle w:val="normaltextrun"/>
          <w:rFonts w:cs="Arial"/>
          <w:sz w:val="22"/>
          <w:szCs w:val="22"/>
          <w:shd w:val="clear" w:color="auto" w:fill="FFFFFF"/>
        </w:rPr>
        <w:t>proyecto del STN</w:t>
      </w:r>
      <w:r w:rsidR="008E7CC5">
        <w:rPr>
          <w:rStyle w:val="normaltextrun"/>
          <w:rFonts w:cs="Arial"/>
          <w:sz w:val="22"/>
          <w:szCs w:val="22"/>
          <w:shd w:val="clear" w:color="auto" w:fill="FFFFFF"/>
        </w:rPr>
        <w:t xml:space="preserve"> al cual se conectan</w:t>
      </w:r>
      <w:r w:rsidR="00A8021E">
        <w:rPr>
          <w:rStyle w:val="normaltextrun"/>
          <w:rFonts w:cs="Arial"/>
          <w:sz w:val="22"/>
          <w:szCs w:val="22"/>
          <w:shd w:val="clear" w:color="auto" w:fill="FFFFFF"/>
        </w:rPr>
        <w:t>,</w:t>
      </w:r>
      <w:r>
        <w:rPr>
          <w:rStyle w:val="normaltextrun"/>
          <w:rFonts w:cs="Arial"/>
          <w:sz w:val="22"/>
          <w:szCs w:val="22"/>
          <w:shd w:val="clear" w:color="auto" w:fill="FFFFFF"/>
        </w:rPr>
        <w:t xml:space="preserve"> la proyección </w:t>
      </w:r>
      <w:r w:rsidR="00A8021E">
        <w:rPr>
          <w:rStyle w:val="normaltextrun"/>
          <w:rFonts w:cs="Arial"/>
          <w:sz w:val="22"/>
          <w:szCs w:val="22"/>
          <w:shd w:val="clear" w:color="auto" w:fill="FFFFFF"/>
        </w:rPr>
        <w:t>de la demanda a consumir durante 10 meses y el estado de las garantías.</w:t>
      </w:r>
    </w:p>
    <w:p w14:paraId="56541F35" w14:textId="16B86313" w:rsidR="00A8021E" w:rsidRDefault="00A8021E" w:rsidP="008A0C85">
      <w:pPr>
        <w:spacing w:before="240"/>
        <w:jc w:val="left"/>
        <w:rPr>
          <w:rStyle w:val="normaltextrun"/>
          <w:rFonts w:cs="Arial"/>
          <w:sz w:val="22"/>
          <w:szCs w:val="22"/>
        </w:rPr>
      </w:pPr>
      <w:r>
        <w:rPr>
          <w:rStyle w:val="normaltextrun"/>
          <w:rFonts w:cs="Arial"/>
          <w:sz w:val="22"/>
          <w:szCs w:val="22"/>
        </w:rPr>
        <w:t>Con base en la información recibida se identifican tres usuarios que deben cumplir con esta obligación en el período 2023-2025, como se muestra en la siguiente gráfica:</w:t>
      </w:r>
    </w:p>
    <w:p w14:paraId="4633B39E" w14:textId="0B5E9436" w:rsidR="00A8021E" w:rsidRPr="00A8021E" w:rsidRDefault="00A8021E" w:rsidP="00C54AC0">
      <w:pPr>
        <w:pStyle w:val="Descripcin"/>
        <w:keepNext/>
        <w:spacing w:before="240" w:after="120"/>
        <w:jc w:val="center"/>
        <w:rPr>
          <w:i w:val="0"/>
          <w:iCs w:val="0"/>
        </w:rPr>
      </w:pPr>
      <w:r w:rsidRPr="00A8021E">
        <w:rPr>
          <w:i w:val="0"/>
          <w:iCs w:val="0"/>
        </w:rPr>
        <w:t xml:space="preserve">Gráfica </w:t>
      </w:r>
      <w:r w:rsidRPr="00A8021E">
        <w:rPr>
          <w:i w:val="0"/>
          <w:iCs w:val="0"/>
        </w:rPr>
        <w:fldChar w:fldCharType="begin"/>
      </w:r>
      <w:r w:rsidRPr="00A8021E">
        <w:rPr>
          <w:i w:val="0"/>
          <w:iCs w:val="0"/>
        </w:rPr>
        <w:instrText xml:space="preserve"> SEQ Gráfica \* ARABIC </w:instrText>
      </w:r>
      <w:r w:rsidRPr="00A8021E">
        <w:rPr>
          <w:i w:val="0"/>
          <w:iCs w:val="0"/>
        </w:rPr>
        <w:fldChar w:fldCharType="separate"/>
      </w:r>
      <w:r w:rsidR="00524968">
        <w:rPr>
          <w:i w:val="0"/>
          <w:iCs w:val="0"/>
          <w:noProof/>
        </w:rPr>
        <w:t>1</w:t>
      </w:r>
      <w:r w:rsidRPr="00A8021E">
        <w:rPr>
          <w:i w:val="0"/>
          <w:iCs w:val="0"/>
        </w:rPr>
        <w:fldChar w:fldCharType="end"/>
      </w:r>
      <w:r w:rsidRPr="00A8021E">
        <w:rPr>
          <w:i w:val="0"/>
          <w:iCs w:val="0"/>
        </w:rPr>
        <w:t>. Compromisos de consumos</w:t>
      </w:r>
    </w:p>
    <w:p w14:paraId="0E80FFEF" w14:textId="573B5857" w:rsidR="00A8021E" w:rsidRDefault="00A8021E" w:rsidP="003A29EC">
      <w:pPr>
        <w:keepNext/>
        <w:spacing w:before="240"/>
        <w:jc w:val="center"/>
        <w:rPr>
          <w:rStyle w:val="normaltextrun"/>
          <w:rFonts w:cs="Arial"/>
          <w:sz w:val="22"/>
          <w:szCs w:val="22"/>
        </w:rPr>
      </w:pPr>
      <w:r>
        <w:rPr>
          <w:rStyle w:val="normaltextrun"/>
          <w:rFonts w:cs="Arial"/>
          <w:noProof/>
          <w:sz w:val="22"/>
          <w:szCs w:val="22"/>
        </w:rPr>
        <w:drawing>
          <wp:inline distT="0" distB="0" distL="0" distR="0" wp14:anchorId="24E068AA" wp14:editId="1014E9F4">
            <wp:extent cx="3978234" cy="2890638"/>
            <wp:effectExtent l="0" t="0" r="3810" b="5080"/>
            <wp:docPr id="18803469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78234" cy="2890638"/>
                    </a:xfrm>
                    <a:prstGeom prst="rect">
                      <a:avLst/>
                    </a:prstGeom>
                    <a:noFill/>
                  </pic:spPr>
                </pic:pic>
              </a:graphicData>
            </a:graphic>
          </wp:inline>
        </w:drawing>
      </w:r>
    </w:p>
    <w:p w14:paraId="3385E412" w14:textId="708DD36B" w:rsidR="00A8021E" w:rsidRPr="00A8021E" w:rsidRDefault="00A8021E" w:rsidP="008E7CC5">
      <w:pPr>
        <w:spacing w:before="60"/>
        <w:ind w:left="1418" w:firstLine="709"/>
        <w:rPr>
          <w:rStyle w:val="normaltextrun"/>
          <w:rFonts w:cs="Arial"/>
          <w:sz w:val="16"/>
          <w:szCs w:val="16"/>
        </w:rPr>
      </w:pPr>
      <w:r w:rsidRPr="00A8021E">
        <w:rPr>
          <w:rStyle w:val="normaltextrun"/>
          <w:rFonts w:cs="Arial"/>
          <w:sz w:val="16"/>
          <w:szCs w:val="16"/>
        </w:rPr>
        <w:t>Fuente: datos XM, cálculos CREG</w:t>
      </w:r>
    </w:p>
    <w:p w14:paraId="55231EB1" w14:textId="59FCED39" w:rsidR="003A29EC" w:rsidRDefault="003A29EC" w:rsidP="008A0C85">
      <w:pPr>
        <w:spacing w:before="240"/>
        <w:jc w:val="left"/>
        <w:rPr>
          <w:rStyle w:val="normaltextrun"/>
          <w:rFonts w:cs="Arial"/>
          <w:sz w:val="22"/>
          <w:szCs w:val="22"/>
        </w:rPr>
      </w:pPr>
      <w:r>
        <w:rPr>
          <w:rStyle w:val="normaltextrun"/>
          <w:rFonts w:cs="Arial"/>
          <w:sz w:val="22"/>
          <w:szCs w:val="22"/>
        </w:rPr>
        <w:lastRenderedPageBreak/>
        <w:t xml:space="preserve">Con los números entre paréntesis, para cada usuario se muestra la relación que existe entre el promedio del consumo mensual y la capacidad asignada.  </w:t>
      </w:r>
    </w:p>
    <w:p w14:paraId="60FC69CB" w14:textId="785AE981" w:rsidR="00164FA3" w:rsidRDefault="00164FA3" w:rsidP="008A0C85">
      <w:pPr>
        <w:spacing w:before="240"/>
        <w:jc w:val="left"/>
        <w:rPr>
          <w:rStyle w:val="normaltextrun"/>
          <w:rFonts w:cs="Arial"/>
          <w:sz w:val="22"/>
          <w:szCs w:val="22"/>
        </w:rPr>
      </w:pPr>
      <w:r w:rsidRPr="00183D01">
        <w:rPr>
          <w:rStyle w:val="normaltextrun"/>
          <w:rFonts w:cs="Arial"/>
          <w:sz w:val="22"/>
          <w:szCs w:val="22"/>
        </w:rPr>
        <w:t xml:space="preserve">La Comisión consideró conveniente revisar la </w:t>
      </w:r>
      <w:r w:rsidR="008E7CC5">
        <w:rPr>
          <w:rStyle w:val="normaltextrun"/>
          <w:rFonts w:cs="Arial"/>
          <w:sz w:val="22"/>
          <w:szCs w:val="22"/>
        </w:rPr>
        <w:t>solicitud presentada y</w:t>
      </w:r>
      <w:r w:rsidRPr="00183D01">
        <w:rPr>
          <w:rStyle w:val="normaltextrun"/>
          <w:rFonts w:cs="Arial"/>
          <w:sz w:val="22"/>
          <w:szCs w:val="22"/>
        </w:rPr>
        <w:t xml:space="preserve"> </w:t>
      </w:r>
      <w:r w:rsidR="009D5845" w:rsidRPr="00183D01">
        <w:rPr>
          <w:rStyle w:val="normaltextrun"/>
          <w:rFonts w:cs="Arial"/>
          <w:sz w:val="22"/>
          <w:szCs w:val="22"/>
        </w:rPr>
        <w:t xml:space="preserve">en este documento </w:t>
      </w:r>
      <w:r w:rsidRPr="00183D01">
        <w:rPr>
          <w:rStyle w:val="normaltextrun"/>
          <w:rFonts w:cs="Arial"/>
          <w:sz w:val="22"/>
          <w:szCs w:val="22"/>
        </w:rPr>
        <w:t xml:space="preserve">se </w:t>
      </w:r>
      <w:r w:rsidR="00AD57DE" w:rsidRPr="00183D01">
        <w:rPr>
          <w:rStyle w:val="normaltextrun"/>
          <w:rFonts w:cs="Arial"/>
          <w:sz w:val="22"/>
          <w:szCs w:val="22"/>
        </w:rPr>
        <w:t>analiz</w:t>
      </w:r>
      <w:r w:rsidR="009D5845" w:rsidRPr="00183D01">
        <w:rPr>
          <w:rStyle w:val="normaltextrun"/>
          <w:rFonts w:cs="Arial"/>
          <w:sz w:val="22"/>
          <w:szCs w:val="22"/>
        </w:rPr>
        <w:t>a</w:t>
      </w:r>
      <w:r w:rsidR="00AD57DE" w:rsidRPr="00183D01">
        <w:rPr>
          <w:rStyle w:val="normaltextrun"/>
          <w:rFonts w:cs="Arial"/>
          <w:sz w:val="22"/>
          <w:szCs w:val="22"/>
        </w:rPr>
        <w:t xml:space="preserve"> la posibilidad de </w:t>
      </w:r>
      <w:r w:rsidR="008E7CC5">
        <w:rPr>
          <w:rStyle w:val="normaltextrun"/>
          <w:rFonts w:cs="Arial"/>
          <w:sz w:val="22"/>
          <w:szCs w:val="22"/>
        </w:rPr>
        <w:t>suspender de forma temporal la aplicación del literal b)</w:t>
      </w:r>
      <w:r w:rsidRPr="00183D01">
        <w:rPr>
          <w:rStyle w:val="normaltextrun"/>
          <w:rFonts w:cs="Arial"/>
          <w:sz w:val="22"/>
          <w:szCs w:val="22"/>
        </w:rPr>
        <w:t xml:space="preserve"> </w:t>
      </w:r>
      <w:r w:rsidR="008E7CC5">
        <w:rPr>
          <w:rStyle w:val="normaltextrun"/>
          <w:rFonts w:cs="Arial"/>
          <w:sz w:val="22"/>
          <w:szCs w:val="22"/>
        </w:rPr>
        <w:t>de</w:t>
      </w:r>
      <w:r w:rsidRPr="00183D01">
        <w:rPr>
          <w:rStyle w:val="normaltextrun"/>
          <w:rFonts w:cs="Arial"/>
          <w:sz w:val="22"/>
          <w:szCs w:val="22"/>
        </w:rPr>
        <w:t>l numeral 4.</w:t>
      </w:r>
      <w:r w:rsidR="008E7CC5">
        <w:rPr>
          <w:rStyle w:val="normaltextrun"/>
          <w:rFonts w:cs="Arial"/>
          <w:sz w:val="22"/>
          <w:szCs w:val="22"/>
        </w:rPr>
        <w:t>3.1</w:t>
      </w:r>
      <w:r w:rsidRPr="00183D01">
        <w:rPr>
          <w:rStyle w:val="normaltextrun"/>
          <w:rFonts w:cs="Arial"/>
          <w:sz w:val="22"/>
          <w:szCs w:val="22"/>
        </w:rPr>
        <w:t xml:space="preserve"> del anexo </w:t>
      </w:r>
      <w:r w:rsidR="0023186C" w:rsidRPr="00183D01">
        <w:rPr>
          <w:rStyle w:val="normaltextrun"/>
          <w:rFonts w:cs="Arial"/>
          <w:sz w:val="22"/>
          <w:szCs w:val="22"/>
        </w:rPr>
        <w:t xml:space="preserve">1 </w:t>
      </w:r>
      <w:r w:rsidRPr="00183D01">
        <w:rPr>
          <w:rStyle w:val="normaltextrun"/>
          <w:rFonts w:cs="Arial"/>
          <w:sz w:val="22"/>
          <w:szCs w:val="22"/>
        </w:rPr>
        <w:t>de la Resolución CREG 022 de 2001.</w:t>
      </w:r>
    </w:p>
    <w:p w14:paraId="1060E9F3" w14:textId="77777777" w:rsidR="00713636" w:rsidRPr="00183D01" w:rsidRDefault="00713636" w:rsidP="008A0C85">
      <w:pPr>
        <w:spacing w:before="240"/>
        <w:jc w:val="left"/>
        <w:rPr>
          <w:rStyle w:val="normaltextrun"/>
          <w:rFonts w:cs="Arial"/>
          <w:sz w:val="22"/>
          <w:szCs w:val="22"/>
        </w:rPr>
      </w:pPr>
    </w:p>
    <w:p w14:paraId="63053868" w14:textId="77777777" w:rsidR="00D57F2B" w:rsidRPr="00183D01" w:rsidRDefault="00D57F2B" w:rsidP="008A0C85">
      <w:pPr>
        <w:pStyle w:val="Ttulo1"/>
        <w:numPr>
          <w:ilvl w:val="0"/>
          <w:numId w:val="14"/>
        </w:numPr>
        <w:spacing w:before="360" w:after="0"/>
        <w:ind w:left="431" w:hanging="431"/>
        <w:jc w:val="left"/>
        <w:rPr>
          <w:rFonts w:cs="Arial"/>
          <w:sz w:val="22"/>
          <w:szCs w:val="22"/>
        </w:rPr>
      </w:pPr>
      <w:bookmarkStart w:id="8" w:name="_Toc144934263"/>
      <w:r w:rsidRPr="00183D01">
        <w:rPr>
          <w:rFonts w:cs="Arial"/>
          <w:sz w:val="22"/>
          <w:szCs w:val="22"/>
        </w:rPr>
        <w:t>DEFINICIÓN DEL PROBLEMA</w:t>
      </w:r>
      <w:bookmarkEnd w:id="6"/>
      <w:bookmarkEnd w:id="7"/>
      <w:bookmarkEnd w:id="8"/>
    </w:p>
    <w:p w14:paraId="66964948" w14:textId="2CFCF580" w:rsidR="00713636" w:rsidRDefault="008E7CC5" w:rsidP="00713636">
      <w:pPr>
        <w:spacing w:before="240"/>
        <w:jc w:val="left"/>
        <w:rPr>
          <w:rStyle w:val="normaltextrun"/>
          <w:rFonts w:cs="Arial"/>
          <w:sz w:val="22"/>
          <w:szCs w:val="22"/>
        </w:rPr>
      </w:pPr>
      <w:bookmarkStart w:id="9" w:name="_Toc86260311"/>
      <w:r>
        <w:rPr>
          <w:rFonts w:cs="Arial"/>
          <w:sz w:val="22"/>
          <w:szCs w:val="22"/>
        </w:rPr>
        <w:t>La llegada del Fenómeno de</w:t>
      </w:r>
      <w:r w:rsidR="007E3618">
        <w:rPr>
          <w:rFonts w:cs="Arial"/>
          <w:sz w:val="22"/>
          <w:szCs w:val="22"/>
        </w:rPr>
        <w:t xml:space="preserve"> El</w:t>
      </w:r>
      <w:r>
        <w:rPr>
          <w:rFonts w:cs="Arial"/>
          <w:sz w:val="22"/>
          <w:szCs w:val="22"/>
        </w:rPr>
        <w:t xml:space="preserve"> Niño puede ocasionar la disminución de la oferta disponible en el mercado de energía eléctrica</w:t>
      </w:r>
      <w:r w:rsidR="007E3618">
        <w:rPr>
          <w:rFonts w:cs="Arial"/>
          <w:sz w:val="22"/>
          <w:szCs w:val="22"/>
        </w:rPr>
        <w:t xml:space="preserve"> y el </w:t>
      </w:r>
      <w:r w:rsidR="00AE570F">
        <w:rPr>
          <w:rFonts w:cs="Arial"/>
          <w:sz w:val="22"/>
          <w:szCs w:val="22"/>
        </w:rPr>
        <w:t>aumento en la demanda de energía</w:t>
      </w:r>
      <w:r w:rsidR="007E3618">
        <w:rPr>
          <w:rFonts w:cs="Arial"/>
          <w:sz w:val="22"/>
          <w:szCs w:val="22"/>
        </w:rPr>
        <w:t xml:space="preserve">, </w:t>
      </w:r>
      <w:r w:rsidR="00AE570F">
        <w:rPr>
          <w:rFonts w:cs="Arial"/>
          <w:sz w:val="22"/>
          <w:szCs w:val="22"/>
        </w:rPr>
        <w:t>por el incremento de la temperatura</w:t>
      </w:r>
      <w:r w:rsidR="00E4156F">
        <w:rPr>
          <w:rFonts w:cs="Arial"/>
          <w:sz w:val="22"/>
          <w:szCs w:val="22"/>
        </w:rPr>
        <w:t xml:space="preserve"> y existen usuarios </w:t>
      </w:r>
      <w:r w:rsidR="00EE4DB2">
        <w:rPr>
          <w:rFonts w:cs="Arial"/>
          <w:sz w:val="22"/>
          <w:szCs w:val="22"/>
        </w:rPr>
        <w:t>con obligaciones de toma de energía</w:t>
      </w:r>
      <w:r w:rsidR="00D57F2B" w:rsidRPr="00183D01">
        <w:rPr>
          <w:rFonts w:cs="Arial"/>
          <w:sz w:val="22"/>
          <w:szCs w:val="22"/>
          <w:lang w:val="es-MX"/>
        </w:rPr>
        <w:t>.</w:t>
      </w:r>
      <w:r w:rsidR="00713636" w:rsidRPr="00713636">
        <w:rPr>
          <w:rStyle w:val="normaltextrun"/>
          <w:rFonts w:cs="Arial"/>
          <w:sz w:val="22"/>
          <w:szCs w:val="22"/>
        </w:rPr>
        <w:t xml:space="preserve"> </w:t>
      </w:r>
      <w:r w:rsidR="00713636">
        <w:rPr>
          <w:rStyle w:val="normaltextrun"/>
          <w:rFonts w:cs="Arial"/>
          <w:sz w:val="22"/>
          <w:szCs w:val="22"/>
        </w:rPr>
        <w:t>L</w:t>
      </w:r>
      <w:r w:rsidR="00713636" w:rsidRPr="00713636">
        <w:rPr>
          <w:rStyle w:val="normaltextrun"/>
          <w:rFonts w:cs="Arial"/>
          <w:sz w:val="22"/>
          <w:szCs w:val="22"/>
        </w:rPr>
        <w:t xml:space="preserve">a obligación de toma de energía de los UNR </w:t>
      </w:r>
      <w:r w:rsidR="00713636">
        <w:rPr>
          <w:rStyle w:val="normaltextrun"/>
          <w:rFonts w:cs="Arial"/>
          <w:sz w:val="22"/>
          <w:szCs w:val="22"/>
        </w:rPr>
        <w:t xml:space="preserve">puede impactar de manera significativa </w:t>
      </w:r>
      <w:r w:rsidR="00713636" w:rsidRPr="00713636">
        <w:rPr>
          <w:rStyle w:val="normaltextrun"/>
          <w:rFonts w:cs="Arial"/>
          <w:sz w:val="22"/>
          <w:szCs w:val="22"/>
        </w:rPr>
        <w:t xml:space="preserve">la oferta </w:t>
      </w:r>
      <w:r w:rsidR="00713636">
        <w:rPr>
          <w:rStyle w:val="normaltextrun"/>
          <w:rFonts w:cs="Arial"/>
          <w:sz w:val="22"/>
          <w:szCs w:val="22"/>
        </w:rPr>
        <w:t xml:space="preserve">de energía </w:t>
      </w:r>
      <w:r w:rsidR="00713636" w:rsidRPr="00713636">
        <w:rPr>
          <w:rStyle w:val="normaltextrun"/>
          <w:rFonts w:cs="Arial"/>
          <w:sz w:val="22"/>
          <w:szCs w:val="22"/>
        </w:rPr>
        <w:t xml:space="preserve">necesaria para cubrir la demanda durante </w:t>
      </w:r>
      <w:r w:rsidR="00713636">
        <w:rPr>
          <w:rStyle w:val="normaltextrun"/>
          <w:rFonts w:cs="Arial"/>
          <w:sz w:val="22"/>
          <w:szCs w:val="22"/>
        </w:rPr>
        <w:t xml:space="preserve">el periodo de estiaje. </w:t>
      </w:r>
    </w:p>
    <w:p w14:paraId="5A51E0F2" w14:textId="2E864D0A" w:rsidR="00D57F2B" w:rsidRPr="00183D01" w:rsidRDefault="00D57F2B" w:rsidP="008A0C85">
      <w:pPr>
        <w:spacing w:before="240"/>
        <w:jc w:val="left"/>
        <w:rPr>
          <w:rFonts w:cs="Arial"/>
          <w:sz w:val="22"/>
          <w:szCs w:val="22"/>
        </w:rPr>
      </w:pPr>
    </w:p>
    <w:p w14:paraId="122F84B9" w14:textId="77777777" w:rsidR="00D57F2B" w:rsidRPr="00183D01" w:rsidRDefault="00D57F2B" w:rsidP="008A0C85">
      <w:pPr>
        <w:pStyle w:val="Ttulo1"/>
        <w:numPr>
          <w:ilvl w:val="0"/>
          <w:numId w:val="14"/>
        </w:numPr>
        <w:spacing w:before="360" w:after="0"/>
        <w:ind w:left="431" w:hanging="431"/>
        <w:jc w:val="left"/>
        <w:rPr>
          <w:rFonts w:cs="Arial"/>
          <w:sz w:val="22"/>
          <w:szCs w:val="22"/>
        </w:rPr>
      </w:pPr>
      <w:bookmarkStart w:id="10" w:name="_Toc144934264"/>
      <w:r w:rsidRPr="00183D01">
        <w:rPr>
          <w:rFonts w:cs="Arial"/>
          <w:sz w:val="22"/>
          <w:szCs w:val="22"/>
        </w:rPr>
        <w:t>OBJETIVOS</w:t>
      </w:r>
      <w:bookmarkEnd w:id="9"/>
      <w:bookmarkEnd w:id="10"/>
    </w:p>
    <w:p w14:paraId="44037AC2" w14:textId="732474E3" w:rsidR="00D57F2B" w:rsidRPr="00183D01" w:rsidRDefault="008E7CC5" w:rsidP="008A0C85">
      <w:pPr>
        <w:spacing w:before="240"/>
        <w:jc w:val="left"/>
        <w:rPr>
          <w:rFonts w:cs="Arial"/>
          <w:sz w:val="22"/>
          <w:szCs w:val="22"/>
        </w:rPr>
      </w:pPr>
      <w:r>
        <w:rPr>
          <w:rFonts w:cs="Arial"/>
          <w:sz w:val="22"/>
          <w:szCs w:val="22"/>
        </w:rPr>
        <w:t xml:space="preserve">Evaluar y proponer un </w:t>
      </w:r>
      <w:r w:rsidR="00EE4DB2">
        <w:rPr>
          <w:rFonts w:cs="Arial"/>
          <w:sz w:val="22"/>
          <w:szCs w:val="22"/>
        </w:rPr>
        <w:t>mecanismo</w:t>
      </w:r>
      <w:r>
        <w:rPr>
          <w:rFonts w:cs="Arial"/>
          <w:sz w:val="22"/>
          <w:szCs w:val="22"/>
        </w:rPr>
        <w:t xml:space="preserve"> que conduzca a disminuir la demanda de energía durante el Fenómeno de</w:t>
      </w:r>
      <w:r w:rsidR="007E3618">
        <w:rPr>
          <w:rFonts w:cs="Arial"/>
          <w:sz w:val="22"/>
          <w:szCs w:val="22"/>
        </w:rPr>
        <w:t xml:space="preserve"> El </w:t>
      </w:r>
      <w:r>
        <w:rPr>
          <w:rFonts w:cs="Arial"/>
          <w:sz w:val="22"/>
          <w:szCs w:val="22"/>
        </w:rPr>
        <w:t>Niño</w:t>
      </w:r>
      <w:r w:rsidR="00D57F2B" w:rsidRPr="00183D01">
        <w:rPr>
          <w:rFonts w:cs="Arial"/>
          <w:sz w:val="22"/>
          <w:szCs w:val="22"/>
        </w:rPr>
        <w:t>.</w:t>
      </w:r>
    </w:p>
    <w:p w14:paraId="54893E3D" w14:textId="1CB65C66" w:rsidR="00D57F2B" w:rsidRPr="00183D01" w:rsidRDefault="000C2E91" w:rsidP="008A0C85">
      <w:pPr>
        <w:pStyle w:val="Ttulo1"/>
        <w:numPr>
          <w:ilvl w:val="0"/>
          <w:numId w:val="14"/>
        </w:numPr>
        <w:spacing w:before="360" w:after="0"/>
        <w:ind w:left="431" w:hanging="431"/>
        <w:jc w:val="left"/>
        <w:rPr>
          <w:rFonts w:cs="Arial"/>
          <w:sz w:val="22"/>
          <w:szCs w:val="22"/>
        </w:rPr>
      </w:pPr>
      <w:bookmarkStart w:id="11" w:name="_Toc144934265"/>
      <w:r w:rsidRPr="00183D01">
        <w:rPr>
          <w:rFonts w:cs="Arial"/>
          <w:sz w:val="22"/>
          <w:szCs w:val="22"/>
        </w:rPr>
        <w:t>ANÁLISIS DE ALTERNATIVAS</w:t>
      </w:r>
      <w:bookmarkEnd w:id="11"/>
    </w:p>
    <w:p w14:paraId="30259B3A" w14:textId="32C85B7A" w:rsidR="00D57F2B" w:rsidRPr="00183D01" w:rsidRDefault="00D57F2B" w:rsidP="008A0C85">
      <w:pPr>
        <w:spacing w:before="220"/>
        <w:jc w:val="left"/>
        <w:rPr>
          <w:sz w:val="22"/>
          <w:szCs w:val="22"/>
          <w:lang w:val="es-MX"/>
        </w:rPr>
      </w:pPr>
      <w:r w:rsidRPr="00183D01">
        <w:rPr>
          <w:sz w:val="22"/>
          <w:szCs w:val="22"/>
        </w:rPr>
        <w:t xml:space="preserve">Con el propósito de solucionar el problema planteado se </w:t>
      </w:r>
      <w:r w:rsidR="000C2E91" w:rsidRPr="00183D01">
        <w:rPr>
          <w:sz w:val="22"/>
          <w:szCs w:val="22"/>
        </w:rPr>
        <w:t xml:space="preserve">analizan las alternativas descritas </w:t>
      </w:r>
      <w:r w:rsidR="00F718D6" w:rsidRPr="00183D01">
        <w:rPr>
          <w:sz w:val="22"/>
          <w:szCs w:val="22"/>
        </w:rPr>
        <w:t>en</w:t>
      </w:r>
      <w:r w:rsidR="000C2E91" w:rsidRPr="00183D01">
        <w:rPr>
          <w:sz w:val="22"/>
          <w:szCs w:val="22"/>
        </w:rPr>
        <w:t xml:space="preserve"> este numeral</w:t>
      </w:r>
      <w:r w:rsidRPr="00183D01">
        <w:rPr>
          <w:sz w:val="22"/>
          <w:szCs w:val="22"/>
          <w:lang w:val="es-MX"/>
        </w:rPr>
        <w:t xml:space="preserve">. </w:t>
      </w:r>
    </w:p>
    <w:p w14:paraId="2DC0DD95" w14:textId="02B44720" w:rsidR="00D57F2B" w:rsidRPr="00183D01" w:rsidRDefault="00C028DD" w:rsidP="00852F11">
      <w:pPr>
        <w:pStyle w:val="Ttulo2"/>
      </w:pPr>
      <w:bookmarkStart w:id="12" w:name="_Toc144934266"/>
      <w:r>
        <w:t xml:space="preserve">Alternativa 1. </w:t>
      </w:r>
      <w:r w:rsidR="00852F11" w:rsidRPr="00183D01">
        <w:t xml:space="preserve">Mantener </w:t>
      </w:r>
      <w:r w:rsidR="002941E2" w:rsidRPr="00183D01">
        <w:t>l</w:t>
      </w:r>
      <w:r w:rsidR="00E6534B">
        <w:t>os compromisos de toma de energía</w:t>
      </w:r>
      <w:bookmarkEnd w:id="12"/>
    </w:p>
    <w:p w14:paraId="4CE50B6E" w14:textId="68D36520" w:rsidR="008E7CC5" w:rsidRDefault="00F718D6" w:rsidP="008A0C85">
      <w:pPr>
        <w:spacing w:before="220"/>
        <w:jc w:val="left"/>
        <w:rPr>
          <w:sz w:val="22"/>
          <w:szCs w:val="22"/>
        </w:rPr>
      </w:pPr>
      <w:r w:rsidRPr="00183D01">
        <w:rPr>
          <w:sz w:val="22"/>
          <w:szCs w:val="22"/>
        </w:rPr>
        <w:t xml:space="preserve">De acuerdo con </w:t>
      </w:r>
      <w:r w:rsidR="00E33BEB" w:rsidRPr="00183D01">
        <w:rPr>
          <w:sz w:val="22"/>
          <w:szCs w:val="22"/>
        </w:rPr>
        <w:t>la regulación</w:t>
      </w:r>
      <w:r w:rsidR="006E323E" w:rsidRPr="00183D01">
        <w:rPr>
          <w:sz w:val="22"/>
          <w:szCs w:val="22"/>
        </w:rPr>
        <w:t xml:space="preserve"> vigente</w:t>
      </w:r>
      <w:r w:rsidR="00E33BEB" w:rsidRPr="00183D01">
        <w:rPr>
          <w:sz w:val="22"/>
          <w:szCs w:val="22"/>
        </w:rPr>
        <w:t xml:space="preserve">, </w:t>
      </w:r>
      <w:r w:rsidR="008E7CC5">
        <w:rPr>
          <w:sz w:val="22"/>
          <w:szCs w:val="22"/>
        </w:rPr>
        <w:t>los usuarios no regulados tienen la obligación de tomar energía en las cantidades propuesta por ellos al momento de iniciar la construcción de la expansión solicitada.</w:t>
      </w:r>
    </w:p>
    <w:p w14:paraId="7DA54B4C" w14:textId="2A4EEB25" w:rsidR="008E7CC5" w:rsidRDefault="008E7CC5" w:rsidP="008A0C85">
      <w:pPr>
        <w:spacing w:before="220"/>
        <w:jc w:val="left"/>
        <w:rPr>
          <w:sz w:val="22"/>
          <w:szCs w:val="22"/>
        </w:rPr>
      </w:pPr>
      <w:r>
        <w:rPr>
          <w:sz w:val="22"/>
          <w:szCs w:val="22"/>
        </w:rPr>
        <w:t>Esto hace que</w:t>
      </w:r>
      <w:r w:rsidR="002B5B86">
        <w:rPr>
          <w:sz w:val="22"/>
          <w:szCs w:val="22"/>
        </w:rPr>
        <w:t>,</w:t>
      </w:r>
      <w:r>
        <w:rPr>
          <w:sz w:val="22"/>
          <w:szCs w:val="22"/>
        </w:rPr>
        <w:t xml:space="preserve"> de parte de estos usuarios</w:t>
      </w:r>
      <w:r w:rsidR="002B5B86">
        <w:rPr>
          <w:sz w:val="22"/>
          <w:szCs w:val="22"/>
        </w:rPr>
        <w:t>,</w:t>
      </w:r>
      <w:r>
        <w:rPr>
          <w:sz w:val="22"/>
          <w:szCs w:val="22"/>
        </w:rPr>
        <w:t xml:space="preserve"> no se puede presentar una reducción de la demanda por debajo de los valores informados de consumo, durante los meses en los que se presenta el Fenómeno del Niño.</w:t>
      </w:r>
    </w:p>
    <w:p w14:paraId="5460B6F1" w14:textId="297662AC" w:rsidR="009E37CE" w:rsidRPr="00183D01" w:rsidRDefault="00C028DD" w:rsidP="009E37CE">
      <w:pPr>
        <w:pStyle w:val="Ttulo2"/>
      </w:pPr>
      <w:bookmarkStart w:id="13" w:name="_Toc144934267"/>
      <w:r>
        <w:t xml:space="preserve">Alternativa 2. </w:t>
      </w:r>
      <w:r w:rsidR="009E37CE">
        <w:t xml:space="preserve">Proponer </w:t>
      </w:r>
      <w:r w:rsidR="00E6534B">
        <w:t>la disminución de los compromisos de toma de energía</w:t>
      </w:r>
      <w:bookmarkEnd w:id="13"/>
    </w:p>
    <w:p w14:paraId="2CA9A6DB" w14:textId="58A52359" w:rsidR="009E37CE" w:rsidRDefault="00E6534B" w:rsidP="009E37CE">
      <w:pPr>
        <w:spacing w:before="220"/>
        <w:jc w:val="left"/>
        <w:rPr>
          <w:sz w:val="22"/>
          <w:szCs w:val="22"/>
        </w:rPr>
      </w:pPr>
      <w:r>
        <w:rPr>
          <w:sz w:val="22"/>
          <w:szCs w:val="22"/>
        </w:rPr>
        <w:t>Se propone que, solo en los meses en los que se presenten los efectos del Fenómeno de</w:t>
      </w:r>
      <w:r w:rsidR="007E3618">
        <w:rPr>
          <w:sz w:val="22"/>
          <w:szCs w:val="22"/>
        </w:rPr>
        <w:t xml:space="preserve"> El </w:t>
      </w:r>
      <w:r>
        <w:rPr>
          <w:sz w:val="22"/>
          <w:szCs w:val="22"/>
        </w:rPr>
        <w:t>Niño en el sistema eléctrico, se permita que los usuarios no regulados que se conectan al SIN no tengan la obligación de tomar la energía a la cual se comprometieron</w:t>
      </w:r>
      <w:r w:rsidR="009E37CE">
        <w:rPr>
          <w:sz w:val="22"/>
          <w:szCs w:val="22"/>
        </w:rPr>
        <w:t>.</w:t>
      </w:r>
    </w:p>
    <w:p w14:paraId="2DD46263" w14:textId="21C07E25" w:rsidR="00C028DD" w:rsidRDefault="00E6534B" w:rsidP="009E37CE">
      <w:pPr>
        <w:spacing w:before="220"/>
        <w:jc w:val="left"/>
        <w:rPr>
          <w:sz w:val="22"/>
          <w:szCs w:val="22"/>
        </w:rPr>
      </w:pPr>
      <w:r>
        <w:rPr>
          <w:sz w:val="22"/>
          <w:szCs w:val="22"/>
        </w:rPr>
        <w:t xml:space="preserve">Con este propósito se debe definir una ventana de aplicación de esta medida. Luego de finalizada esta ventana se vuelve a verificar el cumplimiento de los compromisos de consumo de energía. Es decir, se desplaza la fecha última para el cumplimiento del compromiso, ya que no se contarían los meses durante los cuales se aplicó la suspensión. </w:t>
      </w:r>
    </w:p>
    <w:p w14:paraId="46610F34" w14:textId="5249E2F9" w:rsidR="00E6534B" w:rsidRDefault="00E6534B" w:rsidP="009E37CE">
      <w:pPr>
        <w:spacing w:before="220"/>
        <w:jc w:val="left"/>
        <w:rPr>
          <w:sz w:val="22"/>
          <w:szCs w:val="22"/>
        </w:rPr>
      </w:pPr>
      <w:r>
        <w:rPr>
          <w:sz w:val="22"/>
          <w:szCs w:val="22"/>
        </w:rPr>
        <w:lastRenderedPageBreak/>
        <w:t>Con esta medida se logra la disminución del consumo por parte de los referidos usuarios durante los meses en los que se presentan los efectos del Fenómeno de</w:t>
      </w:r>
      <w:r w:rsidR="007E3618">
        <w:rPr>
          <w:sz w:val="22"/>
          <w:szCs w:val="22"/>
        </w:rPr>
        <w:t xml:space="preserve"> El</w:t>
      </w:r>
      <w:r>
        <w:rPr>
          <w:sz w:val="22"/>
          <w:szCs w:val="22"/>
        </w:rPr>
        <w:t xml:space="preserve"> Niño.</w:t>
      </w:r>
    </w:p>
    <w:p w14:paraId="3E481551" w14:textId="1D2A175B" w:rsidR="00C028DD" w:rsidRDefault="00C028DD" w:rsidP="009E37CE">
      <w:pPr>
        <w:spacing w:before="220"/>
        <w:jc w:val="left"/>
        <w:rPr>
          <w:sz w:val="22"/>
          <w:szCs w:val="22"/>
        </w:rPr>
      </w:pPr>
      <w:r>
        <w:rPr>
          <w:sz w:val="22"/>
          <w:szCs w:val="22"/>
        </w:rPr>
        <w:t>Esta será la propuesta a recomendar con este documento.</w:t>
      </w:r>
    </w:p>
    <w:p w14:paraId="160B8AA4" w14:textId="2024AD96" w:rsidR="00C028DD" w:rsidRPr="00183D01" w:rsidRDefault="00C028DD" w:rsidP="00C028DD">
      <w:pPr>
        <w:pStyle w:val="Ttulo1"/>
        <w:numPr>
          <w:ilvl w:val="0"/>
          <w:numId w:val="14"/>
        </w:numPr>
        <w:spacing w:before="360" w:after="0"/>
        <w:ind w:left="431" w:hanging="431"/>
        <w:jc w:val="left"/>
        <w:rPr>
          <w:rFonts w:cs="Arial"/>
          <w:sz w:val="22"/>
          <w:szCs w:val="22"/>
        </w:rPr>
      </w:pPr>
      <w:bookmarkStart w:id="14" w:name="_Toc144934268"/>
      <w:r>
        <w:rPr>
          <w:rFonts w:cs="Arial"/>
          <w:sz w:val="22"/>
          <w:szCs w:val="22"/>
        </w:rPr>
        <w:t>PROPUESTA REGULATORIA</w:t>
      </w:r>
      <w:bookmarkEnd w:id="14"/>
    </w:p>
    <w:p w14:paraId="53D2647B" w14:textId="22D870EE" w:rsidR="00C028DD" w:rsidRPr="00183D01" w:rsidRDefault="00C028DD" w:rsidP="00C028DD">
      <w:pPr>
        <w:spacing w:before="220"/>
        <w:jc w:val="left"/>
        <w:rPr>
          <w:sz w:val="22"/>
          <w:szCs w:val="22"/>
          <w:lang w:val="es-MX"/>
        </w:rPr>
      </w:pPr>
      <w:r>
        <w:rPr>
          <w:sz w:val="22"/>
          <w:szCs w:val="22"/>
        </w:rPr>
        <w:t xml:space="preserve">En este numeral se desarrolla la alternativa 2 y las condiciones para su utilización. </w:t>
      </w:r>
    </w:p>
    <w:p w14:paraId="4965B7A5" w14:textId="7EE11121" w:rsidR="00C028DD" w:rsidRPr="00183D01" w:rsidRDefault="00E6534B" w:rsidP="00C028DD">
      <w:pPr>
        <w:pStyle w:val="Ttulo2"/>
      </w:pPr>
      <w:bookmarkStart w:id="15" w:name="_Toc144934269"/>
      <w:r>
        <w:t>Suspensión de la obligación de toma de energía</w:t>
      </w:r>
      <w:bookmarkEnd w:id="15"/>
    </w:p>
    <w:p w14:paraId="100AE085" w14:textId="77955BE5" w:rsidR="00E6534B" w:rsidRDefault="00E6534B" w:rsidP="00C028DD">
      <w:pPr>
        <w:spacing w:before="220"/>
        <w:jc w:val="left"/>
        <w:rPr>
          <w:sz w:val="22"/>
          <w:szCs w:val="22"/>
        </w:rPr>
      </w:pPr>
      <w:r>
        <w:rPr>
          <w:sz w:val="22"/>
          <w:szCs w:val="22"/>
        </w:rPr>
        <w:t>Con el fin de obtener disminuciones en el consumo de energía</w:t>
      </w:r>
      <w:r w:rsidR="009B5721">
        <w:rPr>
          <w:sz w:val="22"/>
          <w:szCs w:val="22"/>
        </w:rPr>
        <w:t>,</w:t>
      </w:r>
      <w:r>
        <w:rPr>
          <w:sz w:val="22"/>
          <w:szCs w:val="22"/>
        </w:rPr>
        <w:t xml:space="preserve"> se propone suspender la </w:t>
      </w:r>
      <w:r w:rsidR="00B30EB0">
        <w:rPr>
          <w:sz w:val="22"/>
          <w:szCs w:val="22"/>
        </w:rPr>
        <w:t xml:space="preserve">obligación </w:t>
      </w:r>
      <w:r w:rsidR="009B5721">
        <w:rPr>
          <w:sz w:val="22"/>
          <w:szCs w:val="22"/>
        </w:rPr>
        <w:t xml:space="preserve">de lo establecido en </w:t>
      </w:r>
      <w:r>
        <w:rPr>
          <w:sz w:val="22"/>
          <w:szCs w:val="22"/>
        </w:rPr>
        <w:t>el literal b) del numeral 4.3.1 del anexo 1 de l</w:t>
      </w:r>
      <w:r w:rsidR="009B5721">
        <w:rPr>
          <w:sz w:val="22"/>
          <w:szCs w:val="22"/>
        </w:rPr>
        <w:t>a</w:t>
      </w:r>
      <w:r>
        <w:rPr>
          <w:sz w:val="22"/>
          <w:szCs w:val="22"/>
        </w:rPr>
        <w:t xml:space="preserve"> </w:t>
      </w:r>
      <w:r w:rsidRPr="00E6534B">
        <w:rPr>
          <w:rFonts w:cs="Arial"/>
          <w:sz w:val="22"/>
          <w:szCs w:val="22"/>
        </w:rPr>
        <w:t>Resolución CREG 0</w:t>
      </w:r>
      <w:r>
        <w:rPr>
          <w:rFonts w:cs="Arial"/>
          <w:sz w:val="22"/>
          <w:szCs w:val="22"/>
        </w:rPr>
        <w:t>22</w:t>
      </w:r>
      <w:r w:rsidRPr="00E6534B">
        <w:rPr>
          <w:rFonts w:cs="Arial"/>
          <w:sz w:val="22"/>
          <w:szCs w:val="22"/>
        </w:rPr>
        <w:t xml:space="preserve"> de 20</w:t>
      </w:r>
      <w:r w:rsidR="009B5721">
        <w:rPr>
          <w:rFonts w:cs="Arial"/>
          <w:sz w:val="22"/>
          <w:szCs w:val="22"/>
        </w:rPr>
        <w:t>0</w:t>
      </w:r>
      <w:r w:rsidRPr="00E6534B">
        <w:rPr>
          <w:rFonts w:cs="Arial"/>
          <w:sz w:val="22"/>
          <w:szCs w:val="22"/>
        </w:rPr>
        <w:t>1</w:t>
      </w:r>
      <w:r w:rsidR="009B5721">
        <w:rPr>
          <w:rFonts w:cs="Arial"/>
          <w:sz w:val="22"/>
          <w:szCs w:val="22"/>
        </w:rPr>
        <w:t>, durante la ventana de tiempo que se defina para ello.</w:t>
      </w:r>
      <w:r w:rsidRPr="00E6534B">
        <w:rPr>
          <w:rFonts w:cs="Arial"/>
          <w:sz w:val="22"/>
          <w:szCs w:val="22"/>
        </w:rPr>
        <w:t xml:space="preserve"> </w:t>
      </w:r>
    </w:p>
    <w:p w14:paraId="211F07CE" w14:textId="0ECB942F" w:rsidR="009B5721" w:rsidRDefault="009B5721" w:rsidP="0000355A">
      <w:pPr>
        <w:spacing w:before="220"/>
        <w:rPr>
          <w:sz w:val="22"/>
          <w:szCs w:val="22"/>
        </w:rPr>
      </w:pPr>
      <w:r>
        <w:rPr>
          <w:sz w:val="22"/>
          <w:szCs w:val="22"/>
        </w:rPr>
        <w:t xml:space="preserve">Si el usuario ya inició su programa de cumplimiento, se suspende </w:t>
      </w:r>
      <w:r w:rsidR="00F10541">
        <w:rPr>
          <w:sz w:val="22"/>
          <w:szCs w:val="22"/>
        </w:rPr>
        <w:t xml:space="preserve">la obligación </w:t>
      </w:r>
      <w:r>
        <w:rPr>
          <w:sz w:val="22"/>
          <w:szCs w:val="22"/>
        </w:rPr>
        <w:t>y se reanudará</w:t>
      </w:r>
      <w:r w:rsidR="004733DD">
        <w:rPr>
          <w:sz w:val="22"/>
          <w:szCs w:val="22"/>
        </w:rPr>
        <w:t xml:space="preserve"> una vez culminado el periodo de aplicación</w:t>
      </w:r>
      <w:r>
        <w:rPr>
          <w:sz w:val="22"/>
          <w:szCs w:val="22"/>
        </w:rPr>
        <w:t>, por los meses que le hagan falta</w:t>
      </w:r>
      <w:r w:rsidR="0009167D">
        <w:rPr>
          <w:sz w:val="22"/>
          <w:szCs w:val="22"/>
        </w:rPr>
        <w:t xml:space="preserve"> para dar cumplimiento a la obligación</w:t>
      </w:r>
      <w:r>
        <w:rPr>
          <w:sz w:val="22"/>
          <w:szCs w:val="22"/>
        </w:rPr>
        <w:t xml:space="preserve">, con posterioridad a la ventana de tiempo. Si el inicio del cumplimiento del compromiso está previsto para un mes que hace parte de la ventana de tiempo, el inicio de la </w:t>
      </w:r>
      <w:r w:rsidR="00696AD7">
        <w:rPr>
          <w:sz w:val="22"/>
          <w:szCs w:val="22"/>
        </w:rPr>
        <w:t xml:space="preserve">obligación </w:t>
      </w:r>
      <w:r>
        <w:rPr>
          <w:sz w:val="22"/>
          <w:szCs w:val="22"/>
        </w:rPr>
        <w:t>comenzará una vez finalizada esta ventana. No se modifican los programas de toma de carga que no coincidan con la ventana de tiempo.</w:t>
      </w:r>
    </w:p>
    <w:p w14:paraId="41C95024" w14:textId="7F17502C" w:rsidR="00AB7B0C" w:rsidRPr="00183D01" w:rsidRDefault="009B5721" w:rsidP="00AB7B0C">
      <w:pPr>
        <w:pStyle w:val="Ttulo2"/>
      </w:pPr>
      <w:bookmarkStart w:id="16" w:name="_Toc144934270"/>
      <w:r>
        <w:t>Ventana de tiempo</w:t>
      </w:r>
      <w:bookmarkEnd w:id="16"/>
    </w:p>
    <w:p w14:paraId="2EBC0E9D" w14:textId="2DBE57B5" w:rsidR="00BA0C25" w:rsidRDefault="009B5721" w:rsidP="00BA0C25">
      <w:pPr>
        <w:spacing w:before="220"/>
        <w:jc w:val="left"/>
        <w:rPr>
          <w:sz w:val="22"/>
          <w:szCs w:val="22"/>
        </w:rPr>
      </w:pPr>
      <w:r>
        <w:rPr>
          <w:sz w:val="22"/>
          <w:szCs w:val="22"/>
        </w:rPr>
        <w:t xml:space="preserve">Se debe definir el inicio </w:t>
      </w:r>
      <w:r w:rsidR="005310F9">
        <w:rPr>
          <w:sz w:val="22"/>
          <w:szCs w:val="22"/>
        </w:rPr>
        <w:t>de la ventana</w:t>
      </w:r>
      <w:r>
        <w:rPr>
          <w:sz w:val="22"/>
          <w:szCs w:val="22"/>
        </w:rPr>
        <w:t xml:space="preserve"> de tiempo con algún hecho o situación que permita determinar que ha iniciado el Fenómeno del Niño. Para la finalización de</w:t>
      </w:r>
      <w:r w:rsidR="005310F9">
        <w:rPr>
          <w:sz w:val="22"/>
          <w:szCs w:val="22"/>
        </w:rPr>
        <w:t xml:space="preserve"> </w:t>
      </w:r>
      <w:r>
        <w:rPr>
          <w:sz w:val="22"/>
          <w:szCs w:val="22"/>
        </w:rPr>
        <w:t>la</w:t>
      </w:r>
      <w:r w:rsidR="005310F9">
        <w:rPr>
          <w:sz w:val="22"/>
          <w:szCs w:val="22"/>
        </w:rPr>
        <w:t xml:space="preserve"> </w:t>
      </w:r>
      <w:r>
        <w:rPr>
          <w:sz w:val="22"/>
          <w:szCs w:val="22"/>
        </w:rPr>
        <w:t>ventana también se tendrá en cuenta que hay</w:t>
      </w:r>
      <w:r w:rsidR="005310F9">
        <w:rPr>
          <w:sz w:val="22"/>
          <w:szCs w:val="22"/>
        </w:rPr>
        <w:t>a</w:t>
      </w:r>
      <w:r>
        <w:rPr>
          <w:sz w:val="22"/>
          <w:szCs w:val="22"/>
        </w:rPr>
        <w:t xml:space="preserve"> terminado el citado fenómeno.</w:t>
      </w:r>
    </w:p>
    <w:p w14:paraId="738C26CC" w14:textId="4D944EED" w:rsidR="009B5721" w:rsidRDefault="009B5721" w:rsidP="00BA0C25">
      <w:pPr>
        <w:spacing w:before="220"/>
        <w:jc w:val="left"/>
        <w:rPr>
          <w:sz w:val="22"/>
          <w:szCs w:val="22"/>
        </w:rPr>
      </w:pPr>
      <w:r>
        <w:rPr>
          <w:sz w:val="22"/>
          <w:szCs w:val="22"/>
        </w:rPr>
        <w:t xml:space="preserve">La </w:t>
      </w:r>
      <w:r w:rsidR="005310F9">
        <w:rPr>
          <w:sz w:val="22"/>
          <w:szCs w:val="22"/>
        </w:rPr>
        <w:t>Comisión</w:t>
      </w:r>
      <w:r>
        <w:rPr>
          <w:sz w:val="22"/>
          <w:szCs w:val="22"/>
        </w:rPr>
        <w:t xml:space="preserve"> con base en el desarrollo de las condiciones hidráulicas en </w:t>
      </w:r>
      <w:r w:rsidR="005310F9">
        <w:rPr>
          <w:sz w:val="22"/>
          <w:szCs w:val="22"/>
        </w:rPr>
        <w:t>presencia del Fenómeno del Niño, determinar</w:t>
      </w:r>
      <w:r w:rsidR="006F6F3C">
        <w:rPr>
          <w:sz w:val="22"/>
          <w:szCs w:val="22"/>
        </w:rPr>
        <w:t>á</w:t>
      </w:r>
      <w:r w:rsidR="005310F9">
        <w:rPr>
          <w:sz w:val="22"/>
          <w:szCs w:val="22"/>
        </w:rPr>
        <w:t xml:space="preserve"> si acorta o alarga la duración de la ventana.</w:t>
      </w:r>
    </w:p>
    <w:p w14:paraId="7C51CBDE" w14:textId="393CEDED" w:rsidR="002C7132" w:rsidRPr="00183D01" w:rsidRDefault="0090022F" w:rsidP="002C7132">
      <w:pPr>
        <w:pStyle w:val="Ttulo2"/>
      </w:pPr>
      <w:bookmarkStart w:id="17" w:name="_Toc144934271"/>
      <w:bookmarkStart w:id="18" w:name="_Toc86260319"/>
      <w:r>
        <w:t>Ajuste regulatorio</w:t>
      </w:r>
      <w:bookmarkEnd w:id="17"/>
    </w:p>
    <w:p w14:paraId="04EB4097" w14:textId="0ED5EF48" w:rsidR="005310F9" w:rsidRDefault="0090022F" w:rsidP="002C7132">
      <w:pPr>
        <w:spacing w:before="220"/>
        <w:jc w:val="left"/>
        <w:rPr>
          <w:rStyle w:val="normaltextrun"/>
          <w:rFonts w:cs="Arial"/>
          <w:sz w:val="22"/>
          <w:szCs w:val="22"/>
        </w:rPr>
      </w:pPr>
      <w:r>
        <w:rPr>
          <w:sz w:val="22"/>
          <w:szCs w:val="22"/>
        </w:rPr>
        <w:t xml:space="preserve">Para </w:t>
      </w:r>
      <w:r w:rsidR="005310F9">
        <w:rPr>
          <w:sz w:val="22"/>
          <w:szCs w:val="22"/>
        </w:rPr>
        <w:t>a</w:t>
      </w:r>
      <w:r>
        <w:rPr>
          <w:sz w:val="22"/>
          <w:szCs w:val="22"/>
        </w:rPr>
        <w:t xml:space="preserve">coger </w:t>
      </w:r>
      <w:r w:rsidR="007B0419">
        <w:rPr>
          <w:sz w:val="22"/>
          <w:szCs w:val="22"/>
        </w:rPr>
        <w:t xml:space="preserve">lo analizado en esta propuesta se </w:t>
      </w:r>
      <w:r w:rsidR="005310F9">
        <w:rPr>
          <w:sz w:val="22"/>
          <w:szCs w:val="22"/>
        </w:rPr>
        <w:t xml:space="preserve">propone la suspensión </w:t>
      </w:r>
      <w:r w:rsidR="004F7A49">
        <w:rPr>
          <w:sz w:val="22"/>
          <w:szCs w:val="22"/>
        </w:rPr>
        <w:t xml:space="preserve">temporal </w:t>
      </w:r>
      <w:r w:rsidR="005310F9">
        <w:rPr>
          <w:sz w:val="22"/>
          <w:szCs w:val="22"/>
        </w:rPr>
        <w:t xml:space="preserve">del literal b) del numeral 4.3.1 </w:t>
      </w:r>
      <w:r w:rsidR="00570691">
        <w:rPr>
          <w:sz w:val="22"/>
          <w:szCs w:val="22"/>
        </w:rPr>
        <w:t xml:space="preserve">del anexo 1 </w:t>
      </w:r>
      <w:r w:rsidR="007B0419">
        <w:rPr>
          <w:sz w:val="22"/>
          <w:szCs w:val="22"/>
        </w:rPr>
        <w:t xml:space="preserve">de la </w:t>
      </w:r>
      <w:r w:rsidR="007B0419" w:rsidRPr="007B0419">
        <w:rPr>
          <w:rStyle w:val="normaltextrun"/>
          <w:rFonts w:cs="Arial"/>
          <w:sz w:val="22"/>
          <w:szCs w:val="22"/>
        </w:rPr>
        <w:t>Resolución CREG 022 de 2001</w:t>
      </w:r>
      <w:r w:rsidR="007B0419">
        <w:rPr>
          <w:rStyle w:val="normaltextrun"/>
          <w:rFonts w:cs="Arial"/>
          <w:sz w:val="22"/>
          <w:szCs w:val="22"/>
        </w:rPr>
        <w:t xml:space="preserve">, </w:t>
      </w:r>
      <w:r w:rsidR="005310F9">
        <w:rPr>
          <w:rStyle w:val="normaltextrun"/>
          <w:rFonts w:cs="Arial"/>
          <w:sz w:val="22"/>
          <w:szCs w:val="22"/>
        </w:rPr>
        <w:t>y también definir la ventana de tiempo en la que aplica esta suspensión.</w:t>
      </w:r>
    </w:p>
    <w:p w14:paraId="0C948C50" w14:textId="77777777" w:rsidR="00D57F2B" w:rsidRPr="00D54B09" w:rsidRDefault="00D57F2B" w:rsidP="008A0C85">
      <w:pPr>
        <w:pStyle w:val="Ttulo1"/>
        <w:numPr>
          <w:ilvl w:val="0"/>
          <w:numId w:val="14"/>
        </w:numPr>
        <w:spacing w:before="360" w:after="0"/>
        <w:ind w:left="431" w:hanging="431"/>
        <w:jc w:val="left"/>
        <w:rPr>
          <w:rFonts w:cs="Arial"/>
          <w:sz w:val="22"/>
          <w:szCs w:val="22"/>
        </w:rPr>
      </w:pPr>
      <w:bookmarkStart w:id="19" w:name="_Toc144934272"/>
      <w:r w:rsidRPr="00D54B09">
        <w:rPr>
          <w:rFonts w:cs="Arial"/>
          <w:sz w:val="22"/>
          <w:szCs w:val="22"/>
        </w:rPr>
        <w:t>CONSULTA PÚBLICA</w:t>
      </w:r>
      <w:bookmarkEnd w:id="18"/>
      <w:bookmarkEnd w:id="19"/>
    </w:p>
    <w:p w14:paraId="202B59CB" w14:textId="7C1CF45E" w:rsidR="00D57F2B" w:rsidRDefault="007C1125" w:rsidP="008A0C85">
      <w:pPr>
        <w:spacing w:before="240"/>
        <w:jc w:val="left"/>
        <w:rPr>
          <w:rFonts w:cs="Arial"/>
          <w:sz w:val="22"/>
          <w:szCs w:val="22"/>
        </w:rPr>
      </w:pPr>
      <w:r>
        <w:rPr>
          <w:rFonts w:cs="Arial"/>
          <w:sz w:val="22"/>
          <w:szCs w:val="22"/>
        </w:rPr>
        <w:t xml:space="preserve">Con el propósito de conocer los comentarios y sugerencias de todos los interesados, se propone publicar para consulta el proyecto de resolución anexo, por un término de </w:t>
      </w:r>
      <w:r w:rsidR="00846835">
        <w:rPr>
          <w:rFonts w:cs="Arial"/>
          <w:sz w:val="22"/>
          <w:szCs w:val="22"/>
        </w:rPr>
        <w:t>cinco (5)</w:t>
      </w:r>
      <w:r>
        <w:rPr>
          <w:rFonts w:cs="Arial"/>
          <w:sz w:val="22"/>
          <w:szCs w:val="22"/>
        </w:rPr>
        <w:t xml:space="preserve"> días hábiles.</w:t>
      </w:r>
    </w:p>
    <w:p w14:paraId="00C5C85D" w14:textId="77777777" w:rsidR="00D57F2B" w:rsidRPr="00D54B09" w:rsidRDefault="00D57F2B" w:rsidP="008A0C85">
      <w:pPr>
        <w:pStyle w:val="Ttulo1"/>
        <w:numPr>
          <w:ilvl w:val="0"/>
          <w:numId w:val="14"/>
        </w:numPr>
        <w:spacing w:before="360" w:after="0"/>
        <w:ind w:left="431" w:hanging="431"/>
        <w:jc w:val="left"/>
        <w:rPr>
          <w:rFonts w:cs="Arial"/>
          <w:sz w:val="22"/>
          <w:szCs w:val="22"/>
        </w:rPr>
      </w:pPr>
      <w:bookmarkStart w:id="20" w:name="_Toc144934273"/>
      <w:r w:rsidRPr="00D54B09">
        <w:rPr>
          <w:rFonts w:cs="Arial"/>
          <w:sz w:val="22"/>
          <w:szCs w:val="22"/>
        </w:rPr>
        <w:t>CONCLUSIONES</w:t>
      </w:r>
      <w:bookmarkEnd w:id="20"/>
    </w:p>
    <w:p w14:paraId="3502B30B" w14:textId="77777777" w:rsidR="005310F9" w:rsidRDefault="00D57F2B" w:rsidP="005310F9">
      <w:pPr>
        <w:spacing w:before="240"/>
        <w:jc w:val="left"/>
        <w:rPr>
          <w:rStyle w:val="normaltextrun"/>
          <w:rFonts w:cs="Arial"/>
          <w:sz w:val="22"/>
          <w:szCs w:val="22"/>
        </w:rPr>
      </w:pPr>
      <w:r w:rsidRPr="00D54B09">
        <w:rPr>
          <w:rFonts w:cs="Arial"/>
          <w:sz w:val="22"/>
          <w:szCs w:val="22"/>
        </w:rPr>
        <w:t xml:space="preserve">Se </w:t>
      </w:r>
      <w:r>
        <w:rPr>
          <w:rFonts w:cs="Arial"/>
          <w:sz w:val="22"/>
          <w:szCs w:val="22"/>
        </w:rPr>
        <w:t xml:space="preserve">propone a la Comisión aprobar </w:t>
      </w:r>
      <w:r w:rsidR="007C1125">
        <w:rPr>
          <w:rFonts w:cs="Arial"/>
          <w:sz w:val="22"/>
          <w:szCs w:val="22"/>
        </w:rPr>
        <w:t>para consulta el proyecto de</w:t>
      </w:r>
      <w:r w:rsidRPr="00D54B09">
        <w:rPr>
          <w:rFonts w:cs="Arial"/>
          <w:sz w:val="22"/>
          <w:szCs w:val="22"/>
        </w:rPr>
        <w:t xml:space="preserve"> resolución donde se </w:t>
      </w:r>
      <w:r w:rsidR="00182FA3">
        <w:rPr>
          <w:rFonts w:cs="Arial"/>
          <w:sz w:val="22"/>
          <w:szCs w:val="22"/>
        </w:rPr>
        <w:t>p</w:t>
      </w:r>
      <w:r w:rsidR="0039514C">
        <w:rPr>
          <w:rFonts w:cs="Arial"/>
          <w:sz w:val="22"/>
          <w:szCs w:val="22"/>
        </w:rPr>
        <w:t>lantea</w:t>
      </w:r>
      <w:r w:rsidR="00182FA3">
        <w:rPr>
          <w:rFonts w:cs="Arial"/>
          <w:sz w:val="22"/>
          <w:szCs w:val="22"/>
        </w:rPr>
        <w:t xml:space="preserve"> </w:t>
      </w:r>
      <w:r w:rsidR="005310F9">
        <w:rPr>
          <w:rFonts w:cs="Arial"/>
          <w:sz w:val="22"/>
          <w:szCs w:val="22"/>
        </w:rPr>
        <w:t>la suspensión de la aplicación del literal b)</w:t>
      </w:r>
      <w:r w:rsidR="00E37FC3">
        <w:rPr>
          <w:sz w:val="22"/>
          <w:szCs w:val="22"/>
        </w:rPr>
        <w:t xml:space="preserve"> el numeral 4.</w:t>
      </w:r>
      <w:r w:rsidR="005310F9">
        <w:rPr>
          <w:sz w:val="22"/>
          <w:szCs w:val="22"/>
        </w:rPr>
        <w:t>3.1</w:t>
      </w:r>
      <w:r w:rsidR="00E37FC3">
        <w:rPr>
          <w:sz w:val="22"/>
          <w:szCs w:val="22"/>
        </w:rPr>
        <w:t xml:space="preserve"> del anexo </w:t>
      </w:r>
      <w:r w:rsidR="00E25BC8">
        <w:rPr>
          <w:sz w:val="22"/>
          <w:szCs w:val="22"/>
        </w:rPr>
        <w:t xml:space="preserve">1 </w:t>
      </w:r>
      <w:r w:rsidR="00E37FC3">
        <w:rPr>
          <w:sz w:val="22"/>
          <w:szCs w:val="22"/>
        </w:rPr>
        <w:t xml:space="preserve">de la </w:t>
      </w:r>
      <w:r w:rsidR="005310F9" w:rsidRPr="007B0419">
        <w:rPr>
          <w:rStyle w:val="normaltextrun"/>
          <w:rFonts w:cs="Arial"/>
          <w:sz w:val="22"/>
          <w:szCs w:val="22"/>
        </w:rPr>
        <w:t>Resolución CREG 022 de 2001</w:t>
      </w:r>
      <w:r w:rsidR="005310F9">
        <w:rPr>
          <w:rStyle w:val="normaltextrun"/>
          <w:rFonts w:cs="Arial"/>
          <w:sz w:val="22"/>
          <w:szCs w:val="22"/>
        </w:rPr>
        <w:t xml:space="preserve"> y se define la ventana de aplicación de esta suspensión.</w:t>
      </w:r>
    </w:p>
    <w:sectPr w:rsidR="005310F9" w:rsidSect="00DD7346">
      <w:headerReference w:type="default" r:id="rId12"/>
      <w:footerReference w:type="default" r:id="rId13"/>
      <w:pgSz w:w="12242" w:h="15842" w:code="1"/>
      <w:pgMar w:top="1418" w:right="1418" w:bottom="1418" w:left="1418"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6F9E8" w14:textId="77777777" w:rsidR="0004372B" w:rsidRDefault="0004372B">
      <w:r>
        <w:separator/>
      </w:r>
    </w:p>
  </w:endnote>
  <w:endnote w:type="continuationSeparator" w:id="0">
    <w:p w14:paraId="5366A034" w14:textId="77777777" w:rsidR="0004372B" w:rsidRDefault="0004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C4E1" w14:textId="139120F5" w:rsidR="001700C2" w:rsidRDefault="00CB1250" w:rsidP="0077100C">
    <w:pPr>
      <w:pStyle w:val="Piedepgina"/>
      <w:rPr>
        <w:b/>
        <w:sz w:val="16"/>
        <w:lang w:val="es-CO"/>
      </w:rPr>
    </w:pPr>
    <w:r>
      <w:rPr>
        <w:sz w:val="16"/>
        <w:lang w:val="es-CO"/>
      </w:rPr>
      <w:t xml:space="preserve">D – 901 028 DE 2023 </w:t>
    </w:r>
    <w:r w:rsidR="0036527F" w:rsidRPr="0036527F">
      <w:rPr>
        <w:sz w:val="16"/>
        <w:lang w:val="es-CO"/>
      </w:rPr>
      <w:t>SUSPENSIÓN DE LA APLICACIÓN DEL NUMERAL 4.3.1 DEL ANEXO 1 DE LA RESOLUCIÓN CREG 022 DE 2001</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2791"/>
      <w:gridCol w:w="2633"/>
    </w:tblGrid>
    <w:tr w:rsidR="00456730" w:rsidRPr="00456730" w14:paraId="40F6C052" w14:textId="77777777" w:rsidTr="008E4B18">
      <w:trPr>
        <w:cantSplit/>
        <w:trHeight w:val="254"/>
        <w:jc w:val="center"/>
      </w:trPr>
      <w:tc>
        <w:tcPr>
          <w:tcW w:w="2314" w:type="pct"/>
          <w:vAlign w:val="center"/>
        </w:tcPr>
        <w:p w14:paraId="35D0AB47" w14:textId="77777777" w:rsidR="00456730" w:rsidRPr="00456730" w:rsidRDefault="00456730" w:rsidP="00456730">
          <w:pPr>
            <w:contextualSpacing/>
            <w:rPr>
              <w:iCs/>
              <w:sz w:val="14"/>
            </w:rPr>
          </w:pPr>
          <w:r w:rsidRPr="00456730">
            <w:rPr>
              <w:rFonts w:cs="Arial"/>
              <w:iCs/>
              <w:sz w:val="14"/>
            </w:rPr>
            <w:t xml:space="preserve">Proceso        </w:t>
          </w:r>
          <w:r w:rsidRPr="00456730">
            <w:rPr>
              <w:rFonts w:cs="Arial"/>
              <w:b/>
              <w:iCs/>
              <w:sz w:val="14"/>
            </w:rPr>
            <w:t>REGULACIÓN</w:t>
          </w:r>
        </w:p>
      </w:tc>
      <w:tc>
        <w:tcPr>
          <w:tcW w:w="1382" w:type="pct"/>
          <w:vAlign w:val="center"/>
        </w:tcPr>
        <w:p w14:paraId="21479DD5" w14:textId="77777777" w:rsidR="00456730" w:rsidRPr="00456730" w:rsidRDefault="00456730" w:rsidP="00456730">
          <w:pPr>
            <w:contextualSpacing/>
            <w:rPr>
              <w:rFonts w:cs="Arial"/>
              <w:iCs/>
              <w:sz w:val="14"/>
            </w:rPr>
          </w:pPr>
          <w:r w:rsidRPr="00456730">
            <w:rPr>
              <w:rFonts w:cs="Arial"/>
              <w:b/>
              <w:iCs/>
              <w:sz w:val="14"/>
            </w:rPr>
            <w:t xml:space="preserve">Código: </w:t>
          </w:r>
          <w:r w:rsidRPr="00456730">
            <w:rPr>
              <w:rFonts w:cs="Arial"/>
              <w:iCs/>
              <w:sz w:val="14"/>
            </w:rPr>
            <w:t>RG-FT-005</w:t>
          </w:r>
        </w:p>
      </w:tc>
      <w:tc>
        <w:tcPr>
          <w:tcW w:w="1304" w:type="pct"/>
          <w:vAlign w:val="center"/>
        </w:tcPr>
        <w:p w14:paraId="537EC274" w14:textId="77777777" w:rsidR="00456730" w:rsidRPr="00456730" w:rsidRDefault="00456730" w:rsidP="00456730">
          <w:pPr>
            <w:contextualSpacing/>
            <w:rPr>
              <w:rFonts w:cs="Arial"/>
              <w:iCs/>
              <w:sz w:val="14"/>
            </w:rPr>
          </w:pPr>
          <w:r w:rsidRPr="00456730">
            <w:rPr>
              <w:rFonts w:cs="Arial"/>
              <w:b/>
              <w:iCs/>
              <w:sz w:val="14"/>
            </w:rPr>
            <w:t xml:space="preserve">Versión: </w:t>
          </w:r>
          <w:r w:rsidR="008B734F">
            <w:rPr>
              <w:rFonts w:cs="Arial"/>
              <w:iCs/>
              <w:sz w:val="14"/>
            </w:rPr>
            <w:t>1</w:t>
          </w:r>
        </w:p>
      </w:tc>
    </w:tr>
    <w:tr w:rsidR="00456730" w:rsidRPr="00456730" w14:paraId="448AF68A" w14:textId="77777777" w:rsidTr="008E4B18">
      <w:trPr>
        <w:cantSplit/>
        <w:trHeight w:val="261"/>
        <w:jc w:val="center"/>
      </w:trPr>
      <w:tc>
        <w:tcPr>
          <w:tcW w:w="2314" w:type="pct"/>
          <w:vAlign w:val="center"/>
        </w:tcPr>
        <w:p w14:paraId="553CDE02" w14:textId="77777777" w:rsidR="00456730" w:rsidRPr="00456730" w:rsidRDefault="00456730" w:rsidP="00456730">
          <w:pPr>
            <w:ind w:left="923" w:hanging="923"/>
            <w:contextualSpacing/>
            <w:rPr>
              <w:rFonts w:cs="Arial"/>
              <w:bCs/>
              <w:iCs/>
              <w:sz w:val="14"/>
            </w:rPr>
          </w:pPr>
          <w:r w:rsidRPr="00456730">
            <w:rPr>
              <w:rFonts w:cs="Arial"/>
              <w:iCs/>
              <w:sz w:val="14"/>
            </w:rPr>
            <w:t xml:space="preserve">Documento   </w:t>
          </w:r>
          <w:r w:rsidRPr="00456730">
            <w:rPr>
              <w:rFonts w:cs="Arial"/>
              <w:b/>
              <w:iCs/>
              <w:sz w:val="14"/>
            </w:rPr>
            <w:t>DOCUMENTO CREG</w:t>
          </w:r>
        </w:p>
      </w:tc>
      <w:tc>
        <w:tcPr>
          <w:tcW w:w="1382" w:type="pct"/>
          <w:vAlign w:val="center"/>
        </w:tcPr>
        <w:p w14:paraId="1B1DD2DD" w14:textId="77777777" w:rsidR="00456730" w:rsidRPr="00456730" w:rsidRDefault="00456730" w:rsidP="008B734F">
          <w:pPr>
            <w:contextualSpacing/>
            <w:rPr>
              <w:rFonts w:cs="Arial"/>
              <w:iCs/>
              <w:sz w:val="14"/>
            </w:rPr>
          </w:pPr>
          <w:r w:rsidRPr="00456730">
            <w:rPr>
              <w:rFonts w:cs="Arial"/>
              <w:b/>
              <w:iCs/>
              <w:sz w:val="14"/>
            </w:rPr>
            <w:t xml:space="preserve">Fecha última revisión: </w:t>
          </w:r>
          <w:r w:rsidR="008B734F">
            <w:rPr>
              <w:rFonts w:cs="Arial"/>
              <w:b/>
              <w:iCs/>
              <w:sz w:val="14"/>
            </w:rPr>
            <w:t>14/11/2017</w:t>
          </w:r>
        </w:p>
      </w:tc>
      <w:tc>
        <w:tcPr>
          <w:tcW w:w="1304" w:type="pct"/>
          <w:vAlign w:val="center"/>
        </w:tcPr>
        <w:p w14:paraId="622F1D7C" w14:textId="77777777" w:rsidR="00456730" w:rsidRPr="00456730" w:rsidRDefault="00456730" w:rsidP="00B60742">
          <w:pPr>
            <w:contextualSpacing/>
            <w:rPr>
              <w:rFonts w:cs="Arial"/>
              <w:iCs/>
              <w:sz w:val="14"/>
            </w:rPr>
          </w:pPr>
          <w:r w:rsidRPr="00456730">
            <w:rPr>
              <w:rFonts w:cs="Arial"/>
              <w:b/>
              <w:iCs/>
              <w:sz w:val="14"/>
            </w:rPr>
            <w:t>Página:</w:t>
          </w:r>
          <w:r w:rsidRPr="00456730">
            <w:rPr>
              <w:rFonts w:cs="Arial"/>
              <w:iCs/>
              <w:sz w:val="14"/>
            </w:rPr>
            <w:t xml:space="preserve"> </w:t>
          </w:r>
          <w:r w:rsidRPr="00456730">
            <w:rPr>
              <w:rFonts w:cs="Arial"/>
              <w:iCs/>
              <w:sz w:val="14"/>
            </w:rPr>
            <w:fldChar w:fldCharType="begin"/>
          </w:r>
          <w:r w:rsidRPr="00456730">
            <w:rPr>
              <w:rFonts w:cs="Arial"/>
              <w:iCs/>
              <w:sz w:val="14"/>
            </w:rPr>
            <w:instrText xml:space="preserve"> PAGE </w:instrText>
          </w:r>
          <w:r w:rsidRPr="00456730">
            <w:rPr>
              <w:rFonts w:cs="Arial"/>
              <w:iCs/>
              <w:sz w:val="14"/>
            </w:rPr>
            <w:fldChar w:fldCharType="separate"/>
          </w:r>
          <w:r w:rsidR="008B734F">
            <w:rPr>
              <w:rFonts w:cs="Arial"/>
              <w:iCs/>
              <w:noProof/>
              <w:sz w:val="14"/>
            </w:rPr>
            <w:t>2</w:t>
          </w:r>
          <w:r w:rsidRPr="00456730">
            <w:rPr>
              <w:rFonts w:cs="Arial"/>
              <w:iCs/>
              <w:sz w:val="14"/>
            </w:rPr>
            <w:fldChar w:fldCharType="end"/>
          </w:r>
          <w:r w:rsidR="0054039F">
            <w:rPr>
              <w:rFonts w:cs="Arial"/>
              <w:iCs/>
              <w:sz w:val="14"/>
            </w:rPr>
            <w:t xml:space="preserve"> </w:t>
          </w:r>
        </w:p>
      </w:tc>
    </w:tr>
  </w:tbl>
  <w:p w14:paraId="2220D377" w14:textId="77777777" w:rsidR="00456730" w:rsidRPr="00BE2C84" w:rsidRDefault="00456730" w:rsidP="00DD7346">
    <w:pPr>
      <w:ind w:right="-449"/>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8C3B1" w14:textId="77777777" w:rsidR="0004372B" w:rsidRDefault="0004372B">
      <w:r>
        <w:separator/>
      </w:r>
    </w:p>
  </w:footnote>
  <w:footnote w:type="continuationSeparator" w:id="0">
    <w:p w14:paraId="6B4E3E1B" w14:textId="77777777" w:rsidR="0004372B" w:rsidRDefault="0004372B">
      <w:r>
        <w:continuationSeparator/>
      </w:r>
    </w:p>
  </w:footnote>
  <w:footnote w:id="1">
    <w:p w14:paraId="4E845DA6" w14:textId="77777777" w:rsidR="008E20CE" w:rsidRPr="00321C03" w:rsidRDefault="008E20CE" w:rsidP="008E20CE">
      <w:pPr>
        <w:pStyle w:val="Textonotapie"/>
        <w:ind w:left="142" w:hanging="142"/>
        <w:rPr>
          <w:lang w:val="es-CO"/>
        </w:rPr>
      </w:pPr>
      <w:r>
        <w:rPr>
          <w:rStyle w:val="Refdenotaalpie"/>
        </w:rPr>
        <w:footnoteRef/>
      </w:r>
      <w:r>
        <w:t xml:space="preserve"> </w:t>
      </w:r>
      <w:r w:rsidRPr="00714803">
        <w:rPr>
          <w:sz w:val="18"/>
          <w:szCs w:val="18"/>
          <w:lang w:val="es-CO"/>
        </w:rPr>
        <w:t>En este documento</w:t>
      </w:r>
      <w:r>
        <w:rPr>
          <w:sz w:val="18"/>
          <w:szCs w:val="18"/>
          <w:lang w:val="es-CO"/>
        </w:rPr>
        <w:t>,</w:t>
      </w:r>
      <w:r w:rsidRPr="00714803">
        <w:rPr>
          <w:sz w:val="18"/>
          <w:szCs w:val="18"/>
          <w:lang w:val="es-CO"/>
        </w:rPr>
        <w:t xml:space="preserve"> con la frase “usuarios de</w:t>
      </w:r>
      <w:r>
        <w:rPr>
          <w:sz w:val="18"/>
          <w:szCs w:val="18"/>
          <w:lang w:val="es-CO"/>
        </w:rPr>
        <w:t xml:space="preserve"> un</w:t>
      </w:r>
      <w:r w:rsidRPr="00714803">
        <w:rPr>
          <w:sz w:val="18"/>
          <w:szCs w:val="18"/>
          <w:lang w:val="es-CO"/>
        </w:rPr>
        <w:t xml:space="preserve"> proyecto de transmisión” se hace referencia a los generadores, operadores de red y usuarios finales que se </w:t>
      </w:r>
      <w:r>
        <w:rPr>
          <w:sz w:val="18"/>
          <w:szCs w:val="18"/>
          <w:lang w:val="es-CO"/>
        </w:rPr>
        <w:t xml:space="preserve">van a </w:t>
      </w:r>
      <w:r w:rsidRPr="00714803">
        <w:rPr>
          <w:sz w:val="18"/>
          <w:szCs w:val="18"/>
          <w:lang w:val="es-CO"/>
        </w:rPr>
        <w:t>cone</w:t>
      </w:r>
      <w:r>
        <w:rPr>
          <w:sz w:val="18"/>
          <w:szCs w:val="18"/>
          <w:lang w:val="es-CO"/>
        </w:rPr>
        <w:t>ctar</w:t>
      </w:r>
      <w:r w:rsidRPr="00714803">
        <w:rPr>
          <w:sz w:val="18"/>
          <w:szCs w:val="18"/>
          <w:lang w:val="es-CO"/>
        </w:rPr>
        <w:t xml:space="preserve"> al proyecto </w:t>
      </w:r>
      <w:r>
        <w:rPr>
          <w:sz w:val="18"/>
          <w:szCs w:val="18"/>
          <w:lang w:val="es-CO"/>
        </w:rPr>
        <w:t xml:space="preserve">del STN </w:t>
      </w:r>
      <w:r w:rsidRPr="00714803">
        <w:rPr>
          <w:sz w:val="18"/>
          <w:szCs w:val="18"/>
          <w:lang w:val="es-CO"/>
        </w:rPr>
        <w:t>que ejecuta el adjudicatario de un proceso de selección desarrollado por la UPME, de acuerdo con lo previsto en la Resolución CREG 022 de 2001</w:t>
      </w:r>
      <w:r>
        <w:rPr>
          <w:sz w:val="18"/>
          <w:szCs w:val="18"/>
          <w:lang w:val="es-CO"/>
        </w:rPr>
        <w:t>.</w:t>
      </w:r>
      <w:r w:rsidRPr="00714803">
        <w:rPr>
          <w:rFonts w:ascii="Bookman Old Style" w:hAnsi="Bookman Old Style" w:cs="Arial"/>
          <w:spacing w:val="-3"/>
          <w:sz w:val="18"/>
          <w:szCs w:val="18"/>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59B3" w14:textId="3BDEB162" w:rsidR="00020441" w:rsidRDefault="00020441">
    <w:pPr>
      <w:pStyle w:val="Encabezado"/>
    </w:pPr>
    <w:r>
      <w:rPr>
        <w:rFonts w:cs="Arial"/>
        <w:b/>
        <w:i/>
        <w:color w:val="808080"/>
        <w:sz w:val="16"/>
      </w:rPr>
      <w:t>Sesión No.</w:t>
    </w:r>
    <w:r w:rsidR="00CB1250">
      <w:rPr>
        <w:rFonts w:cs="Arial"/>
        <w:b/>
        <w:i/>
        <w:color w:val="808080"/>
        <w:sz w:val="16"/>
      </w:rPr>
      <w:t xml:space="preserve"> 1289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2437"/>
    <w:multiLevelType w:val="hybridMultilevel"/>
    <w:tmpl w:val="50BCD67C"/>
    <w:lvl w:ilvl="0" w:tplc="449478BC">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191CEB"/>
    <w:multiLevelType w:val="hybridMultilevel"/>
    <w:tmpl w:val="E55463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F44159"/>
    <w:multiLevelType w:val="multilevel"/>
    <w:tmpl w:val="147A0FBE"/>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 w15:restartNumberingAfterBreak="0">
    <w:nsid w:val="19FE5CA3"/>
    <w:multiLevelType w:val="hybridMultilevel"/>
    <w:tmpl w:val="BFCC6FF0"/>
    <w:lvl w:ilvl="0" w:tplc="FD2C48D6">
      <w:start w:val="18"/>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8D11DC5"/>
    <w:multiLevelType w:val="multilevel"/>
    <w:tmpl w:val="CE5402C4"/>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D006CDB"/>
    <w:multiLevelType w:val="hybridMultilevel"/>
    <w:tmpl w:val="02AA943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532333EF"/>
    <w:multiLevelType w:val="hybridMultilevel"/>
    <w:tmpl w:val="43C418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4C66628"/>
    <w:multiLevelType w:val="hybridMultilevel"/>
    <w:tmpl w:val="5E124EF4"/>
    <w:lvl w:ilvl="0" w:tplc="24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8836928"/>
    <w:multiLevelType w:val="hybridMultilevel"/>
    <w:tmpl w:val="9C447B26"/>
    <w:lvl w:ilvl="0" w:tplc="708AFF1C">
      <w:start w:val="1"/>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59BF361A"/>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DEA3146"/>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0100BF3"/>
    <w:multiLevelType w:val="hybridMultilevel"/>
    <w:tmpl w:val="4CDE74BA"/>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12" w15:restartNumberingAfterBreak="0">
    <w:nsid w:val="71383563"/>
    <w:multiLevelType w:val="hybridMultilevel"/>
    <w:tmpl w:val="FAE0E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B2D50F0"/>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DE871C1"/>
    <w:multiLevelType w:val="hybridMultilevel"/>
    <w:tmpl w:val="7D4441F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01872976">
    <w:abstractNumId w:val="2"/>
  </w:num>
  <w:num w:numId="2" w16cid:durableId="801968684">
    <w:abstractNumId w:val="2"/>
  </w:num>
  <w:num w:numId="3" w16cid:durableId="2073001526">
    <w:abstractNumId w:val="2"/>
  </w:num>
  <w:num w:numId="4" w16cid:durableId="780993275">
    <w:abstractNumId w:val="2"/>
  </w:num>
  <w:num w:numId="5" w16cid:durableId="493184022">
    <w:abstractNumId w:val="2"/>
  </w:num>
  <w:num w:numId="6" w16cid:durableId="449592109">
    <w:abstractNumId w:val="2"/>
  </w:num>
  <w:num w:numId="7" w16cid:durableId="1909227231">
    <w:abstractNumId w:val="11"/>
  </w:num>
  <w:num w:numId="8" w16cid:durableId="467629627">
    <w:abstractNumId w:val="9"/>
  </w:num>
  <w:num w:numId="9" w16cid:durableId="959071692">
    <w:abstractNumId w:val="12"/>
  </w:num>
  <w:num w:numId="10" w16cid:durableId="2118718905">
    <w:abstractNumId w:val="13"/>
  </w:num>
  <w:num w:numId="11" w16cid:durableId="811794889">
    <w:abstractNumId w:val="10"/>
  </w:num>
  <w:num w:numId="12" w16cid:durableId="196089711">
    <w:abstractNumId w:val="8"/>
  </w:num>
  <w:num w:numId="13" w16cid:durableId="983437049">
    <w:abstractNumId w:val="1"/>
  </w:num>
  <w:num w:numId="14" w16cid:durableId="1867281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2495956">
    <w:abstractNumId w:val="5"/>
  </w:num>
  <w:num w:numId="16" w16cid:durableId="1864123876">
    <w:abstractNumId w:val="6"/>
  </w:num>
  <w:num w:numId="17" w16cid:durableId="2053458172">
    <w:abstractNumId w:val="0"/>
  </w:num>
  <w:num w:numId="18" w16cid:durableId="778716478">
    <w:abstractNumId w:val="14"/>
  </w:num>
  <w:num w:numId="19" w16cid:durableId="1153060186">
    <w:abstractNumId w:val="2"/>
  </w:num>
  <w:num w:numId="20" w16cid:durableId="1856535573">
    <w:abstractNumId w:val="2"/>
  </w:num>
  <w:num w:numId="21" w16cid:durableId="1096487248">
    <w:abstractNumId w:val="2"/>
  </w:num>
  <w:num w:numId="22" w16cid:durableId="170530113">
    <w:abstractNumId w:val="2"/>
  </w:num>
  <w:num w:numId="23" w16cid:durableId="613485320">
    <w:abstractNumId w:val="2"/>
  </w:num>
  <w:num w:numId="24" w16cid:durableId="2019768071">
    <w:abstractNumId w:val="2"/>
  </w:num>
  <w:num w:numId="25" w16cid:durableId="2088334124">
    <w:abstractNumId w:val="2"/>
  </w:num>
  <w:num w:numId="26" w16cid:durableId="1508522392">
    <w:abstractNumId w:val="7"/>
  </w:num>
  <w:num w:numId="27" w16cid:durableId="196747052">
    <w:abstractNumId w:val="4"/>
  </w:num>
  <w:num w:numId="28" w16cid:durableId="199937877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852"/>
    <w:rsid w:val="00000520"/>
    <w:rsid w:val="0000355A"/>
    <w:rsid w:val="00010F18"/>
    <w:rsid w:val="0001139D"/>
    <w:rsid w:val="00012759"/>
    <w:rsid w:val="00016E67"/>
    <w:rsid w:val="00020441"/>
    <w:rsid w:val="00041B12"/>
    <w:rsid w:val="0004372B"/>
    <w:rsid w:val="000502C1"/>
    <w:rsid w:val="0005069C"/>
    <w:rsid w:val="00052C88"/>
    <w:rsid w:val="00056DFC"/>
    <w:rsid w:val="00066421"/>
    <w:rsid w:val="00066DF8"/>
    <w:rsid w:val="00066F48"/>
    <w:rsid w:val="00082A57"/>
    <w:rsid w:val="0009167D"/>
    <w:rsid w:val="00095A3A"/>
    <w:rsid w:val="000B0E8C"/>
    <w:rsid w:val="000B348E"/>
    <w:rsid w:val="000B5AD2"/>
    <w:rsid w:val="000C2E91"/>
    <w:rsid w:val="000D6E3C"/>
    <w:rsid w:val="000E04A6"/>
    <w:rsid w:val="000E6A9D"/>
    <w:rsid w:val="0010544E"/>
    <w:rsid w:val="00106BA9"/>
    <w:rsid w:val="00112705"/>
    <w:rsid w:val="001142B2"/>
    <w:rsid w:val="00114C04"/>
    <w:rsid w:val="00114F5D"/>
    <w:rsid w:val="00121ED6"/>
    <w:rsid w:val="00136222"/>
    <w:rsid w:val="00136C03"/>
    <w:rsid w:val="0015231C"/>
    <w:rsid w:val="00164571"/>
    <w:rsid w:val="00164FA3"/>
    <w:rsid w:val="001700C2"/>
    <w:rsid w:val="0017134C"/>
    <w:rsid w:val="00172DD4"/>
    <w:rsid w:val="00182FA3"/>
    <w:rsid w:val="00183D01"/>
    <w:rsid w:val="00186477"/>
    <w:rsid w:val="00193396"/>
    <w:rsid w:val="00194F02"/>
    <w:rsid w:val="001B21CD"/>
    <w:rsid w:val="001B5DDA"/>
    <w:rsid w:val="001F6820"/>
    <w:rsid w:val="0021239A"/>
    <w:rsid w:val="00220D0D"/>
    <w:rsid w:val="0022197C"/>
    <w:rsid w:val="0023079F"/>
    <w:rsid w:val="0023186C"/>
    <w:rsid w:val="00234405"/>
    <w:rsid w:val="00242826"/>
    <w:rsid w:val="00244608"/>
    <w:rsid w:val="00250B7F"/>
    <w:rsid w:val="00252CAA"/>
    <w:rsid w:val="00254503"/>
    <w:rsid w:val="00267EEA"/>
    <w:rsid w:val="00277DD8"/>
    <w:rsid w:val="002838ED"/>
    <w:rsid w:val="0028466C"/>
    <w:rsid w:val="002941E2"/>
    <w:rsid w:val="002A3378"/>
    <w:rsid w:val="002A7899"/>
    <w:rsid w:val="002B5B86"/>
    <w:rsid w:val="002B5BC7"/>
    <w:rsid w:val="002B66B4"/>
    <w:rsid w:val="002B7BEB"/>
    <w:rsid w:val="002C7132"/>
    <w:rsid w:val="002E19C4"/>
    <w:rsid w:val="002E34E0"/>
    <w:rsid w:val="002E361C"/>
    <w:rsid w:val="002E6314"/>
    <w:rsid w:val="003031FF"/>
    <w:rsid w:val="003042F4"/>
    <w:rsid w:val="00310681"/>
    <w:rsid w:val="00321C03"/>
    <w:rsid w:val="0033168B"/>
    <w:rsid w:val="003320D3"/>
    <w:rsid w:val="00332582"/>
    <w:rsid w:val="00337B0E"/>
    <w:rsid w:val="00342D19"/>
    <w:rsid w:val="00343228"/>
    <w:rsid w:val="00343314"/>
    <w:rsid w:val="00346BC3"/>
    <w:rsid w:val="00356755"/>
    <w:rsid w:val="003642B0"/>
    <w:rsid w:val="0036527F"/>
    <w:rsid w:val="00376794"/>
    <w:rsid w:val="0038050C"/>
    <w:rsid w:val="003939EA"/>
    <w:rsid w:val="0039514C"/>
    <w:rsid w:val="00397C9B"/>
    <w:rsid w:val="003A29EC"/>
    <w:rsid w:val="003A3DED"/>
    <w:rsid w:val="003B06DB"/>
    <w:rsid w:val="003B3149"/>
    <w:rsid w:val="003C4EE2"/>
    <w:rsid w:val="003C55ED"/>
    <w:rsid w:val="003C78A5"/>
    <w:rsid w:val="003D7620"/>
    <w:rsid w:val="003E298F"/>
    <w:rsid w:val="003F3D29"/>
    <w:rsid w:val="0040539F"/>
    <w:rsid w:val="00405685"/>
    <w:rsid w:val="004060D0"/>
    <w:rsid w:val="004153AE"/>
    <w:rsid w:val="00420F87"/>
    <w:rsid w:val="004374EF"/>
    <w:rsid w:val="004463D5"/>
    <w:rsid w:val="00446983"/>
    <w:rsid w:val="00456730"/>
    <w:rsid w:val="004733DD"/>
    <w:rsid w:val="00474B22"/>
    <w:rsid w:val="00477C48"/>
    <w:rsid w:val="00480471"/>
    <w:rsid w:val="004808DB"/>
    <w:rsid w:val="00485507"/>
    <w:rsid w:val="00486629"/>
    <w:rsid w:val="004914CA"/>
    <w:rsid w:val="004A0AF3"/>
    <w:rsid w:val="004A733B"/>
    <w:rsid w:val="004B0F92"/>
    <w:rsid w:val="004B7309"/>
    <w:rsid w:val="004E3965"/>
    <w:rsid w:val="004E4022"/>
    <w:rsid w:val="004F0E6A"/>
    <w:rsid w:val="004F7A49"/>
    <w:rsid w:val="004F7ED9"/>
    <w:rsid w:val="005032F2"/>
    <w:rsid w:val="005042D3"/>
    <w:rsid w:val="005074C3"/>
    <w:rsid w:val="00517002"/>
    <w:rsid w:val="00524968"/>
    <w:rsid w:val="005310F9"/>
    <w:rsid w:val="0054039F"/>
    <w:rsid w:val="00543DBB"/>
    <w:rsid w:val="00546236"/>
    <w:rsid w:val="00546502"/>
    <w:rsid w:val="00551C18"/>
    <w:rsid w:val="00570691"/>
    <w:rsid w:val="00572B68"/>
    <w:rsid w:val="005823DC"/>
    <w:rsid w:val="0058472F"/>
    <w:rsid w:val="00587047"/>
    <w:rsid w:val="005926F0"/>
    <w:rsid w:val="005A4F42"/>
    <w:rsid w:val="005A7301"/>
    <w:rsid w:val="005B2B8F"/>
    <w:rsid w:val="005D26BC"/>
    <w:rsid w:val="005E21FD"/>
    <w:rsid w:val="005F0C03"/>
    <w:rsid w:val="005F31D9"/>
    <w:rsid w:val="006008E0"/>
    <w:rsid w:val="0060207B"/>
    <w:rsid w:val="006071BF"/>
    <w:rsid w:val="006176C2"/>
    <w:rsid w:val="006217C9"/>
    <w:rsid w:val="00640798"/>
    <w:rsid w:val="00650478"/>
    <w:rsid w:val="00652305"/>
    <w:rsid w:val="00653223"/>
    <w:rsid w:val="0066453F"/>
    <w:rsid w:val="00675AFE"/>
    <w:rsid w:val="00680B65"/>
    <w:rsid w:val="00684DCA"/>
    <w:rsid w:val="00685B9C"/>
    <w:rsid w:val="006864FD"/>
    <w:rsid w:val="00695EE5"/>
    <w:rsid w:val="00696AD7"/>
    <w:rsid w:val="006A1B7E"/>
    <w:rsid w:val="006A7A7A"/>
    <w:rsid w:val="006B3650"/>
    <w:rsid w:val="006D6023"/>
    <w:rsid w:val="006E1029"/>
    <w:rsid w:val="006E1AB3"/>
    <w:rsid w:val="006E323E"/>
    <w:rsid w:val="006E758E"/>
    <w:rsid w:val="006F6017"/>
    <w:rsid w:val="006F6F3C"/>
    <w:rsid w:val="00701D88"/>
    <w:rsid w:val="00702D2B"/>
    <w:rsid w:val="00713636"/>
    <w:rsid w:val="00714803"/>
    <w:rsid w:val="007172D7"/>
    <w:rsid w:val="007173F8"/>
    <w:rsid w:val="00717554"/>
    <w:rsid w:val="007319DB"/>
    <w:rsid w:val="0074297C"/>
    <w:rsid w:val="00757952"/>
    <w:rsid w:val="00765B90"/>
    <w:rsid w:val="0077100C"/>
    <w:rsid w:val="00783A34"/>
    <w:rsid w:val="007864F4"/>
    <w:rsid w:val="00791153"/>
    <w:rsid w:val="007A4BB9"/>
    <w:rsid w:val="007B0419"/>
    <w:rsid w:val="007B4B90"/>
    <w:rsid w:val="007B7390"/>
    <w:rsid w:val="007C1125"/>
    <w:rsid w:val="007C28E4"/>
    <w:rsid w:val="007D5869"/>
    <w:rsid w:val="007E0196"/>
    <w:rsid w:val="007E0711"/>
    <w:rsid w:val="007E3618"/>
    <w:rsid w:val="007E3D67"/>
    <w:rsid w:val="007F2981"/>
    <w:rsid w:val="00802A20"/>
    <w:rsid w:val="0080581C"/>
    <w:rsid w:val="008117DA"/>
    <w:rsid w:val="00813A23"/>
    <w:rsid w:val="00814C19"/>
    <w:rsid w:val="008175CD"/>
    <w:rsid w:val="008214E5"/>
    <w:rsid w:val="008230C7"/>
    <w:rsid w:val="00831A99"/>
    <w:rsid w:val="00836DB7"/>
    <w:rsid w:val="00841F2F"/>
    <w:rsid w:val="00842447"/>
    <w:rsid w:val="00842C69"/>
    <w:rsid w:val="00844067"/>
    <w:rsid w:val="00846835"/>
    <w:rsid w:val="0085016E"/>
    <w:rsid w:val="00850434"/>
    <w:rsid w:val="00852F11"/>
    <w:rsid w:val="008569D8"/>
    <w:rsid w:val="00856B39"/>
    <w:rsid w:val="00860EAE"/>
    <w:rsid w:val="00875F61"/>
    <w:rsid w:val="00885424"/>
    <w:rsid w:val="008A0C85"/>
    <w:rsid w:val="008A3820"/>
    <w:rsid w:val="008A571E"/>
    <w:rsid w:val="008A5E66"/>
    <w:rsid w:val="008B734F"/>
    <w:rsid w:val="008C6552"/>
    <w:rsid w:val="008D18D6"/>
    <w:rsid w:val="008D3FA8"/>
    <w:rsid w:val="008D4C7A"/>
    <w:rsid w:val="008D4E7B"/>
    <w:rsid w:val="008E11E9"/>
    <w:rsid w:val="008E20CE"/>
    <w:rsid w:val="008E2AD5"/>
    <w:rsid w:val="008E4B18"/>
    <w:rsid w:val="008E5C26"/>
    <w:rsid w:val="008E7CC5"/>
    <w:rsid w:val="008F4EAC"/>
    <w:rsid w:val="008F5A0E"/>
    <w:rsid w:val="008F7D49"/>
    <w:rsid w:val="0090022F"/>
    <w:rsid w:val="0090195F"/>
    <w:rsid w:val="00913853"/>
    <w:rsid w:val="009237CF"/>
    <w:rsid w:val="00925600"/>
    <w:rsid w:val="00926ECA"/>
    <w:rsid w:val="00933069"/>
    <w:rsid w:val="00935705"/>
    <w:rsid w:val="0094308B"/>
    <w:rsid w:val="009542E9"/>
    <w:rsid w:val="00954B4E"/>
    <w:rsid w:val="00956F71"/>
    <w:rsid w:val="009640AD"/>
    <w:rsid w:val="009665A1"/>
    <w:rsid w:val="0097382E"/>
    <w:rsid w:val="00976AF2"/>
    <w:rsid w:val="0098175C"/>
    <w:rsid w:val="009821A1"/>
    <w:rsid w:val="00982E6E"/>
    <w:rsid w:val="0098327A"/>
    <w:rsid w:val="009A3B80"/>
    <w:rsid w:val="009B1427"/>
    <w:rsid w:val="009B5721"/>
    <w:rsid w:val="009C08C1"/>
    <w:rsid w:val="009D5845"/>
    <w:rsid w:val="009E37CE"/>
    <w:rsid w:val="009E795D"/>
    <w:rsid w:val="009F150B"/>
    <w:rsid w:val="009F44D1"/>
    <w:rsid w:val="00A04E2A"/>
    <w:rsid w:val="00A15852"/>
    <w:rsid w:val="00A2276C"/>
    <w:rsid w:val="00A30D43"/>
    <w:rsid w:val="00A44E22"/>
    <w:rsid w:val="00A51B4F"/>
    <w:rsid w:val="00A71F6F"/>
    <w:rsid w:val="00A7296A"/>
    <w:rsid w:val="00A73832"/>
    <w:rsid w:val="00A75117"/>
    <w:rsid w:val="00A8021E"/>
    <w:rsid w:val="00A90A62"/>
    <w:rsid w:val="00AB7B0C"/>
    <w:rsid w:val="00AC5822"/>
    <w:rsid w:val="00AC6BAE"/>
    <w:rsid w:val="00AC6CAA"/>
    <w:rsid w:val="00AD41A0"/>
    <w:rsid w:val="00AD57DE"/>
    <w:rsid w:val="00AE4628"/>
    <w:rsid w:val="00AE533C"/>
    <w:rsid w:val="00AE570F"/>
    <w:rsid w:val="00AF2137"/>
    <w:rsid w:val="00AF670E"/>
    <w:rsid w:val="00B146C8"/>
    <w:rsid w:val="00B30EB0"/>
    <w:rsid w:val="00B425AB"/>
    <w:rsid w:val="00B465B5"/>
    <w:rsid w:val="00B51517"/>
    <w:rsid w:val="00B56424"/>
    <w:rsid w:val="00B60742"/>
    <w:rsid w:val="00B60C56"/>
    <w:rsid w:val="00B6650F"/>
    <w:rsid w:val="00B75BAF"/>
    <w:rsid w:val="00B81BF9"/>
    <w:rsid w:val="00B83B4B"/>
    <w:rsid w:val="00B91C0B"/>
    <w:rsid w:val="00B94544"/>
    <w:rsid w:val="00B94CF0"/>
    <w:rsid w:val="00BA0C25"/>
    <w:rsid w:val="00BA31C3"/>
    <w:rsid w:val="00BB4B14"/>
    <w:rsid w:val="00BE2C84"/>
    <w:rsid w:val="00BE4CC1"/>
    <w:rsid w:val="00BF52FC"/>
    <w:rsid w:val="00C028DD"/>
    <w:rsid w:val="00C04F18"/>
    <w:rsid w:val="00C06C77"/>
    <w:rsid w:val="00C26BE4"/>
    <w:rsid w:val="00C35BF3"/>
    <w:rsid w:val="00C363D5"/>
    <w:rsid w:val="00C36768"/>
    <w:rsid w:val="00C40736"/>
    <w:rsid w:val="00C47629"/>
    <w:rsid w:val="00C530FB"/>
    <w:rsid w:val="00C54AC0"/>
    <w:rsid w:val="00C949DE"/>
    <w:rsid w:val="00CA5CE2"/>
    <w:rsid w:val="00CB1250"/>
    <w:rsid w:val="00CB2BCC"/>
    <w:rsid w:val="00CB67B8"/>
    <w:rsid w:val="00CB7AD8"/>
    <w:rsid w:val="00CD3054"/>
    <w:rsid w:val="00CD3AA7"/>
    <w:rsid w:val="00CE1F58"/>
    <w:rsid w:val="00CE6228"/>
    <w:rsid w:val="00CE62E0"/>
    <w:rsid w:val="00D059AD"/>
    <w:rsid w:val="00D15CD1"/>
    <w:rsid w:val="00D16CD3"/>
    <w:rsid w:val="00D17ABC"/>
    <w:rsid w:val="00D21DF4"/>
    <w:rsid w:val="00D25309"/>
    <w:rsid w:val="00D3123C"/>
    <w:rsid w:val="00D45984"/>
    <w:rsid w:val="00D57F2B"/>
    <w:rsid w:val="00D6493B"/>
    <w:rsid w:val="00D70E20"/>
    <w:rsid w:val="00D949B2"/>
    <w:rsid w:val="00DA1932"/>
    <w:rsid w:val="00DB428A"/>
    <w:rsid w:val="00DB4E5C"/>
    <w:rsid w:val="00DB5FB9"/>
    <w:rsid w:val="00DB6372"/>
    <w:rsid w:val="00DC4CA3"/>
    <w:rsid w:val="00DC6BC2"/>
    <w:rsid w:val="00DD12AF"/>
    <w:rsid w:val="00DD1ABC"/>
    <w:rsid w:val="00DD7346"/>
    <w:rsid w:val="00DF0F35"/>
    <w:rsid w:val="00DF25B4"/>
    <w:rsid w:val="00E151FD"/>
    <w:rsid w:val="00E166D7"/>
    <w:rsid w:val="00E17F07"/>
    <w:rsid w:val="00E22D65"/>
    <w:rsid w:val="00E25BC8"/>
    <w:rsid w:val="00E33BEB"/>
    <w:rsid w:val="00E33F7F"/>
    <w:rsid w:val="00E37FC3"/>
    <w:rsid w:val="00E4156F"/>
    <w:rsid w:val="00E41F54"/>
    <w:rsid w:val="00E428DE"/>
    <w:rsid w:val="00E47A91"/>
    <w:rsid w:val="00E5116E"/>
    <w:rsid w:val="00E528E4"/>
    <w:rsid w:val="00E5451A"/>
    <w:rsid w:val="00E63587"/>
    <w:rsid w:val="00E6534B"/>
    <w:rsid w:val="00E7209B"/>
    <w:rsid w:val="00EA424C"/>
    <w:rsid w:val="00EA6A61"/>
    <w:rsid w:val="00EA6C1E"/>
    <w:rsid w:val="00EB5413"/>
    <w:rsid w:val="00EC6313"/>
    <w:rsid w:val="00EE1E1A"/>
    <w:rsid w:val="00EE4DB2"/>
    <w:rsid w:val="00EE5A07"/>
    <w:rsid w:val="00EF6378"/>
    <w:rsid w:val="00EF7184"/>
    <w:rsid w:val="00F03A5A"/>
    <w:rsid w:val="00F076AB"/>
    <w:rsid w:val="00F10541"/>
    <w:rsid w:val="00F12D6B"/>
    <w:rsid w:val="00F147D2"/>
    <w:rsid w:val="00F24455"/>
    <w:rsid w:val="00F344E5"/>
    <w:rsid w:val="00F40D91"/>
    <w:rsid w:val="00F4681D"/>
    <w:rsid w:val="00F524F3"/>
    <w:rsid w:val="00F57719"/>
    <w:rsid w:val="00F65DA1"/>
    <w:rsid w:val="00F718D6"/>
    <w:rsid w:val="00F83DE5"/>
    <w:rsid w:val="00F966C5"/>
    <w:rsid w:val="00FA61B5"/>
    <w:rsid w:val="00FB7904"/>
    <w:rsid w:val="00FC6D1F"/>
    <w:rsid w:val="00FD2D1F"/>
    <w:rsid w:val="00FE3AC3"/>
    <w:rsid w:val="00FE446D"/>
    <w:rsid w:val="00FF7E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68DF0"/>
  <w15:chartTrackingRefBased/>
  <w15:docId w15:val="{9AD85BFA-729B-4F74-8277-11534F5F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lang w:val="es-ES_tradnl" w:eastAsia="es-ES"/>
    </w:rPr>
  </w:style>
  <w:style w:type="paragraph" w:styleId="Ttulo1">
    <w:name w:val="heading 1"/>
    <w:basedOn w:val="Normal"/>
    <w:next w:val="Normal"/>
    <w:link w:val="Ttulo1Car"/>
    <w:qFormat/>
    <w:pPr>
      <w:keepNext/>
      <w:numPr>
        <w:numId w:val="3"/>
      </w:numPr>
      <w:suppressAutoHyphens/>
      <w:spacing w:after="240"/>
      <w:outlineLvl w:val="0"/>
    </w:pPr>
    <w:rPr>
      <w:b/>
    </w:rPr>
  </w:style>
  <w:style w:type="paragraph" w:styleId="Ttulo2">
    <w:name w:val="heading 2"/>
    <w:basedOn w:val="Normal"/>
    <w:next w:val="Normal"/>
    <w:link w:val="Ttulo2Car"/>
    <w:qFormat/>
    <w:rsid w:val="00852F11"/>
    <w:pPr>
      <w:keepNext/>
      <w:numPr>
        <w:ilvl w:val="1"/>
        <w:numId w:val="2"/>
      </w:numPr>
      <w:spacing w:before="240"/>
      <w:ind w:left="578" w:hanging="578"/>
      <w:outlineLvl w:val="1"/>
    </w:pPr>
    <w:rPr>
      <w:b/>
      <w:sz w:val="22"/>
      <w:szCs w:val="22"/>
      <w:lang w:val="es-MX"/>
    </w:rPr>
  </w:style>
  <w:style w:type="paragraph" w:styleId="Ttulo3">
    <w:name w:val="heading 3"/>
    <w:basedOn w:val="Normal"/>
    <w:next w:val="Normal"/>
    <w:qFormat/>
    <w:pPr>
      <w:keepNext/>
      <w:numPr>
        <w:ilvl w:val="2"/>
        <w:numId w:val="4"/>
      </w:numPr>
      <w:tabs>
        <w:tab w:val="left" w:pos="0"/>
      </w:tabs>
      <w:suppressAutoHyphens/>
      <w:spacing w:after="240"/>
      <w:outlineLvl w:val="2"/>
    </w:pPr>
    <w:rPr>
      <w:b/>
      <w:lang w:val="es-ES"/>
    </w:rPr>
  </w:style>
  <w:style w:type="paragraph" w:styleId="Ttulo4">
    <w:name w:val="heading 4"/>
    <w:basedOn w:val="Normal"/>
    <w:next w:val="Normal"/>
    <w:qFormat/>
    <w:pPr>
      <w:keepNext/>
      <w:numPr>
        <w:ilvl w:val="3"/>
        <w:numId w:val="5"/>
      </w:numPr>
      <w:spacing w:after="240"/>
      <w:ind w:left="862" w:hanging="862"/>
      <w:outlineLvl w:val="3"/>
    </w:pPr>
    <w:rPr>
      <w:b/>
    </w:rPr>
  </w:style>
  <w:style w:type="paragraph" w:styleId="Ttulo5">
    <w:name w:val="heading 5"/>
    <w:basedOn w:val="Normal"/>
    <w:next w:val="Normal"/>
    <w:qFormat/>
    <w:pPr>
      <w:keepNext/>
      <w:numPr>
        <w:ilvl w:val="4"/>
        <w:numId w:val="6"/>
      </w:numPr>
      <w:spacing w:after="240"/>
      <w:ind w:left="1009" w:hanging="1009"/>
      <w:outlineLvl w:val="4"/>
    </w:pPr>
    <w:rPr>
      <w:sz w:val="22"/>
    </w:rPr>
  </w:style>
  <w:style w:type="paragraph" w:styleId="Ttulo6">
    <w:name w:val="heading 6"/>
    <w:basedOn w:val="Normal"/>
    <w:next w:val="Normal"/>
    <w:qFormat/>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pPr>
      <w:numPr>
        <w:ilvl w:val="6"/>
        <w:numId w:val="1"/>
      </w:numPr>
      <w:spacing w:before="240" w:after="60"/>
      <w:outlineLvl w:val="6"/>
    </w:pPr>
    <w:rPr>
      <w:sz w:val="20"/>
    </w:rPr>
  </w:style>
  <w:style w:type="paragraph" w:styleId="Ttulo8">
    <w:name w:val="heading 8"/>
    <w:basedOn w:val="Normal"/>
    <w:next w:val="Normal"/>
    <w:qFormat/>
    <w:pPr>
      <w:numPr>
        <w:ilvl w:val="7"/>
        <w:numId w:val="1"/>
      </w:numPr>
      <w:spacing w:before="240" w:after="60"/>
      <w:outlineLvl w:val="7"/>
    </w:pPr>
    <w:rPr>
      <w:i/>
      <w:sz w:val="20"/>
    </w:rPr>
  </w:style>
  <w:style w:type="paragraph" w:styleId="Ttulo9">
    <w:name w:val="heading 9"/>
    <w:basedOn w:val="Normal"/>
    <w:next w:val="Normal"/>
    <w:qFormat/>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b/>
    </w:rPr>
  </w:style>
  <w:style w:type="paragraph" w:styleId="TDC1">
    <w:name w:val="toc 1"/>
    <w:basedOn w:val="Normal"/>
    <w:next w:val="Normal"/>
    <w:autoRedefine/>
    <w:uiPriority w:val="39"/>
    <w:rsid w:val="003C55ED"/>
    <w:pPr>
      <w:tabs>
        <w:tab w:val="left" w:pos="480"/>
        <w:tab w:val="right" w:leader="dot" w:pos="8828"/>
      </w:tabs>
      <w:spacing w:before="120"/>
    </w:pPr>
    <w:rPr>
      <w:noProof/>
      <w:szCs w:val="24"/>
      <w:lang w:val="es-ES"/>
    </w:rPr>
  </w:style>
  <w:style w:type="paragraph" w:styleId="TDC2">
    <w:name w:val="toc 2"/>
    <w:basedOn w:val="Normal"/>
    <w:next w:val="Normal"/>
    <w:autoRedefine/>
    <w:uiPriority w:val="39"/>
    <w:pPr>
      <w:tabs>
        <w:tab w:val="left" w:pos="960"/>
        <w:tab w:val="right" w:leader="dot" w:pos="8820"/>
      </w:tabs>
      <w:ind w:left="960" w:right="378" w:hanging="720"/>
      <w:jc w:val="left"/>
    </w:pPr>
    <w:rPr>
      <w:noProof/>
      <w:szCs w:val="24"/>
      <w:lang w:val="es-ES"/>
    </w:rPr>
  </w:style>
  <w:style w:type="paragraph" w:styleId="TDC3">
    <w:name w:val="toc 3"/>
    <w:basedOn w:val="Normal"/>
    <w:next w:val="Normal"/>
    <w:autoRedefine/>
    <w:semiHidden/>
    <w:pPr>
      <w:ind w:left="480"/>
    </w:pPr>
    <w:rPr>
      <w:szCs w:val="24"/>
      <w:lang w:val="es-ES"/>
    </w:rPr>
  </w:style>
  <w:style w:type="paragraph" w:customStyle="1" w:styleId="Citas">
    <w:name w:val="Citas"/>
    <w:basedOn w:val="Normal"/>
    <w:next w:val="Normal"/>
    <w:pPr>
      <w:ind w:left="708" w:right="476"/>
    </w:pPr>
    <w:rPr>
      <w:rFonts w:ascii="Times New Roman" w:hAnsi="Times New Roman"/>
      <w:i/>
      <w:iCs/>
    </w:r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link w:val="TextonotapieCar"/>
    <w:semiHidden/>
    <w:rPr>
      <w:sz w:val="20"/>
    </w:rPr>
  </w:style>
  <w:style w:type="paragraph" w:customStyle="1" w:styleId="Epgrafe">
    <w:name w:val="Epígrafe"/>
    <w:basedOn w:val="Normal"/>
    <w:next w:val="Normal"/>
    <w:qFormat/>
    <w:pPr>
      <w:spacing w:before="120" w:after="120"/>
    </w:pPr>
    <w:rPr>
      <w:b/>
    </w:rPr>
  </w:style>
  <w:style w:type="paragraph" w:styleId="Sangra2detindependiente">
    <w:name w:val="Body Text Indent 2"/>
    <w:basedOn w:val="Normal"/>
    <w:semiHidden/>
    <w:pPr>
      <w:ind w:left="567" w:hanging="567"/>
      <w:outlineLvl w:val="0"/>
    </w:pPr>
    <w:rPr>
      <w:b/>
      <w:sz w:val="20"/>
      <w:szCs w:val="24"/>
      <w:lang w:val="es-CO"/>
    </w:rPr>
  </w:style>
  <w:style w:type="paragraph" w:styleId="Textoindependiente">
    <w:name w:val="Body Text"/>
    <w:basedOn w:val="Normal"/>
    <w:semiHidden/>
    <w:pPr>
      <w:jc w:val="center"/>
    </w:pPr>
    <w:rPr>
      <w:b/>
      <w:sz w:val="48"/>
    </w:r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uiPriority w:val="99"/>
    <w:rPr>
      <w:color w:val="0000FF"/>
      <w:u w:val="single"/>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character" w:styleId="Refdenotaalpie">
    <w:name w:val="footnote reference"/>
    <w:semiHidden/>
    <w:rPr>
      <w:vertAlign w:val="superscript"/>
    </w:rPr>
  </w:style>
  <w:style w:type="paragraph" w:styleId="Textoindependiente2">
    <w:name w:val="Body Text 2"/>
    <w:basedOn w:val="Normal"/>
    <w:link w:val="Textoindependiente2Car"/>
    <w:semiHidden/>
    <w:pPr>
      <w:tabs>
        <w:tab w:val="left" w:pos="-720"/>
        <w:tab w:val="left" w:pos="0"/>
      </w:tabs>
      <w:suppressAutoHyphens/>
    </w:pPr>
    <w:rPr>
      <w:color w:val="000000"/>
      <w:spacing w:val="-3"/>
    </w:rPr>
  </w:style>
  <w:style w:type="paragraph" w:styleId="Textoindependiente3">
    <w:name w:val="Body Text 3"/>
    <w:basedOn w:val="Normal"/>
    <w:semiHidden/>
    <w:pPr>
      <w:jc w:val="center"/>
    </w:pPr>
    <w:rPr>
      <w:b/>
      <w:bCs/>
      <w:sz w:val="22"/>
    </w:rPr>
  </w:style>
  <w:style w:type="paragraph" w:styleId="Textodebloque">
    <w:name w:val="Block Text"/>
    <w:basedOn w:val="Normal"/>
    <w:semiHidden/>
    <w:pPr>
      <w:ind w:left="709" w:right="901"/>
      <w:jc w:val="center"/>
    </w:pPr>
    <w:rPr>
      <w:rFonts w:ascii="Bookman Old Style" w:hAnsi="Bookman Old Style"/>
      <w:sz w:val="22"/>
      <w:szCs w:val="24"/>
    </w:rPr>
  </w:style>
  <w:style w:type="paragraph" w:styleId="Tabladeilustraciones">
    <w:name w:val="table of figures"/>
    <w:basedOn w:val="Normal"/>
    <w:next w:val="Normal"/>
    <w:semiHidden/>
    <w:pPr>
      <w:tabs>
        <w:tab w:val="right" w:leader="dot" w:pos="8828"/>
      </w:tabs>
      <w:ind w:left="480" w:hanging="480"/>
    </w:pPr>
    <w:rPr>
      <w:noProof/>
    </w:rPr>
  </w:style>
  <w:style w:type="character" w:styleId="Refdecomentario">
    <w:name w:val="annotation reference"/>
    <w:semiHidden/>
    <w:rPr>
      <w:sz w:val="16"/>
      <w:szCs w:val="16"/>
    </w:rPr>
  </w:style>
  <w:style w:type="paragraph" w:styleId="Textocomentario">
    <w:name w:val="annotation text"/>
    <w:basedOn w:val="Normal"/>
    <w:link w:val="TextocomentarioCar"/>
    <w:uiPriority w:val="99"/>
    <w:rPr>
      <w:sz w:val="20"/>
    </w:rPr>
  </w:style>
  <w:style w:type="paragraph" w:styleId="Mapadeldocumento">
    <w:name w:val="Document Map"/>
    <w:basedOn w:val="Normal"/>
    <w:semiHidden/>
    <w:pPr>
      <w:shd w:val="clear" w:color="auto" w:fill="000080"/>
    </w:pPr>
    <w:rPr>
      <w:rFonts w:ascii="Tahoma" w:hAnsi="Tahoma" w:cs="Tahoma"/>
    </w:rPr>
  </w:style>
  <w:style w:type="character" w:customStyle="1" w:styleId="eacep1">
    <w:name w:val="eacep1"/>
    <w:rPr>
      <w:color w:val="000000"/>
    </w:rPr>
  </w:style>
  <w:style w:type="character" w:customStyle="1" w:styleId="PiedepginaCar">
    <w:name w:val="Pie de página Car"/>
    <w:link w:val="Piedepgina"/>
    <w:uiPriority w:val="99"/>
    <w:rsid w:val="0077100C"/>
    <w:rPr>
      <w:rFonts w:ascii="Arial" w:hAnsi="Arial"/>
      <w:sz w:val="24"/>
      <w:lang w:val="es-ES_tradnl" w:eastAsia="es-ES"/>
    </w:rPr>
  </w:style>
  <w:style w:type="character" w:customStyle="1" w:styleId="TextocomentarioCar">
    <w:name w:val="Texto comentario Car"/>
    <w:link w:val="Textocomentario"/>
    <w:uiPriority w:val="99"/>
    <w:rsid w:val="004E3965"/>
    <w:rPr>
      <w:rFonts w:ascii="Arial" w:hAnsi="Arial"/>
      <w:lang w:val="es-ES_tradnl" w:eastAsia="es-ES"/>
    </w:rPr>
  </w:style>
  <w:style w:type="paragraph" w:styleId="Prrafodelista">
    <w:name w:val="List Paragraph"/>
    <w:basedOn w:val="Normal"/>
    <w:link w:val="PrrafodelistaCar"/>
    <w:qFormat/>
    <w:rsid w:val="003C55ED"/>
    <w:pPr>
      <w:ind w:left="708"/>
    </w:pPr>
  </w:style>
  <w:style w:type="paragraph" w:styleId="NormalWeb">
    <w:name w:val="Normal (Web)"/>
    <w:basedOn w:val="Normal"/>
    <w:uiPriority w:val="99"/>
    <w:semiHidden/>
    <w:unhideWhenUsed/>
    <w:rsid w:val="00DB6372"/>
    <w:pPr>
      <w:spacing w:before="100" w:beforeAutospacing="1" w:after="100" w:afterAutospacing="1"/>
      <w:jc w:val="left"/>
    </w:pPr>
    <w:rPr>
      <w:rFonts w:ascii="Times New Roman" w:hAnsi="Times New Roman"/>
      <w:szCs w:val="24"/>
      <w:lang w:val="es-CO" w:eastAsia="es-CO"/>
    </w:rPr>
  </w:style>
  <w:style w:type="character" w:customStyle="1" w:styleId="Ttulo1Car">
    <w:name w:val="Título 1 Car"/>
    <w:basedOn w:val="Fuentedeprrafopredeter"/>
    <w:link w:val="Ttulo1"/>
    <w:rsid w:val="00E7209B"/>
    <w:rPr>
      <w:rFonts w:ascii="Arial" w:hAnsi="Arial"/>
      <w:b/>
      <w:sz w:val="24"/>
      <w:lang w:val="es-ES_tradnl" w:eastAsia="es-ES"/>
    </w:rPr>
  </w:style>
  <w:style w:type="character" w:customStyle="1" w:styleId="Ttulo2Car">
    <w:name w:val="Título 2 Car"/>
    <w:basedOn w:val="Fuentedeprrafopredeter"/>
    <w:link w:val="Ttulo2"/>
    <w:rsid w:val="00852F11"/>
    <w:rPr>
      <w:rFonts w:ascii="Arial" w:hAnsi="Arial"/>
      <w:b/>
      <w:sz w:val="22"/>
      <w:szCs w:val="22"/>
      <w:lang w:val="es-MX" w:eastAsia="es-ES"/>
    </w:rPr>
  </w:style>
  <w:style w:type="character" w:customStyle="1" w:styleId="TextonotapieCar">
    <w:name w:val="Texto nota pie Car"/>
    <w:basedOn w:val="Fuentedeprrafopredeter"/>
    <w:link w:val="Textonotapie"/>
    <w:semiHidden/>
    <w:rsid w:val="00E7209B"/>
    <w:rPr>
      <w:rFonts w:ascii="Arial" w:hAnsi="Arial"/>
      <w:lang w:val="es-ES_tradnl" w:eastAsia="es-ES"/>
    </w:rPr>
  </w:style>
  <w:style w:type="character" w:customStyle="1" w:styleId="TtuloCar">
    <w:name w:val="Título Car"/>
    <w:basedOn w:val="Fuentedeprrafopredeter"/>
    <w:link w:val="Ttulo"/>
    <w:rsid w:val="00E7209B"/>
    <w:rPr>
      <w:rFonts w:ascii="Arial" w:hAnsi="Arial"/>
      <w:b/>
      <w:sz w:val="24"/>
      <w:lang w:val="es-ES_tradnl" w:eastAsia="es-ES"/>
    </w:rPr>
  </w:style>
  <w:style w:type="character" w:customStyle="1" w:styleId="Textoindependiente2Car">
    <w:name w:val="Texto independiente 2 Car"/>
    <w:basedOn w:val="Fuentedeprrafopredeter"/>
    <w:link w:val="Textoindependiente2"/>
    <w:semiHidden/>
    <w:rsid w:val="00E7209B"/>
    <w:rPr>
      <w:rFonts w:ascii="Arial" w:hAnsi="Arial"/>
      <w:color w:val="000000"/>
      <w:spacing w:val="-3"/>
      <w:sz w:val="24"/>
      <w:lang w:val="es-ES_tradnl" w:eastAsia="es-ES"/>
    </w:rPr>
  </w:style>
  <w:style w:type="paragraph" w:customStyle="1" w:styleId="Texto">
    <w:name w:val="Texto"/>
    <w:basedOn w:val="Normal"/>
    <w:qFormat/>
    <w:rsid w:val="00D57F2B"/>
    <w:pPr>
      <w:spacing w:after="240"/>
    </w:pPr>
    <w:rPr>
      <w:rFonts w:cs="Arial"/>
      <w:sz w:val="22"/>
      <w:lang w:val="es-CO"/>
    </w:rPr>
  </w:style>
  <w:style w:type="paragraph" w:styleId="Cita">
    <w:name w:val="Quote"/>
    <w:basedOn w:val="Citas"/>
    <w:next w:val="Normal"/>
    <w:link w:val="CitaCar"/>
    <w:uiPriority w:val="29"/>
    <w:qFormat/>
    <w:rsid w:val="00926ECA"/>
    <w:pPr>
      <w:spacing w:before="120" w:after="120"/>
      <w:ind w:left="284" w:right="284"/>
      <w:jc w:val="left"/>
    </w:pPr>
    <w:rPr>
      <w:rFonts w:ascii="Arial" w:hAnsi="Arial"/>
      <w:sz w:val="22"/>
      <w:szCs w:val="18"/>
    </w:rPr>
  </w:style>
  <w:style w:type="character" w:customStyle="1" w:styleId="CitaCar">
    <w:name w:val="Cita Car"/>
    <w:basedOn w:val="Fuentedeprrafopredeter"/>
    <w:link w:val="Cita"/>
    <w:uiPriority w:val="29"/>
    <w:rsid w:val="00926ECA"/>
    <w:rPr>
      <w:rFonts w:ascii="Arial" w:hAnsi="Arial"/>
      <w:i/>
      <w:iCs/>
      <w:sz w:val="22"/>
      <w:szCs w:val="18"/>
      <w:lang w:val="es-ES_tradnl" w:eastAsia="es-ES"/>
    </w:rPr>
  </w:style>
  <w:style w:type="character" w:customStyle="1" w:styleId="PrrafodelistaCar">
    <w:name w:val="Párrafo de lista Car"/>
    <w:link w:val="Prrafodelista"/>
    <w:rsid w:val="00D57F2B"/>
    <w:rPr>
      <w:rFonts w:ascii="Arial" w:hAnsi="Arial"/>
      <w:sz w:val="24"/>
      <w:lang w:val="es-ES_tradnl" w:eastAsia="es-ES"/>
    </w:rPr>
  </w:style>
  <w:style w:type="table" w:styleId="Tablaconcuadrcula">
    <w:name w:val="Table Grid"/>
    <w:basedOn w:val="Tablanormal"/>
    <w:uiPriority w:val="59"/>
    <w:rsid w:val="00D57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164FA3"/>
  </w:style>
  <w:style w:type="paragraph" w:styleId="Descripcin">
    <w:name w:val="caption"/>
    <w:basedOn w:val="Normal"/>
    <w:next w:val="Normal"/>
    <w:uiPriority w:val="35"/>
    <w:qFormat/>
    <w:rsid w:val="00A8021E"/>
    <w:pPr>
      <w:spacing w:after="200"/>
    </w:pPr>
    <w:rPr>
      <w:i/>
      <w:iCs/>
      <w:color w:val="44546A" w:themeColor="text2"/>
      <w:sz w:val="18"/>
      <w:szCs w:val="18"/>
    </w:rPr>
  </w:style>
  <w:style w:type="paragraph" w:styleId="Revisin">
    <w:name w:val="Revision"/>
    <w:hidden/>
    <w:uiPriority w:val="99"/>
    <w:semiHidden/>
    <w:rsid w:val="00AE570F"/>
    <w:rPr>
      <w:rFonts w:ascii="Arial" w:hAnsi="Arial"/>
      <w:sz w:val="24"/>
      <w:lang w:val="es-ES_tradnl" w:eastAsia="es-ES"/>
    </w:rPr>
  </w:style>
  <w:style w:type="paragraph" w:styleId="Asuntodelcomentario">
    <w:name w:val="annotation subject"/>
    <w:basedOn w:val="Textocomentario"/>
    <w:next w:val="Textocomentario"/>
    <w:link w:val="AsuntodelcomentarioCar"/>
    <w:uiPriority w:val="99"/>
    <w:semiHidden/>
    <w:unhideWhenUsed/>
    <w:rsid w:val="00AE570F"/>
    <w:rPr>
      <w:b/>
      <w:bCs/>
    </w:rPr>
  </w:style>
  <w:style w:type="character" w:customStyle="1" w:styleId="AsuntodelcomentarioCar">
    <w:name w:val="Asunto del comentario Car"/>
    <w:basedOn w:val="TextocomentarioCar"/>
    <w:link w:val="Asuntodelcomentario"/>
    <w:uiPriority w:val="99"/>
    <w:semiHidden/>
    <w:rsid w:val="00AE570F"/>
    <w:rPr>
      <w:rFonts w:ascii="Arial" w:hAnsi="Arial"/>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1407">
      <w:bodyDiv w:val="1"/>
      <w:marLeft w:val="0"/>
      <w:marRight w:val="0"/>
      <w:marTop w:val="0"/>
      <w:marBottom w:val="0"/>
      <w:divBdr>
        <w:top w:val="none" w:sz="0" w:space="0" w:color="auto"/>
        <w:left w:val="none" w:sz="0" w:space="0" w:color="auto"/>
        <w:bottom w:val="none" w:sz="0" w:space="0" w:color="auto"/>
        <w:right w:val="none" w:sz="0" w:space="0" w:color="auto"/>
      </w:divBdr>
    </w:div>
    <w:div w:id="384380247">
      <w:bodyDiv w:val="1"/>
      <w:marLeft w:val="0"/>
      <w:marRight w:val="0"/>
      <w:marTop w:val="0"/>
      <w:marBottom w:val="0"/>
      <w:divBdr>
        <w:top w:val="none" w:sz="0" w:space="0" w:color="auto"/>
        <w:left w:val="none" w:sz="0" w:space="0" w:color="auto"/>
        <w:bottom w:val="none" w:sz="0" w:space="0" w:color="auto"/>
        <w:right w:val="none" w:sz="0" w:space="0" w:color="auto"/>
      </w:divBdr>
    </w:div>
    <w:div w:id="958878885">
      <w:bodyDiv w:val="1"/>
      <w:marLeft w:val="0"/>
      <w:marRight w:val="0"/>
      <w:marTop w:val="0"/>
      <w:marBottom w:val="0"/>
      <w:divBdr>
        <w:top w:val="none" w:sz="0" w:space="0" w:color="auto"/>
        <w:left w:val="none" w:sz="0" w:space="0" w:color="auto"/>
        <w:bottom w:val="none" w:sz="0" w:space="0" w:color="auto"/>
        <w:right w:val="none" w:sz="0" w:space="0" w:color="auto"/>
      </w:divBdr>
    </w:div>
    <w:div w:id="1603411981">
      <w:bodyDiv w:val="1"/>
      <w:marLeft w:val="0"/>
      <w:marRight w:val="0"/>
      <w:marTop w:val="0"/>
      <w:marBottom w:val="0"/>
      <w:divBdr>
        <w:top w:val="none" w:sz="0" w:space="0" w:color="auto"/>
        <w:left w:val="none" w:sz="0" w:space="0" w:color="auto"/>
        <w:bottom w:val="none" w:sz="0" w:space="0" w:color="auto"/>
        <w:right w:val="none" w:sz="0" w:space="0" w:color="auto"/>
      </w:divBdr>
    </w:div>
    <w:div w:id="1630354394">
      <w:bodyDiv w:val="1"/>
      <w:marLeft w:val="0"/>
      <w:marRight w:val="0"/>
      <w:marTop w:val="0"/>
      <w:marBottom w:val="0"/>
      <w:divBdr>
        <w:top w:val="none" w:sz="0" w:space="0" w:color="auto"/>
        <w:left w:val="none" w:sz="0" w:space="0" w:color="auto"/>
        <w:bottom w:val="none" w:sz="0" w:space="0" w:color="auto"/>
        <w:right w:val="none" w:sz="0" w:space="0" w:color="auto"/>
      </w:divBdr>
    </w:div>
    <w:div w:id="2045134746">
      <w:bodyDiv w:val="1"/>
      <w:marLeft w:val="0"/>
      <w:marRight w:val="0"/>
      <w:marTop w:val="0"/>
      <w:marBottom w:val="0"/>
      <w:divBdr>
        <w:top w:val="none" w:sz="0" w:space="0" w:color="auto"/>
        <w:left w:val="none" w:sz="0" w:space="0" w:color="auto"/>
        <w:bottom w:val="none" w:sz="0" w:space="0" w:color="auto"/>
        <w:right w:val="none" w:sz="0" w:space="0" w:color="auto"/>
      </w:divBdr>
    </w:div>
    <w:div w:id="21311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17f2a170d553fb93ad4ee4bdf6a16c42">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b59e0bb1a8da7664ae293ee389bee3f9"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CDB26-79BB-43CC-A0A1-A5369FA64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ECDFC-467A-4989-9E41-9461D7D383DF}">
  <ds:schemaRefs>
    <ds:schemaRef ds:uri="http://schemas.microsoft.com/sharepoint/v3/contenttype/forms"/>
  </ds:schemaRefs>
</ds:datastoreItem>
</file>

<file path=customXml/itemProps3.xml><?xml version="1.0" encoding="utf-8"?>
<ds:datastoreItem xmlns:ds="http://schemas.openxmlformats.org/officeDocument/2006/customXml" ds:itemID="{72D24E01-FC66-4752-B668-90338849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1638</Words>
  <Characters>8974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DOCUMENTO CREG - REGULACIÓN CONSULTA Y DEFINITIVA CARACTER GENERAL</vt:lpstr>
    </vt:vector>
  </TitlesOfParts>
  <Company>CREG</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CREG - REGULACIÓN CONSULTA Y DEFINITIVA CARACTER GENERAL</dc:title>
  <dc:subject/>
  <dc:creator>Creg189</dc:creator>
  <cp:keywords/>
  <cp:lastModifiedBy>Eliana Rodriguez Fonseca</cp:lastModifiedBy>
  <cp:revision>2</cp:revision>
  <cp:lastPrinted>2021-11-22T22:07:00Z</cp:lastPrinted>
  <dcterms:created xsi:type="dcterms:W3CDTF">2023-10-02T13:38:00Z</dcterms:created>
  <dcterms:modified xsi:type="dcterms:W3CDTF">2023-10-02T13:38:00Z</dcterms:modified>
</cp:coreProperties>
</file>