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E7A1" w14:textId="77777777" w:rsidR="001653F2" w:rsidRPr="004626FB" w:rsidRDefault="001653F2" w:rsidP="001653F2">
      <w:pPr>
        <w:rPr>
          <w:kern w:val="0"/>
          <w:sz w:val="24"/>
          <w:szCs w:val="24"/>
          <w:lang w:val="es-MX"/>
          <w14:ligatures w14:val="none"/>
        </w:rPr>
      </w:pPr>
      <w:r w:rsidRPr="004626FB">
        <w:rPr>
          <w:kern w:val="0"/>
          <w:sz w:val="24"/>
          <w:szCs w:val="24"/>
          <w:lang w:val="es-MX"/>
          <w14:ligatures w14:val="none"/>
        </w:rPr>
        <w:t xml:space="preserve">Bogotá, D. C.,  </w:t>
      </w:r>
      <w:r w:rsidRPr="004626FB">
        <w:rPr>
          <w:kern w:val="0"/>
          <w:sz w:val="24"/>
          <w:szCs w:val="24"/>
          <w:lang w:val="es-MX"/>
          <w14:ligatures w14:val="none"/>
        </w:rPr>
        <w:fldChar w:fldCharType="begin"/>
      </w:r>
      <w:r w:rsidRPr="004626FB">
        <w:rPr>
          <w:kern w:val="0"/>
          <w:sz w:val="24"/>
          <w:szCs w:val="24"/>
          <w:lang w:val="es-MX"/>
          <w14:ligatures w14:val="none"/>
        </w:rPr>
        <w:instrText xml:space="preserve"> MERGEFIELD  Fecha  \* MERGEFORMAT </w:instrText>
      </w:r>
      <w:r w:rsidRPr="004626FB">
        <w:rPr>
          <w:kern w:val="0"/>
          <w:sz w:val="24"/>
          <w:szCs w:val="24"/>
          <w:lang w:val="es-MX"/>
          <w14:ligatures w14:val="none"/>
        </w:rPr>
        <w:fldChar w:fldCharType="separate"/>
      </w:r>
      <w:r w:rsidRPr="004626FB">
        <w:rPr>
          <w:kern w:val="0"/>
          <w:sz w:val="24"/>
          <w:szCs w:val="24"/>
          <w:lang w:val="es-MX"/>
          <w14:ligatures w14:val="none"/>
        </w:rPr>
        <w:t>29 de septiembre de 2023</w:t>
      </w:r>
      <w:r w:rsidRPr="004626FB">
        <w:rPr>
          <w:kern w:val="0"/>
          <w:sz w:val="24"/>
          <w:szCs w:val="24"/>
          <w14:ligatures w14:val="none"/>
        </w:rPr>
        <w:fldChar w:fldCharType="end"/>
      </w:r>
    </w:p>
    <w:p w14:paraId="0B3C4845" w14:textId="77777777" w:rsidR="001653F2" w:rsidRPr="004626FB" w:rsidRDefault="001653F2" w:rsidP="001C1F8E">
      <w:pPr>
        <w:spacing w:after="240"/>
        <w:rPr>
          <w:kern w:val="0"/>
          <w:sz w:val="24"/>
          <w:szCs w:val="24"/>
          <w:lang w:val="es-MX"/>
          <w14:ligatures w14:val="none"/>
        </w:rPr>
      </w:pPr>
    </w:p>
    <w:p w14:paraId="67AFC4BB" w14:textId="5778A876" w:rsidR="001653F2" w:rsidRPr="004626FB" w:rsidRDefault="001653F2" w:rsidP="006E4FD7">
      <w:pPr>
        <w:jc w:val="center"/>
        <w:rPr>
          <w:b/>
          <w:bCs/>
          <w:kern w:val="0"/>
          <w:sz w:val="24"/>
          <w:szCs w:val="24"/>
          <w:lang w:val="es-ES"/>
          <w14:ligatures w14:val="none"/>
        </w:rPr>
      </w:pPr>
      <w:r w:rsidRPr="004626FB">
        <w:rPr>
          <w:b/>
          <w:bCs/>
          <w:kern w:val="0"/>
          <w:sz w:val="24"/>
          <w:szCs w:val="24"/>
          <w:lang w:val="es-MX"/>
          <w14:ligatures w14:val="none"/>
        </w:rPr>
        <w:t xml:space="preserve">AUTO </w:t>
      </w:r>
      <w:r w:rsidRPr="004626FB">
        <w:rPr>
          <w:b/>
          <w:bCs/>
          <w:kern w:val="0"/>
          <w:sz w:val="24"/>
          <w:szCs w:val="24"/>
          <w:lang w:val="es-MX"/>
          <w14:ligatures w14:val="none"/>
        </w:rPr>
        <w:fldChar w:fldCharType="begin"/>
      </w:r>
      <w:r w:rsidRPr="004626FB">
        <w:rPr>
          <w:b/>
          <w:bCs/>
          <w:kern w:val="0"/>
          <w:sz w:val="24"/>
          <w:szCs w:val="24"/>
          <w:lang w:val="es-MX"/>
          <w14:ligatures w14:val="none"/>
        </w:rPr>
        <w:instrText xml:space="preserve"> MERGEFIELD  Fecha  \* MERGEFORMAT </w:instrText>
      </w:r>
      <w:r w:rsidRPr="004626FB">
        <w:rPr>
          <w:b/>
          <w:bCs/>
          <w:kern w:val="0"/>
          <w:sz w:val="24"/>
          <w:szCs w:val="24"/>
          <w:lang w:val="es-MX"/>
          <w14:ligatures w14:val="none"/>
        </w:rPr>
        <w:fldChar w:fldCharType="separate"/>
      </w:r>
      <w:r w:rsidRPr="004626FB">
        <w:rPr>
          <w:b/>
          <w:bCs/>
          <w:kern w:val="0"/>
          <w:sz w:val="24"/>
          <w:szCs w:val="24"/>
          <w:lang w:val="es-MX"/>
          <w14:ligatures w14:val="none"/>
        </w:rPr>
        <w:t>0000137 del 2023</w:t>
      </w:r>
      <w:r w:rsidRPr="004626FB">
        <w:rPr>
          <w:kern w:val="0"/>
          <w:sz w:val="24"/>
          <w:szCs w:val="24"/>
          <w14:ligatures w14:val="none"/>
        </w:rPr>
        <w:fldChar w:fldCharType="end"/>
      </w:r>
    </w:p>
    <w:p w14:paraId="73370013" w14:textId="434C8170" w:rsidR="001653F2" w:rsidRPr="004626FB" w:rsidRDefault="001653F2" w:rsidP="006E4FD7">
      <w:pPr>
        <w:jc w:val="center"/>
        <w:rPr>
          <w:b/>
          <w:bCs/>
          <w:kern w:val="0"/>
          <w:sz w:val="24"/>
          <w:szCs w:val="24"/>
          <w:lang w:val="es-ES"/>
          <w14:ligatures w14:val="none"/>
        </w:rPr>
      </w:pPr>
      <w:r w:rsidRPr="004626FB">
        <w:rPr>
          <w:b/>
          <w:bCs/>
          <w:kern w:val="0"/>
          <w:sz w:val="24"/>
          <w:szCs w:val="24"/>
          <w:lang w:val="es-ES"/>
          <w14:ligatures w14:val="none"/>
        </w:rPr>
        <w:t>LA COMISIÓN DE REGULACIÓN DE ENERGÍA Y GAS</w:t>
      </w:r>
    </w:p>
    <w:p w14:paraId="200ABB83" w14:textId="4BC5983E" w:rsidR="001653F2" w:rsidRPr="004626FB" w:rsidRDefault="001653F2" w:rsidP="007C70CF">
      <w:pPr>
        <w:jc w:val="center"/>
        <w:rPr>
          <w:b/>
          <w:bCs/>
          <w:kern w:val="0"/>
          <w:sz w:val="24"/>
          <w:szCs w:val="24"/>
          <w:lang w:val="es-ES"/>
          <w14:ligatures w14:val="none"/>
        </w:rPr>
      </w:pPr>
      <w:r w:rsidRPr="004626FB">
        <w:rPr>
          <w:b/>
          <w:bCs/>
          <w:kern w:val="0"/>
          <w:sz w:val="24"/>
          <w:szCs w:val="24"/>
          <w:lang w:val="es-ES"/>
          <w14:ligatures w14:val="none"/>
        </w:rPr>
        <w:t>DIRECCIÓN EJECUTIVA</w:t>
      </w:r>
    </w:p>
    <w:p w14:paraId="766E5CF5" w14:textId="02F12C6D" w:rsidR="002C7D54" w:rsidRPr="004626FB" w:rsidRDefault="002C7D54" w:rsidP="007C70CF">
      <w:pPr>
        <w:jc w:val="center"/>
        <w:rPr>
          <w:b/>
          <w:bCs/>
          <w:kern w:val="0"/>
          <w:sz w:val="24"/>
          <w:szCs w:val="24"/>
          <w:lang w:val="es-ES"/>
          <w14:ligatures w14:val="none"/>
        </w:rPr>
      </w:pPr>
    </w:p>
    <w:p w14:paraId="334C15FC" w14:textId="0E2593D7" w:rsidR="002C7D54" w:rsidRPr="004626FB" w:rsidRDefault="002C7D54" w:rsidP="001C1F8E">
      <w:pPr>
        <w:ind w:left="851" w:hanging="851"/>
        <w:jc w:val="both"/>
        <w:rPr>
          <w:bCs/>
          <w:kern w:val="0"/>
          <w:sz w:val="24"/>
          <w:szCs w:val="24"/>
          <w:lang w:val="es-ES"/>
          <w14:ligatures w14:val="none"/>
        </w:rPr>
      </w:pPr>
      <w:r w:rsidRPr="004626FB">
        <w:rPr>
          <w:b/>
          <w:bCs/>
          <w:kern w:val="0"/>
          <w:sz w:val="24"/>
          <w:szCs w:val="24"/>
          <w:lang w:val="es-ES"/>
          <w14:ligatures w14:val="none"/>
        </w:rPr>
        <w:t>Asunto:</w:t>
      </w:r>
      <w:r w:rsidR="001C1F8E" w:rsidRPr="004626FB">
        <w:rPr>
          <w:b/>
          <w:bCs/>
          <w:kern w:val="0"/>
          <w:sz w:val="24"/>
          <w:szCs w:val="24"/>
          <w:lang w:val="es-ES"/>
          <w14:ligatures w14:val="none"/>
        </w:rPr>
        <w:t xml:space="preserve"> </w:t>
      </w:r>
      <w:r w:rsidR="00EC2C30" w:rsidRPr="004626FB">
        <w:rPr>
          <w:bCs/>
          <w:kern w:val="0"/>
          <w:sz w:val="24"/>
          <w:szCs w:val="24"/>
          <w:lang w:val="es-ES"/>
          <w14:ligatures w14:val="none"/>
        </w:rPr>
        <w:t>Actuación administrativa iniciada con fundamento en la</w:t>
      </w:r>
      <w:r w:rsidR="0059767A" w:rsidRPr="004626FB">
        <w:rPr>
          <w:bCs/>
          <w:kern w:val="0"/>
          <w:sz w:val="24"/>
          <w:szCs w:val="24"/>
          <w:lang w:val="es-ES"/>
          <w14:ligatures w14:val="none"/>
        </w:rPr>
        <w:t>s</w:t>
      </w:r>
      <w:r w:rsidR="00EC2C30" w:rsidRPr="004626FB">
        <w:rPr>
          <w:bCs/>
          <w:kern w:val="0"/>
          <w:sz w:val="24"/>
          <w:szCs w:val="24"/>
          <w:lang w:val="es-ES"/>
          <w14:ligatures w14:val="none"/>
        </w:rPr>
        <w:t xml:space="preserve"> solicitud</w:t>
      </w:r>
      <w:r w:rsidR="0059767A" w:rsidRPr="004626FB">
        <w:rPr>
          <w:bCs/>
          <w:kern w:val="0"/>
          <w:sz w:val="24"/>
          <w:szCs w:val="24"/>
          <w:lang w:val="es-ES"/>
          <w14:ligatures w14:val="none"/>
        </w:rPr>
        <w:t>es</w:t>
      </w:r>
      <w:r w:rsidR="00EC2C30" w:rsidRPr="004626FB">
        <w:rPr>
          <w:bCs/>
          <w:kern w:val="0"/>
          <w:sz w:val="24"/>
          <w:szCs w:val="24"/>
          <w:lang w:val="es-ES"/>
          <w14:ligatures w14:val="none"/>
        </w:rPr>
        <w:t xml:space="preserve"> realizada</w:t>
      </w:r>
      <w:r w:rsidR="0059767A" w:rsidRPr="004626FB">
        <w:rPr>
          <w:bCs/>
          <w:kern w:val="0"/>
          <w:sz w:val="24"/>
          <w:szCs w:val="24"/>
          <w:lang w:val="es-ES"/>
          <w14:ligatures w14:val="none"/>
        </w:rPr>
        <w:t>s</w:t>
      </w:r>
      <w:r w:rsidR="00EC2C30" w:rsidRPr="004626FB">
        <w:rPr>
          <w:bCs/>
          <w:kern w:val="0"/>
          <w:sz w:val="24"/>
          <w:szCs w:val="24"/>
          <w:lang w:val="es-ES"/>
          <w14:ligatures w14:val="none"/>
        </w:rPr>
        <w:t xml:space="preserve"> por la ELECTRIFICADORA DE SANTANDER S.A. E.S.P., en calidad de Operador de Red (OR), para el ajuste del plan de inversiones 2023-2027 y la remuneración de los proyectos de expansión de cobertura en zonas interconectables, en aplicación de la Resolución CREG 015 de 2018</w:t>
      </w:r>
      <w:r w:rsidRPr="004626FB">
        <w:rPr>
          <w:bCs/>
          <w:kern w:val="0"/>
          <w:sz w:val="24"/>
          <w:szCs w:val="24"/>
          <w:lang w:val="es-ES"/>
          <w14:ligatures w14:val="none"/>
        </w:rPr>
        <w:t>.</w:t>
      </w:r>
    </w:p>
    <w:p w14:paraId="6F3B5F97" w14:textId="77777777" w:rsidR="008D7790" w:rsidRPr="004626FB" w:rsidRDefault="008D7790" w:rsidP="008D7790">
      <w:pPr>
        <w:pStyle w:val="Ciudad"/>
        <w:jc w:val="both"/>
      </w:pPr>
      <w:r w:rsidRPr="004626FB">
        <w:t>Expediente 20230070.</w:t>
      </w:r>
    </w:p>
    <w:p w14:paraId="278B6659" w14:textId="18B0EE12" w:rsidR="002C7D54" w:rsidRPr="004626FB" w:rsidRDefault="002C7D54" w:rsidP="002C7D54">
      <w:pPr>
        <w:jc w:val="center"/>
        <w:rPr>
          <w:b/>
          <w:bCs/>
          <w:kern w:val="0"/>
          <w:sz w:val="24"/>
          <w:szCs w:val="24"/>
          <w:lang w:val="es-ES"/>
          <w14:ligatures w14:val="none"/>
        </w:rPr>
      </w:pPr>
      <w:r w:rsidRPr="004626FB">
        <w:rPr>
          <w:b/>
          <w:bCs/>
          <w:kern w:val="0"/>
          <w:sz w:val="24"/>
          <w:szCs w:val="24"/>
          <w:lang w:val="es-ES"/>
          <w14:ligatures w14:val="none"/>
        </w:rPr>
        <w:t>SE CONSIDERA QUE:</w:t>
      </w:r>
    </w:p>
    <w:p w14:paraId="0720B64D" w14:textId="77777777" w:rsidR="009A6483" w:rsidRPr="004626FB" w:rsidRDefault="009A6483" w:rsidP="009A6483">
      <w:pPr>
        <w:jc w:val="both"/>
        <w:rPr>
          <w:kern w:val="0"/>
          <w:sz w:val="24"/>
          <w:szCs w:val="24"/>
          <w14:ligatures w14:val="none"/>
        </w:rPr>
      </w:pPr>
      <w:r w:rsidRPr="004626FB">
        <w:rPr>
          <w:kern w:val="0"/>
          <w:sz w:val="24"/>
          <w:szCs w:val="24"/>
          <w14:ligatures w14:val="none"/>
        </w:rPr>
        <w:t xml:space="preserve">De acuerdo con lo previsto en el literal d) del artículo 23 y el artículo 41, ambos de la Ley 143 de 1994, es función de la Comisión de Regulación de Energía y Gas fijar las tarifas por el acceso y uso de las redes eléctricas.  </w:t>
      </w:r>
    </w:p>
    <w:p w14:paraId="0CFE52AF" w14:textId="0209353B" w:rsidR="009A6483" w:rsidRPr="004626FB" w:rsidRDefault="009A6483" w:rsidP="009A6483">
      <w:pPr>
        <w:jc w:val="both"/>
        <w:rPr>
          <w:kern w:val="0"/>
          <w:sz w:val="24"/>
          <w:szCs w:val="24"/>
          <w14:ligatures w14:val="none"/>
        </w:rPr>
      </w:pPr>
      <w:r w:rsidRPr="004626FB">
        <w:rPr>
          <w:kern w:val="0"/>
          <w:sz w:val="24"/>
          <w:szCs w:val="24"/>
          <w14:ligatures w14:val="none"/>
        </w:rPr>
        <w:t>Mediante la Resolución CREG 015 de 2018, modificada por las Resoluciones CREG 085 de 2018, 036 y 199 de 2019, 167 y 195 de 2020, 222 de 2021, 101</w:t>
      </w:r>
      <w:r w:rsidR="00754AD1" w:rsidRPr="004626FB">
        <w:rPr>
          <w:kern w:val="0"/>
          <w:sz w:val="24"/>
          <w:szCs w:val="24"/>
          <w14:ligatures w14:val="none"/>
        </w:rPr>
        <w:t xml:space="preserve"> 00</w:t>
      </w:r>
      <w:r w:rsidRPr="004626FB">
        <w:rPr>
          <w:kern w:val="0"/>
          <w:sz w:val="24"/>
          <w:szCs w:val="24"/>
          <w14:ligatures w14:val="none"/>
        </w:rPr>
        <w:t>9, 101</w:t>
      </w:r>
      <w:r w:rsidR="00754AD1" w:rsidRPr="004626FB">
        <w:rPr>
          <w:kern w:val="0"/>
          <w:sz w:val="24"/>
          <w:szCs w:val="24"/>
          <w14:ligatures w14:val="none"/>
        </w:rPr>
        <w:t xml:space="preserve"> 0</w:t>
      </w:r>
      <w:r w:rsidRPr="004626FB">
        <w:rPr>
          <w:kern w:val="0"/>
          <w:sz w:val="24"/>
          <w:szCs w:val="24"/>
          <w14:ligatures w14:val="none"/>
        </w:rPr>
        <w:t>12, 101</w:t>
      </w:r>
      <w:r w:rsidR="00754AD1" w:rsidRPr="004626FB">
        <w:rPr>
          <w:kern w:val="0"/>
          <w:sz w:val="24"/>
          <w:szCs w:val="24"/>
          <w14:ligatures w14:val="none"/>
        </w:rPr>
        <w:t xml:space="preserve"> 0</w:t>
      </w:r>
      <w:r w:rsidRPr="004626FB">
        <w:rPr>
          <w:kern w:val="0"/>
          <w:sz w:val="24"/>
          <w:szCs w:val="24"/>
          <w14:ligatures w14:val="none"/>
        </w:rPr>
        <w:t>22, 101</w:t>
      </w:r>
      <w:r w:rsidR="00754AD1" w:rsidRPr="004626FB">
        <w:rPr>
          <w:kern w:val="0"/>
          <w:sz w:val="24"/>
          <w:szCs w:val="24"/>
          <w14:ligatures w14:val="none"/>
        </w:rPr>
        <w:t xml:space="preserve"> 0</w:t>
      </w:r>
      <w:r w:rsidRPr="004626FB">
        <w:rPr>
          <w:kern w:val="0"/>
          <w:sz w:val="24"/>
          <w:szCs w:val="24"/>
          <w14:ligatures w14:val="none"/>
        </w:rPr>
        <w:t>27 y 101</w:t>
      </w:r>
      <w:r w:rsidR="00754AD1" w:rsidRPr="004626FB">
        <w:rPr>
          <w:kern w:val="0"/>
          <w:sz w:val="24"/>
          <w:szCs w:val="24"/>
          <w14:ligatures w14:val="none"/>
        </w:rPr>
        <w:t xml:space="preserve"> 0</w:t>
      </w:r>
      <w:r w:rsidRPr="004626FB">
        <w:rPr>
          <w:kern w:val="0"/>
          <w:sz w:val="24"/>
          <w:szCs w:val="24"/>
          <w14:ligatures w14:val="none"/>
        </w:rPr>
        <w:t xml:space="preserve">32 de 2022, y 101 019 de 2023 la Comisión estableció la metodología para la remuneración de la actividad de distribución de energía eléctrica en el Sistema Interconectado Nacional.  </w:t>
      </w:r>
    </w:p>
    <w:p w14:paraId="7EA77D26" w14:textId="77777777" w:rsidR="00AB5FCD" w:rsidRPr="004626FB" w:rsidRDefault="009A6483" w:rsidP="009A6483">
      <w:pPr>
        <w:jc w:val="both"/>
        <w:rPr>
          <w:kern w:val="0"/>
          <w:sz w:val="24"/>
          <w:szCs w:val="24"/>
          <w14:ligatures w14:val="none"/>
        </w:rPr>
      </w:pPr>
      <w:r w:rsidRPr="004626FB">
        <w:rPr>
          <w:kern w:val="0"/>
          <w:sz w:val="24"/>
          <w:szCs w:val="24"/>
          <w14:ligatures w14:val="none"/>
        </w:rPr>
        <w:t xml:space="preserve">En la Resolución CREG 103 de 2019 se aprobaron las variables necesarias para </w:t>
      </w:r>
      <w:r w:rsidR="003B3B27" w:rsidRPr="004626FB">
        <w:rPr>
          <w:kern w:val="0"/>
          <w:sz w:val="24"/>
          <w:szCs w:val="24"/>
          <w14:ligatures w14:val="none"/>
        </w:rPr>
        <w:t>el cálculo de</w:t>
      </w:r>
      <w:r w:rsidRPr="004626FB">
        <w:rPr>
          <w:kern w:val="0"/>
          <w:sz w:val="24"/>
          <w:szCs w:val="24"/>
          <w14:ligatures w14:val="none"/>
        </w:rPr>
        <w:t xml:space="preserve"> los ingresos y cargos asociados con la actividad de distribución de energía eléctrica para el mercado de comercialización atendido por la ELECTRIFICADORA DE SANTANDER S.A. E.S.P. Luego, mediante la Resolución CREG 158 de 2019, se resolvió el recurso de reposición interpuesto por la empresa contra la Resolución CREG 103 de 2019. </w:t>
      </w:r>
    </w:p>
    <w:p w14:paraId="13B6CB95" w14:textId="2A7981D1" w:rsidR="009A6483" w:rsidRPr="004626FB" w:rsidRDefault="009A6483" w:rsidP="009A6483">
      <w:pPr>
        <w:jc w:val="both"/>
        <w:rPr>
          <w:kern w:val="0"/>
          <w:sz w:val="24"/>
          <w:szCs w:val="24"/>
          <w14:ligatures w14:val="none"/>
        </w:rPr>
      </w:pPr>
      <w:r w:rsidRPr="004626FB">
        <w:rPr>
          <w:kern w:val="0"/>
          <w:sz w:val="24"/>
          <w:szCs w:val="24"/>
          <w14:ligatures w14:val="none"/>
        </w:rPr>
        <w:t>Posteriormente, en la Resolución CREG 029 de 2021, se aprobó incluir los activos puestos en operación en 2018</w:t>
      </w:r>
      <w:r w:rsidR="00B335F1" w:rsidRPr="004626FB">
        <w:rPr>
          <w:kern w:val="0"/>
          <w:sz w:val="24"/>
          <w:szCs w:val="24"/>
          <w14:ligatures w14:val="none"/>
        </w:rPr>
        <w:t xml:space="preserve"> </w:t>
      </w:r>
      <w:r w:rsidR="00B335F1" w:rsidRPr="004626FB">
        <w:rPr>
          <w:kern w:val="0"/>
          <w:sz w:val="24"/>
          <w:szCs w:val="24"/>
          <w14:ligatures w14:val="none"/>
        </w:rPr>
        <w:t>en la base inicial de activos</w:t>
      </w:r>
      <w:r w:rsidRPr="004626FB">
        <w:rPr>
          <w:kern w:val="0"/>
          <w:sz w:val="24"/>
          <w:szCs w:val="24"/>
          <w14:ligatures w14:val="none"/>
        </w:rPr>
        <w:t xml:space="preserve">, y también, se aprobó </w:t>
      </w:r>
      <w:r w:rsidR="004042FE" w:rsidRPr="004626FB">
        <w:rPr>
          <w:kern w:val="0"/>
          <w:sz w:val="24"/>
          <w:szCs w:val="24"/>
          <w14:ligatures w14:val="none"/>
        </w:rPr>
        <w:t xml:space="preserve">la </w:t>
      </w:r>
      <w:r w:rsidRPr="004626FB">
        <w:rPr>
          <w:kern w:val="0"/>
          <w:sz w:val="24"/>
          <w:szCs w:val="24"/>
          <w14:ligatures w14:val="none"/>
        </w:rPr>
        <w:t>modifica</w:t>
      </w:r>
      <w:r w:rsidR="004042FE" w:rsidRPr="004626FB">
        <w:rPr>
          <w:kern w:val="0"/>
          <w:sz w:val="24"/>
          <w:szCs w:val="24"/>
          <w14:ligatures w14:val="none"/>
        </w:rPr>
        <w:t>ción</w:t>
      </w:r>
      <w:r w:rsidRPr="004626FB">
        <w:rPr>
          <w:kern w:val="0"/>
          <w:sz w:val="24"/>
          <w:szCs w:val="24"/>
          <w14:ligatures w14:val="none"/>
        </w:rPr>
        <w:t xml:space="preserve"> </w:t>
      </w:r>
      <w:r w:rsidR="004042FE" w:rsidRPr="004626FB">
        <w:rPr>
          <w:kern w:val="0"/>
          <w:sz w:val="24"/>
          <w:szCs w:val="24"/>
          <w14:ligatures w14:val="none"/>
        </w:rPr>
        <w:t>d</w:t>
      </w:r>
      <w:r w:rsidRPr="004626FB">
        <w:rPr>
          <w:kern w:val="0"/>
          <w:sz w:val="24"/>
          <w:szCs w:val="24"/>
          <w14:ligatures w14:val="none"/>
        </w:rPr>
        <w:t xml:space="preserve">el plan de inversiones aprobado en la Resolución CREG 103 de 2019. Finalmente, mediante la Resolución CREG 501 </w:t>
      </w:r>
      <w:r w:rsidR="00A73A14" w:rsidRPr="004626FB">
        <w:rPr>
          <w:kern w:val="0"/>
          <w:sz w:val="24"/>
          <w:szCs w:val="24"/>
          <w14:ligatures w14:val="none"/>
        </w:rPr>
        <w:t>0</w:t>
      </w:r>
      <w:r w:rsidRPr="004626FB">
        <w:rPr>
          <w:kern w:val="0"/>
          <w:sz w:val="24"/>
          <w:szCs w:val="24"/>
          <w14:ligatures w14:val="none"/>
        </w:rPr>
        <w:t>23 de 2022, se resolvió el recurso de reposición interpuesto por la empresa contra la Resolución CREG 029 de 2021.</w:t>
      </w:r>
    </w:p>
    <w:p w14:paraId="66ACDBF5" w14:textId="166C400A" w:rsidR="009A6483" w:rsidRPr="004626FB" w:rsidRDefault="009A6483" w:rsidP="009A6483">
      <w:pPr>
        <w:jc w:val="both"/>
        <w:rPr>
          <w:kern w:val="0"/>
          <w:sz w:val="24"/>
          <w:szCs w:val="24"/>
          <w14:ligatures w14:val="none"/>
        </w:rPr>
      </w:pPr>
      <w:r w:rsidRPr="004626FB">
        <w:rPr>
          <w:kern w:val="0"/>
          <w:sz w:val="24"/>
          <w:szCs w:val="24"/>
          <w14:ligatures w14:val="none"/>
        </w:rPr>
        <w:lastRenderedPageBreak/>
        <w:t>De acuerdo con lo definido en el numeral 6.6. del anexo general de la Resolución CREG 015 de 2018, modificado por el artículo 38 de la Resolución CREG 036 de 2019, los OR podrán solicitar ajustes al plan de inversión cada dos años contados a partir del 1 de enero del primer año del plan de inversión inicial. Adicionalmente, de acuerdo con lo definido en el literal g) del numeral 6.6 del anexo general de la Resolución CREG 015 de 2018, en agosto del cuarto año del plan de inversión los OR deberán presentar una solicitud de ajustes al plan de inversión.</w:t>
      </w:r>
    </w:p>
    <w:p w14:paraId="107F3520" w14:textId="0E0EE75B" w:rsidR="009A6483" w:rsidRPr="004626FB" w:rsidRDefault="009A6483" w:rsidP="009A6483">
      <w:pPr>
        <w:jc w:val="both"/>
        <w:rPr>
          <w:kern w:val="0"/>
          <w:sz w:val="24"/>
          <w:szCs w:val="24"/>
          <w14:ligatures w14:val="none"/>
        </w:rPr>
      </w:pPr>
      <w:r w:rsidRPr="004626FB">
        <w:rPr>
          <w:kern w:val="0"/>
          <w:sz w:val="24"/>
          <w:szCs w:val="24"/>
          <w14:ligatures w14:val="none"/>
        </w:rPr>
        <w:t>Dicha solicitud debe ser realizada a más tardar en el mes de agosto del año previo al que se van a realizar los ajustes. Esos ajustes deben abarcar un horizonte de cinco años, y la solicitud deberá ser presentada considerando lo establecido en el numeral 6.1 y 6.3 de la Resolución CREG 015 de 2018. La Comisión revisará las solicitudes de ajustes al plan de inversión siguiendo los pasos establecidos en el numeral 6.4 de la Resolución CREG 015 de 2018.</w:t>
      </w:r>
    </w:p>
    <w:p w14:paraId="7B25CE69" w14:textId="45D89719" w:rsidR="009A6483" w:rsidRPr="004626FB" w:rsidRDefault="009A6483" w:rsidP="009A6483">
      <w:pPr>
        <w:jc w:val="both"/>
        <w:rPr>
          <w:kern w:val="0"/>
          <w:sz w:val="24"/>
          <w:szCs w:val="24"/>
          <w14:ligatures w14:val="none"/>
        </w:rPr>
      </w:pPr>
      <w:r w:rsidRPr="004626FB">
        <w:rPr>
          <w:kern w:val="0"/>
          <w:sz w:val="24"/>
          <w:szCs w:val="24"/>
          <w14:ligatures w14:val="none"/>
        </w:rPr>
        <w:t>A través de la comunicación con radicado CREG E2022009606</w:t>
      </w:r>
      <w:r w:rsidR="00EC4890" w:rsidRPr="004626FB">
        <w:rPr>
          <w:kern w:val="0"/>
          <w:sz w:val="24"/>
          <w:szCs w:val="24"/>
          <w14:ligatures w14:val="none"/>
        </w:rPr>
        <w:t>,</w:t>
      </w:r>
      <w:r w:rsidRPr="004626FB">
        <w:rPr>
          <w:kern w:val="0"/>
          <w:sz w:val="24"/>
          <w:szCs w:val="24"/>
          <w14:ligatures w14:val="none"/>
        </w:rPr>
        <w:t xml:space="preserve"> el 30 de agosto de 2022, la ELECTRIFICADORA DE SANTANDER S.A. E.S.P. solicitó ajuste del plan de inversión para el período 2023-2027 con base en lo definido en el numeral 6.6 del anexo general de la Resolución CREG 015 de 2018.</w:t>
      </w:r>
    </w:p>
    <w:p w14:paraId="746C7E6A" w14:textId="7FBD16C5" w:rsidR="009A6483" w:rsidRPr="004626FB" w:rsidRDefault="009A6483" w:rsidP="009A6483">
      <w:pPr>
        <w:jc w:val="both"/>
        <w:rPr>
          <w:kern w:val="0"/>
          <w:sz w:val="24"/>
          <w:szCs w:val="24"/>
          <w14:ligatures w14:val="none"/>
        </w:rPr>
      </w:pPr>
      <w:r w:rsidRPr="004626FB">
        <w:rPr>
          <w:kern w:val="0"/>
          <w:sz w:val="24"/>
          <w:szCs w:val="24"/>
          <w14:ligatures w14:val="none"/>
        </w:rPr>
        <w:t xml:space="preserve">Una vez revisada la comunicación enviada por la ELECTRIFICADORA DE SANTANDER S.A. E.S.P., se verificó que la solicitud cumple con lo estipulado en el numeral 6.6 del capítulo 6 del anexo general de la Resolución CREG 015 de 2018, ya que: i) fue presentada dentro del término establecido, ii) </w:t>
      </w:r>
      <w:r w:rsidR="00FD73DA" w:rsidRPr="004626FB">
        <w:rPr>
          <w:kern w:val="0"/>
          <w:sz w:val="24"/>
          <w:szCs w:val="24"/>
          <w14:ligatures w14:val="none"/>
        </w:rPr>
        <w:t>cubre un</w:t>
      </w:r>
      <w:r w:rsidRPr="004626FB">
        <w:rPr>
          <w:kern w:val="0"/>
          <w:sz w:val="24"/>
          <w:szCs w:val="24"/>
          <w14:ligatures w14:val="none"/>
        </w:rPr>
        <w:t xml:space="preserve"> horizonte de cinco años (2023-2027), conforme </w:t>
      </w:r>
      <w:r w:rsidR="00FD73DA" w:rsidRPr="004626FB">
        <w:rPr>
          <w:kern w:val="0"/>
          <w:sz w:val="24"/>
          <w:szCs w:val="24"/>
          <w14:ligatures w14:val="none"/>
        </w:rPr>
        <w:t>lo establecido en</w:t>
      </w:r>
      <w:r w:rsidRPr="004626FB">
        <w:rPr>
          <w:kern w:val="0"/>
          <w:sz w:val="24"/>
          <w:szCs w:val="24"/>
          <w14:ligatures w14:val="none"/>
        </w:rPr>
        <w:t xml:space="preserve"> el literal f) del numeral 6.6 de la Resolución CREG 015 de 2018</w:t>
      </w:r>
      <w:r w:rsidR="001D2548" w:rsidRPr="004626FB">
        <w:rPr>
          <w:kern w:val="0"/>
          <w:sz w:val="24"/>
          <w:szCs w:val="24"/>
          <w14:ligatures w14:val="none"/>
        </w:rPr>
        <w:t>,</w:t>
      </w:r>
      <w:r w:rsidRPr="004626FB">
        <w:rPr>
          <w:kern w:val="0"/>
          <w:sz w:val="24"/>
          <w:szCs w:val="24"/>
          <w14:ligatures w14:val="none"/>
        </w:rPr>
        <w:t xml:space="preserve"> y iii) la empresa presenta los soportes del plan de inversión de acuerdo con el numeral 6.3 del capítulo 6 del anexo general de la Resolución CREG 015 de 2018.</w:t>
      </w:r>
    </w:p>
    <w:p w14:paraId="013A947C" w14:textId="53443F07" w:rsidR="009A6483" w:rsidRPr="004626FB" w:rsidRDefault="009A6483" w:rsidP="009A6483">
      <w:pPr>
        <w:jc w:val="both"/>
        <w:rPr>
          <w:kern w:val="0"/>
          <w:sz w:val="24"/>
          <w:szCs w:val="24"/>
          <w14:ligatures w14:val="none"/>
        </w:rPr>
      </w:pPr>
      <w:r w:rsidRPr="004626FB">
        <w:rPr>
          <w:kern w:val="0"/>
          <w:sz w:val="24"/>
          <w:szCs w:val="24"/>
          <w14:ligatures w14:val="none"/>
        </w:rPr>
        <w:t>Por otro lado, en aplicación del Decreto número 1623 de 2015, modificado por el Decreto número 1513 de 2016, la Comisión, en el capítulo 13 de la Resolución CREG 015 de 2018, estableció las reglas para la remuneración de proyectos de expansión de cobertura de los OR en zonas interconectables al SIN.</w:t>
      </w:r>
    </w:p>
    <w:p w14:paraId="3F5F02C8" w14:textId="465B6422" w:rsidR="009A6483" w:rsidRPr="004626FB" w:rsidRDefault="009A6483" w:rsidP="009A6483">
      <w:pPr>
        <w:jc w:val="both"/>
        <w:rPr>
          <w:kern w:val="0"/>
          <w:sz w:val="24"/>
          <w:szCs w:val="24"/>
          <w14:ligatures w14:val="none"/>
        </w:rPr>
      </w:pPr>
      <w:r w:rsidRPr="004626FB">
        <w:rPr>
          <w:kern w:val="0"/>
          <w:sz w:val="24"/>
          <w:szCs w:val="24"/>
          <w14:ligatures w14:val="none"/>
        </w:rPr>
        <w:t>De acuerdo con el numeral 13.4. del anexo general de la Resolución CREG 015 de 2018, los OR podrán presentar, el último día hábil del mes de agosto de cada año, los proyectos de expansión de cobertura del año siguiente.</w:t>
      </w:r>
    </w:p>
    <w:p w14:paraId="3AFA932A" w14:textId="77777777" w:rsidR="009A6483" w:rsidRPr="004626FB" w:rsidRDefault="009A6483" w:rsidP="009A6483">
      <w:pPr>
        <w:jc w:val="both"/>
        <w:rPr>
          <w:kern w:val="0"/>
          <w:sz w:val="24"/>
          <w:szCs w:val="24"/>
          <w14:ligatures w14:val="none"/>
        </w:rPr>
      </w:pPr>
      <w:r w:rsidRPr="004626FB">
        <w:rPr>
          <w:kern w:val="0"/>
          <w:sz w:val="24"/>
          <w:szCs w:val="24"/>
          <w14:ligatures w14:val="none"/>
        </w:rPr>
        <w:t xml:space="preserve">Mediante la Resolución 40172 de 03 de junio de 2021, el Ministerio de Minas y Energía, estableció que, el incremento máximo tarifario para cada OR, como consecuencia de las inversiones para ampliación de cobertura que podrán ser incluidas en la respectiva remuneración de la actividad de distribución de energía eléctrica no será mayor al 1% del </w:t>
      </w:r>
      <w:r w:rsidRPr="004626FB">
        <w:rPr>
          <w:kern w:val="0"/>
          <w:sz w:val="24"/>
          <w:szCs w:val="24"/>
          <w14:ligatures w14:val="none"/>
        </w:rPr>
        <w:lastRenderedPageBreak/>
        <w:t>cargo por uso del nivel de tensión 1 en el mes de abril del año en el que se estén presentando los proyectos.</w:t>
      </w:r>
    </w:p>
    <w:p w14:paraId="39EC95C3" w14:textId="1D164E8D" w:rsidR="009A6483" w:rsidRPr="004626FB" w:rsidRDefault="009A6483" w:rsidP="009A6483">
      <w:pPr>
        <w:jc w:val="both"/>
        <w:rPr>
          <w:kern w:val="0"/>
          <w:sz w:val="24"/>
          <w:szCs w:val="24"/>
          <w14:ligatures w14:val="none"/>
        </w:rPr>
      </w:pPr>
      <w:r w:rsidRPr="004626FB">
        <w:rPr>
          <w:kern w:val="0"/>
          <w:sz w:val="24"/>
          <w:szCs w:val="24"/>
          <w14:ligatures w14:val="none"/>
        </w:rPr>
        <w:t xml:space="preserve">Mediante la Resolución CREG 501 </w:t>
      </w:r>
      <w:r w:rsidR="00F86E10" w:rsidRPr="004626FB">
        <w:rPr>
          <w:kern w:val="0"/>
          <w:sz w:val="24"/>
          <w:szCs w:val="24"/>
          <w14:ligatures w14:val="none"/>
        </w:rPr>
        <w:t>0</w:t>
      </w:r>
      <w:r w:rsidRPr="004626FB">
        <w:rPr>
          <w:kern w:val="0"/>
          <w:sz w:val="24"/>
          <w:szCs w:val="24"/>
          <w14:ligatures w14:val="none"/>
        </w:rPr>
        <w:t>47 de 2022 se le aprobó a este OR la remuneración de los proyectos de expansión de cobertura en zonas interconectables para el año 2022.</w:t>
      </w:r>
    </w:p>
    <w:p w14:paraId="443A3C12" w14:textId="123C620A" w:rsidR="009A6483" w:rsidRPr="004626FB" w:rsidRDefault="009A6483" w:rsidP="009A6483">
      <w:pPr>
        <w:jc w:val="both"/>
        <w:rPr>
          <w:kern w:val="0"/>
          <w:sz w:val="24"/>
          <w:szCs w:val="24"/>
          <w14:ligatures w14:val="none"/>
        </w:rPr>
      </w:pPr>
      <w:r w:rsidRPr="004626FB">
        <w:rPr>
          <w:kern w:val="0"/>
          <w:sz w:val="24"/>
          <w:szCs w:val="24"/>
          <w14:ligatures w14:val="none"/>
        </w:rPr>
        <w:t>A través de las comunicaciones con radicado CREG E2022009727</w:t>
      </w:r>
      <w:r w:rsidR="009608E8" w:rsidRPr="004626FB">
        <w:rPr>
          <w:kern w:val="0"/>
          <w:sz w:val="24"/>
          <w:szCs w:val="24"/>
          <w14:ligatures w14:val="none"/>
        </w:rPr>
        <w:t xml:space="preserve">, </w:t>
      </w:r>
      <w:r w:rsidRPr="004626FB">
        <w:rPr>
          <w:kern w:val="0"/>
          <w:sz w:val="24"/>
          <w:szCs w:val="24"/>
          <w14:ligatures w14:val="none"/>
        </w:rPr>
        <w:t>el 31 de agosto de 2022, la ELECTRIFICADORA DE SANTANDER S.A. E.S.P. solicitó la remuneración de los proyectos de expansión de cobertura en zonas interconectables para el año 2023. Asimismo, mediante la comunicación con radicado CREG E2023015776</w:t>
      </w:r>
      <w:r w:rsidR="00262C51" w:rsidRPr="004626FB">
        <w:rPr>
          <w:kern w:val="0"/>
          <w:sz w:val="24"/>
          <w:szCs w:val="24"/>
          <w14:ligatures w14:val="none"/>
        </w:rPr>
        <w:t>,</w:t>
      </w:r>
      <w:r w:rsidRPr="004626FB">
        <w:rPr>
          <w:kern w:val="0"/>
          <w:sz w:val="24"/>
          <w:szCs w:val="24"/>
          <w14:ligatures w14:val="none"/>
        </w:rPr>
        <w:t xml:space="preserve"> el 30 de agosto de 2023, la empresa solicitó la remuneración de los proyectos de expansión de cobertura en zonas interconectables para el año 2024. Ambas solicitudes con base en lo definido en el capítulo 13 del anexo general de la Resolución CREG 015 de 2018.</w:t>
      </w:r>
    </w:p>
    <w:p w14:paraId="0CA5A8C4" w14:textId="77777777" w:rsidR="001A172E" w:rsidRPr="004626FB" w:rsidRDefault="009A6483" w:rsidP="009A6483">
      <w:pPr>
        <w:jc w:val="both"/>
        <w:rPr>
          <w:kern w:val="0"/>
          <w:sz w:val="24"/>
          <w:szCs w:val="24"/>
          <w14:ligatures w14:val="none"/>
        </w:rPr>
      </w:pPr>
      <w:r w:rsidRPr="004626FB">
        <w:rPr>
          <w:kern w:val="0"/>
          <w:sz w:val="24"/>
          <w:szCs w:val="24"/>
          <w14:ligatures w14:val="none"/>
        </w:rPr>
        <w:t>Una vez revisada la</w:t>
      </w:r>
      <w:r w:rsidR="008A47D4" w:rsidRPr="004626FB">
        <w:rPr>
          <w:kern w:val="0"/>
          <w:sz w:val="24"/>
          <w:szCs w:val="24"/>
          <w14:ligatures w14:val="none"/>
        </w:rPr>
        <w:t>s</w:t>
      </w:r>
      <w:r w:rsidRPr="004626FB">
        <w:rPr>
          <w:kern w:val="0"/>
          <w:sz w:val="24"/>
          <w:szCs w:val="24"/>
          <w14:ligatures w14:val="none"/>
        </w:rPr>
        <w:t xml:space="preserve"> </w:t>
      </w:r>
      <w:r w:rsidR="008A47D4" w:rsidRPr="004626FB">
        <w:rPr>
          <w:kern w:val="0"/>
          <w:sz w:val="24"/>
          <w:szCs w:val="24"/>
          <w14:ligatures w14:val="none"/>
        </w:rPr>
        <w:t>solicitudes presentadas</w:t>
      </w:r>
      <w:r w:rsidRPr="004626FB">
        <w:rPr>
          <w:kern w:val="0"/>
          <w:sz w:val="24"/>
          <w:szCs w:val="24"/>
          <w14:ligatures w14:val="none"/>
        </w:rPr>
        <w:t xml:space="preserve"> por la ELECTRIFICADORA DE SANTANDER S.A. E.S.P., respecto a la remuneración de los proyectos de expansión de cobertura en zonas interconectables</w:t>
      </w:r>
      <w:r w:rsidR="00C02544" w:rsidRPr="004626FB">
        <w:rPr>
          <w:kern w:val="0"/>
          <w:sz w:val="24"/>
          <w:szCs w:val="24"/>
          <w14:ligatures w14:val="none"/>
        </w:rPr>
        <w:t xml:space="preserve"> para los años 2023 y 2024</w:t>
      </w:r>
      <w:r w:rsidRPr="004626FB">
        <w:rPr>
          <w:kern w:val="0"/>
          <w:sz w:val="24"/>
          <w:szCs w:val="24"/>
          <w14:ligatures w14:val="none"/>
        </w:rPr>
        <w:t>, se verificó que cumple</w:t>
      </w:r>
      <w:r w:rsidR="008A47D4" w:rsidRPr="004626FB">
        <w:rPr>
          <w:kern w:val="0"/>
          <w:sz w:val="24"/>
          <w:szCs w:val="24"/>
          <w14:ligatures w14:val="none"/>
        </w:rPr>
        <w:t>n</w:t>
      </w:r>
      <w:r w:rsidRPr="004626FB">
        <w:rPr>
          <w:kern w:val="0"/>
          <w:sz w:val="24"/>
          <w:szCs w:val="24"/>
          <w14:ligatures w14:val="none"/>
        </w:rPr>
        <w:t xml:space="preserve"> con lo estipulado en el numeral 13.4 de capítulo 13 del anexo general de la Resolución CREG 015 de 2018, ya que: i) fue</w:t>
      </w:r>
      <w:r w:rsidR="0069761D" w:rsidRPr="004626FB">
        <w:rPr>
          <w:kern w:val="0"/>
          <w:sz w:val="24"/>
          <w:szCs w:val="24"/>
          <w14:ligatures w14:val="none"/>
        </w:rPr>
        <w:t>ron</w:t>
      </w:r>
      <w:r w:rsidRPr="004626FB">
        <w:rPr>
          <w:kern w:val="0"/>
          <w:sz w:val="24"/>
          <w:szCs w:val="24"/>
          <w14:ligatures w14:val="none"/>
        </w:rPr>
        <w:t xml:space="preserve"> presentada</w:t>
      </w:r>
      <w:r w:rsidR="0069761D" w:rsidRPr="004626FB">
        <w:rPr>
          <w:kern w:val="0"/>
          <w:sz w:val="24"/>
          <w:szCs w:val="24"/>
          <w14:ligatures w14:val="none"/>
        </w:rPr>
        <w:t>s</w:t>
      </w:r>
      <w:r w:rsidRPr="004626FB">
        <w:rPr>
          <w:kern w:val="0"/>
          <w:sz w:val="24"/>
          <w:szCs w:val="24"/>
          <w14:ligatures w14:val="none"/>
        </w:rPr>
        <w:t xml:space="preserve"> dentro del término establecido, ii) los proyectos de expansión de cobertura en zonas interconectables corresponden al año siguiente de la</w:t>
      </w:r>
      <w:r w:rsidR="00211999" w:rsidRPr="004626FB">
        <w:rPr>
          <w:kern w:val="0"/>
          <w:sz w:val="24"/>
          <w:szCs w:val="24"/>
          <w14:ligatures w14:val="none"/>
        </w:rPr>
        <w:t>s</w:t>
      </w:r>
      <w:r w:rsidRPr="004626FB">
        <w:rPr>
          <w:kern w:val="0"/>
          <w:sz w:val="24"/>
          <w:szCs w:val="24"/>
          <w14:ligatures w14:val="none"/>
        </w:rPr>
        <w:t xml:space="preserve"> solicitud</w:t>
      </w:r>
      <w:r w:rsidR="00211999" w:rsidRPr="004626FB">
        <w:rPr>
          <w:kern w:val="0"/>
          <w:sz w:val="24"/>
          <w:szCs w:val="24"/>
          <w14:ligatures w14:val="none"/>
        </w:rPr>
        <w:t>es</w:t>
      </w:r>
      <w:r w:rsidR="00DA7390" w:rsidRPr="004626FB">
        <w:rPr>
          <w:kern w:val="0"/>
          <w:sz w:val="24"/>
          <w:szCs w:val="24"/>
          <w14:ligatures w14:val="none"/>
        </w:rPr>
        <w:t xml:space="preserve">, </w:t>
      </w:r>
      <w:r w:rsidRPr="004626FB">
        <w:rPr>
          <w:kern w:val="0"/>
          <w:sz w:val="24"/>
          <w:szCs w:val="24"/>
          <w14:ligatures w14:val="none"/>
        </w:rPr>
        <w:t xml:space="preserve">y iii) </w:t>
      </w:r>
      <w:r w:rsidR="001A172E" w:rsidRPr="004626FB">
        <w:rPr>
          <w:kern w:val="0"/>
          <w:sz w:val="24"/>
          <w:szCs w:val="24"/>
          <w14:ligatures w14:val="none"/>
        </w:rPr>
        <w:t>contienen</w:t>
      </w:r>
      <w:r w:rsidRPr="004626FB">
        <w:rPr>
          <w:kern w:val="0"/>
          <w:sz w:val="24"/>
          <w:szCs w:val="24"/>
          <w14:ligatures w14:val="none"/>
        </w:rPr>
        <w:t xml:space="preserve"> la información mínima listada en el citado numeral.</w:t>
      </w:r>
      <w:r w:rsidR="00DA7390" w:rsidRPr="004626FB">
        <w:rPr>
          <w:kern w:val="0"/>
          <w:sz w:val="24"/>
          <w:szCs w:val="24"/>
          <w14:ligatures w14:val="none"/>
        </w:rPr>
        <w:t xml:space="preserve"> </w:t>
      </w:r>
    </w:p>
    <w:p w14:paraId="1E27B0D2" w14:textId="53266E5E" w:rsidR="002C7D54" w:rsidRPr="004626FB" w:rsidRDefault="002C7D54" w:rsidP="009A6483">
      <w:pPr>
        <w:jc w:val="both"/>
        <w:rPr>
          <w:bCs/>
          <w:kern w:val="0"/>
          <w:sz w:val="24"/>
          <w:szCs w:val="24"/>
          <w:lang w:val="es-ES"/>
          <w14:ligatures w14:val="none"/>
        </w:rPr>
      </w:pPr>
      <w:r w:rsidRPr="004626FB">
        <w:rPr>
          <w:bCs/>
          <w:kern w:val="0"/>
          <w:sz w:val="24"/>
          <w:szCs w:val="24"/>
          <w:lang w:val="es-ES"/>
          <w14:ligatures w14:val="none"/>
        </w:rPr>
        <w:t xml:space="preserve">Por lo anterior, esta Comisión encuentra procedente iniciar la actuación administrativa tendiente a decidir </w:t>
      </w:r>
      <w:r w:rsidR="00C41B88">
        <w:rPr>
          <w:bCs/>
          <w:kern w:val="0"/>
          <w:sz w:val="24"/>
          <w:szCs w:val="24"/>
          <w:lang w:val="es-ES"/>
          <w14:ligatures w14:val="none"/>
        </w:rPr>
        <w:t xml:space="preserve">sobre </w:t>
      </w:r>
      <w:r w:rsidRPr="004626FB">
        <w:rPr>
          <w:bCs/>
          <w:kern w:val="0"/>
          <w:sz w:val="24"/>
          <w:szCs w:val="24"/>
          <w:lang w:val="es-ES"/>
          <w14:ligatures w14:val="none"/>
        </w:rPr>
        <w:t>la</w:t>
      </w:r>
      <w:r w:rsidR="00B6039D" w:rsidRPr="004626FB">
        <w:rPr>
          <w:bCs/>
          <w:kern w:val="0"/>
          <w:sz w:val="24"/>
          <w:szCs w:val="24"/>
          <w:lang w:val="es-ES"/>
          <w14:ligatures w14:val="none"/>
        </w:rPr>
        <w:t>s</w:t>
      </w:r>
      <w:r w:rsidRPr="004626FB">
        <w:rPr>
          <w:bCs/>
          <w:kern w:val="0"/>
          <w:sz w:val="24"/>
          <w:szCs w:val="24"/>
          <w:lang w:val="es-ES"/>
          <w14:ligatures w14:val="none"/>
        </w:rPr>
        <w:t xml:space="preserve"> solicitud</w:t>
      </w:r>
      <w:r w:rsidR="00B6039D" w:rsidRPr="004626FB">
        <w:rPr>
          <w:bCs/>
          <w:kern w:val="0"/>
          <w:sz w:val="24"/>
          <w:szCs w:val="24"/>
          <w:lang w:val="es-ES"/>
          <w14:ligatures w14:val="none"/>
        </w:rPr>
        <w:t>es</w:t>
      </w:r>
      <w:r w:rsidRPr="004626FB">
        <w:rPr>
          <w:bCs/>
          <w:kern w:val="0"/>
          <w:sz w:val="24"/>
          <w:szCs w:val="24"/>
          <w:lang w:val="es-ES"/>
          <w14:ligatures w14:val="none"/>
        </w:rPr>
        <w:t xml:space="preserve"> presentada</w:t>
      </w:r>
      <w:r w:rsidR="00B6039D" w:rsidRPr="004626FB">
        <w:rPr>
          <w:bCs/>
          <w:kern w:val="0"/>
          <w:sz w:val="24"/>
          <w:szCs w:val="24"/>
          <w:lang w:val="es-ES"/>
          <w14:ligatures w14:val="none"/>
        </w:rPr>
        <w:t>s</w:t>
      </w:r>
      <w:r w:rsidRPr="004626FB">
        <w:rPr>
          <w:bCs/>
          <w:kern w:val="0"/>
          <w:sz w:val="24"/>
          <w:szCs w:val="24"/>
          <w:lang w:val="es-ES"/>
          <w14:ligatures w14:val="none"/>
        </w:rPr>
        <w:t xml:space="preserve"> por la ELECTRIFICADORA DE SANTANDER S.A. E.S.P </w:t>
      </w:r>
      <w:r w:rsidR="00816AF6">
        <w:rPr>
          <w:bCs/>
          <w:kern w:val="0"/>
          <w:sz w:val="24"/>
          <w:szCs w:val="24"/>
          <w:lang w:val="es-ES"/>
          <w14:ligatures w14:val="none"/>
        </w:rPr>
        <w:t>para</w:t>
      </w:r>
      <w:r w:rsidRPr="004626FB">
        <w:rPr>
          <w:bCs/>
          <w:kern w:val="0"/>
          <w:sz w:val="24"/>
          <w:szCs w:val="24"/>
          <w:lang w:val="es-ES"/>
          <w14:ligatures w14:val="none"/>
        </w:rPr>
        <w:t xml:space="preserve"> el ajuste al plan de inversiones, período 2023-2027, y la remuneración de </w:t>
      </w:r>
      <w:r w:rsidR="00B6039D" w:rsidRPr="004626FB">
        <w:rPr>
          <w:bCs/>
          <w:kern w:val="0"/>
          <w:sz w:val="24"/>
          <w:szCs w:val="24"/>
          <w:lang w:val="es-ES"/>
          <w14:ligatures w14:val="none"/>
        </w:rPr>
        <w:t xml:space="preserve">los </w:t>
      </w:r>
      <w:r w:rsidRPr="004626FB">
        <w:rPr>
          <w:bCs/>
          <w:kern w:val="0"/>
          <w:sz w:val="24"/>
          <w:szCs w:val="24"/>
          <w:lang w:val="es-ES"/>
          <w14:ligatures w14:val="none"/>
        </w:rPr>
        <w:t>proyectos de expansión de cobertura en zonas interconectables para l</w:t>
      </w:r>
      <w:r w:rsidR="00B6039D" w:rsidRPr="004626FB">
        <w:rPr>
          <w:bCs/>
          <w:kern w:val="0"/>
          <w:sz w:val="24"/>
          <w:szCs w:val="24"/>
          <w:lang w:val="es-ES"/>
          <w14:ligatures w14:val="none"/>
        </w:rPr>
        <w:t>os</w:t>
      </w:r>
      <w:r w:rsidRPr="004626FB">
        <w:rPr>
          <w:bCs/>
          <w:kern w:val="0"/>
          <w:sz w:val="24"/>
          <w:szCs w:val="24"/>
          <w:lang w:val="es-ES"/>
          <w14:ligatures w14:val="none"/>
        </w:rPr>
        <w:t xml:space="preserve"> año</w:t>
      </w:r>
      <w:r w:rsidR="00B6039D" w:rsidRPr="004626FB">
        <w:rPr>
          <w:bCs/>
          <w:kern w:val="0"/>
          <w:sz w:val="24"/>
          <w:szCs w:val="24"/>
          <w:lang w:val="es-ES"/>
          <w14:ligatures w14:val="none"/>
        </w:rPr>
        <w:t>s</w:t>
      </w:r>
      <w:r w:rsidRPr="004626FB">
        <w:rPr>
          <w:bCs/>
          <w:kern w:val="0"/>
          <w:sz w:val="24"/>
          <w:szCs w:val="24"/>
          <w:lang w:val="es-ES"/>
          <w14:ligatures w14:val="none"/>
        </w:rPr>
        <w:t xml:space="preserve"> 2023</w:t>
      </w:r>
      <w:r w:rsidR="00B6039D" w:rsidRPr="004626FB">
        <w:rPr>
          <w:bCs/>
          <w:kern w:val="0"/>
          <w:sz w:val="24"/>
          <w:szCs w:val="24"/>
          <w:lang w:val="es-ES"/>
          <w14:ligatures w14:val="none"/>
        </w:rPr>
        <w:t xml:space="preserve"> y 2024</w:t>
      </w:r>
      <w:r w:rsidRPr="004626FB">
        <w:rPr>
          <w:bCs/>
          <w:kern w:val="0"/>
          <w:sz w:val="24"/>
          <w:szCs w:val="24"/>
          <w:lang w:val="es-ES"/>
          <w14:ligatures w14:val="none"/>
        </w:rPr>
        <w:t>.</w:t>
      </w:r>
    </w:p>
    <w:p w14:paraId="75A1B9A2" w14:textId="007D33DA" w:rsidR="002C7D54" w:rsidRPr="004626FB" w:rsidRDefault="002C7D54" w:rsidP="002C7D54">
      <w:pPr>
        <w:jc w:val="both"/>
        <w:rPr>
          <w:bCs/>
          <w:kern w:val="0"/>
          <w:sz w:val="24"/>
          <w:szCs w:val="24"/>
          <w:lang w:val="es-ES"/>
          <w14:ligatures w14:val="none"/>
        </w:rPr>
      </w:pPr>
      <w:r w:rsidRPr="004626FB">
        <w:rPr>
          <w:bCs/>
          <w:kern w:val="0"/>
          <w:sz w:val="24"/>
          <w:szCs w:val="24"/>
          <w:lang w:val="es-ES"/>
          <w14:ligatures w14:val="none"/>
        </w:rPr>
        <w:t>De conformidad con el numeral 1 del artículo 7 del Decreto 1260 de 2013, le corresponde al director ejecutivo, impulsar las actuaciones administrativas tendientes a la expedición de las decisiones misionales.</w:t>
      </w:r>
    </w:p>
    <w:p w14:paraId="1E9C223C" w14:textId="11EB6BFB" w:rsidR="002C7D54" w:rsidRPr="004626FB" w:rsidRDefault="002C7D54" w:rsidP="002C7D54">
      <w:pPr>
        <w:rPr>
          <w:bCs/>
          <w:kern w:val="0"/>
          <w:sz w:val="24"/>
          <w:szCs w:val="24"/>
          <w:lang w:val="es-ES"/>
          <w14:ligatures w14:val="none"/>
        </w:rPr>
      </w:pPr>
      <w:r w:rsidRPr="004626FB">
        <w:rPr>
          <w:bCs/>
          <w:kern w:val="0"/>
          <w:sz w:val="24"/>
          <w:szCs w:val="24"/>
          <w:lang w:val="es-ES"/>
          <w14:ligatures w14:val="none"/>
        </w:rPr>
        <w:t>En mérito de lo expuesto;</w:t>
      </w:r>
    </w:p>
    <w:p w14:paraId="7FDB924F" w14:textId="5B3B8BAC" w:rsidR="002C7D54" w:rsidRPr="004626FB" w:rsidRDefault="002C7D54" w:rsidP="002C7D54">
      <w:pPr>
        <w:jc w:val="center"/>
        <w:rPr>
          <w:b/>
          <w:bCs/>
          <w:kern w:val="0"/>
          <w:sz w:val="24"/>
          <w:szCs w:val="24"/>
          <w:lang w:val="es-ES"/>
          <w14:ligatures w14:val="none"/>
        </w:rPr>
      </w:pPr>
      <w:r w:rsidRPr="004626FB">
        <w:rPr>
          <w:b/>
          <w:bCs/>
          <w:kern w:val="0"/>
          <w:sz w:val="24"/>
          <w:szCs w:val="24"/>
          <w:lang w:val="es-ES"/>
          <w14:ligatures w14:val="none"/>
        </w:rPr>
        <w:t>RESUELVE:</w:t>
      </w:r>
    </w:p>
    <w:p w14:paraId="2588E061" w14:textId="77777777" w:rsidR="002C7D54" w:rsidRPr="004626FB" w:rsidRDefault="002C7D54" w:rsidP="002C7D54">
      <w:pPr>
        <w:jc w:val="both"/>
        <w:rPr>
          <w:bCs/>
          <w:kern w:val="0"/>
          <w:sz w:val="24"/>
          <w:szCs w:val="24"/>
          <w:lang w:val="es-ES"/>
          <w14:ligatures w14:val="none"/>
        </w:rPr>
      </w:pPr>
    </w:p>
    <w:p w14:paraId="05A7D51F" w14:textId="2E6231C2" w:rsidR="002C7D54" w:rsidRPr="004626FB" w:rsidRDefault="002C7D54" w:rsidP="002C7D54">
      <w:pPr>
        <w:jc w:val="both"/>
        <w:rPr>
          <w:bCs/>
          <w:kern w:val="0"/>
          <w:sz w:val="24"/>
          <w:szCs w:val="24"/>
          <w:lang w:val="es-ES"/>
          <w14:ligatures w14:val="none"/>
        </w:rPr>
      </w:pPr>
      <w:r w:rsidRPr="004626FB">
        <w:rPr>
          <w:b/>
          <w:bCs/>
          <w:kern w:val="0"/>
          <w:sz w:val="24"/>
          <w:szCs w:val="24"/>
          <w:lang w:val="es-ES"/>
          <w14:ligatures w14:val="none"/>
        </w:rPr>
        <w:t>PRIMERO.</w:t>
      </w:r>
      <w:r w:rsidRPr="004626FB">
        <w:rPr>
          <w:bCs/>
          <w:kern w:val="0"/>
          <w:sz w:val="24"/>
          <w:szCs w:val="24"/>
          <w:lang w:val="es-ES"/>
          <w14:ligatures w14:val="none"/>
        </w:rPr>
        <w:t xml:space="preserve"> Iniciar la respectiva actuación administrativa, con el objeto de decidir sobre la solicitud presentada</w:t>
      </w:r>
      <w:r w:rsidR="002B3990" w:rsidRPr="004626FB">
        <w:rPr>
          <w:bCs/>
          <w:kern w:val="0"/>
          <w:sz w:val="24"/>
          <w:szCs w:val="24"/>
          <w:lang w:val="es-ES"/>
          <w14:ligatures w14:val="none"/>
        </w:rPr>
        <w:t xml:space="preserve"> </w:t>
      </w:r>
      <w:r w:rsidR="009A70BC" w:rsidRPr="004626FB">
        <w:rPr>
          <w:bCs/>
          <w:kern w:val="0"/>
          <w:sz w:val="24"/>
          <w:szCs w:val="24"/>
          <w:lang w:val="es-ES"/>
          <w14:ligatures w14:val="none"/>
        </w:rPr>
        <w:t xml:space="preserve">por el OR </w:t>
      </w:r>
      <w:r w:rsidR="008B778E" w:rsidRPr="004626FB">
        <w:rPr>
          <w:bCs/>
          <w:kern w:val="0"/>
          <w:sz w:val="24"/>
          <w:szCs w:val="24"/>
          <w:lang w:val="es-ES"/>
          <w14:ligatures w14:val="none"/>
        </w:rPr>
        <w:t xml:space="preserve">para el ajuste </w:t>
      </w:r>
      <w:r w:rsidR="000C08DF" w:rsidRPr="004626FB">
        <w:rPr>
          <w:bCs/>
          <w:kern w:val="0"/>
          <w:sz w:val="24"/>
          <w:szCs w:val="24"/>
          <w:lang w:val="es-ES"/>
          <w14:ligatures w14:val="none"/>
        </w:rPr>
        <w:t>de</w:t>
      </w:r>
      <w:r w:rsidR="008B778E" w:rsidRPr="004626FB">
        <w:rPr>
          <w:bCs/>
          <w:kern w:val="0"/>
          <w:sz w:val="24"/>
          <w:szCs w:val="24"/>
          <w:lang w:val="es-ES"/>
          <w14:ligatures w14:val="none"/>
        </w:rPr>
        <w:t>l plan de inversiones</w:t>
      </w:r>
      <w:r w:rsidR="00D24ECA" w:rsidRPr="004626FB">
        <w:rPr>
          <w:bCs/>
          <w:kern w:val="0"/>
          <w:sz w:val="24"/>
          <w:szCs w:val="24"/>
          <w:lang w:val="es-ES"/>
          <w14:ligatures w14:val="none"/>
        </w:rPr>
        <w:t>,</w:t>
      </w:r>
      <w:r w:rsidR="008B778E" w:rsidRPr="004626FB">
        <w:rPr>
          <w:bCs/>
          <w:kern w:val="0"/>
          <w:sz w:val="24"/>
          <w:szCs w:val="24"/>
          <w:lang w:val="es-ES"/>
          <w14:ligatures w14:val="none"/>
        </w:rPr>
        <w:t xml:space="preserve"> </w:t>
      </w:r>
      <w:r w:rsidR="0055439C" w:rsidRPr="004626FB">
        <w:rPr>
          <w:bCs/>
          <w:kern w:val="0"/>
          <w:sz w:val="24"/>
          <w:szCs w:val="24"/>
          <w:lang w:val="es-ES"/>
          <w14:ligatures w14:val="none"/>
        </w:rPr>
        <w:t>periodo 2023-2027</w:t>
      </w:r>
      <w:r w:rsidR="00D24ECA" w:rsidRPr="004626FB">
        <w:rPr>
          <w:bCs/>
          <w:kern w:val="0"/>
          <w:sz w:val="24"/>
          <w:szCs w:val="24"/>
          <w:lang w:val="es-ES"/>
          <w14:ligatures w14:val="none"/>
        </w:rPr>
        <w:t>,</w:t>
      </w:r>
      <w:r w:rsidR="006A66EE" w:rsidRPr="004626FB">
        <w:rPr>
          <w:bCs/>
          <w:kern w:val="0"/>
          <w:sz w:val="24"/>
          <w:szCs w:val="24"/>
          <w:lang w:val="es-ES"/>
          <w14:ligatures w14:val="none"/>
        </w:rPr>
        <w:t xml:space="preserve"> </w:t>
      </w:r>
      <w:r w:rsidR="008B778E" w:rsidRPr="004626FB">
        <w:rPr>
          <w:bCs/>
          <w:kern w:val="0"/>
          <w:sz w:val="24"/>
          <w:szCs w:val="24"/>
          <w:lang w:val="es-ES"/>
          <w14:ligatures w14:val="none"/>
        </w:rPr>
        <w:t xml:space="preserve">y las </w:t>
      </w:r>
      <w:r w:rsidR="002B3990" w:rsidRPr="004626FB">
        <w:rPr>
          <w:bCs/>
          <w:kern w:val="0"/>
          <w:sz w:val="24"/>
          <w:szCs w:val="24"/>
          <w:lang w:val="es-ES"/>
          <w14:ligatures w14:val="none"/>
        </w:rPr>
        <w:t xml:space="preserve">solicitudes </w:t>
      </w:r>
      <w:r w:rsidR="00201479" w:rsidRPr="004626FB">
        <w:rPr>
          <w:kern w:val="0"/>
          <w:sz w:val="24"/>
          <w:szCs w:val="24"/>
          <w14:ligatures w14:val="none"/>
        </w:rPr>
        <w:t>para la remuneración de los proyectos de expansión de cobertura en zonas interconectables</w:t>
      </w:r>
      <w:r w:rsidR="00E07BA1" w:rsidRPr="004626FB">
        <w:rPr>
          <w:kern w:val="0"/>
          <w:sz w:val="24"/>
          <w:szCs w:val="24"/>
          <w14:ligatures w14:val="none"/>
        </w:rPr>
        <w:t xml:space="preserve"> para los años 2023 y 2024.</w:t>
      </w:r>
    </w:p>
    <w:p w14:paraId="12A7B625" w14:textId="53DF4319" w:rsidR="002C7D54" w:rsidRPr="004626FB" w:rsidRDefault="002C7D54" w:rsidP="002C7D54">
      <w:pPr>
        <w:jc w:val="both"/>
        <w:rPr>
          <w:bCs/>
          <w:kern w:val="0"/>
          <w:sz w:val="24"/>
          <w:szCs w:val="24"/>
          <w:lang w:val="es-ES"/>
          <w14:ligatures w14:val="none"/>
        </w:rPr>
      </w:pPr>
      <w:r w:rsidRPr="004626FB">
        <w:rPr>
          <w:b/>
          <w:bCs/>
          <w:kern w:val="0"/>
          <w:sz w:val="24"/>
          <w:szCs w:val="24"/>
          <w:lang w:val="es-ES"/>
          <w14:ligatures w14:val="none"/>
        </w:rPr>
        <w:t>SEGUNDO.</w:t>
      </w:r>
      <w:r w:rsidRPr="004626FB">
        <w:rPr>
          <w:bCs/>
          <w:kern w:val="0"/>
          <w:sz w:val="24"/>
          <w:szCs w:val="24"/>
          <w:lang w:val="es-ES"/>
          <w14:ligatures w14:val="none"/>
        </w:rPr>
        <w:t xml:space="preserve"> Asignar la presente actuación al Expediente </w:t>
      </w:r>
      <w:r w:rsidR="00912D95" w:rsidRPr="004626FB">
        <w:rPr>
          <w:bCs/>
          <w:kern w:val="0"/>
          <w:sz w:val="24"/>
          <w:szCs w:val="24"/>
          <w:lang w:val="es-ES"/>
          <w14:ligatures w14:val="none"/>
        </w:rPr>
        <w:t>20230070</w:t>
      </w:r>
      <w:r w:rsidRPr="004626FB">
        <w:rPr>
          <w:bCs/>
          <w:kern w:val="0"/>
          <w:sz w:val="24"/>
          <w:szCs w:val="24"/>
          <w:lang w:val="es-ES"/>
          <w14:ligatures w14:val="none"/>
        </w:rPr>
        <w:t>.</w:t>
      </w:r>
    </w:p>
    <w:p w14:paraId="66F59B49" w14:textId="6FBB2D0B" w:rsidR="002C7D54" w:rsidRPr="004626FB" w:rsidRDefault="002C7D54" w:rsidP="002C7D54">
      <w:pPr>
        <w:jc w:val="both"/>
        <w:rPr>
          <w:bCs/>
          <w:kern w:val="0"/>
          <w:sz w:val="24"/>
          <w:szCs w:val="24"/>
          <w:lang w:val="es-ES"/>
          <w14:ligatures w14:val="none"/>
        </w:rPr>
      </w:pPr>
      <w:r w:rsidRPr="004626FB">
        <w:rPr>
          <w:b/>
          <w:bCs/>
          <w:kern w:val="0"/>
          <w:sz w:val="24"/>
          <w:szCs w:val="24"/>
          <w:lang w:val="es-ES"/>
          <w14:ligatures w14:val="none"/>
        </w:rPr>
        <w:lastRenderedPageBreak/>
        <w:t>TERCERO.</w:t>
      </w:r>
      <w:r w:rsidRPr="004626FB">
        <w:rPr>
          <w:bCs/>
          <w:kern w:val="0"/>
          <w:sz w:val="24"/>
          <w:szCs w:val="24"/>
          <w:lang w:val="es-ES"/>
          <w14:ligatures w14:val="none"/>
        </w:rPr>
        <w:t xml:space="preserve"> Publicar en la página Web de la CREG y en el </w:t>
      </w:r>
      <w:r w:rsidRPr="004626FB">
        <w:rPr>
          <w:bCs/>
          <w:i/>
          <w:iCs/>
          <w:kern w:val="0"/>
          <w:sz w:val="24"/>
          <w:szCs w:val="24"/>
          <w:lang w:val="es-ES"/>
          <w14:ligatures w14:val="none"/>
        </w:rPr>
        <w:t>Diario Oficial</w:t>
      </w:r>
      <w:r w:rsidRPr="004626FB">
        <w:rPr>
          <w:bCs/>
          <w:kern w:val="0"/>
          <w:sz w:val="24"/>
          <w:szCs w:val="24"/>
          <w:lang w:val="es-ES"/>
          <w14:ligatures w14:val="none"/>
        </w:rPr>
        <w:t>, el extracto que para los efectos del artículo 37 del Código de Procedimiento Administrativo y de lo Contencioso Administrativo se anexa al presente auto.</w:t>
      </w:r>
    </w:p>
    <w:p w14:paraId="128AD5DE" w14:textId="20DB59C7" w:rsidR="002C7D54" w:rsidRPr="004626FB" w:rsidRDefault="002C7D54" w:rsidP="002C7D54">
      <w:pPr>
        <w:jc w:val="both"/>
        <w:rPr>
          <w:bCs/>
          <w:kern w:val="0"/>
          <w:sz w:val="24"/>
          <w:szCs w:val="24"/>
          <w:lang w:val="es-ES"/>
          <w14:ligatures w14:val="none"/>
        </w:rPr>
      </w:pPr>
      <w:r w:rsidRPr="004626FB">
        <w:rPr>
          <w:b/>
          <w:bCs/>
          <w:kern w:val="0"/>
          <w:sz w:val="24"/>
          <w:szCs w:val="24"/>
          <w:lang w:val="es-ES"/>
          <w14:ligatures w14:val="none"/>
        </w:rPr>
        <w:t>CUARTO.</w:t>
      </w:r>
      <w:r w:rsidRPr="004626FB">
        <w:rPr>
          <w:bCs/>
          <w:kern w:val="0"/>
          <w:sz w:val="24"/>
          <w:szCs w:val="24"/>
          <w:lang w:val="es-ES"/>
          <w14:ligatures w14:val="none"/>
        </w:rPr>
        <w:t xml:space="preserve"> Comunicar </w:t>
      </w:r>
      <w:r w:rsidR="008702DB" w:rsidRPr="004626FB">
        <w:rPr>
          <w:bCs/>
          <w:kern w:val="0"/>
          <w:sz w:val="24"/>
          <w:szCs w:val="24"/>
          <w:lang w:val="es-ES"/>
          <w14:ligatures w14:val="none"/>
        </w:rPr>
        <w:t xml:space="preserve">el contenido del presente auto </w:t>
      </w:r>
      <w:r w:rsidRPr="004626FB">
        <w:rPr>
          <w:bCs/>
          <w:kern w:val="0"/>
          <w:sz w:val="24"/>
          <w:szCs w:val="24"/>
          <w:lang w:val="es-ES"/>
          <w14:ligatures w14:val="none"/>
        </w:rPr>
        <w:t>a la ELECTRIFICADORA DE SANTANDER S.A. E.S.P.</w:t>
      </w:r>
    </w:p>
    <w:p w14:paraId="507FE157" w14:textId="77777777" w:rsidR="00D365F1" w:rsidRPr="004626FB" w:rsidRDefault="00D365F1" w:rsidP="00E50589">
      <w:pPr>
        <w:spacing w:after="360"/>
        <w:jc w:val="both"/>
        <w:rPr>
          <w:bCs/>
          <w:kern w:val="0"/>
          <w:sz w:val="24"/>
          <w:szCs w:val="24"/>
          <w:lang w:val="es-ES"/>
          <w14:ligatures w14:val="none"/>
        </w:rPr>
      </w:pPr>
    </w:p>
    <w:p w14:paraId="2DCD903B" w14:textId="7CCAC15D" w:rsidR="00C30526" w:rsidRPr="004626FB" w:rsidRDefault="00C30526" w:rsidP="00C30526">
      <w:pPr>
        <w:jc w:val="center"/>
        <w:rPr>
          <w:b/>
          <w:bCs/>
          <w:kern w:val="0"/>
          <w:sz w:val="24"/>
          <w:szCs w:val="24"/>
          <w14:ligatures w14:val="none"/>
        </w:rPr>
      </w:pPr>
      <w:r w:rsidRPr="004626FB">
        <w:rPr>
          <w:b/>
          <w:bCs/>
          <w:kern w:val="0"/>
          <w:sz w:val="24"/>
          <w:szCs w:val="24"/>
          <w14:ligatures w14:val="none"/>
        </w:rPr>
        <w:t>COMUNÍQUESE, PUBLÍQUESE Y CÚMPLASE</w:t>
      </w:r>
    </w:p>
    <w:p w14:paraId="4222F67C" w14:textId="77777777" w:rsidR="00C30526" w:rsidRPr="004626FB" w:rsidRDefault="00C30526" w:rsidP="00C30526">
      <w:pPr>
        <w:jc w:val="center"/>
        <w:rPr>
          <w:b/>
          <w:bCs/>
          <w:kern w:val="0"/>
          <w:sz w:val="24"/>
          <w:szCs w:val="24"/>
          <w14:ligatures w14:val="none"/>
        </w:rPr>
      </w:pPr>
    </w:p>
    <w:p w14:paraId="5256BEB9" w14:textId="54F49D5F" w:rsidR="00C30526" w:rsidRPr="004626FB" w:rsidRDefault="00C30526" w:rsidP="00D365F1">
      <w:pPr>
        <w:ind w:left="1416" w:hanging="1416"/>
        <w:jc w:val="center"/>
        <w:rPr>
          <w:kern w:val="0"/>
          <w:sz w:val="24"/>
          <w:szCs w:val="24"/>
          <w14:ligatures w14:val="none"/>
        </w:rPr>
      </w:pPr>
    </w:p>
    <w:p w14:paraId="36C1E85C" w14:textId="7F4B652A" w:rsidR="00C30526" w:rsidRPr="004626FB" w:rsidRDefault="00C30526" w:rsidP="00C30526">
      <w:pPr>
        <w:jc w:val="center"/>
        <w:rPr>
          <w:kern w:val="0"/>
          <w:sz w:val="24"/>
          <w:szCs w:val="24"/>
          <w14:ligatures w14:val="none"/>
        </w:rPr>
      </w:pPr>
      <w:r w:rsidRPr="004626FB">
        <w:rPr>
          <w:kern w:val="0"/>
          <w:sz w:val="24"/>
          <w:szCs w:val="24"/>
          <w14:ligatures w14:val="none"/>
        </w:rPr>
        <w:t>JOSE FERNANDO PRADA RÍOS</w:t>
      </w:r>
    </w:p>
    <w:p w14:paraId="3FB82671" w14:textId="47069CD9" w:rsidR="00142756" w:rsidRPr="00D365F1" w:rsidRDefault="00C30526" w:rsidP="00D365F1">
      <w:pPr>
        <w:jc w:val="center"/>
        <w:rPr>
          <w:kern w:val="0"/>
          <w:sz w:val="24"/>
          <w:szCs w:val="24"/>
          <w14:ligatures w14:val="none"/>
        </w:rPr>
      </w:pPr>
      <w:r w:rsidRPr="004626FB">
        <w:rPr>
          <w:kern w:val="0"/>
          <w:sz w:val="24"/>
          <w:szCs w:val="24"/>
          <w14:ligatures w14:val="none"/>
        </w:rPr>
        <w:t>Director Ejecutivo</w:t>
      </w:r>
    </w:p>
    <w:sectPr w:rsidR="00142756" w:rsidRPr="00D365F1" w:rsidSect="00142756">
      <w:headerReference w:type="default" r:id="rId9"/>
      <w:footerReference w:type="default" r:id="rId10"/>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8480" w14:textId="77777777" w:rsidR="00CB6812" w:rsidRDefault="00CB6812" w:rsidP="00142756">
      <w:pPr>
        <w:spacing w:after="0" w:line="240" w:lineRule="auto"/>
      </w:pPr>
      <w:r>
        <w:separator/>
      </w:r>
    </w:p>
  </w:endnote>
  <w:endnote w:type="continuationSeparator" w:id="0">
    <w:p w14:paraId="38DA04D2" w14:textId="77777777" w:rsidR="00CB6812" w:rsidRDefault="00CB6812"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39D2" w14:textId="77777777" w:rsidR="00CB6812" w:rsidRDefault="00CB6812" w:rsidP="00142756">
      <w:pPr>
        <w:spacing w:after="0" w:line="240" w:lineRule="auto"/>
      </w:pPr>
      <w:r>
        <w:separator/>
      </w:r>
    </w:p>
  </w:footnote>
  <w:footnote w:type="continuationSeparator" w:id="0">
    <w:p w14:paraId="7290CF1E" w14:textId="77777777" w:rsidR="00CB6812" w:rsidRDefault="00CB6812" w:rsidP="0014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51A8" w14:textId="535AD990" w:rsidR="00142756" w:rsidRDefault="00142756">
    <w:pPr>
      <w:pStyle w:val="Encabezado"/>
    </w:pPr>
    <w:r>
      <w:rPr>
        <w:noProof/>
      </w:rPr>
      <w:drawing>
        <wp:anchor distT="0" distB="0" distL="114300" distR="114300" simplePos="0" relativeHeight="251659264" behindDoc="0" locked="0" layoutInCell="1" allowOverlap="1" wp14:anchorId="26BE87EA" wp14:editId="3AC320DB">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2D810A9" wp14:editId="18269B94">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56545"/>
    <w:rsid w:val="00090554"/>
    <w:rsid w:val="000C08DF"/>
    <w:rsid w:val="000C7FE8"/>
    <w:rsid w:val="000D1CBC"/>
    <w:rsid w:val="000F3027"/>
    <w:rsid w:val="00100FC6"/>
    <w:rsid w:val="00142756"/>
    <w:rsid w:val="001653F2"/>
    <w:rsid w:val="001A172E"/>
    <w:rsid w:val="001C1F8E"/>
    <w:rsid w:val="001D2548"/>
    <w:rsid w:val="001D5CC3"/>
    <w:rsid w:val="001E088A"/>
    <w:rsid w:val="00201479"/>
    <w:rsid w:val="00211999"/>
    <w:rsid w:val="00214FF8"/>
    <w:rsid w:val="00262C51"/>
    <w:rsid w:val="002B3990"/>
    <w:rsid w:val="002C7D54"/>
    <w:rsid w:val="002F2230"/>
    <w:rsid w:val="00324E0C"/>
    <w:rsid w:val="00332D78"/>
    <w:rsid w:val="003B3B27"/>
    <w:rsid w:val="003B5515"/>
    <w:rsid w:val="003D3988"/>
    <w:rsid w:val="004042FE"/>
    <w:rsid w:val="004626FB"/>
    <w:rsid w:val="00472FE0"/>
    <w:rsid w:val="004D07F0"/>
    <w:rsid w:val="004D08CA"/>
    <w:rsid w:val="004D2334"/>
    <w:rsid w:val="00502AE6"/>
    <w:rsid w:val="005044AE"/>
    <w:rsid w:val="00544B72"/>
    <w:rsid w:val="0055439C"/>
    <w:rsid w:val="0059767A"/>
    <w:rsid w:val="005A2E99"/>
    <w:rsid w:val="005A5DFC"/>
    <w:rsid w:val="005B6650"/>
    <w:rsid w:val="005D3E0B"/>
    <w:rsid w:val="005D7474"/>
    <w:rsid w:val="005E6F9F"/>
    <w:rsid w:val="005F5DB5"/>
    <w:rsid w:val="006065F0"/>
    <w:rsid w:val="0064055C"/>
    <w:rsid w:val="00654A43"/>
    <w:rsid w:val="0069761D"/>
    <w:rsid w:val="006A66EE"/>
    <w:rsid w:val="006C4EC6"/>
    <w:rsid w:val="006E4FD7"/>
    <w:rsid w:val="007142E5"/>
    <w:rsid w:val="00754AD1"/>
    <w:rsid w:val="007C44D6"/>
    <w:rsid w:val="007C70CF"/>
    <w:rsid w:val="00816AF6"/>
    <w:rsid w:val="00855790"/>
    <w:rsid w:val="00857492"/>
    <w:rsid w:val="008702DB"/>
    <w:rsid w:val="008A47D4"/>
    <w:rsid w:val="008B1E20"/>
    <w:rsid w:val="008B778E"/>
    <w:rsid w:val="008D7790"/>
    <w:rsid w:val="008F39CF"/>
    <w:rsid w:val="00912D95"/>
    <w:rsid w:val="009608E8"/>
    <w:rsid w:val="009A6483"/>
    <w:rsid w:val="009A70BC"/>
    <w:rsid w:val="009B5A35"/>
    <w:rsid w:val="009C0F03"/>
    <w:rsid w:val="009C27FB"/>
    <w:rsid w:val="00A27DF4"/>
    <w:rsid w:val="00A37A91"/>
    <w:rsid w:val="00A70D4D"/>
    <w:rsid w:val="00A71FF2"/>
    <w:rsid w:val="00A73A14"/>
    <w:rsid w:val="00A77C42"/>
    <w:rsid w:val="00AA379C"/>
    <w:rsid w:val="00AB5FCD"/>
    <w:rsid w:val="00AE462B"/>
    <w:rsid w:val="00B06A97"/>
    <w:rsid w:val="00B335F1"/>
    <w:rsid w:val="00B502EF"/>
    <w:rsid w:val="00B6039D"/>
    <w:rsid w:val="00B8513A"/>
    <w:rsid w:val="00B9770A"/>
    <w:rsid w:val="00C02544"/>
    <w:rsid w:val="00C30526"/>
    <w:rsid w:val="00C31494"/>
    <w:rsid w:val="00C41B88"/>
    <w:rsid w:val="00CB6812"/>
    <w:rsid w:val="00D24ECA"/>
    <w:rsid w:val="00D365F1"/>
    <w:rsid w:val="00DA7390"/>
    <w:rsid w:val="00E07BA1"/>
    <w:rsid w:val="00E50589"/>
    <w:rsid w:val="00EB2DFD"/>
    <w:rsid w:val="00EC2C30"/>
    <w:rsid w:val="00EC4890"/>
    <w:rsid w:val="00EE6D1C"/>
    <w:rsid w:val="00F443FB"/>
    <w:rsid w:val="00F50851"/>
    <w:rsid w:val="00F7244B"/>
    <w:rsid w:val="00F750B0"/>
    <w:rsid w:val="00F86E10"/>
    <w:rsid w:val="00F9569D"/>
    <w:rsid w:val="00FD5D60"/>
    <w:rsid w:val="00FD73DA"/>
    <w:rsid w:val="00FE05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F750B0"/>
    <w:pPr>
      <w:spacing w:before="240" w:after="360" w:line="360" w:lineRule="auto"/>
    </w:pPr>
    <w:rPr>
      <w:kern w:val="0"/>
      <w:sz w:val="24"/>
      <w:szCs w:val="24"/>
      <w14:ligatures w14:val="none"/>
    </w:rPr>
  </w:style>
  <w:style w:type="paragraph" w:customStyle="1" w:styleId="Asunto">
    <w:name w:val="Asunto"/>
    <w:basedOn w:val="Normal"/>
    <w:qFormat/>
    <w:rsid w:val="00F750B0"/>
    <w:pPr>
      <w:spacing w:before="360" w:after="360" w:line="360" w:lineRule="auto"/>
      <w:contextualSpacing/>
    </w:pPr>
    <w:rPr>
      <w:kern w:val="0"/>
      <w:sz w:val="24"/>
      <w:szCs w:val="24"/>
      <w14:ligatures w14:val="none"/>
    </w:rPr>
  </w:style>
  <w:style w:type="paragraph" w:customStyle="1" w:styleId="Expediente">
    <w:name w:val="Expediente"/>
    <w:basedOn w:val="Asunto"/>
    <w:qFormat/>
    <w:rsid w:val="00F750B0"/>
    <w:pPr>
      <w:spacing w:before="0"/>
    </w:pPr>
  </w:style>
  <w:style w:type="character" w:customStyle="1" w:styleId="DestinarioCar">
    <w:name w:val="Destinario Car"/>
    <w:basedOn w:val="Fuentedeprrafopredeter"/>
    <w:link w:val="Destinario"/>
    <w:locked/>
    <w:rsid w:val="00F750B0"/>
  </w:style>
  <w:style w:type="paragraph" w:customStyle="1" w:styleId="Destinario">
    <w:name w:val="Destinario"/>
    <w:basedOn w:val="Normal"/>
    <w:link w:val="DestinarioCar"/>
    <w:qFormat/>
    <w:rsid w:val="00F750B0"/>
    <w:pPr>
      <w:spacing w:before="120" w:after="120" w:line="360" w:lineRule="auto"/>
      <w:contextualSpacing/>
    </w:pPr>
  </w:style>
  <w:style w:type="paragraph" w:customStyle="1" w:styleId="Cordialmente">
    <w:name w:val="Cordialmente"/>
    <w:basedOn w:val="Normal"/>
    <w:qFormat/>
    <w:rsid w:val="00F750B0"/>
    <w:pPr>
      <w:spacing w:before="120" w:after="480" w:line="360" w:lineRule="auto"/>
    </w:pPr>
    <w:rPr>
      <w:kern w:val="0"/>
      <w:sz w:val="24"/>
      <w:szCs w:val="24"/>
      <w14:ligatures w14:val="none"/>
    </w:rPr>
  </w:style>
  <w:style w:type="paragraph" w:customStyle="1" w:styleId="Director">
    <w:name w:val="Director"/>
    <w:basedOn w:val="Normal"/>
    <w:qFormat/>
    <w:rsid w:val="00F750B0"/>
    <w:pPr>
      <w:spacing w:before="120" w:after="360" w:line="360" w:lineRule="auto"/>
      <w:contextualSpacing/>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77e1b2dd02c432db3bbd3d80e0b2344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a2f22cdf807b8d96067f7b83efad60c"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488654-5A73-42DB-B175-B08691BE5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CF896-8491-4F19-AC84-5209D9FACAB1}">
  <ds:schemaRefs>
    <ds:schemaRef ds:uri="http://schemas.microsoft.com/sharepoint/v3/contenttype/forms"/>
  </ds:schemaRefs>
</ds:datastoreItem>
</file>

<file path=customXml/itemProps3.xml><?xml version="1.0" encoding="utf-8"?>
<ds:datastoreItem xmlns:ds="http://schemas.openxmlformats.org/officeDocument/2006/customXml" ds:itemID="{3E5D7ACB-70B8-4197-BC6F-F331A8716387}">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1168</Words>
  <Characters>6428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Mario Andres Mejia Alzate</cp:lastModifiedBy>
  <cp:revision>69</cp:revision>
  <dcterms:created xsi:type="dcterms:W3CDTF">2023-06-20T16:15:00Z</dcterms:created>
  <dcterms:modified xsi:type="dcterms:W3CDTF">2023-09-21T14:42:00Z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