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43EEB" w14:textId="4932CC50" w:rsidR="00625DC6" w:rsidRPr="00E060BE" w:rsidRDefault="002240A8" w:rsidP="00EA7F8B">
      <w:pPr>
        <w:pStyle w:val="Encabezado"/>
        <w:tabs>
          <w:tab w:val="clear" w:pos="8504"/>
          <w:tab w:val="left" w:pos="0"/>
          <w:tab w:val="right" w:pos="9356"/>
        </w:tabs>
        <w:ind w:left="0"/>
        <w:jc w:val="center"/>
        <w:rPr>
          <w:rFonts w:ascii="Bookman Old Style" w:hAnsi="Bookman Old Style"/>
          <w:szCs w:val="24"/>
        </w:rPr>
      </w:pPr>
      <w:r>
        <w:rPr>
          <w:rFonts w:ascii="Bookman Old Style" w:hAnsi="Bookman Old Style"/>
          <w:noProof/>
          <w:szCs w:val="24"/>
        </w:rPr>
        <w:object w:dxaOrig="1440" w:dyaOrig="1440" w14:anchorId="22F2C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6.8pt;margin-top:-48.55pt;width:38.55pt;height:39.05pt;z-index:251658240" fillcolor="#0c9">
            <v:imagedata r:id="rId11" o:title=""/>
          </v:shape>
          <o:OLEObject Type="Embed" ProgID="PBrush" ShapeID="_x0000_s2050" DrawAspect="Content" ObjectID="_1756808828" r:id="rId12"/>
        </w:object>
      </w:r>
    </w:p>
    <w:p w14:paraId="05D4A61F" w14:textId="77777777" w:rsidR="00CA77FB" w:rsidRPr="00E060BE" w:rsidRDefault="00CA77FB" w:rsidP="000A0E2C">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49F599ED" w14:textId="77777777" w:rsidR="00CA77FB" w:rsidRPr="00E060BE" w:rsidRDefault="00CA77FB" w:rsidP="000A0E2C">
      <w:pPr>
        <w:pStyle w:val="Ttulo4"/>
        <w:tabs>
          <w:tab w:val="left" w:pos="0"/>
          <w:tab w:val="right" w:pos="9356"/>
        </w:tabs>
        <w:ind w:left="0"/>
        <w:rPr>
          <w:rFonts w:ascii="Bookman Old Style" w:hAnsi="Bookman Old Style"/>
          <w:b w:val="0"/>
          <w:bCs/>
          <w:sz w:val="24"/>
          <w:szCs w:val="24"/>
        </w:rPr>
      </w:pPr>
    </w:p>
    <w:p w14:paraId="6E1EE872" w14:textId="77777777" w:rsidR="00CA77FB" w:rsidRPr="00E060BE" w:rsidRDefault="00CA77FB" w:rsidP="000A0E2C">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32C844F7" w14:textId="77777777" w:rsidR="00CA77FB" w:rsidRPr="00E060BE" w:rsidRDefault="00CA77FB" w:rsidP="000A0E2C">
      <w:pPr>
        <w:pStyle w:val="Ttulo5"/>
        <w:tabs>
          <w:tab w:val="left" w:pos="0"/>
          <w:tab w:val="right" w:pos="9356"/>
        </w:tabs>
        <w:ind w:left="0"/>
        <w:rPr>
          <w:rFonts w:ascii="Bookman Old Style" w:hAnsi="Bookman Old Style"/>
          <w:sz w:val="24"/>
          <w:szCs w:val="24"/>
        </w:rPr>
      </w:pPr>
    </w:p>
    <w:p w14:paraId="480A92C5" w14:textId="77777777" w:rsidR="00CA77FB" w:rsidRPr="00E060BE" w:rsidRDefault="00CA77FB" w:rsidP="000A0E2C">
      <w:pPr>
        <w:pStyle w:val="Ttulo5"/>
        <w:tabs>
          <w:tab w:val="left" w:pos="0"/>
          <w:tab w:val="right" w:pos="9356"/>
        </w:tabs>
        <w:ind w:left="0"/>
        <w:rPr>
          <w:rFonts w:ascii="Bookman Old Style" w:hAnsi="Bookman Old Style"/>
          <w:sz w:val="24"/>
          <w:szCs w:val="24"/>
        </w:rPr>
      </w:pPr>
    </w:p>
    <w:p w14:paraId="29FC21EC" w14:textId="4F65391B" w:rsidR="007A53A2" w:rsidRPr="00E95B51" w:rsidRDefault="007A53A2" w:rsidP="007A53A2">
      <w:pPr>
        <w:pStyle w:val="Ttulo5"/>
        <w:tabs>
          <w:tab w:val="left" w:pos="0"/>
          <w:tab w:val="right" w:pos="9356"/>
        </w:tabs>
        <w:ind w:left="0"/>
        <w:rPr>
          <w:rFonts w:ascii="Bookman Old Style" w:hAnsi="Bookman Old Style"/>
          <w:sz w:val="32"/>
          <w:szCs w:val="32"/>
        </w:rPr>
      </w:pPr>
      <w:r>
        <w:rPr>
          <w:rFonts w:ascii="Bookman Old Style" w:hAnsi="Bookman Old Style"/>
          <w:sz w:val="24"/>
          <w:szCs w:val="24"/>
        </w:rPr>
        <w:t xml:space="preserve">PROYECTO DE </w:t>
      </w:r>
      <w:r w:rsidRPr="00E060BE">
        <w:rPr>
          <w:rFonts w:ascii="Bookman Old Style" w:hAnsi="Bookman Old Style"/>
          <w:sz w:val="24"/>
          <w:szCs w:val="24"/>
        </w:rPr>
        <w:t xml:space="preserve">RESOLUCIÓN No. </w:t>
      </w:r>
      <w:r w:rsidR="0098400B">
        <w:rPr>
          <w:rFonts w:ascii="Bookman Old Style" w:hAnsi="Bookman Old Style"/>
          <w:sz w:val="32"/>
          <w:szCs w:val="32"/>
        </w:rPr>
        <w:t>701 024</w:t>
      </w:r>
    </w:p>
    <w:p w14:paraId="3FB00543" w14:textId="77777777" w:rsidR="00D77EDC" w:rsidRPr="00E060BE" w:rsidRDefault="00D77EDC" w:rsidP="00E95B51">
      <w:pPr>
        <w:tabs>
          <w:tab w:val="left" w:pos="0"/>
          <w:tab w:val="right" w:pos="9356"/>
        </w:tabs>
        <w:ind w:left="0"/>
        <w:rPr>
          <w:rFonts w:ascii="Bookman Old Style" w:hAnsi="Bookman Old Style" w:cs="Arial"/>
          <w:b/>
          <w:snapToGrid w:val="0"/>
          <w:color w:val="000000"/>
          <w:lang w:val="es-ES_tradnl"/>
        </w:rPr>
      </w:pPr>
    </w:p>
    <w:p w14:paraId="083726B3" w14:textId="61467F23" w:rsidR="00CA77FB" w:rsidRPr="00E95B51" w:rsidRDefault="00CA77FB" w:rsidP="000A0E2C">
      <w:pPr>
        <w:pStyle w:val="Ttulo3"/>
        <w:tabs>
          <w:tab w:val="left" w:pos="0"/>
          <w:tab w:val="right" w:pos="9356"/>
        </w:tabs>
        <w:ind w:left="0"/>
        <w:rPr>
          <w:rFonts w:ascii="Bookman Old Style" w:hAnsi="Bookman Old Style"/>
          <w:b w:val="0"/>
          <w:szCs w:val="24"/>
        </w:rPr>
      </w:pPr>
      <w:r w:rsidRPr="00E95B51">
        <w:rPr>
          <w:rFonts w:ascii="Bookman Old Style" w:hAnsi="Bookman Old Style"/>
          <w:b w:val="0"/>
          <w:szCs w:val="24"/>
        </w:rPr>
        <w:t>(</w:t>
      </w:r>
      <w:r w:rsidR="00E95B51" w:rsidRPr="00E95B51">
        <w:rPr>
          <w:rFonts w:ascii="Bookman Old Style" w:hAnsi="Bookman Old Style"/>
          <w:bCs/>
          <w:szCs w:val="24"/>
        </w:rPr>
        <w:t>20</w:t>
      </w:r>
      <w:r w:rsidR="00093AE3" w:rsidRPr="00E95B51">
        <w:rPr>
          <w:rFonts w:ascii="Bookman Old Style" w:hAnsi="Bookman Old Style"/>
          <w:bCs/>
          <w:szCs w:val="24"/>
        </w:rPr>
        <w:t xml:space="preserve"> </w:t>
      </w:r>
      <w:r w:rsidR="001152DE" w:rsidRPr="00E95B51">
        <w:rPr>
          <w:rFonts w:ascii="Bookman Old Style" w:hAnsi="Bookman Old Style"/>
          <w:bCs/>
          <w:szCs w:val="24"/>
        </w:rPr>
        <w:t>SEP</w:t>
      </w:r>
      <w:r w:rsidR="00591856" w:rsidRPr="00E95B51">
        <w:rPr>
          <w:rFonts w:ascii="Bookman Old Style" w:hAnsi="Bookman Old Style"/>
          <w:bCs/>
          <w:szCs w:val="24"/>
        </w:rPr>
        <w:t>. 202</w:t>
      </w:r>
      <w:r w:rsidR="00A80598" w:rsidRPr="00E95B51">
        <w:rPr>
          <w:rFonts w:ascii="Bookman Old Style" w:hAnsi="Bookman Old Style"/>
          <w:bCs/>
          <w:szCs w:val="24"/>
        </w:rPr>
        <w:t>3</w:t>
      </w:r>
      <w:r w:rsidRPr="00E95B51">
        <w:rPr>
          <w:rFonts w:ascii="Bookman Old Style" w:hAnsi="Bookman Old Style"/>
          <w:b w:val="0"/>
          <w:szCs w:val="24"/>
        </w:rPr>
        <w:t>)</w:t>
      </w:r>
    </w:p>
    <w:p w14:paraId="46D45ACC" w14:textId="2B9ED7FA" w:rsidR="00CA77FB" w:rsidRDefault="00CA77FB" w:rsidP="000A0E2C">
      <w:pPr>
        <w:tabs>
          <w:tab w:val="left" w:pos="0"/>
          <w:tab w:val="right" w:pos="9356"/>
        </w:tabs>
        <w:ind w:left="0"/>
        <w:jc w:val="center"/>
        <w:rPr>
          <w:rFonts w:ascii="Bookman Old Style" w:hAnsi="Bookman Old Style"/>
          <w:lang w:val="es-ES_tradnl"/>
        </w:rPr>
      </w:pPr>
    </w:p>
    <w:p w14:paraId="0AEB051C" w14:textId="77777777" w:rsidR="001E4A38" w:rsidRDefault="001E4A38" w:rsidP="000A0E2C">
      <w:pPr>
        <w:ind w:left="0"/>
        <w:jc w:val="center"/>
        <w:rPr>
          <w:rFonts w:ascii="Bookman Old Style" w:hAnsi="Bookman Old Style"/>
        </w:rPr>
      </w:pPr>
    </w:p>
    <w:p w14:paraId="599244D2" w14:textId="521773DF" w:rsidR="00037A1A" w:rsidRDefault="00037A1A" w:rsidP="00037A1A">
      <w:pPr>
        <w:ind w:left="0"/>
        <w:jc w:val="both"/>
        <w:rPr>
          <w:rFonts w:ascii="Bookman Old Style" w:hAnsi="Bookman Old Style"/>
        </w:rPr>
      </w:pPr>
      <w:r>
        <w:rPr>
          <w:rFonts w:ascii="Bookman Old Style" w:hAnsi="Bookman Old Style"/>
        </w:rPr>
        <w:t xml:space="preserve">La Comisión de Regulación de Energía y Gas, en su sesión No. </w:t>
      </w:r>
      <w:r w:rsidR="00786D9D">
        <w:rPr>
          <w:rFonts w:ascii="Bookman Old Style" w:hAnsi="Bookman Old Style"/>
        </w:rPr>
        <w:t>1287</w:t>
      </w:r>
      <w:r>
        <w:rPr>
          <w:rFonts w:ascii="Bookman Old Style" w:hAnsi="Bookman Old Style"/>
        </w:rPr>
        <w:t xml:space="preserve"> del </w:t>
      </w:r>
      <w:r w:rsidR="00786D9D">
        <w:rPr>
          <w:rFonts w:ascii="Bookman Old Style" w:hAnsi="Bookman Old Style"/>
        </w:rPr>
        <w:t>20</w:t>
      </w:r>
      <w:r>
        <w:rPr>
          <w:rFonts w:ascii="Bookman Old Style" w:hAnsi="Bookman Old Style"/>
        </w:rPr>
        <w:t xml:space="preserve"> de </w:t>
      </w:r>
      <w:r w:rsidR="008A2999">
        <w:rPr>
          <w:rFonts w:ascii="Bookman Old Style" w:hAnsi="Bookman Old Style"/>
        </w:rPr>
        <w:t>septiembre</w:t>
      </w:r>
      <w:r>
        <w:rPr>
          <w:rFonts w:ascii="Bookman Old Style" w:hAnsi="Bookman Old Style"/>
        </w:rPr>
        <w:t xml:space="preserve"> de 2023, aprobó someter a consulta pública el presente proyecto de resolución por el término de </w:t>
      </w:r>
      <w:r w:rsidR="001E7E9C">
        <w:rPr>
          <w:rFonts w:ascii="Bookman Old Style" w:hAnsi="Bookman Old Style"/>
        </w:rPr>
        <w:t>dos</w:t>
      </w:r>
      <w:r>
        <w:rPr>
          <w:rFonts w:ascii="Bookman Old Style" w:hAnsi="Bookman Old Style"/>
        </w:rPr>
        <w:t xml:space="preserve"> (</w:t>
      </w:r>
      <w:r w:rsidR="001E7E9C">
        <w:rPr>
          <w:rFonts w:ascii="Bookman Old Style" w:hAnsi="Bookman Old Style"/>
        </w:rPr>
        <w:t>2</w:t>
      </w:r>
      <w:r>
        <w:rPr>
          <w:rFonts w:ascii="Bookman Old Style" w:hAnsi="Bookman Old Style"/>
        </w:rPr>
        <w:t xml:space="preserve">) días </w:t>
      </w:r>
      <w:r w:rsidR="001E7E9C">
        <w:rPr>
          <w:rFonts w:ascii="Bookman Old Style" w:hAnsi="Bookman Old Style"/>
        </w:rPr>
        <w:t>calendario</w:t>
      </w:r>
      <w:r>
        <w:rPr>
          <w:rFonts w:ascii="Bookman Old Style" w:hAnsi="Bookman Old Style"/>
        </w:rPr>
        <w:t>, contados a partir del día siguiente a su publicación en el portal web de la CREG.</w:t>
      </w:r>
    </w:p>
    <w:p w14:paraId="13B21CD8" w14:textId="77777777" w:rsidR="00037A1A" w:rsidRDefault="00037A1A" w:rsidP="00037A1A">
      <w:pPr>
        <w:ind w:left="0"/>
        <w:jc w:val="both"/>
        <w:rPr>
          <w:rFonts w:ascii="Bookman Old Style" w:hAnsi="Bookman Old Style"/>
        </w:rPr>
      </w:pPr>
    </w:p>
    <w:p w14:paraId="0809D704" w14:textId="3EF02214" w:rsidR="00037A1A" w:rsidRDefault="00037A1A" w:rsidP="00037A1A">
      <w:pPr>
        <w:ind w:left="0"/>
        <w:jc w:val="both"/>
        <w:rPr>
          <w:rFonts w:ascii="Bookman Old Style" w:hAnsi="Bookman Old Style"/>
        </w:rPr>
      </w:pPr>
      <w:r>
        <w:rPr>
          <w:rFonts w:ascii="Bookman Old Style" w:hAnsi="Bookman Old Style"/>
        </w:rPr>
        <w:t xml:space="preserve">Se invita a los prestadores de los servicios públicos domiciliarios sujetos a la regulación de la CREG y a los demás interesados, para que remitan sus observaciones o sugerencias sobre la propuesta al director ejecutivo de la Comisión de Regulación de Energía y Gas, al correo electrónico </w:t>
      </w:r>
      <w:hyperlink r:id="rId13" w:history="1">
        <w:r w:rsidRPr="004427C3">
          <w:rPr>
            <w:rStyle w:val="Hipervnculo"/>
            <w:rFonts w:ascii="Bookman Old Style" w:hAnsi="Bookman Old Style"/>
          </w:rPr>
          <w:t>creg@creg.gov.co</w:t>
        </w:r>
      </w:hyperlink>
      <w:r>
        <w:rPr>
          <w:rFonts w:ascii="Bookman Old Style" w:hAnsi="Bookman Old Style"/>
        </w:rPr>
        <w:t xml:space="preserve">, dentro del plazo establecido, identificando el mensaje con el siguiente asunto: “Comentarios sobre la Resolución CREG 701 </w:t>
      </w:r>
      <w:r w:rsidR="00E95B51">
        <w:rPr>
          <w:rFonts w:ascii="Bookman Old Style" w:hAnsi="Bookman Old Style"/>
        </w:rPr>
        <w:t>02</w:t>
      </w:r>
      <w:r w:rsidR="002240A8">
        <w:rPr>
          <w:rFonts w:ascii="Bookman Old Style" w:hAnsi="Bookman Old Style"/>
        </w:rPr>
        <w:t>4</w:t>
      </w:r>
      <w:r w:rsidR="00577E63">
        <w:rPr>
          <w:rFonts w:ascii="Bookman Old Style" w:hAnsi="Bookman Old Style"/>
        </w:rPr>
        <w:t xml:space="preserve"> de 2023</w:t>
      </w:r>
      <w:r>
        <w:rPr>
          <w:rFonts w:ascii="Bookman Old Style" w:hAnsi="Bookman Old Style"/>
        </w:rPr>
        <w:t>”.</w:t>
      </w:r>
    </w:p>
    <w:p w14:paraId="0E1278CC" w14:textId="77777777" w:rsidR="00C25502" w:rsidRDefault="00C25502" w:rsidP="00037A1A">
      <w:pPr>
        <w:ind w:left="0"/>
        <w:jc w:val="both"/>
        <w:rPr>
          <w:rFonts w:ascii="Bookman Old Style" w:hAnsi="Bookman Old Style"/>
        </w:rPr>
      </w:pPr>
    </w:p>
    <w:p w14:paraId="1FC0F7AE" w14:textId="27BA7C9F" w:rsidR="00C25502" w:rsidRDefault="00C25502" w:rsidP="00037A1A">
      <w:pPr>
        <w:ind w:left="0"/>
        <w:jc w:val="both"/>
        <w:rPr>
          <w:rFonts w:ascii="Bookman Old Style" w:hAnsi="Bookman Old Style"/>
        </w:rPr>
      </w:pPr>
      <w:r>
        <w:rPr>
          <w:rFonts w:ascii="Bookman Old Style" w:hAnsi="Bookman Old Style"/>
        </w:rPr>
        <w:t>Al vencimiento de la consulta pública, la CREG determinará si el proyecto debe ser informado a la Superintendencia de Industria y Comercio -SIC-, para el ejercicio de la Abogacía de la Competencia, con fundamento en las disposiciones del Decreto 1071 de 2015, Artículo 2.2.2.30.5.</w:t>
      </w:r>
    </w:p>
    <w:p w14:paraId="472B25A2" w14:textId="77777777" w:rsidR="00EA7F8B" w:rsidRDefault="00EA7F8B" w:rsidP="000A0E2C">
      <w:pPr>
        <w:ind w:left="0"/>
        <w:jc w:val="center"/>
        <w:rPr>
          <w:rFonts w:ascii="Bookman Old Style" w:hAnsi="Bookman Old Style"/>
        </w:rPr>
      </w:pPr>
    </w:p>
    <w:p w14:paraId="5529627C" w14:textId="77777777" w:rsidR="00EA7F8B" w:rsidRDefault="00EA7F8B" w:rsidP="000A0E2C">
      <w:pPr>
        <w:ind w:left="0"/>
        <w:jc w:val="center"/>
        <w:rPr>
          <w:rFonts w:ascii="Bookman Old Style" w:hAnsi="Bookman Old Style"/>
        </w:rPr>
      </w:pPr>
    </w:p>
    <w:p w14:paraId="57A817C2" w14:textId="50ED3EE6" w:rsidR="00037A1A" w:rsidRPr="00EA7F8B" w:rsidRDefault="00EA7F8B" w:rsidP="00EA7F8B">
      <w:pPr>
        <w:ind w:left="0"/>
        <w:jc w:val="center"/>
        <w:rPr>
          <w:rFonts w:ascii="Bookman Old Style" w:hAnsi="Bookman Old Style"/>
          <w:b/>
          <w:lang w:val="pt-PT"/>
        </w:rPr>
      </w:pPr>
      <w:r w:rsidRPr="00EA7F8B">
        <w:rPr>
          <w:rFonts w:ascii="Bookman Old Style" w:hAnsi="Bookman Old Style"/>
          <w:b/>
          <w:lang w:val="pt-PT"/>
        </w:rPr>
        <w:t>P</w:t>
      </w:r>
      <w:r>
        <w:rPr>
          <w:rFonts w:ascii="Bookman Old Style" w:hAnsi="Bookman Old Style"/>
          <w:b/>
          <w:lang w:val="pt-PT"/>
        </w:rPr>
        <w:t>royecto de Resolución</w:t>
      </w:r>
    </w:p>
    <w:p w14:paraId="4947C977" w14:textId="77777777" w:rsidR="00037A1A" w:rsidRDefault="00037A1A" w:rsidP="000A0E2C">
      <w:pPr>
        <w:ind w:left="0"/>
        <w:jc w:val="center"/>
        <w:rPr>
          <w:rFonts w:ascii="Bookman Old Style" w:hAnsi="Bookman Old Style"/>
        </w:rPr>
      </w:pPr>
    </w:p>
    <w:p w14:paraId="51270DA2" w14:textId="2C269FBA" w:rsidR="00A72BBD" w:rsidRDefault="00FF601F" w:rsidP="000F1090">
      <w:pPr>
        <w:ind w:left="0"/>
        <w:jc w:val="center"/>
        <w:rPr>
          <w:rFonts w:ascii="Bookman Old Style" w:hAnsi="Bookman Old Style"/>
        </w:rPr>
      </w:pPr>
      <w:r w:rsidRPr="00FF601F">
        <w:rPr>
          <w:rFonts w:ascii="Bookman Old Style" w:hAnsi="Bookman Old Style"/>
        </w:rPr>
        <w:t xml:space="preserve">Por la cual se </w:t>
      </w:r>
      <w:r w:rsidR="00577292">
        <w:rPr>
          <w:rFonts w:ascii="Bookman Old Style" w:hAnsi="Bookman Old Style"/>
        </w:rPr>
        <w:t xml:space="preserve">amplía el período de aplicación </w:t>
      </w:r>
      <w:r w:rsidR="00F25381">
        <w:rPr>
          <w:rFonts w:ascii="Bookman Old Style" w:hAnsi="Bookman Old Style"/>
        </w:rPr>
        <w:br/>
      </w:r>
      <w:r w:rsidR="00577292">
        <w:rPr>
          <w:rFonts w:ascii="Bookman Old Style" w:hAnsi="Bookman Old Style"/>
        </w:rPr>
        <w:t>de la Resolución CREG 101 029 de 2022</w:t>
      </w:r>
    </w:p>
    <w:p w14:paraId="430523DF" w14:textId="6F01CC9D" w:rsidR="000A0E2C" w:rsidRDefault="000A0E2C" w:rsidP="000A0E2C">
      <w:pPr>
        <w:ind w:left="0"/>
        <w:jc w:val="center"/>
        <w:rPr>
          <w:rFonts w:ascii="Bookman Old Style" w:hAnsi="Bookman Old Style"/>
        </w:rPr>
      </w:pPr>
    </w:p>
    <w:p w14:paraId="33139A06" w14:textId="77777777" w:rsidR="00B33435" w:rsidRPr="00A72BBD" w:rsidRDefault="00B33435" w:rsidP="000A0E2C">
      <w:pPr>
        <w:ind w:left="0"/>
        <w:jc w:val="center"/>
        <w:rPr>
          <w:rFonts w:ascii="Bookman Old Style" w:hAnsi="Bookman Old Style"/>
        </w:rPr>
      </w:pPr>
    </w:p>
    <w:p w14:paraId="6242E348" w14:textId="5F1A9B0C" w:rsidR="00A72BBD" w:rsidRDefault="00A72BBD" w:rsidP="000A0E2C">
      <w:pPr>
        <w:ind w:left="0"/>
        <w:jc w:val="center"/>
        <w:rPr>
          <w:rFonts w:ascii="Bookman Old Style" w:hAnsi="Bookman Old Style"/>
          <w:b/>
        </w:rPr>
      </w:pPr>
      <w:r w:rsidRPr="00A72BBD">
        <w:rPr>
          <w:rFonts w:ascii="Bookman Old Style" w:hAnsi="Bookman Old Style"/>
          <w:b/>
        </w:rPr>
        <w:t>LA COMISIÓN DE REGULACIÓN DE ENERGÍA Y GAS</w:t>
      </w:r>
    </w:p>
    <w:p w14:paraId="1ABB1412" w14:textId="5EDE28A3" w:rsidR="000A0E2C" w:rsidRDefault="000A0E2C" w:rsidP="000A0E2C">
      <w:pPr>
        <w:ind w:left="0"/>
        <w:jc w:val="center"/>
        <w:rPr>
          <w:rFonts w:ascii="Bookman Old Style" w:hAnsi="Bookman Old Style"/>
          <w:b/>
        </w:rPr>
      </w:pPr>
    </w:p>
    <w:p w14:paraId="2D12F524" w14:textId="4AF00F8D" w:rsidR="00D01179" w:rsidRDefault="00D01179" w:rsidP="000F1090">
      <w:pPr>
        <w:ind w:left="0" w:right="142"/>
        <w:jc w:val="center"/>
        <w:rPr>
          <w:rFonts w:ascii="Bookman Old Style" w:hAnsi="Bookman Old Style"/>
        </w:rPr>
      </w:pPr>
      <w:r w:rsidRPr="00AD1F99">
        <w:rPr>
          <w:rFonts w:ascii="Bookman Old Style" w:hAnsi="Bookman Old Style"/>
        </w:rPr>
        <w:t>En ejercicio de sus atribuciones constitucionales y legales, en especial las conferidas por las Leyes 142 y 143 de 1994, y en desarrollo de los Decretos 1524</w:t>
      </w:r>
      <w:r>
        <w:rPr>
          <w:rFonts w:ascii="Bookman Old Style" w:hAnsi="Bookman Old Style"/>
        </w:rPr>
        <w:t xml:space="preserve"> y</w:t>
      </w:r>
      <w:r w:rsidRPr="00AD1F99">
        <w:rPr>
          <w:rFonts w:ascii="Bookman Old Style" w:hAnsi="Bookman Old Style"/>
        </w:rPr>
        <w:t xml:space="preserve"> 2253 de 1994 y 1260 de 2013</w:t>
      </w:r>
    </w:p>
    <w:p w14:paraId="769166DE" w14:textId="77777777" w:rsidR="000F1090" w:rsidRPr="00AD1F99" w:rsidRDefault="000F1090" w:rsidP="000F1090">
      <w:pPr>
        <w:ind w:left="0" w:right="142"/>
        <w:jc w:val="center"/>
        <w:rPr>
          <w:rFonts w:ascii="Bookman Old Style" w:hAnsi="Bookman Old Style"/>
        </w:rPr>
      </w:pPr>
    </w:p>
    <w:p w14:paraId="4221D6F4" w14:textId="12089CBE" w:rsidR="000A0E2C" w:rsidRDefault="000A0E2C" w:rsidP="000A0E2C">
      <w:pPr>
        <w:ind w:left="0"/>
        <w:jc w:val="center"/>
        <w:rPr>
          <w:rFonts w:ascii="Bookman Old Style" w:hAnsi="Bookman Old Style"/>
        </w:rPr>
      </w:pPr>
    </w:p>
    <w:p w14:paraId="6C4A5404" w14:textId="4D9BE377" w:rsidR="00045D3D" w:rsidRPr="000D1BD7" w:rsidRDefault="00045D3D" w:rsidP="00EA7F8B">
      <w:pPr>
        <w:ind w:left="0" w:right="51"/>
        <w:jc w:val="center"/>
        <w:rPr>
          <w:rFonts w:ascii="Bookman Old Style" w:hAnsi="Bookman Old Style"/>
          <w:b/>
          <w:lang w:val="pt-PT"/>
        </w:rPr>
      </w:pPr>
      <w:r w:rsidRPr="000D1BD7">
        <w:rPr>
          <w:rFonts w:ascii="Bookman Old Style" w:hAnsi="Bookman Old Style"/>
          <w:b/>
          <w:lang w:val="pt-PT"/>
        </w:rPr>
        <w:t xml:space="preserve">C O N S I D E R A N D </w:t>
      </w:r>
      <w:r w:rsidR="00337053" w:rsidRPr="000D1BD7">
        <w:rPr>
          <w:rFonts w:ascii="Bookman Old Style" w:hAnsi="Bookman Old Style"/>
          <w:b/>
          <w:lang w:val="pt-PT"/>
        </w:rPr>
        <w:t>O   Q</w:t>
      </w:r>
      <w:r w:rsidRPr="000D1BD7">
        <w:rPr>
          <w:rFonts w:ascii="Bookman Old Style" w:hAnsi="Bookman Old Style"/>
          <w:b/>
          <w:lang w:val="pt-PT"/>
        </w:rPr>
        <w:t xml:space="preserve"> U E:</w:t>
      </w:r>
    </w:p>
    <w:p w14:paraId="70721881" w14:textId="15014671" w:rsidR="000A0E2C" w:rsidRPr="000D1BD7" w:rsidRDefault="000A0E2C" w:rsidP="000A0E2C">
      <w:pPr>
        <w:ind w:right="51"/>
        <w:rPr>
          <w:rFonts w:ascii="Bookman Old Style" w:hAnsi="Bookman Old Style"/>
          <w:b/>
          <w:lang w:val="pt-PT"/>
        </w:rPr>
      </w:pPr>
    </w:p>
    <w:p w14:paraId="01EACDF8" w14:textId="77777777" w:rsidR="00D01179" w:rsidRPr="00B001BC" w:rsidRDefault="00D01179" w:rsidP="00D01179">
      <w:pPr>
        <w:ind w:left="0" w:right="142"/>
        <w:jc w:val="both"/>
        <w:rPr>
          <w:rFonts w:ascii="Bookman Old Style" w:hAnsi="Bookman Old Style"/>
          <w:bCs/>
        </w:rPr>
      </w:pPr>
      <w:r w:rsidRPr="00B001BC">
        <w:rPr>
          <w:rFonts w:ascii="Bookman Old Style" w:hAnsi="Bookman Old Style"/>
          <w:bCs/>
        </w:rPr>
        <w:t>El artículo 365 de la Constitución Política establece que los servicios públicos son inherentes a la finalidad social del Estado, y es deber de este asegurar su prestación eficiente a todos los habitantes del territorio nacional.</w:t>
      </w:r>
    </w:p>
    <w:p w14:paraId="27EC43D7" w14:textId="77777777" w:rsidR="00D01179" w:rsidRPr="00B001BC" w:rsidRDefault="00D01179" w:rsidP="00D01179">
      <w:pPr>
        <w:ind w:left="0" w:right="142"/>
        <w:jc w:val="both"/>
        <w:rPr>
          <w:rFonts w:ascii="Bookman Old Style" w:hAnsi="Bookman Old Style"/>
          <w:bCs/>
        </w:rPr>
      </w:pPr>
    </w:p>
    <w:p w14:paraId="2DF3510C" w14:textId="77777777" w:rsidR="00D01179" w:rsidRPr="00B001BC" w:rsidRDefault="00D01179" w:rsidP="00D01179">
      <w:pPr>
        <w:ind w:left="0" w:right="142"/>
        <w:jc w:val="both"/>
        <w:rPr>
          <w:rFonts w:ascii="Bookman Old Style" w:hAnsi="Bookman Old Style"/>
          <w:bCs/>
        </w:rPr>
      </w:pPr>
      <w:r w:rsidRPr="00B001BC">
        <w:rPr>
          <w:rFonts w:ascii="Bookman Old Style" w:hAnsi="Bookman Old Style"/>
          <w:bCs/>
        </w:rPr>
        <w:t xml:space="preserve">El artículo 370 de la Constitución Política </w:t>
      </w:r>
      <w:r>
        <w:rPr>
          <w:rFonts w:ascii="Bookman Old Style" w:hAnsi="Bookman Old Style"/>
          <w:bCs/>
        </w:rPr>
        <w:t>confiere</w:t>
      </w:r>
      <w:r w:rsidRPr="00B001BC">
        <w:rPr>
          <w:rFonts w:ascii="Bookman Old Style" w:hAnsi="Bookman Old Style"/>
          <w:bCs/>
        </w:rPr>
        <w:t xml:space="preserve"> al Presidente de la República la función de señalar, con sujeción a la ley, las políticas generales de administración y control de eficiencia de los servicios públicos domiciliarios.</w:t>
      </w:r>
    </w:p>
    <w:p w14:paraId="6A78FDD7" w14:textId="77777777" w:rsidR="00D01179" w:rsidRPr="00B001BC" w:rsidRDefault="00D01179" w:rsidP="00D01179">
      <w:pPr>
        <w:ind w:left="0" w:right="142"/>
        <w:jc w:val="both"/>
        <w:rPr>
          <w:rFonts w:ascii="Bookman Old Style" w:hAnsi="Bookman Old Style"/>
          <w:bCs/>
        </w:rPr>
      </w:pPr>
    </w:p>
    <w:p w14:paraId="3EAF220F" w14:textId="77777777" w:rsidR="00D01179" w:rsidRPr="00B001BC" w:rsidRDefault="00D01179" w:rsidP="00D01179">
      <w:pPr>
        <w:ind w:left="0" w:right="142"/>
        <w:jc w:val="both"/>
        <w:rPr>
          <w:rFonts w:ascii="Bookman Old Style" w:hAnsi="Bookman Old Style"/>
          <w:bCs/>
        </w:rPr>
      </w:pPr>
      <w:r w:rsidRPr="00B001BC">
        <w:rPr>
          <w:rFonts w:ascii="Bookman Old Style" w:hAnsi="Bookman Old Style"/>
          <w:bCs/>
        </w:rPr>
        <w:t>De conformidad con la Ley 142 de 1994, artículo 3, numeral 3, la regulación de los servicios públicos es una forma de intervención del Estado en la economía.</w:t>
      </w:r>
    </w:p>
    <w:p w14:paraId="5FBA6414" w14:textId="77777777" w:rsidR="00D01179" w:rsidRPr="00B001BC" w:rsidRDefault="00D01179" w:rsidP="00D01179">
      <w:pPr>
        <w:ind w:left="0" w:right="142"/>
        <w:jc w:val="both"/>
        <w:rPr>
          <w:rFonts w:ascii="Bookman Old Style" w:hAnsi="Bookman Old Style"/>
          <w:bCs/>
        </w:rPr>
      </w:pPr>
    </w:p>
    <w:p w14:paraId="0C9E29D0" w14:textId="77777777" w:rsidR="00D01179" w:rsidRPr="00B001BC" w:rsidRDefault="00D01179" w:rsidP="00D01179">
      <w:pPr>
        <w:ind w:left="0" w:right="142"/>
        <w:jc w:val="both"/>
        <w:rPr>
          <w:rFonts w:ascii="Bookman Old Style" w:hAnsi="Bookman Old Style"/>
          <w:bCs/>
        </w:rPr>
      </w:pPr>
      <w:r w:rsidRPr="00B001BC">
        <w:rPr>
          <w:rFonts w:ascii="Bookman Old Style" w:hAnsi="Bookman Old Style"/>
          <w:bCs/>
        </w:rPr>
        <w:t>Es un fin de la regulación garantizar la debida prestación de los servicios públicos y</w:t>
      </w:r>
      <w:r>
        <w:rPr>
          <w:rFonts w:ascii="Bookman Old Style" w:hAnsi="Bookman Old Style"/>
          <w:bCs/>
        </w:rPr>
        <w:t>,</w:t>
      </w:r>
      <w:r w:rsidRPr="00B001BC">
        <w:rPr>
          <w:rFonts w:ascii="Bookman Old Style" w:hAnsi="Bookman Old Style"/>
          <w:bCs/>
        </w:rPr>
        <w:t xml:space="preserve"> en el caso en concreto del servicio de energía eléctrica, de manera confiable y continua.</w:t>
      </w:r>
    </w:p>
    <w:p w14:paraId="2AB6BC2C" w14:textId="77777777" w:rsidR="00D01179" w:rsidRDefault="00D01179" w:rsidP="00D01179">
      <w:pPr>
        <w:ind w:left="0" w:right="142"/>
        <w:jc w:val="both"/>
        <w:rPr>
          <w:rFonts w:ascii="Bookman Old Style" w:hAnsi="Bookman Old Style"/>
          <w:bCs/>
        </w:rPr>
      </w:pPr>
    </w:p>
    <w:p w14:paraId="3F5DB2E2" w14:textId="77777777" w:rsidR="00D01179" w:rsidRPr="00D0273F" w:rsidRDefault="00D01179" w:rsidP="00D01179">
      <w:pPr>
        <w:ind w:left="0" w:right="142"/>
        <w:jc w:val="both"/>
        <w:rPr>
          <w:rFonts w:ascii="Bookman Old Style" w:hAnsi="Bookman Old Style"/>
          <w:bCs/>
        </w:rPr>
      </w:pPr>
      <w:r w:rsidRPr="00D0273F">
        <w:rPr>
          <w:rFonts w:ascii="Bookman Old Style" w:hAnsi="Bookman Old Style"/>
          <w:bCs/>
        </w:rPr>
        <w:t>El artículo 73.11 de la Ley 142 de 1994 atribuyó a las Comisiones de Regulación la facultad de establecer las fórmulas para la fijación de las tarifas de los servicios públicos, cuando ello corresponda según lo previsto en el artículo 88</w:t>
      </w:r>
      <w:r>
        <w:rPr>
          <w:rFonts w:ascii="Bookman Old Style" w:hAnsi="Bookman Old Style"/>
          <w:bCs/>
        </w:rPr>
        <w:t>,</w:t>
      </w:r>
      <w:r w:rsidRPr="00D0273F">
        <w:rPr>
          <w:rFonts w:ascii="Bookman Old Style" w:hAnsi="Bookman Old Style"/>
          <w:bCs/>
        </w:rPr>
        <w:t xml:space="preserve"> y señalar cuándo hay suficiente competencia como para que la fijación de las tarifas sea libre.</w:t>
      </w:r>
    </w:p>
    <w:p w14:paraId="08A46C36" w14:textId="77777777" w:rsidR="00D01179" w:rsidRPr="00B001BC" w:rsidRDefault="00D01179" w:rsidP="00D01179">
      <w:pPr>
        <w:ind w:left="0" w:right="142"/>
        <w:jc w:val="both"/>
        <w:rPr>
          <w:rFonts w:ascii="Bookman Old Style" w:hAnsi="Bookman Old Style"/>
          <w:bCs/>
        </w:rPr>
      </w:pPr>
    </w:p>
    <w:p w14:paraId="26D7FA82" w14:textId="77777777" w:rsidR="00D01179" w:rsidRPr="00B001BC" w:rsidRDefault="00D01179" w:rsidP="00D01179">
      <w:pPr>
        <w:ind w:left="0" w:right="142"/>
        <w:jc w:val="both"/>
        <w:rPr>
          <w:rFonts w:ascii="Bookman Old Style" w:hAnsi="Bookman Old Style"/>
          <w:bCs/>
        </w:rPr>
      </w:pPr>
      <w:r w:rsidRPr="00B001BC">
        <w:rPr>
          <w:rFonts w:ascii="Bookman Old Style" w:hAnsi="Bookman Old Style"/>
          <w:bCs/>
        </w:rPr>
        <w:t>Según la Ley 142 de 1994, artículo 74, son funciones y facultades especiales de la 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 y establecer criterios para la fijación de compromisos de ventas garantizadas de energía y potencia entre las empresas eléctricas, y entre éstas y los grandes usuarios.</w:t>
      </w:r>
    </w:p>
    <w:p w14:paraId="46B20B1E" w14:textId="77777777" w:rsidR="00D01179" w:rsidRPr="00B001BC" w:rsidRDefault="00D01179" w:rsidP="00D01179">
      <w:pPr>
        <w:ind w:left="0" w:right="142"/>
        <w:jc w:val="both"/>
        <w:rPr>
          <w:rFonts w:ascii="Bookman Old Style" w:hAnsi="Bookman Old Style"/>
          <w:bCs/>
        </w:rPr>
      </w:pPr>
    </w:p>
    <w:p w14:paraId="37615916" w14:textId="77777777" w:rsidR="00D01179" w:rsidRDefault="00D01179" w:rsidP="00D01179">
      <w:pPr>
        <w:ind w:left="0" w:right="142"/>
        <w:jc w:val="both"/>
        <w:rPr>
          <w:rFonts w:ascii="Bookman Old Style" w:hAnsi="Bookman Old Style"/>
          <w:bCs/>
        </w:rPr>
      </w:pPr>
      <w:r w:rsidRPr="00B001BC">
        <w:rPr>
          <w:rFonts w:ascii="Bookman Old Style" w:hAnsi="Bookman Old Style"/>
          <w:bCs/>
        </w:rPr>
        <w:t>La ley 142 de 1994, artículo 74, también le asignó a la Comisión de Regulación de Energía y Gas la función de expedir el Reglamento de Operación para regular el funcionamiento del Mercado Mayorista de Energía.</w:t>
      </w:r>
    </w:p>
    <w:p w14:paraId="2CA37D01" w14:textId="77777777" w:rsidR="00D01179" w:rsidRPr="00B001BC" w:rsidRDefault="00D01179" w:rsidP="00D01179">
      <w:pPr>
        <w:ind w:left="0" w:right="142"/>
        <w:jc w:val="both"/>
        <w:rPr>
          <w:rFonts w:ascii="Bookman Old Style" w:hAnsi="Bookman Old Style"/>
          <w:bCs/>
        </w:rPr>
      </w:pPr>
    </w:p>
    <w:p w14:paraId="16FF6B4E" w14:textId="77777777" w:rsidR="00D01179" w:rsidRPr="00B001BC" w:rsidRDefault="00D01179" w:rsidP="00D01179">
      <w:pPr>
        <w:ind w:left="0" w:right="142"/>
        <w:jc w:val="both"/>
        <w:rPr>
          <w:rFonts w:ascii="Bookman Old Style" w:hAnsi="Bookman Old Style"/>
          <w:bCs/>
        </w:rPr>
      </w:pPr>
      <w:r w:rsidRPr="00B001BC">
        <w:rPr>
          <w:rFonts w:ascii="Bookman Old Style" w:hAnsi="Bookman Old Style"/>
          <w:bCs/>
        </w:rPr>
        <w:t xml:space="preserve">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 </w:t>
      </w:r>
    </w:p>
    <w:p w14:paraId="5FC43DF1" w14:textId="77777777" w:rsidR="00D01179" w:rsidRPr="00B001BC" w:rsidRDefault="00D01179" w:rsidP="00D01179">
      <w:pPr>
        <w:ind w:left="0" w:right="142"/>
        <w:jc w:val="both"/>
        <w:rPr>
          <w:rFonts w:ascii="Bookman Old Style" w:hAnsi="Bookman Old Style"/>
          <w:bCs/>
        </w:rPr>
      </w:pPr>
    </w:p>
    <w:p w14:paraId="06891FA5" w14:textId="011BB922" w:rsidR="00D01179" w:rsidRPr="0046323C" w:rsidRDefault="00D01179" w:rsidP="00D01179">
      <w:pPr>
        <w:ind w:left="0" w:right="142"/>
        <w:jc w:val="both"/>
        <w:rPr>
          <w:rFonts w:ascii="Bookman Old Style" w:hAnsi="Bookman Old Style"/>
          <w:bCs/>
        </w:rPr>
      </w:pPr>
      <w:r w:rsidRPr="00B001BC">
        <w:rPr>
          <w:rFonts w:ascii="Bookman Old Style" w:hAnsi="Bookman Old Style"/>
          <w:bCs/>
        </w:rPr>
        <w:t xml:space="preserve">La Ley 143 de 1994, </w:t>
      </w:r>
      <w:r w:rsidR="000B38D0">
        <w:rPr>
          <w:rFonts w:ascii="Bookman Old Style" w:hAnsi="Bookman Old Style"/>
          <w:bCs/>
        </w:rPr>
        <w:t xml:space="preserve">en el </w:t>
      </w:r>
      <w:r w:rsidRPr="00B001BC">
        <w:rPr>
          <w:rFonts w:ascii="Bookman Old Style" w:hAnsi="Bookman Old Style"/>
          <w:bCs/>
        </w:rPr>
        <w:t xml:space="preserve">artículo 20, definió como objetivo fundamental de la regulación en el sector eléctrico, asegurar una adecuada prestación del servicio mediante el aprovechamiento eficiente de los diferentes recursos energéticos, en beneficio del </w:t>
      </w:r>
      <w:r w:rsidRPr="0046323C">
        <w:rPr>
          <w:rFonts w:ascii="Bookman Old Style" w:hAnsi="Bookman Old Style"/>
          <w:bCs/>
        </w:rPr>
        <w:t>usuario en términos de calidad, oportunidad y costo del servicio.</w:t>
      </w:r>
    </w:p>
    <w:p w14:paraId="558FAF4B" w14:textId="77777777" w:rsidR="00D01179" w:rsidRDefault="00D01179" w:rsidP="00D01179">
      <w:pPr>
        <w:ind w:left="0" w:right="142"/>
        <w:jc w:val="both"/>
        <w:rPr>
          <w:rFonts w:ascii="Bookman Old Style" w:hAnsi="Bookman Old Style"/>
          <w:bCs/>
        </w:rPr>
      </w:pPr>
    </w:p>
    <w:p w14:paraId="0444AC7D" w14:textId="1E4006CB" w:rsidR="00D01179" w:rsidRDefault="00D01179" w:rsidP="00D01179">
      <w:pPr>
        <w:ind w:left="0" w:right="142"/>
        <w:jc w:val="both"/>
        <w:rPr>
          <w:rFonts w:ascii="Bookman Old Style" w:hAnsi="Bookman Old Style"/>
          <w:bCs/>
        </w:rPr>
      </w:pPr>
      <w:r>
        <w:rPr>
          <w:rFonts w:ascii="Bookman Old Style" w:hAnsi="Bookman Old Style"/>
          <w:bCs/>
        </w:rPr>
        <w:t>C</w:t>
      </w:r>
      <w:r w:rsidRPr="0046323C">
        <w:rPr>
          <w:rFonts w:ascii="Bookman Old Style" w:hAnsi="Bookman Old Style"/>
          <w:bCs/>
        </w:rPr>
        <w:t xml:space="preserve">omo parte de las medidas para mitigar los impactos del COVID-19, mediante la Resolución CREG 058 de 2020 se estableció que todos los comercializadores deberían aplicar la opción tarifaria definida en la Resolución CREG 012 de 2020 a los usuarios de su mercado. De esta manera, los comercializadores desde el año 2020 </w:t>
      </w:r>
      <w:r>
        <w:rPr>
          <w:rFonts w:ascii="Bookman Old Style" w:hAnsi="Bookman Old Style"/>
          <w:bCs/>
        </w:rPr>
        <w:t>comenzaron a trasladar</w:t>
      </w:r>
      <w:r w:rsidRPr="0046323C">
        <w:rPr>
          <w:rFonts w:ascii="Bookman Old Style" w:hAnsi="Bookman Old Style"/>
          <w:bCs/>
        </w:rPr>
        <w:t xml:space="preserve"> a los usuarios un Costo Unitario de Prestación del Servicio</w:t>
      </w:r>
      <w:r w:rsidR="007D3EFC">
        <w:rPr>
          <w:rFonts w:ascii="Bookman Old Style" w:hAnsi="Bookman Old Style"/>
          <w:bCs/>
        </w:rPr>
        <w:t>-CU-</w:t>
      </w:r>
      <w:r w:rsidRPr="0046323C">
        <w:rPr>
          <w:rFonts w:ascii="Bookman Old Style" w:hAnsi="Bookman Old Style"/>
          <w:bCs/>
        </w:rPr>
        <w:t xml:space="preserve"> menor al calculado con la Resolución CREG 119 de 2007, generando un saldo a favor del comercializador.</w:t>
      </w:r>
    </w:p>
    <w:p w14:paraId="26E760C4" w14:textId="15780185" w:rsidR="00A4488E" w:rsidRDefault="00A4488E" w:rsidP="00D01179">
      <w:pPr>
        <w:ind w:left="0" w:right="142"/>
        <w:jc w:val="both"/>
        <w:rPr>
          <w:rFonts w:ascii="Bookman Old Style" w:hAnsi="Bookman Old Style"/>
          <w:bCs/>
        </w:rPr>
      </w:pPr>
    </w:p>
    <w:p w14:paraId="37DEF547" w14:textId="64842E0C" w:rsidR="00A4488E" w:rsidRDefault="00A4488E" w:rsidP="00D01179">
      <w:pPr>
        <w:ind w:left="0" w:right="142"/>
        <w:jc w:val="both"/>
        <w:rPr>
          <w:rFonts w:ascii="Bookman Old Style" w:hAnsi="Bookman Old Style"/>
          <w:bCs/>
        </w:rPr>
      </w:pPr>
      <w:r>
        <w:rPr>
          <w:rFonts w:ascii="Bookman Old Style" w:hAnsi="Bookman Old Style"/>
          <w:bCs/>
        </w:rPr>
        <w:lastRenderedPageBreak/>
        <w:t>La Resolución CREG 101 031 de 2022 estableció que el porcentaje máximo de variación mensual de las tarifas es el de la variación mensual del Índice de Precios al Consumidor, IPC, del mes anterior al del cálculo.</w:t>
      </w:r>
    </w:p>
    <w:p w14:paraId="716EF778" w14:textId="4918A7A9" w:rsidR="00D01179" w:rsidRDefault="00D01179" w:rsidP="00D01179">
      <w:pPr>
        <w:ind w:left="0" w:right="142"/>
        <w:jc w:val="both"/>
        <w:rPr>
          <w:rFonts w:ascii="Bookman Old Style" w:hAnsi="Bookman Old Style"/>
          <w:bCs/>
        </w:rPr>
      </w:pPr>
    </w:p>
    <w:p w14:paraId="51E4DBFB" w14:textId="74163007" w:rsidR="00D01179" w:rsidRDefault="003B4DC6" w:rsidP="00D01179">
      <w:pPr>
        <w:ind w:left="0" w:right="142"/>
        <w:jc w:val="both"/>
        <w:rPr>
          <w:rFonts w:ascii="Bookman Old Style" w:hAnsi="Bookman Old Style"/>
          <w:bCs/>
        </w:rPr>
      </w:pPr>
      <w:r>
        <w:rPr>
          <w:rFonts w:ascii="Bookman Old Style" w:hAnsi="Bookman Old Style"/>
          <w:bCs/>
        </w:rPr>
        <w:t>Dad</w:t>
      </w:r>
      <w:r w:rsidR="00F25381">
        <w:rPr>
          <w:rFonts w:ascii="Bookman Old Style" w:hAnsi="Bookman Old Style"/>
          <w:bCs/>
        </w:rPr>
        <w:t>a</w:t>
      </w:r>
      <w:r w:rsidR="0076099F">
        <w:rPr>
          <w:rFonts w:ascii="Bookman Old Style" w:hAnsi="Bookman Old Style"/>
          <w:bCs/>
        </w:rPr>
        <w:t>s</w:t>
      </w:r>
      <w:r>
        <w:rPr>
          <w:rFonts w:ascii="Bookman Old Style" w:hAnsi="Bookman Old Style"/>
          <w:bCs/>
        </w:rPr>
        <w:t xml:space="preserve"> l</w:t>
      </w:r>
      <w:r w:rsidR="00F25381">
        <w:rPr>
          <w:rFonts w:ascii="Bookman Old Style" w:hAnsi="Bookman Old Style"/>
          <w:bCs/>
        </w:rPr>
        <w:t>as</w:t>
      </w:r>
      <w:r>
        <w:rPr>
          <w:rFonts w:ascii="Bookman Old Style" w:hAnsi="Bookman Old Style"/>
          <w:bCs/>
        </w:rPr>
        <w:t xml:space="preserve"> </w:t>
      </w:r>
      <w:r w:rsidR="00F25381">
        <w:rPr>
          <w:rFonts w:ascii="Bookman Old Style" w:hAnsi="Bookman Old Style"/>
          <w:bCs/>
        </w:rPr>
        <w:t>dificultades</w:t>
      </w:r>
      <w:r>
        <w:rPr>
          <w:rFonts w:ascii="Bookman Old Style" w:hAnsi="Bookman Old Style"/>
          <w:bCs/>
        </w:rPr>
        <w:t xml:space="preserve"> de pago que venían teniendo los comercializadores</w:t>
      </w:r>
      <w:r w:rsidR="00DF1977">
        <w:rPr>
          <w:rFonts w:ascii="Bookman Old Style" w:hAnsi="Bookman Old Style"/>
          <w:bCs/>
        </w:rPr>
        <w:t xml:space="preserve"> </w:t>
      </w:r>
      <w:r w:rsidR="0098593D">
        <w:rPr>
          <w:rFonts w:ascii="Bookman Old Style" w:hAnsi="Bookman Old Style"/>
          <w:bCs/>
        </w:rPr>
        <w:t xml:space="preserve">que atienden demanda regulada y </w:t>
      </w:r>
      <w:r w:rsidR="00DF1977">
        <w:rPr>
          <w:rFonts w:ascii="Bookman Old Style" w:hAnsi="Bookman Old Style"/>
          <w:bCs/>
        </w:rPr>
        <w:t xml:space="preserve">con saldos </w:t>
      </w:r>
      <w:r w:rsidR="0098593D">
        <w:rPr>
          <w:rFonts w:ascii="Bookman Old Style" w:hAnsi="Bookman Old Style"/>
          <w:bCs/>
        </w:rPr>
        <w:t>acumulados</w:t>
      </w:r>
      <w:r w:rsidR="00DF1977">
        <w:rPr>
          <w:rFonts w:ascii="Bookman Old Style" w:hAnsi="Bookman Old Style"/>
          <w:bCs/>
        </w:rPr>
        <w:t xml:space="preserve"> de la opción tarifaria</w:t>
      </w:r>
      <w:r>
        <w:rPr>
          <w:rFonts w:ascii="Bookman Old Style" w:hAnsi="Bookman Old Style"/>
          <w:bCs/>
        </w:rPr>
        <w:t>, en l</w:t>
      </w:r>
      <w:r w:rsidR="00D01179">
        <w:rPr>
          <w:rFonts w:ascii="Bookman Old Style" w:hAnsi="Bookman Old Style"/>
          <w:bCs/>
        </w:rPr>
        <w:t xml:space="preserve">a Resolución CREG 101 029 de 2022 </w:t>
      </w:r>
      <w:r>
        <w:rPr>
          <w:rFonts w:ascii="Bookman Old Style" w:hAnsi="Bookman Old Style"/>
          <w:bCs/>
        </w:rPr>
        <w:t xml:space="preserve">la Comisión </w:t>
      </w:r>
      <w:r w:rsidR="00D01179">
        <w:rPr>
          <w:rFonts w:ascii="Bookman Old Style" w:hAnsi="Bookman Old Style"/>
          <w:bCs/>
        </w:rPr>
        <w:t xml:space="preserve">adoptó </w:t>
      </w:r>
      <w:r w:rsidR="00F25381">
        <w:rPr>
          <w:rFonts w:ascii="Bookman Old Style" w:hAnsi="Bookman Old Style"/>
          <w:bCs/>
        </w:rPr>
        <w:t xml:space="preserve">un </w:t>
      </w:r>
      <w:r w:rsidR="00D01179">
        <w:rPr>
          <w:rFonts w:ascii="Bookman Old Style" w:hAnsi="Bookman Old Style"/>
          <w:bCs/>
        </w:rPr>
        <w:t xml:space="preserve">mecanismo para que </w:t>
      </w:r>
      <w:r>
        <w:rPr>
          <w:rFonts w:ascii="Bookman Old Style" w:hAnsi="Bookman Old Style"/>
          <w:bCs/>
        </w:rPr>
        <w:t xml:space="preserve">dichos agentes </w:t>
      </w:r>
      <w:r w:rsidR="00D01179">
        <w:rPr>
          <w:rFonts w:ascii="Bookman Old Style" w:hAnsi="Bookman Old Style"/>
          <w:bCs/>
        </w:rPr>
        <w:t>pu</w:t>
      </w:r>
      <w:r>
        <w:rPr>
          <w:rFonts w:ascii="Bookman Old Style" w:hAnsi="Bookman Old Style"/>
          <w:bCs/>
        </w:rPr>
        <w:t>dieran</w:t>
      </w:r>
      <w:r w:rsidR="00F25381">
        <w:rPr>
          <w:rFonts w:ascii="Bookman Old Style" w:hAnsi="Bookman Old Style"/>
          <w:bCs/>
        </w:rPr>
        <w:t>, por un período de tiempo,</w:t>
      </w:r>
      <w:r>
        <w:rPr>
          <w:rFonts w:ascii="Bookman Old Style" w:hAnsi="Bookman Old Style"/>
          <w:bCs/>
        </w:rPr>
        <w:t xml:space="preserve"> </w:t>
      </w:r>
      <w:r w:rsidR="00F25381">
        <w:rPr>
          <w:rFonts w:ascii="Bookman Old Style" w:hAnsi="Bookman Old Style"/>
          <w:bCs/>
        </w:rPr>
        <w:t xml:space="preserve">opcionalmente </w:t>
      </w:r>
      <w:r w:rsidR="00D01179">
        <w:rPr>
          <w:rFonts w:ascii="Bookman Old Style" w:hAnsi="Bookman Old Style"/>
          <w:bCs/>
        </w:rPr>
        <w:t xml:space="preserve">diferir hasta el 20% </w:t>
      </w:r>
      <w:r w:rsidR="00F25381">
        <w:rPr>
          <w:rFonts w:ascii="Bookman Old Style" w:hAnsi="Bookman Old Style"/>
          <w:bCs/>
        </w:rPr>
        <w:t xml:space="preserve">de </w:t>
      </w:r>
      <w:r w:rsidR="00D01179">
        <w:rPr>
          <w:rFonts w:ascii="Bookman Old Style" w:hAnsi="Bookman Old Style"/>
          <w:bCs/>
        </w:rPr>
        <w:t xml:space="preserve">las obligaciones mensuales </w:t>
      </w:r>
      <w:r w:rsidR="00F25381">
        <w:rPr>
          <w:rFonts w:ascii="Bookman Old Style" w:hAnsi="Bookman Old Style"/>
          <w:bCs/>
        </w:rPr>
        <w:t xml:space="preserve">de pago </w:t>
      </w:r>
      <w:r w:rsidR="00D01179">
        <w:rPr>
          <w:rFonts w:ascii="Bookman Old Style" w:hAnsi="Bookman Old Style"/>
          <w:bCs/>
        </w:rPr>
        <w:t>por transacciones en el Mercado de Energía May</w:t>
      </w:r>
      <w:r w:rsidR="00F25381">
        <w:rPr>
          <w:rFonts w:ascii="Bookman Old Style" w:hAnsi="Bookman Old Style"/>
          <w:bCs/>
        </w:rPr>
        <w:t>or</w:t>
      </w:r>
      <w:r w:rsidR="00D01179">
        <w:rPr>
          <w:rFonts w:ascii="Bookman Old Style" w:hAnsi="Bookman Old Style"/>
          <w:bCs/>
        </w:rPr>
        <w:t xml:space="preserve">ista y </w:t>
      </w:r>
      <w:r w:rsidR="00F25381">
        <w:rPr>
          <w:rFonts w:ascii="Bookman Old Style" w:hAnsi="Bookman Old Style"/>
          <w:bCs/>
        </w:rPr>
        <w:t>por los</w:t>
      </w:r>
      <w:r w:rsidR="00D01179">
        <w:rPr>
          <w:rFonts w:ascii="Bookman Old Style" w:hAnsi="Bookman Old Style"/>
          <w:bCs/>
        </w:rPr>
        <w:t xml:space="preserve"> cargos por usos de redes</w:t>
      </w:r>
      <w:r w:rsidR="00F25381">
        <w:rPr>
          <w:rFonts w:ascii="Bookman Old Style" w:hAnsi="Bookman Old Style"/>
          <w:bCs/>
        </w:rPr>
        <w:t xml:space="preserve"> de transporte de energía</w:t>
      </w:r>
      <w:r w:rsidR="00D01179">
        <w:rPr>
          <w:rFonts w:ascii="Bookman Old Style" w:hAnsi="Bookman Old Style"/>
          <w:bCs/>
        </w:rPr>
        <w:t xml:space="preserve">, liquidadas respectivamente por el ASIC y LAC, </w:t>
      </w:r>
      <w:r w:rsidR="009C024F">
        <w:rPr>
          <w:rFonts w:ascii="Bookman Old Style" w:hAnsi="Bookman Old Style"/>
          <w:bCs/>
        </w:rPr>
        <w:t xml:space="preserve">de los meses de septiembre a diciembre de 2022, </w:t>
      </w:r>
      <w:r w:rsidR="00D01179">
        <w:rPr>
          <w:rFonts w:ascii="Bookman Old Style" w:hAnsi="Bookman Old Style"/>
          <w:bCs/>
        </w:rPr>
        <w:t xml:space="preserve">con un período de </w:t>
      </w:r>
      <w:r>
        <w:rPr>
          <w:rFonts w:ascii="Bookman Old Style" w:hAnsi="Bookman Old Style"/>
          <w:bCs/>
        </w:rPr>
        <w:t>re</w:t>
      </w:r>
      <w:r w:rsidR="00D01179">
        <w:rPr>
          <w:rFonts w:ascii="Bookman Old Style" w:hAnsi="Bookman Old Style"/>
          <w:bCs/>
        </w:rPr>
        <w:t>pago de 18 meses.</w:t>
      </w:r>
    </w:p>
    <w:p w14:paraId="1516114E" w14:textId="77777777" w:rsidR="00D33FEC" w:rsidRDefault="00D33FEC" w:rsidP="00D01179">
      <w:pPr>
        <w:ind w:left="0" w:right="142"/>
        <w:jc w:val="both"/>
        <w:rPr>
          <w:rFonts w:ascii="Bookman Old Style" w:hAnsi="Bookman Old Style"/>
          <w:bCs/>
        </w:rPr>
      </w:pPr>
    </w:p>
    <w:p w14:paraId="1BA575B3" w14:textId="0DA7FA37" w:rsidR="00D33FEC" w:rsidRDefault="00D33FEC" w:rsidP="00D01179">
      <w:pPr>
        <w:ind w:left="0" w:right="142"/>
        <w:jc w:val="both"/>
        <w:rPr>
          <w:rFonts w:ascii="Bookman Old Style" w:hAnsi="Bookman Old Style"/>
          <w:bCs/>
        </w:rPr>
      </w:pPr>
      <w:r>
        <w:rPr>
          <w:rFonts w:ascii="Bookman Old Style" w:hAnsi="Bookman Old Style"/>
          <w:bCs/>
        </w:rPr>
        <w:t xml:space="preserve">Mediante la Resolución CREG 101 005 de 2023, se extendió en el mecanismo previsto en la Resolución CREG 101 </w:t>
      </w:r>
      <w:r w:rsidR="0035391A">
        <w:rPr>
          <w:rFonts w:ascii="Bookman Old Style" w:hAnsi="Bookman Old Style"/>
          <w:bCs/>
        </w:rPr>
        <w:t>029 de 2022 par</w:t>
      </w:r>
      <w:r w:rsidR="009C024F">
        <w:rPr>
          <w:rFonts w:ascii="Bookman Old Style" w:hAnsi="Bookman Old Style"/>
          <w:bCs/>
        </w:rPr>
        <w:t>a un</w:t>
      </w:r>
      <w:r w:rsidR="00B40136">
        <w:rPr>
          <w:rFonts w:ascii="Bookman Old Style" w:hAnsi="Bookman Old Style"/>
          <w:bCs/>
        </w:rPr>
        <w:t xml:space="preserve"> nuevo tramo que comprendía los meses de enero a abril de 2023, con un período de repa</w:t>
      </w:r>
      <w:r w:rsidR="00693E51">
        <w:rPr>
          <w:rFonts w:ascii="Bookman Old Style" w:hAnsi="Bookman Old Style"/>
          <w:bCs/>
        </w:rPr>
        <w:t xml:space="preserve">go de 18 meses, para aquellos comercializadores </w:t>
      </w:r>
      <w:r w:rsidR="002B18FF">
        <w:rPr>
          <w:rFonts w:ascii="Bookman Old Style" w:hAnsi="Bookman Old Style"/>
          <w:bCs/>
        </w:rPr>
        <w:t xml:space="preserve">que no </w:t>
      </w:r>
      <w:r w:rsidR="00D82F43">
        <w:rPr>
          <w:rFonts w:ascii="Bookman Old Style" w:hAnsi="Bookman Old Style"/>
          <w:bCs/>
        </w:rPr>
        <w:t>tengan capacidad instalada que supe</w:t>
      </w:r>
      <w:r w:rsidR="00DF1977">
        <w:rPr>
          <w:rFonts w:ascii="Bookman Old Style" w:hAnsi="Bookman Old Style"/>
          <w:bCs/>
        </w:rPr>
        <w:t>re e</w:t>
      </w:r>
      <w:r w:rsidR="002B18FF">
        <w:rPr>
          <w:rFonts w:ascii="Bookman Old Style" w:hAnsi="Bookman Old Style"/>
          <w:bCs/>
        </w:rPr>
        <w:t>l 1% de la capacidad instalada del Sistema Interconectado Nacional -SIN.</w:t>
      </w:r>
    </w:p>
    <w:p w14:paraId="5ADF7197" w14:textId="77777777" w:rsidR="006E60F2" w:rsidRDefault="006E60F2" w:rsidP="00D01179">
      <w:pPr>
        <w:ind w:left="0" w:right="142"/>
        <w:jc w:val="both"/>
        <w:rPr>
          <w:rFonts w:ascii="Bookman Old Style" w:hAnsi="Bookman Old Style"/>
          <w:bCs/>
        </w:rPr>
      </w:pPr>
    </w:p>
    <w:p w14:paraId="33852C2F" w14:textId="29C452A5" w:rsidR="006E60F2" w:rsidRDefault="006E60F2" w:rsidP="00D01179">
      <w:pPr>
        <w:ind w:left="0" w:right="142"/>
        <w:jc w:val="both"/>
        <w:rPr>
          <w:rFonts w:ascii="Bookman Old Style" w:hAnsi="Bookman Old Style"/>
          <w:bCs/>
        </w:rPr>
      </w:pPr>
      <w:r>
        <w:rPr>
          <w:rFonts w:ascii="Bookman Old Style" w:hAnsi="Bookman Old Style"/>
          <w:bCs/>
        </w:rPr>
        <w:t>Mediante la Resolución CREG 101 0</w:t>
      </w:r>
      <w:r w:rsidR="00DB5C75">
        <w:rPr>
          <w:rFonts w:ascii="Bookman Old Style" w:hAnsi="Bookman Old Style"/>
          <w:bCs/>
        </w:rPr>
        <w:t>15 de 2023, se extend</w:t>
      </w:r>
      <w:r w:rsidR="00EC177C">
        <w:rPr>
          <w:rFonts w:ascii="Bookman Old Style" w:hAnsi="Bookman Old Style"/>
          <w:bCs/>
        </w:rPr>
        <w:t>ió nuevamente</w:t>
      </w:r>
      <w:r w:rsidR="00DB5C75">
        <w:rPr>
          <w:rFonts w:ascii="Bookman Old Style" w:hAnsi="Bookman Old Style"/>
          <w:bCs/>
        </w:rPr>
        <w:t xml:space="preserve"> el mecanismo previsto en la Resolución CREG 101 029 de 2022</w:t>
      </w:r>
      <w:r w:rsidR="00045C71">
        <w:rPr>
          <w:rFonts w:ascii="Bookman Old Style" w:hAnsi="Bookman Old Style"/>
          <w:bCs/>
        </w:rPr>
        <w:t xml:space="preserve"> para nuevo tramo que comprendía los meses de </w:t>
      </w:r>
      <w:r w:rsidR="00B92D7C">
        <w:rPr>
          <w:rFonts w:ascii="Bookman Old Style" w:hAnsi="Bookman Old Style"/>
          <w:bCs/>
        </w:rPr>
        <w:t>mayo a agosto de 2023, en la</w:t>
      </w:r>
      <w:r w:rsidR="008A5279">
        <w:rPr>
          <w:rFonts w:ascii="Bookman Old Style" w:hAnsi="Bookman Old Style"/>
          <w:bCs/>
        </w:rPr>
        <w:t>s</w:t>
      </w:r>
      <w:r w:rsidR="00B92D7C">
        <w:rPr>
          <w:rFonts w:ascii="Bookman Old Style" w:hAnsi="Bookman Old Style"/>
          <w:bCs/>
        </w:rPr>
        <w:t xml:space="preserve"> misma</w:t>
      </w:r>
      <w:r w:rsidR="008A5279">
        <w:rPr>
          <w:rFonts w:ascii="Bookman Old Style" w:hAnsi="Bookman Old Style"/>
          <w:bCs/>
        </w:rPr>
        <w:t>s</w:t>
      </w:r>
      <w:r w:rsidR="00B92D7C">
        <w:rPr>
          <w:rFonts w:ascii="Bookman Old Style" w:hAnsi="Bookman Old Style"/>
          <w:bCs/>
        </w:rPr>
        <w:t xml:space="preserve"> condiciones definidas </w:t>
      </w:r>
      <w:r w:rsidR="0031314A">
        <w:rPr>
          <w:rFonts w:ascii="Bookman Old Style" w:hAnsi="Bookman Old Style"/>
          <w:bCs/>
        </w:rPr>
        <w:t>para la Resolución CREG 101 005 de 2023.</w:t>
      </w:r>
    </w:p>
    <w:p w14:paraId="09E5EA73" w14:textId="545FF9F2" w:rsidR="00A4488E" w:rsidRDefault="00A4488E" w:rsidP="00D01179">
      <w:pPr>
        <w:ind w:left="0" w:right="142"/>
        <w:jc w:val="both"/>
        <w:rPr>
          <w:rFonts w:ascii="Bookman Old Style" w:hAnsi="Bookman Old Style"/>
          <w:bCs/>
        </w:rPr>
      </w:pPr>
    </w:p>
    <w:p w14:paraId="230CB2DC" w14:textId="7A74951D" w:rsidR="00A4488E" w:rsidRDefault="00A4488E" w:rsidP="00D01179">
      <w:pPr>
        <w:ind w:left="0" w:right="142"/>
        <w:jc w:val="both"/>
        <w:rPr>
          <w:rFonts w:ascii="Bookman Old Style" w:hAnsi="Bookman Old Style"/>
          <w:bCs/>
        </w:rPr>
      </w:pPr>
      <w:r>
        <w:rPr>
          <w:rFonts w:ascii="Bookman Old Style" w:hAnsi="Bookman Old Style"/>
          <w:bCs/>
        </w:rPr>
        <w:t xml:space="preserve">La Comisión recibió </w:t>
      </w:r>
      <w:r w:rsidR="00C25502">
        <w:rPr>
          <w:rFonts w:ascii="Bookman Old Style" w:hAnsi="Bookman Old Style"/>
          <w:bCs/>
        </w:rPr>
        <w:t xml:space="preserve">comunicación con </w:t>
      </w:r>
      <w:r>
        <w:rPr>
          <w:rFonts w:ascii="Bookman Old Style" w:hAnsi="Bookman Old Style"/>
          <w:bCs/>
        </w:rPr>
        <w:t>solicitud de la</w:t>
      </w:r>
      <w:r w:rsidR="00EA7F8B">
        <w:rPr>
          <w:rFonts w:ascii="Bookman Old Style" w:hAnsi="Bookman Old Style"/>
          <w:bCs/>
        </w:rPr>
        <w:t>s</w:t>
      </w:r>
      <w:r>
        <w:rPr>
          <w:rFonts w:ascii="Bookman Old Style" w:hAnsi="Bookman Old Style"/>
          <w:bCs/>
        </w:rPr>
        <w:t xml:space="preserve"> empresa Air-</w:t>
      </w:r>
      <w:r w:rsidR="001B23F3">
        <w:rPr>
          <w:rFonts w:ascii="Bookman Old Style" w:hAnsi="Bookman Old Style"/>
          <w:bCs/>
        </w:rPr>
        <w:t>e</w:t>
      </w:r>
      <w:r w:rsidR="00C25502">
        <w:rPr>
          <w:rFonts w:ascii="Bookman Old Style" w:hAnsi="Bookman Old Style"/>
          <w:bCs/>
        </w:rPr>
        <w:t xml:space="preserve"> del </w:t>
      </w:r>
      <w:r w:rsidR="00813D8A">
        <w:rPr>
          <w:rFonts w:ascii="Bookman Old Style" w:hAnsi="Bookman Old Style"/>
          <w:bCs/>
        </w:rPr>
        <w:t xml:space="preserve">30 </w:t>
      </w:r>
      <w:r w:rsidR="00C25502">
        <w:rPr>
          <w:rFonts w:ascii="Bookman Old Style" w:hAnsi="Bookman Old Style"/>
          <w:bCs/>
        </w:rPr>
        <w:t xml:space="preserve">de </w:t>
      </w:r>
      <w:r w:rsidR="00813D8A">
        <w:rPr>
          <w:rFonts w:ascii="Bookman Old Style" w:hAnsi="Bookman Old Style"/>
          <w:bCs/>
        </w:rPr>
        <w:t xml:space="preserve">agosto </w:t>
      </w:r>
      <w:r w:rsidR="00C25502">
        <w:rPr>
          <w:rFonts w:ascii="Bookman Old Style" w:hAnsi="Bookman Old Style"/>
          <w:bCs/>
        </w:rPr>
        <w:t xml:space="preserve">de </w:t>
      </w:r>
      <w:r w:rsidR="00813D8A">
        <w:rPr>
          <w:rFonts w:ascii="Bookman Old Style" w:hAnsi="Bookman Old Style"/>
          <w:bCs/>
        </w:rPr>
        <w:t>2023</w:t>
      </w:r>
      <w:r w:rsidR="00EA7F8B">
        <w:rPr>
          <w:rFonts w:ascii="Bookman Old Style" w:hAnsi="Bookman Old Style"/>
          <w:bCs/>
        </w:rPr>
        <w:t xml:space="preserve"> y</w:t>
      </w:r>
      <w:r>
        <w:rPr>
          <w:rFonts w:ascii="Bookman Old Style" w:hAnsi="Bookman Old Style"/>
          <w:bCs/>
        </w:rPr>
        <w:t xml:space="preserve"> </w:t>
      </w:r>
      <w:r w:rsidR="00012E9F">
        <w:rPr>
          <w:rFonts w:ascii="Bookman Old Style" w:hAnsi="Bookman Old Style"/>
          <w:bCs/>
        </w:rPr>
        <w:t>Dispac del 6 septiembre de 2023</w:t>
      </w:r>
      <w:r w:rsidR="00EA7F8B">
        <w:rPr>
          <w:rFonts w:ascii="Bookman Old Style" w:hAnsi="Bookman Old Style"/>
          <w:bCs/>
        </w:rPr>
        <w:t xml:space="preserve">, </w:t>
      </w:r>
      <w:r w:rsidR="00012E9F">
        <w:rPr>
          <w:rFonts w:ascii="Bookman Old Style" w:hAnsi="Bookman Old Style"/>
          <w:bCs/>
        </w:rPr>
        <w:t xml:space="preserve">y </w:t>
      </w:r>
      <w:r w:rsidR="00813D8A">
        <w:rPr>
          <w:rFonts w:ascii="Bookman Old Style" w:hAnsi="Bookman Old Style"/>
          <w:bCs/>
        </w:rPr>
        <w:t>carta conjunta de</w:t>
      </w:r>
      <w:r w:rsidR="00D82B00">
        <w:rPr>
          <w:rFonts w:ascii="Bookman Old Style" w:hAnsi="Bookman Old Style"/>
          <w:bCs/>
        </w:rPr>
        <w:t xml:space="preserve"> </w:t>
      </w:r>
      <w:r w:rsidR="00EA7F8B">
        <w:rPr>
          <w:rFonts w:ascii="Bookman Old Style" w:hAnsi="Bookman Old Style"/>
          <w:bCs/>
        </w:rPr>
        <w:t xml:space="preserve">las empresas </w:t>
      </w:r>
      <w:r w:rsidR="00D82B00">
        <w:rPr>
          <w:rFonts w:ascii="Bookman Old Style" w:hAnsi="Bookman Old Style"/>
          <w:bCs/>
        </w:rPr>
        <w:t xml:space="preserve">EEBP, </w:t>
      </w:r>
      <w:r w:rsidR="006F61B0">
        <w:rPr>
          <w:rFonts w:ascii="Bookman Old Style" w:hAnsi="Bookman Old Style"/>
          <w:bCs/>
        </w:rPr>
        <w:t xml:space="preserve">Empresa de </w:t>
      </w:r>
      <w:r w:rsidR="00EA7F8B">
        <w:rPr>
          <w:rFonts w:ascii="Bookman Old Style" w:hAnsi="Bookman Old Style"/>
          <w:bCs/>
        </w:rPr>
        <w:t>E</w:t>
      </w:r>
      <w:r w:rsidR="006F61B0">
        <w:rPr>
          <w:rFonts w:ascii="Bookman Old Style" w:hAnsi="Bookman Old Style"/>
          <w:bCs/>
        </w:rPr>
        <w:t>nergía</w:t>
      </w:r>
      <w:r w:rsidR="00EA7F8B">
        <w:rPr>
          <w:rFonts w:ascii="Bookman Old Style" w:hAnsi="Bookman Old Style"/>
          <w:bCs/>
        </w:rPr>
        <w:t xml:space="preserve"> del Putumayo</w:t>
      </w:r>
      <w:r w:rsidR="006F61B0">
        <w:rPr>
          <w:rFonts w:ascii="Bookman Old Style" w:hAnsi="Bookman Old Style"/>
          <w:bCs/>
        </w:rPr>
        <w:t>, Air</w:t>
      </w:r>
      <w:r w:rsidR="0022600D">
        <w:rPr>
          <w:rFonts w:ascii="Bookman Old Style" w:hAnsi="Bookman Old Style"/>
          <w:bCs/>
        </w:rPr>
        <w:t>-</w:t>
      </w:r>
      <w:r w:rsidR="006F61B0">
        <w:rPr>
          <w:rFonts w:ascii="Bookman Old Style" w:hAnsi="Bookman Old Style"/>
          <w:bCs/>
        </w:rPr>
        <w:t>e</w:t>
      </w:r>
      <w:r w:rsidR="00AA3E37">
        <w:rPr>
          <w:rFonts w:ascii="Bookman Old Style" w:hAnsi="Bookman Old Style"/>
          <w:bCs/>
        </w:rPr>
        <w:t>, Dispac</w:t>
      </w:r>
      <w:r w:rsidR="006F61B0">
        <w:rPr>
          <w:rFonts w:ascii="Bookman Old Style" w:hAnsi="Bookman Old Style"/>
          <w:bCs/>
        </w:rPr>
        <w:t xml:space="preserve"> y </w:t>
      </w:r>
      <w:r w:rsidR="0022600D">
        <w:rPr>
          <w:rFonts w:ascii="Bookman Old Style" w:hAnsi="Bookman Old Style"/>
          <w:bCs/>
        </w:rPr>
        <w:t>Ruitoque del 11 de septiembre de 2023</w:t>
      </w:r>
      <w:r w:rsidR="00EA7F8B">
        <w:rPr>
          <w:rFonts w:ascii="Bookman Old Style" w:hAnsi="Bookman Old Style"/>
          <w:bCs/>
        </w:rPr>
        <w:t>,</w:t>
      </w:r>
      <w:r w:rsidR="0022600D">
        <w:rPr>
          <w:rFonts w:ascii="Bookman Old Style" w:hAnsi="Bookman Old Style"/>
          <w:bCs/>
        </w:rPr>
        <w:t xml:space="preserve"> </w:t>
      </w:r>
      <w:r>
        <w:rPr>
          <w:rFonts w:ascii="Bookman Old Style" w:hAnsi="Bookman Old Style"/>
          <w:bCs/>
        </w:rPr>
        <w:t>mediante la</w:t>
      </w:r>
      <w:r w:rsidR="00EA7F8B">
        <w:rPr>
          <w:rFonts w:ascii="Bookman Old Style" w:hAnsi="Bookman Old Style"/>
          <w:bCs/>
        </w:rPr>
        <w:t>s</w:t>
      </w:r>
      <w:r>
        <w:rPr>
          <w:rFonts w:ascii="Bookman Old Style" w:hAnsi="Bookman Old Style"/>
          <w:bCs/>
        </w:rPr>
        <w:t xml:space="preserve"> cual</w:t>
      </w:r>
      <w:r w:rsidR="00EA7F8B">
        <w:rPr>
          <w:rFonts w:ascii="Bookman Old Style" w:hAnsi="Bookman Old Style"/>
          <w:bCs/>
        </w:rPr>
        <w:t>es</w:t>
      </w:r>
      <w:r>
        <w:rPr>
          <w:rFonts w:ascii="Bookman Old Style" w:hAnsi="Bookman Old Style"/>
          <w:bCs/>
        </w:rPr>
        <w:t xml:space="preserve"> </w:t>
      </w:r>
      <w:r w:rsidR="00EA7F8B">
        <w:rPr>
          <w:rFonts w:ascii="Bookman Old Style" w:hAnsi="Bookman Old Style"/>
          <w:bCs/>
        </w:rPr>
        <w:t xml:space="preserve">se </w:t>
      </w:r>
      <w:r>
        <w:rPr>
          <w:rFonts w:ascii="Bookman Old Style" w:hAnsi="Bookman Old Style"/>
          <w:bCs/>
        </w:rPr>
        <w:t>solicita</w:t>
      </w:r>
      <w:r w:rsidR="00145788">
        <w:rPr>
          <w:rFonts w:ascii="Bookman Old Style" w:hAnsi="Bookman Old Style"/>
          <w:bCs/>
        </w:rPr>
        <w:t xml:space="preserve"> ampliar</w:t>
      </w:r>
      <w:r>
        <w:rPr>
          <w:rFonts w:ascii="Bookman Old Style" w:hAnsi="Bookman Old Style"/>
          <w:bCs/>
        </w:rPr>
        <w:t xml:space="preserve"> la </w:t>
      </w:r>
      <w:r w:rsidR="00F25381">
        <w:rPr>
          <w:rFonts w:ascii="Bookman Old Style" w:hAnsi="Bookman Old Style"/>
          <w:bCs/>
        </w:rPr>
        <w:t>extensión</w:t>
      </w:r>
      <w:r>
        <w:rPr>
          <w:rFonts w:ascii="Bookman Old Style" w:hAnsi="Bookman Old Style"/>
          <w:bCs/>
        </w:rPr>
        <w:t xml:space="preserve"> del mecanismo de diferimiento de pago de las cuentas del ASIC y LAC</w:t>
      </w:r>
      <w:r w:rsidR="003B4DC6">
        <w:rPr>
          <w:rFonts w:ascii="Bookman Old Style" w:hAnsi="Bookman Old Style"/>
          <w:bCs/>
        </w:rPr>
        <w:t xml:space="preserve"> para los comercializadores</w:t>
      </w:r>
      <w:r>
        <w:rPr>
          <w:rFonts w:ascii="Bookman Old Style" w:hAnsi="Bookman Old Style"/>
          <w:bCs/>
        </w:rPr>
        <w:t xml:space="preserve">, dado </w:t>
      </w:r>
      <w:r w:rsidR="00F25381">
        <w:rPr>
          <w:rFonts w:ascii="Bookman Old Style" w:hAnsi="Bookman Old Style"/>
          <w:bCs/>
        </w:rPr>
        <w:t xml:space="preserve">que persisten </w:t>
      </w:r>
      <w:r>
        <w:rPr>
          <w:rFonts w:ascii="Bookman Old Style" w:hAnsi="Bookman Old Style"/>
          <w:bCs/>
        </w:rPr>
        <w:t xml:space="preserve">condiciones económicas </w:t>
      </w:r>
      <w:r w:rsidR="003B4DC6">
        <w:rPr>
          <w:rFonts w:ascii="Bookman Old Style" w:hAnsi="Bookman Old Style"/>
          <w:bCs/>
        </w:rPr>
        <w:t xml:space="preserve">que </w:t>
      </w:r>
      <w:r w:rsidR="00F25381">
        <w:rPr>
          <w:rFonts w:ascii="Bookman Old Style" w:hAnsi="Bookman Old Style"/>
          <w:bCs/>
        </w:rPr>
        <w:t>pueden</w:t>
      </w:r>
      <w:r w:rsidR="003B4DC6">
        <w:rPr>
          <w:rFonts w:ascii="Bookman Old Style" w:hAnsi="Bookman Old Style"/>
          <w:bCs/>
        </w:rPr>
        <w:t xml:space="preserve"> afectar </w:t>
      </w:r>
      <w:r w:rsidR="00F25381">
        <w:rPr>
          <w:rFonts w:ascii="Bookman Old Style" w:hAnsi="Bookman Old Style"/>
          <w:bCs/>
        </w:rPr>
        <w:t>su</w:t>
      </w:r>
      <w:r w:rsidR="003B4DC6">
        <w:rPr>
          <w:rFonts w:ascii="Bookman Old Style" w:hAnsi="Bookman Old Style"/>
          <w:bCs/>
        </w:rPr>
        <w:t xml:space="preserve"> suficiencia financiera</w:t>
      </w:r>
      <w:r>
        <w:rPr>
          <w:rFonts w:ascii="Bookman Old Style" w:hAnsi="Bookman Old Style"/>
          <w:bCs/>
        </w:rPr>
        <w:t>.</w:t>
      </w:r>
      <w:r w:rsidR="005F0100">
        <w:rPr>
          <w:rFonts w:ascii="Bookman Old Style" w:hAnsi="Bookman Old Style"/>
          <w:bCs/>
        </w:rPr>
        <w:t xml:space="preserve"> </w:t>
      </w:r>
      <w:r w:rsidR="00EA7F8B">
        <w:rPr>
          <w:rFonts w:ascii="Bookman Old Style" w:hAnsi="Bookman Old Style"/>
          <w:bCs/>
        </w:rPr>
        <w:t>Igualmente</w:t>
      </w:r>
      <w:r w:rsidR="005F0100">
        <w:rPr>
          <w:rFonts w:ascii="Bookman Old Style" w:hAnsi="Bookman Old Style"/>
          <w:bCs/>
        </w:rPr>
        <w:t xml:space="preserve">, recibió </w:t>
      </w:r>
      <w:r w:rsidR="00030313">
        <w:rPr>
          <w:rFonts w:ascii="Bookman Old Style" w:hAnsi="Bookman Old Style"/>
          <w:bCs/>
        </w:rPr>
        <w:t>comunicación de A</w:t>
      </w:r>
      <w:r w:rsidR="009C42FF">
        <w:rPr>
          <w:rFonts w:ascii="Bookman Old Style" w:hAnsi="Bookman Old Style"/>
          <w:bCs/>
        </w:rPr>
        <w:t xml:space="preserve">ndeg </w:t>
      </w:r>
      <w:r w:rsidR="00030313">
        <w:rPr>
          <w:rFonts w:ascii="Bookman Old Style" w:hAnsi="Bookman Old Style"/>
          <w:bCs/>
        </w:rPr>
        <w:t xml:space="preserve">del </w:t>
      </w:r>
      <w:r w:rsidR="0034089D">
        <w:rPr>
          <w:rFonts w:ascii="Bookman Old Style" w:hAnsi="Bookman Old Style"/>
          <w:bCs/>
        </w:rPr>
        <w:t xml:space="preserve">11 de julio de 2023 </w:t>
      </w:r>
      <w:r w:rsidR="00030313">
        <w:rPr>
          <w:rFonts w:ascii="Bookman Old Style" w:hAnsi="Bookman Old Style"/>
          <w:bCs/>
        </w:rPr>
        <w:t>señalando la inconvenien</w:t>
      </w:r>
      <w:r w:rsidR="0034089D">
        <w:rPr>
          <w:rFonts w:ascii="Bookman Old Style" w:hAnsi="Bookman Old Style"/>
          <w:bCs/>
        </w:rPr>
        <w:t>cia de la extensión de la medida</w:t>
      </w:r>
      <w:r w:rsidR="00EA7F8B">
        <w:rPr>
          <w:rFonts w:ascii="Bookman Old Style" w:hAnsi="Bookman Old Style"/>
          <w:bCs/>
        </w:rPr>
        <w:t xml:space="preserve"> de diferimiento de pago</w:t>
      </w:r>
      <w:r w:rsidR="0034089D">
        <w:rPr>
          <w:rFonts w:ascii="Bookman Old Style" w:hAnsi="Bookman Old Style"/>
          <w:bCs/>
        </w:rPr>
        <w:t xml:space="preserve">. </w:t>
      </w:r>
      <w:r w:rsidR="00A6795A">
        <w:rPr>
          <w:rFonts w:ascii="Bookman Old Style" w:hAnsi="Bookman Old Style"/>
          <w:bCs/>
        </w:rPr>
        <w:t>S</w:t>
      </w:r>
      <w:r w:rsidR="003B574E">
        <w:rPr>
          <w:rFonts w:ascii="Bookman Old Style" w:hAnsi="Bookman Old Style"/>
          <w:bCs/>
        </w:rPr>
        <w:t>olicitudes fundamentadas en la presencia del fenómeno de El Niño.</w:t>
      </w:r>
    </w:p>
    <w:p w14:paraId="6AFE92CE" w14:textId="77777777" w:rsidR="000452E1" w:rsidRDefault="000452E1" w:rsidP="00D01179">
      <w:pPr>
        <w:ind w:left="0" w:right="142"/>
        <w:jc w:val="both"/>
        <w:rPr>
          <w:rFonts w:ascii="Bookman Old Style" w:hAnsi="Bookman Old Style"/>
          <w:bCs/>
        </w:rPr>
      </w:pPr>
    </w:p>
    <w:p w14:paraId="5DC04204" w14:textId="0A06AD4B" w:rsidR="000452E1" w:rsidRDefault="000452E1" w:rsidP="00D01179">
      <w:pPr>
        <w:ind w:left="0" w:right="142"/>
        <w:jc w:val="both"/>
        <w:rPr>
          <w:rFonts w:ascii="Bookman Old Style" w:hAnsi="Bookman Old Style"/>
          <w:bCs/>
        </w:rPr>
      </w:pPr>
      <w:r>
        <w:rPr>
          <w:rFonts w:ascii="Bookman Old Style" w:hAnsi="Bookman Old Style"/>
          <w:bCs/>
        </w:rPr>
        <w:t xml:space="preserve">La Comisión, en el Documento CREG </w:t>
      </w:r>
      <w:r w:rsidR="00E95B51">
        <w:rPr>
          <w:rFonts w:ascii="Bookman Old Style" w:hAnsi="Bookman Old Style"/>
          <w:bCs/>
        </w:rPr>
        <w:t>9</w:t>
      </w:r>
      <w:r>
        <w:rPr>
          <w:rFonts w:ascii="Bookman Old Style" w:hAnsi="Bookman Old Style"/>
          <w:bCs/>
        </w:rPr>
        <w:t xml:space="preserve">01 </w:t>
      </w:r>
      <w:r w:rsidR="00E95B51">
        <w:rPr>
          <w:rFonts w:ascii="Bookman Old Style" w:hAnsi="Bookman Old Style"/>
          <w:bCs/>
        </w:rPr>
        <w:t>02</w:t>
      </w:r>
      <w:r w:rsidR="0098400B">
        <w:rPr>
          <w:rFonts w:ascii="Bookman Old Style" w:hAnsi="Bookman Old Style"/>
          <w:bCs/>
        </w:rPr>
        <w:t>5</w:t>
      </w:r>
      <w:r w:rsidR="00E95B51">
        <w:rPr>
          <w:rFonts w:ascii="Bookman Old Style" w:hAnsi="Bookman Old Style"/>
          <w:bCs/>
        </w:rPr>
        <w:t xml:space="preserve"> </w:t>
      </w:r>
      <w:r>
        <w:rPr>
          <w:rFonts w:ascii="Bookman Old Style" w:hAnsi="Bookman Old Style"/>
          <w:bCs/>
        </w:rPr>
        <w:t xml:space="preserve">de 2023, soporte de la presente resolución, </w:t>
      </w:r>
      <w:r w:rsidR="00B35C5E">
        <w:rPr>
          <w:rFonts w:ascii="Bookman Old Style" w:hAnsi="Bookman Old Style"/>
          <w:bCs/>
        </w:rPr>
        <w:t>realizó</w:t>
      </w:r>
      <w:r>
        <w:rPr>
          <w:rFonts w:ascii="Bookman Old Style" w:hAnsi="Bookman Old Style"/>
          <w:bCs/>
        </w:rPr>
        <w:t xml:space="preserve"> los análisis de la</w:t>
      </w:r>
      <w:r w:rsidR="006414BF">
        <w:rPr>
          <w:rFonts w:ascii="Bookman Old Style" w:hAnsi="Bookman Old Style"/>
          <w:bCs/>
        </w:rPr>
        <w:t>s</w:t>
      </w:r>
      <w:r>
        <w:rPr>
          <w:rFonts w:ascii="Bookman Old Style" w:hAnsi="Bookman Old Style"/>
          <w:bCs/>
        </w:rPr>
        <w:t xml:space="preserve"> solicitud</w:t>
      </w:r>
      <w:r w:rsidR="006414BF">
        <w:rPr>
          <w:rFonts w:ascii="Bookman Old Style" w:hAnsi="Bookman Old Style"/>
          <w:bCs/>
        </w:rPr>
        <w:t>es</w:t>
      </w:r>
      <w:r>
        <w:rPr>
          <w:rFonts w:ascii="Bookman Old Style" w:hAnsi="Bookman Old Style"/>
          <w:bCs/>
        </w:rPr>
        <w:t xml:space="preserve">, encontrando </w:t>
      </w:r>
      <w:r w:rsidR="00EA7F8B">
        <w:rPr>
          <w:rFonts w:ascii="Bookman Old Style" w:hAnsi="Bookman Old Style"/>
          <w:bCs/>
        </w:rPr>
        <w:t xml:space="preserve">adecuado </w:t>
      </w:r>
      <w:r>
        <w:rPr>
          <w:rFonts w:ascii="Bookman Old Style" w:hAnsi="Bookman Old Style"/>
          <w:bCs/>
        </w:rPr>
        <w:t>ampliar el periodo de aplicación del mecanismo de diferimiento de pago de las cuentas del ASIC y LAC por parte de los comercializadores.</w:t>
      </w:r>
    </w:p>
    <w:p w14:paraId="76F51F03" w14:textId="77777777" w:rsidR="00A4488E" w:rsidRDefault="00A4488E" w:rsidP="00D01179">
      <w:pPr>
        <w:ind w:left="0" w:right="142"/>
        <w:jc w:val="both"/>
        <w:rPr>
          <w:rFonts w:ascii="Bookman Old Style" w:hAnsi="Bookman Old Style"/>
          <w:bCs/>
        </w:rPr>
      </w:pPr>
    </w:p>
    <w:p w14:paraId="607B37BF" w14:textId="77777777" w:rsidR="00C409E5" w:rsidRDefault="00C409E5" w:rsidP="00692D39">
      <w:pPr>
        <w:ind w:left="0"/>
        <w:jc w:val="both"/>
        <w:rPr>
          <w:rFonts w:ascii="Bookman Old Style" w:hAnsi="Bookman Old Style" w:cs="Arial"/>
        </w:rPr>
      </w:pPr>
    </w:p>
    <w:p w14:paraId="6638F42B" w14:textId="691791ED" w:rsidR="00C5402D" w:rsidRDefault="00C5402D" w:rsidP="000A0E2C">
      <w:pPr>
        <w:jc w:val="center"/>
        <w:rPr>
          <w:rFonts w:ascii="Bookman Old Style" w:hAnsi="Bookman Old Style"/>
          <w:b/>
          <w:spacing w:val="40"/>
        </w:rPr>
      </w:pPr>
      <w:r w:rsidRPr="000C479A">
        <w:rPr>
          <w:rFonts w:ascii="Bookman Old Style" w:hAnsi="Bookman Old Style"/>
          <w:b/>
        </w:rPr>
        <w:t>RESUELV</w:t>
      </w:r>
      <w:r w:rsidRPr="000C479A">
        <w:rPr>
          <w:rFonts w:ascii="Bookman Old Style" w:hAnsi="Bookman Old Style"/>
          <w:b/>
          <w:spacing w:val="40"/>
        </w:rPr>
        <w:t>E:</w:t>
      </w:r>
    </w:p>
    <w:p w14:paraId="7C7AB7A5" w14:textId="6D4F8502" w:rsidR="00C409E5" w:rsidRDefault="00C409E5" w:rsidP="000A0E2C">
      <w:pPr>
        <w:jc w:val="center"/>
        <w:rPr>
          <w:rFonts w:ascii="Bookman Old Style" w:hAnsi="Bookman Old Style"/>
          <w:b/>
          <w:spacing w:val="40"/>
        </w:rPr>
      </w:pPr>
    </w:p>
    <w:p w14:paraId="1B1F2094" w14:textId="4ADD0DBB" w:rsidR="0093456B" w:rsidRDefault="0093456B" w:rsidP="00DA7611">
      <w:pPr>
        <w:ind w:left="0"/>
        <w:jc w:val="both"/>
        <w:rPr>
          <w:rFonts w:ascii="Bookman Old Style" w:hAnsi="Bookman Old Style" w:cs="Arial"/>
          <w:bCs/>
        </w:rPr>
      </w:pPr>
      <w:r w:rsidRPr="0093456B">
        <w:rPr>
          <w:rFonts w:ascii="Bookman Old Style" w:hAnsi="Bookman Old Style" w:cs="Arial"/>
          <w:b/>
        </w:rPr>
        <w:t>A</w:t>
      </w:r>
      <w:r w:rsidR="00122F39">
        <w:rPr>
          <w:rFonts w:ascii="Bookman Old Style" w:hAnsi="Bookman Old Style" w:cs="Arial"/>
          <w:b/>
        </w:rPr>
        <w:t>rtículo 1</w:t>
      </w:r>
      <w:r w:rsidRPr="0093456B">
        <w:rPr>
          <w:rFonts w:ascii="Bookman Old Style" w:hAnsi="Bookman Old Style" w:cs="Arial"/>
          <w:b/>
        </w:rPr>
        <w:t>.</w:t>
      </w:r>
      <w:r w:rsidR="00297A12">
        <w:rPr>
          <w:rFonts w:ascii="Bookman Old Style" w:hAnsi="Bookman Old Style" w:cs="Arial"/>
          <w:b/>
        </w:rPr>
        <w:t xml:space="preserve"> </w:t>
      </w:r>
      <w:r w:rsidR="00122F39">
        <w:rPr>
          <w:rFonts w:ascii="Bookman Old Style" w:hAnsi="Bookman Old Style" w:cs="Arial"/>
          <w:b/>
        </w:rPr>
        <w:t>Modificar el numeral 6.1 del artículo 6 de la Resolución CREG 101 029 de 2022.</w:t>
      </w:r>
      <w:r w:rsidRPr="0093456B">
        <w:rPr>
          <w:rFonts w:ascii="Bookman Old Style" w:hAnsi="Bookman Old Style" w:cs="Arial"/>
          <w:bCs/>
        </w:rPr>
        <w:t xml:space="preserve"> </w:t>
      </w:r>
      <w:r w:rsidR="00122F39">
        <w:rPr>
          <w:rFonts w:ascii="Bookman Old Style" w:hAnsi="Bookman Old Style" w:cs="Arial"/>
          <w:bCs/>
        </w:rPr>
        <w:t>El numeral 6.1 del artículo 6 de la Resolución CREG 101 029 de 2022 quedará así:</w:t>
      </w:r>
    </w:p>
    <w:p w14:paraId="1D64A703" w14:textId="3967DD08" w:rsidR="00122F39" w:rsidRDefault="00122F39" w:rsidP="00DA7611">
      <w:pPr>
        <w:ind w:left="0"/>
        <w:jc w:val="both"/>
        <w:rPr>
          <w:rFonts w:ascii="Bookman Old Style" w:hAnsi="Bookman Old Style" w:cs="Arial"/>
          <w:bCs/>
        </w:rPr>
      </w:pPr>
    </w:p>
    <w:p w14:paraId="6097458F" w14:textId="0BFAE505" w:rsidR="00122F39" w:rsidRDefault="00122F39" w:rsidP="00122F39">
      <w:pPr>
        <w:ind w:left="708"/>
        <w:jc w:val="both"/>
        <w:rPr>
          <w:rFonts w:ascii="Bookman Old Style" w:hAnsi="Bookman Old Style" w:cs="Arial"/>
          <w:bCs/>
          <w:i/>
          <w:iCs/>
        </w:rPr>
      </w:pPr>
      <w:r>
        <w:rPr>
          <w:rFonts w:ascii="Bookman Old Style" w:hAnsi="Bookman Old Style" w:cs="Arial"/>
          <w:bCs/>
          <w:i/>
          <w:iCs/>
        </w:rPr>
        <w:t>“</w:t>
      </w:r>
      <w:r w:rsidRPr="00122F39">
        <w:rPr>
          <w:rFonts w:ascii="Bookman Old Style" w:hAnsi="Bookman Old Style" w:cs="Arial"/>
          <w:b/>
          <w:i/>
          <w:iCs/>
        </w:rPr>
        <w:t>6.1 Período de aplicación</w:t>
      </w:r>
      <w:r>
        <w:rPr>
          <w:rFonts w:ascii="Bookman Old Style" w:hAnsi="Bookman Old Style" w:cs="Arial"/>
          <w:bCs/>
          <w:i/>
          <w:iCs/>
        </w:rPr>
        <w:t>.  El período de aplicación de las reglas definidas en el presente artículo comprende las obligaciones de pago liquidadas por el ASIC y LAC para los siguientes tramos:</w:t>
      </w:r>
    </w:p>
    <w:p w14:paraId="3330A33F" w14:textId="6BF364BA" w:rsidR="00122F39" w:rsidRDefault="00122F39" w:rsidP="00122F39">
      <w:pPr>
        <w:ind w:left="708"/>
        <w:jc w:val="both"/>
        <w:rPr>
          <w:rFonts w:ascii="Bookman Old Style" w:hAnsi="Bookman Old Style" w:cs="Arial"/>
          <w:bCs/>
          <w:i/>
          <w:iCs/>
        </w:rPr>
      </w:pPr>
    </w:p>
    <w:p w14:paraId="736C204A" w14:textId="6DFE077F" w:rsidR="00122F39" w:rsidRDefault="00122F39" w:rsidP="00122F39">
      <w:pPr>
        <w:pStyle w:val="Prrafodelista"/>
        <w:numPr>
          <w:ilvl w:val="0"/>
          <w:numId w:val="34"/>
        </w:numPr>
        <w:jc w:val="both"/>
        <w:rPr>
          <w:rFonts w:ascii="Bookman Old Style" w:hAnsi="Bookman Old Style" w:cs="Arial"/>
          <w:bCs/>
          <w:i/>
          <w:iCs/>
          <w:sz w:val="24"/>
          <w:szCs w:val="24"/>
        </w:rPr>
      </w:pPr>
      <w:r w:rsidRPr="00122F39">
        <w:rPr>
          <w:rFonts w:ascii="Bookman Old Style" w:hAnsi="Bookman Old Style" w:cs="Arial"/>
          <w:bCs/>
          <w:i/>
          <w:iCs/>
          <w:sz w:val="24"/>
          <w:szCs w:val="24"/>
        </w:rPr>
        <w:t>Tramo 1</w:t>
      </w:r>
      <w:r>
        <w:rPr>
          <w:rFonts w:ascii="Bookman Old Style" w:hAnsi="Bookman Old Style" w:cs="Arial"/>
          <w:bCs/>
          <w:i/>
          <w:iCs/>
          <w:sz w:val="24"/>
          <w:szCs w:val="24"/>
        </w:rPr>
        <w:t>. Comprende los meses de septiembre a diciembre de 2022.</w:t>
      </w:r>
    </w:p>
    <w:p w14:paraId="45727CEF" w14:textId="77777777" w:rsidR="00E668A2" w:rsidRPr="00E668A2" w:rsidRDefault="00E668A2" w:rsidP="00E668A2">
      <w:pPr>
        <w:ind w:left="708"/>
        <w:jc w:val="both"/>
        <w:rPr>
          <w:rFonts w:ascii="Bookman Old Style" w:hAnsi="Bookman Old Style" w:cs="Arial"/>
          <w:bCs/>
          <w:i/>
          <w:iCs/>
        </w:rPr>
      </w:pPr>
    </w:p>
    <w:p w14:paraId="0EEBB7B3" w14:textId="77777777" w:rsidR="000452E1" w:rsidRDefault="00122F39" w:rsidP="00122F39">
      <w:pPr>
        <w:pStyle w:val="Prrafodelista"/>
        <w:numPr>
          <w:ilvl w:val="0"/>
          <w:numId w:val="34"/>
        </w:numPr>
        <w:jc w:val="both"/>
        <w:rPr>
          <w:rFonts w:ascii="Bookman Old Style" w:hAnsi="Bookman Old Style" w:cs="Arial"/>
          <w:bCs/>
          <w:i/>
          <w:iCs/>
          <w:sz w:val="24"/>
          <w:szCs w:val="24"/>
        </w:rPr>
      </w:pPr>
      <w:r>
        <w:rPr>
          <w:rFonts w:ascii="Bookman Old Style" w:hAnsi="Bookman Old Style" w:cs="Arial"/>
          <w:bCs/>
          <w:i/>
          <w:iCs/>
          <w:sz w:val="24"/>
          <w:szCs w:val="24"/>
        </w:rPr>
        <w:t xml:space="preserve">Tramo 2. </w:t>
      </w:r>
      <w:r w:rsidR="00E668A2">
        <w:rPr>
          <w:rFonts w:ascii="Bookman Old Style" w:hAnsi="Bookman Old Style" w:cs="Arial"/>
          <w:bCs/>
          <w:i/>
          <w:iCs/>
          <w:sz w:val="24"/>
          <w:szCs w:val="24"/>
        </w:rPr>
        <w:t>Comprende los meses de enero a abril de 2023.</w:t>
      </w:r>
    </w:p>
    <w:p w14:paraId="03F31596" w14:textId="77777777" w:rsidR="000452E1" w:rsidRPr="000452E1" w:rsidRDefault="000452E1" w:rsidP="000452E1">
      <w:pPr>
        <w:pStyle w:val="Prrafodelista"/>
        <w:rPr>
          <w:rFonts w:ascii="Bookman Old Style" w:hAnsi="Bookman Old Style" w:cs="Arial"/>
          <w:bCs/>
          <w:i/>
          <w:iCs/>
          <w:sz w:val="24"/>
          <w:szCs w:val="24"/>
        </w:rPr>
      </w:pPr>
    </w:p>
    <w:p w14:paraId="74BDA842" w14:textId="77777777" w:rsidR="00012E9F" w:rsidRDefault="000452E1" w:rsidP="00122F39">
      <w:pPr>
        <w:pStyle w:val="Prrafodelista"/>
        <w:numPr>
          <w:ilvl w:val="0"/>
          <w:numId w:val="34"/>
        </w:numPr>
        <w:jc w:val="both"/>
        <w:rPr>
          <w:rFonts w:ascii="Bookman Old Style" w:hAnsi="Bookman Old Style" w:cs="Arial"/>
          <w:bCs/>
          <w:i/>
          <w:iCs/>
          <w:sz w:val="24"/>
          <w:szCs w:val="24"/>
        </w:rPr>
      </w:pPr>
      <w:r>
        <w:rPr>
          <w:rFonts w:ascii="Bookman Old Style" w:hAnsi="Bookman Old Style" w:cs="Arial"/>
          <w:bCs/>
          <w:i/>
          <w:iCs/>
          <w:sz w:val="24"/>
          <w:szCs w:val="24"/>
        </w:rPr>
        <w:t>Tramo 3. Comprende los meses de mayo a agosto de 2023</w:t>
      </w:r>
    </w:p>
    <w:p w14:paraId="2AECD328" w14:textId="77777777" w:rsidR="00012E9F" w:rsidRPr="00577E63" w:rsidRDefault="00012E9F" w:rsidP="00577E63">
      <w:pPr>
        <w:pStyle w:val="Prrafodelista"/>
        <w:rPr>
          <w:rFonts w:ascii="Bookman Old Style" w:hAnsi="Bookman Old Style" w:cs="Arial"/>
          <w:bCs/>
          <w:i/>
          <w:iCs/>
          <w:sz w:val="24"/>
          <w:szCs w:val="24"/>
        </w:rPr>
      </w:pPr>
    </w:p>
    <w:p w14:paraId="28F8F236" w14:textId="3304499D" w:rsidR="00122F39" w:rsidRPr="00122F39" w:rsidRDefault="00012E9F" w:rsidP="00122F39">
      <w:pPr>
        <w:pStyle w:val="Prrafodelista"/>
        <w:numPr>
          <w:ilvl w:val="0"/>
          <w:numId w:val="34"/>
        </w:numPr>
        <w:jc w:val="both"/>
        <w:rPr>
          <w:rFonts w:ascii="Bookman Old Style" w:hAnsi="Bookman Old Style" w:cs="Arial"/>
          <w:bCs/>
          <w:i/>
          <w:iCs/>
          <w:sz w:val="24"/>
          <w:szCs w:val="24"/>
        </w:rPr>
      </w:pPr>
      <w:r>
        <w:rPr>
          <w:rFonts w:ascii="Bookman Old Style" w:hAnsi="Bookman Old Style" w:cs="Arial"/>
          <w:bCs/>
          <w:i/>
          <w:iCs/>
          <w:sz w:val="24"/>
          <w:szCs w:val="24"/>
        </w:rPr>
        <w:t xml:space="preserve">Tramo </w:t>
      </w:r>
      <w:r w:rsidR="00BB31FB">
        <w:rPr>
          <w:rFonts w:ascii="Bookman Old Style" w:hAnsi="Bookman Old Style" w:cs="Arial"/>
          <w:bCs/>
          <w:i/>
          <w:iCs/>
          <w:sz w:val="24"/>
          <w:szCs w:val="24"/>
        </w:rPr>
        <w:t>4. Comprende los meses de septiembre a diciembre de 2023</w:t>
      </w:r>
      <w:r w:rsidR="00E668A2">
        <w:rPr>
          <w:rFonts w:ascii="Bookman Old Style" w:hAnsi="Bookman Old Style" w:cs="Arial"/>
          <w:bCs/>
          <w:i/>
          <w:iCs/>
          <w:sz w:val="24"/>
          <w:szCs w:val="24"/>
        </w:rPr>
        <w:t>”</w:t>
      </w:r>
    </w:p>
    <w:p w14:paraId="486252C8" w14:textId="77777777" w:rsidR="0027751B" w:rsidRDefault="0027751B" w:rsidP="00E668A2">
      <w:pPr>
        <w:ind w:left="0"/>
        <w:jc w:val="both"/>
        <w:rPr>
          <w:rFonts w:ascii="Bookman Old Style" w:hAnsi="Bookman Old Style" w:cs="Arial"/>
          <w:b/>
        </w:rPr>
      </w:pPr>
    </w:p>
    <w:p w14:paraId="565310F1" w14:textId="19A19C7F" w:rsidR="0027751B" w:rsidRDefault="0027751B" w:rsidP="0027751B">
      <w:pPr>
        <w:ind w:left="0"/>
        <w:jc w:val="both"/>
        <w:rPr>
          <w:rFonts w:ascii="Bookman Old Style" w:hAnsi="Bookman Old Style" w:cs="Arial"/>
          <w:bCs/>
        </w:rPr>
      </w:pPr>
      <w:r w:rsidRPr="0093456B">
        <w:rPr>
          <w:rFonts w:ascii="Bookman Old Style" w:hAnsi="Bookman Old Style" w:cs="Arial"/>
          <w:b/>
        </w:rPr>
        <w:t>A</w:t>
      </w:r>
      <w:r>
        <w:rPr>
          <w:rFonts w:ascii="Bookman Old Style" w:hAnsi="Bookman Old Style" w:cs="Arial"/>
          <w:b/>
        </w:rPr>
        <w:t>rtículo 2</w:t>
      </w:r>
      <w:r w:rsidRPr="0093456B">
        <w:rPr>
          <w:rFonts w:ascii="Bookman Old Style" w:hAnsi="Bookman Old Style" w:cs="Arial"/>
          <w:b/>
        </w:rPr>
        <w:t>.</w:t>
      </w:r>
      <w:r>
        <w:rPr>
          <w:rFonts w:ascii="Bookman Old Style" w:hAnsi="Bookman Old Style" w:cs="Arial"/>
          <w:b/>
        </w:rPr>
        <w:t xml:space="preserve"> Modificar el numeral 6.2 del artículo 6 de la Resolución CREG 101 029 de 2022.</w:t>
      </w:r>
      <w:r w:rsidRPr="0093456B">
        <w:rPr>
          <w:rFonts w:ascii="Bookman Old Style" w:hAnsi="Bookman Old Style" w:cs="Arial"/>
          <w:bCs/>
        </w:rPr>
        <w:t xml:space="preserve"> </w:t>
      </w:r>
      <w:r>
        <w:rPr>
          <w:rFonts w:ascii="Bookman Old Style" w:hAnsi="Bookman Old Style" w:cs="Arial"/>
          <w:bCs/>
        </w:rPr>
        <w:t>El numeral 6.2 del artículo 6 de la Resolución CREG 101 029 de 2022 quedará así:</w:t>
      </w:r>
    </w:p>
    <w:p w14:paraId="6D01380B" w14:textId="67FD861B" w:rsidR="0027751B" w:rsidRDefault="0027751B" w:rsidP="00E668A2">
      <w:pPr>
        <w:ind w:left="0"/>
        <w:jc w:val="both"/>
        <w:rPr>
          <w:rFonts w:ascii="Bookman Old Style" w:hAnsi="Bookman Old Style" w:cs="Arial"/>
          <w:b/>
        </w:rPr>
      </w:pPr>
    </w:p>
    <w:p w14:paraId="040EAF13" w14:textId="25D75C67" w:rsidR="0027751B" w:rsidRDefault="0027751B" w:rsidP="0027751B">
      <w:pPr>
        <w:ind w:left="708"/>
        <w:jc w:val="both"/>
        <w:rPr>
          <w:rFonts w:ascii="Bookman Old Style" w:hAnsi="Bookman Old Style" w:cs="Arial"/>
          <w:bCs/>
          <w:i/>
          <w:iCs/>
        </w:rPr>
      </w:pPr>
      <w:r w:rsidRPr="00A50E46">
        <w:rPr>
          <w:rFonts w:ascii="Bookman Old Style" w:hAnsi="Bookman Old Style" w:cs="Arial"/>
          <w:bCs/>
          <w:i/>
          <w:iCs/>
        </w:rPr>
        <w:t>“</w:t>
      </w:r>
      <w:r>
        <w:rPr>
          <w:rFonts w:ascii="Bookman Old Style" w:hAnsi="Bookman Old Style" w:cs="Arial"/>
          <w:b/>
          <w:i/>
          <w:iCs/>
        </w:rPr>
        <w:t>6.2 Agentes beneficiarios</w:t>
      </w:r>
      <w:r>
        <w:rPr>
          <w:rFonts w:ascii="Bookman Old Style" w:hAnsi="Bookman Old Style" w:cs="Arial"/>
          <w:bCs/>
          <w:i/>
          <w:iCs/>
        </w:rPr>
        <w:t xml:space="preserve">. </w:t>
      </w:r>
      <w:r w:rsidRPr="00706DF4">
        <w:rPr>
          <w:rFonts w:ascii="Bookman Old Style" w:hAnsi="Bookman Old Style" w:cs="Arial"/>
          <w:bCs/>
          <w:i/>
          <w:iCs/>
        </w:rPr>
        <w:t xml:space="preserve">Serán los agentes comercializadores que atiendan demanda regulada al momento de la expedición de la presente resolución, que presentan saldos acumulados producto de la aplicación de la opción tarifaria adelantada en </w:t>
      </w:r>
      <w:r w:rsidR="0047013B" w:rsidRPr="00706DF4">
        <w:rPr>
          <w:rFonts w:ascii="Bookman Old Style" w:hAnsi="Bookman Old Style" w:cs="Arial"/>
          <w:bCs/>
          <w:i/>
          <w:iCs/>
        </w:rPr>
        <w:t>cumplimiento de la Resolución CREG 058 de 2020 o de la Resolución CREG 012 de 2020</w:t>
      </w:r>
      <w:r w:rsidR="00706DF4" w:rsidRPr="00706DF4">
        <w:rPr>
          <w:rFonts w:ascii="Bookman Old Style" w:hAnsi="Bookman Old Style" w:cs="Arial"/>
          <w:bCs/>
          <w:i/>
          <w:iCs/>
        </w:rPr>
        <w:t>,</w:t>
      </w:r>
      <w:r w:rsidR="0047013B" w:rsidRPr="00706DF4">
        <w:rPr>
          <w:rFonts w:ascii="Bookman Old Style" w:hAnsi="Bookman Old Style" w:cs="Arial"/>
          <w:bCs/>
          <w:i/>
          <w:iCs/>
        </w:rPr>
        <w:t xml:space="preserve"> y </w:t>
      </w:r>
      <w:r w:rsidR="00706DF4" w:rsidRPr="00706DF4">
        <w:rPr>
          <w:rFonts w:ascii="Bookman Old Style" w:hAnsi="Bookman Old Style" w:cs="Arial"/>
          <w:bCs/>
          <w:i/>
          <w:iCs/>
        </w:rPr>
        <w:t xml:space="preserve">adicionalmente para el Tramo 2 </w:t>
      </w:r>
      <w:r w:rsidR="0047013B" w:rsidRPr="00706DF4">
        <w:rPr>
          <w:rFonts w:ascii="Bookman Old Style" w:hAnsi="Bookman Old Style" w:cs="Arial"/>
          <w:bCs/>
          <w:i/>
          <w:iCs/>
        </w:rPr>
        <w:t>que no tengan capacidad instalada de generación superior al 1% de la capacidad instalada del Sistema Interconectado Nacional al 31 de diciembre de 2022</w:t>
      </w:r>
      <w:r w:rsidR="00D8657D" w:rsidRPr="00706DF4">
        <w:rPr>
          <w:rFonts w:ascii="Bookman Old Style" w:hAnsi="Bookman Old Style" w:cs="Arial"/>
          <w:bCs/>
          <w:i/>
          <w:iCs/>
        </w:rPr>
        <w:t>, de acuerdo con la información que se dispone en XM</w:t>
      </w:r>
      <w:r w:rsidR="0047013B" w:rsidRPr="00706DF4">
        <w:rPr>
          <w:rFonts w:ascii="Bookman Old Style" w:hAnsi="Bookman Old Style" w:cs="Arial"/>
          <w:bCs/>
          <w:i/>
          <w:iCs/>
        </w:rPr>
        <w:t>.</w:t>
      </w:r>
      <w:r w:rsidR="000452E1">
        <w:rPr>
          <w:rFonts w:ascii="Bookman Old Style" w:hAnsi="Bookman Old Style" w:cs="Arial"/>
          <w:bCs/>
          <w:i/>
          <w:iCs/>
        </w:rPr>
        <w:t xml:space="preserve"> Para </w:t>
      </w:r>
      <w:r w:rsidR="004654E6">
        <w:rPr>
          <w:rFonts w:ascii="Bookman Old Style" w:hAnsi="Bookman Old Style" w:cs="Arial"/>
          <w:bCs/>
          <w:i/>
          <w:iCs/>
        </w:rPr>
        <w:t xml:space="preserve">los </w:t>
      </w:r>
      <w:r w:rsidR="000452E1">
        <w:rPr>
          <w:rFonts w:ascii="Bookman Old Style" w:hAnsi="Bookman Old Style" w:cs="Arial"/>
          <w:bCs/>
          <w:i/>
          <w:iCs/>
        </w:rPr>
        <w:t>tramo</w:t>
      </w:r>
      <w:r w:rsidR="002004D2">
        <w:rPr>
          <w:rFonts w:ascii="Bookman Old Style" w:hAnsi="Bookman Old Style" w:cs="Arial"/>
          <w:bCs/>
          <w:i/>
          <w:iCs/>
        </w:rPr>
        <w:t>s</w:t>
      </w:r>
      <w:r w:rsidR="000452E1">
        <w:rPr>
          <w:rFonts w:ascii="Bookman Old Style" w:hAnsi="Bookman Old Style" w:cs="Arial"/>
          <w:bCs/>
          <w:i/>
          <w:iCs/>
        </w:rPr>
        <w:t xml:space="preserve"> 3</w:t>
      </w:r>
      <w:r w:rsidR="004654E6">
        <w:rPr>
          <w:rFonts w:ascii="Bookman Old Style" w:hAnsi="Bookman Old Style" w:cs="Arial"/>
          <w:bCs/>
          <w:i/>
          <w:iCs/>
        </w:rPr>
        <w:t xml:space="preserve"> y 4</w:t>
      </w:r>
      <w:r w:rsidR="000452E1">
        <w:rPr>
          <w:rFonts w:ascii="Bookman Old Style" w:hAnsi="Bookman Old Style" w:cs="Arial"/>
          <w:bCs/>
          <w:i/>
          <w:iCs/>
        </w:rPr>
        <w:t xml:space="preserve">, </w:t>
      </w:r>
      <w:r w:rsidR="000D72B9">
        <w:rPr>
          <w:rFonts w:ascii="Bookman Old Style" w:hAnsi="Bookman Old Style" w:cs="Arial"/>
          <w:bCs/>
          <w:i/>
          <w:iCs/>
        </w:rPr>
        <w:t>se ten</w:t>
      </w:r>
      <w:r w:rsidR="00CA1B59">
        <w:rPr>
          <w:rFonts w:ascii="Bookman Old Style" w:hAnsi="Bookman Old Style" w:cs="Arial"/>
          <w:bCs/>
          <w:i/>
          <w:iCs/>
        </w:rPr>
        <w:t>drán los mismos requerimiento</w:t>
      </w:r>
      <w:r w:rsidR="00E23019">
        <w:rPr>
          <w:rFonts w:ascii="Bookman Old Style" w:hAnsi="Bookman Old Style" w:cs="Arial"/>
          <w:bCs/>
          <w:i/>
          <w:iCs/>
        </w:rPr>
        <w:t>s</w:t>
      </w:r>
      <w:r w:rsidR="00CA1B59">
        <w:rPr>
          <w:rFonts w:ascii="Bookman Old Style" w:hAnsi="Bookman Old Style" w:cs="Arial"/>
          <w:bCs/>
          <w:i/>
          <w:iCs/>
        </w:rPr>
        <w:t xml:space="preserve"> que para el tramo 2</w:t>
      </w:r>
      <w:r w:rsidR="00F75E75">
        <w:rPr>
          <w:rFonts w:ascii="Bookman Old Style" w:hAnsi="Bookman Old Style" w:cs="Arial"/>
          <w:bCs/>
          <w:i/>
          <w:iCs/>
        </w:rPr>
        <w:t>.</w:t>
      </w:r>
    </w:p>
    <w:p w14:paraId="66623733" w14:textId="60EC8D98" w:rsidR="0047013B" w:rsidRDefault="0047013B" w:rsidP="0027751B">
      <w:pPr>
        <w:ind w:left="708"/>
        <w:jc w:val="both"/>
        <w:rPr>
          <w:rFonts w:ascii="Bookman Old Style" w:hAnsi="Bookman Old Style" w:cs="Arial"/>
          <w:bCs/>
          <w:i/>
          <w:iCs/>
        </w:rPr>
      </w:pPr>
    </w:p>
    <w:p w14:paraId="6E00F9E6" w14:textId="78E8014D" w:rsidR="0047013B" w:rsidRPr="0027751B" w:rsidRDefault="0047013B" w:rsidP="0027751B">
      <w:pPr>
        <w:ind w:left="708"/>
        <w:jc w:val="both"/>
        <w:rPr>
          <w:rFonts w:ascii="Bookman Old Style" w:hAnsi="Bookman Old Style" w:cs="Arial"/>
          <w:bCs/>
          <w:i/>
          <w:iCs/>
        </w:rPr>
      </w:pPr>
      <w:r>
        <w:rPr>
          <w:rFonts w:ascii="Bookman Old Style" w:hAnsi="Bookman Old Style" w:cs="Arial"/>
          <w:bCs/>
          <w:i/>
          <w:iCs/>
        </w:rPr>
        <w:t>Es responsabilidad de los comercializadores informar al ASIC y LAC, al momento de acogerse al mecanismo, que cumplen con los requisitos de tener saldos acumulados productos de la opción tarifaria y la capacidad instalada de generación.</w:t>
      </w:r>
      <w:r w:rsidR="00A50E46">
        <w:rPr>
          <w:rFonts w:ascii="Bookman Old Style" w:hAnsi="Bookman Old Style" w:cs="Arial"/>
          <w:bCs/>
          <w:i/>
          <w:iCs/>
        </w:rPr>
        <w:t>”</w:t>
      </w:r>
    </w:p>
    <w:p w14:paraId="6761FADD" w14:textId="77777777" w:rsidR="0027751B" w:rsidRDefault="0027751B" w:rsidP="00E668A2">
      <w:pPr>
        <w:ind w:left="0"/>
        <w:jc w:val="both"/>
        <w:rPr>
          <w:rFonts w:ascii="Bookman Old Style" w:hAnsi="Bookman Old Style" w:cs="Arial"/>
          <w:b/>
        </w:rPr>
      </w:pPr>
    </w:p>
    <w:p w14:paraId="1B0815B1" w14:textId="72260EEC" w:rsidR="00E668A2" w:rsidRDefault="00E668A2" w:rsidP="00E668A2">
      <w:pPr>
        <w:ind w:left="0"/>
        <w:jc w:val="both"/>
        <w:rPr>
          <w:rFonts w:ascii="Bookman Old Style" w:hAnsi="Bookman Old Style" w:cs="Arial"/>
          <w:bCs/>
        </w:rPr>
      </w:pPr>
      <w:r w:rsidRPr="0093456B">
        <w:rPr>
          <w:rFonts w:ascii="Bookman Old Style" w:hAnsi="Bookman Old Style" w:cs="Arial"/>
          <w:b/>
        </w:rPr>
        <w:t>A</w:t>
      </w:r>
      <w:r>
        <w:rPr>
          <w:rFonts w:ascii="Bookman Old Style" w:hAnsi="Bookman Old Style" w:cs="Arial"/>
          <w:b/>
        </w:rPr>
        <w:t xml:space="preserve">rtículo </w:t>
      </w:r>
      <w:r w:rsidR="00A50E46">
        <w:rPr>
          <w:rFonts w:ascii="Bookman Old Style" w:hAnsi="Bookman Old Style" w:cs="Arial"/>
          <w:b/>
        </w:rPr>
        <w:t>3</w:t>
      </w:r>
      <w:r w:rsidRPr="0093456B">
        <w:rPr>
          <w:rFonts w:ascii="Bookman Old Style" w:hAnsi="Bookman Old Style" w:cs="Arial"/>
          <w:b/>
        </w:rPr>
        <w:t>.</w:t>
      </w:r>
      <w:r>
        <w:rPr>
          <w:rFonts w:ascii="Bookman Old Style" w:hAnsi="Bookman Old Style" w:cs="Arial"/>
          <w:b/>
        </w:rPr>
        <w:t xml:space="preserve"> Modificar el numeral 6.5 del artículo 6 de la Resolución CREG 101 029 de 2022.</w:t>
      </w:r>
      <w:r w:rsidRPr="0093456B">
        <w:rPr>
          <w:rFonts w:ascii="Bookman Old Style" w:hAnsi="Bookman Old Style" w:cs="Arial"/>
          <w:bCs/>
        </w:rPr>
        <w:t xml:space="preserve"> </w:t>
      </w:r>
      <w:r>
        <w:rPr>
          <w:rFonts w:ascii="Bookman Old Style" w:hAnsi="Bookman Old Style" w:cs="Arial"/>
          <w:bCs/>
        </w:rPr>
        <w:t>El numeral 6.5 del artículo 6 de la Resolución CREG 101 029 de 2022 quedará así:</w:t>
      </w:r>
    </w:p>
    <w:p w14:paraId="587162A1" w14:textId="10E1A8F0" w:rsidR="00E668A2" w:rsidRDefault="00E668A2" w:rsidP="00E668A2">
      <w:pPr>
        <w:ind w:left="0"/>
        <w:jc w:val="both"/>
        <w:rPr>
          <w:rFonts w:ascii="Bookman Old Style" w:hAnsi="Bookman Old Style" w:cs="Arial"/>
          <w:bCs/>
        </w:rPr>
      </w:pPr>
    </w:p>
    <w:p w14:paraId="3C1ABFA0" w14:textId="751DEB65" w:rsidR="00E668A2" w:rsidRDefault="00E668A2" w:rsidP="00E668A2">
      <w:pPr>
        <w:ind w:left="708"/>
        <w:jc w:val="both"/>
        <w:rPr>
          <w:rFonts w:ascii="Bookman Old Style" w:hAnsi="Bookman Old Style" w:cs="Arial"/>
          <w:bCs/>
          <w:i/>
          <w:iCs/>
        </w:rPr>
      </w:pPr>
      <w:r>
        <w:rPr>
          <w:rFonts w:ascii="Bookman Old Style" w:hAnsi="Bookman Old Style" w:cs="Arial"/>
          <w:bCs/>
          <w:i/>
          <w:iCs/>
        </w:rPr>
        <w:t>“</w:t>
      </w:r>
      <w:r w:rsidRPr="00E668A2">
        <w:rPr>
          <w:rFonts w:ascii="Bookman Old Style" w:hAnsi="Bookman Old Style" w:cs="Arial"/>
          <w:b/>
          <w:i/>
          <w:iCs/>
        </w:rPr>
        <w:t>6.5 Período de pago de los montos diferidos</w:t>
      </w:r>
      <w:r>
        <w:rPr>
          <w:rFonts w:ascii="Bookman Old Style" w:hAnsi="Bookman Old Style" w:cs="Arial"/>
          <w:bCs/>
          <w:i/>
          <w:iCs/>
        </w:rPr>
        <w:t>. El período de pago de la suma de los montos diferidos durante el período de aplicación establecido en el numeral 6.1, incluyendo los intereses, será de dieciocho (18) meses, iniciando a partir de enero de 2023 para el Tramo 1</w:t>
      </w:r>
      <w:r w:rsidR="00140B60">
        <w:rPr>
          <w:rFonts w:ascii="Bookman Old Style" w:hAnsi="Bookman Old Style" w:cs="Arial"/>
          <w:bCs/>
          <w:i/>
          <w:iCs/>
        </w:rPr>
        <w:t xml:space="preserve">, </w:t>
      </w:r>
      <w:r w:rsidR="00901239">
        <w:rPr>
          <w:rFonts w:ascii="Bookman Old Style" w:hAnsi="Bookman Old Style" w:cs="Arial"/>
          <w:bCs/>
          <w:i/>
          <w:iCs/>
        </w:rPr>
        <w:t xml:space="preserve">dieciocho (18) meses, iniciando a partir de </w:t>
      </w:r>
      <w:r>
        <w:rPr>
          <w:rFonts w:ascii="Bookman Old Style" w:hAnsi="Bookman Old Style" w:cs="Arial"/>
          <w:bCs/>
          <w:i/>
          <w:iCs/>
        </w:rPr>
        <w:t>mayo de 2023 para el Tramo 2</w:t>
      </w:r>
      <w:r w:rsidR="00140B60">
        <w:rPr>
          <w:rFonts w:ascii="Bookman Old Style" w:hAnsi="Bookman Old Style" w:cs="Arial"/>
          <w:bCs/>
          <w:i/>
          <w:iCs/>
        </w:rPr>
        <w:t>, dieciocho (18) meses, iniciando a partir de septiembre de 2023 para el Tramo 3</w:t>
      </w:r>
      <w:r w:rsidR="00BE60B6">
        <w:rPr>
          <w:rFonts w:ascii="Bookman Old Style" w:hAnsi="Bookman Old Style" w:cs="Arial"/>
          <w:bCs/>
          <w:i/>
          <w:iCs/>
        </w:rPr>
        <w:t>, y dieci</w:t>
      </w:r>
      <w:r w:rsidR="001D048F">
        <w:rPr>
          <w:rFonts w:ascii="Bookman Old Style" w:hAnsi="Bookman Old Style" w:cs="Arial"/>
          <w:bCs/>
          <w:i/>
          <w:iCs/>
        </w:rPr>
        <w:t>ocho (18) meses iniciando a partir de enero de 2024</w:t>
      </w:r>
      <w:r w:rsidR="0099682A">
        <w:rPr>
          <w:rFonts w:ascii="Bookman Old Style" w:hAnsi="Bookman Old Style" w:cs="Arial"/>
          <w:bCs/>
          <w:i/>
          <w:iCs/>
        </w:rPr>
        <w:t xml:space="preserve"> para el Tramo 4</w:t>
      </w:r>
      <w:r>
        <w:rPr>
          <w:rFonts w:ascii="Bookman Old Style" w:hAnsi="Bookman Old Style" w:cs="Arial"/>
          <w:bCs/>
          <w:i/>
          <w:iCs/>
        </w:rPr>
        <w:t>. Mientras se da inicio y antes de finalizar los pagos de los montos diferidos</w:t>
      </w:r>
      <w:r w:rsidR="004851CF">
        <w:rPr>
          <w:rFonts w:ascii="Bookman Old Style" w:hAnsi="Bookman Old Style" w:cs="Arial"/>
          <w:bCs/>
          <w:i/>
          <w:iCs/>
        </w:rPr>
        <w:t xml:space="preserve"> y sus intereses, el ASIC y LAC incluirán en el saldo adeudado por los montos diferidos los intereses correspondientes.”</w:t>
      </w:r>
    </w:p>
    <w:p w14:paraId="2C58CB4F" w14:textId="77777777" w:rsidR="00A50E46" w:rsidRPr="00E668A2" w:rsidRDefault="00A50E46" w:rsidP="00E668A2">
      <w:pPr>
        <w:ind w:left="708"/>
        <w:jc w:val="both"/>
        <w:rPr>
          <w:rFonts w:ascii="Bookman Old Style" w:hAnsi="Bookman Old Style" w:cs="Arial"/>
          <w:bCs/>
          <w:i/>
          <w:iCs/>
        </w:rPr>
      </w:pPr>
    </w:p>
    <w:p w14:paraId="656248EE" w14:textId="20C53DBD" w:rsidR="00D60A02" w:rsidRDefault="00D60A02" w:rsidP="00D60A02">
      <w:pPr>
        <w:ind w:left="0"/>
        <w:jc w:val="both"/>
        <w:rPr>
          <w:rFonts w:ascii="Bookman Old Style" w:hAnsi="Bookman Old Style" w:cs="Arial"/>
          <w:bCs/>
        </w:rPr>
      </w:pPr>
      <w:r w:rsidRPr="0093456B">
        <w:rPr>
          <w:rFonts w:ascii="Bookman Old Style" w:hAnsi="Bookman Old Style" w:cs="Arial"/>
          <w:b/>
        </w:rPr>
        <w:t>A</w:t>
      </w:r>
      <w:r>
        <w:rPr>
          <w:rFonts w:ascii="Bookman Old Style" w:hAnsi="Bookman Old Style" w:cs="Arial"/>
          <w:b/>
        </w:rPr>
        <w:t xml:space="preserve">rtículo </w:t>
      </w:r>
      <w:r w:rsidR="00A13297">
        <w:rPr>
          <w:rFonts w:ascii="Bookman Old Style" w:hAnsi="Bookman Old Style" w:cs="Arial"/>
          <w:b/>
        </w:rPr>
        <w:t>4</w:t>
      </w:r>
      <w:r w:rsidRPr="0093456B">
        <w:rPr>
          <w:rFonts w:ascii="Bookman Old Style" w:hAnsi="Bookman Old Style" w:cs="Arial"/>
          <w:b/>
        </w:rPr>
        <w:t>.</w:t>
      </w:r>
      <w:r>
        <w:rPr>
          <w:rFonts w:ascii="Bookman Old Style" w:hAnsi="Bookman Old Style" w:cs="Arial"/>
          <w:b/>
        </w:rPr>
        <w:t xml:space="preserve"> Modificar el numeral 6.6 del artículo 6 de la Resolución CREG 101 029 de 2022.</w:t>
      </w:r>
      <w:r w:rsidRPr="0093456B">
        <w:rPr>
          <w:rFonts w:ascii="Bookman Old Style" w:hAnsi="Bookman Old Style" w:cs="Arial"/>
          <w:bCs/>
        </w:rPr>
        <w:t xml:space="preserve"> </w:t>
      </w:r>
      <w:r>
        <w:rPr>
          <w:rFonts w:ascii="Bookman Old Style" w:hAnsi="Bookman Old Style" w:cs="Arial"/>
          <w:bCs/>
        </w:rPr>
        <w:t>El numeral 6.6 del artículo 6 de la Resolución CREG 101 029 de 2022 quedará así:</w:t>
      </w:r>
    </w:p>
    <w:p w14:paraId="5AA81960" w14:textId="7DE2590E" w:rsidR="00D60A02" w:rsidRDefault="00D60A02" w:rsidP="00D60A02">
      <w:pPr>
        <w:ind w:left="0"/>
        <w:jc w:val="both"/>
        <w:rPr>
          <w:rFonts w:ascii="Bookman Old Style" w:hAnsi="Bookman Old Style" w:cs="Arial"/>
          <w:bCs/>
        </w:rPr>
      </w:pPr>
    </w:p>
    <w:p w14:paraId="7C519AC3" w14:textId="6FE228D3" w:rsidR="00D60A02" w:rsidRPr="00D60A02" w:rsidRDefault="00D60A02" w:rsidP="00D60A02">
      <w:pPr>
        <w:ind w:left="708"/>
        <w:jc w:val="both"/>
        <w:rPr>
          <w:i/>
          <w:iCs/>
        </w:rPr>
      </w:pPr>
      <w:r w:rsidRPr="00D60A02">
        <w:rPr>
          <w:rFonts w:ascii="Bookman Old Style" w:eastAsia="Bookman Old Style" w:hAnsi="Bookman Old Style" w:cs="Bookman Old Style"/>
          <w:i/>
          <w:iCs/>
          <w:lang w:val="es"/>
        </w:rPr>
        <w:t>“</w:t>
      </w:r>
      <w:r w:rsidRPr="00D60A02">
        <w:rPr>
          <w:rFonts w:ascii="Bookman Old Style" w:eastAsia="Bookman Old Style" w:hAnsi="Bookman Old Style" w:cs="Bookman Old Style"/>
          <w:b/>
          <w:bCs/>
          <w:i/>
          <w:iCs/>
          <w:lang w:val="es"/>
        </w:rPr>
        <w:t>6.6 Cantidades mensuales de pago y condiciones de pronto pago.</w:t>
      </w:r>
      <w:r w:rsidRPr="00D60A02">
        <w:rPr>
          <w:rFonts w:ascii="Bookman Old Style" w:eastAsia="Bookman Old Style" w:hAnsi="Bookman Old Style" w:cs="Bookman Old Style"/>
          <w:i/>
          <w:iCs/>
          <w:lang w:val="es"/>
        </w:rPr>
        <w:t xml:space="preserve"> Las cantidades mensuales de pago por los montos totales diferidos de acuerdo con los numerales 6.3 y 6.4, será el valor total adeudado </w:t>
      </w:r>
      <w:r>
        <w:rPr>
          <w:rFonts w:ascii="Bookman Old Style" w:eastAsia="Bookman Old Style" w:hAnsi="Bookman Old Style" w:cs="Bookman Old Style"/>
          <w:i/>
          <w:iCs/>
          <w:lang w:val="es"/>
        </w:rPr>
        <w:t xml:space="preserve">por tramo </w:t>
      </w:r>
      <w:r w:rsidRPr="00D60A02">
        <w:rPr>
          <w:rFonts w:ascii="Bookman Old Style" w:eastAsia="Bookman Old Style" w:hAnsi="Bookman Old Style" w:cs="Bookman Old Style"/>
          <w:i/>
          <w:iCs/>
          <w:lang w:val="es"/>
        </w:rPr>
        <w:lastRenderedPageBreak/>
        <w:t xml:space="preserve">dividido por el número de meses del período </w:t>
      </w:r>
      <w:r>
        <w:rPr>
          <w:rFonts w:ascii="Bookman Old Style" w:eastAsia="Bookman Old Style" w:hAnsi="Bookman Old Style" w:cs="Bookman Old Style"/>
          <w:i/>
          <w:iCs/>
          <w:lang w:val="es"/>
        </w:rPr>
        <w:t xml:space="preserve">de pago </w:t>
      </w:r>
      <w:r w:rsidRPr="00D60A02">
        <w:rPr>
          <w:rFonts w:ascii="Bookman Old Style" w:eastAsia="Bookman Old Style" w:hAnsi="Bookman Old Style" w:cs="Bookman Old Style"/>
          <w:i/>
          <w:iCs/>
          <w:lang w:val="es"/>
        </w:rPr>
        <w:t>definido en el numeral 6.5</w:t>
      </w:r>
      <w:r>
        <w:rPr>
          <w:rFonts w:ascii="Bookman Old Style" w:eastAsia="Bookman Old Style" w:hAnsi="Bookman Old Style" w:cs="Bookman Old Style"/>
          <w:i/>
          <w:iCs/>
          <w:lang w:val="es"/>
        </w:rPr>
        <w:t xml:space="preserve"> para cada tramo</w:t>
      </w:r>
      <w:r w:rsidRPr="00D60A02">
        <w:rPr>
          <w:rFonts w:ascii="Bookman Old Style" w:eastAsia="Bookman Old Style" w:hAnsi="Bookman Old Style" w:cs="Bookman Old Style"/>
          <w:i/>
          <w:iCs/>
          <w:lang w:val="es"/>
        </w:rPr>
        <w:t xml:space="preserve">. A las cantidades mensuales de pago del valor total diferido, se les adicionará el interés causado a partir de la fecha de vencimiento de pago de las facturas correspondientes definido en la Resolución CREG 157 de 2011. </w:t>
      </w:r>
    </w:p>
    <w:p w14:paraId="61AB34A2" w14:textId="77777777" w:rsidR="00D60A02" w:rsidRPr="00D60A02" w:rsidRDefault="00D60A02" w:rsidP="00D60A02">
      <w:pPr>
        <w:ind w:left="1133" w:hanging="567"/>
        <w:jc w:val="both"/>
        <w:rPr>
          <w:i/>
          <w:iCs/>
        </w:rPr>
      </w:pPr>
      <w:r w:rsidRPr="00D60A02">
        <w:rPr>
          <w:rFonts w:ascii="Bookman Old Style" w:eastAsia="Bookman Old Style" w:hAnsi="Bookman Old Style" w:cs="Bookman Old Style"/>
          <w:i/>
          <w:iCs/>
          <w:lang w:val="es"/>
        </w:rPr>
        <w:t xml:space="preserve"> </w:t>
      </w:r>
    </w:p>
    <w:p w14:paraId="000F0632" w14:textId="77777777" w:rsidR="00D60A02" w:rsidRPr="00D60A02" w:rsidRDefault="00D60A02" w:rsidP="00D60A02">
      <w:pPr>
        <w:ind w:left="708"/>
        <w:jc w:val="both"/>
        <w:rPr>
          <w:i/>
          <w:iCs/>
        </w:rPr>
      </w:pPr>
      <w:r w:rsidRPr="00D60A02">
        <w:rPr>
          <w:rFonts w:ascii="Bookman Old Style" w:eastAsia="Bookman Old Style" w:hAnsi="Bookman Old Style" w:cs="Bookman Old Style"/>
          <w:i/>
          <w:iCs/>
          <w:lang w:val="es"/>
        </w:rPr>
        <w:t xml:space="preserve">La tasa de interés aplicable se determinará como el menor valor entre: i) la tasa de financiación real reportada a XM por cada agente acreedor de los pagos por liquidaciones de ASIC y LAC para el periodo de aplicación; el reporte para cada mes se deberá hacerse cinco (5) días hábiles antes de su finalización; y, ii) la tasa de interés preferencial de colocación de créditos comerciales. </w:t>
      </w:r>
    </w:p>
    <w:p w14:paraId="5B6D4962" w14:textId="77777777" w:rsidR="00D60A02" w:rsidRPr="00D60A02" w:rsidRDefault="00D60A02" w:rsidP="00D60A02">
      <w:pPr>
        <w:ind w:left="1133"/>
        <w:jc w:val="both"/>
        <w:rPr>
          <w:i/>
          <w:iCs/>
        </w:rPr>
      </w:pPr>
      <w:r w:rsidRPr="00D60A02">
        <w:rPr>
          <w:rFonts w:ascii="Bookman Old Style" w:eastAsia="Bookman Old Style" w:hAnsi="Bookman Old Style" w:cs="Bookman Old Style"/>
          <w:i/>
          <w:iCs/>
          <w:lang w:val="es"/>
        </w:rPr>
        <w:t xml:space="preserve"> </w:t>
      </w:r>
    </w:p>
    <w:p w14:paraId="0AA52EAA" w14:textId="77777777" w:rsidR="00D60A02" w:rsidRPr="00D60A02" w:rsidRDefault="00D60A02" w:rsidP="00D60A02">
      <w:pPr>
        <w:ind w:left="708"/>
        <w:jc w:val="both"/>
        <w:rPr>
          <w:rFonts w:ascii="Bookman Old Style" w:eastAsia="Bookman Old Style" w:hAnsi="Bookman Old Style" w:cs="Bookman Old Style"/>
          <w:i/>
          <w:iCs/>
          <w:lang w:val="es"/>
        </w:rPr>
      </w:pPr>
      <w:r w:rsidRPr="00D60A02">
        <w:rPr>
          <w:rFonts w:ascii="Bookman Old Style" w:eastAsia="Bookman Old Style" w:hAnsi="Bookman Old Style" w:cs="Bookman Old Style"/>
          <w:i/>
          <w:iCs/>
          <w:lang w:val="es"/>
        </w:rPr>
        <w:t>En caso de existir varios agentes acreedores, XM calculará la tasa de interés como el promedio ponderado por los montos liquidados de los agentes acreedores correspondientes en cada mes de pago. Las tasas de interés serán informadas por el ASIC y LAC, y calculadas con la mejor información disponible que se tenga en el momento de su cálculo, para que el comercializador conozca con anticipación la tasa de financiación a pagar, en caso de hacer uso del mecanismo.</w:t>
      </w:r>
    </w:p>
    <w:p w14:paraId="7DFBECBF" w14:textId="77777777" w:rsidR="00D60A02" w:rsidRPr="00D60A02" w:rsidRDefault="00D60A02" w:rsidP="00D60A02">
      <w:pPr>
        <w:ind w:left="708"/>
        <w:jc w:val="both"/>
        <w:rPr>
          <w:rFonts w:ascii="Bookman Old Style" w:eastAsia="Bookman Old Style" w:hAnsi="Bookman Old Style" w:cs="Bookman Old Style"/>
          <w:i/>
          <w:iCs/>
          <w:lang w:val="es"/>
        </w:rPr>
      </w:pPr>
    </w:p>
    <w:p w14:paraId="44B6560B" w14:textId="77777777" w:rsidR="00D60A02" w:rsidRPr="00D60A02" w:rsidRDefault="00D60A02" w:rsidP="00D60A02">
      <w:pPr>
        <w:ind w:left="708"/>
        <w:jc w:val="both"/>
        <w:rPr>
          <w:rFonts w:ascii="Bookman Old Style" w:eastAsia="Bookman Old Style" w:hAnsi="Bookman Old Style" w:cs="Bookman Old Style"/>
          <w:i/>
          <w:iCs/>
          <w:lang w:val="es"/>
        </w:rPr>
      </w:pPr>
      <w:r w:rsidRPr="00D60A02">
        <w:rPr>
          <w:rFonts w:ascii="Bookman Old Style" w:eastAsia="Bookman Old Style" w:hAnsi="Bookman Old Style" w:cs="Bookman Old Style"/>
          <w:i/>
          <w:iCs/>
          <w:lang w:val="es"/>
        </w:rPr>
        <w:t>En el caso que algún agente acreedor de los pagos por liquidaciones para el periodo de aplicación establecido no realice el reporte de la tasa de financiación real al ASIC y LAC, estos tomarán la menor tasa de financiación reportada.</w:t>
      </w:r>
    </w:p>
    <w:p w14:paraId="220FCB2D" w14:textId="77777777" w:rsidR="00D60A02" w:rsidRPr="00D60A02" w:rsidRDefault="00D60A02" w:rsidP="00D60A02">
      <w:pPr>
        <w:ind w:left="1133"/>
        <w:jc w:val="both"/>
        <w:rPr>
          <w:i/>
          <w:iCs/>
        </w:rPr>
      </w:pPr>
    </w:p>
    <w:p w14:paraId="52F23565" w14:textId="77777777" w:rsidR="00D60A02" w:rsidRPr="00D60A02" w:rsidRDefault="00D60A02" w:rsidP="00D60A02">
      <w:pPr>
        <w:ind w:left="708"/>
        <w:jc w:val="both"/>
        <w:rPr>
          <w:i/>
          <w:iCs/>
        </w:rPr>
      </w:pPr>
      <w:r w:rsidRPr="00D60A02">
        <w:rPr>
          <w:rFonts w:ascii="Bookman Old Style" w:eastAsia="Bookman Old Style" w:hAnsi="Bookman Old Style" w:cs="Bookman Old Style"/>
          <w:i/>
          <w:iCs/>
          <w:lang w:val="es"/>
        </w:rPr>
        <w:t>La tasa preferencial referida corresponde a la tasa de interés preferencial de colocación de créditos comerciales promedio de las últimas 26 semanas, de acuerdo con la información reportada por el Banco de la República.</w:t>
      </w:r>
    </w:p>
    <w:p w14:paraId="30F73870" w14:textId="77777777" w:rsidR="00D60A02" w:rsidRPr="00D60A02" w:rsidRDefault="00D60A02" w:rsidP="00D60A02">
      <w:pPr>
        <w:ind w:left="708"/>
        <w:jc w:val="both"/>
        <w:rPr>
          <w:i/>
          <w:iCs/>
        </w:rPr>
      </w:pPr>
      <w:r w:rsidRPr="00D60A02">
        <w:rPr>
          <w:rFonts w:ascii="Bookman Old Style" w:eastAsia="Bookman Old Style" w:hAnsi="Bookman Old Style" w:cs="Bookman Old Style"/>
          <w:i/>
          <w:iCs/>
          <w:lang w:val="es"/>
        </w:rPr>
        <w:t xml:space="preserve"> </w:t>
      </w:r>
    </w:p>
    <w:p w14:paraId="173CE4E0" w14:textId="2D32B50E" w:rsidR="00D60A02" w:rsidRPr="00D60A02" w:rsidRDefault="00D60A02" w:rsidP="00D60A02">
      <w:pPr>
        <w:ind w:left="708"/>
        <w:jc w:val="both"/>
        <w:rPr>
          <w:i/>
          <w:iCs/>
        </w:rPr>
      </w:pPr>
      <w:r w:rsidRPr="00D60A02">
        <w:rPr>
          <w:rFonts w:ascii="Bookman Old Style" w:eastAsia="Bookman Old Style" w:hAnsi="Bookman Old Style" w:cs="Bookman Old Style"/>
          <w:i/>
          <w:iCs/>
          <w:lang w:val="es"/>
        </w:rPr>
        <w:t>En cualquier momento durante el período de pago de los montos diferidos, o cuando reciban pagos anticipados de los usuarios, los agentes comercializadores podrán pagar cantidades adicionales a las cantidades mensuales de pago, como abono al saldo adeudado, o podrán pagar el saldo total adeudado.</w:t>
      </w:r>
      <w:r>
        <w:rPr>
          <w:rFonts w:ascii="Bookman Old Style" w:eastAsia="Bookman Old Style" w:hAnsi="Bookman Old Style" w:cs="Bookman Old Style"/>
          <w:i/>
          <w:iCs/>
          <w:lang w:val="es"/>
        </w:rPr>
        <w:t>”</w:t>
      </w:r>
    </w:p>
    <w:p w14:paraId="6F7F5E7A" w14:textId="77777777" w:rsidR="00D60A02" w:rsidRDefault="00D60A02" w:rsidP="00D60A02">
      <w:pPr>
        <w:ind w:left="0"/>
        <w:jc w:val="both"/>
        <w:rPr>
          <w:rFonts w:ascii="Bookman Old Style" w:hAnsi="Bookman Old Style" w:cs="Arial"/>
          <w:bCs/>
        </w:rPr>
      </w:pPr>
    </w:p>
    <w:p w14:paraId="3E26CAA5" w14:textId="00592C90" w:rsidR="00BC4A8E" w:rsidRDefault="00021BE1" w:rsidP="000848C5">
      <w:pPr>
        <w:ind w:left="0"/>
        <w:jc w:val="both"/>
        <w:rPr>
          <w:rFonts w:ascii="Bookman Old Style" w:hAnsi="Bookman Old Style" w:cs="Arial"/>
        </w:rPr>
      </w:pPr>
      <w:r w:rsidRPr="00021BE1">
        <w:rPr>
          <w:rFonts w:ascii="Bookman Old Style" w:hAnsi="Bookman Old Style" w:cs="Arial"/>
          <w:b/>
          <w:bCs/>
        </w:rPr>
        <w:t>Parágrafo</w:t>
      </w:r>
      <w:r>
        <w:rPr>
          <w:rFonts w:ascii="Bookman Old Style" w:hAnsi="Bookman Old Style" w:cs="Arial"/>
        </w:rPr>
        <w:t xml:space="preserve">. Para el mes de </w:t>
      </w:r>
      <w:r w:rsidR="00A2689A">
        <w:rPr>
          <w:rFonts w:ascii="Bookman Old Style" w:hAnsi="Bookman Old Style" w:cs="Arial"/>
        </w:rPr>
        <w:t xml:space="preserve">septiembre </w:t>
      </w:r>
      <w:r>
        <w:rPr>
          <w:rFonts w:ascii="Bookman Old Style" w:hAnsi="Bookman Old Style" w:cs="Arial"/>
        </w:rPr>
        <w:t xml:space="preserve">de 2023, la tasa </w:t>
      </w:r>
      <w:r w:rsidR="00A52AC3">
        <w:rPr>
          <w:rFonts w:ascii="Bookman Old Style" w:hAnsi="Bookman Old Style" w:cs="Arial"/>
        </w:rPr>
        <w:t xml:space="preserve">de interés aplicable será </w:t>
      </w:r>
      <w:r w:rsidR="0051331C">
        <w:rPr>
          <w:rFonts w:ascii="Bookman Old Style" w:hAnsi="Bookman Old Style" w:cs="Arial"/>
        </w:rPr>
        <w:t>la tasa de interés preferencial de colocación de créditos comerciales.</w:t>
      </w:r>
    </w:p>
    <w:p w14:paraId="2C89A803" w14:textId="37FF3EC0" w:rsidR="00021BE1" w:rsidRDefault="00021BE1" w:rsidP="000848C5">
      <w:pPr>
        <w:ind w:left="0"/>
        <w:jc w:val="both"/>
        <w:rPr>
          <w:rFonts w:ascii="Bookman Old Style" w:hAnsi="Bookman Old Style" w:cs="Arial"/>
        </w:rPr>
      </w:pPr>
    </w:p>
    <w:p w14:paraId="5617266A" w14:textId="77777777" w:rsidR="00021BE1" w:rsidRDefault="00021BE1" w:rsidP="000848C5">
      <w:pPr>
        <w:ind w:left="0"/>
        <w:jc w:val="both"/>
        <w:rPr>
          <w:rFonts w:ascii="Bookman Old Style" w:hAnsi="Bookman Old Style" w:cs="Arial"/>
        </w:rPr>
      </w:pPr>
    </w:p>
    <w:p w14:paraId="695DF55D" w14:textId="6C9D998E" w:rsidR="00C5402D" w:rsidRDefault="00BC4A8E" w:rsidP="00BC4A8E">
      <w:pPr>
        <w:ind w:left="0"/>
        <w:jc w:val="both"/>
        <w:rPr>
          <w:rFonts w:ascii="Bookman Old Style" w:hAnsi="Bookman Old Style" w:cs="Arial"/>
        </w:rPr>
      </w:pPr>
      <w:r>
        <w:rPr>
          <w:rFonts w:ascii="Bookman Old Style" w:hAnsi="Bookman Old Style" w:cs="Arial"/>
          <w:b/>
          <w:bCs/>
        </w:rPr>
        <w:t>A</w:t>
      </w:r>
      <w:r w:rsidR="00E668A2">
        <w:rPr>
          <w:rFonts w:ascii="Bookman Old Style" w:hAnsi="Bookman Old Style" w:cs="Arial"/>
          <w:b/>
          <w:bCs/>
        </w:rPr>
        <w:t xml:space="preserve">rtículo </w:t>
      </w:r>
      <w:r w:rsidR="00A13297">
        <w:rPr>
          <w:rFonts w:ascii="Bookman Old Style" w:hAnsi="Bookman Old Style" w:cs="Arial"/>
          <w:b/>
          <w:bCs/>
        </w:rPr>
        <w:t>5</w:t>
      </w:r>
      <w:r>
        <w:rPr>
          <w:rFonts w:ascii="Bookman Old Style" w:hAnsi="Bookman Old Style" w:cs="Arial"/>
          <w:b/>
          <w:bCs/>
        </w:rPr>
        <w:t>. V</w:t>
      </w:r>
      <w:r w:rsidR="00E668A2">
        <w:rPr>
          <w:rFonts w:ascii="Bookman Old Style" w:hAnsi="Bookman Old Style" w:cs="Arial"/>
          <w:b/>
          <w:bCs/>
        </w:rPr>
        <w:t>igencia</w:t>
      </w:r>
      <w:r>
        <w:rPr>
          <w:rFonts w:ascii="Bookman Old Style" w:hAnsi="Bookman Old Style" w:cs="Arial"/>
          <w:b/>
          <w:bCs/>
        </w:rPr>
        <w:t xml:space="preserve">. </w:t>
      </w:r>
      <w:r w:rsidR="00C5402D" w:rsidRPr="00BC4A8E">
        <w:rPr>
          <w:rFonts w:ascii="Bookman Old Style" w:hAnsi="Bookman Old Style" w:cs="Arial"/>
        </w:rPr>
        <w:t xml:space="preserve">La presente resolución </w:t>
      </w:r>
      <w:r w:rsidR="00901239">
        <w:rPr>
          <w:rFonts w:ascii="Bookman Old Style" w:hAnsi="Bookman Old Style" w:cs="Arial"/>
        </w:rPr>
        <w:t xml:space="preserve">rige a partir de su </w:t>
      </w:r>
      <w:r w:rsidR="00C5402D" w:rsidRPr="00BC4A8E">
        <w:rPr>
          <w:rFonts w:ascii="Bookman Old Style" w:hAnsi="Bookman Old Style" w:cs="Arial"/>
        </w:rPr>
        <w:t>publi</w:t>
      </w:r>
      <w:r w:rsidR="00901239">
        <w:rPr>
          <w:rFonts w:ascii="Bookman Old Style" w:hAnsi="Bookman Old Style" w:cs="Arial"/>
        </w:rPr>
        <w:t xml:space="preserve">cación </w:t>
      </w:r>
      <w:r w:rsidR="00C5402D" w:rsidRPr="00BC4A8E">
        <w:rPr>
          <w:rFonts w:ascii="Bookman Old Style" w:hAnsi="Bookman Old Style" w:cs="Arial"/>
        </w:rPr>
        <w:t xml:space="preserve">en el </w:t>
      </w:r>
      <w:r w:rsidR="00C5402D" w:rsidRPr="00EC323E">
        <w:rPr>
          <w:rFonts w:ascii="Bookman Old Style" w:hAnsi="Bookman Old Style" w:cs="Arial"/>
          <w:i/>
          <w:iCs/>
        </w:rPr>
        <w:t>Diario Oficial</w:t>
      </w:r>
      <w:r w:rsidR="00C5402D" w:rsidRPr="00BC4A8E">
        <w:rPr>
          <w:rFonts w:ascii="Bookman Old Style" w:hAnsi="Bookman Old Style" w:cs="Arial"/>
        </w:rPr>
        <w:t>.</w:t>
      </w:r>
    </w:p>
    <w:p w14:paraId="1860708F" w14:textId="2016195F" w:rsidR="00353572" w:rsidRDefault="00353572" w:rsidP="00BC4A8E">
      <w:pPr>
        <w:ind w:left="0"/>
        <w:jc w:val="both"/>
        <w:rPr>
          <w:rFonts w:ascii="Bookman Old Style" w:hAnsi="Bookman Old Style" w:cs="Arial"/>
        </w:rPr>
      </w:pPr>
    </w:p>
    <w:p w14:paraId="0AD825A9" w14:textId="77777777" w:rsidR="00901239" w:rsidRPr="00BC4A8E" w:rsidRDefault="00901239" w:rsidP="00BC4A8E">
      <w:pPr>
        <w:ind w:left="0"/>
        <w:jc w:val="both"/>
        <w:rPr>
          <w:rFonts w:ascii="Bookman Old Style" w:hAnsi="Bookman Old Style" w:cs="Arial"/>
        </w:rPr>
      </w:pPr>
    </w:p>
    <w:p w14:paraId="295CBDAA" w14:textId="03580E66" w:rsidR="00BB3C8C" w:rsidRDefault="00BB3C8C" w:rsidP="00202031">
      <w:pPr>
        <w:ind w:left="0"/>
      </w:pPr>
    </w:p>
    <w:p w14:paraId="549AE84B" w14:textId="77777777" w:rsidR="00C5402D" w:rsidRPr="00A61EF1" w:rsidRDefault="00C5402D" w:rsidP="000A0E2C">
      <w:pPr>
        <w:jc w:val="center"/>
        <w:rPr>
          <w:rFonts w:ascii="Bookman Old Style" w:hAnsi="Bookman Old Style"/>
          <w:b/>
        </w:rPr>
      </w:pPr>
      <w:r w:rsidRPr="00A61EF1">
        <w:rPr>
          <w:rFonts w:ascii="Bookman Old Style" w:hAnsi="Bookman Old Style"/>
          <w:b/>
        </w:rPr>
        <w:t>PUBLÍQUESE Y CÚMPLASE</w:t>
      </w:r>
    </w:p>
    <w:p w14:paraId="54D84EC5" w14:textId="0952AF44" w:rsidR="00A13297" w:rsidRDefault="00A13297" w:rsidP="000A0E2C">
      <w:pPr>
        <w:spacing w:line="259" w:lineRule="auto"/>
        <w:ind w:left="0"/>
        <w:rPr>
          <w:rFonts w:ascii="Bookman Old Style" w:hAnsi="Bookman Old Style"/>
        </w:rPr>
      </w:pPr>
    </w:p>
    <w:p w14:paraId="441A730F" w14:textId="7CC8E1A3" w:rsidR="00A13297" w:rsidRDefault="00A13297" w:rsidP="000A0E2C">
      <w:pPr>
        <w:spacing w:line="259" w:lineRule="auto"/>
        <w:ind w:left="0"/>
        <w:rPr>
          <w:rFonts w:ascii="Bookman Old Style" w:hAnsi="Bookman Old Style"/>
        </w:rPr>
      </w:pPr>
    </w:p>
    <w:p w14:paraId="41852C24" w14:textId="7A36160F" w:rsidR="00095C78" w:rsidRDefault="00095C78" w:rsidP="000A0E2C">
      <w:pPr>
        <w:spacing w:line="259" w:lineRule="auto"/>
        <w:ind w:left="0"/>
        <w:rPr>
          <w:rFonts w:ascii="Bookman Old Style" w:hAnsi="Bookman Old Style"/>
        </w:rPr>
      </w:pPr>
    </w:p>
    <w:p w14:paraId="3CE21D1D" w14:textId="77777777" w:rsidR="00095C78" w:rsidRDefault="00095C78" w:rsidP="000A0E2C">
      <w:pPr>
        <w:spacing w:line="259" w:lineRule="auto"/>
        <w:ind w:left="0"/>
        <w:rPr>
          <w:rFonts w:ascii="Bookman Old Style" w:hAnsi="Bookman Old Style"/>
        </w:rPr>
      </w:pPr>
    </w:p>
    <w:p w14:paraId="78CA5600" w14:textId="77777777" w:rsidR="00A13297" w:rsidRDefault="00A13297" w:rsidP="000A0E2C">
      <w:pPr>
        <w:spacing w:line="259" w:lineRule="auto"/>
        <w:ind w:left="0"/>
        <w:rPr>
          <w:rFonts w:ascii="Bookman Old Style" w:hAnsi="Bookman Old Style"/>
        </w:rPr>
      </w:pPr>
    </w:p>
    <w:sectPr w:rsidR="00A13297" w:rsidSect="005A59EF">
      <w:headerReference w:type="default" r:id="rId14"/>
      <w:headerReference w:type="first" r:id="rId15"/>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79E3" w14:textId="77777777" w:rsidR="000D167E" w:rsidRDefault="000D167E">
      <w:r>
        <w:separator/>
      </w:r>
    </w:p>
  </w:endnote>
  <w:endnote w:type="continuationSeparator" w:id="0">
    <w:p w14:paraId="6926493F" w14:textId="77777777" w:rsidR="000D167E" w:rsidRDefault="000D167E">
      <w:r>
        <w:continuationSeparator/>
      </w:r>
    </w:p>
  </w:endnote>
  <w:endnote w:type="continuationNotice" w:id="1">
    <w:p w14:paraId="111CC017" w14:textId="77777777" w:rsidR="000D167E" w:rsidRDefault="000D1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7B29" w14:textId="77777777" w:rsidR="000D167E" w:rsidRDefault="000D167E">
      <w:r>
        <w:separator/>
      </w:r>
    </w:p>
  </w:footnote>
  <w:footnote w:type="continuationSeparator" w:id="0">
    <w:p w14:paraId="25DDB7D2" w14:textId="77777777" w:rsidR="000D167E" w:rsidRDefault="000D167E">
      <w:r>
        <w:continuationSeparator/>
      </w:r>
    </w:p>
  </w:footnote>
  <w:footnote w:type="continuationNotice" w:id="1">
    <w:p w14:paraId="7E59ECC4" w14:textId="77777777" w:rsidR="000D167E" w:rsidRDefault="000D16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04B7" w14:textId="1EE8A816" w:rsidR="00353572" w:rsidRPr="00C41722" w:rsidRDefault="00353572" w:rsidP="00C41722">
    <w:pPr>
      <w:rPr>
        <w:lang w:val="es-CO"/>
      </w:rPr>
    </w:pPr>
  </w:p>
  <w:p w14:paraId="210E8845" w14:textId="422FD987" w:rsidR="00353572" w:rsidRPr="00951F79" w:rsidRDefault="00E95B51" w:rsidP="009F4BEC">
    <w:pPr>
      <w:pStyle w:val="Ttulo1"/>
      <w:ind w:left="0" w:right="6"/>
      <w:jc w:val="left"/>
      <w:rPr>
        <w:rFonts w:ascii="Bookman Old Style" w:hAnsi="Bookman Old Style" w:cs="Arial"/>
        <w:b w:val="0"/>
        <w:sz w:val="22"/>
        <w:szCs w:val="22"/>
      </w:rPr>
    </w:pPr>
    <w:bookmarkStart w:id="0" w:name="_Hlk146177269"/>
    <w:r w:rsidRPr="00E95B51">
      <w:rPr>
        <w:rFonts w:ascii="Bookman Old Style" w:hAnsi="Bookman Old Style" w:cs="Arial"/>
        <w:b w:val="0"/>
        <w:sz w:val="22"/>
        <w:szCs w:val="22"/>
      </w:rPr>
      <w:t>PROYECTO DE RESOLUCIÓN</w:t>
    </w:r>
    <w:r w:rsidR="00353572" w:rsidRPr="00654384">
      <w:rPr>
        <w:rFonts w:ascii="Bookman Old Style" w:hAnsi="Bookman Old Style" w:cs="Arial"/>
        <w:b w:val="0"/>
        <w:sz w:val="22"/>
        <w:szCs w:val="22"/>
      </w:rPr>
      <w:t xml:space="preserve"> </w:t>
    </w:r>
    <w:bookmarkEnd w:id="0"/>
    <w:r w:rsidR="00353572" w:rsidRPr="00654384">
      <w:rPr>
        <w:rFonts w:ascii="Bookman Old Style" w:hAnsi="Bookman Old Style" w:cs="Arial"/>
        <w:b w:val="0"/>
        <w:sz w:val="22"/>
        <w:szCs w:val="22"/>
      </w:rPr>
      <w:t>N</w:t>
    </w:r>
    <w:r w:rsidR="00353572">
      <w:rPr>
        <w:rFonts w:ascii="Bookman Old Style" w:hAnsi="Bookman Old Style" w:cs="Arial"/>
        <w:b w:val="0"/>
        <w:sz w:val="22"/>
        <w:szCs w:val="22"/>
      </w:rPr>
      <w:t>o.</w:t>
    </w:r>
    <w:r w:rsidR="0088741A" w:rsidRPr="0088741A">
      <w:t xml:space="preserve"> </w:t>
    </w:r>
    <w:r w:rsidR="000539A4">
      <w:rPr>
        <w:rFonts w:ascii="Bookman Old Style" w:hAnsi="Bookman Old Style" w:cs="Arial"/>
        <w:bCs/>
        <w:szCs w:val="24"/>
        <w:u w:val="single"/>
      </w:rPr>
      <w:t>7</w:t>
    </w:r>
    <w:r w:rsidR="0088741A" w:rsidRPr="0088741A">
      <w:rPr>
        <w:rFonts w:ascii="Bookman Old Style" w:hAnsi="Bookman Old Style" w:cs="Arial"/>
        <w:bCs/>
        <w:szCs w:val="24"/>
        <w:u w:val="single"/>
      </w:rPr>
      <w:t>0</w:t>
    </w:r>
    <w:r w:rsidR="00D01179">
      <w:rPr>
        <w:rFonts w:ascii="Bookman Old Style" w:hAnsi="Bookman Old Style" w:cs="Arial"/>
        <w:bCs/>
        <w:szCs w:val="24"/>
        <w:u w:val="single"/>
      </w:rPr>
      <w:t>1</w:t>
    </w:r>
    <w:r w:rsidR="0088741A" w:rsidRPr="0088741A">
      <w:rPr>
        <w:rFonts w:ascii="Bookman Old Style" w:hAnsi="Bookman Old Style" w:cs="Arial"/>
        <w:bCs/>
        <w:szCs w:val="24"/>
        <w:u w:val="single"/>
      </w:rPr>
      <w:t xml:space="preserve"> </w:t>
    </w:r>
    <w:r w:rsidR="007351E7">
      <w:rPr>
        <w:rFonts w:ascii="Bookman Old Style" w:hAnsi="Bookman Old Style" w:cs="Arial"/>
        <w:bCs/>
        <w:szCs w:val="24"/>
        <w:u w:val="single"/>
      </w:rPr>
      <w:t>0</w:t>
    </w:r>
    <w:r>
      <w:rPr>
        <w:rFonts w:ascii="Bookman Old Style" w:hAnsi="Bookman Old Style" w:cs="Arial"/>
        <w:bCs/>
        <w:szCs w:val="24"/>
        <w:u w:val="single"/>
      </w:rPr>
      <w:t>2</w:t>
    </w:r>
    <w:r w:rsidR="0098400B">
      <w:rPr>
        <w:rFonts w:ascii="Bookman Old Style" w:hAnsi="Bookman Old Style" w:cs="Arial"/>
        <w:bCs/>
        <w:szCs w:val="24"/>
        <w:u w:val="single"/>
      </w:rPr>
      <w:t>4</w:t>
    </w:r>
    <w:r w:rsidR="00353572" w:rsidRPr="00654384">
      <w:rPr>
        <w:rFonts w:ascii="Bookman Old Style" w:hAnsi="Bookman Old Style" w:cs="Arial"/>
        <w:b w:val="0"/>
        <w:sz w:val="22"/>
        <w:szCs w:val="22"/>
      </w:rPr>
      <w:tab/>
    </w:r>
    <w:r w:rsidR="00353572">
      <w:rPr>
        <w:rFonts w:ascii="Bookman Old Style" w:hAnsi="Bookman Old Style" w:cs="Arial"/>
        <w:b w:val="0"/>
        <w:sz w:val="22"/>
        <w:szCs w:val="22"/>
      </w:rPr>
      <w:t xml:space="preserve"> DE  </w:t>
    </w:r>
    <w:r>
      <w:rPr>
        <w:rFonts w:ascii="Bookman Old Style" w:hAnsi="Bookman Old Style" w:cs="Arial"/>
        <w:bCs/>
        <w:szCs w:val="24"/>
        <w:u w:val="single"/>
      </w:rPr>
      <w:t>20</w:t>
    </w:r>
    <w:r w:rsidR="00D01179">
      <w:rPr>
        <w:rFonts w:ascii="Bookman Old Style" w:hAnsi="Bookman Old Style" w:cs="Arial"/>
        <w:bCs/>
        <w:szCs w:val="24"/>
        <w:u w:val="single"/>
      </w:rPr>
      <w:t xml:space="preserve"> </w:t>
    </w:r>
    <w:r w:rsidR="004E588F">
      <w:rPr>
        <w:rFonts w:ascii="Bookman Old Style" w:hAnsi="Bookman Old Style" w:cs="Arial"/>
        <w:bCs/>
        <w:szCs w:val="24"/>
        <w:u w:val="single"/>
      </w:rPr>
      <w:t>SEP</w:t>
    </w:r>
    <w:r w:rsidR="00353572">
      <w:rPr>
        <w:rFonts w:ascii="Bookman Old Style" w:hAnsi="Bookman Old Style" w:cs="Arial"/>
        <w:bCs/>
        <w:szCs w:val="24"/>
        <w:u w:val="single"/>
      </w:rPr>
      <w:t>. 202</w:t>
    </w:r>
    <w:r w:rsidR="0027751B">
      <w:rPr>
        <w:rFonts w:ascii="Bookman Old Style" w:hAnsi="Bookman Old Style" w:cs="Arial"/>
        <w:bCs/>
        <w:szCs w:val="24"/>
        <w:u w:val="single"/>
      </w:rPr>
      <w:t>3</w:t>
    </w:r>
    <w:r>
      <w:rPr>
        <w:rFonts w:ascii="Bookman Old Style" w:hAnsi="Bookman Old Style" w:cs="Arial"/>
        <w:b w:val="0"/>
        <w:sz w:val="22"/>
        <w:szCs w:val="22"/>
      </w:rPr>
      <w:t xml:space="preserve">     </w:t>
    </w:r>
    <w:r w:rsidR="00AA5930">
      <w:rPr>
        <w:rFonts w:ascii="Bookman Old Style" w:hAnsi="Bookman Old Style" w:cs="Arial"/>
        <w:b w:val="0"/>
        <w:sz w:val="22"/>
        <w:szCs w:val="22"/>
      </w:rPr>
      <w:t xml:space="preserve"> </w:t>
    </w:r>
    <w:r w:rsidR="00353572" w:rsidRPr="00654384">
      <w:rPr>
        <w:rFonts w:ascii="Bookman Old Style" w:hAnsi="Bookman Old Style" w:cs="Arial"/>
        <w:b w:val="0"/>
        <w:sz w:val="22"/>
        <w:szCs w:val="22"/>
      </w:rPr>
      <w:t xml:space="preserve">HOJA No. </w:t>
    </w:r>
    <w:r w:rsidR="00353572" w:rsidRPr="00654384">
      <w:rPr>
        <w:rFonts w:ascii="Bookman Old Style" w:hAnsi="Bookman Old Style" w:cs="Arial"/>
        <w:b w:val="0"/>
        <w:sz w:val="22"/>
        <w:szCs w:val="22"/>
      </w:rPr>
      <w:fldChar w:fldCharType="begin"/>
    </w:r>
    <w:r w:rsidR="00353572" w:rsidRPr="00654384">
      <w:rPr>
        <w:rFonts w:ascii="Bookman Old Style" w:hAnsi="Bookman Old Style" w:cs="Arial"/>
        <w:b w:val="0"/>
        <w:sz w:val="22"/>
        <w:szCs w:val="22"/>
      </w:rPr>
      <w:instrText xml:space="preserve"> PAGE   \* MERGEFORMAT </w:instrText>
    </w:r>
    <w:r w:rsidR="00353572" w:rsidRPr="00654384">
      <w:rPr>
        <w:rFonts w:ascii="Bookman Old Style" w:hAnsi="Bookman Old Style" w:cs="Arial"/>
        <w:b w:val="0"/>
        <w:sz w:val="22"/>
        <w:szCs w:val="22"/>
      </w:rPr>
      <w:fldChar w:fldCharType="separate"/>
    </w:r>
    <w:r w:rsidR="00066B48">
      <w:rPr>
        <w:rFonts w:ascii="Bookman Old Style" w:hAnsi="Bookman Old Style" w:cs="Arial"/>
        <w:b w:val="0"/>
        <w:noProof/>
        <w:sz w:val="22"/>
        <w:szCs w:val="22"/>
      </w:rPr>
      <w:t>5</w:t>
    </w:r>
    <w:r w:rsidR="00353572" w:rsidRPr="00654384">
      <w:rPr>
        <w:rFonts w:ascii="Bookman Old Style" w:hAnsi="Bookman Old Style" w:cs="Arial"/>
        <w:b w:val="0"/>
        <w:sz w:val="22"/>
        <w:szCs w:val="22"/>
      </w:rPr>
      <w:fldChar w:fldCharType="end"/>
    </w:r>
    <w:r w:rsidR="00353572" w:rsidRPr="00654384">
      <w:rPr>
        <w:rFonts w:ascii="Bookman Old Style" w:hAnsi="Bookman Old Style" w:cs="Arial"/>
        <w:b w:val="0"/>
        <w:sz w:val="22"/>
        <w:szCs w:val="22"/>
      </w:rPr>
      <w:t>/</w:t>
    </w:r>
    <w:r w:rsidR="002240A8">
      <w:fldChar w:fldCharType="begin"/>
    </w:r>
    <w:r w:rsidR="002240A8">
      <w:instrText xml:space="preserve"> NUMPAGES  \* MERGEFORMAT </w:instrText>
    </w:r>
    <w:r w:rsidR="002240A8">
      <w:fldChar w:fldCharType="separate"/>
    </w:r>
    <w:r w:rsidR="00066B48" w:rsidRPr="00066B48">
      <w:rPr>
        <w:rFonts w:ascii="Bookman Old Style" w:hAnsi="Bookman Old Style" w:cs="Arial"/>
        <w:b w:val="0"/>
        <w:noProof/>
        <w:sz w:val="22"/>
        <w:szCs w:val="22"/>
      </w:rPr>
      <w:t>22</w:t>
    </w:r>
    <w:r w:rsidR="002240A8">
      <w:rPr>
        <w:rFonts w:ascii="Bookman Old Style" w:hAnsi="Bookman Old Style" w:cs="Arial"/>
        <w:b w:val="0"/>
        <w:noProof/>
        <w:sz w:val="22"/>
        <w:szCs w:val="22"/>
      </w:rPr>
      <w:fldChar w:fldCharType="end"/>
    </w:r>
  </w:p>
  <w:p w14:paraId="52F9F063" w14:textId="0A6F24C1" w:rsidR="00353572" w:rsidRPr="00E95B51" w:rsidRDefault="00353572" w:rsidP="00E95B51">
    <w:pPr>
      <w:ind w:left="142" w:right="148"/>
      <w:rPr>
        <w:rFonts w:ascii="Bookman Old Style" w:hAnsi="Bookman Old Style" w:cs="Arial"/>
      </w:rPr>
    </w:pPr>
    <w:r w:rsidRPr="0042068C">
      <w:rPr>
        <w:noProof/>
        <w:lang w:val="en-US" w:eastAsia="en-US"/>
      </w:rPr>
      <mc:AlternateContent>
        <mc:Choice Requires="wps">
          <w:drawing>
            <wp:anchor distT="0" distB="0" distL="114300" distR="114300" simplePos="0" relativeHeight="251658240" behindDoc="0" locked="0" layoutInCell="1" allowOverlap="1" wp14:anchorId="5B3D4C5E" wp14:editId="53F89D34">
              <wp:simplePos x="0" y="0"/>
              <wp:positionH relativeFrom="column">
                <wp:posOffset>-175260</wp:posOffset>
              </wp:positionH>
              <wp:positionV relativeFrom="paragraph">
                <wp:posOffset>139065</wp:posOffset>
              </wp:positionV>
              <wp:extent cx="6267450" cy="9900920"/>
              <wp:effectExtent l="9525" t="12065" r="9525" b="1206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98C3D" id="Rectangle 1"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2762465F" w14:textId="77777777" w:rsidR="00353572" w:rsidRPr="00045D3D" w:rsidRDefault="00353572" w:rsidP="00EE067B">
    <w:pPr>
      <w:ind w:left="0"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156A" w14:textId="645803EE" w:rsidR="00353572" w:rsidRDefault="00353572" w:rsidP="00EA7F8B">
    <w:pPr>
      <w:pStyle w:val="Encabezado"/>
      <w:ind w:left="0"/>
      <w:jc w:val="center"/>
      <w:rPr>
        <w:rFonts w:ascii="Arial" w:hAnsi="Arial" w:cs="Arial"/>
        <w:spacing w:val="20"/>
        <w:sz w:val="20"/>
      </w:rPr>
    </w:pPr>
    <w:r>
      <w:rPr>
        <w:rFonts w:ascii="Arial" w:hAnsi="Arial" w:cs="Arial"/>
        <w:spacing w:val="20"/>
        <w:sz w:val="20"/>
      </w:rPr>
      <w:t>República de Colombia</w:t>
    </w:r>
  </w:p>
  <w:p w14:paraId="581A7313" w14:textId="77777777" w:rsidR="00353572" w:rsidRDefault="00353572" w:rsidP="00EA7F8B">
    <w:pPr>
      <w:pStyle w:val="Encabezado"/>
      <w:ind w:left="0"/>
      <w:jc w:val="center"/>
      <w:rPr>
        <w:rFonts w:ascii="Arial" w:hAnsi="Arial" w:cs="Arial"/>
        <w:spacing w:val="20"/>
        <w:sz w:val="20"/>
      </w:rPr>
    </w:pPr>
  </w:p>
  <w:p w14:paraId="09BD8B81" w14:textId="59AFA550" w:rsidR="00353572" w:rsidRDefault="00353572" w:rsidP="00EA7F8B">
    <w:pPr>
      <w:pStyle w:val="Encabezado"/>
      <w:ind w:left="0"/>
      <w:jc w:val="center"/>
    </w:pPr>
    <w:r w:rsidRPr="0042068C">
      <w:rPr>
        <w:rFonts w:ascii="Arial" w:hAnsi="Arial" w:cs="Arial"/>
        <w:noProof/>
        <w:spacing w:val="20"/>
        <w:sz w:val="20"/>
        <w:lang w:val="en-US" w:eastAsia="en-US"/>
      </w:rPr>
      <mc:AlternateContent>
        <mc:Choice Requires="wps">
          <w:drawing>
            <wp:anchor distT="0" distB="0" distL="114300" distR="114300" simplePos="0" relativeHeight="251658241" behindDoc="0" locked="0" layoutInCell="1" allowOverlap="1" wp14:anchorId="59A78744" wp14:editId="034DC5F3">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195C6" id="Rectangle 2"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2E37F79"/>
    <w:multiLevelType w:val="hybridMultilevel"/>
    <w:tmpl w:val="0122CCAE"/>
    <w:lvl w:ilvl="0" w:tplc="15BC504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B71235B"/>
    <w:multiLevelType w:val="hybridMultilevel"/>
    <w:tmpl w:val="3AC2A8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116E93"/>
    <w:multiLevelType w:val="hybridMultilevel"/>
    <w:tmpl w:val="A510CBC2"/>
    <w:lvl w:ilvl="0" w:tplc="638A4012">
      <w:start w:val="1"/>
      <w:numFmt w:val="decimal"/>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240A000F">
      <w:start w:val="1"/>
      <w:numFmt w:val="decimal"/>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5"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7" w15:restartNumberingAfterBreak="0">
    <w:nsid w:val="4B33262D"/>
    <w:multiLevelType w:val="hybridMultilevel"/>
    <w:tmpl w:val="A9B6600A"/>
    <w:lvl w:ilvl="0" w:tplc="638A4012">
      <w:start w:val="1"/>
      <w:numFmt w:val="decimal"/>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240A000F">
      <w:start w:val="1"/>
      <w:numFmt w:val="decimal"/>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5444002D"/>
    <w:multiLevelType w:val="hybridMultilevel"/>
    <w:tmpl w:val="BF907182"/>
    <w:lvl w:ilvl="0" w:tplc="240A001B">
      <w:start w:val="1"/>
      <w:numFmt w:val="lowerRoman"/>
      <w:lvlText w:val="%1."/>
      <w:lvlJc w:val="right"/>
      <w:pPr>
        <w:ind w:left="699" w:hanging="360"/>
      </w:pPr>
    </w:lvl>
    <w:lvl w:ilvl="1" w:tplc="240A0019" w:tentative="1">
      <w:start w:val="1"/>
      <w:numFmt w:val="lowerLetter"/>
      <w:lvlText w:val="%2."/>
      <w:lvlJc w:val="left"/>
      <w:pPr>
        <w:ind w:left="1419" w:hanging="360"/>
      </w:pPr>
    </w:lvl>
    <w:lvl w:ilvl="2" w:tplc="240A001B" w:tentative="1">
      <w:start w:val="1"/>
      <w:numFmt w:val="lowerRoman"/>
      <w:lvlText w:val="%3."/>
      <w:lvlJc w:val="right"/>
      <w:pPr>
        <w:ind w:left="2139" w:hanging="180"/>
      </w:pPr>
    </w:lvl>
    <w:lvl w:ilvl="3" w:tplc="240A000F" w:tentative="1">
      <w:start w:val="1"/>
      <w:numFmt w:val="decimal"/>
      <w:lvlText w:val="%4."/>
      <w:lvlJc w:val="left"/>
      <w:pPr>
        <w:ind w:left="2859" w:hanging="360"/>
      </w:pPr>
    </w:lvl>
    <w:lvl w:ilvl="4" w:tplc="240A0019" w:tentative="1">
      <w:start w:val="1"/>
      <w:numFmt w:val="lowerLetter"/>
      <w:lvlText w:val="%5."/>
      <w:lvlJc w:val="left"/>
      <w:pPr>
        <w:ind w:left="3579" w:hanging="360"/>
      </w:pPr>
    </w:lvl>
    <w:lvl w:ilvl="5" w:tplc="240A001B" w:tentative="1">
      <w:start w:val="1"/>
      <w:numFmt w:val="lowerRoman"/>
      <w:lvlText w:val="%6."/>
      <w:lvlJc w:val="right"/>
      <w:pPr>
        <w:ind w:left="4299" w:hanging="180"/>
      </w:pPr>
    </w:lvl>
    <w:lvl w:ilvl="6" w:tplc="240A000F" w:tentative="1">
      <w:start w:val="1"/>
      <w:numFmt w:val="decimal"/>
      <w:lvlText w:val="%7."/>
      <w:lvlJc w:val="left"/>
      <w:pPr>
        <w:ind w:left="5019" w:hanging="360"/>
      </w:pPr>
    </w:lvl>
    <w:lvl w:ilvl="7" w:tplc="240A0019" w:tentative="1">
      <w:start w:val="1"/>
      <w:numFmt w:val="lowerLetter"/>
      <w:lvlText w:val="%8."/>
      <w:lvlJc w:val="left"/>
      <w:pPr>
        <w:ind w:left="5739" w:hanging="360"/>
      </w:pPr>
    </w:lvl>
    <w:lvl w:ilvl="8" w:tplc="240A001B" w:tentative="1">
      <w:start w:val="1"/>
      <w:numFmt w:val="lowerRoman"/>
      <w:lvlText w:val="%9."/>
      <w:lvlJc w:val="right"/>
      <w:pPr>
        <w:ind w:left="6459" w:hanging="180"/>
      </w:pPr>
    </w:lvl>
  </w:abstractNum>
  <w:abstractNum w:abstractNumId="20" w15:restartNumberingAfterBreak="0">
    <w:nsid w:val="5673377B"/>
    <w:multiLevelType w:val="hybridMultilevel"/>
    <w:tmpl w:val="D7707E8A"/>
    <w:lvl w:ilvl="0" w:tplc="F30806E4">
      <w:start w:val="3"/>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9EB5A12"/>
    <w:multiLevelType w:val="hybridMultilevel"/>
    <w:tmpl w:val="3C3AD852"/>
    <w:lvl w:ilvl="0" w:tplc="240A001B">
      <w:start w:val="1"/>
      <w:numFmt w:val="lowerRoman"/>
      <w:lvlText w:val="%1."/>
      <w:lvlJc w:val="righ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AD2042F"/>
    <w:multiLevelType w:val="hybridMultilevel"/>
    <w:tmpl w:val="7F2AF9E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4CB189D"/>
    <w:multiLevelType w:val="hybridMultilevel"/>
    <w:tmpl w:val="D6E47FC4"/>
    <w:lvl w:ilvl="0" w:tplc="E4227D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8"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28C24EB"/>
    <w:multiLevelType w:val="hybridMultilevel"/>
    <w:tmpl w:val="1CFC70E0"/>
    <w:lvl w:ilvl="0" w:tplc="E3B05582">
      <w:start w:val="1"/>
      <w:numFmt w:val="decimal"/>
      <w:lvlText w:val="%1."/>
      <w:lvlJc w:val="left"/>
      <w:pPr>
        <w:tabs>
          <w:tab w:val="num" w:pos="720"/>
        </w:tabs>
        <w:ind w:left="720" w:hanging="360"/>
      </w:pPr>
    </w:lvl>
    <w:lvl w:ilvl="1" w:tplc="C9AC5AA4" w:tentative="1">
      <w:start w:val="1"/>
      <w:numFmt w:val="decimal"/>
      <w:lvlText w:val="%2."/>
      <w:lvlJc w:val="left"/>
      <w:pPr>
        <w:tabs>
          <w:tab w:val="num" w:pos="1440"/>
        </w:tabs>
        <w:ind w:left="1440" w:hanging="360"/>
      </w:pPr>
    </w:lvl>
    <w:lvl w:ilvl="2" w:tplc="AE34A894" w:tentative="1">
      <w:start w:val="1"/>
      <w:numFmt w:val="decimal"/>
      <w:lvlText w:val="%3."/>
      <w:lvlJc w:val="left"/>
      <w:pPr>
        <w:tabs>
          <w:tab w:val="num" w:pos="2160"/>
        </w:tabs>
        <w:ind w:left="2160" w:hanging="360"/>
      </w:pPr>
    </w:lvl>
    <w:lvl w:ilvl="3" w:tplc="A8EC04D2" w:tentative="1">
      <w:start w:val="1"/>
      <w:numFmt w:val="decimal"/>
      <w:lvlText w:val="%4."/>
      <w:lvlJc w:val="left"/>
      <w:pPr>
        <w:tabs>
          <w:tab w:val="num" w:pos="2880"/>
        </w:tabs>
        <w:ind w:left="2880" w:hanging="360"/>
      </w:pPr>
    </w:lvl>
    <w:lvl w:ilvl="4" w:tplc="29E47756" w:tentative="1">
      <w:start w:val="1"/>
      <w:numFmt w:val="decimal"/>
      <w:lvlText w:val="%5."/>
      <w:lvlJc w:val="left"/>
      <w:pPr>
        <w:tabs>
          <w:tab w:val="num" w:pos="3600"/>
        </w:tabs>
        <w:ind w:left="3600" w:hanging="360"/>
      </w:pPr>
    </w:lvl>
    <w:lvl w:ilvl="5" w:tplc="916679A0" w:tentative="1">
      <w:start w:val="1"/>
      <w:numFmt w:val="decimal"/>
      <w:lvlText w:val="%6."/>
      <w:lvlJc w:val="left"/>
      <w:pPr>
        <w:tabs>
          <w:tab w:val="num" w:pos="4320"/>
        </w:tabs>
        <w:ind w:left="4320" w:hanging="360"/>
      </w:pPr>
    </w:lvl>
    <w:lvl w:ilvl="6" w:tplc="65CCC160" w:tentative="1">
      <w:start w:val="1"/>
      <w:numFmt w:val="decimal"/>
      <w:lvlText w:val="%7."/>
      <w:lvlJc w:val="left"/>
      <w:pPr>
        <w:tabs>
          <w:tab w:val="num" w:pos="5040"/>
        </w:tabs>
        <w:ind w:left="5040" w:hanging="360"/>
      </w:pPr>
    </w:lvl>
    <w:lvl w:ilvl="7" w:tplc="03B46100" w:tentative="1">
      <w:start w:val="1"/>
      <w:numFmt w:val="decimal"/>
      <w:lvlText w:val="%8."/>
      <w:lvlJc w:val="left"/>
      <w:pPr>
        <w:tabs>
          <w:tab w:val="num" w:pos="5760"/>
        </w:tabs>
        <w:ind w:left="5760" w:hanging="360"/>
      </w:pPr>
    </w:lvl>
    <w:lvl w:ilvl="8" w:tplc="D03C3456" w:tentative="1">
      <w:start w:val="1"/>
      <w:numFmt w:val="decimal"/>
      <w:lvlText w:val="%9."/>
      <w:lvlJc w:val="left"/>
      <w:pPr>
        <w:tabs>
          <w:tab w:val="num" w:pos="6480"/>
        </w:tabs>
        <w:ind w:left="6480" w:hanging="360"/>
      </w:pPr>
    </w:lvl>
  </w:abstractNum>
  <w:abstractNum w:abstractNumId="30" w15:restartNumberingAfterBreak="0">
    <w:nsid w:val="780B10EA"/>
    <w:multiLevelType w:val="hybridMultilevel"/>
    <w:tmpl w:val="085C0F76"/>
    <w:lvl w:ilvl="0" w:tplc="638A4012">
      <w:start w:val="1"/>
      <w:numFmt w:val="decimal"/>
      <w:pStyle w:val="Artculo"/>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EA2EABE0">
      <w:start w:val="1"/>
      <w:numFmt w:val="lowerLetter"/>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90207E6"/>
    <w:multiLevelType w:val="hybridMultilevel"/>
    <w:tmpl w:val="407E9008"/>
    <w:lvl w:ilvl="0" w:tplc="638A4012">
      <w:start w:val="1"/>
      <w:numFmt w:val="decimal"/>
      <w:lvlText w:val="Artículo %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
        <w:specVanish w:val="0"/>
      </w:rPr>
    </w:lvl>
    <w:lvl w:ilvl="1" w:tplc="240A000F">
      <w:start w:val="1"/>
      <w:numFmt w:val="decimal"/>
      <w:lvlText w:val="%2."/>
      <w:lvlJc w:val="left"/>
      <w:pPr>
        <w:ind w:left="1080" w:hanging="360"/>
      </w:pPr>
      <w:rPr>
        <w:rFont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00226437">
    <w:abstractNumId w:val="14"/>
  </w:num>
  <w:num w:numId="2" w16cid:durableId="1412236441">
    <w:abstractNumId w:val="7"/>
  </w:num>
  <w:num w:numId="3" w16cid:durableId="945041158">
    <w:abstractNumId w:val="32"/>
  </w:num>
  <w:num w:numId="4" w16cid:durableId="1938515480">
    <w:abstractNumId w:val="8"/>
  </w:num>
  <w:num w:numId="5" w16cid:durableId="1327519338">
    <w:abstractNumId w:val="23"/>
  </w:num>
  <w:num w:numId="6" w16cid:durableId="1321075716">
    <w:abstractNumId w:val="5"/>
  </w:num>
  <w:num w:numId="7" w16cid:durableId="1610625803">
    <w:abstractNumId w:val="4"/>
  </w:num>
  <w:num w:numId="8" w16cid:durableId="412825095">
    <w:abstractNumId w:val="25"/>
  </w:num>
  <w:num w:numId="9" w16cid:durableId="205874359">
    <w:abstractNumId w:val="24"/>
  </w:num>
  <w:num w:numId="10" w16cid:durableId="1178036325">
    <w:abstractNumId w:val="15"/>
  </w:num>
  <w:num w:numId="11" w16cid:durableId="1319728599">
    <w:abstractNumId w:val="33"/>
  </w:num>
  <w:num w:numId="12" w16cid:durableId="1372992116">
    <w:abstractNumId w:val="28"/>
  </w:num>
  <w:num w:numId="13" w16cid:durableId="1283654751">
    <w:abstractNumId w:val="13"/>
  </w:num>
  <w:num w:numId="14" w16cid:durableId="1663965032">
    <w:abstractNumId w:val="2"/>
  </w:num>
  <w:num w:numId="15" w16cid:durableId="782574651">
    <w:abstractNumId w:val="16"/>
  </w:num>
  <w:num w:numId="16" w16cid:durableId="1809590551">
    <w:abstractNumId w:val="1"/>
  </w:num>
  <w:num w:numId="17" w16cid:durableId="914896502">
    <w:abstractNumId w:val="12"/>
  </w:num>
  <w:num w:numId="18" w16cid:durableId="481384778">
    <w:abstractNumId w:val="0"/>
  </w:num>
  <w:num w:numId="19" w16cid:durableId="772700776">
    <w:abstractNumId w:val="27"/>
  </w:num>
  <w:num w:numId="20" w16cid:durableId="1080716986">
    <w:abstractNumId w:val="18"/>
  </w:num>
  <w:num w:numId="21" w16cid:durableId="1449742605">
    <w:abstractNumId w:val="9"/>
  </w:num>
  <w:num w:numId="22" w16cid:durableId="191387643">
    <w:abstractNumId w:val="11"/>
  </w:num>
  <w:num w:numId="23" w16cid:durableId="271597189">
    <w:abstractNumId w:val="19"/>
  </w:num>
  <w:num w:numId="24" w16cid:durableId="1639410060">
    <w:abstractNumId w:val="26"/>
  </w:num>
  <w:num w:numId="25" w16cid:durableId="2012639204">
    <w:abstractNumId w:val="30"/>
  </w:num>
  <w:num w:numId="26" w16cid:durableId="2137093140">
    <w:abstractNumId w:val="22"/>
  </w:num>
  <w:num w:numId="27" w16cid:durableId="868303748">
    <w:abstractNumId w:val="3"/>
  </w:num>
  <w:num w:numId="28" w16cid:durableId="1211385028">
    <w:abstractNumId w:val="29"/>
  </w:num>
  <w:num w:numId="29" w16cid:durableId="387072994">
    <w:abstractNumId w:val="20"/>
  </w:num>
  <w:num w:numId="30" w16cid:durableId="1612736750">
    <w:abstractNumId w:val="10"/>
  </w:num>
  <w:num w:numId="31" w16cid:durableId="1602107216">
    <w:abstractNumId w:val="31"/>
  </w:num>
  <w:num w:numId="32" w16cid:durableId="1107627275">
    <w:abstractNumId w:val="17"/>
  </w:num>
  <w:num w:numId="33" w16cid:durableId="2057241447">
    <w:abstractNumId w:val="6"/>
  </w:num>
  <w:num w:numId="34" w16cid:durableId="8281809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2854"/>
    <w:rsid w:val="00002B3B"/>
    <w:rsid w:val="0000673E"/>
    <w:rsid w:val="00006A26"/>
    <w:rsid w:val="00006AE2"/>
    <w:rsid w:val="00007580"/>
    <w:rsid w:val="000076A1"/>
    <w:rsid w:val="00011150"/>
    <w:rsid w:val="000114C6"/>
    <w:rsid w:val="00011C29"/>
    <w:rsid w:val="00012259"/>
    <w:rsid w:val="00012E9F"/>
    <w:rsid w:val="00013EC3"/>
    <w:rsid w:val="00013ECB"/>
    <w:rsid w:val="00014F18"/>
    <w:rsid w:val="000207D6"/>
    <w:rsid w:val="00020EB0"/>
    <w:rsid w:val="00021BE1"/>
    <w:rsid w:val="00024420"/>
    <w:rsid w:val="00025383"/>
    <w:rsid w:val="00030313"/>
    <w:rsid w:val="0003525C"/>
    <w:rsid w:val="000355F6"/>
    <w:rsid w:val="0003590F"/>
    <w:rsid w:val="00037A1A"/>
    <w:rsid w:val="0004318E"/>
    <w:rsid w:val="000452E1"/>
    <w:rsid w:val="00045C71"/>
    <w:rsid w:val="00045D3D"/>
    <w:rsid w:val="00047296"/>
    <w:rsid w:val="00047CB1"/>
    <w:rsid w:val="00050EDC"/>
    <w:rsid w:val="00050EF7"/>
    <w:rsid w:val="000513A3"/>
    <w:rsid w:val="000539A4"/>
    <w:rsid w:val="00054A5C"/>
    <w:rsid w:val="00055C45"/>
    <w:rsid w:val="00057AB8"/>
    <w:rsid w:val="00060693"/>
    <w:rsid w:val="00063657"/>
    <w:rsid w:val="00065BD7"/>
    <w:rsid w:val="00066B48"/>
    <w:rsid w:val="00067ABB"/>
    <w:rsid w:val="00075D7C"/>
    <w:rsid w:val="000760F6"/>
    <w:rsid w:val="00076324"/>
    <w:rsid w:val="000763BB"/>
    <w:rsid w:val="00076680"/>
    <w:rsid w:val="00076A1D"/>
    <w:rsid w:val="00080673"/>
    <w:rsid w:val="0008073E"/>
    <w:rsid w:val="000848C5"/>
    <w:rsid w:val="00086394"/>
    <w:rsid w:val="00086A19"/>
    <w:rsid w:val="00086B63"/>
    <w:rsid w:val="000878FC"/>
    <w:rsid w:val="00090DBB"/>
    <w:rsid w:val="00090DDA"/>
    <w:rsid w:val="00091CDB"/>
    <w:rsid w:val="00093AE3"/>
    <w:rsid w:val="00095C78"/>
    <w:rsid w:val="00096AC9"/>
    <w:rsid w:val="000A0E2C"/>
    <w:rsid w:val="000A19AC"/>
    <w:rsid w:val="000A36A6"/>
    <w:rsid w:val="000A4C77"/>
    <w:rsid w:val="000A7931"/>
    <w:rsid w:val="000B0F45"/>
    <w:rsid w:val="000B2EC9"/>
    <w:rsid w:val="000B3035"/>
    <w:rsid w:val="000B34CF"/>
    <w:rsid w:val="000B38D0"/>
    <w:rsid w:val="000B51A6"/>
    <w:rsid w:val="000C479A"/>
    <w:rsid w:val="000D14E2"/>
    <w:rsid w:val="000D167E"/>
    <w:rsid w:val="000D1A3B"/>
    <w:rsid w:val="000D1BD7"/>
    <w:rsid w:val="000D26F8"/>
    <w:rsid w:val="000D4034"/>
    <w:rsid w:val="000D72B9"/>
    <w:rsid w:val="000E240E"/>
    <w:rsid w:val="000E3A03"/>
    <w:rsid w:val="000E72EB"/>
    <w:rsid w:val="000F1090"/>
    <w:rsid w:val="000F69BE"/>
    <w:rsid w:val="000F7D1B"/>
    <w:rsid w:val="0010033A"/>
    <w:rsid w:val="00102FD6"/>
    <w:rsid w:val="001048EA"/>
    <w:rsid w:val="00104A06"/>
    <w:rsid w:val="00106654"/>
    <w:rsid w:val="00106C27"/>
    <w:rsid w:val="00113C08"/>
    <w:rsid w:val="001152DE"/>
    <w:rsid w:val="0012001A"/>
    <w:rsid w:val="00122F39"/>
    <w:rsid w:val="00124454"/>
    <w:rsid w:val="00125A81"/>
    <w:rsid w:val="0012686D"/>
    <w:rsid w:val="001309FD"/>
    <w:rsid w:val="00131B7F"/>
    <w:rsid w:val="001335C1"/>
    <w:rsid w:val="0013526C"/>
    <w:rsid w:val="00136B7E"/>
    <w:rsid w:val="001405C6"/>
    <w:rsid w:val="00140B60"/>
    <w:rsid w:val="00141013"/>
    <w:rsid w:val="00142B62"/>
    <w:rsid w:val="0014435F"/>
    <w:rsid w:val="00145394"/>
    <w:rsid w:val="00145788"/>
    <w:rsid w:val="00145932"/>
    <w:rsid w:val="00152956"/>
    <w:rsid w:val="00153508"/>
    <w:rsid w:val="00155019"/>
    <w:rsid w:val="00157B16"/>
    <w:rsid w:val="00160D4E"/>
    <w:rsid w:val="00163C79"/>
    <w:rsid w:val="00165C55"/>
    <w:rsid w:val="001704B6"/>
    <w:rsid w:val="00172CC4"/>
    <w:rsid w:val="00172DB8"/>
    <w:rsid w:val="00172F10"/>
    <w:rsid w:val="00173BDC"/>
    <w:rsid w:val="0017661E"/>
    <w:rsid w:val="001806D4"/>
    <w:rsid w:val="00180B4B"/>
    <w:rsid w:val="00192CBF"/>
    <w:rsid w:val="00192FF1"/>
    <w:rsid w:val="0019506D"/>
    <w:rsid w:val="00197A6D"/>
    <w:rsid w:val="00197E81"/>
    <w:rsid w:val="001A0907"/>
    <w:rsid w:val="001A0FBD"/>
    <w:rsid w:val="001A238B"/>
    <w:rsid w:val="001A2D9F"/>
    <w:rsid w:val="001A2DE1"/>
    <w:rsid w:val="001A5BE5"/>
    <w:rsid w:val="001A5F1B"/>
    <w:rsid w:val="001B1C22"/>
    <w:rsid w:val="001B23F3"/>
    <w:rsid w:val="001B34C6"/>
    <w:rsid w:val="001B377E"/>
    <w:rsid w:val="001B67D4"/>
    <w:rsid w:val="001C072D"/>
    <w:rsid w:val="001C73A5"/>
    <w:rsid w:val="001D048F"/>
    <w:rsid w:val="001D0CCC"/>
    <w:rsid w:val="001D10AD"/>
    <w:rsid w:val="001D32E2"/>
    <w:rsid w:val="001D7832"/>
    <w:rsid w:val="001E4174"/>
    <w:rsid w:val="001E4A38"/>
    <w:rsid w:val="001E7E9C"/>
    <w:rsid w:val="001F7582"/>
    <w:rsid w:val="002004D2"/>
    <w:rsid w:val="00202031"/>
    <w:rsid w:val="00203A71"/>
    <w:rsid w:val="002057CD"/>
    <w:rsid w:val="00207E8C"/>
    <w:rsid w:val="00210DC1"/>
    <w:rsid w:val="00211D34"/>
    <w:rsid w:val="00214F04"/>
    <w:rsid w:val="00215B0C"/>
    <w:rsid w:val="00216829"/>
    <w:rsid w:val="002240A8"/>
    <w:rsid w:val="00224B47"/>
    <w:rsid w:val="002255BF"/>
    <w:rsid w:val="0022600D"/>
    <w:rsid w:val="00227605"/>
    <w:rsid w:val="00232159"/>
    <w:rsid w:val="00232D3E"/>
    <w:rsid w:val="002352B9"/>
    <w:rsid w:val="00235698"/>
    <w:rsid w:val="002369BE"/>
    <w:rsid w:val="00242185"/>
    <w:rsid w:val="002426A8"/>
    <w:rsid w:val="002443AA"/>
    <w:rsid w:val="00245F3B"/>
    <w:rsid w:val="00246D18"/>
    <w:rsid w:val="00250D36"/>
    <w:rsid w:val="002558FB"/>
    <w:rsid w:val="00257DDA"/>
    <w:rsid w:val="002614EE"/>
    <w:rsid w:val="00263FC2"/>
    <w:rsid w:val="002652D6"/>
    <w:rsid w:val="00266CD6"/>
    <w:rsid w:val="002673AC"/>
    <w:rsid w:val="00275DAB"/>
    <w:rsid w:val="0027751B"/>
    <w:rsid w:val="00280F45"/>
    <w:rsid w:val="002836D0"/>
    <w:rsid w:val="00283FA5"/>
    <w:rsid w:val="00284346"/>
    <w:rsid w:val="0028522D"/>
    <w:rsid w:val="0028795D"/>
    <w:rsid w:val="002903C0"/>
    <w:rsid w:val="00291CE8"/>
    <w:rsid w:val="002920A0"/>
    <w:rsid w:val="002957BC"/>
    <w:rsid w:val="00295864"/>
    <w:rsid w:val="002969C5"/>
    <w:rsid w:val="00297A12"/>
    <w:rsid w:val="002A0C71"/>
    <w:rsid w:val="002A1A59"/>
    <w:rsid w:val="002A25FA"/>
    <w:rsid w:val="002A5D5A"/>
    <w:rsid w:val="002A5EB2"/>
    <w:rsid w:val="002A6610"/>
    <w:rsid w:val="002A782A"/>
    <w:rsid w:val="002B11E2"/>
    <w:rsid w:val="002B18FF"/>
    <w:rsid w:val="002B24B8"/>
    <w:rsid w:val="002B4948"/>
    <w:rsid w:val="002B50A3"/>
    <w:rsid w:val="002B699F"/>
    <w:rsid w:val="002B706D"/>
    <w:rsid w:val="002C0140"/>
    <w:rsid w:val="002C13FF"/>
    <w:rsid w:val="002C5B32"/>
    <w:rsid w:val="002C5DBE"/>
    <w:rsid w:val="002D005C"/>
    <w:rsid w:val="002D0212"/>
    <w:rsid w:val="002D19BD"/>
    <w:rsid w:val="002D28A5"/>
    <w:rsid w:val="002D3AE9"/>
    <w:rsid w:val="002D3BC0"/>
    <w:rsid w:val="002D43D5"/>
    <w:rsid w:val="002D4510"/>
    <w:rsid w:val="002D54FD"/>
    <w:rsid w:val="002D6925"/>
    <w:rsid w:val="002E3394"/>
    <w:rsid w:val="002E77E4"/>
    <w:rsid w:val="002E7996"/>
    <w:rsid w:val="002E7F2F"/>
    <w:rsid w:val="002F0734"/>
    <w:rsid w:val="002F31C8"/>
    <w:rsid w:val="002F46E7"/>
    <w:rsid w:val="002F479F"/>
    <w:rsid w:val="002F6F0F"/>
    <w:rsid w:val="002F781D"/>
    <w:rsid w:val="003013D7"/>
    <w:rsid w:val="00302878"/>
    <w:rsid w:val="003039D6"/>
    <w:rsid w:val="0030679D"/>
    <w:rsid w:val="00306C46"/>
    <w:rsid w:val="003101DA"/>
    <w:rsid w:val="003111C3"/>
    <w:rsid w:val="0031314A"/>
    <w:rsid w:val="00313677"/>
    <w:rsid w:val="00314757"/>
    <w:rsid w:val="003161A2"/>
    <w:rsid w:val="003163BC"/>
    <w:rsid w:val="00316973"/>
    <w:rsid w:val="00320ACD"/>
    <w:rsid w:val="003211CE"/>
    <w:rsid w:val="00323D94"/>
    <w:rsid w:val="00324CB4"/>
    <w:rsid w:val="003252D8"/>
    <w:rsid w:val="00332E07"/>
    <w:rsid w:val="00333832"/>
    <w:rsid w:val="00337053"/>
    <w:rsid w:val="00337B85"/>
    <w:rsid w:val="0034089D"/>
    <w:rsid w:val="00341236"/>
    <w:rsid w:val="003434DF"/>
    <w:rsid w:val="0034505B"/>
    <w:rsid w:val="0034621C"/>
    <w:rsid w:val="00352D17"/>
    <w:rsid w:val="00353057"/>
    <w:rsid w:val="00353572"/>
    <w:rsid w:val="0035391A"/>
    <w:rsid w:val="0035403A"/>
    <w:rsid w:val="0035472E"/>
    <w:rsid w:val="0036002D"/>
    <w:rsid w:val="003618C4"/>
    <w:rsid w:val="003628A6"/>
    <w:rsid w:val="0036394B"/>
    <w:rsid w:val="00366DB6"/>
    <w:rsid w:val="00370889"/>
    <w:rsid w:val="003709B5"/>
    <w:rsid w:val="003759C2"/>
    <w:rsid w:val="00380946"/>
    <w:rsid w:val="00386011"/>
    <w:rsid w:val="003926A5"/>
    <w:rsid w:val="00393EFE"/>
    <w:rsid w:val="003941FE"/>
    <w:rsid w:val="00395F30"/>
    <w:rsid w:val="00397365"/>
    <w:rsid w:val="003A31F6"/>
    <w:rsid w:val="003A3606"/>
    <w:rsid w:val="003A3CE7"/>
    <w:rsid w:val="003A595E"/>
    <w:rsid w:val="003A7FB8"/>
    <w:rsid w:val="003B0052"/>
    <w:rsid w:val="003B473B"/>
    <w:rsid w:val="003B4DC6"/>
    <w:rsid w:val="003B574E"/>
    <w:rsid w:val="003B7223"/>
    <w:rsid w:val="003B79D1"/>
    <w:rsid w:val="003B7B33"/>
    <w:rsid w:val="003C0416"/>
    <w:rsid w:val="003C3447"/>
    <w:rsid w:val="003C4028"/>
    <w:rsid w:val="003C7729"/>
    <w:rsid w:val="003C7807"/>
    <w:rsid w:val="003D076C"/>
    <w:rsid w:val="003D3139"/>
    <w:rsid w:val="003D3170"/>
    <w:rsid w:val="003D317B"/>
    <w:rsid w:val="003D32FB"/>
    <w:rsid w:val="003D40B7"/>
    <w:rsid w:val="003D67D8"/>
    <w:rsid w:val="003D7435"/>
    <w:rsid w:val="003E07C5"/>
    <w:rsid w:val="003E1A9D"/>
    <w:rsid w:val="003E3C44"/>
    <w:rsid w:val="003E3FB3"/>
    <w:rsid w:val="003E4D72"/>
    <w:rsid w:val="003E534F"/>
    <w:rsid w:val="003E78B5"/>
    <w:rsid w:val="003F317E"/>
    <w:rsid w:val="004015EB"/>
    <w:rsid w:val="00402134"/>
    <w:rsid w:val="00402135"/>
    <w:rsid w:val="00404F97"/>
    <w:rsid w:val="004117E4"/>
    <w:rsid w:val="00411EDA"/>
    <w:rsid w:val="00412AFB"/>
    <w:rsid w:val="00415BAB"/>
    <w:rsid w:val="00415ED2"/>
    <w:rsid w:val="0042068C"/>
    <w:rsid w:val="00423DFB"/>
    <w:rsid w:val="004246F4"/>
    <w:rsid w:val="00425125"/>
    <w:rsid w:val="00426A7E"/>
    <w:rsid w:val="0043115E"/>
    <w:rsid w:val="00433687"/>
    <w:rsid w:val="00435178"/>
    <w:rsid w:val="00436185"/>
    <w:rsid w:val="00436B04"/>
    <w:rsid w:val="004372FA"/>
    <w:rsid w:val="004408A1"/>
    <w:rsid w:val="00440DC9"/>
    <w:rsid w:val="00442999"/>
    <w:rsid w:val="0044318E"/>
    <w:rsid w:val="00443729"/>
    <w:rsid w:val="00443B35"/>
    <w:rsid w:val="00444704"/>
    <w:rsid w:val="00445881"/>
    <w:rsid w:val="004463A2"/>
    <w:rsid w:val="004471F3"/>
    <w:rsid w:val="0044795C"/>
    <w:rsid w:val="004531D5"/>
    <w:rsid w:val="00454602"/>
    <w:rsid w:val="004567A4"/>
    <w:rsid w:val="00460F2B"/>
    <w:rsid w:val="00464BEB"/>
    <w:rsid w:val="004654E6"/>
    <w:rsid w:val="004656D9"/>
    <w:rsid w:val="00465A0F"/>
    <w:rsid w:val="00466AE6"/>
    <w:rsid w:val="0047013B"/>
    <w:rsid w:val="0047122B"/>
    <w:rsid w:val="004719C4"/>
    <w:rsid w:val="00471A35"/>
    <w:rsid w:val="00472268"/>
    <w:rsid w:val="00472804"/>
    <w:rsid w:val="00473B7A"/>
    <w:rsid w:val="00475D73"/>
    <w:rsid w:val="004826ED"/>
    <w:rsid w:val="00484BB1"/>
    <w:rsid w:val="004851CF"/>
    <w:rsid w:val="0048573D"/>
    <w:rsid w:val="00486695"/>
    <w:rsid w:val="004925A5"/>
    <w:rsid w:val="004960E9"/>
    <w:rsid w:val="00496F41"/>
    <w:rsid w:val="004973AD"/>
    <w:rsid w:val="004977B6"/>
    <w:rsid w:val="004A17CF"/>
    <w:rsid w:val="004A2E88"/>
    <w:rsid w:val="004A31AA"/>
    <w:rsid w:val="004A37ED"/>
    <w:rsid w:val="004A5305"/>
    <w:rsid w:val="004A6E8F"/>
    <w:rsid w:val="004A7B36"/>
    <w:rsid w:val="004B2CE7"/>
    <w:rsid w:val="004C0FA1"/>
    <w:rsid w:val="004C181B"/>
    <w:rsid w:val="004C35B9"/>
    <w:rsid w:val="004C4748"/>
    <w:rsid w:val="004C494E"/>
    <w:rsid w:val="004C4F1A"/>
    <w:rsid w:val="004C63F0"/>
    <w:rsid w:val="004C7D7D"/>
    <w:rsid w:val="004D05F0"/>
    <w:rsid w:val="004D0D1E"/>
    <w:rsid w:val="004D7634"/>
    <w:rsid w:val="004D77D1"/>
    <w:rsid w:val="004E3059"/>
    <w:rsid w:val="004E588F"/>
    <w:rsid w:val="004E5F38"/>
    <w:rsid w:val="004E611A"/>
    <w:rsid w:val="004F3B98"/>
    <w:rsid w:val="004F51A1"/>
    <w:rsid w:val="004F6460"/>
    <w:rsid w:val="004F648A"/>
    <w:rsid w:val="005005DA"/>
    <w:rsid w:val="00502482"/>
    <w:rsid w:val="0050424C"/>
    <w:rsid w:val="00512CF6"/>
    <w:rsid w:val="0051331C"/>
    <w:rsid w:val="0051479A"/>
    <w:rsid w:val="00514A68"/>
    <w:rsid w:val="0051506F"/>
    <w:rsid w:val="00526894"/>
    <w:rsid w:val="005300D3"/>
    <w:rsid w:val="00533D9D"/>
    <w:rsid w:val="00534230"/>
    <w:rsid w:val="00534D05"/>
    <w:rsid w:val="005366A8"/>
    <w:rsid w:val="00540A60"/>
    <w:rsid w:val="00541031"/>
    <w:rsid w:val="00542A10"/>
    <w:rsid w:val="00543D0A"/>
    <w:rsid w:val="00544F82"/>
    <w:rsid w:val="00545804"/>
    <w:rsid w:val="00545A6F"/>
    <w:rsid w:val="0054696E"/>
    <w:rsid w:val="005509D1"/>
    <w:rsid w:val="005509D2"/>
    <w:rsid w:val="0055261F"/>
    <w:rsid w:val="005526EF"/>
    <w:rsid w:val="0055566F"/>
    <w:rsid w:val="00556AFB"/>
    <w:rsid w:val="00566C9C"/>
    <w:rsid w:val="0056766F"/>
    <w:rsid w:val="00572B53"/>
    <w:rsid w:val="00573103"/>
    <w:rsid w:val="00576927"/>
    <w:rsid w:val="00577292"/>
    <w:rsid w:val="00577E63"/>
    <w:rsid w:val="0058237A"/>
    <w:rsid w:val="00585C3D"/>
    <w:rsid w:val="00585D2C"/>
    <w:rsid w:val="00587870"/>
    <w:rsid w:val="00590300"/>
    <w:rsid w:val="00591856"/>
    <w:rsid w:val="00593326"/>
    <w:rsid w:val="00593C4F"/>
    <w:rsid w:val="005946A8"/>
    <w:rsid w:val="005A1CCE"/>
    <w:rsid w:val="005A4407"/>
    <w:rsid w:val="005A585C"/>
    <w:rsid w:val="005A59EF"/>
    <w:rsid w:val="005A69DF"/>
    <w:rsid w:val="005B0B26"/>
    <w:rsid w:val="005B1913"/>
    <w:rsid w:val="005B1A09"/>
    <w:rsid w:val="005B1C7E"/>
    <w:rsid w:val="005B30E3"/>
    <w:rsid w:val="005B429A"/>
    <w:rsid w:val="005B7B4E"/>
    <w:rsid w:val="005C183D"/>
    <w:rsid w:val="005C4C72"/>
    <w:rsid w:val="005C4D76"/>
    <w:rsid w:val="005C618C"/>
    <w:rsid w:val="005C6976"/>
    <w:rsid w:val="005C6A7A"/>
    <w:rsid w:val="005D6BC2"/>
    <w:rsid w:val="005E06E5"/>
    <w:rsid w:val="005E3812"/>
    <w:rsid w:val="005E4E17"/>
    <w:rsid w:val="005F0100"/>
    <w:rsid w:val="005F0C5B"/>
    <w:rsid w:val="005F25C2"/>
    <w:rsid w:val="005F562C"/>
    <w:rsid w:val="005F6110"/>
    <w:rsid w:val="005F6F41"/>
    <w:rsid w:val="006027EF"/>
    <w:rsid w:val="0060329F"/>
    <w:rsid w:val="00604324"/>
    <w:rsid w:val="00605017"/>
    <w:rsid w:val="00607A41"/>
    <w:rsid w:val="00611B12"/>
    <w:rsid w:val="0062044A"/>
    <w:rsid w:val="00621F47"/>
    <w:rsid w:val="00622879"/>
    <w:rsid w:val="00622F7B"/>
    <w:rsid w:val="00623BBF"/>
    <w:rsid w:val="00625DC6"/>
    <w:rsid w:val="00633267"/>
    <w:rsid w:val="00637442"/>
    <w:rsid w:val="0064109F"/>
    <w:rsid w:val="006414BF"/>
    <w:rsid w:val="00641DAC"/>
    <w:rsid w:val="0064391D"/>
    <w:rsid w:val="00644177"/>
    <w:rsid w:val="00644E11"/>
    <w:rsid w:val="006459F2"/>
    <w:rsid w:val="00651821"/>
    <w:rsid w:val="00652547"/>
    <w:rsid w:val="00652E90"/>
    <w:rsid w:val="006539EE"/>
    <w:rsid w:val="00654384"/>
    <w:rsid w:val="006652C6"/>
    <w:rsid w:val="006675CD"/>
    <w:rsid w:val="00667D9F"/>
    <w:rsid w:val="00670D02"/>
    <w:rsid w:val="006717CC"/>
    <w:rsid w:val="00671C5E"/>
    <w:rsid w:val="00671DC8"/>
    <w:rsid w:val="00674037"/>
    <w:rsid w:val="00674F02"/>
    <w:rsid w:val="00675418"/>
    <w:rsid w:val="006814D6"/>
    <w:rsid w:val="00684D9B"/>
    <w:rsid w:val="0068510A"/>
    <w:rsid w:val="00685D35"/>
    <w:rsid w:val="00685F9D"/>
    <w:rsid w:val="00687F18"/>
    <w:rsid w:val="00691464"/>
    <w:rsid w:val="00692D39"/>
    <w:rsid w:val="00692DD7"/>
    <w:rsid w:val="00693E51"/>
    <w:rsid w:val="00695BB0"/>
    <w:rsid w:val="00697556"/>
    <w:rsid w:val="006A324F"/>
    <w:rsid w:val="006A3B82"/>
    <w:rsid w:val="006A3C90"/>
    <w:rsid w:val="006A7312"/>
    <w:rsid w:val="006B0FC6"/>
    <w:rsid w:val="006B24E0"/>
    <w:rsid w:val="006B4647"/>
    <w:rsid w:val="006B4C2B"/>
    <w:rsid w:val="006B6194"/>
    <w:rsid w:val="006B6D47"/>
    <w:rsid w:val="006C0C6F"/>
    <w:rsid w:val="006C2959"/>
    <w:rsid w:val="006C2A84"/>
    <w:rsid w:val="006C4E7E"/>
    <w:rsid w:val="006C5AFE"/>
    <w:rsid w:val="006C6BBF"/>
    <w:rsid w:val="006C79B7"/>
    <w:rsid w:val="006D2F34"/>
    <w:rsid w:val="006E50B7"/>
    <w:rsid w:val="006E60F2"/>
    <w:rsid w:val="006F1E45"/>
    <w:rsid w:val="006F2EC8"/>
    <w:rsid w:val="006F4ACA"/>
    <w:rsid w:val="006F4D91"/>
    <w:rsid w:val="006F52F1"/>
    <w:rsid w:val="006F61B0"/>
    <w:rsid w:val="006F6D95"/>
    <w:rsid w:val="00703A8A"/>
    <w:rsid w:val="00705966"/>
    <w:rsid w:val="00706DF4"/>
    <w:rsid w:val="00706F13"/>
    <w:rsid w:val="00706FEE"/>
    <w:rsid w:val="007072E8"/>
    <w:rsid w:val="00712C76"/>
    <w:rsid w:val="00715A16"/>
    <w:rsid w:val="00716079"/>
    <w:rsid w:val="0071618D"/>
    <w:rsid w:val="007172AE"/>
    <w:rsid w:val="007200D9"/>
    <w:rsid w:val="00720C54"/>
    <w:rsid w:val="00721350"/>
    <w:rsid w:val="00725992"/>
    <w:rsid w:val="00725AAF"/>
    <w:rsid w:val="00725FA4"/>
    <w:rsid w:val="007278CF"/>
    <w:rsid w:val="00727915"/>
    <w:rsid w:val="00732FA7"/>
    <w:rsid w:val="007338C2"/>
    <w:rsid w:val="0073399B"/>
    <w:rsid w:val="007351E7"/>
    <w:rsid w:val="007361F5"/>
    <w:rsid w:val="00736C7B"/>
    <w:rsid w:val="00737576"/>
    <w:rsid w:val="00737B1E"/>
    <w:rsid w:val="00740446"/>
    <w:rsid w:val="0074213A"/>
    <w:rsid w:val="007438A9"/>
    <w:rsid w:val="0074491E"/>
    <w:rsid w:val="0074554A"/>
    <w:rsid w:val="00746E36"/>
    <w:rsid w:val="00747F55"/>
    <w:rsid w:val="00753823"/>
    <w:rsid w:val="0075733F"/>
    <w:rsid w:val="0076099F"/>
    <w:rsid w:val="0076100F"/>
    <w:rsid w:val="007623A8"/>
    <w:rsid w:val="0076247A"/>
    <w:rsid w:val="00765378"/>
    <w:rsid w:val="00771347"/>
    <w:rsid w:val="00771A1D"/>
    <w:rsid w:val="007724C8"/>
    <w:rsid w:val="00772D68"/>
    <w:rsid w:val="00775964"/>
    <w:rsid w:val="007765FE"/>
    <w:rsid w:val="007766F2"/>
    <w:rsid w:val="007800E5"/>
    <w:rsid w:val="00784F1C"/>
    <w:rsid w:val="00786D9D"/>
    <w:rsid w:val="00787EB9"/>
    <w:rsid w:val="00787FA4"/>
    <w:rsid w:val="007900F6"/>
    <w:rsid w:val="00794E2E"/>
    <w:rsid w:val="00795BFB"/>
    <w:rsid w:val="007A13CF"/>
    <w:rsid w:val="007A53A2"/>
    <w:rsid w:val="007A6A69"/>
    <w:rsid w:val="007A789F"/>
    <w:rsid w:val="007A7C5C"/>
    <w:rsid w:val="007A7D0F"/>
    <w:rsid w:val="007B0DC1"/>
    <w:rsid w:val="007B2760"/>
    <w:rsid w:val="007B2FB9"/>
    <w:rsid w:val="007B4F30"/>
    <w:rsid w:val="007B59E8"/>
    <w:rsid w:val="007B5A3D"/>
    <w:rsid w:val="007B6F4D"/>
    <w:rsid w:val="007C42D4"/>
    <w:rsid w:val="007C4F03"/>
    <w:rsid w:val="007D3EFC"/>
    <w:rsid w:val="007D6DD0"/>
    <w:rsid w:val="007D7074"/>
    <w:rsid w:val="007E5EF0"/>
    <w:rsid w:val="007F4298"/>
    <w:rsid w:val="007F4D1E"/>
    <w:rsid w:val="007F663E"/>
    <w:rsid w:val="007F6E7C"/>
    <w:rsid w:val="00800859"/>
    <w:rsid w:val="00806C01"/>
    <w:rsid w:val="00807385"/>
    <w:rsid w:val="00811581"/>
    <w:rsid w:val="00812B34"/>
    <w:rsid w:val="00813D8A"/>
    <w:rsid w:val="008148CC"/>
    <w:rsid w:val="008211A4"/>
    <w:rsid w:val="008248FE"/>
    <w:rsid w:val="00830A8D"/>
    <w:rsid w:val="00835319"/>
    <w:rsid w:val="00837561"/>
    <w:rsid w:val="00841A90"/>
    <w:rsid w:val="00842843"/>
    <w:rsid w:val="008434A5"/>
    <w:rsid w:val="0084662A"/>
    <w:rsid w:val="0084693A"/>
    <w:rsid w:val="00850526"/>
    <w:rsid w:val="00850FAC"/>
    <w:rsid w:val="00851B02"/>
    <w:rsid w:val="00851E21"/>
    <w:rsid w:val="008560BA"/>
    <w:rsid w:val="008609D7"/>
    <w:rsid w:val="008639DC"/>
    <w:rsid w:val="00863C80"/>
    <w:rsid w:val="0086405F"/>
    <w:rsid w:val="00865E9B"/>
    <w:rsid w:val="008667FC"/>
    <w:rsid w:val="00871F89"/>
    <w:rsid w:val="008721F5"/>
    <w:rsid w:val="008728A7"/>
    <w:rsid w:val="00872AA4"/>
    <w:rsid w:val="00872B19"/>
    <w:rsid w:val="00873150"/>
    <w:rsid w:val="008757A2"/>
    <w:rsid w:val="008764AB"/>
    <w:rsid w:val="0087657D"/>
    <w:rsid w:val="00877379"/>
    <w:rsid w:val="008807D5"/>
    <w:rsid w:val="00880832"/>
    <w:rsid w:val="00881CAA"/>
    <w:rsid w:val="00882101"/>
    <w:rsid w:val="00885AD0"/>
    <w:rsid w:val="00885BC2"/>
    <w:rsid w:val="00885C78"/>
    <w:rsid w:val="00886EE1"/>
    <w:rsid w:val="0088727D"/>
    <w:rsid w:val="0088741A"/>
    <w:rsid w:val="008932BC"/>
    <w:rsid w:val="00897C75"/>
    <w:rsid w:val="008A2999"/>
    <w:rsid w:val="008A5279"/>
    <w:rsid w:val="008B334E"/>
    <w:rsid w:val="008B484C"/>
    <w:rsid w:val="008B7CFE"/>
    <w:rsid w:val="008C0BC8"/>
    <w:rsid w:val="008C1130"/>
    <w:rsid w:val="008C1BB2"/>
    <w:rsid w:val="008C3FB6"/>
    <w:rsid w:val="008C6EAD"/>
    <w:rsid w:val="008C7D5C"/>
    <w:rsid w:val="008D0642"/>
    <w:rsid w:val="008D0995"/>
    <w:rsid w:val="008D0F4E"/>
    <w:rsid w:val="008D18E6"/>
    <w:rsid w:val="008D4657"/>
    <w:rsid w:val="008D4BDA"/>
    <w:rsid w:val="008D7A9B"/>
    <w:rsid w:val="008E0060"/>
    <w:rsid w:val="008E1A86"/>
    <w:rsid w:val="008E5BC1"/>
    <w:rsid w:val="008E63C1"/>
    <w:rsid w:val="008E7091"/>
    <w:rsid w:val="008E7160"/>
    <w:rsid w:val="008E73C0"/>
    <w:rsid w:val="008E76AC"/>
    <w:rsid w:val="008F1B4C"/>
    <w:rsid w:val="008F21F6"/>
    <w:rsid w:val="00900970"/>
    <w:rsid w:val="00901023"/>
    <w:rsid w:val="00901239"/>
    <w:rsid w:val="0090227F"/>
    <w:rsid w:val="00904C21"/>
    <w:rsid w:val="009057A7"/>
    <w:rsid w:val="00906EA4"/>
    <w:rsid w:val="00914C84"/>
    <w:rsid w:val="0091699D"/>
    <w:rsid w:val="0092108D"/>
    <w:rsid w:val="00922020"/>
    <w:rsid w:val="00923DE9"/>
    <w:rsid w:val="00926FC1"/>
    <w:rsid w:val="0093456B"/>
    <w:rsid w:val="00937FA4"/>
    <w:rsid w:val="00944E20"/>
    <w:rsid w:val="00947AA8"/>
    <w:rsid w:val="00951F79"/>
    <w:rsid w:val="009536ED"/>
    <w:rsid w:val="00957BEE"/>
    <w:rsid w:val="0096565B"/>
    <w:rsid w:val="00966B4B"/>
    <w:rsid w:val="00972828"/>
    <w:rsid w:val="00974AB5"/>
    <w:rsid w:val="00975987"/>
    <w:rsid w:val="00975A33"/>
    <w:rsid w:val="0098237B"/>
    <w:rsid w:val="0098400B"/>
    <w:rsid w:val="009851BC"/>
    <w:rsid w:val="0098593D"/>
    <w:rsid w:val="00986037"/>
    <w:rsid w:val="0098706D"/>
    <w:rsid w:val="009935FB"/>
    <w:rsid w:val="009947C7"/>
    <w:rsid w:val="0099682A"/>
    <w:rsid w:val="009A2DD1"/>
    <w:rsid w:val="009A4A75"/>
    <w:rsid w:val="009B2502"/>
    <w:rsid w:val="009B3CF9"/>
    <w:rsid w:val="009B5FA3"/>
    <w:rsid w:val="009B747F"/>
    <w:rsid w:val="009C0156"/>
    <w:rsid w:val="009C024F"/>
    <w:rsid w:val="009C178B"/>
    <w:rsid w:val="009C42FF"/>
    <w:rsid w:val="009C451F"/>
    <w:rsid w:val="009C54FB"/>
    <w:rsid w:val="009D0C89"/>
    <w:rsid w:val="009E3D45"/>
    <w:rsid w:val="009E6C05"/>
    <w:rsid w:val="009F1C95"/>
    <w:rsid w:val="009F4A54"/>
    <w:rsid w:val="009F4BEC"/>
    <w:rsid w:val="009F5874"/>
    <w:rsid w:val="00A00BEB"/>
    <w:rsid w:val="00A00E64"/>
    <w:rsid w:val="00A0162C"/>
    <w:rsid w:val="00A02A87"/>
    <w:rsid w:val="00A02BE1"/>
    <w:rsid w:val="00A02D39"/>
    <w:rsid w:val="00A052F3"/>
    <w:rsid w:val="00A0566B"/>
    <w:rsid w:val="00A0769F"/>
    <w:rsid w:val="00A07C67"/>
    <w:rsid w:val="00A1156C"/>
    <w:rsid w:val="00A13297"/>
    <w:rsid w:val="00A13B00"/>
    <w:rsid w:val="00A23E62"/>
    <w:rsid w:val="00A25FD7"/>
    <w:rsid w:val="00A263C7"/>
    <w:rsid w:val="00A2689A"/>
    <w:rsid w:val="00A26EAE"/>
    <w:rsid w:val="00A30751"/>
    <w:rsid w:val="00A32474"/>
    <w:rsid w:val="00A32799"/>
    <w:rsid w:val="00A3441C"/>
    <w:rsid w:val="00A350AB"/>
    <w:rsid w:val="00A369A8"/>
    <w:rsid w:val="00A43AFF"/>
    <w:rsid w:val="00A4488E"/>
    <w:rsid w:val="00A50E46"/>
    <w:rsid w:val="00A515D6"/>
    <w:rsid w:val="00A52AC3"/>
    <w:rsid w:val="00A5323B"/>
    <w:rsid w:val="00A5620B"/>
    <w:rsid w:val="00A61EF1"/>
    <w:rsid w:val="00A61F20"/>
    <w:rsid w:val="00A64E43"/>
    <w:rsid w:val="00A6795A"/>
    <w:rsid w:val="00A71A2F"/>
    <w:rsid w:val="00A71C1D"/>
    <w:rsid w:val="00A72BBD"/>
    <w:rsid w:val="00A74CC8"/>
    <w:rsid w:val="00A75A1C"/>
    <w:rsid w:val="00A7793A"/>
    <w:rsid w:val="00A80598"/>
    <w:rsid w:val="00A82DD7"/>
    <w:rsid w:val="00A8348D"/>
    <w:rsid w:val="00A84D66"/>
    <w:rsid w:val="00A862D9"/>
    <w:rsid w:val="00A917D1"/>
    <w:rsid w:val="00A93375"/>
    <w:rsid w:val="00A95EA3"/>
    <w:rsid w:val="00AA05D7"/>
    <w:rsid w:val="00AA3E37"/>
    <w:rsid w:val="00AA4307"/>
    <w:rsid w:val="00AA46BD"/>
    <w:rsid w:val="00AA4CC7"/>
    <w:rsid w:val="00AA5930"/>
    <w:rsid w:val="00AA5E8E"/>
    <w:rsid w:val="00AB0F28"/>
    <w:rsid w:val="00AB2BAD"/>
    <w:rsid w:val="00AB6CA7"/>
    <w:rsid w:val="00AC3E3C"/>
    <w:rsid w:val="00AC61DF"/>
    <w:rsid w:val="00AC712D"/>
    <w:rsid w:val="00AD01E4"/>
    <w:rsid w:val="00AD0858"/>
    <w:rsid w:val="00AE02E3"/>
    <w:rsid w:val="00AE125F"/>
    <w:rsid w:val="00AE6F72"/>
    <w:rsid w:val="00AE7340"/>
    <w:rsid w:val="00AE74FA"/>
    <w:rsid w:val="00AF03CC"/>
    <w:rsid w:val="00AF0E82"/>
    <w:rsid w:val="00AF1BBD"/>
    <w:rsid w:val="00AF6401"/>
    <w:rsid w:val="00AF74CE"/>
    <w:rsid w:val="00B01032"/>
    <w:rsid w:val="00B01BEE"/>
    <w:rsid w:val="00B0329C"/>
    <w:rsid w:val="00B03E93"/>
    <w:rsid w:val="00B046D1"/>
    <w:rsid w:val="00B04A84"/>
    <w:rsid w:val="00B06E6A"/>
    <w:rsid w:val="00B10207"/>
    <w:rsid w:val="00B121BF"/>
    <w:rsid w:val="00B13EFC"/>
    <w:rsid w:val="00B141E7"/>
    <w:rsid w:val="00B14A22"/>
    <w:rsid w:val="00B179FA"/>
    <w:rsid w:val="00B25D73"/>
    <w:rsid w:val="00B277BB"/>
    <w:rsid w:val="00B33435"/>
    <w:rsid w:val="00B351B4"/>
    <w:rsid w:val="00B35C5E"/>
    <w:rsid w:val="00B36D11"/>
    <w:rsid w:val="00B377DD"/>
    <w:rsid w:val="00B40136"/>
    <w:rsid w:val="00B42580"/>
    <w:rsid w:val="00B44EA5"/>
    <w:rsid w:val="00B45A4E"/>
    <w:rsid w:val="00B46BCA"/>
    <w:rsid w:val="00B478AA"/>
    <w:rsid w:val="00B47FF0"/>
    <w:rsid w:val="00B51C27"/>
    <w:rsid w:val="00B52D1C"/>
    <w:rsid w:val="00B53F6B"/>
    <w:rsid w:val="00B61043"/>
    <w:rsid w:val="00B63799"/>
    <w:rsid w:val="00B734A5"/>
    <w:rsid w:val="00B77BF7"/>
    <w:rsid w:val="00B8477E"/>
    <w:rsid w:val="00B87806"/>
    <w:rsid w:val="00B87EC9"/>
    <w:rsid w:val="00B9105D"/>
    <w:rsid w:val="00B92D7C"/>
    <w:rsid w:val="00B9488E"/>
    <w:rsid w:val="00BA2C53"/>
    <w:rsid w:val="00BA2DA2"/>
    <w:rsid w:val="00BA43E8"/>
    <w:rsid w:val="00BB23FD"/>
    <w:rsid w:val="00BB254A"/>
    <w:rsid w:val="00BB2E43"/>
    <w:rsid w:val="00BB2F50"/>
    <w:rsid w:val="00BB31FB"/>
    <w:rsid w:val="00BB3C8C"/>
    <w:rsid w:val="00BB4AA6"/>
    <w:rsid w:val="00BB61A5"/>
    <w:rsid w:val="00BC0240"/>
    <w:rsid w:val="00BC1BAE"/>
    <w:rsid w:val="00BC26A9"/>
    <w:rsid w:val="00BC31CF"/>
    <w:rsid w:val="00BC38FD"/>
    <w:rsid w:val="00BC4076"/>
    <w:rsid w:val="00BC4A8E"/>
    <w:rsid w:val="00BD32A2"/>
    <w:rsid w:val="00BD3C14"/>
    <w:rsid w:val="00BD4D39"/>
    <w:rsid w:val="00BD51FB"/>
    <w:rsid w:val="00BE0475"/>
    <w:rsid w:val="00BE4B96"/>
    <w:rsid w:val="00BE5134"/>
    <w:rsid w:val="00BE5874"/>
    <w:rsid w:val="00BE60B6"/>
    <w:rsid w:val="00BF16D7"/>
    <w:rsid w:val="00BF1C87"/>
    <w:rsid w:val="00BF47FD"/>
    <w:rsid w:val="00BF56C8"/>
    <w:rsid w:val="00BF5DA4"/>
    <w:rsid w:val="00C01EB7"/>
    <w:rsid w:val="00C034CB"/>
    <w:rsid w:val="00C03A9C"/>
    <w:rsid w:val="00C04C7D"/>
    <w:rsid w:val="00C0510F"/>
    <w:rsid w:val="00C051A8"/>
    <w:rsid w:val="00C054BC"/>
    <w:rsid w:val="00C05D73"/>
    <w:rsid w:val="00C11667"/>
    <w:rsid w:val="00C137B4"/>
    <w:rsid w:val="00C17897"/>
    <w:rsid w:val="00C20CFF"/>
    <w:rsid w:val="00C21F89"/>
    <w:rsid w:val="00C25502"/>
    <w:rsid w:val="00C256DB"/>
    <w:rsid w:val="00C26E17"/>
    <w:rsid w:val="00C2752B"/>
    <w:rsid w:val="00C3178B"/>
    <w:rsid w:val="00C32FD2"/>
    <w:rsid w:val="00C34A7E"/>
    <w:rsid w:val="00C364A6"/>
    <w:rsid w:val="00C36725"/>
    <w:rsid w:val="00C409D5"/>
    <w:rsid w:val="00C409E5"/>
    <w:rsid w:val="00C41722"/>
    <w:rsid w:val="00C435C3"/>
    <w:rsid w:val="00C438DB"/>
    <w:rsid w:val="00C44E5F"/>
    <w:rsid w:val="00C4761E"/>
    <w:rsid w:val="00C5007C"/>
    <w:rsid w:val="00C50EA6"/>
    <w:rsid w:val="00C518FA"/>
    <w:rsid w:val="00C51B7C"/>
    <w:rsid w:val="00C526DF"/>
    <w:rsid w:val="00C5402D"/>
    <w:rsid w:val="00C57859"/>
    <w:rsid w:val="00C609CC"/>
    <w:rsid w:val="00C60A7A"/>
    <w:rsid w:val="00C61372"/>
    <w:rsid w:val="00C61D2A"/>
    <w:rsid w:val="00C6234B"/>
    <w:rsid w:val="00C63A07"/>
    <w:rsid w:val="00C63C94"/>
    <w:rsid w:val="00C63EAE"/>
    <w:rsid w:val="00C66C4F"/>
    <w:rsid w:val="00C70165"/>
    <w:rsid w:val="00C73260"/>
    <w:rsid w:val="00C74906"/>
    <w:rsid w:val="00C74F02"/>
    <w:rsid w:val="00C7629F"/>
    <w:rsid w:val="00C7740E"/>
    <w:rsid w:val="00C77D5A"/>
    <w:rsid w:val="00C84C73"/>
    <w:rsid w:val="00C852C1"/>
    <w:rsid w:val="00C86482"/>
    <w:rsid w:val="00C8661B"/>
    <w:rsid w:val="00C90885"/>
    <w:rsid w:val="00C911B9"/>
    <w:rsid w:val="00C911F2"/>
    <w:rsid w:val="00C919D9"/>
    <w:rsid w:val="00C91F54"/>
    <w:rsid w:val="00C94618"/>
    <w:rsid w:val="00C94CD7"/>
    <w:rsid w:val="00CA03C8"/>
    <w:rsid w:val="00CA139A"/>
    <w:rsid w:val="00CA14EE"/>
    <w:rsid w:val="00CA1B59"/>
    <w:rsid w:val="00CA2899"/>
    <w:rsid w:val="00CA30CE"/>
    <w:rsid w:val="00CA3A3D"/>
    <w:rsid w:val="00CA3AA6"/>
    <w:rsid w:val="00CA6E0D"/>
    <w:rsid w:val="00CA77FB"/>
    <w:rsid w:val="00CB10AB"/>
    <w:rsid w:val="00CB168B"/>
    <w:rsid w:val="00CB379B"/>
    <w:rsid w:val="00CB5DD0"/>
    <w:rsid w:val="00CB6E51"/>
    <w:rsid w:val="00CB74EA"/>
    <w:rsid w:val="00CC10D0"/>
    <w:rsid w:val="00CC229D"/>
    <w:rsid w:val="00CC2B9C"/>
    <w:rsid w:val="00CC4A99"/>
    <w:rsid w:val="00CC51D4"/>
    <w:rsid w:val="00CC59D3"/>
    <w:rsid w:val="00CC65DA"/>
    <w:rsid w:val="00CC7C65"/>
    <w:rsid w:val="00CD2B6C"/>
    <w:rsid w:val="00CD3C52"/>
    <w:rsid w:val="00CD3D76"/>
    <w:rsid w:val="00CD78BC"/>
    <w:rsid w:val="00CE057C"/>
    <w:rsid w:val="00CE28F7"/>
    <w:rsid w:val="00CE3902"/>
    <w:rsid w:val="00CE482E"/>
    <w:rsid w:val="00CE7DA8"/>
    <w:rsid w:val="00CF214B"/>
    <w:rsid w:val="00CF21B9"/>
    <w:rsid w:val="00CF4BC7"/>
    <w:rsid w:val="00CF6BF9"/>
    <w:rsid w:val="00CF7668"/>
    <w:rsid w:val="00D00A04"/>
    <w:rsid w:val="00D01179"/>
    <w:rsid w:val="00D01784"/>
    <w:rsid w:val="00D01E87"/>
    <w:rsid w:val="00D022A2"/>
    <w:rsid w:val="00D03800"/>
    <w:rsid w:val="00D05650"/>
    <w:rsid w:val="00D065D3"/>
    <w:rsid w:val="00D06817"/>
    <w:rsid w:val="00D12BDB"/>
    <w:rsid w:val="00D14327"/>
    <w:rsid w:val="00D14C94"/>
    <w:rsid w:val="00D21693"/>
    <w:rsid w:val="00D228F9"/>
    <w:rsid w:val="00D257B3"/>
    <w:rsid w:val="00D25C26"/>
    <w:rsid w:val="00D25F7E"/>
    <w:rsid w:val="00D27F7B"/>
    <w:rsid w:val="00D3220A"/>
    <w:rsid w:val="00D33D39"/>
    <w:rsid w:val="00D33FEC"/>
    <w:rsid w:val="00D342A6"/>
    <w:rsid w:val="00D342D3"/>
    <w:rsid w:val="00D34A66"/>
    <w:rsid w:val="00D3502C"/>
    <w:rsid w:val="00D37F55"/>
    <w:rsid w:val="00D424D1"/>
    <w:rsid w:val="00D42570"/>
    <w:rsid w:val="00D45CA6"/>
    <w:rsid w:val="00D464BF"/>
    <w:rsid w:val="00D47F93"/>
    <w:rsid w:val="00D53355"/>
    <w:rsid w:val="00D53E26"/>
    <w:rsid w:val="00D54821"/>
    <w:rsid w:val="00D54A67"/>
    <w:rsid w:val="00D57B6D"/>
    <w:rsid w:val="00D60A02"/>
    <w:rsid w:val="00D60D8A"/>
    <w:rsid w:val="00D63812"/>
    <w:rsid w:val="00D6593C"/>
    <w:rsid w:val="00D71346"/>
    <w:rsid w:val="00D76803"/>
    <w:rsid w:val="00D77BC7"/>
    <w:rsid w:val="00D77EDC"/>
    <w:rsid w:val="00D8019A"/>
    <w:rsid w:val="00D808A3"/>
    <w:rsid w:val="00D813D6"/>
    <w:rsid w:val="00D81F8B"/>
    <w:rsid w:val="00D82B00"/>
    <w:rsid w:val="00D82F43"/>
    <w:rsid w:val="00D86244"/>
    <w:rsid w:val="00D8657D"/>
    <w:rsid w:val="00D87D41"/>
    <w:rsid w:val="00D924C4"/>
    <w:rsid w:val="00D9300F"/>
    <w:rsid w:val="00D939CE"/>
    <w:rsid w:val="00DA0669"/>
    <w:rsid w:val="00DA7611"/>
    <w:rsid w:val="00DB182C"/>
    <w:rsid w:val="00DB26C9"/>
    <w:rsid w:val="00DB328D"/>
    <w:rsid w:val="00DB3CB3"/>
    <w:rsid w:val="00DB5C75"/>
    <w:rsid w:val="00DC05D4"/>
    <w:rsid w:val="00DC06E3"/>
    <w:rsid w:val="00DC0E47"/>
    <w:rsid w:val="00DC5380"/>
    <w:rsid w:val="00DC6B15"/>
    <w:rsid w:val="00DD14F1"/>
    <w:rsid w:val="00DD362B"/>
    <w:rsid w:val="00DD419C"/>
    <w:rsid w:val="00DD4594"/>
    <w:rsid w:val="00DD4F0E"/>
    <w:rsid w:val="00DD5DB5"/>
    <w:rsid w:val="00DD6477"/>
    <w:rsid w:val="00DD7452"/>
    <w:rsid w:val="00DE06D8"/>
    <w:rsid w:val="00DE2658"/>
    <w:rsid w:val="00DE3380"/>
    <w:rsid w:val="00DE687E"/>
    <w:rsid w:val="00DE6C6F"/>
    <w:rsid w:val="00DF0BF0"/>
    <w:rsid w:val="00DF1977"/>
    <w:rsid w:val="00DF1DCC"/>
    <w:rsid w:val="00DF3CA2"/>
    <w:rsid w:val="00E01463"/>
    <w:rsid w:val="00E03FCD"/>
    <w:rsid w:val="00E05206"/>
    <w:rsid w:val="00E05E0A"/>
    <w:rsid w:val="00E060BE"/>
    <w:rsid w:val="00E11269"/>
    <w:rsid w:val="00E14657"/>
    <w:rsid w:val="00E17BB6"/>
    <w:rsid w:val="00E23019"/>
    <w:rsid w:val="00E24187"/>
    <w:rsid w:val="00E306DD"/>
    <w:rsid w:val="00E353BE"/>
    <w:rsid w:val="00E37064"/>
    <w:rsid w:val="00E37136"/>
    <w:rsid w:val="00E376B8"/>
    <w:rsid w:val="00E44E72"/>
    <w:rsid w:val="00E50709"/>
    <w:rsid w:val="00E50FE5"/>
    <w:rsid w:val="00E534CF"/>
    <w:rsid w:val="00E55237"/>
    <w:rsid w:val="00E56065"/>
    <w:rsid w:val="00E60491"/>
    <w:rsid w:val="00E61451"/>
    <w:rsid w:val="00E626CA"/>
    <w:rsid w:val="00E668A2"/>
    <w:rsid w:val="00E7009A"/>
    <w:rsid w:val="00E740E6"/>
    <w:rsid w:val="00E7456A"/>
    <w:rsid w:val="00E81CB4"/>
    <w:rsid w:val="00E8585B"/>
    <w:rsid w:val="00E85A1F"/>
    <w:rsid w:val="00E87F41"/>
    <w:rsid w:val="00E92EA2"/>
    <w:rsid w:val="00E95862"/>
    <w:rsid w:val="00E95B51"/>
    <w:rsid w:val="00E971F9"/>
    <w:rsid w:val="00EA1D44"/>
    <w:rsid w:val="00EA3F15"/>
    <w:rsid w:val="00EA506F"/>
    <w:rsid w:val="00EA6D9A"/>
    <w:rsid w:val="00EA7847"/>
    <w:rsid w:val="00EA7F8B"/>
    <w:rsid w:val="00EB0355"/>
    <w:rsid w:val="00EB1318"/>
    <w:rsid w:val="00EB3CB3"/>
    <w:rsid w:val="00EB4C2F"/>
    <w:rsid w:val="00EB52B0"/>
    <w:rsid w:val="00EB587D"/>
    <w:rsid w:val="00EC177C"/>
    <w:rsid w:val="00EC2583"/>
    <w:rsid w:val="00EC2B0B"/>
    <w:rsid w:val="00EC323E"/>
    <w:rsid w:val="00EC3845"/>
    <w:rsid w:val="00EC429D"/>
    <w:rsid w:val="00EC6CE6"/>
    <w:rsid w:val="00EC7621"/>
    <w:rsid w:val="00EC770F"/>
    <w:rsid w:val="00ED198A"/>
    <w:rsid w:val="00ED671C"/>
    <w:rsid w:val="00EE067B"/>
    <w:rsid w:val="00EE2E6E"/>
    <w:rsid w:val="00EE4FF0"/>
    <w:rsid w:val="00EE57B1"/>
    <w:rsid w:val="00EE638C"/>
    <w:rsid w:val="00EE6B15"/>
    <w:rsid w:val="00EF10A1"/>
    <w:rsid w:val="00EF17DD"/>
    <w:rsid w:val="00EF23EC"/>
    <w:rsid w:val="00EF58B4"/>
    <w:rsid w:val="00F01C5E"/>
    <w:rsid w:val="00F059BF"/>
    <w:rsid w:val="00F05FBD"/>
    <w:rsid w:val="00F061B1"/>
    <w:rsid w:val="00F0759E"/>
    <w:rsid w:val="00F1340D"/>
    <w:rsid w:val="00F15E03"/>
    <w:rsid w:val="00F16A43"/>
    <w:rsid w:val="00F20F86"/>
    <w:rsid w:val="00F211A4"/>
    <w:rsid w:val="00F23031"/>
    <w:rsid w:val="00F2371D"/>
    <w:rsid w:val="00F249DB"/>
    <w:rsid w:val="00F25381"/>
    <w:rsid w:val="00F3250F"/>
    <w:rsid w:val="00F34A6F"/>
    <w:rsid w:val="00F378D6"/>
    <w:rsid w:val="00F401B5"/>
    <w:rsid w:val="00F4038B"/>
    <w:rsid w:val="00F416AC"/>
    <w:rsid w:val="00F44050"/>
    <w:rsid w:val="00F44751"/>
    <w:rsid w:val="00F46780"/>
    <w:rsid w:val="00F54E01"/>
    <w:rsid w:val="00F5748D"/>
    <w:rsid w:val="00F57E40"/>
    <w:rsid w:val="00F60F15"/>
    <w:rsid w:val="00F6314F"/>
    <w:rsid w:val="00F671B1"/>
    <w:rsid w:val="00F717B4"/>
    <w:rsid w:val="00F72D80"/>
    <w:rsid w:val="00F75E75"/>
    <w:rsid w:val="00F77D2D"/>
    <w:rsid w:val="00F80E95"/>
    <w:rsid w:val="00F821A3"/>
    <w:rsid w:val="00F84DEA"/>
    <w:rsid w:val="00F91BDF"/>
    <w:rsid w:val="00F9314A"/>
    <w:rsid w:val="00F940B2"/>
    <w:rsid w:val="00F944B3"/>
    <w:rsid w:val="00F94E41"/>
    <w:rsid w:val="00F950B9"/>
    <w:rsid w:val="00F9647C"/>
    <w:rsid w:val="00F96DDB"/>
    <w:rsid w:val="00F971E0"/>
    <w:rsid w:val="00FA5CD2"/>
    <w:rsid w:val="00FA674B"/>
    <w:rsid w:val="00FB3666"/>
    <w:rsid w:val="00FB7D45"/>
    <w:rsid w:val="00FC519E"/>
    <w:rsid w:val="00FC58EF"/>
    <w:rsid w:val="00FD2156"/>
    <w:rsid w:val="00FD33DF"/>
    <w:rsid w:val="00FD3E0D"/>
    <w:rsid w:val="00FD52E8"/>
    <w:rsid w:val="00FD7264"/>
    <w:rsid w:val="00FE1BBB"/>
    <w:rsid w:val="00FE2452"/>
    <w:rsid w:val="00FE39D7"/>
    <w:rsid w:val="00FE3B40"/>
    <w:rsid w:val="00FE4404"/>
    <w:rsid w:val="00FE5667"/>
    <w:rsid w:val="00FE744A"/>
    <w:rsid w:val="00FE7592"/>
    <w:rsid w:val="00FF3E09"/>
    <w:rsid w:val="00FF3F52"/>
    <w:rsid w:val="00FF4491"/>
    <w:rsid w:val="00FF601F"/>
    <w:rsid w:val="00FF75B1"/>
    <w:rsid w:val="00FF7F6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2ED05B7"/>
  <w15:chartTrackingRefBased/>
  <w15:docId w15:val="{A0A9470B-866D-4B2F-BDFC-5BA57E46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A41"/>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Textonotapie">
    <w:name w:val="footnote text"/>
    <w:aliases w:val="fn,footnote text,Footnote Text Char Char Char Char Char,Footnote Text Char Char Char Char,Footnote reference,FA Fu,Footnote Text Cha,Footnote Text Char Char Char,FA Fußnotentext,FA Fuﬂnotentext,Footnote Text Char Char,texto de nota al p"/>
    <w:basedOn w:val="Normal"/>
    <w:link w:val="TextonotapieCar"/>
    <w:uiPriority w:val="99"/>
    <w:rsid w:val="00BC4076"/>
    <w:pPr>
      <w:spacing w:before="160" w:after="160"/>
      <w:ind w:left="0"/>
      <w:jc w:val="both"/>
    </w:pPr>
    <w:rPr>
      <w:rFonts w:ascii="Arial" w:hAnsi="Arial"/>
      <w:sz w:val="22"/>
      <w:szCs w:val="20"/>
      <w:lang w:val="es-CO"/>
    </w:rPr>
  </w:style>
  <w:style w:type="character" w:customStyle="1" w:styleId="TextonotapieCar">
    <w:name w:val="Texto nota pie Car"/>
    <w:aliases w:val="fn Car,footnote text Car,Footnote Text Char Char Char Char Char Car,Footnote Text Char Char Char Char Car,Footnote reference Car,FA Fu Car,Footnote Text Cha Car,Footnote Text Char Char Char Car,FA Fußnotentext Car,FA Fuﬂnotentext Car"/>
    <w:link w:val="Textonotapie"/>
    <w:uiPriority w:val="99"/>
    <w:rsid w:val="00BC4076"/>
    <w:rPr>
      <w:rFonts w:ascii="Arial" w:hAnsi="Arial"/>
      <w:sz w:val="22"/>
      <w:lang w:eastAsia="es-ES"/>
    </w:rPr>
  </w:style>
  <w:style w:type="character" w:styleId="Refdenotaalpie">
    <w:name w:val="footnote reference"/>
    <w:uiPriority w:val="99"/>
    <w:semiHidden/>
    <w:rsid w:val="00BC4076"/>
    <w:rPr>
      <w:vertAlign w:val="superscript"/>
    </w:rPr>
  </w:style>
  <w:style w:type="paragraph" w:customStyle="1" w:styleId="Artculo">
    <w:name w:val="Artículo"/>
    <w:basedOn w:val="Normal"/>
    <w:next w:val="Normal"/>
    <w:link w:val="ArtculoCar"/>
    <w:qFormat/>
    <w:rsid w:val="00C5402D"/>
    <w:pPr>
      <w:numPr>
        <w:numId w:val="25"/>
      </w:numPr>
      <w:spacing w:before="240" w:after="240"/>
      <w:ind w:left="0"/>
      <w:jc w:val="both"/>
    </w:pPr>
    <w:rPr>
      <w:rFonts w:ascii="Bookman Old Style" w:hAnsi="Bookman Old Style" w:cs="Arial"/>
      <w:b/>
    </w:rPr>
  </w:style>
  <w:style w:type="character" w:customStyle="1" w:styleId="ArtculoCar">
    <w:name w:val="Artículo Car"/>
    <w:link w:val="Artculo"/>
    <w:rsid w:val="00C5402D"/>
    <w:rPr>
      <w:rFonts w:ascii="Bookman Old Style" w:hAnsi="Bookman Old Style" w:cs="Arial"/>
      <w:b/>
      <w:sz w:val="24"/>
      <w:szCs w:val="24"/>
      <w:lang w:val="es-ES" w:eastAsia="es-ES"/>
    </w:rPr>
  </w:style>
  <w:style w:type="character" w:styleId="Refdecomentario">
    <w:name w:val="annotation reference"/>
    <w:basedOn w:val="Fuentedeprrafopredeter"/>
    <w:uiPriority w:val="99"/>
    <w:semiHidden/>
    <w:unhideWhenUsed/>
    <w:rsid w:val="00CC2B9C"/>
    <w:rPr>
      <w:sz w:val="16"/>
      <w:szCs w:val="16"/>
    </w:rPr>
  </w:style>
  <w:style w:type="paragraph" w:styleId="Textocomentario">
    <w:name w:val="annotation text"/>
    <w:basedOn w:val="Normal"/>
    <w:link w:val="TextocomentarioCar"/>
    <w:uiPriority w:val="99"/>
    <w:unhideWhenUsed/>
    <w:rsid w:val="00CC2B9C"/>
    <w:rPr>
      <w:sz w:val="20"/>
      <w:szCs w:val="20"/>
    </w:rPr>
  </w:style>
  <w:style w:type="character" w:customStyle="1" w:styleId="TextocomentarioCar">
    <w:name w:val="Texto comentario Car"/>
    <w:basedOn w:val="Fuentedeprrafopredeter"/>
    <w:link w:val="Textocomentario"/>
    <w:uiPriority w:val="99"/>
    <w:rsid w:val="00CC2B9C"/>
    <w:rPr>
      <w:lang w:val="es-ES" w:eastAsia="es-ES"/>
    </w:rPr>
  </w:style>
  <w:style w:type="paragraph" w:styleId="Asuntodelcomentario">
    <w:name w:val="annotation subject"/>
    <w:basedOn w:val="Textocomentario"/>
    <w:next w:val="Textocomentario"/>
    <w:link w:val="AsuntodelcomentarioCar"/>
    <w:uiPriority w:val="99"/>
    <w:semiHidden/>
    <w:unhideWhenUsed/>
    <w:rsid w:val="00CC2B9C"/>
    <w:rPr>
      <w:b/>
      <w:bCs/>
    </w:rPr>
  </w:style>
  <w:style w:type="character" w:customStyle="1" w:styleId="AsuntodelcomentarioCar">
    <w:name w:val="Asunto del comentario Car"/>
    <w:basedOn w:val="TextocomentarioCar"/>
    <w:link w:val="Asuntodelcomentario"/>
    <w:uiPriority w:val="99"/>
    <w:semiHidden/>
    <w:rsid w:val="00CC2B9C"/>
    <w:rPr>
      <w:b/>
      <w:bCs/>
      <w:lang w:val="es-ES" w:eastAsia="es-ES"/>
    </w:rPr>
  </w:style>
  <w:style w:type="paragraph" w:styleId="Revisin">
    <w:name w:val="Revision"/>
    <w:hidden/>
    <w:uiPriority w:val="99"/>
    <w:semiHidden/>
    <w:rsid w:val="00DD419C"/>
    <w:rPr>
      <w:sz w:val="24"/>
      <w:szCs w:val="24"/>
      <w:lang w:val="es-ES" w:eastAsia="es-ES"/>
    </w:rPr>
  </w:style>
  <w:style w:type="character" w:styleId="Hipervnculo">
    <w:name w:val="Hyperlink"/>
    <w:basedOn w:val="Fuentedeprrafopredeter"/>
    <w:uiPriority w:val="99"/>
    <w:unhideWhenUsed/>
    <w:rsid w:val="00037A1A"/>
    <w:rPr>
      <w:color w:val="0563C1" w:themeColor="hyperlink"/>
      <w:u w:val="single"/>
    </w:rPr>
  </w:style>
  <w:style w:type="character" w:styleId="Mencinsinresolver">
    <w:name w:val="Unresolved Mention"/>
    <w:basedOn w:val="Fuentedeprrafopredeter"/>
    <w:uiPriority w:val="99"/>
    <w:semiHidden/>
    <w:unhideWhenUsed/>
    <w:rsid w:val="00037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73863">
      <w:bodyDiv w:val="1"/>
      <w:marLeft w:val="0"/>
      <w:marRight w:val="0"/>
      <w:marTop w:val="0"/>
      <w:marBottom w:val="0"/>
      <w:divBdr>
        <w:top w:val="none" w:sz="0" w:space="0" w:color="auto"/>
        <w:left w:val="none" w:sz="0" w:space="0" w:color="auto"/>
        <w:bottom w:val="none" w:sz="0" w:space="0" w:color="auto"/>
        <w:right w:val="none" w:sz="0" w:space="0" w:color="auto"/>
      </w:divBdr>
      <w:divsChild>
        <w:div w:id="1407142077">
          <w:marLeft w:val="446"/>
          <w:marRight w:val="0"/>
          <w:marTop w:val="60"/>
          <w:marBottom w:val="60"/>
          <w:divBdr>
            <w:top w:val="none" w:sz="0" w:space="0" w:color="auto"/>
            <w:left w:val="none" w:sz="0" w:space="0" w:color="auto"/>
            <w:bottom w:val="none" w:sz="0" w:space="0" w:color="auto"/>
            <w:right w:val="none" w:sz="0" w:space="0" w:color="auto"/>
          </w:divBdr>
        </w:div>
      </w:divsChild>
    </w:div>
    <w:div w:id="480733004">
      <w:bodyDiv w:val="1"/>
      <w:marLeft w:val="0"/>
      <w:marRight w:val="0"/>
      <w:marTop w:val="0"/>
      <w:marBottom w:val="0"/>
      <w:divBdr>
        <w:top w:val="none" w:sz="0" w:space="0" w:color="auto"/>
        <w:left w:val="none" w:sz="0" w:space="0" w:color="auto"/>
        <w:bottom w:val="none" w:sz="0" w:space="0" w:color="auto"/>
        <w:right w:val="none" w:sz="0" w:space="0" w:color="auto"/>
      </w:divBdr>
      <w:divsChild>
        <w:div w:id="752166179">
          <w:marLeft w:val="547"/>
          <w:marRight w:val="0"/>
          <w:marTop w:val="240"/>
          <w:marBottom w:val="240"/>
          <w:divBdr>
            <w:top w:val="none" w:sz="0" w:space="0" w:color="auto"/>
            <w:left w:val="none" w:sz="0" w:space="0" w:color="auto"/>
            <w:bottom w:val="none" w:sz="0" w:space="0" w:color="auto"/>
            <w:right w:val="none" w:sz="0" w:space="0" w:color="auto"/>
          </w:divBdr>
        </w:div>
        <w:div w:id="1509563615">
          <w:marLeft w:val="547"/>
          <w:marRight w:val="0"/>
          <w:marTop w:val="240"/>
          <w:marBottom w:val="240"/>
          <w:divBdr>
            <w:top w:val="none" w:sz="0" w:space="0" w:color="auto"/>
            <w:left w:val="none" w:sz="0" w:space="0" w:color="auto"/>
            <w:bottom w:val="none" w:sz="0" w:space="0" w:color="auto"/>
            <w:right w:val="none" w:sz="0" w:space="0" w:color="auto"/>
          </w:divBdr>
        </w:div>
        <w:div w:id="1737360217">
          <w:marLeft w:val="547"/>
          <w:marRight w:val="0"/>
          <w:marTop w:val="240"/>
          <w:marBottom w:val="240"/>
          <w:divBdr>
            <w:top w:val="none" w:sz="0" w:space="0" w:color="auto"/>
            <w:left w:val="none" w:sz="0" w:space="0" w:color="auto"/>
            <w:bottom w:val="none" w:sz="0" w:space="0" w:color="auto"/>
            <w:right w:val="none" w:sz="0" w:space="0" w:color="auto"/>
          </w:divBdr>
        </w:div>
      </w:divsChild>
    </w:div>
    <w:div w:id="1124270258">
      <w:bodyDiv w:val="1"/>
      <w:marLeft w:val="0"/>
      <w:marRight w:val="0"/>
      <w:marTop w:val="0"/>
      <w:marBottom w:val="0"/>
      <w:divBdr>
        <w:top w:val="none" w:sz="0" w:space="0" w:color="auto"/>
        <w:left w:val="none" w:sz="0" w:space="0" w:color="auto"/>
        <w:bottom w:val="none" w:sz="0" w:space="0" w:color="auto"/>
        <w:right w:val="none" w:sz="0" w:space="0" w:color="auto"/>
      </w:divBdr>
    </w:div>
    <w:div w:id="1180124974">
      <w:bodyDiv w:val="1"/>
      <w:marLeft w:val="0"/>
      <w:marRight w:val="0"/>
      <w:marTop w:val="0"/>
      <w:marBottom w:val="0"/>
      <w:divBdr>
        <w:top w:val="none" w:sz="0" w:space="0" w:color="auto"/>
        <w:left w:val="none" w:sz="0" w:space="0" w:color="auto"/>
        <w:bottom w:val="none" w:sz="0" w:space="0" w:color="auto"/>
        <w:right w:val="none" w:sz="0" w:space="0" w:color="auto"/>
      </w:divBdr>
    </w:div>
    <w:div w:id="1197353548">
      <w:bodyDiv w:val="1"/>
      <w:marLeft w:val="0"/>
      <w:marRight w:val="0"/>
      <w:marTop w:val="0"/>
      <w:marBottom w:val="0"/>
      <w:divBdr>
        <w:top w:val="none" w:sz="0" w:space="0" w:color="auto"/>
        <w:left w:val="none" w:sz="0" w:space="0" w:color="auto"/>
        <w:bottom w:val="none" w:sz="0" w:space="0" w:color="auto"/>
        <w:right w:val="none" w:sz="0" w:space="0" w:color="auto"/>
      </w:divBdr>
    </w:div>
    <w:div w:id="1319335526">
      <w:bodyDiv w:val="1"/>
      <w:marLeft w:val="0"/>
      <w:marRight w:val="0"/>
      <w:marTop w:val="0"/>
      <w:marBottom w:val="0"/>
      <w:divBdr>
        <w:top w:val="none" w:sz="0" w:space="0" w:color="auto"/>
        <w:left w:val="none" w:sz="0" w:space="0" w:color="auto"/>
        <w:bottom w:val="none" w:sz="0" w:space="0" w:color="auto"/>
        <w:right w:val="none" w:sz="0" w:space="0" w:color="auto"/>
      </w:divBdr>
    </w:div>
    <w:div w:id="1370573199">
      <w:bodyDiv w:val="1"/>
      <w:marLeft w:val="0"/>
      <w:marRight w:val="0"/>
      <w:marTop w:val="0"/>
      <w:marBottom w:val="0"/>
      <w:divBdr>
        <w:top w:val="none" w:sz="0" w:space="0" w:color="auto"/>
        <w:left w:val="none" w:sz="0" w:space="0" w:color="auto"/>
        <w:bottom w:val="none" w:sz="0" w:space="0" w:color="auto"/>
        <w:right w:val="none" w:sz="0" w:space="0" w:color="auto"/>
      </w:divBdr>
    </w:div>
    <w:div w:id="1549225630">
      <w:bodyDiv w:val="1"/>
      <w:marLeft w:val="0"/>
      <w:marRight w:val="0"/>
      <w:marTop w:val="0"/>
      <w:marBottom w:val="0"/>
      <w:divBdr>
        <w:top w:val="none" w:sz="0" w:space="0" w:color="auto"/>
        <w:left w:val="none" w:sz="0" w:space="0" w:color="auto"/>
        <w:bottom w:val="none" w:sz="0" w:space="0" w:color="auto"/>
        <w:right w:val="none" w:sz="0" w:space="0" w:color="auto"/>
      </w:divBdr>
    </w:div>
    <w:div w:id="1683848739">
      <w:bodyDiv w:val="1"/>
      <w:marLeft w:val="0"/>
      <w:marRight w:val="0"/>
      <w:marTop w:val="0"/>
      <w:marBottom w:val="0"/>
      <w:divBdr>
        <w:top w:val="none" w:sz="0" w:space="0" w:color="auto"/>
        <w:left w:val="none" w:sz="0" w:space="0" w:color="auto"/>
        <w:bottom w:val="none" w:sz="0" w:space="0" w:color="auto"/>
        <w:right w:val="none" w:sz="0" w:space="0" w:color="auto"/>
      </w:divBdr>
    </w:div>
    <w:div w:id="1704867067">
      <w:bodyDiv w:val="1"/>
      <w:marLeft w:val="0"/>
      <w:marRight w:val="0"/>
      <w:marTop w:val="0"/>
      <w:marBottom w:val="0"/>
      <w:divBdr>
        <w:top w:val="none" w:sz="0" w:space="0" w:color="auto"/>
        <w:left w:val="none" w:sz="0" w:space="0" w:color="auto"/>
        <w:bottom w:val="none" w:sz="0" w:space="0" w:color="auto"/>
        <w:right w:val="none" w:sz="0" w:space="0" w:color="auto"/>
      </w:divBdr>
    </w:div>
    <w:div w:id="1795522037">
      <w:bodyDiv w:val="1"/>
      <w:marLeft w:val="0"/>
      <w:marRight w:val="0"/>
      <w:marTop w:val="0"/>
      <w:marBottom w:val="0"/>
      <w:divBdr>
        <w:top w:val="none" w:sz="0" w:space="0" w:color="auto"/>
        <w:left w:val="none" w:sz="0" w:space="0" w:color="auto"/>
        <w:bottom w:val="none" w:sz="0" w:space="0" w:color="auto"/>
        <w:right w:val="none" w:sz="0" w:space="0" w:color="auto"/>
      </w:divBdr>
    </w:div>
    <w:div w:id="1821075232">
      <w:bodyDiv w:val="1"/>
      <w:marLeft w:val="0"/>
      <w:marRight w:val="0"/>
      <w:marTop w:val="0"/>
      <w:marBottom w:val="0"/>
      <w:divBdr>
        <w:top w:val="none" w:sz="0" w:space="0" w:color="auto"/>
        <w:left w:val="none" w:sz="0" w:space="0" w:color="auto"/>
        <w:bottom w:val="none" w:sz="0" w:space="0" w:color="auto"/>
        <w:right w:val="none" w:sz="0" w:space="0" w:color="auto"/>
      </w:divBdr>
    </w:div>
    <w:div w:id="1838300788">
      <w:bodyDiv w:val="1"/>
      <w:marLeft w:val="0"/>
      <w:marRight w:val="0"/>
      <w:marTop w:val="0"/>
      <w:marBottom w:val="0"/>
      <w:divBdr>
        <w:top w:val="none" w:sz="0" w:space="0" w:color="auto"/>
        <w:left w:val="none" w:sz="0" w:space="0" w:color="auto"/>
        <w:bottom w:val="none" w:sz="0" w:space="0" w:color="auto"/>
        <w:right w:val="none" w:sz="0" w:space="0" w:color="auto"/>
      </w:divBdr>
    </w:div>
    <w:div w:id="20605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g@creg.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DF4F6653A4F8C489FD3197545AEEE09" ma:contentTypeVersion="16" ma:contentTypeDescription="Crear nuevo documento." ma:contentTypeScope="" ma:versionID="9bceaf09b3d5b9281b827a5307de0bfa">
  <xsd:schema xmlns:xsd="http://www.w3.org/2001/XMLSchema" xmlns:xs="http://www.w3.org/2001/XMLSchema" xmlns:p="http://schemas.microsoft.com/office/2006/metadata/properties" xmlns:ns3="6696398c-3b07-4514-a9e2-f08a08f63f4b" xmlns:ns4="823549ac-5763-4310-a6a3-38a04dbd999e" targetNamespace="http://schemas.microsoft.com/office/2006/metadata/properties" ma:root="true" ma:fieldsID="bbb14598dee6097bc509049c79cd6202" ns3:_="" ns4:_="">
    <xsd:import namespace="6696398c-3b07-4514-a9e2-f08a08f63f4b"/>
    <xsd:import namespace="823549ac-5763-4310-a6a3-38a04dbd99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SearchProperties" minOccurs="0"/>
                <xsd:element ref="ns4:MediaServiceDateTake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6398c-3b07-4514-a9e2-f08a08f63f4b"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549ac-5763-4310-a6a3-38a04dbd99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23549ac-5763-4310-a6a3-38a04dbd999e" xsi:nil="true"/>
  </documentManagement>
</p:properties>
</file>

<file path=customXml/itemProps1.xml><?xml version="1.0" encoding="utf-8"?>
<ds:datastoreItem xmlns:ds="http://schemas.openxmlformats.org/officeDocument/2006/customXml" ds:itemID="{B394A564-E627-4E98-803E-1950672C017E}">
  <ds:schemaRefs>
    <ds:schemaRef ds:uri="http://schemas.openxmlformats.org/officeDocument/2006/bibliography"/>
  </ds:schemaRefs>
</ds:datastoreItem>
</file>

<file path=customXml/itemProps2.xml><?xml version="1.0" encoding="utf-8"?>
<ds:datastoreItem xmlns:ds="http://schemas.openxmlformats.org/officeDocument/2006/customXml" ds:itemID="{ABF2FC0F-4168-4B97-922A-555578E17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6398c-3b07-4514-a9e2-f08a08f63f4b"/>
    <ds:schemaRef ds:uri="823549ac-5763-4310-a6a3-38a04dbd9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6CA04-D040-4CC0-A3D9-B153D5F82F81}">
  <ds:schemaRefs>
    <ds:schemaRef ds:uri="http://schemas.microsoft.com/sharepoint/v3/contenttype/forms"/>
  </ds:schemaRefs>
</ds:datastoreItem>
</file>

<file path=customXml/itemProps4.xml><?xml version="1.0" encoding="utf-8"?>
<ds:datastoreItem xmlns:ds="http://schemas.openxmlformats.org/officeDocument/2006/customXml" ds:itemID="{C021B031-F344-4100-9E7A-EC2C38F07EFE}">
  <ds:schemaRefs>
    <ds:schemaRef ds:uri="http://schemas.microsoft.com/office/2006/metadata/properties"/>
    <ds:schemaRef ds:uri="http://schemas.microsoft.com/office/infopath/2007/PartnerControls"/>
    <ds:schemaRef ds:uri="823549ac-5763-4310-a6a3-38a04dbd999e"/>
  </ds:schemaRefs>
</ds:datastoreItem>
</file>

<file path=docProps/app.xml><?xml version="1.0" encoding="utf-8"?>
<Properties xmlns="http://schemas.openxmlformats.org/officeDocument/2006/extended-properties" xmlns:vt="http://schemas.openxmlformats.org/officeDocument/2006/docPropsVTypes">
  <Template>PLANTILLA1</Template>
  <TotalTime>2</TotalTime>
  <Pages>5</Pages>
  <Words>2089</Words>
  <Characters>10456</Characters>
  <Application>Microsoft Office Word</Application>
  <DocSecurity>0</DocSecurity>
  <Lines>87</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CREG</Company>
  <LinksUpToDate>false</LinksUpToDate>
  <CharactersWithSpaces>12520</CharactersWithSpaces>
  <SharedDoc>false</SharedDoc>
  <HLinks>
    <vt:vector size="6" baseType="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Eliana Rodriguez Fonseca</cp:lastModifiedBy>
  <cp:revision>3</cp:revision>
  <cp:lastPrinted>2023-01-31T20:55:00Z</cp:lastPrinted>
  <dcterms:created xsi:type="dcterms:W3CDTF">2023-09-21T13:54:00Z</dcterms:created>
  <dcterms:modified xsi:type="dcterms:W3CDTF">2023-09-21T18:41:00Z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0x0101009DF4F6653A4F8C489FD3197545AEEE09</vt:lpwstr>
  </property>
</Properties>
</file>