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8240" w14:textId="61F971ED" w:rsidR="00020441" w:rsidRDefault="00020441" w:rsidP="008A0C85">
      <w:pPr>
        <w:pStyle w:val="TDC1"/>
        <w:jc w:val="left"/>
      </w:pPr>
    </w:p>
    <w:p w14:paraId="5DDAA11F" w14:textId="39948709" w:rsidR="00020441" w:rsidRDefault="00020441" w:rsidP="008A0C85">
      <w:pPr>
        <w:jc w:val="left"/>
      </w:pPr>
    </w:p>
    <w:p w14:paraId="2764143B" w14:textId="77777777" w:rsidR="00020441" w:rsidRDefault="00000520" w:rsidP="008A0C85">
      <w:pPr>
        <w:jc w:val="left"/>
      </w:pPr>
      <w:r>
        <w:rPr>
          <w:noProof/>
          <w:sz w:val="20"/>
          <w:lang w:val="es-CO" w:eastAsia="es-CO"/>
        </w:rPr>
        <w:drawing>
          <wp:anchor distT="0" distB="0" distL="114300" distR="114300" simplePos="0" relativeHeight="251657728" behindDoc="0" locked="0" layoutInCell="1" allowOverlap="1" wp14:anchorId="6FEF7975" wp14:editId="51137CBB">
            <wp:simplePos x="0" y="0"/>
            <wp:positionH relativeFrom="column">
              <wp:posOffset>1714500</wp:posOffset>
            </wp:positionH>
            <wp:positionV relativeFrom="paragraph">
              <wp:posOffset>215265</wp:posOffset>
            </wp:positionV>
            <wp:extent cx="2377440" cy="109283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8D979" w14:textId="77777777" w:rsidR="00020441" w:rsidRDefault="00020441" w:rsidP="008A0C85">
      <w:pPr>
        <w:jc w:val="left"/>
      </w:pPr>
    </w:p>
    <w:p w14:paraId="626BE014" w14:textId="77777777" w:rsidR="00020441" w:rsidRDefault="00020441" w:rsidP="008A0C85">
      <w:pPr>
        <w:pStyle w:val="TDC1"/>
        <w:jc w:val="left"/>
      </w:pPr>
    </w:p>
    <w:p w14:paraId="5F805966" w14:textId="120D3A5E" w:rsidR="00020441" w:rsidRDefault="00020441" w:rsidP="008A0C85">
      <w:pPr>
        <w:jc w:val="left"/>
      </w:pPr>
    </w:p>
    <w:p w14:paraId="59F27ABD" w14:textId="77777777" w:rsidR="00020441" w:rsidRDefault="00020441" w:rsidP="008A0C85">
      <w:pPr>
        <w:pStyle w:val="TDC1"/>
        <w:jc w:val="left"/>
      </w:pPr>
    </w:p>
    <w:p w14:paraId="465B98F3" w14:textId="77777777" w:rsidR="00020441" w:rsidRDefault="00020441" w:rsidP="008A0C85">
      <w:pPr>
        <w:jc w:val="left"/>
      </w:pPr>
    </w:p>
    <w:p w14:paraId="43077885" w14:textId="77777777" w:rsidR="00020441" w:rsidRDefault="00020441" w:rsidP="008A0C85">
      <w:pPr>
        <w:jc w:val="left"/>
      </w:pPr>
    </w:p>
    <w:p w14:paraId="10A762C8" w14:textId="77777777" w:rsidR="00020441" w:rsidRDefault="00020441" w:rsidP="008A0C85">
      <w:pPr>
        <w:jc w:val="left"/>
      </w:pPr>
    </w:p>
    <w:p w14:paraId="00854BAE" w14:textId="339EE8E1" w:rsidR="00020441" w:rsidRDefault="00164FA3" w:rsidP="00850434">
      <w:pPr>
        <w:pStyle w:val="Textoindependiente"/>
        <w:rPr>
          <w:bCs/>
          <w:sz w:val="32"/>
        </w:rPr>
      </w:pPr>
      <w:r>
        <w:rPr>
          <w:sz w:val="40"/>
          <w:szCs w:val="40"/>
        </w:rPr>
        <w:t xml:space="preserve">REVISIÓN DEL NUMERAL 4.5 DEL ANEXO </w:t>
      </w:r>
      <w:r w:rsidR="0058472F">
        <w:rPr>
          <w:sz w:val="40"/>
          <w:szCs w:val="40"/>
        </w:rPr>
        <w:t xml:space="preserve">1 </w:t>
      </w:r>
      <w:r>
        <w:rPr>
          <w:sz w:val="40"/>
          <w:szCs w:val="40"/>
        </w:rPr>
        <w:t>DE LA RESOLUCIÓN</w:t>
      </w:r>
      <w:r w:rsidR="00D57F2B" w:rsidRPr="00F7516E">
        <w:rPr>
          <w:sz w:val="40"/>
          <w:szCs w:val="40"/>
        </w:rPr>
        <w:t xml:space="preserve"> CREG 0</w:t>
      </w:r>
      <w:r>
        <w:rPr>
          <w:sz w:val="40"/>
          <w:szCs w:val="40"/>
        </w:rPr>
        <w:t>22</w:t>
      </w:r>
      <w:r w:rsidR="00D57F2B" w:rsidRPr="00F7516E">
        <w:rPr>
          <w:sz w:val="40"/>
          <w:szCs w:val="40"/>
        </w:rPr>
        <w:t xml:space="preserve"> DE 20</w:t>
      </w:r>
      <w:r>
        <w:rPr>
          <w:sz w:val="40"/>
          <w:szCs w:val="40"/>
        </w:rPr>
        <w:t>01</w:t>
      </w:r>
    </w:p>
    <w:p w14:paraId="14B50E75" w14:textId="77777777" w:rsidR="00020441" w:rsidRDefault="00020441" w:rsidP="008A0C85">
      <w:pPr>
        <w:pStyle w:val="TDC1"/>
        <w:jc w:val="left"/>
      </w:pPr>
    </w:p>
    <w:p w14:paraId="00F8537C" w14:textId="77777777" w:rsidR="00020441" w:rsidRDefault="00020441" w:rsidP="008A0C85">
      <w:pPr>
        <w:jc w:val="left"/>
      </w:pPr>
    </w:p>
    <w:p w14:paraId="51A764C5" w14:textId="77777777" w:rsidR="00020441" w:rsidRDefault="00020441" w:rsidP="008A0C85">
      <w:pPr>
        <w:jc w:val="left"/>
      </w:pPr>
    </w:p>
    <w:p w14:paraId="1DD1BBEA" w14:textId="42A10538" w:rsidR="00020441" w:rsidRDefault="00020441" w:rsidP="008A0C85">
      <w:pPr>
        <w:jc w:val="left"/>
      </w:pPr>
    </w:p>
    <w:p w14:paraId="1222BB47" w14:textId="77777777" w:rsidR="00020441" w:rsidRDefault="00020441" w:rsidP="008A0C85">
      <w:pPr>
        <w:jc w:val="left"/>
      </w:pPr>
    </w:p>
    <w:p w14:paraId="59776045" w14:textId="77777777" w:rsidR="00020441" w:rsidRDefault="00020441" w:rsidP="008A0C85">
      <w:pPr>
        <w:jc w:val="left"/>
      </w:pPr>
    </w:p>
    <w:p w14:paraId="53B509DC" w14:textId="3DB8C3AD" w:rsidR="00020441" w:rsidRDefault="00020441" w:rsidP="008A0C85">
      <w:pPr>
        <w:jc w:val="left"/>
        <w:rPr>
          <w:b/>
          <w:caps/>
          <w:sz w:val="36"/>
          <w:lang w:val="es-ES"/>
        </w:rPr>
      </w:pPr>
      <w:r>
        <w:rPr>
          <w:b/>
          <w:caps/>
          <w:sz w:val="28"/>
          <w:lang w:val="es-ES"/>
        </w:rPr>
        <w:t xml:space="preserve">DOCUMENTO </w:t>
      </w:r>
      <w:r>
        <w:rPr>
          <w:b/>
          <w:caps/>
          <w:sz w:val="40"/>
          <w:lang w:val="es-ES"/>
        </w:rPr>
        <w:t>CREG-</w:t>
      </w:r>
      <w:r w:rsidR="004E614F">
        <w:rPr>
          <w:rFonts w:cs="Arial"/>
          <w:b/>
          <w:bCs/>
          <w:sz w:val="40"/>
          <w:szCs w:val="40"/>
          <w:lang w:val="es-MX"/>
        </w:rPr>
        <w:t xml:space="preserve"> 901 020</w:t>
      </w:r>
    </w:p>
    <w:p w14:paraId="44F07507" w14:textId="48F1F2F2" w:rsidR="000B5AD2" w:rsidRDefault="00F40D91" w:rsidP="008A0C85">
      <w:pPr>
        <w:tabs>
          <w:tab w:val="left" w:pos="9142"/>
        </w:tabs>
        <w:ind w:left="9142" w:hanging="9142"/>
        <w:jc w:val="left"/>
        <w:rPr>
          <w:rFonts w:cs="Arial"/>
          <w:b/>
          <w:bCs/>
          <w:sz w:val="28"/>
          <w:szCs w:val="28"/>
          <w:lang w:val="es-MX"/>
        </w:rPr>
      </w:pPr>
      <w:r w:rsidRPr="00F40D91">
        <w:rPr>
          <w:rFonts w:cs="Arial"/>
          <w:b/>
          <w:bCs/>
          <w:sz w:val="28"/>
          <w:szCs w:val="28"/>
          <w:lang w:val="es-MX"/>
        </w:rPr>
        <w:fldChar w:fldCharType="begin"/>
      </w:r>
      <w:r w:rsidRPr="00F40D91">
        <w:rPr>
          <w:rFonts w:cs="Arial"/>
          <w:b/>
          <w:bCs/>
          <w:sz w:val="28"/>
          <w:szCs w:val="28"/>
          <w:lang w:val="es-MX"/>
        </w:rPr>
        <w:instrText xml:space="preserve"> MERGEFIELD  Fecha  \* MERGEFORMAT </w:instrText>
      </w:r>
      <w:r w:rsidRPr="00F40D91">
        <w:rPr>
          <w:rFonts w:cs="Arial"/>
          <w:b/>
          <w:bCs/>
          <w:sz w:val="28"/>
          <w:szCs w:val="28"/>
          <w:lang w:val="es-MX"/>
        </w:rPr>
        <w:fldChar w:fldCharType="separate"/>
      </w:r>
      <w:r w:rsidR="004E614F">
        <w:rPr>
          <w:rFonts w:cs="Arial"/>
          <w:b/>
          <w:bCs/>
          <w:noProof/>
          <w:sz w:val="28"/>
          <w:szCs w:val="28"/>
          <w:lang w:val="es-MX"/>
        </w:rPr>
        <w:t>22</w:t>
      </w:r>
      <w:r w:rsidR="00F45FE3">
        <w:rPr>
          <w:rFonts w:cs="Arial"/>
          <w:b/>
          <w:bCs/>
          <w:noProof/>
          <w:sz w:val="28"/>
          <w:szCs w:val="28"/>
          <w:lang w:val="es-MX"/>
        </w:rPr>
        <w:t xml:space="preserve"> </w:t>
      </w:r>
      <w:r w:rsidR="004E614F">
        <w:rPr>
          <w:rFonts w:cs="Arial"/>
          <w:b/>
          <w:bCs/>
          <w:noProof/>
          <w:sz w:val="28"/>
          <w:szCs w:val="28"/>
          <w:lang w:val="es-MX"/>
        </w:rPr>
        <w:t>DE SEPTIMBRE DE</w:t>
      </w:r>
      <w:r w:rsidR="00F45FE3">
        <w:rPr>
          <w:rFonts w:cs="Arial"/>
          <w:b/>
          <w:bCs/>
          <w:noProof/>
          <w:sz w:val="28"/>
          <w:szCs w:val="28"/>
          <w:lang w:val="es-MX"/>
        </w:rPr>
        <w:t xml:space="preserve"> 2023</w:t>
      </w:r>
      <w:r w:rsidRPr="00F40D91">
        <w:rPr>
          <w:rFonts w:cs="Arial"/>
          <w:b/>
          <w:bCs/>
          <w:sz w:val="28"/>
          <w:szCs w:val="28"/>
          <w:lang w:val="es-MX"/>
        </w:rPr>
        <w:fldChar w:fldCharType="end"/>
      </w:r>
      <w:r w:rsidR="009C08C1">
        <w:rPr>
          <w:rFonts w:cs="Arial"/>
          <w:b/>
          <w:bCs/>
          <w:sz w:val="28"/>
          <w:szCs w:val="28"/>
          <w:lang w:val="es-MX"/>
        </w:rPr>
        <w:t xml:space="preserve">      </w:t>
      </w:r>
      <w:r w:rsidR="009C08C1">
        <w:rPr>
          <w:rFonts w:cs="Arial"/>
          <w:b/>
          <w:bCs/>
          <w:sz w:val="28"/>
          <w:szCs w:val="28"/>
          <w:lang w:val="es-MX"/>
        </w:rPr>
        <w:tab/>
      </w:r>
    </w:p>
    <w:p w14:paraId="18F1E9BA" w14:textId="075CEE6C" w:rsidR="00E166D7" w:rsidRDefault="00E166D7" w:rsidP="008A0C85">
      <w:pPr>
        <w:tabs>
          <w:tab w:val="left" w:pos="9142"/>
        </w:tabs>
        <w:jc w:val="left"/>
        <w:rPr>
          <w:rFonts w:cs="Arial"/>
          <w:sz w:val="22"/>
          <w:szCs w:val="22"/>
          <w:lang w:val="es-MX"/>
        </w:rPr>
      </w:pPr>
    </w:p>
    <w:p w14:paraId="6E829A66" w14:textId="77777777" w:rsidR="0010544E" w:rsidRPr="00F40D91" w:rsidRDefault="0010544E" w:rsidP="008A0C85">
      <w:pPr>
        <w:tabs>
          <w:tab w:val="left" w:pos="9142"/>
        </w:tabs>
        <w:ind w:left="9142" w:hanging="9142"/>
        <w:jc w:val="left"/>
        <w:rPr>
          <w:sz w:val="28"/>
          <w:szCs w:val="28"/>
        </w:rPr>
      </w:pPr>
    </w:p>
    <w:p w14:paraId="63B7394E" w14:textId="3651FF39" w:rsidR="00020441" w:rsidRDefault="00020441" w:rsidP="008A0C85">
      <w:pPr>
        <w:pStyle w:val="TDC1"/>
        <w:jc w:val="left"/>
      </w:pPr>
    </w:p>
    <w:p w14:paraId="071E5D13" w14:textId="02B90B4C" w:rsidR="00020441" w:rsidRDefault="00020441" w:rsidP="008A0C85">
      <w:pPr>
        <w:ind w:left="4956"/>
        <w:jc w:val="left"/>
        <w:rPr>
          <w:bCs/>
        </w:rPr>
      </w:pPr>
    </w:p>
    <w:p w14:paraId="32E55F6B" w14:textId="77777777" w:rsidR="00020441" w:rsidRDefault="00020441" w:rsidP="008A0C85">
      <w:pPr>
        <w:ind w:left="4956"/>
        <w:jc w:val="left"/>
        <w:rPr>
          <w:b/>
        </w:rPr>
      </w:pPr>
    </w:p>
    <w:tbl>
      <w:tblPr>
        <w:tblW w:w="0" w:type="auto"/>
        <w:tblInd w:w="4956" w:type="dxa"/>
        <w:tblCellMar>
          <w:left w:w="70" w:type="dxa"/>
          <w:right w:w="70" w:type="dxa"/>
        </w:tblCellMar>
        <w:tblLook w:val="0000" w:firstRow="0" w:lastRow="0" w:firstColumn="0" w:lastColumn="0" w:noHBand="0" w:noVBand="0"/>
      </w:tblPr>
      <w:tblGrid>
        <w:gridCol w:w="4024"/>
      </w:tblGrid>
      <w:tr w:rsidR="00020441" w14:paraId="5FB9C57C" w14:textId="77777777">
        <w:tc>
          <w:tcPr>
            <w:tcW w:w="4024" w:type="dxa"/>
          </w:tcPr>
          <w:p w14:paraId="248A6A95" w14:textId="77777777" w:rsidR="0077100C" w:rsidRDefault="0077100C" w:rsidP="008A0C85">
            <w:pPr>
              <w:jc w:val="left"/>
              <w:rPr>
                <w:b/>
                <w:bCs/>
              </w:rPr>
            </w:pPr>
          </w:p>
          <w:p w14:paraId="6D27A061" w14:textId="77777777" w:rsidR="0077100C" w:rsidRDefault="0077100C" w:rsidP="008A0C85">
            <w:pPr>
              <w:jc w:val="left"/>
              <w:rPr>
                <w:b/>
                <w:bCs/>
              </w:rPr>
            </w:pPr>
          </w:p>
          <w:p w14:paraId="2440A9AB" w14:textId="77777777" w:rsidR="00020441" w:rsidRDefault="00020441" w:rsidP="008A0C85">
            <w:pPr>
              <w:jc w:val="left"/>
              <w:rPr>
                <w:b/>
                <w:bCs/>
              </w:rPr>
            </w:pPr>
            <w:r>
              <w:rPr>
                <w:b/>
                <w:bCs/>
              </w:rPr>
              <w:t>CIRCULACIÓN:</w:t>
            </w:r>
          </w:p>
        </w:tc>
      </w:tr>
      <w:tr w:rsidR="00020441" w14:paraId="6A659732" w14:textId="77777777">
        <w:tc>
          <w:tcPr>
            <w:tcW w:w="4024" w:type="dxa"/>
          </w:tcPr>
          <w:p w14:paraId="74DA0102" w14:textId="77777777" w:rsidR="00020441" w:rsidRDefault="00020441" w:rsidP="008A0C85">
            <w:pPr>
              <w:jc w:val="left"/>
              <w:rPr>
                <w:b/>
                <w:bCs/>
              </w:rPr>
            </w:pPr>
            <w:r>
              <w:rPr>
                <w:b/>
                <w:bCs/>
              </w:rPr>
              <w:t>MIEMBROS DE LA COMISIÓN DE</w:t>
            </w:r>
          </w:p>
        </w:tc>
      </w:tr>
      <w:tr w:rsidR="00020441" w14:paraId="2BED25F3" w14:textId="77777777">
        <w:tc>
          <w:tcPr>
            <w:tcW w:w="4024" w:type="dxa"/>
          </w:tcPr>
          <w:p w14:paraId="5666418A" w14:textId="0FF31111" w:rsidR="00020441" w:rsidRDefault="00020441" w:rsidP="008A0C85">
            <w:pPr>
              <w:tabs>
                <w:tab w:val="left" w:pos="4606"/>
                <w:tab w:val="left" w:pos="9142"/>
              </w:tabs>
              <w:jc w:val="left"/>
              <w:rPr>
                <w:b/>
                <w:bCs/>
              </w:rPr>
            </w:pPr>
            <w:r>
              <w:rPr>
                <w:b/>
                <w:bCs/>
              </w:rPr>
              <w:t>REGULACIÓN DE ENERGÍA Y GAS</w:t>
            </w:r>
          </w:p>
        </w:tc>
      </w:tr>
    </w:tbl>
    <w:p w14:paraId="43D59473" w14:textId="77777777" w:rsidR="00E7209B" w:rsidRDefault="00E7209B" w:rsidP="008A0C85">
      <w:pPr>
        <w:pStyle w:val="Ttulo1"/>
        <w:keepNext w:val="0"/>
        <w:numPr>
          <w:ilvl w:val="0"/>
          <w:numId w:val="0"/>
        </w:numPr>
        <w:ind w:left="431" w:hanging="431"/>
        <w:jc w:val="left"/>
      </w:pPr>
    </w:p>
    <w:p w14:paraId="73ACC9F4" w14:textId="77777777" w:rsidR="00E7209B" w:rsidRDefault="00020441" w:rsidP="008A0C85">
      <w:pPr>
        <w:pStyle w:val="Ttulo1"/>
        <w:keepNext w:val="0"/>
        <w:numPr>
          <w:ilvl w:val="0"/>
          <w:numId w:val="0"/>
        </w:numPr>
        <w:ind w:left="431" w:hanging="431"/>
        <w:jc w:val="left"/>
      </w:pPr>
      <w:r>
        <w:br w:type="page"/>
      </w:r>
      <w:bookmarkStart w:id="0" w:name="_Toc417034533"/>
      <w:bookmarkStart w:id="1" w:name="_Toc429486657"/>
    </w:p>
    <w:p w14:paraId="46CC8F19" w14:textId="77777777" w:rsidR="00E7209B" w:rsidRDefault="00E7209B" w:rsidP="008A0C85">
      <w:pPr>
        <w:pStyle w:val="Ttulo1"/>
        <w:numPr>
          <w:ilvl w:val="0"/>
          <w:numId w:val="0"/>
        </w:numPr>
        <w:ind w:left="432" w:hanging="432"/>
        <w:jc w:val="left"/>
      </w:pPr>
    </w:p>
    <w:p w14:paraId="309A9CDB" w14:textId="77777777" w:rsidR="00E7209B" w:rsidRDefault="00E7209B" w:rsidP="008A0C85">
      <w:pPr>
        <w:pStyle w:val="Ttulo1"/>
        <w:numPr>
          <w:ilvl w:val="0"/>
          <w:numId w:val="0"/>
        </w:numPr>
        <w:ind w:left="432" w:hanging="432"/>
        <w:jc w:val="left"/>
      </w:pPr>
    </w:p>
    <w:bookmarkEnd w:id="0"/>
    <w:bookmarkEnd w:id="1"/>
    <w:p w14:paraId="1660D085" w14:textId="77777777" w:rsidR="00D57F2B" w:rsidRPr="007256E5" w:rsidRDefault="00D57F2B" w:rsidP="008A0C85">
      <w:pPr>
        <w:jc w:val="left"/>
        <w:rPr>
          <w:rFonts w:cs="Arial"/>
          <w:b/>
          <w:sz w:val="28"/>
          <w:szCs w:val="28"/>
        </w:rPr>
      </w:pPr>
      <w:r w:rsidRPr="007256E5">
        <w:rPr>
          <w:rFonts w:cs="Arial"/>
          <w:b/>
          <w:sz w:val="28"/>
          <w:szCs w:val="28"/>
        </w:rPr>
        <w:t>CONTENIDO</w:t>
      </w:r>
    </w:p>
    <w:sdt>
      <w:sdtPr>
        <w:rPr>
          <w:rFonts w:cs="Arial"/>
          <w:lang w:val="es-ES"/>
        </w:rPr>
        <w:id w:val="-2028864548"/>
        <w:docPartObj>
          <w:docPartGallery w:val="Table of Contents"/>
          <w:docPartUnique/>
        </w:docPartObj>
      </w:sdtPr>
      <w:sdtEndPr>
        <w:rPr>
          <w:b/>
          <w:bCs/>
        </w:rPr>
      </w:sdtEndPr>
      <w:sdtContent>
        <w:p w14:paraId="1B2C316C" w14:textId="77777777" w:rsidR="00D57F2B" w:rsidRPr="007256E5" w:rsidRDefault="00D57F2B" w:rsidP="008A0C85">
          <w:pPr>
            <w:jc w:val="left"/>
            <w:rPr>
              <w:rFonts w:cs="Arial"/>
            </w:rPr>
          </w:pPr>
        </w:p>
        <w:p w14:paraId="4604A04B" w14:textId="7A473A12" w:rsidR="00F45FE3" w:rsidRDefault="00D57F2B">
          <w:pPr>
            <w:pStyle w:val="TDC1"/>
            <w:rPr>
              <w:rFonts w:asciiTheme="minorHAnsi" w:eastAsiaTheme="minorEastAsia" w:hAnsiTheme="minorHAnsi" w:cstheme="minorBidi"/>
              <w:kern w:val="2"/>
              <w:sz w:val="22"/>
              <w:szCs w:val="22"/>
              <w:lang w:val="es-CO" w:eastAsia="es-CO"/>
              <w14:ligatures w14:val="standardContextual"/>
            </w:rPr>
          </w:pPr>
          <w:r w:rsidRPr="007256E5">
            <w:rPr>
              <w:rFonts w:cs="Arial"/>
              <w:b/>
              <w:bCs/>
            </w:rPr>
            <w:fldChar w:fldCharType="begin"/>
          </w:r>
          <w:r w:rsidRPr="007256E5">
            <w:rPr>
              <w:rFonts w:cs="Arial"/>
              <w:b/>
              <w:bCs/>
            </w:rPr>
            <w:instrText xml:space="preserve"> TOC \o "1-3" \h \z \u </w:instrText>
          </w:r>
          <w:r w:rsidRPr="007256E5">
            <w:rPr>
              <w:rFonts w:cs="Arial"/>
              <w:b/>
              <w:bCs/>
            </w:rPr>
            <w:fldChar w:fldCharType="separate"/>
          </w:r>
          <w:hyperlink w:anchor="_Toc144837713" w:history="1">
            <w:r w:rsidR="00F45FE3" w:rsidRPr="00A659B6">
              <w:rPr>
                <w:rStyle w:val="Hipervnculo"/>
                <w:rFonts w:cs="Arial"/>
              </w:rPr>
              <w:t>1.</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ANTECEDENTES</w:t>
            </w:r>
            <w:r w:rsidR="00F45FE3">
              <w:rPr>
                <w:webHidden/>
              </w:rPr>
              <w:tab/>
            </w:r>
            <w:r w:rsidR="00F45FE3">
              <w:rPr>
                <w:webHidden/>
              </w:rPr>
              <w:fldChar w:fldCharType="begin"/>
            </w:r>
            <w:r w:rsidR="00F45FE3">
              <w:rPr>
                <w:webHidden/>
              </w:rPr>
              <w:instrText xml:space="preserve"> PAGEREF _Toc144837713 \h </w:instrText>
            </w:r>
            <w:r w:rsidR="00F45FE3">
              <w:rPr>
                <w:webHidden/>
              </w:rPr>
            </w:r>
            <w:r w:rsidR="00F45FE3">
              <w:rPr>
                <w:webHidden/>
              </w:rPr>
              <w:fldChar w:fldCharType="separate"/>
            </w:r>
            <w:r w:rsidR="00F45FE3">
              <w:rPr>
                <w:webHidden/>
              </w:rPr>
              <w:t>3</w:t>
            </w:r>
            <w:r w:rsidR="00F45FE3">
              <w:rPr>
                <w:webHidden/>
              </w:rPr>
              <w:fldChar w:fldCharType="end"/>
            </w:r>
          </w:hyperlink>
        </w:p>
        <w:p w14:paraId="3A862E78" w14:textId="1458F1B7" w:rsidR="00F45FE3" w:rsidRDefault="00DA23E9">
          <w:pPr>
            <w:pStyle w:val="TDC1"/>
            <w:rPr>
              <w:rFonts w:asciiTheme="minorHAnsi" w:eastAsiaTheme="minorEastAsia" w:hAnsiTheme="minorHAnsi" w:cstheme="minorBidi"/>
              <w:kern w:val="2"/>
              <w:sz w:val="22"/>
              <w:szCs w:val="22"/>
              <w:lang w:val="es-CO" w:eastAsia="es-CO"/>
              <w14:ligatures w14:val="standardContextual"/>
            </w:rPr>
          </w:pPr>
          <w:hyperlink w:anchor="_Toc144837714" w:history="1">
            <w:r w:rsidR="00F45FE3" w:rsidRPr="00A659B6">
              <w:rPr>
                <w:rStyle w:val="Hipervnculo"/>
                <w:rFonts w:cs="Arial"/>
              </w:rPr>
              <w:t>2.</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DEFINICIÓN DEL PROBLEMA</w:t>
            </w:r>
            <w:r w:rsidR="00F45FE3">
              <w:rPr>
                <w:webHidden/>
              </w:rPr>
              <w:tab/>
            </w:r>
            <w:r w:rsidR="00F45FE3">
              <w:rPr>
                <w:webHidden/>
              </w:rPr>
              <w:fldChar w:fldCharType="begin"/>
            </w:r>
            <w:r w:rsidR="00F45FE3">
              <w:rPr>
                <w:webHidden/>
              </w:rPr>
              <w:instrText xml:space="preserve"> PAGEREF _Toc144837714 \h </w:instrText>
            </w:r>
            <w:r w:rsidR="00F45FE3">
              <w:rPr>
                <w:webHidden/>
              </w:rPr>
            </w:r>
            <w:r w:rsidR="00F45FE3">
              <w:rPr>
                <w:webHidden/>
              </w:rPr>
              <w:fldChar w:fldCharType="separate"/>
            </w:r>
            <w:r w:rsidR="00F45FE3">
              <w:rPr>
                <w:webHidden/>
              </w:rPr>
              <w:t>5</w:t>
            </w:r>
            <w:r w:rsidR="00F45FE3">
              <w:rPr>
                <w:webHidden/>
              </w:rPr>
              <w:fldChar w:fldCharType="end"/>
            </w:r>
          </w:hyperlink>
        </w:p>
        <w:p w14:paraId="48B18789" w14:textId="69EF721B" w:rsidR="00F45FE3" w:rsidRDefault="00DA23E9">
          <w:pPr>
            <w:pStyle w:val="TDC1"/>
            <w:rPr>
              <w:rFonts w:asciiTheme="minorHAnsi" w:eastAsiaTheme="minorEastAsia" w:hAnsiTheme="minorHAnsi" w:cstheme="minorBidi"/>
              <w:kern w:val="2"/>
              <w:sz w:val="22"/>
              <w:szCs w:val="22"/>
              <w:lang w:val="es-CO" w:eastAsia="es-CO"/>
              <w14:ligatures w14:val="standardContextual"/>
            </w:rPr>
          </w:pPr>
          <w:hyperlink w:anchor="_Toc144837715" w:history="1">
            <w:r w:rsidR="00F45FE3" w:rsidRPr="00A659B6">
              <w:rPr>
                <w:rStyle w:val="Hipervnculo"/>
                <w:rFonts w:cs="Arial"/>
              </w:rPr>
              <w:t>3.</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OBJETIVOS</w:t>
            </w:r>
            <w:r w:rsidR="00F45FE3">
              <w:rPr>
                <w:webHidden/>
              </w:rPr>
              <w:tab/>
            </w:r>
            <w:r w:rsidR="00F45FE3">
              <w:rPr>
                <w:webHidden/>
              </w:rPr>
              <w:fldChar w:fldCharType="begin"/>
            </w:r>
            <w:r w:rsidR="00F45FE3">
              <w:rPr>
                <w:webHidden/>
              </w:rPr>
              <w:instrText xml:space="preserve"> PAGEREF _Toc144837715 \h </w:instrText>
            </w:r>
            <w:r w:rsidR="00F45FE3">
              <w:rPr>
                <w:webHidden/>
              </w:rPr>
            </w:r>
            <w:r w:rsidR="00F45FE3">
              <w:rPr>
                <w:webHidden/>
              </w:rPr>
              <w:fldChar w:fldCharType="separate"/>
            </w:r>
            <w:r w:rsidR="00F45FE3">
              <w:rPr>
                <w:webHidden/>
              </w:rPr>
              <w:t>6</w:t>
            </w:r>
            <w:r w:rsidR="00F45FE3">
              <w:rPr>
                <w:webHidden/>
              </w:rPr>
              <w:fldChar w:fldCharType="end"/>
            </w:r>
          </w:hyperlink>
        </w:p>
        <w:p w14:paraId="5DA979B8" w14:textId="7F3C2E8E" w:rsidR="00F45FE3" w:rsidRDefault="00DA23E9">
          <w:pPr>
            <w:pStyle w:val="TDC1"/>
            <w:rPr>
              <w:rFonts w:asciiTheme="minorHAnsi" w:eastAsiaTheme="minorEastAsia" w:hAnsiTheme="minorHAnsi" w:cstheme="minorBidi"/>
              <w:kern w:val="2"/>
              <w:sz w:val="22"/>
              <w:szCs w:val="22"/>
              <w:lang w:val="es-CO" w:eastAsia="es-CO"/>
              <w14:ligatures w14:val="standardContextual"/>
            </w:rPr>
          </w:pPr>
          <w:hyperlink w:anchor="_Toc144837716" w:history="1">
            <w:r w:rsidR="00F45FE3" w:rsidRPr="00A659B6">
              <w:rPr>
                <w:rStyle w:val="Hipervnculo"/>
                <w:rFonts w:cs="Arial"/>
              </w:rPr>
              <w:t>4.</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ANÁLISIS DE ALTERNATIVAS</w:t>
            </w:r>
            <w:r w:rsidR="00F45FE3">
              <w:rPr>
                <w:webHidden/>
              </w:rPr>
              <w:tab/>
            </w:r>
            <w:r w:rsidR="00F45FE3">
              <w:rPr>
                <w:webHidden/>
              </w:rPr>
              <w:fldChar w:fldCharType="begin"/>
            </w:r>
            <w:r w:rsidR="00F45FE3">
              <w:rPr>
                <w:webHidden/>
              </w:rPr>
              <w:instrText xml:space="preserve"> PAGEREF _Toc144837716 \h </w:instrText>
            </w:r>
            <w:r w:rsidR="00F45FE3">
              <w:rPr>
                <w:webHidden/>
              </w:rPr>
            </w:r>
            <w:r w:rsidR="00F45FE3">
              <w:rPr>
                <w:webHidden/>
              </w:rPr>
              <w:fldChar w:fldCharType="separate"/>
            </w:r>
            <w:r w:rsidR="00F45FE3">
              <w:rPr>
                <w:webHidden/>
              </w:rPr>
              <w:t>6</w:t>
            </w:r>
            <w:r w:rsidR="00F45FE3">
              <w:rPr>
                <w:webHidden/>
              </w:rPr>
              <w:fldChar w:fldCharType="end"/>
            </w:r>
          </w:hyperlink>
        </w:p>
        <w:p w14:paraId="49AF77B6" w14:textId="005F54B8"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17" w:history="1">
            <w:r w:rsidR="00F45FE3" w:rsidRPr="00A659B6">
              <w:rPr>
                <w:rStyle w:val="Hipervnculo"/>
              </w:rPr>
              <w:t>4.1</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Alternativa 1. Mantener la forma de actualizar las garantías</w:t>
            </w:r>
            <w:r w:rsidR="00F45FE3">
              <w:rPr>
                <w:webHidden/>
              </w:rPr>
              <w:tab/>
            </w:r>
            <w:r w:rsidR="00F45FE3">
              <w:rPr>
                <w:webHidden/>
              </w:rPr>
              <w:fldChar w:fldCharType="begin"/>
            </w:r>
            <w:r w:rsidR="00F45FE3">
              <w:rPr>
                <w:webHidden/>
              </w:rPr>
              <w:instrText xml:space="preserve"> PAGEREF _Toc144837717 \h </w:instrText>
            </w:r>
            <w:r w:rsidR="00F45FE3">
              <w:rPr>
                <w:webHidden/>
              </w:rPr>
            </w:r>
            <w:r w:rsidR="00F45FE3">
              <w:rPr>
                <w:webHidden/>
              </w:rPr>
              <w:fldChar w:fldCharType="separate"/>
            </w:r>
            <w:r w:rsidR="00F45FE3">
              <w:rPr>
                <w:webHidden/>
              </w:rPr>
              <w:t>6</w:t>
            </w:r>
            <w:r w:rsidR="00F45FE3">
              <w:rPr>
                <w:webHidden/>
              </w:rPr>
              <w:fldChar w:fldCharType="end"/>
            </w:r>
          </w:hyperlink>
        </w:p>
        <w:p w14:paraId="6B906239" w14:textId="79E23E7B"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18" w:history="1">
            <w:r w:rsidR="00F45FE3" w:rsidRPr="00A659B6">
              <w:rPr>
                <w:rStyle w:val="Hipervnculo"/>
              </w:rPr>
              <w:t>4.2</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Alternativa 2. Proponer un mecanismo de ajuste</w:t>
            </w:r>
            <w:r w:rsidR="00F45FE3">
              <w:rPr>
                <w:webHidden/>
              </w:rPr>
              <w:tab/>
            </w:r>
            <w:r w:rsidR="00F45FE3">
              <w:rPr>
                <w:webHidden/>
              </w:rPr>
              <w:fldChar w:fldCharType="begin"/>
            </w:r>
            <w:r w:rsidR="00F45FE3">
              <w:rPr>
                <w:webHidden/>
              </w:rPr>
              <w:instrText xml:space="preserve"> PAGEREF _Toc144837718 \h </w:instrText>
            </w:r>
            <w:r w:rsidR="00F45FE3">
              <w:rPr>
                <w:webHidden/>
              </w:rPr>
            </w:r>
            <w:r w:rsidR="00F45FE3">
              <w:rPr>
                <w:webHidden/>
              </w:rPr>
              <w:fldChar w:fldCharType="separate"/>
            </w:r>
            <w:r w:rsidR="00F45FE3">
              <w:rPr>
                <w:webHidden/>
              </w:rPr>
              <w:t>6</w:t>
            </w:r>
            <w:r w:rsidR="00F45FE3">
              <w:rPr>
                <w:webHidden/>
              </w:rPr>
              <w:fldChar w:fldCharType="end"/>
            </w:r>
          </w:hyperlink>
        </w:p>
        <w:p w14:paraId="1D150E22" w14:textId="73739619" w:rsidR="00F45FE3" w:rsidRDefault="00DA23E9">
          <w:pPr>
            <w:pStyle w:val="TDC1"/>
            <w:rPr>
              <w:rFonts w:asciiTheme="minorHAnsi" w:eastAsiaTheme="minorEastAsia" w:hAnsiTheme="minorHAnsi" w:cstheme="minorBidi"/>
              <w:kern w:val="2"/>
              <w:sz w:val="22"/>
              <w:szCs w:val="22"/>
              <w:lang w:val="es-CO" w:eastAsia="es-CO"/>
              <w14:ligatures w14:val="standardContextual"/>
            </w:rPr>
          </w:pPr>
          <w:hyperlink w:anchor="_Toc144837719" w:history="1">
            <w:r w:rsidR="00F45FE3" w:rsidRPr="00A659B6">
              <w:rPr>
                <w:rStyle w:val="Hipervnculo"/>
                <w:rFonts w:cs="Arial"/>
              </w:rPr>
              <w:t>5.</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CONSULTA PÚBLICA</w:t>
            </w:r>
            <w:r w:rsidR="00F45FE3">
              <w:rPr>
                <w:webHidden/>
              </w:rPr>
              <w:tab/>
            </w:r>
            <w:r w:rsidR="00F45FE3">
              <w:rPr>
                <w:webHidden/>
              </w:rPr>
              <w:fldChar w:fldCharType="begin"/>
            </w:r>
            <w:r w:rsidR="00F45FE3">
              <w:rPr>
                <w:webHidden/>
              </w:rPr>
              <w:instrText xml:space="preserve"> PAGEREF _Toc144837719 \h </w:instrText>
            </w:r>
            <w:r w:rsidR="00F45FE3">
              <w:rPr>
                <w:webHidden/>
              </w:rPr>
            </w:r>
            <w:r w:rsidR="00F45FE3">
              <w:rPr>
                <w:webHidden/>
              </w:rPr>
              <w:fldChar w:fldCharType="separate"/>
            </w:r>
            <w:r w:rsidR="00F45FE3">
              <w:rPr>
                <w:webHidden/>
              </w:rPr>
              <w:t>7</w:t>
            </w:r>
            <w:r w:rsidR="00F45FE3">
              <w:rPr>
                <w:webHidden/>
              </w:rPr>
              <w:fldChar w:fldCharType="end"/>
            </w:r>
          </w:hyperlink>
        </w:p>
        <w:p w14:paraId="4BCBF7B5" w14:textId="2956B797" w:rsidR="00F45FE3" w:rsidRDefault="00DA23E9">
          <w:pPr>
            <w:pStyle w:val="TDC1"/>
            <w:rPr>
              <w:rFonts w:asciiTheme="minorHAnsi" w:eastAsiaTheme="minorEastAsia" w:hAnsiTheme="minorHAnsi" w:cstheme="minorBidi"/>
              <w:kern w:val="2"/>
              <w:sz w:val="22"/>
              <w:szCs w:val="22"/>
              <w:lang w:val="es-CO" w:eastAsia="es-CO"/>
              <w14:ligatures w14:val="standardContextual"/>
            </w:rPr>
          </w:pPr>
          <w:hyperlink w:anchor="_Toc144837720" w:history="1">
            <w:r w:rsidR="00F45FE3" w:rsidRPr="00A659B6">
              <w:rPr>
                <w:rStyle w:val="Hipervnculo"/>
                <w:rFonts w:cs="Arial"/>
              </w:rPr>
              <w:t>6.</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PROPUESTA REGULATORIA</w:t>
            </w:r>
            <w:r w:rsidR="00F45FE3">
              <w:rPr>
                <w:webHidden/>
              </w:rPr>
              <w:tab/>
            </w:r>
            <w:r w:rsidR="00F45FE3">
              <w:rPr>
                <w:webHidden/>
              </w:rPr>
              <w:fldChar w:fldCharType="begin"/>
            </w:r>
            <w:r w:rsidR="00F45FE3">
              <w:rPr>
                <w:webHidden/>
              </w:rPr>
              <w:instrText xml:space="preserve"> PAGEREF _Toc144837720 \h </w:instrText>
            </w:r>
            <w:r w:rsidR="00F45FE3">
              <w:rPr>
                <w:webHidden/>
              </w:rPr>
            </w:r>
            <w:r w:rsidR="00F45FE3">
              <w:rPr>
                <w:webHidden/>
              </w:rPr>
              <w:fldChar w:fldCharType="separate"/>
            </w:r>
            <w:r w:rsidR="00F45FE3">
              <w:rPr>
                <w:webHidden/>
              </w:rPr>
              <w:t>7</w:t>
            </w:r>
            <w:r w:rsidR="00F45FE3">
              <w:rPr>
                <w:webHidden/>
              </w:rPr>
              <w:fldChar w:fldCharType="end"/>
            </w:r>
          </w:hyperlink>
        </w:p>
        <w:p w14:paraId="6AEAADEC" w14:textId="302E68F9"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21" w:history="1">
            <w:r w:rsidR="00F45FE3" w:rsidRPr="00A659B6">
              <w:rPr>
                <w:rStyle w:val="Hipervnculo"/>
              </w:rPr>
              <w:t>6.1</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Fecha del inicio de aplicación</w:t>
            </w:r>
            <w:r w:rsidR="00F45FE3">
              <w:rPr>
                <w:webHidden/>
              </w:rPr>
              <w:tab/>
            </w:r>
            <w:r w:rsidR="00F45FE3">
              <w:rPr>
                <w:webHidden/>
              </w:rPr>
              <w:fldChar w:fldCharType="begin"/>
            </w:r>
            <w:r w:rsidR="00F45FE3">
              <w:rPr>
                <w:webHidden/>
              </w:rPr>
              <w:instrText xml:space="preserve"> PAGEREF _Toc144837721 \h </w:instrText>
            </w:r>
            <w:r w:rsidR="00F45FE3">
              <w:rPr>
                <w:webHidden/>
              </w:rPr>
            </w:r>
            <w:r w:rsidR="00F45FE3">
              <w:rPr>
                <w:webHidden/>
              </w:rPr>
              <w:fldChar w:fldCharType="separate"/>
            </w:r>
            <w:r w:rsidR="00F45FE3">
              <w:rPr>
                <w:webHidden/>
              </w:rPr>
              <w:t>7</w:t>
            </w:r>
            <w:r w:rsidR="00F45FE3">
              <w:rPr>
                <w:webHidden/>
              </w:rPr>
              <w:fldChar w:fldCharType="end"/>
            </w:r>
          </w:hyperlink>
        </w:p>
        <w:p w14:paraId="481F2867" w14:textId="32B74049"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22" w:history="1">
            <w:r w:rsidR="00F45FE3" w:rsidRPr="00A659B6">
              <w:rPr>
                <w:rStyle w:val="Hipervnculo"/>
              </w:rPr>
              <w:t>6.2</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Avance de los proyectos que se van a conectar al STN</w:t>
            </w:r>
            <w:r w:rsidR="00F45FE3">
              <w:rPr>
                <w:webHidden/>
              </w:rPr>
              <w:tab/>
            </w:r>
            <w:r w:rsidR="00F45FE3">
              <w:rPr>
                <w:webHidden/>
              </w:rPr>
              <w:fldChar w:fldCharType="begin"/>
            </w:r>
            <w:r w:rsidR="00F45FE3">
              <w:rPr>
                <w:webHidden/>
              </w:rPr>
              <w:instrText xml:space="preserve"> PAGEREF _Toc144837722 \h </w:instrText>
            </w:r>
            <w:r w:rsidR="00F45FE3">
              <w:rPr>
                <w:webHidden/>
              </w:rPr>
            </w:r>
            <w:r w:rsidR="00F45FE3">
              <w:rPr>
                <w:webHidden/>
              </w:rPr>
              <w:fldChar w:fldCharType="separate"/>
            </w:r>
            <w:r w:rsidR="00F45FE3">
              <w:rPr>
                <w:webHidden/>
              </w:rPr>
              <w:t>7</w:t>
            </w:r>
            <w:r w:rsidR="00F45FE3">
              <w:rPr>
                <w:webHidden/>
              </w:rPr>
              <w:fldChar w:fldCharType="end"/>
            </w:r>
          </w:hyperlink>
        </w:p>
        <w:p w14:paraId="6E5DC005" w14:textId="54C9463C"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23" w:history="1">
            <w:r w:rsidR="00F45FE3" w:rsidRPr="00A659B6">
              <w:rPr>
                <w:rStyle w:val="Hipervnculo"/>
              </w:rPr>
              <w:t>6.3</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Cobertura actualizada de la garantía</w:t>
            </w:r>
            <w:r w:rsidR="00F45FE3">
              <w:rPr>
                <w:webHidden/>
              </w:rPr>
              <w:tab/>
            </w:r>
            <w:r w:rsidR="00F45FE3">
              <w:rPr>
                <w:webHidden/>
              </w:rPr>
              <w:fldChar w:fldCharType="begin"/>
            </w:r>
            <w:r w:rsidR="00F45FE3">
              <w:rPr>
                <w:webHidden/>
              </w:rPr>
              <w:instrText xml:space="preserve"> PAGEREF _Toc144837723 \h </w:instrText>
            </w:r>
            <w:r w:rsidR="00F45FE3">
              <w:rPr>
                <w:webHidden/>
              </w:rPr>
            </w:r>
            <w:r w:rsidR="00F45FE3">
              <w:rPr>
                <w:webHidden/>
              </w:rPr>
              <w:fldChar w:fldCharType="separate"/>
            </w:r>
            <w:r w:rsidR="00F45FE3">
              <w:rPr>
                <w:webHidden/>
              </w:rPr>
              <w:t>8</w:t>
            </w:r>
            <w:r w:rsidR="00F45FE3">
              <w:rPr>
                <w:webHidden/>
              </w:rPr>
              <w:fldChar w:fldCharType="end"/>
            </w:r>
          </w:hyperlink>
        </w:p>
        <w:p w14:paraId="1D9C8065" w14:textId="3861EB87"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24" w:history="1">
            <w:r w:rsidR="00F45FE3" w:rsidRPr="00A659B6">
              <w:rPr>
                <w:rStyle w:val="Hipervnculo"/>
              </w:rPr>
              <w:t>6.4</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Ajuste de la cobertura de la garantía por aplazamiento de la FPO del proyecto de transmisión</w:t>
            </w:r>
            <w:r w:rsidR="00F45FE3">
              <w:rPr>
                <w:webHidden/>
              </w:rPr>
              <w:tab/>
            </w:r>
            <w:r w:rsidR="00F45FE3">
              <w:rPr>
                <w:webHidden/>
              </w:rPr>
              <w:fldChar w:fldCharType="begin"/>
            </w:r>
            <w:r w:rsidR="00F45FE3">
              <w:rPr>
                <w:webHidden/>
              </w:rPr>
              <w:instrText xml:space="preserve"> PAGEREF _Toc144837724 \h </w:instrText>
            </w:r>
            <w:r w:rsidR="00F45FE3">
              <w:rPr>
                <w:webHidden/>
              </w:rPr>
            </w:r>
            <w:r w:rsidR="00F45FE3">
              <w:rPr>
                <w:webHidden/>
              </w:rPr>
              <w:fldChar w:fldCharType="separate"/>
            </w:r>
            <w:r w:rsidR="00F45FE3">
              <w:rPr>
                <w:webHidden/>
              </w:rPr>
              <w:t>8</w:t>
            </w:r>
            <w:r w:rsidR="00F45FE3">
              <w:rPr>
                <w:webHidden/>
              </w:rPr>
              <w:fldChar w:fldCharType="end"/>
            </w:r>
          </w:hyperlink>
        </w:p>
        <w:p w14:paraId="17F670D8" w14:textId="0440EB8C"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25" w:history="1">
            <w:r w:rsidR="00F45FE3" w:rsidRPr="00A659B6">
              <w:rPr>
                <w:rStyle w:val="Hipervnculo"/>
              </w:rPr>
              <w:t>6.5</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Condiciones para el uso del ajuste propuesto</w:t>
            </w:r>
            <w:r w:rsidR="00F45FE3">
              <w:rPr>
                <w:webHidden/>
              </w:rPr>
              <w:tab/>
            </w:r>
            <w:r w:rsidR="00F45FE3">
              <w:rPr>
                <w:webHidden/>
              </w:rPr>
              <w:fldChar w:fldCharType="begin"/>
            </w:r>
            <w:r w:rsidR="00F45FE3">
              <w:rPr>
                <w:webHidden/>
              </w:rPr>
              <w:instrText xml:space="preserve"> PAGEREF _Toc144837725 \h </w:instrText>
            </w:r>
            <w:r w:rsidR="00F45FE3">
              <w:rPr>
                <w:webHidden/>
              </w:rPr>
            </w:r>
            <w:r w:rsidR="00F45FE3">
              <w:rPr>
                <w:webHidden/>
              </w:rPr>
              <w:fldChar w:fldCharType="separate"/>
            </w:r>
            <w:r w:rsidR="00F45FE3">
              <w:rPr>
                <w:webHidden/>
              </w:rPr>
              <w:t>9</w:t>
            </w:r>
            <w:r w:rsidR="00F45FE3">
              <w:rPr>
                <w:webHidden/>
              </w:rPr>
              <w:fldChar w:fldCharType="end"/>
            </w:r>
          </w:hyperlink>
        </w:p>
        <w:p w14:paraId="6453D340" w14:textId="7C666783" w:rsidR="00F45FE3" w:rsidRDefault="00DA23E9">
          <w:pPr>
            <w:pStyle w:val="TDC2"/>
            <w:rPr>
              <w:rFonts w:asciiTheme="minorHAnsi" w:eastAsiaTheme="minorEastAsia" w:hAnsiTheme="minorHAnsi" w:cstheme="minorBidi"/>
              <w:kern w:val="2"/>
              <w:sz w:val="22"/>
              <w:szCs w:val="22"/>
              <w:lang w:val="es-CO" w:eastAsia="es-CO"/>
              <w14:ligatures w14:val="standardContextual"/>
            </w:rPr>
          </w:pPr>
          <w:hyperlink w:anchor="_Toc144837726" w:history="1">
            <w:r w:rsidR="00F45FE3" w:rsidRPr="00A659B6">
              <w:rPr>
                <w:rStyle w:val="Hipervnculo"/>
              </w:rPr>
              <w:t>6.6</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Pr>
              <w:t>Ajuste regulatorio</w:t>
            </w:r>
            <w:r w:rsidR="00F45FE3">
              <w:rPr>
                <w:webHidden/>
              </w:rPr>
              <w:tab/>
            </w:r>
            <w:r w:rsidR="00F45FE3">
              <w:rPr>
                <w:webHidden/>
              </w:rPr>
              <w:fldChar w:fldCharType="begin"/>
            </w:r>
            <w:r w:rsidR="00F45FE3">
              <w:rPr>
                <w:webHidden/>
              </w:rPr>
              <w:instrText xml:space="preserve"> PAGEREF _Toc144837726 \h </w:instrText>
            </w:r>
            <w:r w:rsidR="00F45FE3">
              <w:rPr>
                <w:webHidden/>
              </w:rPr>
            </w:r>
            <w:r w:rsidR="00F45FE3">
              <w:rPr>
                <w:webHidden/>
              </w:rPr>
              <w:fldChar w:fldCharType="separate"/>
            </w:r>
            <w:r w:rsidR="00F45FE3">
              <w:rPr>
                <w:webHidden/>
              </w:rPr>
              <w:t>9</w:t>
            </w:r>
            <w:r w:rsidR="00F45FE3">
              <w:rPr>
                <w:webHidden/>
              </w:rPr>
              <w:fldChar w:fldCharType="end"/>
            </w:r>
          </w:hyperlink>
        </w:p>
        <w:p w14:paraId="7EDC34B5" w14:textId="42CC5EE9" w:rsidR="00F45FE3" w:rsidRDefault="00DA23E9">
          <w:pPr>
            <w:pStyle w:val="TDC1"/>
            <w:rPr>
              <w:rFonts w:asciiTheme="minorHAnsi" w:eastAsiaTheme="minorEastAsia" w:hAnsiTheme="minorHAnsi" w:cstheme="minorBidi"/>
              <w:kern w:val="2"/>
              <w:sz w:val="22"/>
              <w:szCs w:val="22"/>
              <w:lang w:val="es-CO" w:eastAsia="es-CO"/>
              <w14:ligatures w14:val="standardContextual"/>
            </w:rPr>
          </w:pPr>
          <w:hyperlink w:anchor="_Toc144837727" w:history="1">
            <w:r w:rsidR="00F45FE3" w:rsidRPr="00A659B6">
              <w:rPr>
                <w:rStyle w:val="Hipervnculo"/>
                <w:rFonts w:cs="Arial"/>
              </w:rPr>
              <w:t>7.</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CONCLUSIONES</w:t>
            </w:r>
            <w:r w:rsidR="00F45FE3">
              <w:rPr>
                <w:webHidden/>
              </w:rPr>
              <w:tab/>
            </w:r>
            <w:r w:rsidR="00F45FE3">
              <w:rPr>
                <w:webHidden/>
              </w:rPr>
              <w:fldChar w:fldCharType="begin"/>
            </w:r>
            <w:r w:rsidR="00F45FE3">
              <w:rPr>
                <w:webHidden/>
              </w:rPr>
              <w:instrText xml:space="preserve"> PAGEREF _Toc144837727 \h </w:instrText>
            </w:r>
            <w:r w:rsidR="00F45FE3">
              <w:rPr>
                <w:webHidden/>
              </w:rPr>
            </w:r>
            <w:r w:rsidR="00F45FE3">
              <w:rPr>
                <w:webHidden/>
              </w:rPr>
              <w:fldChar w:fldCharType="separate"/>
            </w:r>
            <w:r w:rsidR="00F45FE3">
              <w:rPr>
                <w:webHidden/>
              </w:rPr>
              <w:t>9</w:t>
            </w:r>
            <w:r w:rsidR="00F45FE3">
              <w:rPr>
                <w:webHidden/>
              </w:rPr>
              <w:fldChar w:fldCharType="end"/>
            </w:r>
          </w:hyperlink>
        </w:p>
        <w:p w14:paraId="60DF0AA0" w14:textId="564046CD" w:rsidR="00F45FE3" w:rsidRDefault="00DA23E9">
          <w:pPr>
            <w:pStyle w:val="TDC1"/>
            <w:rPr>
              <w:rFonts w:asciiTheme="minorHAnsi" w:eastAsiaTheme="minorEastAsia" w:hAnsiTheme="minorHAnsi" w:cstheme="minorBidi"/>
              <w:kern w:val="2"/>
              <w:sz w:val="22"/>
              <w:szCs w:val="22"/>
              <w:lang w:val="es-CO" w:eastAsia="es-CO"/>
              <w14:ligatures w14:val="standardContextual"/>
            </w:rPr>
          </w:pPr>
          <w:hyperlink w:anchor="_Toc144837728" w:history="1">
            <w:r w:rsidR="00F45FE3" w:rsidRPr="00A659B6">
              <w:rPr>
                <w:rStyle w:val="Hipervnculo"/>
                <w:rFonts w:cs="Arial"/>
              </w:rPr>
              <w:t>8.</w:t>
            </w:r>
            <w:r w:rsidR="00F45FE3">
              <w:rPr>
                <w:rFonts w:asciiTheme="minorHAnsi" w:eastAsiaTheme="minorEastAsia" w:hAnsiTheme="minorHAnsi" w:cstheme="minorBidi"/>
                <w:kern w:val="2"/>
                <w:sz w:val="22"/>
                <w:szCs w:val="22"/>
                <w:lang w:val="es-CO" w:eastAsia="es-CO"/>
                <w14:ligatures w14:val="standardContextual"/>
              </w:rPr>
              <w:tab/>
            </w:r>
            <w:r w:rsidR="00F45FE3" w:rsidRPr="00A659B6">
              <w:rPr>
                <w:rStyle w:val="Hipervnculo"/>
                <w:rFonts w:cs="Arial"/>
              </w:rPr>
              <w:t>CUESTIONARIO DE LA SIC</w:t>
            </w:r>
            <w:r w:rsidR="00F45FE3">
              <w:rPr>
                <w:webHidden/>
              </w:rPr>
              <w:tab/>
            </w:r>
            <w:r w:rsidR="00F45FE3">
              <w:rPr>
                <w:webHidden/>
              </w:rPr>
              <w:fldChar w:fldCharType="begin"/>
            </w:r>
            <w:r w:rsidR="00F45FE3">
              <w:rPr>
                <w:webHidden/>
              </w:rPr>
              <w:instrText xml:space="preserve"> PAGEREF _Toc144837728 \h </w:instrText>
            </w:r>
            <w:r w:rsidR="00F45FE3">
              <w:rPr>
                <w:webHidden/>
              </w:rPr>
            </w:r>
            <w:r w:rsidR="00F45FE3">
              <w:rPr>
                <w:webHidden/>
              </w:rPr>
              <w:fldChar w:fldCharType="separate"/>
            </w:r>
            <w:r w:rsidR="00F45FE3">
              <w:rPr>
                <w:webHidden/>
              </w:rPr>
              <w:t>10</w:t>
            </w:r>
            <w:r w:rsidR="00F45FE3">
              <w:rPr>
                <w:webHidden/>
              </w:rPr>
              <w:fldChar w:fldCharType="end"/>
            </w:r>
          </w:hyperlink>
        </w:p>
        <w:p w14:paraId="399BE02E" w14:textId="67A7742A" w:rsidR="00D57F2B" w:rsidRPr="007256E5" w:rsidRDefault="00D57F2B" w:rsidP="008A0C85">
          <w:pPr>
            <w:jc w:val="left"/>
            <w:rPr>
              <w:rFonts w:cs="Arial"/>
            </w:rPr>
          </w:pPr>
          <w:r w:rsidRPr="007256E5">
            <w:rPr>
              <w:rFonts w:cs="Arial"/>
              <w:b/>
              <w:bCs/>
              <w:lang w:val="es-ES"/>
            </w:rPr>
            <w:fldChar w:fldCharType="end"/>
          </w:r>
        </w:p>
      </w:sdtContent>
    </w:sdt>
    <w:p w14:paraId="2BF40E4B" w14:textId="77777777" w:rsidR="00D57F2B" w:rsidRPr="007256E5" w:rsidRDefault="00D57F2B" w:rsidP="008A0C85">
      <w:pPr>
        <w:jc w:val="left"/>
        <w:rPr>
          <w:rFonts w:cs="Arial"/>
          <w:sz w:val="22"/>
        </w:rPr>
      </w:pPr>
    </w:p>
    <w:p w14:paraId="4CD514F5" w14:textId="77777777" w:rsidR="00D57F2B" w:rsidRPr="007256E5" w:rsidRDefault="00D57F2B" w:rsidP="008A0C85">
      <w:pPr>
        <w:jc w:val="left"/>
        <w:rPr>
          <w:rFonts w:cs="Arial"/>
          <w:sz w:val="22"/>
        </w:rPr>
      </w:pPr>
      <w:r w:rsidRPr="007256E5">
        <w:rPr>
          <w:rFonts w:cs="Arial"/>
          <w:sz w:val="22"/>
        </w:rPr>
        <w:br w:type="page"/>
      </w:r>
    </w:p>
    <w:p w14:paraId="2591E04F" w14:textId="77777777" w:rsidR="00D57F2B" w:rsidRDefault="00D57F2B" w:rsidP="008A0C85">
      <w:pPr>
        <w:jc w:val="left"/>
        <w:rPr>
          <w:rFonts w:cs="Arial"/>
          <w:sz w:val="22"/>
        </w:rPr>
      </w:pPr>
    </w:p>
    <w:p w14:paraId="3BF916CD" w14:textId="77777777" w:rsidR="00D57F2B" w:rsidRDefault="00D57F2B" w:rsidP="008A0C85">
      <w:pPr>
        <w:jc w:val="left"/>
        <w:rPr>
          <w:rFonts w:cs="Arial"/>
          <w:sz w:val="22"/>
        </w:rPr>
      </w:pPr>
    </w:p>
    <w:p w14:paraId="567A8978" w14:textId="77777777" w:rsidR="00D57F2B" w:rsidRPr="007256E5" w:rsidRDefault="00D57F2B" w:rsidP="008A0C85">
      <w:pPr>
        <w:jc w:val="left"/>
        <w:rPr>
          <w:rFonts w:cs="Arial"/>
          <w:sz w:val="22"/>
        </w:rPr>
      </w:pPr>
    </w:p>
    <w:p w14:paraId="0E36CE6B" w14:textId="4C40C41E" w:rsidR="00164FA3" w:rsidRDefault="00164FA3" w:rsidP="00850434">
      <w:pPr>
        <w:pStyle w:val="Ttulo"/>
        <w:rPr>
          <w:rFonts w:cs="Arial"/>
        </w:rPr>
      </w:pPr>
      <w:r w:rsidRPr="00164FA3">
        <w:rPr>
          <w:rFonts w:cs="Arial"/>
        </w:rPr>
        <w:t xml:space="preserve">REVISIÓN DEL NUMERAL 4.5 DEL ANEXO </w:t>
      </w:r>
      <w:r w:rsidR="0058472F">
        <w:rPr>
          <w:rFonts w:cs="Arial"/>
        </w:rPr>
        <w:t xml:space="preserve">1 </w:t>
      </w:r>
      <w:r w:rsidRPr="00164FA3">
        <w:rPr>
          <w:rFonts w:cs="Arial"/>
        </w:rPr>
        <w:t>DE</w:t>
      </w:r>
    </w:p>
    <w:p w14:paraId="6CB56BBD" w14:textId="03452205" w:rsidR="00D57F2B" w:rsidRPr="007256E5" w:rsidRDefault="00164FA3" w:rsidP="00850434">
      <w:pPr>
        <w:pStyle w:val="Ttulo"/>
        <w:rPr>
          <w:rFonts w:cs="Arial"/>
          <w:sz w:val="28"/>
        </w:rPr>
      </w:pPr>
      <w:r w:rsidRPr="00164FA3">
        <w:rPr>
          <w:rFonts w:cs="Arial"/>
        </w:rPr>
        <w:t>LA RESOLUCIÓN CREG 022 DE 2001</w:t>
      </w:r>
    </w:p>
    <w:p w14:paraId="06F312D9" w14:textId="77777777" w:rsidR="00D57F2B" w:rsidRPr="007256E5" w:rsidRDefault="00D57F2B" w:rsidP="008A0C85">
      <w:pPr>
        <w:pStyle w:val="Ttulo1"/>
        <w:numPr>
          <w:ilvl w:val="0"/>
          <w:numId w:val="14"/>
        </w:numPr>
        <w:spacing w:before="360" w:after="0"/>
        <w:ind w:left="431" w:hanging="431"/>
        <w:jc w:val="left"/>
        <w:rPr>
          <w:rFonts w:cs="Arial"/>
          <w:sz w:val="22"/>
          <w:szCs w:val="22"/>
        </w:rPr>
      </w:pPr>
      <w:bookmarkStart w:id="2" w:name="_Toc41901972"/>
      <w:bookmarkStart w:id="3" w:name="_Toc506979468"/>
      <w:bookmarkStart w:id="4" w:name="_Toc494863466"/>
      <w:bookmarkStart w:id="5" w:name="_Toc144837713"/>
      <w:r w:rsidRPr="007256E5">
        <w:rPr>
          <w:rFonts w:cs="Arial"/>
          <w:sz w:val="22"/>
          <w:szCs w:val="22"/>
        </w:rPr>
        <w:t>ANTECEDENTES</w:t>
      </w:r>
      <w:bookmarkEnd w:id="2"/>
      <w:bookmarkEnd w:id="3"/>
      <w:bookmarkEnd w:id="4"/>
      <w:bookmarkEnd w:id="5"/>
    </w:p>
    <w:p w14:paraId="7517A1E7" w14:textId="2F61BD3D" w:rsidR="00164FA3" w:rsidRPr="00183D01" w:rsidRDefault="00164FA3" w:rsidP="008A0C85">
      <w:pPr>
        <w:spacing w:before="240"/>
        <w:jc w:val="left"/>
        <w:rPr>
          <w:rStyle w:val="normaltextrun"/>
          <w:rFonts w:cs="Arial"/>
          <w:sz w:val="22"/>
          <w:szCs w:val="22"/>
        </w:rPr>
      </w:pPr>
      <w:bookmarkStart w:id="6" w:name="_Ref55054465"/>
      <w:bookmarkStart w:id="7" w:name="_Toc86260310"/>
      <w:r w:rsidRPr="00183D01">
        <w:rPr>
          <w:rStyle w:val="normaltextrun"/>
          <w:rFonts w:cs="Arial"/>
          <w:sz w:val="22"/>
          <w:szCs w:val="22"/>
        </w:rPr>
        <w:t xml:space="preserve">Mediante la Resolución CREG 022 de 2001, se aprobaron los principios generales y los procedimientos para definir el Plan de Expansión de Referencia del </w:t>
      </w:r>
      <w:r w:rsidR="00343314" w:rsidRPr="00343314">
        <w:rPr>
          <w:rStyle w:val="normaltextrun"/>
          <w:rFonts w:cs="Arial"/>
          <w:sz w:val="22"/>
          <w:szCs w:val="22"/>
        </w:rPr>
        <w:t>Sistema de Transmisión Nacional</w:t>
      </w:r>
      <w:r w:rsidR="00343314">
        <w:rPr>
          <w:rStyle w:val="normaltextrun"/>
          <w:rFonts w:cs="Arial"/>
          <w:sz w:val="22"/>
          <w:szCs w:val="22"/>
        </w:rPr>
        <w:t xml:space="preserve">, </w:t>
      </w:r>
      <w:r w:rsidRPr="00183D01">
        <w:rPr>
          <w:rStyle w:val="normaltextrun"/>
          <w:rFonts w:cs="Arial"/>
          <w:sz w:val="22"/>
          <w:szCs w:val="22"/>
        </w:rPr>
        <w:t xml:space="preserve">STN, </w:t>
      </w:r>
      <w:r w:rsidR="004C3F1D" w:rsidRPr="004C3F1D">
        <w:rPr>
          <w:rStyle w:val="normaltextrun"/>
          <w:rFonts w:cs="Arial"/>
          <w:sz w:val="22"/>
          <w:szCs w:val="22"/>
        </w:rPr>
        <w:t xml:space="preserve">la forma de ejecutar los proyectos recomendados en este Plan </w:t>
      </w:r>
      <w:r w:rsidRPr="00183D01">
        <w:rPr>
          <w:rStyle w:val="normaltextrun"/>
          <w:rFonts w:cs="Arial"/>
          <w:sz w:val="22"/>
          <w:szCs w:val="22"/>
        </w:rPr>
        <w:t xml:space="preserve">y se estableció la metodología para determinar el </w:t>
      </w:r>
      <w:r w:rsidR="00DD1ABC" w:rsidRPr="00183D01">
        <w:rPr>
          <w:rStyle w:val="normaltextrun"/>
          <w:rFonts w:cs="Arial"/>
          <w:sz w:val="22"/>
          <w:szCs w:val="22"/>
        </w:rPr>
        <w:t>ingreso regulado</w:t>
      </w:r>
      <w:r w:rsidRPr="00183D01">
        <w:rPr>
          <w:rStyle w:val="normaltextrun"/>
          <w:rFonts w:cs="Arial"/>
          <w:sz w:val="22"/>
          <w:szCs w:val="22"/>
        </w:rPr>
        <w:t xml:space="preserve"> por concepto del uso de</w:t>
      </w:r>
      <w:r w:rsidR="004C3F1D">
        <w:rPr>
          <w:rStyle w:val="normaltextrun"/>
          <w:rFonts w:cs="Arial"/>
          <w:sz w:val="22"/>
          <w:szCs w:val="22"/>
        </w:rPr>
        <w:t>l STN</w:t>
      </w:r>
      <w:r w:rsidRPr="00183D01">
        <w:rPr>
          <w:rStyle w:val="normaltextrun"/>
          <w:rFonts w:cs="Arial"/>
          <w:sz w:val="22"/>
          <w:szCs w:val="22"/>
        </w:rPr>
        <w:t xml:space="preserve">. </w:t>
      </w:r>
      <w:r w:rsidR="00DD1ABC" w:rsidRPr="00183D01">
        <w:rPr>
          <w:rStyle w:val="normaltextrun"/>
          <w:rFonts w:cs="Arial"/>
          <w:sz w:val="22"/>
          <w:szCs w:val="22"/>
        </w:rPr>
        <w:t xml:space="preserve">Esta resolución ha sido modificada </w:t>
      </w:r>
      <w:r w:rsidR="0058472F" w:rsidRPr="00183D01">
        <w:rPr>
          <w:rStyle w:val="normaltextrun"/>
          <w:rFonts w:cs="Arial"/>
          <w:sz w:val="22"/>
          <w:szCs w:val="22"/>
        </w:rPr>
        <w:t>por las</w:t>
      </w:r>
      <w:r w:rsidRPr="00183D01">
        <w:rPr>
          <w:rStyle w:val="normaltextrun"/>
          <w:rFonts w:cs="Arial"/>
          <w:sz w:val="22"/>
          <w:szCs w:val="22"/>
        </w:rPr>
        <w:t xml:space="preserve"> resoluciones CREG 085 de 2002, 001 y 008 de 2006, 093 de 2007, 147 de 2011, 064 de 2013 y 193 de 2020.</w:t>
      </w:r>
    </w:p>
    <w:p w14:paraId="46B94BF0" w14:textId="09A1DAFB" w:rsidR="00DD1ABC" w:rsidRPr="00183D01" w:rsidRDefault="001F6820" w:rsidP="008A0C85">
      <w:pPr>
        <w:spacing w:before="240"/>
        <w:jc w:val="left"/>
        <w:rPr>
          <w:rStyle w:val="normaltextrun"/>
          <w:rFonts w:cs="Arial"/>
          <w:sz w:val="22"/>
          <w:szCs w:val="22"/>
        </w:rPr>
      </w:pPr>
      <w:r>
        <w:rPr>
          <w:rStyle w:val="normaltextrun"/>
          <w:rFonts w:cs="Arial"/>
          <w:sz w:val="22"/>
          <w:szCs w:val="22"/>
        </w:rPr>
        <w:t>E</w:t>
      </w:r>
      <w:r w:rsidR="00DD1ABC" w:rsidRPr="00183D01">
        <w:rPr>
          <w:rStyle w:val="normaltextrun"/>
          <w:rFonts w:cs="Arial"/>
          <w:sz w:val="22"/>
          <w:szCs w:val="22"/>
        </w:rPr>
        <w:t>n el artículo 4 de la referida resolución, se introducen elementos de eficiencia en la ejecución del plan de expansión de referencia del STN y se establece lo siguiente:</w:t>
      </w:r>
    </w:p>
    <w:p w14:paraId="034332E0" w14:textId="20A5BB7C" w:rsidR="00DD1ABC" w:rsidRPr="00183D01" w:rsidRDefault="006A7A7A" w:rsidP="008A0C85">
      <w:pPr>
        <w:pStyle w:val="Citas"/>
        <w:spacing w:before="120" w:after="120"/>
        <w:ind w:left="284" w:right="284"/>
        <w:jc w:val="left"/>
        <w:rPr>
          <w:rFonts w:ascii="Arial" w:hAnsi="Arial"/>
          <w:sz w:val="22"/>
          <w:szCs w:val="22"/>
        </w:rPr>
      </w:pPr>
      <w:r w:rsidRPr="00183D01">
        <w:rPr>
          <w:rFonts w:ascii="Arial" w:hAnsi="Arial"/>
          <w:sz w:val="22"/>
          <w:szCs w:val="22"/>
        </w:rPr>
        <w:t>La expansión del Sistema de Transmisión Nacional se hará mediante la ejecución, a mínimo costo, de los proyectos del Plan de Expansión de Transmisión de Referencia, por parte de los inversionistas que resulten seleccionados en procesos que estimulen y garanticen la libre competencia en la escogencia de dichos proyectos.</w:t>
      </w:r>
    </w:p>
    <w:p w14:paraId="51EBBC70" w14:textId="66CFD752" w:rsidR="00DD1ABC" w:rsidRPr="00183D01" w:rsidRDefault="006A7A7A" w:rsidP="008A0C85">
      <w:pPr>
        <w:spacing w:before="240"/>
        <w:jc w:val="left"/>
        <w:rPr>
          <w:rStyle w:val="normaltextrun"/>
          <w:rFonts w:cs="Arial"/>
          <w:sz w:val="22"/>
          <w:szCs w:val="22"/>
        </w:rPr>
      </w:pPr>
      <w:r w:rsidRPr="00183D01">
        <w:rPr>
          <w:rStyle w:val="normaltextrun"/>
          <w:rFonts w:cs="Arial"/>
          <w:sz w:val="22"/>
          <w:szCs w:val="22"/>
        </w:rPr>
        <w:t>En el aparte I del literal b) de este mismo artículo se señala la obligación que tienen los usuarios del proyecto de transmisión</w:t>
      </w:r>
      <w:r w:rsidR="008E20CE" w:rsidRPr="00183D01">
        <w:rPr>
          <w:rStyle w:val="Refdenotaalpie"/>
          <w:sz w:val="22"/>
          <w:szCs w:val="22"/>
        </w:rPr>
        <w:footnoteReference w:id="1"/>
      </w:r>
      <w:r w:rsidRPr="00183D01">
        <w:rPr>
          <w:rStyle w:val="normaltextrun"/>
          <w:rFonts w:cs="Arial"/>
          <w:sz w:val="22"/>
          <w:szCs w:val="22"/>
        </w:rPr>
        <w:t xml:space="preserve"> de entregar garantías en los siguientes términos:</w:t>
      </w:r>
    </w:p>
    <w:p w14:paraId="14113CAE" w14:textId="77777777" w:rsidR="006A7A7A" w:rsidRPr="00183D01" w:rsidRDefault="006A7A7A" w:rsidP="008A0C85">
      <w:pPr>
        <w:pStyle w:val="Citas"/>
        <w:spacing w:before="120" w:after="120"/>
        <w:ind w:left="284" w:right="284"/>
        <w:jc w:val="left"/>
        <w:rPr>
          <w:rFonts w:ascii="Arial" w:hAnsi="Arial"/>
          <w:sz w:val="22"/>
          <w:szCs w:val="22"/>
        </w:rPr>
      </w:pPr>
      <w:r w:rsidRPr="00183D01">
        <w:rPr>
          <w:rFonts w:ascii="Arial" w:hAnsi="Arial"/>
          <w:sz w:val="22"/>
          <w:szCs w:val="22"/>
        </w:rPr>
        <w:t>Adicionalmente, en los casos en que las convocatorias correspondan a proyectos de expansión originados en solicitudes de conexión de usuarios (dentro de los cuales se incluyen los usuarios finales del servicio de energía eléctrica, los Operadores de Red y los Generadores) al Sistema de Transmisión Nacional (STN), a la solicitud de oficialización del ingreso deberá anexarse copia de la garantía que debe constituir y entregar el respectivo usuario, con anterioridad a la apertura de la convocatoria, a la entidad responsable de adelantar dicho proceso. Esta garantía deberá cumplir lo establecido en el Anexo 1 de esta resolución.</w:t>
      </w:r>
    </w:p>
    <w:p w14:paraId="4D144294" w14:textId="7C075DFB" w:rsidR="006A7A7A" w:rsidRPr="00183D01" w:rsidRDefault="006A7A7A" w:rsidP="008A0C85">
      <w:pPr>
        <w:pStyle w:val="Citas"/>
        <w:spacing w:before="120" w:after="120"/>
        <w:ind w:left="284" w:right="284"/>
        <w:jc w:val="left"/>
        <w:rPr>
          <w:rFonts w:ascii="Arial" w:hAnsi="Arial"/>
          <w:sz w:val="22"/>
          <w:szCs w:val="22"/>
        </w:rPr>
      </w:pPr>
      <w:r w:rsidRPr="00183D01">
        <w:rPr>
          <w:rFonts w:ascii="Arial" w:hAnsi="Arial"/>
          <w:sz w:val="22"/>
          <w:szCs w:val="22"/>
        </w:rPr>
        <w:t>Cuando ocurra alguno de los eventos de incumplimiento definidos en el Anexo 1 de esta resolución, el Administrador del Sistema de Intercambios Comerciales (ASIC) informará de esta situación al garante y al usuario, y hará efectiva la garantía. En todos los casos, el emisor o garante deberá girar el valor total garantizado al beneficiario.</w:t>
      </w:r>
    </w:p>
    <w:p w14:paraId="26AB1667" w14:textId="1D7DCA61" w:rsidR="00164FA3" w:rsidRPr="00183D01" w:rsidRDefault="006A7A7A" w:rsidP="008A0C85">
      <w:pPr>
        <w:spacing w:before="240"/>
        <w:jc w:val="left"/>
        <w:rPr>
          <w:rStyle w:val="normaltextrun"/>
          <w:rFonts w:cs="Arial"/>
          <w:sz w:val="22"/>
          <w:szCs w:val="22"/>
        </w:rPr>
      </w:pPr>
      <w:r w:rsidRPr="00183D01">
        <w:rPr>
          <w:rStyle w:val="normaltextrun"/>
          <w:rFonts w:cs="Arial"/>
          <w:sz w:val="22"/>
          <w:szCs w:val="22"/>
        </w:rPr>
        <w:t>Por su parte</w:t>
      </w:r>
      <w:r w:rsidR="003D7620" w:rsidRPr="00183D01">
        <w:rPr>
          <w:rStyle w:val="normaltextrun"/>
          <w:rFonts w:cs="Arial"/>
          <w:sz w:val="22"/>
          <w:szCs w:val="22"/>
        </w:rPr>
        <w:t>,</w:t>
      </w:r>
      <w:r w:rsidRPr="00183D01">
        <w:rPr>
          <w:rStyle w:val="normaltextrun"/>
          <w:rFonts w:cs="Arial"/>
          <w:sz w:val="22"/>
          <w:szCs w:val="22"/>
        </w:rPr>
        <w:t xml:space="preserve"> </w:t>
      </w:r>
      <w:r w:rsidR="00164FA3" w:rsidRPr="00183D01">
        <w:rPr>
          <w:rStyle w:val="normaltextrun"/>
          <w:rFonts w:cs="Arial"/>
          <w:sz w:val="22"/>
          <w:szCs w:val="22"/>
        </w:rPr>
        <w:t xml:space="preserve">el numeral 4.5 del anexo </w:t>
      </w:r>
      <w:r w:rsidR="003B06DB" w:rsidRPr="00183D01">
        <w:rPr>
          <w:rStyle w:val="normaltextrun"/>
          <w:rFonts w:cs="Arial"/>
          <w:sz w:val="22"/>
          <w:szCs w:val="22"/>
        </w:rPr>
        <w:t xml:space="preserve">1 </w:t>
      </w:r>
      <w:r w:rsidR="00164FA3" w:rsidRPr="00183D01">
        <w:rPr>
          <w:rStyle w:val="normaltextrun"/>
          <w:rFonts w:cs="Arial"/>
          <w:sz w:val="22"/>
          <w:szCs w:val="22"/>
        </w:rPr>
        <w:t>de la Resolución CREG 022 de 2001 establece lo siguiente:</w:t>
      </w:r>
    </w:p>
    <w:p w14:paraId="0C872E16" w14:textId="495E2612" w:rsidR="00164FA3" w:rsidRPr="00183D01" w:rsidRDefault="007B647A" w:rsidP="007B647A">
      <w:pPr>
        <w:keepNext/>
        <w:spacing w:before="120" w:after="120"/>
        <w:ind w:right="284" w:firstLine="284"/>
        <w:jc w:val="left"/>
        <w:rPr>
          <w:rFonts w:cs="Arial"/>
          <w:b/>
          <w:i/>
          <w:sz w:val="22"/>
          <w:szCs w:val="22"/>
        </w:rPr>
      </w:pPr>
      <w:bookmarkStart w:id="8" w:name="_Toc33548875"/>
      <w:bookmarkStart w:id="9" w:name="_Ref52200780"/>
      <w:r>
        <w:rPr>
          <w:rFonts w:cs="Arial"/>
          <w:b/>
          <w:i/>
          <w:sz w:val="22"/>
          <w:szCs w:val="22"/>
        </w:rPr>
        <w:t xml:space="preserve">4.5 </w:t>
      </w:r>
      <w:r w:rsidR="00164FA3" w:rsidRPr="00183D01">
        <w:rPr>
          <w:rFonts w:cs="Arial"/>
          <w:b/>
          <w:i/>
          <w:sz w:val="22"/>
          <w:szCs w:val="22"/>
        </w:rPr>
        <w:t>Valor de Cobertura de la Garantía</w:t>
      </w:r>
      <w:bookmarkEnd w:id="8"/>
      <w:bookmarkEnd w:id="9"/>
    </w:p>
    <w:p w14:paraId="38FFAC1A" w14:textId="77777777" w:rsidR="00164FA3" w:rsidRPr="00183D01" w:rsidRDefault="00164FA3" w:rsidP="008A0C85">
      <w:pPr>
        <w:pStyle w:val="Citas"/>
        <w:spacing w:before="120" w:after="120"/>
        <w:ind w:left="284" w:right="284"/>
        <w:jc w:val="left"/>
        <w:rPr>
          <w:rFonts w:ascii="Arial" w:hAnsi="Arial" w:cs="Arial"/>
          <w:sz w:val="22"/>
          <w:szCs w:val="22"/>
        </w:rPr>
      </w:pPr>
      <w:r w:rsidRPr="00183D01">
        <w:rPr>
          <w:rFonts w:ascii="Arial" w:hAnsi="Arial" w:cs="Arial"/>
          <w:sz w:val="22"/>
          <w:szCs w:val="22"/>
        </w:rPr>
        <w:t xml:space="preserve">La garantía que debe constituir el usuario solicitante de la conexión se otorgará por un monto igual al 40% del costo de la parte del proyecto de expansión destinada a la conexión de usuarios, calculado con el valor de las Unidades Constructivas que lo </w:t>
      </w:r>
      <w:r w:rsidRPr="00183D01">
        <w:rPr>
          <w:rFonts w:ascii="Arial" w:hAnsi="Arial" w:cs="Arial"/>
          <w:sz w:val="22"/>
          <w:szCs w:val="22"/>
        </w:rPr>
        <w:lastRenderedPageBreak/>
        <w:t>conforman o de las que le sean asimilables. Este valor deberá ser garantizado por los diferentes agentes que vayan a utilizar el proyecto, en forma proporcional al uso que haga cada uno del Proyecto de Transmisión. La UPME informará a los interesados, tanto el costo estimado del proyecto, como los valores a garantizar por cada uno de ellos.</w:t>
      </w:r>
    </w:p>
    <w:p w14:paraId="437A3E6E" w14:textId="77777777" w:rsidR="00164FA3" w:rsidRPr="00183D01" w:rsidRDefault="00164FA3" w:rsidP="008A0C85">
      <w:pPr>
        <w:pStyle w:val="Citas"/>
        <w:spacing w:before="120" w:after="120"/>
        <w:ind w:left="284" w:right="284"/>
        <w:jc w:val="left"/>
        <w:rPr>
          <w:rFonts w:ascii="Arial" w:hAnsi="Arial" w:cs="Arial"/>
          <w:sz w:val="22"/>
          <w:szCs w:val="22"/>
        </w:rPr>
      </w:pPr>
      <w:r w:rsidRPr="00183D01">
        <w:rPr>
          <w:rFonts w:ascii="Arial" w:hAnsi="Arial" w:cs="Arial"/>
          <w:sz w:val="22"/>
          <w:szCs w:val="22"/>
        </w:rPr>
        <w:t>Cuando los componentes del proyecto no estén todos definidos como unidades constructivas, la UPME podrá estimar un valor para ellos, con el propósito de calcular el costo total del proyecto.</w:t>
      </w:r>
    </w:p>
    <w:p w14:paraId="43B9EBC3" w14:textId="77777777" w:rsidR="00164FA3" w:rsidRPr="00183D01" w:rsidRDefault="00164FA3" w:rsidP="008A0C85">
      <w:pPr>
        <w:pStyle w:val="Citas"/>
        <w:spacing w:before="120" w:after="120"/>
        <w:ind w:left="284" w:right="284"/>
        <w:jc w:val="left"/>
        <w:rPr>
          <w:rFonts w:ascii="Arial" w:hAnsi="Arial" w:cs="Arial"/>
          <w:sz w:val="22"/>
          <w:szCs w:val="22"/>
        </w:rPr>
      </w:pPr>
      <w:r w:rsidRPr="00183D01">
        <w:rPr>
          <w:rFonts w:ascii="Arial" w:hAnsi="Arial" w:cs="Arial"/>
          <w:sz w:val="22"/>
          <w:szCs w:val="22"/>
        </w:rPr>
        <w:t>El monto de la cobertura de la garantía se calculará con base en el valor, en pesos colombianos, con el que se estén valorando las Unidades Constructivas, a la fecha en que se constituya la garantía, y se actualizará cada doce meses con la misma variación que se presente en el valor de dichas unidades.</w:t>
      </w:r>
    </w:p>
    <w:p w14:paraId="4E965D99" w14:textId="77777777" w:rsidR="00164FA3" w:rsidRPr="00183D01" w:rsidRDefault="00164FA3" w:rsidP="008A0C85">
      <w:pPr>
        <w:pStyle w:val="Citas"/>
        <w:spacing w:before="120" w:after="120"/>
        <w:ind w:left="284" w:right="284"/>
        <w:jc w:val="left"/>
        <w:rPr>
          <w:rFonts w:ascii="Arial" w:hAnsi="Arial" w:cs="Arial"/>
          <w:sz w:val="22"/>
          <w:szCs w:val="22"/>
        </w:rPr>
      </w:pPr>
      <w:r w:rsidRPr="00183D01">
        <w:rPr>
          <w:rFonts w:ascii="Arial" w:hAnsi="Arial" w:cs="Arial"/>
          <w:sz w:val="22"/>
          <w:szCs w:val="22"/>
        </w:rPr>
        <w:t xml:space="preserve">Cuando entre en operación comercial nueva capacidad de generación, el generador podrá solicitar al ASIC ajustar el valor de la cobertura de la garantía. En todos los casos, la fracción que representa el valor ajustado de la cobertura frente al </w:t>
      </w:r>
      <w:proofErr w:type="gramStart"/>
      <w:r w:rsidRPr="00183D01">
        <w:rPr>
          <w:rFonts w:ascii="Arial" w:hAnsi="Arial" w:cs="Arial"/>
          <w:sz w:val="22"/>
          <w:szCs w:val="22"/>
        </w:rPr>
        <w:t>inicial actualizado</w:t>
      </w:r>
      <w:proofErr w:type="gramEnd"/>
      <w:r w:rsidRPr="00183D01">
        <w:rPr>
          <w:rFonts w:ascii="Arial" w:hAnsi="Arial" w:cs="Arial"/>
          <w:sz w:val="22"/>
          <w:szCs w:val="22"/>
        </w:rPr>
        <w:t>, deberá ser mayor o igual a la proporción a la que equivale la capacidad faltante por conectar, frente a la capacidad total de generación para la cual se asignó la capacidad de transporte.</w:t>
      </w:r>
    </w:p>
    <w:p w14:paraId="4055BEEC" w14:textId="439BC7B6" w:rsidR="00485507" w:rsidRDefault="00485507" w:rsidP="008A0C85">
      <w:pPr>
        <w:spacing w:before="240"/>
        <w:jc w:val="left"/>
        <w:rPr>
          <w:rStyle w:val="normaltextrun"/>
          <w:rFonts w:cs="Arial"/>
          <w:sz w:val="22"/>
          <w:szCs w:val="22"/>
        </w:rPr>
      </w:pPr>
      <w:r>
        <w:rPr>
          <w:rStyle w:val="normaltextrun"/>
          <w:rFonts w:cs="Arial"/>
          <w:sz w:val="22"/>
          <w:szCs w:val="22"/>
        </w:rPr>
        <w:t>En la</w:t>
      </w:r>
      <w:r w:rsidR="008E20CE">
        <w:rPr>
          <w:rStyle w:val="normaltextrun"/>
          <w:rFonts w:cs="Arial"/>
          <w:sz w:val="22"/>
          <w:szCs w:val="22"/>
        </w:rPr>
        <w:t xml:space="preserve"> </w:t>
      </w:r>
      <w:r w:rsidR="001F6820">
        <w:rPr>
          <w:rStyle w:val="normaltextrun"/>
          <w:rFonts w:cs="Arial"/>
          <w:sz w:val="22"/>
          <w:szCs w:val="22"/>
        </w:rPr>
        <w:t xml:space="preserve">misma </w:t>
      </w:r>
      <w:r w:rsidR="008E20CE" w:rsidRPr="008E20CE">
        <w:rPr>
          <w:rStyle w:val="normaltextrun"/>
          <w:rFonts w:cs="Arial"/>
          <w:sz w:val="22"/>
          <w:szCs w:val="22"/>
        </w:rPr>
        <w:t xml:space="preserve">Resolución CREG 022 de 2001 </w:t>
      </w:r>
      <w:r w:rsidR="008E20CE">
        <w:rPr>
          <w:rStyle w:val="normaltextrun"/>
          <w:rFonts w:cs="Arial"/>
          <w:sz w:val="22"/>
          <w:szCs w:val="22"/>
        </w:rPr>
        <w:t xml:space="preserve">se establece que las </w:t>
      </w:r>
      <w:r w:rsidR="005A7301">
        <w:rPr>
          <w:rStyle w:val="normaltextrun"/>
          <w:rFonts w:cs="Arial"/>
          <w:sz w:val="22"/>
          <w:szCs w:val="22"/>
        </w:rPr>
        <w:t xml:space="preserve">garantías </w:t>
      </w:r>
      <w:r w:rsidR="000D6E3C">
        <w:rPr>
          <w:rStyle w:val="normaltextrun"/>
          <w:rFonts w:cs="Arial"/>
          <w:sz w:val="22"/>
          <w:szCs w:val="22"/>
        </w:rPr>
        <w:t xml:space="preserve">otorgadas por los usuarios del proyecto de </w:t>
      </w:r>
      <w:r w:rsidR="00AF2137">
        <w:rPr>
          <w:rStyle w:val="normaltextrun"/>
          <w:rFonts w:cs="Arial"/>
          <w:sz w:val="22"/>
          <w:szCs w:val="22"/>
        </w:rPr>
        <w:t>transmisión</w:t>
      </w:r>
      <w:r w:rsidR="000D6E3C">
        <w:rPr>
          <w:rStyle w:val="normaltextrun"/>
          <w:rFonts w:cs="Arial"/>
          <w:sz w:val="22"/>
          <w:szCs w:val="22"/>
        </w:rPr>
        <w:t xml:space="preserve"> deben </w:t>
      </w:r>
      <w:r w:rsidR="00AF2137">
        <w:rPr>
          <w:rStyle w:val="normaltextrun"/>
          <w:rFonts w:cs="Arial"/>
          <w:sz w:val="22"/>
          <w:szCs w:val="22"/>
        </w:rPr>
        <w:t xml:space="preserve">prorrogarse </w:t>
      </w:r>
      <w:r w:rsidR="000D6E3C">
        <w:rPr>
          <w:rStyle w:val="normaltextrun"/>
          <w:rFonts w:cs="Arial"/>
          <w:sz w:val="22"/>
          <w:szCs w:val="22"/>
        </w:rPr>
        <w:t xml:space="preserve">cuando se </w:t>
      </w:r>
      <w:r w:rsidR="00AF2137">
        <w:rPr>
          <w:rStyle w:val="normaltextrun"/>
          <w:rFonts w:cs="Arial"/>
          <w:sz w:val="22"/>
          <w:szCs w:val="22"/>
        </w:rPr>
        <w:t>cambie la</w:t>
      </w:r>
      <w:r w:rsidR="00572B68">
        <w:rPr>
          <w:rStyle w:val="normaltextrun"/>
          <w:rFonts w:cs="Arial"/>
          <w:sz w:val="22"/>
          <w:szCs w:val="22"/>
        </w:rPr>
        <w:t xml:space="preserve"> fecha de puesta en operación</w:t>
      </w:r>
      <w:r w:rsidR="000E04A6">
        <w:rPr>
          <w:rStyle w:val="normaltextrun"/>
          <w:rFonts w:cs="Arial"/>
          <w:sz w:val="22"/>
          <w:szCs w:val="22"/>
        </w:rPr>
        <w:t>,</w:t>
      </w:r>
      <w:r w:rsidR="00AF2137">
        <w:rPr>
          <w:rStyle w:val="normaltextrun"/>
          <w:rFonts w:cs="Arial"/>
          <w:sz w:val="22"/>
          <w:szCs w:val="22"/>
        </w:rPr>
        <w:t xml:space="preserve"> FPO</w:t>
      </w:r>
      <w:r w:rsidR="000E04A6">
        <w:rPr>
          <w:rStyle w:val="normaltextrun"/>
          <w:rFonts w:cs="Arial"/>
          <w:sz w:val="22"/>
          <w:szCs w:val="22"/>
        </w:rPr>
        <w:t>,</w:t>
      </w:r>
      <w:r w:rsidR="00AF2137">
        <w:rPr>
          <w:rStyle w:val="normaltextrun"/>
          <w:rFonts w:cs="Arial"/>
          <w:sz w:val="22"/>
          <w:szCs w:val="22"/>
        </w:rPr>
        <w:t xml:space="preserve"> de ese proyecto.</w:t>
      </w:r>
      <w:r w:rsidR="00652305">
        <w:rPr>
          <w:rStyle w:val="normaltextrun"/>
          <w:rFonts w:cs="Arial"/>
          <w:sz w:val="22"/>
          <w:szCs w:val="22"/>
        </w:rPr>
        <w:t xml:space="preserve"> Así lo establece el tercer inciso del numeral </w:t>
      </w:r>
      <w:r w:rsidR="00652305" w:rsidRPr="00183D01">
        <w:rPr>
          <w:rStyle w:val="normaltextrun"/>
          <w:rFonts w:cs="Arial"/>
          <w:sz w:val="22"/>
          <w:szCs w:val="22"/>
        </w:rPr>
        <w:t>4.</w:t>
      </w:r>
      <w:r w:rsidR="00652305">
        <w:rPr>
          <w:rStyle w:val="normaltextrun"/>
          <w:rFonts w:cs="Arial"/>
          <w:sz w:val="22"/>
          <w:szCs w:val="22"/>
        </w:rPr>
        <w:t>6</w:t>
      </w:r>
      <w:r w:rsidR="00652305" w:rsidRPr="00183D01">
        <w:rPr>
          <w:rStyle w:val="normaltextrun"/>
          <w:rFonts w:cs="Arial"/>
          <w:sz w:val="22"/>
          <w:szCs w:val="22"/>
        </w:rPr>
        <w:t xml:space="preserve"> del anexo 1 de la Resolución CREG 022 de 2001</w:t>
      </w:r>
      <w:r w:rsidR="00926ECA">
        <w:rPr>
          <w:rStyle w:val="normaltextrun"/>
          <w:rFonts w:cs="Arial"/>
          <w:sz w:val="22"/>
          <w:szCs w:val="22"/>
        </w:rPr>
        <w:t>:</w:t>
      </w:r>
    </w:p>
    <w:p w14:paraId="5659955F" w14:textId="5613F637" w:rsidR="00926ECA" w:rsidRPr="00926ECA" w:rsidRDefault="00926ECA" w:rsidP="00926ECA">
      <w:pPr>
        <w:pStyle w:val="Cita"/>
      </w:pPr>
      <w:r w:rsidRPr="00926ECA">
        <w:t>La vigencia de la garantía deberá prorrogarse si la fecha de entrada en operación del Proyecto de Transmisión se cambia de acuerdo con lo previsto en esta resolución. Para este caso, la fecha de puesta en operación de la conexión al STN será la más tardía entre la fecha prevista inicialmente para esta conexión y la nueva fecha del Proyecto de Transmisión, teniendo en cuenta los meses de pruebas mencionados en el numeral 4.2 de este anexo.</w:t>
      </w:r>
    </w:p>
    <w:p w14:paraId="6785CD49" w14:textId="7386187C" w:rsidR="00F966C5" w:rsidRPr="00183D01" w:rsidRDefault="00F966C5" w:rsidP="008A0C85">
      <w:pPr>
        <w:spacing w:before="240"/>
        <w:jc w:val="left"/>
        <w:rPr>
          <w:rStyle w:val="normaltextrun"/>
          <w:rFonts w:cs="Arial"/>
          <w:sz w:val="22"/>
          <w:szCs w:val="22"/>
        </w:rPr>
      </w:pPr>
      <w:r w:rsidRPr="00183D01">
        <w:rPr>
          <w:rStyle w:val="normaltextrun"/>
          <w:rFonts w:cs="Arial"/>
          <w:sz w:val="22"/>
          <w:szCs w:val="22"/>
        </w:rPr>
        <w:t xml:space="preserve">En cuanto a </w:t>
      </w:r>
      <w:r w:rsidR="008C6552" w:rsidRPr="00183D01">
        <w:rPr>
          <w:rStyle w:val="normaltextrun"/>
          <w:rFonts w:cs="Arial"/>
          <w:sz w:val="22"/>
          <w:szCs w:val="22"/>
        </w:rPr>
        <w:t xml:space="preserve">la </w:t>
      </w:r>
      <w:r w:rsidR="004A0AF3" w:rsidRPr="00183D01">
        <w:rPr>
          <w:rStyle w:val="normaltextrun"/>
          <w:rFonts w:cs="Arial"/>
          <w:sz w:val="22"/>
          <w:szCs w:val="22"/>
        </w:rPr>
        <w:t xml:space="preserve">posibilidad de </w:t>
      </w:r>
      <w:r w:rsidRPr="00183D01">
        <w:rPr>
          <w:rStyle w:val="normaltextrun"/>
          <w:rFonts w:cs="Arial"/>
          <w:sz w:val="22"/>
          <w:szCs w:val="22"/>
        </w:rPr>
        <w:t>modifica</w:t>
      </w:r>
      <w:r w:rsidR="004A0AF3" w:rsidRPr="00183D01">
        <w:rPr>
          <w:rStyle w:val="normaltextrun"/>
          <w:rFonts w:cs="Arial"/>
          <w:sz w:val="22"/>
          <w:szCs w:val="22"/>
        </w:rPr>
        <w:t>r</w:t>
      </w:r>
      <w:r w:rsidRPr="00183D01">
        <w:rPr>
          <w:rStyle w:val="normaltextrun"/>
          <w:rFonts w:cs="Arial"/>
          <w:sz w:val="22"/>
          <w:szCs w:val="22"/>
        </w:rPr>
        <w:t xml:space="preserve"> la</w:t>
      </w:r>
      <w:r w:rsidR="005F31D9" w:rsidRPr="00183D01">
        <w:rPr>
          <w:rStyle w:val="normaltextrun"/>
          <w:rFonts w:cs="Arial"/>
          <w:sz w:val="22"/>
          <w:szCs w:val="22"/>
        </w:rPr>
        <w:t xml:space="preserve"> FPO de los proyectos de transmisión ejecutados mediante convocatorias,</w:t>
      </w:r>
      <w:r w:rsidR="008C6552" w:rsidRPr="00183D01">
        <w:rPr>
          <w:rStyle w:val="normaltextrun"/>
          <w:rFonts w:cs="Arial"/>
          <w:sz w:val="22"/>
          <w:szCs w:val="22"/>
        </w:rPr>
        <w:t xml:space="preserve"> en la Resolución CREG 022 de 2001 se establecen dos formas</w:t>
      </w:r>
      <w:r w:rsidR="00DC6BC2" w:rsidRPr="00183D01">
        <w:rPr>
          <w:rStyle w:val="normaltextrun"/>
          <w:rFonts w:cs="Arial"/>
          <w:sz w:val="22"/>
          <w:szCs w:val="22"/>
        </w:rPr>
        <w:t xml:space="preserve"> de hacerlo</w:t>
      </w:r>
      <w:r w:rsidR="0001139D" w:rsidRPr="00183D01">
        <w:rPr>
          <w:rStyle w:val="normaltextrun"/>
          <w:rFonts w:cs="Arial"/>
          <w:sz w:val="22"/>
          <w:szCs w:val="22"/>
        </w:rPr>
        <w:t>. La</w:t>
      </w:r>
      <w:r w:rsidR="00066DF8" w:rsidRPr="00183D01">
        <w:rPr>
          <w:rStyle w:val="normaltextrun"/>
          <w:rFonts w:cs="Arial"/>
          <w:sz w:val="22"/>
          <w:szCs w:val="22"/>
        </w:rPr>
        <w:t xml:space="preserve"> </w:t>
      </w:r>
      <w:r w:rsidR="0001139D" w:rsidRPr="00183D01">
        <w:rPr>
          <w:rStyle w:val="normaltextrun"/>
          <w:rFonts w:cs="Arial"/>
          <w:sz w:val="22"/>
          <w:szCs w:val="22"/>
        </w:rPr>
        <w:t xml:space="preserve">primera contemplada en el </w:t>
      </w:r>
      <w:r w:rsidR="00066DF8" w:rsidRPr="00183D01">
        <w:rPr>
          <w:rStyle w:val="normaltextrun"/>
          <w:rFonts w:cs="Arial"/>
          <w:sz w:val="22"/>
          <w:szCs w:val="22"/>
        </w:rPr>
        <w:t>aparte IV del literal b) de</w:t>
      </w:r>
      <w:r w:rsidR="004A0AF3" w:rsidRPr="00183D01">
        <w:rPr>
          <w:rStyle w:val="normaltextrun"/>
          <w:rFonts w:cs="Arial"/>
          <w:sz w:val="22"/>
          <w:szCs w:val="22"/>
        </w:rPr>
        <w:t>l artículo 4 de la citada resolución, donde se establece:</w:t>
      </w:r>
    </w:p>
    <w:p w14:paraId="7F2D23CA" w14:textId="265E61E7" w:rsidR="00B83B4B" w:rsidRPr="00183D01" w:rsidRDefault="008E2AD5" w:rsidP="00F65DA1">
      <w:pPr>
        <w:pStyle w:val="Citas"/>
        <w:spacing w:before="120" w:after="120"/>
        <w:ind w:left="709" w:right="284" w:hanging="425"/>
        <w:jc w:val="left"/>
        <w:rPr>
          <w:rFonts w:ascii="Arial" w:hAnsi="Arial"/>
          <w:sz w:val="22"/>
          <w:szCs w:val="22"/>
        </w:rPr>
      </w:pPr>
      <w:r w:rsidRPr="00183D01">
        <w:rPr>
          <w:rFonts w:ascii="Arial" w:hAnsi="Arial" w:cs="Arial"/>
          <w:sz w:val="22"/>
          <w:szCs w:val="22"/>
        </w:rPr>
        <w:t>IV.</w:t>
      </w:r>
      <w:r w:rsidR="00F65DA1" w:rsidRPr="00183D01">
        <w:rPr>
          <w:rFonts w:ascii="Arial" w:hAnsi="Arial" w:cs="Arial"/>
          <w:sz w:val="22"/>
          <w:szCs w:val="22"/>
        </w:rPr>
        <w:tab/>
      </w:r>
      <w:r w:rsidR="00814C19" w:rsidRPr="00183D01">
        <w:rPr>
          <w:rFonts w:ascii="Arial" w:hAnsi="Arial" w:cs="Arial"/>
          <w:sz w:val="22"/>
          <w:szCs w:val="22"/>
        </w:rPr>
        <w:t>La fecha de puesta en operación del proyecto es la establecida en los Documentos de Selección. Si esta fecha es modificada por el Ministerio de Minas y Energía durante el periodo que transcurre desde el momento en que se oficializan los Ingresos Anuales Esperados del Proponente seleccionado hasta la fecha oficial establecida en los mencionados Documentos, cuando ocurran atrasos por fuerza mayor, por alteración del orden público acreditada, o por demoras en la expedición de la licencia ambiental, originadas en hechos fuera del control del Proponente Seleccionado y de su debida diligencia, la CREG decidirá mediante resolución sobre la modificación de esta fecha.</w:t>
      </w:r>
    </w:p>
    <w:p w14:paraId="5F2B671F" w14:textId="77777777" w:rsidR="00B56424" w:rsidRPr="00183D01" w:rsidRDefault="0017134C" w:rsidP="008A0C85">
      <w:pPr>
        <w:spacing w:before="240"/>
        <w:jc w:val="left"/>
        <w:rPr>
          <w:rStyle w:val="normaltextrun"/>
          <w:rFonts w:cs="Arial"/>
          <w:sz w:val="22"/>
          <w:szCs w:val="22"/>
        </w:rPr>
      </w:pPr>
      <w:r w:rsidRPr="00183D01">
        <w:rPr>
          <w:rStyle w:val="normaltextrun"/>
          <w:rFonts w:cs="Arial"/>
          <w:sz w:val="22"/>
          <w:szCs w:val="22"/>
        </w:rPr>
        <w:t xml:space="preserve">Y la segunda, indicada en el </w:t>
      </w:r>
      <w:r w:rsidR="0080581C" w:rsidRPr="00183D01">
        <w:rPr>
          <w:rStyle w:val="normaltextrun"/>
          <w:rFonts w:cs="Arial"/>
          <w:sz w:val="22"/>
          <w:szCs w:val="22"/>
        </w:rPr>
        <w:t xml:space="preserve">literal </w:t>
      </w:r>
      <w:r w:rsidR="006D6023" w:rsidRPr="00183D01">
        <w:rPr>
          <w:rStyle w:val="normaltextrun"/>
          <w:rFonts w:cs="Arial"/>
          <w:sz w:val="22"/>
          <w:szCs w:val="22"/>
        </w:rPr>
        <w:t xml:space="preserve">a) del numeral 5.4 </w:t>
      </w:r>
      <w:r w:rsidR="008E5C26" w:rsidRPr="00183D01">
        <w:rPr>
          <w:rStyle w:val="normaltextrun"/>
          <w:rFonts w:cs="Arial"/>
          <w:sz w:val="22"/>
          <w:szCs w:val="22"/>
        </w:rPr>
        <w:t xml:space="preserve">del anexo 1 </w:t>
      </w:r>
      <w:r w:rsidR="008F4EAC" w:rsidRPr="00183D01">
        <w:rPr>
          <w:rStyle w:val="normaltextrun"/>
          <w:rFonts w:cs="Arial"/>
          <w:sz w:val="22"/>
          <w:szCs w:val="22"/>
        </w:rPr>
        <w:t>de la Resolución CREG 022 de 2001</w:t>
      </w:r>
      <w:r w:rsidR="00A44E22" w:rsidRPr="00183D01">
        <w:rPr>
          <w:rStyle w:val="normaltextrun"/>
          <w:rFonts w:cs="Arial"/>
          <w:sz w:val="22"/>
          <w:szCs w:val="22"/>
        </w:rPr>
        <w:t>, donde se enumeran los eventos de incumplimiento del ejecutor del proyecto de transmisión, siendo el primero de ellos el siguiente</w:t>
      </w:r>
      <w:r w:rsidR="00B56424" w:rsidRPr="00183D01">
        <w:rPr>
          <w:rStyle w:val="normaltextrun"/>
          <w:rFonts w:cs="Arial"/>
          <w:sz w:val="22"/>
          <w:szCs w:val="22"/>
        </w:rPr>
        <w:t>:</w:t>
      </w:r>
    </w:p>
    <w:p w14:paraId="6964E0DB" w14:textId="7C9A1DAE" w:rsidR="007C28E4" w:rsidRPr="00183D01" w:rsidRDefault="007C28E4" w:rsidP="00F65DA1">
      <w:pPr>
        <w:pStyle w:val="Citas"/>
        <w:spacing w:before="120" w:after="120"/>
        <w:ind w:left="567" w:right="284" w:hanging="283"/>
        <w:jc w:val="left"/>
        <w:rPr>
          <w:rFonts w:ascii="Arial" w:hAnsi="Arial"/>
          <w:sz w:val="22"/>
          <w:szCs w:val="22"/>
        </w:rPr>
      </w:pPr>
      <w:r w:rsidRPr="00183D01">
        <w:rPr>
          <w:rFonts w:ascii="Arial" w:hAnsi="Arial"/>
          <w:sz w:val="22"/>
          <w:szCs w:val="22"/>
        </w:rPr>
        <w:lastRenderedPageBreak/>
        <w:t xml:space="preserve">a) El vencimiento de la fecha prevista para la puesta en operación del proyecto, sin que se haya producido la puesta en operación del mismo, salvo que antes de esta fecha el Transmisor: i) Haya prorrogado la vigencia de la garantía, </w:t>
      </w:r>
      <w:proofErr w:type="spellStart"/>
      <w:r w:rsidRPr="00183D01">
        <w:rPr>
          <w:rFonts w:ascii="Arial" w:hAnsi="Arial"/>
          <w:sz w:val="22"/>
          <w:szCs w:val="22"/>
        </w:rPr>
        <w:t>ii</w:t>
      </w:r>
      <w:proofErr w:type="spellEnd"/>
      <w:r w:rsidRPr="00183D01">
        <w:rPr>
          <w:rFonts w:ascii="Arial" w:hAnsi="Arial"/>
          <w:sz w:val="22"/>
          <w:szCs w:val="22"/>
        </w:rPr>
        <w:t xml:space="preserve">) Haya informado al ASIC una nueva fecha de entrada en operación del proyecto de transmisión por circunstancias distintas de las previstas en el numeral IV del literal b) del artículo 4 de esta resolución, y </w:t>
      </w:r>
      <w:proofErr w:type="spellStart"/>
      <w:r w:rsidRPr="00183D01">
        <w:rPr>
          <w:rFonts w:ascii="Arial" w:hAnsi="Arial"/>
          <w:sz w:val="22"/>
          <w:szCs w:val="22"/>
        </w:rPr>
        <w:t>iii</w:t>
      </w:r>
      <w:proofErr w:type="spellEnd"/>
      <w:r w:rsidRPr="00183D01">
        <w:rPr>
          <w:rFonts w:ascii="Arial" w:hAnsi="Arial"/>
          <w:sz w:val="22"/>
          <w:szCs w:val="22"/>
        </w:rPr>
        <w:t>) Se haya comprometido a pagar incondicionalmente la facturación que emita el ASIC de acuerdo con lo previsto en el numeral 5.5 de este Anexo.</w:t>
      </w:r>
    </w:p>
    <w:p w14:paraId="276A4D5A" w14:textId="1DC2A18C" w:rsidR="00B56424" w:rsidRPr="00183D01" w:rsidRDefault="007C28E4" w:rsidP="00F65DA1">
      <w:pPr>
        <w:pStyle w:val="Citas"/>
        <w:spacing w:before="120" w:after="120"/>
        <w:ind w:left="567" w:right="284"/>
        <w:jc w:val="left"/>
        <w:rPr>
          <w:rFonts w:ascii="Arial" w:hAnsi="Arial"/>
          <w:sz w:val="22"/>
          <w:szCs w:val="22"/>
        </w:rPr>
      </w:pPr>
      <w:r w:rsidRPr="00183D01">
        <w:rPr>
          <w:rFonts w:ascii="Arial" w:hAnsi="Arial"/>
          <w:sz w:val="22"/>
          <w:szCs w:val="22"/>
        </w:rPr>
        <w:t>Para lo previsto en este literal, la fecha de puesta en operación del proyecto de transmisión se podrá prorrogar solamente por una vez y no se desplazará en el tiempo el flujo de Ingresos aprobado por la CREG. Vencida la nueva fecha sin que se haya producido la puesta en operación se ejecutará la garantía;</w:t>
      </w:r>
    </w:p>
    <w:p w14:paraId="787765CE" w14:textId="3FD77923" w:rsidR="005032F2" w:rsidRDefault="00136C03" w:rsidP="008A0C85">
      <w:pPr>
        <w:spacing w:before="240"/>
        <w:jc w:val="left"/>
        <w:rPr>
          <w:rStyle w:val="normaltextrun"/>
          <w:rFonts w:cs="Arial"/>
          <w:sz w:val="22"/>
          <w:szCs w:val="22"/>
        </w:rPr>
      </w:pPr>
      <w:r w:rsidRPr="00183D01">
        <w:rPr>
          <w:rStyle w:val="normaltextrun"/>
          <w:rFonts w:cs="Arial"/>
          <w:sz w:val="22"/>
          <w:szCs w:val="22"/>
        </w:rPr>
        <w:t>Con la Resolución CREG 011 de 2009</w:t>
      </w:r>
      <w:r w:rsidRPr="00D6493B">
        <w:rPr>
          <w:rStyle w:val="normaltextrun"/>
          <w:rFonts w:cs="Arial"/>
          <w:sz w:val="22"/>
          <w:szCs w:val="22"/>
        </w:rPr>
        <w:t xml:space="preserve"> </w:t>
      </w:r>
      <w:r w:rsidR="00D6493B" w:rsidRPr="00D6493B">
        <w:rPr>
          <w:rStyle w:val="normaltextrun"/>
          <w:rFonts w:cs="Arial"/>
          <w:sz w:val="22"/>
          <w:szCs w:val="22"/>
        </w:rPr>
        <w:t xml:space="preserve">se </w:t>
      </w:r>
      <w:r w:rsidR="00D949B2" w:rsidRPr="00D949B2">
        <w:rPr>
          <w:rStyle w:val="normaltextrun"/>
          <w:rFonts w:cs="Arial"/>
          <w:sz w:val="22"/>
          <w:szCs w:val="22"/>
        </w:rPr>
        <w:t>establec</w:t>
      </w:r>
      <w:r w:rsidR="00D949B2">
        <w:rPr>
          <w:rStyle w:val="normaltextrun"/>
          <w:rFonts w:cs="Arial"/>
          <w:sz w:val="22"/>
          <w:szCs w:val="22"/>
        </w:rPr>
        <w:t>ió</w:t>
      </w:r>
      <w:r w:rsidR="00D949B2" w:rsidRPr="00D949B2">
        <w:rPr>
          <w:rStyle w:val="normaltextrun"/>
          <w:rFonts w:cs="Arial"/>
          <w:sz w:val="22"/>
          <w:szCs w:val="22"/>
        </w:rPr>
        <w:t xml:space="preserve"> la metodología y </w:t>
      </w:r>
      <w:r w:rsidR="00474B22">
        <w:rPr>
          <w:rStyle w:val="normaltextrun"/>
          <w:rFonts w:cs="Arial"/>
          <w:sz w:val="22"/>
          <w:szCs w:val="22"/>
        </w:rPr>
        <w:t xml:space="preserve">las </w:t>
      </w:r>
      <w:r w:rsidR="00D949B2" w:rsidRPr="00D949B2">
        <w:rPr>
          <w:rStyle w:val="normaltextrun"/>
          <w:rFonts w:cs="Arial"/>
          <w:sz w:val="22"/>
          <w:szCs w:val="22"/>
        </w:rPr>
        <w:t xml:space="preserve">fórmulas tarifarias para la remuneración de la actividad de transmisión de energía eléctrica en el </w:t>
      </w:r>
      <w:r w:rsidR="00474B22">
        <w:rPr>
          <w:rStyle w:val="normaltextrun"/>
          <w:rFonts w:cs="Arial"/>
          <w:sz w:val="22"/>
          <w:szCs w:val="22"/>
        </w:rPr>
        <w:t>STN</w:t>
      </w:r>
      <w:r w:rsidR="003042F4">
        <w:rPr>
          <w:rStyle w:val="normaltextrun"/>
          <w:rFonts w:cs="Arial"/>
          <w:sz w:val="22"/>
          <w:szCs w:val="22"/>
        </w:rPr>
        <w:t xml:space="preserve">. </w:t>
      </w:r>
      <w:r w:rsidR="00684DCA">
        <w:rPr>
          <w:rStyle w:val="normaltextrun"/>
          <w:rFonts w:cs="Arial"/>
          <w:sz w:val="22"/>
          <w:szCs w:val="22"/>
        </w:rPr>
        <w:t xml:space="preserve">En el capítulo </w:t>
      </w:r>
      <w:r w:rsidR="00016E67">
        <w:rPr>
          <w:rStyle w:val="normaltextrun"/>
          <w:rFonts w:cs="Arial"/>
          <w:sz w:val="22"/>
          <w:szCs w:val="22"/>
        </w:rPr>
        <w:t xml:space="preserve">III del anexo general de esta resolución </w:t>
      </w:r>
      <w:r w:rsidR="00860EAE" w:rsidRPr="00860EAE">
        <w:rPr>
          <w:rStyle w:val="normaltextrun"/>
          <w:rFonts w:cs="Arial"/>
          <w:sz w:val="22"/>
          <w:szCs w:val="22"/>
        </w:rPr>
        <w:t xml:space="preserve">se definen las </w:t>
      </w:r>
      <w:r w:rsidR="00D059AD">
        <w:rPr>
          <w:rStyle w:val="normaltextrun"/>
          <w:rFonts w:cs="Arial"/>
          <w:sz w:val="22"/>
          <w:szCs w:val="22"/>
        </w:rPr>
        <w:t xml:space="preserve">unidades constructivas, </w:t>
      </w:r>
      <w:r w:rsidR="00860EAE" w:rsidRPr="00860EAE">
        <w:rPr>
          <w:rStyle w:val="normaltextrun"/>
          <w:rFonts w:cs="Arial"/>
          <w:sz w:val="22"/>
          <w:szCs w:val="22"/>
        </w:rPr>
        <w:t>UC</w:t>
      </w:r>
      <w:r w:rsidR="00D059AD">
        <w:rPr>
          <w:rStyle w:val="normaltextrun"/>
          <w:rFonts w:cs="Arial"/>
          <w:sz w:val="22"/>
          <w:szCs w:val="22"/>
        </w:rPr>
        <w:t>,</w:t>
      </w:r>
      <w:r w:rsidR="00860EAE" w:rsidRPr="00860EAE">
        <w:rPr>
          <w:rStyle w:val="normaltextrun"/>
          <w:rFonts w:cs="Arial"/>
          <w:sz w:val="22"/>
          <w:szCs w:val="22"/>
        </w:rPr>
        <w:t xml:space="preserve"> para remunerar la actividad de transmisión de energía eléctrica</w:t>
      </w:r>
      <w:r w:rsidR="00CB2BCC">
        <w:rPr>
          <w:rStyle w:val="normaltextrun"/>
          <w:rFonts w:cs="Arial"/>
          <w:sz w:val="22"/>
          <w:szCs w:val="22"/>
        </w:rPr>
        <w:t xml:space="preserve">. Los activos </w:t>
      </w:r>
      <w:r w:rsidR="007B7390">
        <w:rPr>
          <w:rStyle w:val="normaltextrun"/>
          <w:rFonts w:cs="Arial"/>
          <w:sz w:val="22"/>
          <w:szCs w:val="22"/>
        </w:rPr>
        <w:t>para el desarrollo de la actividad de transmisión</w:t>
      </w:r>
      <w:r w:rsidR="00B91C0B">
        <w:rPr>
          <w:rStyle w:val="normaltextrun"/>
          <w:rFonts w:cs="Arial"/>
          <w:sz w:val="22"/>
          <w:szCs w:val="22"/>
        </w:rPr>
        <w:t xml:space="preserve"> se asimilan a las unidades allí definidas y, para el caso de los activos </w:t>
      </w:r>
      <w:r w:rsidR="003E298F" w:rsidRPr="003E298F">
        <w:rPr>
          <w:rStyle w:val="normaltextrun"/>
          <w:rFonts w:cs="Arial"/>
          <w:sz w:val="22"/>
          <w:szCs w:val="22"/>
        </w:rPr>
        <w:t>diferentes a los construidos mediante procesos de libre concurrencia</w:t>
      </w:r>
      <w:r w:rsidR="008214E5">
        <w:rPr>
          <w:rStyle w:val="normaltextrun"/>
          <w:rFonts w:cs="Arial"/>
          <w:sz w:val="22"/>
          <w:szCs w:val="22"/>
        </w:rPr>
        <w:t xml:space="preserve">, se utilizan </w:t>
      </w:r>
      <w:r w:rsidR="00106BA9">
        <w:rPr>
          <w:rStyle w:val="normaltextrun"/>
          <w:rFonts w:cs="Arial"/>
          <w:sz w:val="22"/>
          <w:szCs w:val="22"/>
        </w:rPr>
        <w:t>para definir el ingreso an</w:t>
      </w:r>
      <w:r w:rsidR="00B94544">
        <w:rPr>
          <w:rStyle w:val="normaltextrun"/>
          <w:rFonts w:cs="Arial"/>
          <w:sz w:val="22"/>
          <w:szCs w:val="22"/>
        </w:rPr>
        <w:t>ual</w:t>
      </w:r>
      <w:r w:rsidR="00106BA9">
        <w:rPr>
          <w:rStyle w:val="normaltextrun"/>
          <w:rFonts w:cs="Arial"/>
          <w:sz w:val="22"/>
          <w:szCs w:val="22"/>
        </w:rPr>
        <w:t xml:space="preserve"> de los transmisores que representan</w:t>
      </w:r>
      <w:r w:rsidR="008214E5">
        <w:rPr>
          <w:rStyle w:val="normaltextrun"/>
          <w:rFonts w:cs="Arial"/>
          <w:sz w:val="22"/>
          <w:szCs w:val="22"/>
        </w:rPr>
        <w:t xml:space="preserve"> </w:t>
      </w:r>
      <w:r w:rsidR="009E37CE">
        <w:rPr>
          <w:rStyle w:val="normaltextrun"/>
          <w:rFonts w:cs="Arial"/>
          <w:sz w:val="22"/>
          <w:szCs w:val="22"/>
        </w:rPr>
        <w:t>l</w:t>
      </w:r>
      <w:r w:rsidR="008214E5">
        <w:rPr>
          <w:rStyle w:val="normaltextrun"/>
          <w:rFonts w:cs="Arial"/>
          <w:sz w:val="22"/>
          <w:szCs w:val="22"/>
        </w:rPr>
        <w:t>os activos</w:t>
      </w:r>
      <w:r w:rsidR="009E37CE">
        <w:rPr>
          <w:rStyle w:val="normaltextrun"/>
          <w:rFonts w:cs="Arial"/>
          <w:sz w:val="22"/>
          <w:szCs w:val="22"/>
        </w:rPr>
        <w:t xml:space="preserve"> incluidos en la base de activos de cada transmisor</w:t>
      </w:r>
      <w:r w:rsidR="008214E5">
        <w:rPr>
          <w:rStyle w:val="normaltextrun"/>
          <w:rFonts w:cs="Arial"/>
          <w:sz w:val="22"/>
          <w:szCs w:val="22"/>
        </w:rPr>
        <w:t>.</w:t>
      </w:r>
    </w:p>
    <w:p w14:paraId="676ACA92" w14:textId="7B2AFDCA" w:rsidR="00136C03" w:rsidRPr="00183D01" w:rsidRDefault="005032F2" w:rsidP="008A0C85">
      <w:pPr>
        <w:spacing w:before="240"/>
        <w:jc w:val="left"/>
        <w:rPr>
          <w:rStyle w:val="normaltextrun"/>
          <w:rFonts w:cs="Arial"/>
          <w:sz w:val="22"/>
          <w:szCs w:val="22"/>
        </w:rPr>
      </w:pPr>
      <w:r>
        <w:rPr>
          <w:rStyle w:val="normaltextrun"/>
          <w:rFonts w:cs="Arial"/>
          <w:sz w:val="22"/>
          <w:szCs w:val="22"/>
        </w:rPr>
        <w:t xml:space="preserve">En la </w:t>
      </w:r>
      <w:r w:rsidR="00913853">
        <w:rPr>
          <w:rStyle w:val="normaltextrun"/>
          <w:rFonts w:cs="Arial"/>
          <w:sz w:val="22"/>
          <w:szCs w:val="22"/>
        </w:rPr>
        <w:t>cita</w:t>
      </w:r>
      <w:r w:rsidR="006217C9">
        <w:rPr>
          <w:rStyle w:val="normaltextrun"/>
          <w:rFonts w:cs="Arial"/>
          <w:sz w:val="22"/>
          <w:szCs w:val="22"/>
        </w:rPr>
        <w:t xml:space="preserve">da </w:t>
      </w:r>
      <w:r w:rsidR="006217C9" w:rsidRPr="006217C9">
        <w:rPr>
          <w:rStyle w:val="normaltextrun"/>
          <w:rFonts w:cs="Arial"/>
          <w:sz w:val="22"/>
          <w:szCs w:val="22"/>
        </w:rPr>
        <w:t>Resolución CREG 011 de 2009</w:t>
      </w:r>
      <w:r w:rsidR="006217C9" w:rsidRPr="006217C9">
        <w:rPr>
          <w:rStyle w:val="normaltextrun"/>
          <w:rFonts w:ascii="Bookman Old Style" w:hAnsi="Bookman Old Style" w:cs="Arial"/>
          <w:spacing w:val="-3"/>
          <w:sz w:val="22"/>
          <w:szCs w:val="22"/>
        </w:rPr>
        <w:t xml:space="preserve"> </w:t>
      </w:r>
      <w:r w:rsidR="006217C9">
        <w:rPr>
          <w:rStyle w:val="normaltextrun"/>
          <w:rFonts w:cs="Arial"/>
          <w:sz w:val="22"/>
          <w:szCs w:val="22"/>
        </w:rPr>
        <w:t xml:space="preserve">se indica que los valores de las UC están </w:t>
      </w:r>
      <w:r w:rsidR="00913853">
        <w:rPr>
          <w:rStyle w:val="normaltextrun"/>
          <w:rFonts w:cs="Arial"/>
          <w:sz w:val="22"/>
          <w:szCs w:val="22"/>
        </w:rPr>
        <w:t>expresa</w:t>
      </w:r>
      <w:r w:rsidR="006217C9">
        <w:rPr>
          <w:rStyle w:val="normaltextrun"/>
          <w:rFonts w:cs="Arial"/>
          <w:sz w:val="22"/>
          <w:szCs w:val="22"/>
        </w:rPr>
        <w:t xml:space="preserve">dos </w:t>
      </w:r>
      <w:r w:rsidR="00913853">
        <w:rPr>
          <w:rStyle w:val="normaltextrun"/>
          <w:rFonts w:cs="Arial"/>
          <w:sz w:val="22"/>
          <w:szCs w:val="22"/>
        </w:rPr>
        <w:t>en pesos de</w:t>
      </w:r>
      <w:r w:rsidR="006217C9">
        <w:rPr>
          <w:rStyle w:val="normaltextrun"/>
          <w:rFonts w:cs="Arial"/>
          <w:sz w:val="22"/>
          <w:szCs w:val="22"/>
        </w:rPr>
        <w:t xml:space="preserve"> diciembre de 20</w:t>
      </w:r>
      <w:r w:rsidR="007D307C">
        <w:rPr>
          <w:rStyle w:val="normaltextrun"/>
          <w:rFonts w:cs="Arial"/>
          <w:sz w:val="22"/>
          <w:szCs w:val="22"/>
        </w:rPr>
        <w:t>0</w:t>
      </w:r>
      <w:r w:rsidR="006217C9">
        <w:rPr>
          <w:rStyle w:val="normaltextrun"/>
          <w:rFonts w:cs="Arial"/>
          <w:sz w:val="22"/>
          <w:szCs w:val="22"/>
        </w:rPr>
        <w:t xml:space="preserve">8 y que la forma de </w:t>
      </w:r>
      <w:r w:rsidR="00680B65">
        <w:rPr>
          <w:rStyle w:val="normaltextrun"/>
          <w:rFonts w:cs="Arial"/>
          <w:sz w:val="22"/>
          <w:szCs w:val="22"/>
        </w:rPr>
        <w:t xml:space="preserve">actualizar periódicamente </w:t>
      </w:r>
      <w:r w:rsidR="00982E6E">
        <w:rPr>
          <w:rStyle w:val="normaltextrun"/>
          <w:rFonts w:cs="Arial"/>
          <w:sz w:val="22"/>
          <w:szCs w:val="22"/>
        </w:rPr>
        <w:t xml:space="preserve">el </w:t>
      </w:r>
      <w:r w:rsidR="00E33F7F">
        <w:rPr>
          <w:rStyle w:val="normaltextrun"/>
          <w:rFonts w:cs="Arial"/>
          <w:sz w:val="22"/>
          <w:szCs w:val="22"/>
        </w:rPr>
        <w:t>ingreso anual</w:t>
      </w:r>
      <w:r w:rsidR="00982E6E">
        <w:rPr>
          <w:rStyle w:val="normaltextrun"/>
          <w:rFonts w:cs="Arial"/>
          <w:sz w:val="22"/>
          <w:szCs w:val="22"/>
        </w:rPr>
        <w:t xml:space="preserve"> del </w:t>
      </w:r>
      <w:r w:rsidR="00976AF2">
        <w:rPr>
          <w:rStyle w:val="normaltextrun"/>
          <w:rFonts w:cs="Arial"/>
          <w:sz w:val="22"/>
          <w:szCs w:val="22"/>
        </w:rPr>
        <w:t xml:space="preserve">transmisor, calculado con la base de activos aprobada, </w:t>
      </w:r>
      <w:r w:rsidR="00680B65">
        <w:rPr>
          <w:rStyle w:val="normaltextrun"/>
          <w:rFonts w:cs="Arial"/>
          <w:sz w:val="22"/>
          <w:szCs w:val="22"/>
        </w:rPr>
        <w:t xml:space="preserve">es con el índice de precios del productor. </w:t>
      </w:r>
    </w:p>
    <w:p w14:paraId="2D59C202" w14:textId="51A91816" w:rsidR="005F0C03" w:rsidRPr="00183D01" w:rsidRDefault="001142B2" w:rsidP="008A0C85">
      <w:pPr>
        <w:spacing w:before="240"/>
        <w:jc w:val="left"/>
        <w:rPr>
          <w:rStyle w:val="normaltextrun"/>
          <w:rFonts w:cs="Arial"/>
          <w:sz w:val="22"/>
          <w:szCs w:val="22"/>
        </w:rPr>
      </w:pPr>
      <w:r>
        <w:rPr>
          <w:rStyle w:val="normaltextrun"/>
          <w:rFonts w:cs="Arial"/>
          <w:sz w:val="22"/>
          <w:szCs w:val="22"/>
        </w:rPr>
        <w:t>De otra parte, m</w:t>
      </w:r>
      <w:r w:rsidR="00164FA3" w:rsidRPr="00183D01">
        <w:rPr>
          <w:rStyle w:val="normaltextrun"/>
          <w:rFonts w:cs="Arial"/>
          <w:sz w:val="22"/>
          <w:szCs w:val="22"/>
        </w:rPr>
        <w:t xml:space="preserve">ediante radicado CREG E2023010203 del 25 de mayo de 2023, las empresas AES, ENEL y EPM, junto con las asociaciones </w:t>
      </w:r>
      <w:proofErr w:type="spellStart"/>
      <w:r w:rsidR="00164FA3" w:rsidRPr="00183D01">
        <w:rPr>
          <w:rStyle w:val="normaltextrun"/>
          <w:rFonts w:cs="Arial"/>
          <w:sz w:val="22"/>
          <w:szCs w:val="22"/>
        </w:rPr>
        <w:t>Acolgen</w:t>
      </w:r>
      <w:proofErr w:type="spellEnd"/>
      <w:r w:rsidR="00164FA3" w:rsidRPr="00183D01">
        <w:rPr>
          <w:rStyle w:val="normaltextrun"/>
          <w:rFonts w:cs="Arial"/>
          <w:sz w:val="22"/>
          <w:szCs w:val="22"/>
        </w:rPr>
        <w:t xml:space="preserve"> y SER, dirigieron una comunicación a la Comisión en la que se solicita revisar la forma como se </w:t>
      </w:r>
      <w:r w:rsidR="00546502" w:rsidRPr="00183D01">
        <w:rPr>
          <w:rStyle w:val="normaltextrun"/>
          <w:rFonts w:cs="Arial"/>
          <w:sz w:val="22"/>
          <w:szCs w:val="22"/>
        </w:rPr>
        <w:t xml:space="preserve">deben </w:t>
      </w:r>
      <w:r w:rsidR="00164FA3" w:rsidRPr="00183D01">
        <w:rPr>
          <w:rStyle w:val="normaltextrun"/>
          <w:rFonts w:cs="Arial"/>
          <w:sz w:val="22"/>
          <w:szCs w:val="22"/>
        </w:rPr>
        <w:t>ajusta</w:t>
      </w:r>
      <w:r w:rsidR="00546502" w:rsidRPr="00183D01">
        <w:rPr>
          <w:rStyle w:val="normaltextrun"/>
          <w:rFonts w:cs="Arial"/>
          <w:sz w:val="22"/>
          <w:szCs w:val="22"/>
        </w:rPr>
        <w:t>r</w:t>
      </w:r>
      <w:r w:rsidR="00164FA3" w:rsidRPr="00183D01">
        <w:rPr>
          <w:rStyle w:val="normaltextrun"/>
          <w:rFonts w:cs="Arial"/>
          <w:sz w:val="22"/>
          <w:szCs w:val="22"/>
        </w:rPr>
        <w:t xml:space="preserve"> </w:t>
      </w:r>
      <w:r w:rsidR="00546502" w:rsidRPr="00183D01">
        <w:rPr>
          <w:rStyle w:val="normaltextrun"/>
          <w:rFonts w:cs="Arial"/>
          <w:sz w:val="22"/>
          <w:szCs w:val="22"/>
        </w:rPr>
        <w:t>los valores de cobertura de</w:t>
      </w:r>
      <w:r w:rsidR="00164FA3" w:rsidRPr="00183D01">
        <w:rPr>
          <w:rStyle w:val="normaltextrun"/>
          <w:rFonts w:cs="Arial"/>
          <w:sz w:val="22"/>
          <w:szCs w:val="22"/>
        </w:rPr>
        <w:t xml:space="preserve"> las garantías otorgadas por los usuarios de los proyectos del STN, de acuerdo con la Resolución CREG 022 de 2001</w:t>
      </w:r>
      <w:r w:rsidR="005F0C03" w:rsidRPr="00183D01">
        <w:rPr>
          <w:rStyle w:val="normaltextrun"/>
          <w:rFonts w:cs="Arial"/>
          <w:sz w:val="22"/>
          <w:szCs w:val="22"/>
        </w:rPr>
        <w:t xml:space="preserve">. </w:t>
      </w:r>
    </w:p>
    <w:p w14:paraId="7991948A" w14:textId="1CED07AC" w:rsidR="00164FA3" w:rsidRPr="00183D01" w:rsidRDefault="005F0C03" w:rsidP="008A0C85">
      <w:pPr>
        <w:spacing w:before="240"/>
        <w:jc w:val="left"/>
        <w:rPr>
          <w:rStyle w:val="normaltextrun"/>
          <w:rFonts w:cs="Arial"/>
          <w:sz w:val="22"/>
          <w:szCs w:val="22"/>
        </w:rPr>
      </w:pPr>
      <w:r w:rsidRPr="00183D01">
        <w:rPr>
          <w:rStyle w:val="normaltextrun"/>
          <w:rFonts w:cs="Arial"/>
          <w:sz w:val="22"/>
          <w:szCs w:val="22"/>
        </w:rPr>
        <w:t>En particular</w:t>
      </w:r>
      <w:r w:rsidR="00397C9B" w:rsidRPr="00183D01">
        <w:rPr>
          <w:rStyle w:val="normaltextrun"/>
          <w:rFonts w:cs="Arial"/>
          <w:sz w:val="22"/>
          <w:szCs w:val="22"/>
        </w:rPr>
        <w:t>,</w:t>
      </w:r>
      <w:r w:rsidRPr="00183D01">
        <w:rPr>
          <w:rStyle w:val="normaltextrun"/>
          <w:rFonts w:cs="Arial"/>
          <w:sz w:val="22"/>
          <w:szCs w:val="22"/>
        </w:rPr>
        <w:t xml:space="preserve"> solicita</w:t>
      </w:r>
      <w:r w:rsidR="004B7309" w:rsidRPr="00183D01">
        <w:rPr>
          <w:rStyle w:val="normaltextrun"/>
          <w:rFonts w:cs="Arial"/>
          <w:sz w:val="22"/>
          <w:szCs w:val="22"/>
        </w:rPr>
        <w:t>n</w:t>
      </w:r>
      <w:r w:rsidRPr="00183D01">
        <w:rPr>
          <w:rStyle w:val="normaltextrun"/>
          <w:rFonts w:cs="Arial"/>
          <w:sz w:val="22"/>
          <w:szCs w:val="22"/>
        </w:rPr>
        <w:t xml:space="preserve"> considerar una disminución en el valor de la cobertura</w:t>
      </w:r>
      <w:r w:rsidR="00397C9B" w:rsidRPr="00183D01">
        <w:rPr>
          <w:rStyle w:val="normaltextrun"/>
          <w:rFonts w:cs="Arial"/>
          <w:sz w:val="22"/>
          <w:szCs w:val="22"/>
        </w:rPr>
        <w:t xml:space="preserve"> de la garantía</w:t>
      </w:r>
      <w:r w:rsidR="00164FA3" w:rsidRPr="00183D01">
        <w:rPr>
          <w:rStyle w:val="normaltextrun"/>
          <w:rFonts w:cs="Arial"/>
          <w:sz w:val="22"/>
          <w:szCs w:val="22"/>
        </w:rPr>
        <w:t xml:space="preserve">, para aquellos casos cuando se aplaza </w:t>
      </w:r>
      <w:r w:rsidR="00A73832">
        <w:rPr>
          <w:rStyle w:val="normaltextrun"/>
          <w:rFonts w:cs="Arial"/>
          <w:sz w:val="22"/>
          <w:szCs w:val="22"/>
        </w:rPr>
        <w:t xml:space="preserve">la </w:t>
      </w:r>
      <w:r w:rsidR="00112705" w:rsidRPr="00183D01">
        <w:rPr>
          <w:rStyle w:val="normaltextrun"/>
          <w:rFonts w:cs="Arial"/>
          <w:sz w:val="22"/>
          <w:szCs w:val="22"/>
        </w:rPr>
        <w:t>FPO del proyecto de transmisión</w:t>
      </w:r>
      <w:r w:rsidR="00DA1932" w:rsidRPr="00183D01">
        <w:rPr>
          <w:rStyle w:val="normaltextrun"/>
          <w:rFonts w:cs="Arial"/>
          <w:sz w:val="22"/>
          <w:szCs w:val="22"/>
        </w:rPr>
        <w:t>,</w:t>
      </w:r>
      <w:r w:rsidR="00E428DE" w:rsidRPr="00183D01">
        <w:rPr>
          <w:rStyle w:val="normaltextrun"/>
          <w:rFonts w:cs="Arial"/>
          <w:sz w:val="22"/>
          <w:szCs w:val="22"/>
        </w:rPr>
        <w:t xml:space="preserve"> </w:t>
      </w:r>
      <w:r w:rsidR="008117DA" w:rsidRPr="00183D01">
        <w:rPr>
          <w:rStyle w:val="normaltextrun"/>
          <w:rFonts w:cs="Arial"/>
          <w:sz w:val="22"/>
          <w:szCs w:val="22"/>
        </w:rPr>
        <w:t xml:space="preserve">dado que </w:t>
      </w:r>
      <w:r w:rsidR="00EC6313" w:rsidRPr="00183D01">
        <w:rPr>
          <w:rStyle w:val="normaltextrun"/>
          <w:rFonts w:cs="Arial"/>
          <w:sz w:val="22"/>
          <w:szCs w:val="22"/>
        </w:rPr>
        <w:t>l</w:t>
      </w:r>
      <w:r w:rsidR="008117DA" w:rsidRPr="00183D01">
        <w:rPr>
          <w:rStyle w:val="normaltextrun"/>
          <w:rFonts w:cs="Arial"/>
          <w:sz w:val="22"/>
          <w:szCs w:val="22"/>
        </w:rPr>
        <w:t xml:space="preserve">os usuarios </w:t>
      </w:r>
      <w:r w:rsidR="00EC6313" w:rsidRPr="00183D01">
        <w:rPr>
          <w:rStyle w:val="normaltextrun"/>
          <w:rFonts w:cs="Arial"/>
          <w:sz w:val="22"/>
          <w:szCs w:val="22"/>
        </w:rPr>
        <w:t xml:space="preserve">de este proyecto </w:t>
      </w:r>
      <w:r w:rsidR="003031FF" w:rsidRPr="00183D01">
        <w:rPr>
          <w:rStyle w:val="normaltextrun"/>
          <w:rFonts w:cs="Arial"/>
          <w:sz w:val="22"/>
          <w:szCs w:val="22"/>
        </w:rPr>
        <w:t xml:space="preserve">deben, a la vez, </w:t>
      </w:r>
      <w:r w:rsidR="00A04E2A" w:rsidRPr="00183D01">
        <w:rPr>
          <w:rStyle w:val="normaltextrun"/>
          <w:rFonts w:cs="Arial"/>
          <w:sz w:val="22"/>
          <w:szCs w:val="22"/>
        </w:rPr>
        <w:t>extender</w:t>
      </w:r>
      <w:r w:rsidR="003031FF" w:rsidRPr="00183D01">
        <w:rPr>
          <w:rStyle w:val="normaltextrun"/>
          <w:rFonts w:cs="Arial"/>
          <w:sz w:val="22"/>
          <w:szCs w:val="22"/>
        </w:rPr>
        <w:t xml:space="preserve"> la vigencia de las garantías otorgadas en cumplimiento de lo previsto en el aparte I del literal b) del a</w:t>
      </w:r>
      <w:r w:rsidR="00A04E2A" w:rsidRPr="00183D01">
        <w:rPr>
          <w:rStyle w:val="normaltextrun"/>
          <w:rFonts w:cs="Arial"/>
          <w:sz w:val="22"/>
          <w:szCs w:val="22"/>
        </w:rPr>
        <w:t>rtículo 4</w:t>
      </w:r>
      <w:r w:rsidR="003031FF" w:rsidRPr="00183D01">
        <w:rPr>
          <w:rStyle w:val="normaltextrun"/>
          <w:rFonts w:cs="Arial"/>
          <w:sz w:val="22"/>
          <w:szCs w:val="22"/>
        </w:rPr>
        <w:t xml:space="preserve"> de</w:t>
      </w:r>
      <w:r w:rsidR="00E428DE" w:rsidRPr="00183D01">
        <w:rPr>
          <w:rStyle w:val="normaltextrun"/>
          <w:rFonts w:cs="Arial"/>
          <w:sz w:val="22"/>
          <w:szCs w:val="22"/>
        </w:rPr>
        <w:t xml:space="preserve"> la </w:t>
      </w:r>
      <w:r w:rsidR="00DA1932" w:rsidRPr="00183D01">
        <w:rPr>
          <w:rStyle w:val="normaltextrun"/>
          <w:rFonts w:cs="Arial"/>
          <w:sz w:val="22"/>
          <w:szCs w:val="22"/>
        </w:rPr>
        <w:t>Resolución CREG 022 de 2001</w:t>
      </w:r>
      <w:r w:rsidR="0085016E">
        <w:rPr>
          <w:rStyle w:val="normaltextrun"/>
          <w:rFonts w:cs="Arial"/>
          <w:sz w:val="22"/>
          <w:szCs w:val="22"/>
        </w:rPr>
        <w:t>, citado arriba</w:t>
      </w:r>
      <w:r w:rsidR="004B7309" w:rsidRPr="00183D01">
        <w:rPr>
          <w:rStyle w:val="normaltextrun"/>
          <w:rFonts w:cs="Arial"/>
          <w:sz w:val="22"/>
          <w:szCs w:val="22"/>
        </w:rPr>
        <w:t>.</w:t>
      </w:r>
    </w:p>
    <w:p w14:paraId="60FC69CB" w14:textId="78F6A457" w:rsidR="00164FA3" w:rsidRPr="00183D01" w:rsidRDefault="00164FA3" w:rsidP="008A0C85">
      <w:pPr>
        <w:spacing w:before="240"/>
        <w:jc w:val="left"/>
        <w:rPr>
          <w:rStyle w:val="normaltextrun"/>
          <w:rFonts w:cs="Arial"/>
          <w:sz w:val="22"/>
          <w:szCs w:val="22"/>
        </w:rPr>
      </w:pPr>
      <w:r w:rsidRPr="00183D01">
        <w:rPr>
          <w:rStyle w:val="normaltextrun"/>
          <w:rFonts w:cs="Arial"/>
          <w:sz w:val="22"/>
          <w:szCs w:val="22"/>
        </w:rPr>
        <w:t xml:space="preserve">La Comisión consideró conveniente revisar la forma como se actualizan estas garantías y, por tanto, </w:t>
      </w:r>
      <w:r w:rsidR="009D5845" w:rsidRPr="00183D01">
        <w:rPr>
          <w:rStyle w:val="normaltextrun"/>
          <w:rFonts w:cs="Arial"/>
          <w:sz w:val="22"/>
          <w:szCs w:val="22"/>
        </w:rPr>
        <w:t xml:space="preserve">en este documento </w:t>
      </w:r>
      <w:r w:rsidRPr="00183D01">
        <w:rPr>
          <w:rStyle w:val="normaltextrun"/>
          <w:rFonts w:cs="Arial"/>
          <w:sz w:val="22"/>
          <w:szCs w:val="22"/>
        </w:rPr>
        <w:t xml:space="preserve">se </w:t>
      </w:r>
      <w:r w:rsidR="007D307C">
        <w:rPr>
          <w:rStyle w:val="normaltextrun"/>
          <w:rFonts w:cs="Arial"/>
          <w:sz w:val="22"/>
          <w:szCs w:val="22"/>
        </w:rPr>
        <w:t>propone</w:t>
      </w:r>
      <w:r w:rsidRPr="00183D01">
        <w:rPr>
          <w:rStyle w:val="normaltextrun"/>
          <w:rFonts w:cs="Arial"/>
          <w:sz w:val="22"/>
          <w:szCs w:val="22"/>
        </w:rPr>
        <w:t xml:space="preserve"> un ajuste al numeral 4.5 del anexo </w:t>
      </w:r>
      <w:r w:rsidR="0023186C" w:rsidRPr="00183D01">
        <w:rPr>
          <w:rStyle w:val="normaltextrun"/>
          <w:rFonts w:cs="Arial"/>
          <w:sz w:val="22"/>
          <w:szCs w:val="22"/>
        </w:rPr>
        <w:t xml:space="preserve">1 </w:t>
      </w:r>
      <w:r w:rsidRPr="00183D01">
        <w:rPr>
          <w:rStyle w:val="normaltextrun"/>
          <w:rFonts w:cs="Arial"/>
          <w:sz w:val="22"/>
          <w:szCs w:val="22"/>
        </w:rPr>
        <w:t>de la Resolución CREG 022 de 2001.</w:t>
      </w:r>
    </w:p>
    <w:p w14:paraId="63053868" w14:textId="77777777" w:rsidR="00D57F2B" w:rsidRPr="00183D01" w:rsidRDefault="00D57F2B" w:rsidP="008A0C85">
      <w:pPr>
        <w:pStyle w:val="Ttulo1"/>
        <w:numPr>
          <w:ilvl w:val="0"/>
          <w:numId w:val="14"/>
        </w:numPr>
        <w:spacing w:before="360" w:after="0"/>
        <w:ind w:left="431" w:hanging="431"/>
        <w:jc w:val="left"/>
        <w:rPr>
          <w:rFonts w:cs="Arial"/>
          <w:sz w:val="22"/>
          <w:szCs w:val="22"/>
        </w:rPr>
      </w:pPr>
      <w:bookmarkStart w:id="10" w:name="_Toc144837714"/>
      <w:r w:rsidRPr="00183D01">
        <w:rPr>
          <w:rFonts w:cs="Arial"/>
          <w:sz w:val="22"/>
          <w:szCs w:val="22"/>
        </w:rPr>
        <w:t>DEFINICIÓN DEL PROBLEMA</w:t>
      </w:r>
      <w:bookmarkEnd w:id="6"/>
      <w:bookmarkEnd w:id="7"/>
      <w:bookmarkEnd w:id="10"/>
    </w:p>
    <w:p w14:paraId="5A51E0F2" w14:textId="5ABC69DA" w:rsidR="00D57F2B" w:rsidRPr="00183D01" w:rsidRDefault="008A0C85" w:rsidP="008A0C85">
      <w:pPr>
        <w:spacing w:before="240"/>
        <w:jc w:val="left"/>
        <w:rPr>
          <w:rFonts w:cs="Arial"/>
          <w:sz w:val="22"/>
          <w:szCs w:val="22"/>
        </w:rPr>
      </w:pPr>
      <w:bookmarkStart w:id="11" w:name="_Toc86260311"/>
      <w:r w:rsidRPr="00183D01">
        <w:rPr>
          <w:rFonts w:cs="Arial"/>
          <w:sz w:val="22"/>
          <w:szCs w:val="22"/>
        </w:rPr>
        <w:t>Cuando, de acuerdo con la regulación vigente</w:t>
      </w:r>
      <w:r w:rsidR="0022197C" w:rsidRPr="00183D01">
        <w:rPr>
          <w:rFonts w:cs="Arial"/>
          <w:sz w:val="22"/>
          <w:szCs w:val="22"/>
        </w:rPr>
        <w:t>,</w:t>
      </w:r>
      <w:r w:rsidRPr="00183D01">
        <w:rPr>
          <w:rFonts w:cs="Arial"/>
          <w:sz w:val="22"/>
          <w:szCs w:val="22"/>
        </w:rPr>
        <w:t xml:space="preserve"> se </w:t>
      </w:r>
      <w:r w:rsidR="0022197C" w:rsidRPr="00183D01">
        <w:rPr>
          <w:rFonts w:cs="Arial"/>
          <w:sz w:val="22"/>
          <w:szCs w:val="22"/>
        </w:rPr>
        <w:t>aplaza la</w:t>
      </w:r>
      <w:r w:rsidRPr="00183D01">
        <w:rPr>
          <w:rFonts w:cs="Arial"/>
          <w:sz w:val="22"/>
          <w:szCs w:val="22"/>
        </w:rPr>
        <w:t xml:space="preserve"> FPO de</w:t>
      </w:r>
      <w:r w:rsidR="0022197C" w:rsidRPr="00183D01">
        <w:rPr>
          <w:rFonts w:cs="Arial"/>
          <w:sz w:val="22"/>
          <w:szCs w:val="22"/>
        </w:rPr>
        <w:t xml:space="preserve"> un</w:t>
      </w:r>
      <w:r w:rsidRPr="00183D01">
        <w:rPr>
          <w:rFonts w:cs="Arial"/>
          <w:sz w:val="22"/>
          <w:szCs w:val="22"/>
        </w:rPr>
        <w:t xml:space="preserve"> proyecto de transmisión</w:t>
      </w:r>
      <w:r w:rsidR="0022197C" w:rsidRPr="00183D01">
        <w:rPr>
          <w:rFonts w:cs="Arial"/>
          <w:sz w:val="22"/>
          <w:szCs w:val="22"/>
        </w:rPr>
        <w:t>,</w:t>
      </w:r>
      <w:r w:rsidRPr="00183D01">
        <w:rPr>
          <w:rFonts w:cs="Arial"/>
          <w:sz w:val="22"/>
          <w:szCs w:val="22"/>
        </w:rPr>
        <w:t xml:space="preserve"> </w:t>
      </w:r>
      <w:r w:rsidR="0022197C" w:rsidRPr="00183D01">
        <w:rPr>
          <w:rFonts w:cs="Arial"/>
          <w:sz w:val="22"/>
          <w:szCs w:val="22"/>
        </w:rPr>
        <w:t>l</w:t>
      </w:r>
      <w:r w:rsidR="00CD3054" w:rsidRPr="00183D01">
        <w:rPr>
          <w:rFonts w:cs="Arial"/>
          <w:sz w:val="22"/>
          <w:szCs w:val="22"/>
        </w:rPr>
        <w:t xml:space="preserve">os usuarios </w:t>
      </w:r>
      <w:r w:rsidR="00114C04" w:rsidRPr="00183D01">
        <w:rPr>
          <w:rFonts w:cs="Arial"/>
          <w:sz w:val="22"/>
          <w:szCs w:val="22"/>
        </w:rPr>
        <w:t>que se conectan a</w:t>
      </w:r>
      <w:r w:rsidR="00CD3054" w:rsidRPr="00183D01">
        <w:rPr>
          <w:rFonts w:cs="Arial"/>
          <w:sz w:val="22"/>
          <w:szCs w:val="22"/>
        </w:rPr>
        <w:t xml:space="preserve"> </w:t>
      </w:r>
      <w:r w:rsidR="0022197C" w:rsidRPr="00183D01">
        <w:rPr>
          <w:rFonts w:cs="Arial"/>
          <w:sz w:val="22"/>
          <w:szCs w:val="22"/>
        </w:rPr>
        <w:t>est</w:t>
      </w:r>
      <w:r w:rsidR="00114C04" w:rsidRPr="00183D01">
        <w:rPr>
          <w:rFonts w:cs="Arial"/>
          <w:sz w:val="22"/>
          <w:szCs w:val="22"/>
        </w:rPr>
        <w:t>e</w:t>
      </w:r>
      <w:r w:rsidR="00CD3054" w:rsidRPr="00183D01">
        <w:rPr>
          <w:rFonts w:cs="Arial"/>
          <w:sz w:val="22"/>
          <w:szCs w:val="22"/>
        </w:rPr>
        <w:t xml:space="preserve"> proyecto </w:t>
      </w:r>
      <w:r w:rsidR="009821A1" w:rsidRPr="00183D01">
        <w:rPr>
          <w:rFonts w:cs="Arial"/>
          <w:sz w:val="22"/>
          <w:szCs w:val="22"/>
        </w:rPr>
        <w:t xml:space="preserve">deben mantener vigentes las </w:t>
      </w:r>
      <w:r w:rsidR="0023186C" w:rsidRPr="00183D01">
        <w:rPr>
          <w:rFonts w:cs="Arial"/>
          <w:sz w:val="22"/>
          <w:szCs w:val="22"/>
        </w:rPr>
        <w:t>garantías otorgadas</w:t>
      </w:r>
      <w:r w:rsidR="009821A1" w:rsidRPr="00183D01">
        <w:rPr>
          <w:rFonts w:cs="Arial"/>
          <w:sz w:val="22"/>
          <w:szCs w:val="22"/>
        </w:rPr>
        <w:t xml:space="preserve"> </w:t>
      </w:r>
      <w:r w:rsidR="00A7296A" w:rsidRPr="00183D01">
        <w:rPr>
          <w:rFonts w:cs="Arial"/>
          <w:sz w:val="22"/>
          <w:szCs w:val="22"/>
        </w:rPr>
        <w:t>por un</w:t>
      </w:r>
      <w:r w:rsidR="00E5116E" w:rsidRPr="00183D01">
        <w:rPr>
          <w:rFonts w:cs="Arial"/>
          <w:sz w:val="22"/>
          <w:szCs w:val="22"/>
        </w:rPr>
        <w:t xml:space="preserve"> </w:t>
      </w:r>
      <w:r w:rsidR="00A7296A" w:rsidRPr="00183D01">
        <w:rPr>
          <w:rFonts w:cs="Arial"/>
          <w:sz w:val="22"/>
          <w:szCs w:val="22"/>
        </w:rPr>
        <w:t xml:space="preserve">tiempo mayor al previsto al </w:t>
      </w:r>
      <w:r w:rsidR="00E5116E" w:rsidRPr="00183D01">
        <w:rPr>
          <w:rFonts w:cs="Arial"/>
          <w:sz w:val="22"/>
          <w:szCs w:val="22"/>
        </w:rPr>
        <w:t>momento de otorgar</w:t>
      </w:r>
      <w:r w:rsidR="0023186C" w:rsidRPr="00183D01">
        <w:rPr>
          <w:rFonts w:cs="Arial"/>
          <w:sz w:val="22"/>
          <w:szCs w:val="22"/>
        </w:rPr>
        <w:t>l</w:t>
      </w:r>
      <w:r w:rsidR="005926F0" w:rsidRPr="00183D01">
        <w:rPr>
          <w:rFonts w:cs="Arial"/>
          <w:sz w:val="22"/>
          <w:szCs w:val="22"/>
        </w:rPr>
        <w:t xml:space="preserve">as, lo cual genera costos adicionales para </w:t>
      </w:r>
      <w:r w:rsidR="008D4E7B" w:rsidRPr="00183D01">
        <w:rPr>
          <w:rFonts w:cs="Arial"/>
          <w:sz w:val="22"/>
          <w:szCs w:val="22"/>
        </w:rPr>
        <w:t>sus proyectos</w:t>
      </w:r>
      <w:r w:rsidR="00D57F2B" w:rsidRPr="00183D01">
        <w:rPr>
          <w:rFonts w:cs="Arial"/>
          <w:sz w:val="22"/>
          <w:szCs w:val="22"/>
          <w:lang w:val="es-MX"/>
        </w:rPr>
        <w:t>.</w:t>
      </w:r>
    </w:p>
    <w:p w14:paraId="122F84B9" w14:textId="77777777" w:rsidR="00D57F2B" w:rsidRPr="00183D01" w:rsidRDefault="00D57F2B" w:rsidP="008A0C85">
      <w:pPr>
        <w:pStyle w:val="Ttulo1"/>
        <w:numPr>
          <w:ilvl w:val="0"/>
          <w:numId w:val="14"/>
        </w:numPr>
        <w:spacing w:before="360" w:after="0"/>
        <w:ind w:left="431" w:hanging="431"/>
        <w:jc w:val="left"/>
        <w:rPr>
          <w:rFonts w:cs="Arial"/>
          <w:sz w:val="22"/>
          <w:szCs w:val="22"/>
        </w:rPr>
      </w:pPr>
      <w:bookmarkStart w:id="12" w:name="_Toc144837715"/>
      <w:r w:rsidRPr="00183D01">
        <w:rPr>
          <w:rFonts w:cs="Arial"/>
          <w:sz w:val="22"/>
          <w:szCs w:val="22"/>
        </w:rPr>
        <w:lastRenderedPageBreak/>
        <w:t>OBJETIVOS</w:t>
      </w:r>
      <w:bookmarkEnd w:id="11"/>
      <w:bookmarkEnd w:id="12"/>
    </w:p>
    <w:p w14:paraId="44037AC2" w14:textId="289E2E7B" w:rsidR="00D57F2B" w:rsidRPr="00183D01" w:rsidRDefault="00D57F2B" w:rsidP="008A0C85">
      <w:pPr>
        <w:spacing w:before="240"/>
        <w:jc w:val="left"/>
        <w:rPr>
          <w:rFonts w:cs="Arial"/>
          <w:sz w:val="22"/>
          <w:szCs w:val="22"/>
        </w:rPr>
      </w:pPr>
      <w:r w:rsidRPr="00183D01">
        <w:rPr>
          <w:rFonts w:cs="Arial"/>
          <w:sz w:val="22"/>
          <w:szCs w:val="22"/>
        </w:rPr>
        <w:t>Crear un</w:t>
      </w:r>
      <w:r w:rsidR="008D4E7B" w:rsidRPr="00183D01">
        <w:rPr>
          <w:rFonts w:cs="Arial"/>
          <w:sz w:val="22"/>
          <w:szCs w:val="22"/>
        </w:rPr>
        <w:t xml:space="preserve"> mecanismo que permita </w:t>
      </w:r>
      <w:r w:rsidR="002B66B4" w:rsidRPr="00183D01">
        <w:rPr>
          <w:rFonts w:cs="Arial"/>
          <w:sz w:val="22"/>
          <w:szCs w:val="22"/>
        </w:rPr>
        <w:t xml:space="preserve">disminuir el valor de la cobertura de las garantías de los usuarios </w:t>
      </w:r>
      <w:r w:rsidR="007D307C">
        <w:rPr>
          <w:rFonts w:cs="Arial"/>
          <w:sz w:val="22"/>
          <w:szCs w:val="22"/>
        </w:rPr>
        <w:t>del</w:t>
      </w:r>
      <w:r w:rsidR="008D18D6" w:rsidRPr="00183D01">
        <w:rPr>
          <w:rFonts w:cs="Arial"/>
          <w:sz w:val="22"/>
          <w:szCs w:val="22"/>
        </w:rPr>
        <w:t xml:space="preserve"> </w:t>
      </w:r>
      <w:r w:rsidR="002B66B4" w:rsidRPr="00183D01">
        <w:rPr>
          <w:rFonts w:cs="Arial"/>
          <w:sz w:val="22"/>
          <w:szCs w:val="22"/>
        </w:rPr>
        <w:t>proyecto de transmisión</w:t>
      </w:r>
      <w:r w:rsidR="009A3B80" w:rsidRPr="00183D01">
        <w:rPr>
          <w:rFonts w:cs="Arial"/>
          <w:sz w:val="22"/>
          <w:szCs w:val="22"/>
        </w:rPr>
        <w:t>, cuando se apla</w:t>
      </w:r>
      <w:r w:rsidR="008D18D6" w:rsidRPr="00183D01">
        <w:rPr>
          <w:rFonts w:cs="Arial"/>
          <w:sz w:val="22"/>
          <w:szCs w:val="22"/>
        </w:rPr>
        <w:t>ce</w:t>
      </w:r>
      <w:r w:rsidR="009A3B80" w:rsidRPr="00183D01">
        <w:rPr>
          <w:rFonts w:cs="Arial"/>
          <w:sz w:val="22"/>
          <w:szCs w:val="22"/>
        </w:rPr>
        <w:t xml:space="preserve"> la FPO </w:t>
      </w:r>
      <w:r w:rsidR="008D18D6" w:rsidRPr="00183D01">
        <w:rPr>
          <w:rFonts w:cs="Arial"/>
          <w:sz w:val="22"/>
          <w:szCs w:val="22"/>
        </w:rPr>
        <w:t>de este último</w:t>
      </w:r>
      <w:r w:rsidRPr="00183D01">
        <w:rPr>
          <w:rFonts w:cs="Arial"/>
          <w:sz w:val="22"/>
          <w:szCs w:val="22"/>
        </w:rPr>
        <w:t>.</w:t>
      </w:r>
    </w:p>
    <w:p w14:paraId="367C3474" w14:textId="77777777" w:rsidR="00F076AB" w:rsidRPr="00183D01" w:rsidRDefault="00F076AB" w:rsidP="00F076AB">
      <w:pPr>
        <w:spacing w:before="240"/>
        <w:rPr>
          <w:rFonts w:cs="Arial"/>
          <w:sz w:val="22"/>
          <w:szCs w:val="22"/>
        </w:rPr>
      </w:pPr>
      <w:bookmarkStart w:id="13" w:name="_Toc86260312"/>
      <w:bookmarkStart w:id="14" w:name="_Ref136616473"/>
      <w:r w:rsidRPr="00183D01">
        <w:rPr>
          <w:rFonts w:cs="Arial"/>
          <w:sz w:val="22"/>
          <w:szCs w:val="22"/>
        </w:rPr>
        <w:t>Con este propósito se plantean los siguientes objetivos particulares:</w:t>
      </w:r>
    </w:p>
    <w:p w14:paraId="69480B27" w14:textId="75799F13" w:rsidR="00DB428A" w:rsidRDefault="00DB428A" w:rsidP="00F076AB">
      <w:pPr>
        <w:pStyle w:val="Texto"/>
        <w:numPr>
          <w:ilvl w:val="0"/>
          <w:numId w:val="28"/>
        </w:numPr>
        <w:spacing w:before="200" w:after="0"/>
        <w:ind w:left="714" w:hanging="357"/>
        <w:rPr>
          <w:szCs w:val="22"/>
        </w:rPr>
      </w:pPr>
      <w:r>
        <w:rPr>
          <w:szCs w:val="22"/>
        </w:rPr>
        <w:t>Determinar el mecanismo para hacer el ajuste</w:t>
      </w:r>
      <w:r w:rsidR="00DB4E5C">
        <w:rPr>
          <w:szCs w:val="22"/>
        </w:rPr>
        <w:t>.</w:t>
      </w:r>
    </w:p>
    <w:p w14:paraId="55F515B7" w14:textId="5E43C777" w:rsidR="00F076AB" w:rsidRPr="00183D01" w:rsidRDefault="00F076AB" w:rsidP="00F076AB">
      <w:pPr>
        <w:pStyle w:val="Texto"/>
        <w:numPr>
          <w:ilvl w:val="0"/>
          <w:numId w:val="28"/>
        </w:numPr>
        <w:spacing w:before="200" w:after="0"/>
        <w:ind w:left="714" w:hanging="357"/>
        <w:rPr>
          <w:szCs w:val="22"/>
        </w:rPr>
      </w:pPr>
      <w:r w:rsidRPr="00183D01">
        <w:rPr>
          <w:szCs w:val="22"/>
        </w:rPr>
        <w:t xml:space="preserve">Identificar </w:t>
      </w:r>
      <w:r w:rsidR="00A51B4F" w:rsidRPr="00183D01">
        <w:rPr>
          <w:szCs w:val="22"/>
        </w:rPr>
        <w:t>a cuáles</w:t>
      </w:r>
      <w:r w:rsidRPr="00183D01">
        <w:rPr>
          <w:szCs w:val="22"/>
        </w:rPr>
        <w:t xml:space="preserve"> proyectos les aplica esta propuesta.</w:t>
      </w:r>
    </w:p>
    <w:p w14:paraId="364EE393" w14:textId="5B4AF9F7" w:rsidR="00F076AB" w:rsidRPr="00183D01" w:rsidRDefault="00F076AB" w:rsidP="00F076AB">
      <w:pPr>
        <w:pStyle w:val="Texto"/>
        <w:numPr>
          <w:ilvl w:val="0"/>
          <w:numId w:val="28"/>
        </w:numPr>
        <w:spacing w:before="200" w:after="0"/>
        <w:ind w:left="714" w:hanging="357"/>
        <w:rPr>
          <w:szCs w:val="22"/>
        </w:rPr>
      </w:pPr>
      <w:r w:rsidRPr="00183D01">
        <w:rPr>
          <w:szCs w:val="22"/>
        </w:rPr>
        <w:t xml:space="preserve">Definir las </w:t>
      </w:r>
      <w:r w:rsidR="00FC6D1F" w:rsidRPr="00183D01">
        <w:rPr>
          <w:szCs w:val="22"/>
        </w:rPr>
        <w:t>condiciones que se deben cumplir para utilizar el mecanismo</w:t>
      </w:r>
      <w:r w:rsidRPr="00183D01">
        <w:rPr>
          <w:szCs w:val="22"/>
        </w:rPr>
        <w:t>.</w:t>
      </w:r>
    </w:p>
    <w:p w14:paraId="54893E3D" w14:textId="1CB65C66" w:rsidR="00D57F2B" w:rsidRPr="00183D01" w:rsidRDefault="000C2E91" w:rsidP="008A0C85">
      <w:pPr>
        <w:pStyle w:val="Ttulo1"/>
        <w:numPr>
          <w:ilvl w:val="0"/>
          <w:numId w:val="14"/>
        </w:numPr>
        <w:spacing w:before="360" w:after="0"/>
        <w:ind w:left="431" w:hanging="431"/>
        <w:jc w:val="left"/>
        <w:rPr>
          <w:rFonts w:cs="Arial"/>
          <w:sz w:val="22"/>
          <w:szCs w:val="22"/>
        </w:rPr>
      </w:pPr>
      <w:bookmarkStart w:id="15" w:name="_Ref144831770"/>
      <w:bookmarkStart w:id="16" w:name="_Toc144837716"/>
      <w:bookmarkEnd w:id="13"/>
      <w:bookmarkEnd w:id="14"/>
      <w:r w:rsidRPr="00183D01">
        <w:rPr>
          <w:rFonts w:cs="Arial"/>
          <w:sz w:val="22"/>
          <w:szCs w:val="22"/>
        </w:rPr>
        <w:t>ANÁLISIS DE ALTERNATIVAS</w:t>
      </w:r>
      <w:bookmarkEnd w:id="15"/>
      <w:bookmarkEnd w:id="16"/>
    </w:p>
    <w:p w14:paraId="30259B3A" w14:textId="32C85B7A" w:rsidR="00D57F2B" w:rsidRPr="00183D01" w:rsidRDefault="00D57F2B" w:rsidP="008A0C85">
      <w:pPr>
        <w:spacing w:before="220"/>
        <w:jc w:val="left"/>
        <w:rPr>
          <w:sz w:val="22"/>
          <w:szCs w:val="22"/>
          <w:lang w:val="es-MX"/>
        </w:rPr>
      </w:pPr>
      <w:r w:rsidRPr="00183D01">
        <w:rPr>
          <w:sz w:val="22"/>
          <w:szCs w:val="22"/>
        </w:rPr>
        <w:t xml:space="preserve">Con el propósito de solucionar el problema planteado se </w:t>
      </w:r>
      <w:r w:rsidR="000C2E91" w:rsidRPr="00183D01">
        <w:rPr>
          <w:sz w:val="22"/>
          <w:szCs w:val="22"/>
        </w:rPr>
        <w:t xml:space="preserve">analizan las alternativas descritas </w:t>
      </w:r>
      <w:r w:rsidR="00F718D6" w:rsidRPr="00183D01">
        <w:rPr>
          <w:sz w:val="22"/>
          <w:szCs w:val="22"/>
        </w:rPr>
        <w:t>en</w:t>
      </w:r>
      <w:r w:rsidR="000C2E91" w:rsidRPr="00183D01">
        <w:rPr>
          <w:sz w:val="22"/>
          <w:szCs w:val="22"/>
        </w:rPr>
        <w:t xml:space="preserve"> este numeral</w:t>
      </w:r>
      <w:r w:rsidRPr="00183D01">
        <w:rPr>
          <w:sz w:val="22"/>
          <w:szCs w:val="22"/>
          <w:lang w:val="es-MX"/>
        </w:rPr>
        <w:t xml:space="preserve">. </w:t>
      </w:r>
    </w:p>
    <w:p w14:paraId="2DC0DD95" w14:textId="6B4060AA" w:rsidR="00D57F2B" w:rsidRPr="00183D01" w:rsidRDefault="00C028DD" w:rsidP="00852F11">
      <w:pPr>
        <w:pStyle w:val="Ttulo2"/>
      </w:pPr>
      <w:bookmarkStart w:id="17" w:name="_Toc144837717"/>
      <w:r>
        <w:t xml:space="preserve">Alternativa 1. </w:t>
      </w:r>
      <w:r w:rsidR="00852F11" w:rsidRPr="00183D01">
        <w:t xml:space="preserve">Mantener </w:t>
      </w:r>
      <w:r w:rsidR="002941E2" w:rsidRPr="00183D01">
        <w:t>la forma de actualizar las garantías</w:t>
      </w:r>
      <w:bookmarkEnd w:id="17"/>
    </w:p>
    <w:p w14:paraId="35798718" w14:textId="7270EA7B" w:rsidR="00E33BEB" w:rsidRPr="00183D01" w:rsidRDefault="00F718D6" w:rsidP="008A0C85">
      <w:pPr>
        <w:spacing w:before="220"/>
        <w:jc w:val="left"/>
        <w:rPr>
          <w:sz w:val="22"/>
          <w:szCs w:val="22"/>
        </w:rPr>
      </w:pPr>
      <w:r w:rsidRPr="00183D01">
        <w:rPr>
          <w:sz w:val="22"/>
          <w:szCs w:val="22"/>
        </w:rPr>
        <w:t xml:space="preserve">De acuerdo con </w:t>
      </w:r>
      <w:r w:rsidR="00E33BEB" w:rsidRPr="00183D01">
        <w:rPr>
          <w:sz w:val="22"/>
          <w:szCs w:val="22"/>
        </w:rPr>
        <w:t>la regulación</w:t>
      </w:r>
      <w:r w:rsidR="006E323E" w:rsidRPr="00183D01">
        <w:rPr>
          <w:sz w:val="22"/>
          <w:szCs w:val="22"/>
        </w:rPr>
        <w:t xml:space="preserve"> vigente</w:t>
      </w:r>
      <w:r w:rsidR="00E33BEB" w:rsidRPr="00183D01">
        <w:rPr>
          <w:sz w:val="22"/>
          <w:szCs w:val="22"/>
        </w:rPr>
        <w:t xml:space="preserve">, las garantías </w:t>
      </w:r>
      <w:r w:rsidR="00BB4B14" w:rsidRPr="00183D01">
        <w:rPr>
          <w:sz w:val="22"/>
          <w:szCs w:val="22"/>
        </w:rPr>
        <w:t>otorgadas por</w:t>
      </w:r>
      <w:r w:rsidR="00E33BEB" w:rsidRPr="00183D01">
        <w:rPr>
          <w:sz w:val="22"/>
          <w:szCs w:val="22"/>
        </w:rPr>
        <w:t xml:space="preserve"> los </w:t>
      </w:r>
      <w:r w:rsidR="003B3149" w:rsidRPr="00183D01">
        <w:rPr>
          <w:sz w:val="22"/>
          <w:szCs w:val="22"/>
        </w:rPr>
        <w:t>usuarios</w:t>
      </w:r>
      <w:r w:rsidR="00E22D65" w:rsidRPr="00183D01">
        <w:rPr>
          <w:sz w:val="22"/>
          <w:szCs w:val="22"/>
        </w:rPr>
        <w:t xml:space="preserve"> de un proyecto de transmisión</w:t>
      </w:r>
      <w:r w:rsidR="003B3149" w:rsidRPr="00183D01">
        <w:rPr>
          <w:sz w:val="22"/>
          <w:szCs w:val="22"/>
        </w:rPr>
        <w:t xml:space="preserve"> </w:t>
      </w:r>
      <w:r w:rsidR="00121ED6" w:rsidRPr="00183D01">
        <w:rPr>
          <w:sz w:val="22"/>
          <w:szCs w:val="22"/>
        </w:rPr>
        <w:t xml:space="preserve">se actualizan cada doce meses con la </w:t>
      </w:r>
      <w:r w:rsidR="006E323E" w:rsidRPr="00183D01">
        <w:rPr>
          <w:sz w:val="22"/>
          <w:szCs w:val="22"/>
        </w:rPr>
        <w:t xml:space="preserve">misma </w:t>
      </w:r>
      <w:r w:rsidR="00121ED6" w:rsidRPr="00183D01">
        <w:rPr>
          <w:sz w:val="22"/>
          <w:szCs w:val="22"/>
        </w:rPr>
        <w:t xml:space="preserve">variación que se presente en el valor de las unidades constructivas de la actividad de </w:t>
      </w:r>
      <w:r w:rsidR="00321C03" w:rsidRPr="00183D01">
        <w:rPr>
          <w:sz w:val="22"/>
          <w:szCs w:val="22"/>
        </w:rPr>
        <w:t>transmisión</w:t>
      </w:r>
      <w:r w:rsidR="00BB4B14" w:rsidRPr="00183D01">
        <w:rPr>
          <w:sz w:val="22"/>
          <w:szCs w:val="22"/>
        </w:rPr>
        <w:t>,</w:t>
      </w:r>
      <w:r w:rsidR="00121ED6" w:rsidRPr="00183D01">
        <w:rPr>
          <w:sz w:val="22"/>
          <w:szCs w:val="22"/>
        </w:rPr>
        <w:t xml:space="preserve"> de acuerdo con </w:t>
      </w:r>
      <w:r w:rsidR="00831A99">
        <w:rPr>
          <w:sz w:val="22"/>
          <w:szCs w:val="22"/>
        </w:rPr>
        <w:t xml:space="preserve">lo previsto en </w:t>
      </w:r>
      <w:r w:rsidR="00121ED6" w:rsidRPr="00183D01">
        <w:rPr>
          <w:sz w:val="22"/>
          <w:szCs w:val="22"/>
        </w:rPr>
        <w:t>la Resolución CREG 011 de 2009</w:t>
      </w:r>
      <w:r w:rsidR="00BB4B14" w:rsidRPr="00183D01">
        <w:rPr>
          <w:rFonts w:ascii="Bookman Old Style" w:hAnsi="Bookman Old Style" w:cs="Arial"/>
          <w:spacing w:val="-3"/>
          <w:sz w:val="22"/>
          <w:szCs w:val="22"/>
        </w:rPr>
        <w:t>.</w:t>
      </w:r>
    </w:p>
    <w:p w14:paraId="4A84ABCF" w14:textId="4203BECF" w:rsidR="00BB4B14" w:rsidRPr="00183D01" w:rsidRDefault="009542E9" w:rsidP="003C78A5">
      <w:pPr>
        <w:spacing w:before="220"/>
        <w:jc w:val="left"/>
        <w:rPr>
          <w:sz w:val="22"/>
          <w:szCs w:val="22"/>
        </w:rPr>
      </w:pPr>
      <w:r>
        <w:rPr>
          <w:sz w:val="22"/>
          <w:szCs w:val="22"/>
        </w:rPr>
        <w:t xml:space="preserve">Esto hace que cuando se desplaza la FPO del proyecto de </w:t>
      </w:r>
      <w:r w:rsidR="003C78A5">
        <w:rPr>
          <w:sz w:val="22"/>
          <w:szCs w:val="22"/>
        </w:rPr>
        <w:t xml:space="preserve">transmisión, usando las causales previstas en la </w:t>
      </w:r>
      <w:r w:rsidR="003C78A5" w:rsidRPr="003C78A5">
        <w:rPr>
          <w:rStyle w:val="normaltextrun"/>
          <w:rFonts w:cs="Arial"/>
          <w:sz w:val="22"/>
          <w:szCs w:val="22"/>
        </w:rPr>
        <w:t>Resolución CREG 022 de 2001</w:t>
      </w:r>
      <w:r w:rsidR="009E37CE">
        <w:rPr>
          <w:rStyle w:val="normaltextrun"/>
          <w:rFonts w:cs="Arial"/>
          <w:sz w:val="22"/>
          <w:szCs w:val="22"/>
        </w:rPr>
        <w:t xml:space="preserve">, los usuarios del proyecto de transmisión deban prorrogar la vigencia de sus garantías y, por tanto, </w:t>
      </w:r>
      <w:r w:rsidR="00F1510F">
        <w:rPr>
          <w:rStyle w:val="normaltextrun"/>
          <w:rFonts w:cs="Arial"/>
          <w:sz w:val="22"/>
          <w:szCs w:val="22"/>
        </w:rPr>
        <w:t xml:space="preserve">continuar </w:t>
      </w:r>
      <w:r w:rsidR="009E37CE">
        <w:rPr>
          <w:rStyle w:val="normaltextrun"/>
          <w:rFonts w:cs="Arial"/>
          <w:sz w:val="22"/>
          <w:szCs w:val="22"/>
        </w:rPr>
        <w:t>actualiza</w:t>
      </w:r>
      <w:r w:rsidR="00F1510F">
        <w:rPr>
          <w:rStyle w:val="normaltextrun"/>
          <w:rFonts w:cs="Arial"/>
          <w:sz w:val="22"/>
          <w:szCs w:val="22"/>
        </w:rPr>
        <w:t>ndo</w:t>
      </w:r>
      <w:r w:rsidR="009E37CE">
        <w:rPr>
          <w:rStyle w:val="normaltextrun"/>
          <w:rFonts w:cs="Arial"/>
          <w:sz w:val="22"/>
          <w:szCs w:val="22"/>
        </w:rPr>
        <w:t xml:space="preserve"> su valor anualmente.</w:t>
      </w:r>
      <w:r w:rsidR="003C78A5" w:rsidRPr="003C78A5">
        <w:rPr>
          <w:rStyle w:val="normaltextrun"/>
          <w:rFonts w:cs="Arial"/>
          <w:sz w:val="22"/>
          <w:szCs w:val="22"/>
        </w:rPr>
        <w:t xml:space="preserve"> </w:t>
      </w:r>
    </w:p>
    <w:p w14:paraId="5460B6F1" w14:textId="5679E533" w:rsidR="009E37CE" w:rsidRPr="00183D01" w:rsidRDefault="00C028DD" w:rsidP="009E37CE">
      <w:pPr>
        <w:pStyle w:val="Ttulo2"/>
      </w:pPr>
      <w:bookmarkStart w:id="18" w:name="_Toc144837718"/>
      <w:r>
        <w:t xml:space="preserve">Alternativa 2. </w:t>
      </w:r>
      <w:r w:rsidR="009E37CE">
        <w:t>Proponer un mecanismo de ajuste</w:t>
      </w:r>
      <w:bookmarkEnd w:id="18"/>
    </w:p>
    <w:p w14:paraId="2CA9A6DB" w14:textId="2A0439DD" w:rsidR="009E37CE" w:rsidRDefault="009E37CE" w:rsidP="009E37CE">
      <w:pPr>
        <w:spacing w:before="220"/>
        <w:jc w:val="left"/>
        <w:rPr>
          <w:sz w:val="22"/>
          <w:szCs w:val="22"/>
        </w:rPr>
      </w:pPr>
      <w:r>
        <w:rPr>
          <w:sz w:val="22"/>
          <w:szCs w:val="22"/>
        </w:rPr>
        <w:t>Si bien la regulación ha considerado conveniente que las diferentes partes involucradas en la construcción de un proyecto de transmisión, el ejecutor del proyecto y los usuarios de ese proyecto, cumplan con sus obligaciones y para ello determinó que cada una de estas partes debería entregar garantías para cubrir esas obligaciones, el cubrimiento se prevé que sea para el tiempo que dura la construcción del proyecto del STN.</w:t>
      </w:r>
    </w:p>
    <w:p w14:paraId="70173500" w14:textId="3FB94036" w:rsidR="009E37CE" w:rsidRDefault="009E37CE" w:rsidP="009E37CE">
      <w:pPr>
        <w:spacing w:before="220"/>
        <w:jc w:val="left"/>
        <w:rPr>
          <w:sz w:val="22"/>
          <w:szCs w:val="22"/>
        </w:rPr>
      </w:pPr>
      <w:r>
        <w:rPr>
          <w:sz w:val="22"/>
          <w:szCs w:val="22"/>
        </w:rPr>
        <w:t xml:space="preserve">Lo que </w:t>
      </w:r>
      <w:r w:rsidR="00AC5822">
        <w:rPr>
          <w:sz w:val="22"/>
          <w:szCs w:val="22"/>
        </w:rPr>
        <w:t>está</w:t>
      </w:r>
      <w:r>
        <w:rPr>
          <w:sz w:val="22"/>
          <w:szCs w:val="22"/>
        </w:rPr>
        <w:t xml:space="preserve"> ocurri</w:t>
      </w:r>
      <w:r w:rsidR="00AC5822">
        <w:rPr>
          <w:sz w:val="22"/>
          <w:szCs w:val="22"/>
        </w:rPr>
        <w:t>endo</w:t>
      </w:r>
      <w:r>
        <w:rPr>
          <w:sz w:val="22"/>
          <w:szCs w:val="22"/>
        </w:rPr>
        <w:t xml:space="preserve"> en el país es que la construcción de los proyectos del STN, principalmente los que incluyen líneas de transmisión, se están demorando mucho más </w:t>
      </w:r>
      <w:r w:rsidR="00746AAC">
        <w:rPr>
          <w:sz w:val="22"/>
          <w:szCs w:val="22"/>
        </w:rPr>
        <w:t xml:space="preserve">tiempo </w:t>
      </w:r>
      <w:r>
        <w:rPr>
          <w:sz w:val="22"/>
          <w:szCs w:val="22"/>
        </w:rPr>
        <w:t>del previsto inicialmente</w:t>
      </w:r>
      <w:r w:rsidR="00AC5822">
        <w:rPr>
          <w:sz w:val="22"/>
          <w:szCs w:val="22"/>
        </w:rPr>
        <w:t xml:space="preserve"> y esto</w:t>
      </w:r>
      <w:r w:rsidR="00C028DD">
        <w:rPr>
          <w:sz w:val="22"/>
          <w:szCs w:val="22"/>
        </w:rPr>
        <w:t xml:space="preserve"> ocasiona el aplazamiento de la FPO de estos proyectos</w:t>
      </w:r>
      <w:r>
        <w:rPr>
          <w:sz w:val="22"/>
          <w:szCs w:val="22"/>
        </w:rPr>
        <w:t xml:space="preserve">. Esto </w:t>
      </w:r>
      <w:r w:rsidR="00C028DD">
        <w:rPr>
          <w:sz w:val="22"/>
          <w:szCs w:val="22"/>
        </w:rPr>
        <w:t>conduce a</w:t>
      </w:r>
      <w:r>
        <w:rPr>
          <w:sz w:val="22"/>
          <w:szCs w:val="22"/>
        </w:rPr>
        <w:t xml:space="preserve"> que la vigencia de las garantías otorgadas se tenga que prorrogar generando costos adicionales a los originalmente previstos.</w:t>
      </w:r>
      <w:r w:rsidR="00C028DD">
        <w:rPr>
          <w:sz w:val="22"/>
          <w:szCs w:val="22"/>
        </w:rPr>
        <w:t xml:space="preserve"> Para el caso de los usuarios del proyecto de transmisión, como se ha mencionado, se exige una actualización anual del valor de la cobertura.</w:t>
      </w:r>
    </w:p>
    <w:p w14:paraId="2DD46263" w14:textId="18B90A67" w:rsidR="00C028DD" w:rsidRDefault="00C028DD" w:rsidP="009E37CE">
      <w:pPr>
        <w:spacing w:before="220"/>
        <w:jc w:val="left"/>
        <w:rPr>
          <w:sz w:val="22"/>
          <w:szCs w:val="22"/>
        </w:rPr>
      </w:pPr>
      <w:r>
        <w:rPr>
          <w:sz w:val="22"/>
          <w:szCs w:val="22"/>
        </w:rPr>
        <w:t xml:space="preserve">Teniendo en cuenta lo anterior, se considera conveniente fijar un mecanismo que empiece a disminuir el valor de la cobertura de la garantía después de </w:t>
      </w:r>
      <w:r w:rsidR="00EC5057">
        <w:rPr>
          <w:sz w:val="22"/>
          <w:szCs w:val="22"/>
        </w:rPr>
        <w:t xml:space="preserve">que se </w:t>
      </w:r>
      <w:r>
        <w:rPr>
          <w:sz w:val="22"/>
          <w:szCs w:val="22"/>
        </w:rPr>
        <w:t>emp</w:t>
      </w:r>
      <w:r w:rsidR="00EC5057">
        <w:rPr>
          <w:sz w:val="22"/>
          <w:szCs w:val="22"/>
        </w:rPr>
        <w:t>iece</w:t>
      </w:r>
      <w:r>
        <w:rPr>
          <w:sz w:val="22"/>
          <w:szCs w:val="22"/>
        </w:rPr>
        <w:t xml:space="preserve"> a desplazar la FPO de lo proyectos de transmisión.</w:t>
      </w:r>
    </w:p>
    <w:p w14:paraId="3E481551" w14:textId="1D2A175B" w:rsidR="00C028DD" w:rsidRDefault="00C028DD" w:rsidP="009E37CE">
      <w:pPr>
        <w:spacing w:before="220"/>
        <w:jc w:val="left"/>
        <w:rPr>
          <w:sz w:val="22"/>
          <w:szCs w:val="22"/>
        </w:rPr>
      </w:pPr>
      <w:r>
        <w:rPr>
          <w:sz w:val="22"/>
          <w:szCs w:val="22"/>
        </w:rPr>
        <w:t>Esta será la propuesta a recomendar con este documento.</w:t>
      </w:r>
    </w:p>
    <w:p w14:paraId="169AD6D0" w14:textId="77777777" w:rsidR="00027771" w:rsidRPr="00D54B09" w:rsidRDefault="00027771" w:rsidP="00027771">
      <w:pPr>
        <w:pStyle w:val="Ttulo1"/>
        <w:numPr>
          <w:ilvl w:val="0"/>
          <w:numId w:val="14"/>
        </w:numPr>
        <w:spacing w:before="360" w:after="0"/>
        <w:ind w:left="431" w:hanging="431"/>
        <w:jc w:val="left"/>
        <w:rPr>
          <w:rFonts w:cs="Arial"/>
          <w:sz w:val="22"/>
          <w:szCs w:val="22"/>
        </w:rPr>
      </w:pPr>
      <w:bookmarkStart w:id="19" w:name="_Toc144837719"/>
      <w:r w:rsidRPr="00D54B09">
        <w:rPr>
          <w:rFonts w:cs="Arial"/>
          <w:sz w:val="22"/>
          <w:szCs w:val="22"/>
        </w:rPr>
        <w:lastRenderedPageBreak/>
        <w:t>CONSULTA PÚBLICA</w:t>
      </w:r>
      <w:bookmarkEnd w:id="19"/>
    </w:p>
    <w:p w14:paraId="4D2F9B3D" w14:textId="6744B98B" w:rsidR="00027771" w:rsidRDefault="00027771" w:rsidP="00027771">
      <w:pPr>
        <w:spacing w:before="240"/>
        <w:jc w:val="left"/>
        <w:rPr>
          <w:rFonts w:cs="Arial"/>
          <w:sz w:val="22"/>
          <w:szCs w:val="22"/>
        </w:rPr>
      </w:pPr>
      <w:r>
        <w:rPr>
          <w:rFonts w:cs="Arial"/>
          <w:sz w:val="22"/>
          <w:szCs w:val="22"/>
        </w:rPr>
        <w:t>Con el propósito de conocer los comentarios y sugerencias de todos los interesados, se public</w:t>
      </w:r>
      <w:r w:rsidR="00426AE6">
        <w:rPr>
          <w:rFonts w:cs="Arial"/>
          <w:sz w:val="22"/>
          <w:szCs w:val="22"/>
        </w:rPr>
        <w:t>ó</w:t>
      </w:r>
      <w:r>
        <w:rPr>
          <w:rFonts w:cs="Arial"/>
          <w:sz w:val="22"/>
          <w:szCs w:val="22"/>
        </w:rPr>
        <w:t xml:space="preserve"> para consulta el </w:t>
      </w:r>
      <w:r w:rsidR="002128A4">
        <w:rPr>
          <w:rFonts w:cs="Arial"/>
          <w:sz w:val="22"/>
          <w:szCs w:val="22"/>
        </w:rPr>
        <w:t>P</w:t>
      </w:r>
      <w:r>
        <w:rPr>
          <w:rFonts w:cs="Arial"/>
          <w:sz w:val="22"/>
          <w:szCs w:val="22"/>
        </w:rPr>
        <w:t xml:space="preserve">royecto de </w:t>
      </w:r>
      <w:r w:rsidR="002128A4">
        <w:rPr>
          <w:rFonts w:cs="Arial"/>
          <w:sz w:val="22"/>
          <w:szCs w:val="22"/>
        </w:rPr>
        <w:t>R</w:t>
      </w:r>
      <w:r>
        <w:rPr>
          <w:rFonts w:cs="Arial"/>
          <w:sz w:val="22"/>
          <w:szCs w:val="22"/>
        </w:rPr>
        <w:t xml:space="preserve">esolución </w:t>
      </w:r>
      <w:r w:rsidR="002128A4">
        <w:rPr>
          <w:rFonts w:cs="Arial"/>
          <w:sz w:val="22"/>
          <w:szCs w:val="22"/>
        </w:rPr>
        <w:t xml:space="preserve">CREG </w:t>
      </w:r>
      <w:r w:rsidR="00E47828">
        <w:rPr>
          <w:rFonts w:cs="Arial"/>
          <w:sz w:val="22"/>
          <w:szCs w:val="22"/>
        </w:rPr>
        <w:t>701 014 de 2023</w:t>
      </w:r>
      <w:r>
        <w:rPr>
          <w:rFonts w:cs="Arial"/>
          <w:sz w:val="22"/>
          <w:szCs w:val="22"/>
        </w:rPr>
        <w:t>.</w:t>
      </w:r>
    </w:p>
    <w:p w14:paraId="01D0E621" w14:textId="779CE176" w:rsidR="00352F40" w:rsidRPr="00A0558A" w:rsidRDefault="00352F40" w:rsidP="00352F40">
      <w:pPr>
        <w:spacing w:before="240"/>
        <w:jc w:val="left"/>
        <w:rPr>
          <w:rFonts w:cs="Arial"/>
          <w:sz w:val="22"/>
          <w:szCs w:val="22"/>
        </w:rPr>
      </w:pPr>
      <w:r w:rsidRPr="00A0558A">
        <w:rPr>
          <w:rFonts w:cs="Arial"/>
          <w:sz w:val="22"/>
          <w:szCs w:val="22"/>
        </w:rPr>
        <w:t xml:space="preserve">Se recibieron comentarios con las siguientes comunicaciones: </w:t>
      </w:r>
      <w:r w:rsidR="002F3E43" w:rsidRPr="002F3E43">
        <w:rPr>
          <w:rFonts w:cs="Arial"/>
          <w:sz w:val="22"/>
          <w:szCs w:val="22"/>
        </w:rPr>
        <w:t xml:space="preserve">Air-e </w:t>
      </w:r>
      <w:r w:rsidR="002F3E43">
        <w:rPr>
          <w:rFonts w:cs="Arial"/>
          <w:sz w:val="22"/>
          <w:szCs w:val="22"/>
        </w:rPr>
        <w:t>con radicado CREG</w:t>
      </w:r>
      <w:r w:rsidR="002F3E43" w:rsidRPr="00A0558A">
        <w:rPr>
          <w:rFonts w:cs="Arial"/>
          <w:sz w:val="22"/>
          <w:szCs w:val="22"/>
        </w:rPr>
        <w:t xml:space="preserve"> </w:t>
      </w:r>
      <w:r w:rsidR="002F3E43" w:rsidRPr="002F3E43">
        <w:rPr>
          <w:rFonts w:cs="Arial"/>
          <w:sz w:val="22"/>
          <w:szCs w:val="22"/>
        </w:rPr>
        <w:t xml:space="preserve">E2023012873; </w:t>
      </w:r>
      <w:proofErr w:type="spellStart"/>
      <w:r w:rsidR="002F3E43" w:rsidRPr="002F3E43">
        <w:rPr>
          <w:rFonts w:cs="Arial"/>
          <w:sz w:val="22"/>
          <w:szCs w:val="22"/>
        </w:rPr>
        <w:t>Andesco</w:t>
      </w:r>
      <w:proofErr w:type="spellEnd"/>
      <w:r w:rsidR="002F3E43" w:rsidRPr="002F3E43">
        <w:rPr>
          <w:rFonts w:cs="Arial"/>
          <w:sz w:val="22"/>
          <w:szCs w:val="22"/>
        </w:rPr>
        <w:t xml:space="preserve">, E2023012898; </w:t>
      </w:r>
      <w:proofErr w:type="spellStart"/>
      <w:r w:rsidR="002F3E43" w:rsidRPr="002F3E43">
        <w:rPr>
          <w:rFonts w:cs="Arial"/>
          <w:sz w:val="22"/>
          <w:szCs w:val="22"/>
        </w:rPr>
        <w:t>Acolgen</w:t>
      </w:r>
      <w:proofErr w:type="spellEnd"/>
      <w:r w:rsidR="002F3E43" w:rsidRPr="002F3E43">
        <w:rPr>
          <w:rFonts w:cs="Arial"/>
          <w:sz w:val="22"/>
          <w:szCs w:val="22"/>
        </w:rPr>
        <w:t>, E2023012907; OGE</w:t>
      </w:r>
      <w:r w:rsidR="00814361">
        <w:rPr>
          <w:rFonts w:cs="Arial"/>
          <w:sz w:val="22"/>
          <w:szCs w:val="22"/>
        </w:rPr>
        <w:t xml:space="preserve"> </w:t>
      </w:r>
      <w:r w:rsidR="002F3E43" w:rsidRPr="002F3E43">
        <w:rPr>
          <w:rFonts w:cs="Arial"/>
          <w:sz w:val="22"/>
          <w:szCs w:val="22"/>
        </w:rPr>
        <w:t>Legal</w:t>
      </w:r>
      <w:r w:rsidR="006D39FA">
        <w:rPr>
          <w:rFonts w:cs="Arial"/>
          <w:sz w:val="22"/>
          <w:szCs w:val="22"/>
        </w:rPr>
        <w:t xml:space="preserve"> </w:t>
      </w:r>
      <w:proofErr w:type="spellStart"/>
      <w:r w:rsidR="002F3E43" w:rsidRPr="002F3E43">
        <w:rPr>
          <w:rFonts w:cs="Arial"/>
          <w:sz w:val="22"/>
          <w:szCs w:val="22"/>
        </w:rPr>
        <w:t>S</w:t>
      </w:r>
      <w:r w:rsidR="006D39FA">
        <w:rPr>
          <w:rFonts w:cs="Arial"/>
          <w:sz w:val="22"/>
          <w:szCs w:val="22"/>
        </w:rPr>
        <w:t>ervices</w:t>
      </w:r>
      <w:proofErr w:type="spellEnd"/>
      <w:r w:rsidR="002F3E43" w:rsidRPr="002F3E43">
        <w:rPr>
          <w:rFonts w:cs="Arial"/>
          <w:sz w:val="22"/>
          <w:szCs w:val="22"/>
        </w:rPr>
        <w:t xml:space="preserve">, E2023012908; XM, E2023012913; </w:t>
      </w:r>
      <w:proofErr w:type="spellStart"/>
      <w:r w:rsidR="002F3E43" w:rsidRPr="002F3E43">
        <w:rPr>
          <w:rFonts w:cs="Arial"/>
          <w:sz w:val="22"/>
          <w:szCs w:val="22"/>
        </w:rPr>
        <w:t>Asocodis</w:t>
      </w:r>
      <w:proofErr w:type="spellEnd"/>
      <w:r w:rsidR="002F3E43" w:rsidRPr="002F3E43">
        <w:rPr>
          <w:rFonts w:cs="Arial"/>
          <w:sz w:val="22"/>
          <w:szCs w:val="22"/>
        </w:rPr>
        <w:t>, E2023012914; Drummond, E2023012916; Enel, E2023012918; SER, E2023012921; ABO</w:t>
      </w:r>
      <w:r w:rsidR="00814361">
        <w:rPr>
          <w:rFonts w:cs="Arial"/>
          <w:sz w:val="22"/>
          <w:szCs w:val="22"/>
        </w:rPr>
        <w:t xml:space="preserve"> </w:t>
      </w:r>
      <w:proofErr w:type="spellStart"/>
      <w:r w:rsidR="002F3E43" w:rsidRPr="002F3E43">
        <w:rPr>
          <w:rFonts w:cs="Arial"/>
          <w:sz w:val="22"/>
          <w:szCs w:val="22"/>
        </w:rPr>
        <w:t>Wind</w:t>
      </w:r>
      <w:proofErr w:type="spellEnd"/>
      <w:r w:rsidR="002F3E43" w:rsidRPr="002F3E43">
        <w:rPr>
          <w:rFonts w:cs="Arial"/>
          <w:sz w:val="22"/>
          <w:szCs w:val="22"/>
        </w:rPr>
        <w:t xml:space="preserve">, E2023012945; </w:t>
      </w:r>
      <w:proofErr w:type="spellStart"/>
      <w:r w:rsidR="002F3E43" w:rsidRPr="002F3E43">
        <w:rPr>
          <w:rFonts w:cs="Arial"/>
          <w:sz w:val="22"/>
          <w:szCs w:val="22"/>
        </w:rPr>
        <w:t>Tebsa</w:t>
      </w:r>
      <w:proofErr w:type="spellEnd"/>
      <w:r w:rsidR="002F3E43" w:rsidRPr="002F3E43">
        <w:rPr>
          <w:rFonts w:cs="Arial"/>
          <w:sz w:val="22"/>
          <w:szCs w:val="22"/>
        </w:rPr>
        <w:t>, E2023013206</w:t>
      </w:r>
      <w:r w:rsidR="002F3E43">
        <w:rPr>
          <w:rFonts w:cs="Arial"/>
          <w:sz w:val="22"/>
          <w:szCs w:val="22"/>
        </w:rPr>
        <w:t>.</w:t>
      </w:r>
    </w:p>
    <w:p w14:paraId="52A69AF8" w14:textId="46193D6E" w:rsidR="00E47828" w:rsidRDefault="00352F40" w:rsidP="00352F40">
      <w:pPr>
        <w:spacing w:before="240"/>
        <w:jc w:val="left"/>
        <w:rPr>
          <w:rFonts w:cs="Arial"/>
          <w:sz w:val="22"/>
          <w:szCs w:val="22"/>
        </w:rPr>
      </w:pPr>
      <w:r w:rsidRPr="00D142EC">
        <w:rPr>
          <w:rFonts w:cs="Arial"/>
          <w:sz w:val="22"/>
          <w:szCs w:val="22"/>
        </w:rPr>
        <w:t xml:space="preserve">El </w:t>
      </w:r>
      <w:r>
        <w:rPr>
          <w:rFonts w:cs="Arial"/>
          <w:sz w:val="22"/>
          <w:szCs w:val="22"/>
        </w:rPr>
        <w:t xml:space="preserve">texto </w:t>
      </w:r>
      <w:r w:rsidRPr="00D142EC">
        <w:rPr>
          <w:rFonts w:cs="Arial"/>
          <w:sz w:val="22"/>
          <w:szCs w:val="22"/>
        </w:rPr>
        <w:t xml:space="preserve">de los comentarios </w:t>
      </w:r>
      <w:r>
        <w:rPr>
          <w:rFonts w:cs="Arial"/>
          <w:sz w:val="22"/>
          <w:szCs w:val="22"/>
        </w:rPr>
        <w:t xml:space="preserve">recibidos </w:t>
      </w:r>
      <w:r w:rsidRPr="00D142EC">
        <w:rPr>
          <w:rFonts w:cs="Arial"/>
          <w:sz w:val="22"/>
          <w:szCs w:val="22"/>
        </w:rPr>
        <w:t xml:space="preserve">y los correspondientes análisis se muestran </w:t>
      </w:r>
      <w:r>
        <w:rPr>
          <w:rFonts w:cs="Arial"/>
          <w:sz w:val="22"/>
          <w:szCs w:val="22"/>
        </w:rPr>
        <w:t>en un archivo en Excel anexo a este documento.</w:t>
      </w:r>
    </w:p>
    <w:p w14:paraId="4312AC07" w14:textId="3F1764EA" w:rsidR="00814361" w:rsidRDefault="005E6C90" w:rsidP="00352F40">
      <w:pPr>
        <w:spacing w:before="240"/>
        <w:jc w:val="left"/>
        <w:rPr>
          <w:rFonts w:cs="Arial"/>
          <w:sz w:val="22"/>
          <w:szCs w:val="22"/>
        </w:rPr>
      </w:pPr>
      <w:r>
        <w:rPr>
          <w:rFonts w:cs="Arial"/>
          <w:sz w:val="22"/>
          <w:szCs w:val="22"/>
        </w:rPr>
        <w:t xml:space="preserve">El mayor número de comentarios se relaciona con </w:t>
      </w:r>
      <w:r w:rsidR="00E72AFB">
        <w:rPr>
          <w:rFonts w:cs="Arial"/>
          <w:sz w:val="22"/>
          <w:szCs w:val="22"/>
        </w:rPr>
        <w:t xml:space="preserve">la forma de calcular el valor actualizado, el avance </w:t>
      </w:r>
      <w:r w:rsidR="00C948B5">
        <w:rPr>
          <w:rFonts w:cs="Arial"/>
          <w:sz w:val="22"/>
          <w:szCs w:val="22"/>
        </w:rPr>
        <w:t>de</w:t>
      </w:r>
      <w:r w:rsidR="00E72AFB">
        <w:rPr>
          <w:rFonts w:cs="Arial"/>
          <w:sz w:val="22"/>
          <w:szCs w:val="22"/>
        </w:rPr>
        <w:t xml:space="preserve">l proyecto que se conecta al Proyecto de Transmisión </w:t>
      </w:r>
      <w:r w:rsidR="00C948B5">
        <w:rPr>
          <w:rFonts w:cs="Arial"/>
          <w:sz w:val="22"/>
          <w:szCs w:val="22"/>
        </w:rPr>
        <w:t>y a partir de cuándo se puede presentar la solicitud de ajuste. También hay comentarios sobre otros temas no incluidos en la consulta</w:t>
      </w:r>
      <w:r w:rsidR="0051239A">
        <w:rPr>
          <w:rFonts w:cs="Arial"/>
          <w:sz w:val="22"/>
          <w:szCs w:val="22"/>
        </w:rPr>
        <w:t>.</w:t>
      </w:r>
    </w:p>
    <w:p w14:paraId="160B8AA4" w14:textId="2024AD96" w:rsidR="00C028DD" w:rsidRPr="00183D01" w:rsidRDefault="00C028DD" w:rsidP="00C028DD">
      <w:pPr>
        <w:pStyle w:val="Ttulo1"/>
        <w:numPr>
          <w:ilvl w:val="0"/>
          <w:numId w:val="14"/>
        </w:numPr>
        <w:spacing w:before="360" w:after="0"/>
        <w:ind w:left="431" w:hanging="431"/>
        <w:jc w:val="left"/>
        <w:rPr>
          <w:rFonts w:cs="Arial"/>
          <w:sz w:val="22"/>
          <w:szCs w:val="22"/>
        </w:rPr>
      </w:pPr>
      <w:bookmarkStart w:id="20" w:name="_Toc144837720"/>
      <w:r>
        <w:rPr>
          <w:rFonts w:cs="Arial"/>
          <w:sz w:val="22"/>
          <w:szCs w:val="22"/>
        </w:rPr>
        <w:t>PROPUESTA REGULATORIA</w:t>
      </w:r>
      <w:bookmarkEnd w:id="20"/>
    </w:p>
    <w:p w14:paraId="53D2647B" w14:textId="5B418641" w:rsidR="00C028DD" w:rsidRPr="00183D01" w:rsidRDefault="00C028DD" w:rsidP="00C028DD">
      <w:pPr>
        <w:spacing w:before="220"/>
        <w:jc w:val="left"/>
        <w:rPr>
          <w:sz w:val="22"/>
          <w:szCs w:val="22"/>
          <w:lang w:val="es-MX"/>
        </w:rPr>
      </w:pPr>
      <w:r>
        <w:rPr>
          <w:sz w:val="22"/>
          <w:szCs w:val="22"/>
        </w:rPr>
        <w:t>En este numeral se desarrolla la alternativa 2</w:t>
      </w:r>
      <w:r w:rsidR="0051239A">
        <w:rPr>
          <w:sz w:val="22"/>
          <w:szCs w:val="22"/>
        </w:rPr>
        <w:t xml:space="preserve">, </w:t>
      </w:r>
      <w:r w:rsidR="007B647A">
        <w:rPr>
          <w:sz w:val="22"/>
          <w:szCs w:val="22"/>
        </w:rPr>
        <w:t>propues</w:t>
      </w:r>
      <w:r w:rsidR="0089303B">
        <w:rPr>
          <w:sz w:val="22"/>
          <w:szCs w:val="22"/>
        </w:rPr>
        <w:t>t</w:t>
      </w:r>
      <w:r w:rsidR="0051239A">
        <w:rPr>
          <w:sz w:val="22"/>
          <w:szCs w:val="22"/>
        </w:rPr>
        <w:t xml:space="preserve">a en el numeral </w:t>
      </w:r>
      <w:r w:rsidR="0051239A">
        <w:rPr>
          <w:sz w:val="22"/>
          <w:szCs w:val="22"/>
        </w:rPr>
        <w:fldChar w:fldCharType="begin"/>
      </w:r>
      <w:r w:rsidR="0051239A">
        <w:rPr>
          <w:sz w:val="22"/>
          <w:szCs w:val="22"/>
        </w:rPr>
        <w:instrText xml:space="preserve"> REF _Ref144831770 \r \h </w:instrText>
      </w:r>
      <w:r w:rsidR="0051239A">
        <w:rPr>
          <w:sz w:val="22"/>
          <w:szCs w:val="22"/>
        </w:rPr>
      </w:r>
      <w:r w:rsidR="0051239A">
        <w:rPr>
          <w:sz w:val="22"/>
          <w:szCs w:val="22"/>
        </w:rPr>
        <w:fldChar w:fldCharType="separate"/>
      </w:r>
      <w:r w:rsidR="00F45FE3">
        <w:rPr>
          <w:sz w:val="22"/>
          <w:szCs w:val="22"/>
        </w:rPr>
        <w:t>4</w:t>
      </w:r>
      <w:r w:rsidR="0051239A">
        <w:rPr>
          <w:sz w:val="22"/>
          <w:szCs w:val="22"/>
        </w:rPr>
        <w:fldChar w:fldCharType="end"/>
      </w:r>
      <w:r w:rsidR="0089303B">
        <w:rPr>
          <w:sz w:val="22"/>
          <w:szCs w:val="22"/>
        </w:rPr>
        <w:t>,</w:t>
      </w:r>
      <w:r>
        <w:rPr>
          <w:sz w:val="22"/>
          <w:szCs w:val="22"/>
        </w:rPr>
        <w:t xml:space="preserve"> y las condiciones para su utilización</w:t>
      </w:r>
      <w:r w:rsidR="00F61128">
        <w:rPr>
          <w:sz w:val="22"/>
          <w:szCs w:val="22"/>
        </w:rPr>
        <w:t>, teniendo en cuenta los comentarios recibidos y los nuevos análisis de la Comisión</w:t>
      </w:r>
      <w:r>
        <w:rPr>
          <w:sz w:val="22"/>
          <w:szCs w:val="22"/>
        </w:rPr>
        <w:t xml:space="preserve">. </w:t>
      </w:r>
    </w:p>
    <w:p w14:paraId="4965B7A5" w14:textId="430B649A" w:rsidR="00C028DD" w:rsidRPr="00183D01" w:rsidRDefault="00C028DD" w:rsidP="00C028DD">
      <w:pPr>
        <w:pStyle w:val="Ttulo2"/>
      </w:pPr>
      <w:bookmarkStart w:id="21" w:name="_Ref138675867"/>
      <w:bookmarkStart w:id="22" w:name="_Toc144837721"/>
      <w:r>
        <w:t>Fecha del inicio de aplicación</w:t>
      </w:r>
      <w:bookmarkEnd w:id="21"/>
      <w:bookmarkEnd w:id="22"/>
      <w:r>
        <w:t xml:space="preserve"> </w:t>
      </w:r>
    </w:p>
    <w:p w14:paraId="21E9509E" w14:textId="384832E5" w:rsidR="00AB7B0C" w:rsidRDefault="000B348E" w:rsidP="00C028DD">
      <w:pPr>
        <w:spacing w:before="220"/>
        <w:jc w:val="left"/>
        <w:rPr>
          <w:sz w:val="22"/>
          <w:szCs w:val="22"/>
        </w:rPr>
      </w:pPr>
      <w:r>
        <w:rPr>
          <w:sz w:val="22"/>
          <w:szCs w:val="22"/>
        </w:rPr>
        <w:t xml:space="preserve">Para </w:t>
      </w:r>
      <w:r w:rsidR="00AB7B0C">
        <w:rPr>
          <w:sz w:val="22"/>
          <w:szCs w:val="22"/>
        </w:rPr>
        <w:t>determinar</w:t>
      </w:r>
      <w:r>
        <w:rPr>
          <w:sz w:val="22"/>
          <w:szCs w:val="22"/>
        </w:rPr>
        <w:t xml:space="preserve"> la fecha a partir de la cual se considera aplicable </w:t>
      </w:r>
      <w:r w:rsidR="00AB7B0C">
        <w:rPr>
          <w:sz w:val="22"/>
          <w:szCs w:val="22"/>
        </w:rPr>
        <w:t>est</w:t>
      </w:r>
      <w:r>
        <w:rPr>
          <w:sz w:val="22"/>
          <w:szCs w:val="22"/>
        </w:rPr>
        <w:t>a propuesta se debe identificar la FPO inicial del proceso de transmisión.</w:t>
      </w:r>
      <w:r w:rsidR="00AB7B0C">
        <w:rPr>
          <w:sz w:val="22"/>
          <w:szCs w:val="22"/>
        </w:rPr>
        <w:t xml:space="preserve"> Esta fecha corresponde a la </w:t>
      </w:r>
      <w:r w:rsidR="0089303B">
        <w:rPr>
          <w:sz w:val="22"/>
          <w:szCs w:val="22"/>
        </w:rPr>
        <w:t xml:space="preserve">incluida por </w:t>
      </w:r>
      <w:r w:rsidR="00AB7B0C">
        <w:rPr>
          <w:sz w:val="22"/>
          <w:szCs w:val="22"/>
        </w:rPr>
        <w:t xml:space="preserve">la UPME </w:t>
      </w:r>
      <w:r w:rsidR="00D2075C">
        <w:rPr>
          <w:sz w:val="22"/>
          <w:szCs w:val="22"/>
        </w:rPr>
        <w:t>en los Documentos de Selección de la respectiva convocatoria</w:t>
      </w:r>
      <w:r w:rsidR="00AB7B0C">
        <w:rPr>
          <w:sz w:val="22"/>
          <w:szCs w:val="22"/>
        </w:rPr>
        <w:t>.</w:t>
      </w:r>
    </w:p>
    <w:p w14:paraId="0822D014" w14:textId="5B22E014" w:rsidR="000B348E" w:rsidRDefault="00AB7B0C" w:rsidP="00C028DD">
      <w:pPr>
        <w:spacing w:before="220"/>
        <w:jc w:val="left"/>
        <w:rPr>
          <w:sz w:val="22"/>
          <w:szCs w:val="22"/>
        </w:rPr>
      </w:pPr>
      <w:r>
        <w:rPr>
          <w:sz w:val="22"/>
          <w:szCs w:val="22"/>
        </w:rPr>
        <w:t xml:space="preserve">Para hacerle seguimiento a esta fecha, debe mantenerse publicada en la ventanilla única de la UPME de que trata la Resolución CREG 075 de 2021. </w:t>
      </w:r>
      <w:r w:rsidR="000B348E">
        <w:rPr>
          <w:sz w:val="22"/>
          <w:szCs w:val="22"/>
        </w:rPr>
        <w:t xml:space="preserve"> </w:t>
      </w:r>
    </w:p>
    <w:p w14:paraId="41C95024" w14:textId="6000C8C3" w:rsidR="00AB7B0C" w:rsidRPr="00183D01" w:rsidRDefault="00AB7B0C" w:rsidP="00AB7B0C">
      <w:pPr>
        <w:pStyle w:val="Ttulo2"/>
      </w:pPr>
      <w:bookmarkStart w:id="23" w:name="_Ref138675458"/>
      <w:bookmarkStart w:id="24" w:name="_Toc144837722"/>
      <w:r>
        <w:t>Avance de los proyectos que se van a conectar al STN</w:t>
      </w:r>
      <w:bookmarkEnd w:id="23"/>
      <w:bookmarkEnd w:id="24"/>
      <w:r>
        <w:t xml:space="preserve"> </w:t>
      </w:r>
    </w:p>
    <w:p w14:paraId="09ECEE27" w14:textId="2C1B4D25" w:rsidR="00AB7B0C" w:rsidRDefault="00AB7B0C" w:rsidP="00AB7B0C">
      <w:pPr>
        <w:spacing w:before="220"/>
        <w:jc w:val="left"/>
        <w:rPr>
          <w:sz w:val="22"/>
          <w:szCs w:val="22"/>
        </w:rPr>
      </w:pPr>
      <w:r>
        <w:rPr>
          <w:sz w:val="22"/>
          <w:szCs w:val="22"/>
        </w:rPr>
        <w:t>En general, los proyectos que tiene</w:t>
      </w:r>
      <w:r w:rsidR="007E3D67">
        <w:rPr>
          <w:sz w:val="22"/>
          <w:szCs w:val="22"/>
        </w:rPr>
        <w:t>n</w:t>
      </w:r>
      <w:r>
        <w:rPr>
          <w:sz w:val="22"/>
          <w:szCs w:val="22"/>
        </w:rPr>
        <w:t xml:space="preserve"> alguna relación con el STN cuentan con una interventoría que reporta el seguimiento y el avance en el desarrollo de estos proyectos.</w:t>
      </w:r>
      <w:r w:rsidR="007E3D67">
        <w:rPr>
          <w:sz w:val="22"/>
          <w:szCs w:val="22"/>
        </w:rPr>
        <w:t xml:space="preserve"> P</w:t>
      </w:r>
      <w:r>
        <w:rPr>
          <w:sz w:val="22"/>
          <w:szCs w:val="22"/>
        </w:rPr>
        <w:t>ara el proyecto</w:t>
      </w:r>
      <w:r w:rsidR="00225403">
        <w:rPr>
          <w:sz w:val="22"/>
          <w:szCs w:val="22"/>
        </w:rPr>
        <w:t xml:space="preserve"> del STN </w:t>
      </w:r>
      <w:r w:rsidR="00B915C0">
        <w:rPr>
          <w:sz w:val="22"/>
          <w:szCs w:val="22"/>
        </w:rPr>
        <w:t xml:space="preserve">adjudicado en la convocatoria </w:t>
      </w:r>
      <w:r>
        <w:rPr>
          <w:sz w:val="22"/>
          <w:szCs w:val="22"/>
        </w:rPr>
        <w:t xml:space="preserve">se cuenta con una firma de interventoría. </w:t>
      </w:r>
      <w:r w:rsidR="00066F48">
        <w:rPr>
          <w:sz w:val="22"/>
          <w:szCs w:val="22"/>
        </w:rPr>
        <w:t>L</w:t>
      </w:r>
      <w:r>
        <w:rPr>
          <w:sz w:val="22"/>
          <w:szCs w:val="22"/>
        </w:rPr>
        <w:t xml:space="preserve">os </w:t>
      </w:r>
      <w:r w:rsidR="00DB6254">
        <w:rPr>
          <w:sz w:val="22"/>
          <w:szCs w:val="22"/>
        </w:rPr>
        <w:t xml:space="preserve">proyectos </w:t>
      </w:r>
      <w:r>
        <w:rPr>
          <w:sz w:val="22"/>
          <w:szCs w:val="22"/>
        </w:rPr>
        <w:t xml:space="preserve">que se conectan, si tienen obligaciones </w:t>
      </w:r>
      <w:r w:rsidRPr="00AB7B0C">
        <w:rPr>
          <w:sz w:val="22"/>
          <w:szCs w:val="22"/>
        </w:rPr>
        <w:t>adquiridas mediante los mecanismos dispuestos por el Gobierno Nacional, por el Ministerio de Minas y Energía o por la CREG</w:t>
      </w:r>
      <w:r>
        <w:rPr>
          <w:sz w:val="22"/>
          <w:szCs w:val="22"/>
        </w:rPr>
        <w:t>, también cuentan con firmas de interventoría.</w:t>
      </w:r>
    </w:p>
    <w:p w14:paraId="1EAA67E0" w14:textId="02C57E6B" w:rsidR="00164571" w:rsidRDefault="00AB7B0C" w:rsidP="00AB7B0C">
      <w:pPr>
        <w:spacing w:before="220"/>
        <w:jc w:val="left"/>
        <w:rPr>
          <w:sz w:val="22"/>
          <w:szCs w:val="22"/>
        </w:rPr>
      </w:pPr>
      <w:r>
        <w:rPr>
          <w:sz w:val="22"/>
          <w:szCs w:val="22"/>
        </w:rPr>
        <w:t>Por lo anterior</w:t>
      </w:r>
      <w:r w:rsidR="00164571">
        <w:rPr>
          <w:sz w:val="22"/>
          <w:szCs w:val="22"/>
        </w:rPr>
        <w:t>,</w:t>
      </w:r>
      <w:r>
        <w:rPr>
          <w:sz w:val="22"/>
          <w:szCs w:val="22"/>
        </w:rPr>
        <w:t xml:space="preserve"> se propone </w:t>
      </w:r>
      <w:r w:rsidR="00164571">
        <w:rPr>
          <w:sz w:val="22"/>
          <w:szCs w:val="22"/>
        </w:rPr>
        <w:t>que los avances de los proyectos se tomen de los informes de seguimiento que entregan periódicamente las interventorías de los proyectos y, para los proyectos que no tengan la obligación regulatoria de entregar informes periódicos</w:t>
      </w:r>
      <w:r w:rsidR="00164571" w:rsidRPr="00164571">
        <w:rPr>
          <w:sz w:val="22"/>
          <w:szCs w:val="22"/>
        </w:rPr>
        <w:t xml:space="preserve"> </w:t>
      </w:r>
      <w:r w:rsidR="00164571">
        <w:rPr>
          <w:sz w:val="22"/>
          <w:szCs w:val="22"/>
        </w:rPr>
        <w:t xml:space="preserve">y quieran acogerse a esta propuesta, a partir de la </w:t>
      </w:r>
      <w:proofErr w:type="gramStart"/>
      <w:r w:rsidR="00164571">
        <w:rPr>
          <w:sz w:val="22"/>
          <w:szCs w:val="22"/>
        </w:rPr>
        <w:t>entrada en vigencia</w:t>
      </w:r>
      <w:proofErr w:type="gramEnd"/>
      <w:r w:rsidR="00164571">
        <w:rPr>
          <w:sz w:val="22"/>
          <w:szCs w:val="22"/>
        </w:rPr>
        <w:t xml:space="preserve"> de la presente resolución</w:t>
      </w:r>
      <w:r w:rsidR="00FD38CB">
        <w:rPr>
          <w:sz w:val="22"/>
          <w:szCs w:val="22"/>
        </w:rPr>
        <w:t>,</w:t>
      </w:r>
      <w:r w:rsidR="00164571">
        <w:rPr>
          <w:sz w:val="22"/>
          <w:szCs w:val="22"/>
        </w:rPr>
        <w:t xml:space="preserve"> deberán entregar </w:t>
      </w:r>
      <w:r w:rsidR="00164571" w:rsidRPr="00164571">
        <w:rPr>
          <w:sz w:val="22"/>
          <w:szCs w:val="22"/>
        </w:rPr>
        <w:t xml:space="preserve">un informe de seguimiento </w:t>
      </w:r>
      <w:r w:rsidR="00164571">
        <w:rPr>
          <w:sz w:val="22"/>
          <w:szCs w:val="22"/>
        </w:rPr>
        <w:t>que contenga lo siguiente:</w:t>
      </w:r>
    </w:p>
    <w:p w14:paraId="09523104" w14:textId="066FDDB9" w:rsidR="00164571" w:rsidRDefault="00164571" w:rsidP="00164571">
      <w:pPr>
        <w:pStyle w:val="Prrafodelista"/>
        <w:numPr>
          <w:ilvl w:val="0"/>
          <w:numId w:val="28"/>
        </w:numPr>
        <w:spacing w:before="220"/>
        <w:jc w:val="left"/>
        <w:rPr>
          <w:sz w:val="22"/>
          <w:szCs w:val="22"/>
        </w:rPr>
      </w:pPr>
      <w:r w:rsidRPr="00164571">
        <w:rPr>
          <w:sz w:val="22"/>
          <w:szCs w:val="22"/>
        </w:rPr>
        <w:t>comparación del avance del proyecto</w:t>
      </w:r>
      <w:r>
        <w:rPr>
          <w:sz w:val="22"/>
          <w:szCs w:val="22"/>
        </w:rPr>
        <w:t xml:space="preserve"> </w:t>
      </w:r>
      <w:r w:rsidRPr="00164571">
        <w:rPr>
          <w:sz w:val="22"/>
          <w:szCs w:val="22"/>
        </w:rPr>
        <w:t xml:space="preserve">con la curva S </w:t>
      </w:r>
      <w:r>
        <w:rPr>
          <w:sz w:val="22"/>
          <w:szCs w:val="22"/>
        </w:rPr>
        <w:t>del proyecto</w:t>
      </w:r>
      <w:r w:rsidRPr="00164571">
        <w:rPr>
          <w:sz w:val="22"/>
          <w:szCs w:val="22"/>
        </w:rPr>
        <w:t>, y las explicaciones respectivas acerca de las diferencias</w:t>
      </w:r>
      <w:r>
        <w:rPr>
          <w:sz w:val="22"/>
          <w:szCs w:val="22"/>
        </w:rPr>
        <w:t>;</w:t>
      </w:r>
    </w:p>
    <w:p w14:paraId="41BF8097" w14:textId="0C23FC9D" w:rsidR="00164571" w:rsidRPr="00164571" w:rsidRDefault="00164571" w:rsidP="00164571">
      <w:pPr>
        <w:pStyle w:val="Prrafodelista"/>
        <w:numPr>
          <w:ilvl w:val="0"/>
          <w:numId w:val="28"/>
        </w:numPr>
        <w:spacing w:before="220"/>
        <w:jc w:val="left"/>
        <w:rPr>
          <w:sz w:val="22"/>
          <w:szCs w:val="22"/>
        </w:rPr>
      </w:pPr>
      <w:r w:rsidRPr="00164571">
        <w:rPr>
          <w:sz w:val="22"/>
          <w:szCs w:val="22"/>
        </w:rPr>
        <w:lastRenderedPageBreak/>
        <w:t>un resumen del avance del proyecto que pueda darse a conocer al público, el cual será divulgado por la UPME a través de la ventanilla única</w:t>
      </w:r>
      <w:r>
        <w:rPr>
          <w:sz w:val="22"/>
          <w:szCs w:val="22"/>
        </w:rPr>
        <w:t xml:space="preserve">. </w:t>
      </w:r>
      <w:r w:rsidRPr="00164571">
        <w:rPr>
          <w:sz w:val="22"/>
          <w:szCs w:val="22"/>
        </w:rPr>
        <w:t>Como mínimo, el resumen deberá informar el estado del proyecto, comparar la ejecución real con la proyectada y mostrar una fecha estimada del inicio de operación</w:t>
      </w:r>
      <w:r w:rsidR="00BA0C25">
        <w:rPr>
          <w:sz w:val="22"/>
          <w:szCs w:val="22"/>
        </w:rPr>
        <w:t>.</w:t>
      </w:r>
    </w:p>
    <w:p w14:paraId="2EBC0E9D" w14:textId="1E06DA40" w:rsidR="00BA0C25" w:rsidRDefault="00BA0C25" w:rsidP="00BA0C25">
      <w:pPr>
        <w:spacing w:before="220"/>
        <w:jc w:val="left"/>
        <w:rPr>
          <w:sz w:val="22"/>
          <w:szCs w:val="22"/>
        </w:rPr>
      </w:pPr>
      <w:r w:rsidRPr="00BA0C25">
        <w:rPr>
          <w:sz w:val="22"/>
          <w:szCs w:val="22"/>
        </w:rPr>
        <w:t xml:space="preserve">El informe </w:t>
      </w:r>
      <w:r>
        <w:rPr>
          <w:sz w:val="22"/>
          <w:szCs w:val="22"/>
        </w:rPr>
        <w:t xml:space="preserve">se </w:t>
      </w:r>
      <w:r w:rsidRPr="00BA0C25">
        <w:rPr>
          <w:sz w:val="22"/>
          <w:szCs w:val="22"/>
        </w:rPr>
        <w:t xml:space="preserve">deberá entregar a través de la ventanilla única dentro de los treinta días calendario siguientes a cuando se cumpla un </w:t>
      </w:r>
      <w:r>
        <w:rPr>
          <w:sz w:val="22"/>
          <w:szCs w:val="22"/>
        </w:rPr>
        <w:t xml:space="preserve">nuevo </w:t>
      </w:r>
      <w:r w:rsidRPr="00BA0C25">
        <w:rPr>
          <w:sz w:val="22"/>
          <w:szCs w:val="22"/>
        </w:rPr>
        <w:t xml:space="preserve">semestre </w:t>
      </w:r>
      <w:r>
        <w:rPr>
          <w:sz w:val="22"/>
          <w:szCs w:val="22"/>
        </w:rPr>
        <w:t>en el</w:t>
      </w:r>
      <w:r w:rsidRPr="00BA0C25">
        <w:rPr>
          <w:sz w:val="22"/>
          <w:szCs w:val="22"/>
        </w:rPr>
        <w:t xml:space="preserve"> desarrollo del proyecto</w:t>
      </w:r>
      <w:r>
        <w:rPr>
          <w:sz w:val="22"/>
          <w:szCs w:val="22"/>
        </w:rPr>
        <w:t>. S</w:t>
      </w:r>
      <w:r w:rsidRPr="00164571">
        <w:rPr>
          <w:sz w:val="22"/>
          <w:szCs w:val="22"/>
        </w:rPr>
        <w:t>i para la supervisión de la construcción del proyecto que se va a conectar se cuenta con una firma de interventoría, esta deberá ser la encargada de elaborar el respectivo informe</w:t>
      </w:r>
      <w:r>
        <w:rPr>
          <w:sz w:val="22"/>
          <w:szCs w:val="22"/>
        </w:rPr>
        <w:t>;</w:t>
      </w:r>
      <w:r w:rsidRPr="00164571">
        <w:rPr>
          <w:sz w:val="22"/>
          <w:szCs w:val="22"/>
        </w:rPr>
        <w:t xml:space="preserve"> </w:t>
      </w:r>
      <w:r>
        <w:rPr>
          <w:sz w:val="22"/>
          <w:szCs w:val="22"/>
        </w:rPr>
        <w:t>s</w:t>
      </w:r>
      <w:r w:rsidRPr="00164571">
        <w:rPr>
          <w:sz w:val="22"/>
          <w:szCs w:val="22"/>
        </w:rPr>
        <w:t xml:space="preserve">i no se cuenta con dicha firma, el representante legal del interesado </w:t>
      </w:r>
      <w:r>
        <w:rPr>
          <w:sz w:val="22"/>
          <w:szCs w:val="22"/>
        </w:rPr>
        <w:t xml:space="preserve">en el proyecto </w:t>
      </w:r>
      <w:r w:rsidRPr="00164571">
        <w:rPr>
          <w:sz w:val="22"/>
          <w:szCs w:val="22"/>
        </w:rPr>
        <w:t>deberá suscribir el informe a entregar</w:t>
      </w:r>
      <w:r>
        <w:rPr>
          <w:sz w:val="22"/>
          <w:szCs w:val="22"/>
        </w:rPr>
        <w:t>.</w:t>
      </w:r>
    </w:p>
    <w:p w14:paraId="3A75A22F" w14:textId="078523D4" w:rsidR="00164571" w:rsidRDefault="007173F8" w:rsidP="00AB7B0C">
      <w:pPr>
        <w:spacing w:before="220"/>
        <w:jc w:val="left"/>
        <w:rPr>
          <w:sz w:val="22"/>
          <w:szCs w:val="22"/>
        </w:rPr>
      </w:pPr>
      <w:r>
        <w:rPr>
          <w:sz w:val="22"/>
          <w:szCs w:val="22"/>
        </w:rPr>
        <w:t>Los porcentajes de</w:t>
      </w:r>
      <w:r w:rsidR="00BA0C25">
        <w:rPr>
          <w:sz w:val="22"/>
          <w:szCs w:val="22"/>
        </w:rPr>
        <w:t xml:space="preserve"> avance</w:t>
      </w:r>
      <w:r>
        <w:rPr>
          <w:sz w:val="22"/>
          <w:szCs w:val="22"/>
        </w:rPr>
        <w:t xml:space="preserve"> de los proyectos</w:t>
      </w:r>
      <w:r w:rsidR="00BA0C25">
        <w:rPr>
          <w:sz w:val="22"/>
          <w:szCs w:val="22"/>
        </w:rPr>
        <w:t xml:space="preserve"> serán publicados por la UPME a través de la ventanilla única y será el sitio para consultarlos cuando se quiera hacer uso de esta propuesta.</w:t>
      </w:r>
    </w:p>
    <w:p w14:paraId="24C15E94" w14:textId="23EA8CA0" w:rsidR="00BA0C25" w:rsidRPr="00183D01" w:rsidRDefault="00BA0C25" w:rsidP="00BA0C25">
      <w:pPr>
        <w:pStyle w:val="Ttulo2"/>
      </w:pPr>
      <w:bookmarkStart w:id="25" w:name="_Ref138675446"/>
      <w:bookmarkStart w:id="26" w:name="_Toc144837723"/>
      <w:r>
        <w:t>Cobertura actualizada de la garantía</w:t>
      </w:r>
      <w:bookmarkEnd w:id="25"/>
      <w:bookmarkEnd w:id="26"/>
    </w:p>
    <w:p w14:paraId="295628D0" w14:textId="3933FEC3" w:rsidR="00BA0C25" w:rsidRDefault="00BA0C25" w:rsidP="00BA0C25">
      <w:pPr>
        <w:spacing w:before="220"/>
        <w:jc w:val="left"/>
        <w:rPr>
          <w:sz w:val="22"/>
          <w:szCs w:val="22"/>
        </w:rPr>
      </w:pPr>
      <w:r>
        <w:rPr>
          <w:sz w:val="22"/>
          <w:szCs w:val="22"/>
        </w:rPr>
        <w:t xml:space="preserve">Para </w:t>
      </w:r>
      <w:r w:rsidR="001B5DDA">
        <w:rPr>
          <w:sz w:val="22"/>
          <w:szCs w:val="22"/>
        </w:rPr>
        <w:t>la</w:t>
      </w:r>
      <w:r>
        <w:rPr>
          <w:sz w:val="22"/>
          <w:szCs w:val="22"/>
        </w:rPr>
        <w:t xml:space="preserve"> propuesta </w:t>
      </w:r>
      <w:r w:rsidR="001B5DDA">
        <w:rPr>
          <w:sz w:val="22"/>
          <w:szCs w:val="22"/>
        </w:rPr>
        <w:t xml:space="preserve">presentada en este documento </w:t>
      </w:r>
      <w:r>
        <w:rPr>
          <w:sz w:val="22"/>
          <w:szCs w:val="22"/>
        </w:rPr>
        <w:t xml:space="preserve">se tendrá como referencia el valor </w:t>
      </w:r>
      <w:r w:rsidR="002A4EF9">
        <w:rPr>
          <w:sz w:val="22"/>
          <w:szCs w:val="22"/>
        </w:rPr>
        <w:t>inic</w:t>
      </w:r>
      <w:r w:rsidR="00156EEE">
        <w:rPr>
          <w:sz w:val="22"/>
          <w:szCs w:val="22"/>
        </w:rPr>
        <w:t xml:space="preserve">ial de la garantía, </w:t>
      </w:r>
      <w:r w:rsidR="00657E52">
        <w:rPr>
          <w:sz w:val="22"/>
          <w:szCs w:val="22"/>
        </w:rPr>
        <w:t>expresado en</w:t>
      </w:r>
      <w:r w:rsidR="007C3C6B">
        <w:rPr>
          <w:sz w:val="22"/>
          <w:szCs w:val="22"/>
        </w:rPr>
        <w:t xml:space="preserve"> </w:t>
      </w:r>
      <w:r w:rsidR="00657E52">
        <w:rPr>
          <w:sz w:val="22"/>
          <w:szCs w:val="22"/>
        </w:rPr>
        <w:t>pesos de 2008</w:t>
      </w:r>
      <w:r w:rsidR="00764050">
        <w:rPr>
          <w:sz w:val="22"/>
          <w:szCs w:val="22"/>
        </w:rPr>
        <w:t xml:space="preserve">. Para constituir la </w:t>
      </w:r>
      <w:r>
        <w:rPr>
          <w:sz w:val="22"/>
          <w:szCs w:val="22"/>
        </w:rPr>
        <w:t>primera garantía,</w:t>
      </w:r>
      <w:r w:rsidR="00F2582B">
        <w:rPr>
          <w:sz w:val="22"/>
          <w:szCs w:val="22"/>
        </w:rPr>
        <w:t xml:space="preserve"> se toma </w:t>
      </w:r>
      <w:r w:rsidR="004622BD">
        <w:rPr>
          <w:sz w:val="22"/>
          <w:szCs w:val="22"/>
        </w:rPr>
        <w:t>este</w:t>
      </w:r>
      <w:r w:rsidR="00F2582B">
        <w:rPr>
          <w:sz w:val="22"/>
          <w:szCs w:val="22"/>
        </w:rPr>
        <w:t xml:space="preserve"> valor inicial y se actualiza con la variación del </w:t>
      </w:r>
      <w:r w:rsidR="005B7334">
        <w:rPr>
          <w:sz w:val="22"/>
          <w:szCs w:val="22"/>
        </w:rPr>
        <w:t>índice de precios utilizado en la Resolu</w:t>
      </w:r>
      <w:r w:rsidR="005E477B">
        <w:rPr>
          <w:sz w:val="22"/>
          <w:szCs w:val="22"/>
        </w:rPr>
        <w:t>c</w:t>
      </w:r>
      <w:r w:rsidR="005B7334">
        <w:rPr>
          <w:sz w:val="22"/>
          <w:szCs w:val="22"/>
        </w:rPr>
        <w:t>ión CREG 011 de 2009</w:t>
      </w:r>
      <w:r w:rsidR="005E477B">
        <w:rPr>
          <w:sz w:val="22"/>
          <w:szCs w:val="22"/>
        </w:rPr>
        <w:t xml:space="preserve">, </w:t>
      </w:r>
      <w:r>
        <w:rPr>
          <w:sz w:val="22"/>
          <w:szCs w:val="22"/>
        </w:rPr>
        <w:t xml:space="preserve">entre </w:t>
      </w:r>
      <w:r w:rsidR="004D62EB">
        <w:rPr>
          <w:sz w:val="22"/>
          <w:szCs w:val="22"/>
        </w:rPr>
        <w:t xml:space="preserve">diciembre de 2008 y </w:t>
      </w:r>
      <w:r>
        <w:rPr>
          <w:sz w:val="22"/>
          <w:szCs w:val="22"/>
        </w:rPr>
        <w:t xml:space="preserve">la fecha de </w:t>
      </w:r>
      <w:r w:rsidR="0046114D">
        <w:rPr>
          <w:sz w:val="22"/>
          <w:szCs w:val="22"/>
        </w:rPr>
        <w:t xml:space="preserve">constitución de la </w:t>
      </w:r>
      <w:r>
        <w:rPr>
          <w:sz w:val="22"/>
          <w:szCs w:val="22"/>
        </w:rPr>
        <w:t>garantía.</w:t>
      </w:r>
    </w:p>
    <w:p w14:paraId="6FB9E8EB" w14:textId="72F78608" w:rsidR="00BA0C25" w:rsidRDefault="00BA0C25" w:rsidP="00BA0C25">
      <w:pPr>
        <w:spacing w:before="220"/>
        <w:jc w:val="left"/>
        <w:rPr>
          <w:sz w:val="22"/>
          <w:szCs w:val="22"/>
        </w:rPr>
      </w:pPr>
      <w:r>
        <w:rPr>
          <w:sz w:val="22"/>
          <w:szCs w:val="22"/>
        </w:rPr>
        <w:t>La actualización del valor de la cobertura de la garantía debe hacerse cada doce meses a partir de la fecha de la constitución de la garantía inicial</w:t>
      </w:r>
      <w:r w:rsidR="00520464">
        <w:rPr>
          <w:sz w:val="22"/>
          <w:szCs w:val="22"/>
        </w:rPr>
        <w:t>, utilizando la variación del mismo índice mencionado en el párrafo anterior.</w:t>
      </w:r>
    </w:p>
    <w:p w14:paraId="3E7A6BCE" w14:textId="5F10E53E" w:rsidR="00653223" w:rsidRDefault="00653223" w:rsidP="00BA0C25">
      <w:pPr>
        <w:spacing w:before="220"/>
        <w:jc w:val="left"/>
        <w:rPr>
          <w:sz w:val="22"/>
          <w:szCs w:val="22"/>
        </w:rPr>
      </w:pPr>
      <w:r>
        <w:rPr>
          <w:sz w:val="22"/>
          <w:szCs w:val="22"/>
        </w:rPr>
        <w:t xml:space="preserve">De acuerdo con la </w:t>
      </w:r>
      <w:r w:rsidRPr="00653223">
        <w:rPr>
          <w:sz w:val="22"/>
          <w:szCs w:val="22"/>
        </w:rPr>
        <w:t>Resolución CREG 011 de 2009</w:t>
      </w:r>
      <w:r>
        <w:rPr>
          <w:sz w:val="22"/>
          <w:szCs w:val="22"/>
        </w:rPr>
        <w:t xml:space="preserve">, la actualización del valor </w:t>
      </w:r>
      <w:r w:rsidR="00E375CD">
        <w:rPr>
          <w:sz w:val="22"/>
          <w:szCs w:val="22"/>
        </w:rPr>
        <w:t>del ingreso anual de los transmisores</w:t>
      </w:r>
      <w:r w:rsidR="0081114A">
        <w:rPr>
          <w:sz w:val="22"/>
          <w:szCs w:val="22"/>
        </w:rPr>
        <w:t xml:space="preserve">, estimado con base </w:t>
      </w:r>
      <w:r w:rsidR="00056ED4">
        <w:rPr>
          <w:sz w:val="22"/>
          <w:szCs w:val="22"/>
        </w:rPr>
        <w:t>en</w:t>
      </w:r>
      <w:r>
        <w:rPr>
          <w:sz w:val="22"/>
          <w:szCs w:val="22"/>
        </w:rPr>
        <w:t xml:space="preserve"> las unidades constructivas </w:t>
      </w:r>
      <w:r w:rsidR="00056ED4">
        <w:rPr>
          <w:sz w:val="22"/>
          <w:szCs w:val="22"/>
        </w:rPr>
        <w:t xml:space="preserve">incluidas en su base de activos, </w:t>
      </w:r>
      <w:r>
        <w:rPr>
          <w:sz w:val="22"/>
          <w:szCs w:val="22"/>
        </w:rPr>
        <w:t>es igual a la variación del IPP</w:t>
      </w:r>
      <w:r w:rsidR="00FA4204">
        <w:rPr>
          <w:sz w:val="22"/>
          <w:szCs w:val="22"/>
        </w:rPr>
        <w:t>. D</w:t>
      </w:r>
      <w:r>
        <w:rPr>
          <w:sz w:val="22"/>
          <w:szCs w:val="22"/>
        </w:rPr>
        <w:t>e acuerdo con la</w:t>
      </w:r>
      <w:r w:rsidR="00FB7904">
        <w:rPr>
          <w:sz w:val="22"/>
          <w:szCs w:val="22"/>
        </w:rPr>
        <w:t>s</w:t>
      </w:r>
      <w:r>
        <w:rPr>
          <w:sz w:val="22"/>
          <w:szCs w:val="22"/>
        </w:rPr>
        <w:t xml:space="preserve"> </w:t>
      </w:r>
      <w:r w:rsidR="00FB7904">
        <w:rPr>
          <w:sz w:val="22"/>
          <w:szCs w:val="22"/>
        </w:rPr>
        <w:t>c</w:t>
      </w:r>
      <w:r>
        <w:rPr>
          <w:sz w:val="22"/>
          <w:szCs w:val="22"/>
        </w:rPr>
        <w:t>ircular</w:t>
      </w:r>
      <w:r w:rsidR="00FB7904">
        <w:rPr>
          <w:sz w:val="22"/>
          <w:szCs w:val="22"/>
        </w:rPr>
        <w:t>es</w:t>
      </w:r>
      <w:r>
        <w:rPr>
          <w:sz w:val="22"/>
          <w:szCs w:val="22"/>
        </w:rPr>
        <w:t xml:space="preserve"> CREG</w:t>
      </w:r>
      <w:r w:rsidR="00E63587">
        <w:rPr>
          <w:sz w:val="22"/>
          <w:szCs w:val="22"/>
        </w:rPr>
        <w:t xml:space="preserve"> 020 de 2015 y 014 de 2021, </w:t>
      </w:r>
      <w:r w:rsidR="002722BA">
        <w:rPr>
          <w:sz w:val="22"/>
          <w:szCs w:val="22"/>
        </w:rPr>
        <w:t xml:space="preserve">este índice </w:t>
      </w:r>
      <w:r w:rsidR="00E63587">
        <w:rPr>
          <w:sz w:val="22"/>
          <w:szCs w:val="22"/>
        </w:rPr>
        <w:t xml:space="preserve">corresponde a </w:t>
      </w:r>
      <w:r w:rsidR="00267EEA">
        <w:rPr>
          <w:sz w:val="22"/>
          <w:szCs w:val="22"/>
        </w:rPr>
        <w:t xml:space="preserve">los valores “provisionales” que publica </w:t>
      </w:r>
      <w:r w:rsidR="00254503">
        <w:rPr>
          <w:sz w:val="22"/>
          <w:szCs w:val="22"/>
        </w:rPr>
        <w:t>mensualmente</w:t>
      </w:r>
      <w:r w:rsidR="00267EEA">
        <w:rPr>
          <w:sz w:val="22"/>
          <w:szCs w:val="22"/>
        </w:rPr>
        <w:t xml:space="preserve"> el DANE para </w:t>
      </w:r>
      <w:r w:rsidR="00267EEA" w:rsidRPr="00267EEA">
        <w:rPr>
          <w:sz w:val="22"/>
          <w:szCs w:val="22"/>
        </w:rPr>
        <w:t xml:space="preserve">la serie “Oferta interna” </w:t>
      </w:r>
      <w:r w:rsidR="00AF670E">
        <w:rPr>
          <w:sz w:val="22"/>
          <w:szCs w:val="22"/>
        </w:rPr>
        <w:t xml:space="preserve">del </w:t>
      </w:r>
      <w:r w:rsidR="00254503" w:rsidRPr="00254503">
        <w:rPr>
          <w:sz w:val="22"/>
          <w:szCs w:val="22"/>
        </w:rPr>
        <w:t>Índice de Precios del Productor, IPP</w:t>
      </w:r>
      <w:r w:rsidR="00AF670E">
        <w:rPr>
          <w:sz w:val="22"/>
          <w:szCs w:val="22"/>
        </w:rPr>
        <w:t>.</w:t>
      </w:r>
      <w:r w:rsidRPr="00653223">
        <w:rPr>
          <w:rFonts w:ascii="Bookman Old Style" w:hAnsi="Bookman Old Style" w:cs="Arial"/>
          <w:spacing w:val="-3"/>
          <w:sz w:val="22"/>
          <w:szCs w:val="22"/>
        </w:rPr>
        <w:t xml:space="preserve"> </w:t>
      </w:r>
    </w:p>
    <w:p w14:paraId="187E5F3D" w14:textId="77777777" w:rsidR="00BA0C25" w:rsidRPr="00183D01" w:rsidRDefault="00BA0C25" w:rsidP="00BA0C25">
      <w:pPr>
        <w:pStyle w:val="Ttulo2"/>
      </w:pPr>
      <w:bookmarkStart w:id="27" w:name="_Ref138675597"/>
      <w:bookmarkStart w:id="28" w:name="_Toc144837724"/>
      <w:r>
        <w:t>Ajuste de la cobertura de la garantía por aplazamiento de la FPO del proyecto de transmisión</w:t>
      </w:r>
      <w:bookmarkEnd w:id="27"/>
      <w:bookmarkEnd w:id="28"/>
    </w:p>
    <w:p w14:paraId="43186C9E" w14:textId="711915C6" w:rsidR="00BA0C25" w:rsidRDefault="002A7899" w:rsidP="00BA0C25">
      <w:pPr>
        <w:spacing w:before="220"/>
        <w:jc w:val="left"/>
        <w:rPr>
          <w:sz w:val="22"/>
          <w:szCs w:val="22"/>
        </w:rPr>
      </w:pPr>
      <w:r>
        <w:rPr>
          <w:sz w:val="22"/>
          <w:szCs w:val="22"/>
        </w:rPr>
        <w:t>A partir de la cobertura actualizada de la garantía</w:t>
      </w:r>
      <w:r w:rsidR="004374EF">
        <w:rPr>
          <w:sz w:val="22"/>
          <w:szCs w:val="22"/>
        </w:rPr>
        <w:t xml:space="preserve"> se </w:t>
      </w:r>
      <w:r w:rsidR="009B1427">
        <w:rPr>
          <w:sz w:val="22"/>
          <w:szCs w:val="22"/>
        </w:rPr>
        <w:t xml:space="preserve">obtiene </w:t>
      </w:r>
      <w:r w:rsidR="00842C69">
        <w:rPr>
          <w:sz w:val="22"/>
          <w:szCs w:val="22"/>
        </w:rPr>
        <w:t xml:space="preserve">un </w:t>
      </w:r>
      <w:r w:rsidR="004374EF">
        <w:rPr>
          <w:sz w:val="22"/>
          <w:szCs w:val="22"/>
        </w:rPr>
        <w:t xml:space="preserve">nuevo valor </w:t>
      </w:r>
      <w:r w:rsidR="009B1427">
        <w:rPr>
          <w:sz w:val="22"/>
          <w:szCs w:val="22"/>
        </w:rPr>
        <w:t>ajustado usando la siguiente fórmula:</w:t>
      </w:r>
    </w:p>
    <w:p w14:paraId="47D43933" w14:textId="77777777" w:rsidR="00D17ABC" w:rsidRPr="00922A18" w:rsidRDefault="00D17ABC" w:rsidP="00D17ABC">
      <w:pPr>
        <w:pStyle w:val="Citas"/>
        <w:spacing w:before="120"/>
        <w:ind w:left="284" w:right="142"/>
        <w:rPr>
          <w:lang w:val="es-CO"/>
        </w:rPr>
      </w:pPr>
      <m:oMathPara>
        <m:oMathParaPr>
          <m:jc m:val="centerGroup"/>
        </m:oMathParaPr>
        <m:oMath>
          <m:r>
            <w:rPr>
              <w:rFonts w:ascii="Cambria Math" w:hAnsi="Cambria Math"/>
              <w:lang w:val="es-CO"/>
            </w:rPr>
            <m:t>V</m:t>
          </m:r>
          <m:sSub>
            <m:sSubPr>
              <m:ctrlPr>
                <w:rPr>
                  <w:rFonts w:ascii="Cambria Math" w:hAnsi="Cambria Math"/>
                  <w:lang w:val="es-CO"/>
                </w:rPr>
              </m:ctrlPr>
            </m:sSubPr>
            <m:e>
              <m:r>
                <w:rPr>
                  <w:rFonts w:ascii="Cambria Math" w:hAnsi="Cambria Math"/>
                  <w:lang w:val="es-CO"/>
                </w:rPr>
                <m:t>C</m:t>
              </m:r>
            </m:e>
            <m:sub>
              <m:r>
                <w:rPr>
                  <w:rFonts w:ascii="Cambria Math" w:hAnsi="Cambria Math"/>
                  <w:lang w:val="es-CO"/>
                </w:rPr>
                <m:t>aj</m:t>
              </m:r>
            </m:sub>
          </m:sSub>
          <m:r>
            <w:rPr>
              <w:rFonts w:ascii="Cambria Math" w:hAnsi="Cambria Math"/>
              <w:lang w:val="es-CO"/>
            </w:rPr>
            <m:t>=V</m:t>
          </m:r>
          <m:sSub>
            <m:sSubPr>
              <m:ctrlPr>
                <w:rPr>
                  <w:rFonts w:ascii="Cambria Math" w:hAnsi="Cambria Math"/>
                  <w:lang w:val="es-CO"/>
                </w:rPr>
              </m:ctrlPr>
            </m:sSubPr>
            <m:e>
              <m:r>
                <w:rPr>
                  <w:rFonts w:ascii="Cambria Math" w:hAnsi="Cambria Math"/>
                  <w:lang w:val="es-CO"/>
                </w:rPr>
                <m:t>C</m:t>
              </m:r>
            </m:e>
            <m:sub>
              <m:r>
                <w:rPr>
                  <w:rFonts w:ascii="Cambria Math" w:hAnsi="Cambria Math"/>
                  <w:lang w:val="es-CO"/>
                </w:rPr>
                <m:t>act</m:t>
              </m:r>
            </m:sub>
          </m:sSub>
          <m:r>
            <w:rPr>
              <w:rFonts w:ascii="Cambria Math" w:hAnsi="Cambria Math"/>
              <w:lang w:val="es-CO"/>
            </w:rPr>
            <m:t>*(1,1-A</m:t>
          </m:r>
          <m:sSub>
            <m:sSubPr>
              <m:ctrlPr>
                <w:rPr>
                  <w:rFonts w:ascii="Cambria Math" w:hAnsi="Cambria Math"/>
                  <w:lang w:val="es-CO"/>
                </w:rPr>
              </m:ctrlPr>
            </m:sSubPr>
            <m:e>
              <m:r>
                <w:rPr>
                  <w:rFonts w:ascii="Cambria Math" w:hAnsi="Cambria Math"/>
                  <w:lang w:val="es-CO"/>
                </w:rPr>
                <m:t>V</m:t>
              </m:r>
            </m:e>
            <m:sub>
              <m:r>
                <w:rPr>
                  <w:rFonts w:ascii="Cambria Math" w:hAnsi="Cambria Math"/>
                  <w:lang w:val="es-CO"/>
                </w:rPr>
                <m:t>proy</m:t>
              </m:r>
            </m:sub>
          </m:sSub>
          <m:r>
            <w:rPr>
              <w:rFonts w:ascii="Cambria Math" w:hAnsi="Cambria Math"/>
              <w:lang w:val="es-CO"/>
            </w:rPr>
            <m:t>)</m:t>
          </m:r>
        </m:oMath>
      </m:oMathPara>
    </w:p>
    <w:p w14:paraId="33A32967" w14:textId="77777777" w:rsidR="00D17ABC" w:rsidRPr="00AC6CAA" w:rsidRDefault="00D17ABC" w:rsidP="00D17ABC">
      <w:pPr>
        <w:pStyle w:val="Citas"/>
        <w:spacing w:before="120"/>
        <w:ind w:left="284" w:right="142"/>
        <w:rPr>
          <w:rFonts w:ascii="Arial" w:hAnsi="Arial" w:cs="Arial"/>
          <w:i w:val="0"/>
          <w:iCs w:val="0"/>
          <w:sz w:val="22"/>
          <w:szCs w:val="18"/>
        </w:rPr>
      </w:pPr>
      <w:r w:rsidRPr="00AC6CAA">
        <w:rPr>
          <w:rFonts w:ascii="Arial" w:hAnsi="Arial" w:cs="Arial"/>
          <w:i w:val="0"/>
          <w:iCs w:val="0"/>
          <w:sz w:val="22"/>
          <w:szCs w:val="18"/>
        </w:rPr>
        <w:t>Donde:</w:t>
      </w:r>
    </w:p>
    <w:p w14:paraId="15782006" w14:textId="77777777" w:rsidR="00D17ABC" w:rsidRPr="00AC6CAA" w:rsidRDefault="00D17ABC" w:rsidP="00D17ABC">
      <w:pPr>
        <w:pStyle w:val="Citas"/>
        <w:spacing w:before="120"/>
        <w:ind w:left="1418" w:right="142" w:hanging="1134"/>
        <w:rPr>
          <w:rFonts w:ascii="Arial" w:hAnsi="Arial" w:cs="Arial"/>
          <w:i w:val="0"/>
          <w:iCs w:val="0"/>
          <w:sz w:val="22"/>
          <w:szCs w:val="18"/>
        </w:rPr>
      </w:pPr>
      <w:proofErr w:type="spellStart"/>
      <w:r w:rsidRPr="00AC6CAA">
        <w:rPr>
          <w:rFonts w:ascii="Arial" w:hAnsi="Arial" w:cs="Arial"/>
          <w:sz w:val="22"/>
          <w:szCs w:val="18"/>
        </w:rPr>
        <w:t>VC</w:t>
      </w:r>
      <w:r w:rsidRPr="00AC6CAA">
        <w:rPr>
          <w:rFonts w:ascii="Arial" w:hAnsi="Arial" w:cs="Arial"/>
          <w:sz w:val="22"/>
          <w:szCs w:val="18"/>
          <w:vertAlign w:val="subscript"/>
        </w:rPr>
        <w:t>aj</w:t>
      </w:r>
      <w:proofErr w:type="spellEnd"/>
      <w:r w:rsidRPr="00AC6CAA">
        <w:rPr>
          <w:rFonts w:ascii="Arial" w:hAnsi="Arial" w:cs="Arial"/>
          <w:i w:val="0"/>
          <w:iCs w:val="0"/>
          <w:sz w:val="22"/>
          <w:szCs w:val="18"/>
        </w:rPr>
        <w:t>:</w:t>
      </w:r>
      <w:r w:rsidRPr="00AC6CAA">
        <w:rPr>
          <w:rFonts w:ascii="Arial" w:hAnsi="Arial" w:cs="Arial"/>
          <w:i w:val="0"/>
          <w:iCs w:val="0"/>
          <w:sz w:val="22"/>
          <w:szCs w:val="18"/>
        </w:rPr>
        <w:tab/>
        <w:t>Valor de cobertura de la garantía ajustado.</w:t>
      </w:r>
    </w:p>
    <w:p w14:paraId="3C714439" w14:textId="4F39AC80" w:rsidR="00D17ABC" w:rsidRPr="00AC6CAA" w:rsidRDefault="00D17ABC" w:rsidP="00D17ABC">
      <w:pPr>
        <w:pStyle w:val="Citas"/>
        <w:spacing w:before="120"/>
        <w:ind w:left="1418" w:right="142" w:hanging="1134"/>
        <w:rPr>
          <w:rFonts w:ascii="Arial" w:hAnsi="Arial" w:cs="Arial"/>
          <w:i w:val="0"/>
          <w:iCs w:val="0"/>
          <w:sz w:val="22"/>
          <w:szCs w:val="18"/>
          <w:lang w:val="es-MX"/>
        </w:rPr>
      </w:pPr>
      <w:proofErr w:type="spellStart"/>
      <w:r w:rsidRPr="00AC6CAA">
        <w:rPr>
          <w:rFonts w:ascii="Arial" w:hAnsi="Arial" w:cs="Arial"/>
          <w:sz w:val="22"/>
          <w:szCs w:val="18"/>
        </w:rPr>
        <w:t>VC</w:t>
      </w:r>
      <w:r w:rsidRPr="00AC6CAA">
        <w:rPr>
          <w:rFonts w:ascii="Arial" w:hAnsi="Arial" w:cs="Arial"/>
          <w:sz w:val="22"/>
          <w:szCs w:val="18"/>
          <w:vertAlign w:val="subscript"/>
        </w:rPr>
        <w:t>act</w:t>
      </w:r>
      <w:proofErr w:type="spellEnd"/>
      <w:r w:rsidRPr="00AC6CAA">
        <w:rPr>
          <w:rFonts w:ascii="Arial" w:hAnsi="Arial" w:cs="Arial"/>
          <w:i w:val="0"/>
          <w:iCs w:val="0"/>
          <w:sz w:val="22"/>
          <w:szCs w:val="18"/>
        </w:rPr>
        <w:t>:</w:t>
      </w:r>
      <w:r w:rsidRPr="00AC6CAA">
        <w:rPr>
          <w:rFonts w:ascii="Arial" w:hAnsi="Arial" w:cs="Arial"/>
          <w:i w:val="0"/>
          <w:iCs w:val="0"/>
          <w:sz w:val="22"/>
          <w:szCs w:val="18"/>
        </w:rPr>
        <w:tab/>
      </w:r>
      <w:r w:rsidRPr="00AC6CAA">
        <w:rPr>
          <w:rFonts w:ascii="Arial" w:hAnsi="Arial" w:cs="Arial"/>
          <w:i w:val="0"/>
          <w:iCs w:val="0"/>
          <w:sz w:val="22"/>
          <w:szCs w:val="18"/>
          <w:lang w:val="es-MX"/>
        </w:rPr>
        <w:t xml:space="preserve">Valor de cobertura actualizado de acuerdo con </w:t>
      </w:r>
      <w:r w:rsidR="00AC6CAA">
        <w:rPr>
          <w:rFonts w:ascii="Arial" w:hAnsi="Arial" w:cs="Arial"/>
          <w:i w:val="0"/>
          <w:iCs w:val="0"/>
          <w:sz w:val="22"/>
          <w:szCs w:val="18"/>
          <w:lang w:val="es-MX"/>
        </w:rPr>
        <w:t xml:space="preserve">lo mencionado en el numeral </w:t>
      </w:r>
      <w:r w:rsidR="008A5E66">
        <w:rPr>
          <w:rFonts w:ascii="Arial" w:hAnsi="Arial" w:cs="Arial"/>
          <w:i w:val="0"/>
          <w:iCs w:val="0"/>
          <w:sz w:val="22"/>
          <w:szCs w:val="18"/>
          <w:lang w:val="es-MX"/>
        </w:rPr>
        <w:fldChar w:fldCharType="begin"/>
      </w:r>
      <w:r w:rsidR="008A5E66">
        <w:rPr>
          <w:rFonts w:ascii="Arial" w:hAnsi="Arial" w:cs="Arial"/>
          <w:i w:val="0"/>
          <w:iCs w:val="0"/>
          <w:sz w:val="22"/>
          <w:szCs w:val="18"/>
          <w:lang w:val="es-MX"/>
        </w:rPr>
        <w:instrText xml:space="preserve"> REF _Ref138675446 \r \h </w:instrText>
      </w:r>
      <w:r w:rsidR="008A5E66">
        <w:rPr>
          <w:rFonts w:ascii="Arial" w:hAnsi="Arial" w:cs="Arial"/>
          <w:i w:val="0"/>
          <w:iCs w:val="0"/>
          <w:sz w:val="22"/>
          <w:szCs w:val="18"/>
          <w:lang w:val="es-MX"/>
        </w:rPr>
      </w:r>
      <w:r w:rsidR="008A5E66">
        <w:rPr>
          <w:rFonts w:ascii="Arial" w:hAnsi="Arial" w:cs="Arial"/>
          <w:i w:val="0"/>
          <w:iCs w:val="0"/>
          <w:sz w:val="22"/>
          <w:szCs w:val="18"/>
          <w:lang w:val="es-MX"/>
        </w:rPr>
        <w:fldChar w:fldCharType="separate"/>
      </w:r>
      <w:r w:rsidR="00F45FE3">
        <w:rPr>
          <w:rFonts w:ascii="Arial" w:hAnsi="Arial" w:cs="Arial"/>
          <w:i w:val="0"/>
          <w:iCs w:val="0"/>
          <w:sz w:val="22"/>
          <w:szCs w:val="18"/>
          <w:lang w:val="es-MX"/>
        </w:rPr>
        <w:t>6.3</w:t>
      </w:r>
      <w:r w:rsidR="008A5E66">
        <w:rPr>
          <w:rFonts w:ascii="Arial" w:hAnsi="Arial" w:cs="Arial"/>
          <w:i w:val="0"/>
          <w:iCs w:val="0"/>
          <w:sz w:val="22"/>
          <w:szCs w:val="18"/>
          <w:lang w:val="es-MX"/>
        </w:rPr>
        <w:fldChar w:fldCharType="end"/>
      </w:r>
      <w:r w:rsidRPr="00AC6CAA">
        <w:rPr>
          <w:rFonts w:ascii="Arial" w:hAnsi="Arial" w:cs="Arial"/>
          <w:i w:val="0"/>
          <w:iCs w:val="0"/>
          <w:sz w:val="22"/>
          <w:szCs w:val="18"/>
          <w:lang w:val="es-MX"/>
        </w:rPr>
        <w:t>.</w:t>
      </w:r>
    </w:p>
    <w:p w14:paraId="60530177" w14:textId="5205DCBA" w:rsidR="00D17ABC" w:rsidRPr="00AC6CAA" w:rsidRDefault="00D17ABC" w:rsidP="00D17ABC">
      <w:pPr>
        <w:pStyle w:val="Citas"/>
        <w:spacing w:before="120"/>
        <w:ind w:left="1418" w:right="142" w:hanging="1134"/>
        <w:rPr>
          <w:rFonts w:ascii="Arial" w:hAnsi="Arial" w:cs="Arial"/>
          <w:i w:val="0"/>
          <w:iCs w:val="0"/>
          <w:sz w:val="22"/>
          <w:szCs w:val="18"/>
          <w:lang w:val="es-MX"/>
        </w:rPr>
      </w:pPr>
      <w:proofErr w:type="spellStart"/>
      <w:r w:rsidRPr="00AC6CAA">
        <w:rPr>
          <w:rFonts w:ascii="Arial" w:hAnsi="Arial" w:cs="Arial"/>
          <w:sz w:val="22"/>
          <w:szCs w:val="18"/>
          <w:lang w:val="es-MX"/>
        </w:rPr>
        <w:t>AV</w:t>
      </w:r>
      <w:r w:rsidRPr="00AC6CAA">
        <w:rPr>
          <w:rFonts w:ascii="Arial" w:hAnsi="Arial" w:cs="Arial"/>
          <w:sz w:val="22"/>
          <w:szCs w:val="18"/>
          <w:vertAlign w:val="subscript"/>
          <w:lang w:val="es-MX"/>
        </w:rPr>
        <w:t>proy</w:t>
      </w:r>
      <w:proofErr w:type="spellEnd"/>
      <w:r w:rsidRPr="00AC6CAA">
        <w:rPr>
          <w:rFonts w:ascii="Arial" w:hAnsi="Arial" w:cs="Arial"/>
          <w:i w:val="0"/>
          <w:iCs w:val="0"/>
          <w:sz w:val="22"/>
          <w:szCs w:val="18"/>
          <w:lang w:val="es-MX"/>
        </w:rPr>
        <w:t>:</w:t>
      </w:r>
      <w:r w:rsidRPr="00AC6CAA">
        <w:rPr>
          <w:rFonts w:ascii="Arial" w:hAnsi="Arial" w:cs="Arial"/>
          <w:i w:val="0"/>
          <w:iCs w:val="0"/>
          <w:sz w:val="22"/>
          <w:szCs w:val="18"/>
          <w:lang w:val="es-MX"/>
        </w:rPr>
        <w:tab/>
        <w:t>Parámetro expresado en porcentaje que corresponde al avance del proyecto</w:t>
      </w:r>
      <w:r w:rsidR="008A5E66">
        <w:rPr>
          <w:rFonts w:ascii="Arial" w:hAnsi="Arial" w:cs="Arial"/>
          <w:i w:val="0"/>
          <w:iCs w:val="0"/>
          <w:sz w:val="22"/>
          <w:szCs w:val="18"/>
          <w:lang w:val="es-MX"/>
        </w:rPr>
        <w:t>, de acuerdo con el dato reportado en l</w:t>
      </w:r>
      <w:r w:rsidR="00842C69">
        <w:rPr>
          <w:rFonts w:ascii="Arial" w:hAnsi="Arial" w:cs="Arial"/>
          <w:i w:val="0"/>
          <w:iCs w:val="0"/>
          <w:sz w:val="22"/>
          <w:szCs w:val="18"/>
          <w:lang w:val="es-MX"/>
        </w:rPr>
        <w:t>a</w:t>
      </w:r>
      <w:r w:rsidR="008A5E66">
        <w:rPr>
          <w:rFonts w:ascii="Arial" w:hAnsi="Arial" w:cs="Arial"/>
          <w:i w:val="0"/>
          <w:iCs w:val="0"/>
          <w:sz w:val="22"/>
          <w:szCs w:val="18"/>
          <w:lang w:val="es-MX"/>
        </w:rPr>
        <w:t xml:space="preserve"> ventanilla única de la UPME</w:t>
      </w:r>
      <w:r w:rsidR="00842C69">
        <w:rPr>
          <w:rFonts w:ascii="Arial" w:hAnsi="Arial" w:cs="Arial"/>
          <w:i w:val="0"/>
          <w:iCs w:val="0"/>
          <w:sz w:val="22"/>
          <w:szCs w:val="18"/>
          <w:lang w:val="es-MX"/>
        </w:rPr>
        <w:t xml:space="preserve">, como se señala en el numeral </w:t>
      </w:r>
      <w:r w:rsidR="008A5E66">
        <w:rPr>
          <w:rFonts w:ascii="Arial" w:hAnsi="Arial" w:cs="Arial"/>
          <w:i w:val="0"/>
          <w:iCs w:val="0"/>
          <w:sz w:val="22"/>
          <w:szCs w:val="18"/>
          <w:lang w:val="es-MX"/>
        </w:rPr>
        <w:fldChar w:fldCharType="begin"/>
      </w:r>
      <w:r w:rsidR="008A5E66">
        <w:rPr>
          <w:rFonts w:ascii="Arial" w:hAnsi="Arial" w:cs="Arial"/>
          <w:i w:val="0"/>
          <w:iCs w:val="0"/>
          <w:sz w:val="22"/>
          <w:szCs w:val="18"/>
          <w:lang w:val="es-MX"/>
        </w:rPr>
        <w:instrText xml:space="preserve"> REF _Ref138675458 \r \h </w:instrText>
      </w:r>
      <w:r w:rsidR="008A5E66">
        <w:rPr>
          <w:rFonts w:ascii="Arial" w:hAnsi="Arial" w:cs="Arial"/>
          <w:i w:val="0"/>
          <w:iCs w:val="0"/>
          <w:sz w:val="22"/>
          <w:szCs w:val="18"/>
          <w:lang w:val="es-MX"/>
        </w:rPr>
      </w:r>
      <w:r w:rsidR="008A5E66">
        <w:rPr>
          <w:rFonts w:ascii="Arial" w:hAnsi="Arial" w:cs="Arial"/>
          <w:i w:val="0"/>
          <w:iCs w:val="0"/>
          <w:sz w:val="22"/>
          <w:szCs w:val="18"/>
          <w:lang w:val="es-MX"/>
        </w:rPr>
        <w:fldChar w:fldCharType="separate"/>
      </w:r>
      <w:r w:rsidR="00F45FE3">
        <w:rPr>
          <w:rFonts w:ascii="Arial" w:hAnsi="Arial" w:cs="Arial"/>
          <w:i w:val="0"/>
          <w:iCs w:val="0"/>
          <w:sz w:val="22"/>
          <w:szCs w:val="18"/>
          <w:lang w:val="es-MX"/>
        </w:rPr>
        <w:t>6.2</w:t>
      </w:r>
      <w:r w:rsidR="008A5E66">
        <w:rPr>
          <w:rFonts w:ascii="Arial" w:hAnsi="Arial" w:cs="Arial"/>
          <w:i w:val="0"/>
          <w:iCs w:val="0"/>
          <w:sz w:val="22"/>
          <w:szCs w:val="18"/>
          <w:lang w:val="es-MX"/>
        </w:rPr>
        <w:fldChar w:fldCharType="end"/>
      </w:r>
      <w:r w:rsidRPr="00AC6CAA">
        <w:rPr>
          <w:rFonts w:ascii="Arial" w:hAnsi="Arial" w:cs="Arial"/>
          <w:i w:val="0"/>
          <w:iCs w:val="0"/>
          <w:sz w:val="22"/>
          <w:szCs w:val="18"/>
          <w:lang w:val="es-MX"/>
        </w:rPr>
        <w:t>.</w:t>
      </w:r>
    </w:p>
    <w:p w14:paraId="2CD14D21" w14:textId="63A64911" w:rsidR="00543DBB" w:rsidRPr="00183D01" w:rsidRDefault="00F344E5" w:rsidP="00543DBB">
      <w:pPr>
        <w:pStyle w:val="Ttulo2"/>
      </w:pPr>
      <w:bookmarkStart w:id="29" w:name="_Toc144837725"/>
      <w:r>
        <w:lastRenderedPageBreak/>
        <w:t>Condiciones para el uso del ajuste propuesto</w:t>
      </w:r>
      <w:bookmarkEnd w:id="29"/>
    </w:p>
    <w:p w14:paraId="7CB51810" w14:textId="64CBA33F" w:rsidR="000B1A95" w:rsidRDefault="00AB7B0C" w:rsidP="00DE4C76">
      <w:pPr>
        <w:spacing w:before="220"/>
        <w:jc w:val="left"/>
        <w:rPr>
          <w:sz w:val="22"/>
          <w:szCs w:val="22"/>
        </w:rPr>
      </w:pPr>
      <w:r>
        <w:rPr>
          <w:sz w:val="22"/>
          <w:szCs w:val="22"/>
        </w:rPr>
        <w:t xml:space="preserve">Para </w:t>
      </w:r>
      <w:r w:rsidR="00757952">
        <w:rPr>
          <w:sz w:val="22"/>
          <w:szCs w:val="22"/>
        </w:rPr>
        <w:t xml:space="preserve">aplicar </w:t>
      </w:r>
      <w:r w:rsidR="008A571E">
        <w:rPr>
          <w:sz w:val="22"/>
          <w:szCs w:val="22"/>
        </w:rPr>
        <w:t xml:space="preserve">la fórmula del numeral </w:t>
      </w:r>
      <w:r w:rsidR="008A571E">
        <w:rPr>
          <w:sz w:val="22"/>
          <w:szCs w:val="22"/>
        </w:rPr>
        <w:fldChar w:fldCharType="begin"/>
      </w:r>
      <w:r w:rsidR="008A571E">
        <w:rPr>
          <w:sz w:val="22"/>
          <w:szCs w:val="22"/>
        </w:rPr>
        <w:instrText xml:space="preserve"> REF _Ref138675597 \r \h </w:instrText>
      </w:r>
      <w:r w:rsidR="008A571E">
        <w:rPr>
          <w:sz w:val="22"/>
          <w:szCs w:val="22"/>
        </w:rPr>
      </w:r>
      <w:r w:rsidR="008A571E">
        <w:rPr>
          <w:sz w:val="22"/>
          <w:szCs w:val="22"/>
        </w:rPr>
        <w:fldChar w:fldCharType="separate"/>
      </w:r>
      <w:r w:rsidR="00F45FE3">
        <w:rPr>
          <w:sz w:val="22"/>
          <w:szCs w:val="22"/>
        </w:rPr>
        <w:t>6.4</w:t>
      </w:r>
      <w:r w:rsidR="008A571E">
        <w:rPr>
          <w:sz w:val="22"/>
          <w:szCs w:val="22"/>
        </w:rPr>
        <w:fldChar w:fldCharType="end"/>
      </w:r>
      <w:r w:rsidR="008A571E">
        <w:rPr>
          <w:sz w:val="22"/>
          <w:szCs w:val="22"/>
        </w:rPr>
        <w:t xml:space="preserve"> </w:t>
      </w:r>
      <w:r w:rsidR="006008E0">
        <w:rPr>
          <w:sz w:val="22"/>
          <w:szCs w:val="22"/>
        </w:rPr>
        <w:t xml:space="preserve">se propone </w:t>
      </w:r>
      <w:r w:rsidR="001942B0">
        <w:rPr>
          <w:sz w:val="22"/>
          <w:szCs w:val="22"/>
        </w:rPr>
        <w:t xml:space="preserve">que </w:t>
      </w:r>
      <w:r w:rsidR="007B5144">
        <w:rPr>
          <w:sz w:val="22"/>
          <w:szCs w:val="22"/>
        </w:rPr>
        <w:t>se cumplan tres condiciones</w:t>
      </w:r>
      <w:r w:rsidR="00847047">
        <w:rPr>
          <w:sz w:val="22"/>
          <w:szCs w:val="22"/>
        </w:rPr>
        <w:t xml:space="preserve">: i) </w:t>
      </w:r>
      <w:r w:rsidR="00174D0A" w:rsidRPr="0049308F">
        <w:rPr>
          <w:sz w:val="22"/>
          <w:szCs w:val="22"/>
        </w:rPr>
        <w:t>el ajuste se p</w:t>
      </w:r>
      <w:r w:rsidR="00BA4FBD">
        <w:rPr>
          <w:sz w:val="22"/>
          <w:szCs w:val="22"/>
        </w:rPr>
        <w:t>ueda</w:t>
      </w:r>
      <w:r w:rsidR="00174D0A" w:rsidRPr="0049308F">
        <w:rPr>
          <w:sz w:val="22"/>
          <w:szCs w:val="22"/>
        </w:rPr>
        <w:t xml:space="preserve"> solicitar después </w:t>
      </w:r>
      <w:r w:rsidR="00DE4C76">
        <w:rPr>
          <w:sz w:val="22"/>
          <w:szCs w:val="22"/>
        </w:rPr>
        <w:t xml:space="preserve">de </w:t>
      </w:r>
      <w:r w:rsidR="00174D0A" w:rsidRPr="0049308F">
        <w:rPr>
          <w:sz w:val="22"/>
          <w:szCs w:val="22"/>
        </w:rPr>
        <w:t xml:space="preserve">que </w:t>
      </w:r>
      <w:r w:rsidR="0049308F" w:rsidRPr="0049308F">
        <w:rPr>
          <w:sz w:val="22"/>
          <w:szCs w:val="22"/>
        </w:rPr>
        <w:t xml:space="preserve">se </w:t>
      </w:r>
      <w:r w:rsidR="00174D0A" w:rsidRPr="0049308F">
        <w:rPr>
          <w:sz w:val="22"/>
          <w:szCs w:val="22"/>
        </w:rPr>
        <w:t xml:space="preserve">haya </w:t>
      </w:r>
      <w:r w:rsidR="0049308F" w:rsidRPr="0049308F">
        <w:rPr>
          <w:sz w:val="22"/>
          <w:szCs w:val="22"/>
        </w:rPr>
        <w:t>superado la FPO inicial del proyecto</w:t>
      </w:r>
      <w:r w:rsidR="00237BF3">
        <w:rPr>
          <w:sz w:val="22"/>
          <w:szCs w:val="22"/>
        </w:rPr>
        <w:t>,</w:t>
      </w:r>
      <w:r w:rsidR="00C45196" w:rsidRPr="00C45196">
        <w:rPr>
          <w:sz w:val="22"/>
          <w:szCs w:val="22"/>
        </w:rPr>
        <w:t xml:space="preserve"> </w:t>
      </w:r>
      <w:proofErr w:type="spellStart"/>
      <w:r w:rsidR="00847047">
        <w:rPr>
          <w:sz w:val="22"/>
          <w:szCs w:val="22"/>
        </w:rPr>
        <w:t>ii</w:t>
      </w:r>
      <w:proofErr w:type="spellEnd"/>
      <w:r w:rsidR="00847047">
        <w:rPr>
          <w:sz w:val="22"/>
          <w:szCs w:val="22"/>
        </w:rPr>
        <w:t xml:space="preserve">) se tiene </w:t>
      </w:r>
      <w:r w:rsidR="000B1A95">
        <w:rPr>
          <w:sz w:val="22"/>
          <w:szCs w:val="22"/>
        </w:rPr>
        <w:t>una</w:t>
      </w:r>
      <w:r w:rsidR="00787A41" w:rsidRPr="0049308F">
        <w:rPr>
          <w:sz w:val="22"/>
          <w:szCs w:val="22"/>
        </w:rPr>
        <w:t xml:space="preserve"> evidencia de que se ha prorrogado la FPO inicial del proyect</w:t>
      </w:r>
      <w:r w:rsidR="00F81D3F" w:rsidRPr="0049308F">
        <w:rPr>
          <w:sz w:val="22"/>
          <w:szCs w:val="22"/>
        </w:rPr>
        <w:t>o</w:t>
      </w:r>
      <w:r w:rsidR="00376794" w:rsidRPr="0049308F">
        <w:rPr>
          <w:sz w:val="22"/>
          <w:szCs w:val="22"/>
        </w:rPr>
        <w:t xml:space="preserve"> </w:t>
      </w:r>
      <w:r w:rsidR="000B1A95">
        <w:rPr>
          <w:sz w:val="22"/>
          <w:szCs w:val="22"/>
        </w:rPr>
        <w:t>por más de un año</w:t>
      </w:r>
      <w:r w:rsidR="00D23919">
        <w:rPr>
          <w:sz w:val="22"/>
          <w:szCs w:val="22"/>
        </w:rPr>
        <w:t xml:space="preserve"> </w:t>
      </w:r>
      <w:r w:rsidR="00BE3FD9">
        <w:rPr>
          <w:sz w:val="22"/>
          <w:szCs w:val="22"/>
        </w:rPr>
        <w:t>y</w:t>
      </w:r>
      <w:r w:rsidR="00D23919">
        <w:rPr>
          <w:sz w:val="22"/>
          <w:szCs w:val="22"/>
        </w:rPr>
        <w:t xml:space="preserve"> </w:t>
      </w:r>
      <w:proofErr w:type="spellStart"/>
      <w:r w:rsidR="00847047">
        <w:rPr>
          <w:sz w:val="22"/>
          <w:szCs w:val="22"/>
        </w:rPr>
        <w:t>iii</w:t>
      </w:r>
      <w:proofErr w:type="spellEnd"/>
      <w:r w:rsidR="00847047">
        <w:rPr>
          <w:sz w:val="22"/>
          <w:szCs w:val="22"/>
        </w:rPr>
        <w:t xml:space="preserve">) </w:t>
      </w:r>
      <w:r w:rsidR="005E0919">
        <w:rPr>
          <w:sz w:val="22"/>
          <w:szCs w:val="22"/>
        </w:rPr>
        <w:t xml:space="preserve">debe mostrarse avance </w:t>
      </w:r>
      <w:r w:rsidR="00D23919">
        <w:rPr>
          <w:sz w:val="22"/>
          <w:szCs w:val="22"/>
        </w:rPr>
        <w:t>del proyecto que se va a conectar</w:t>
      </w:r>
      <w:r w:rsidR="00814A58">
        <w:rPr>
          <w:sz w:val="22"/>
          <w:szCs w:val="22"/>
        </w:rPr>
        <w:t>.</w:t>
      </w:r>
    </w:p>
    <w:p w14:paraId="7AF761FC" w14:textId="3F184EB1" w:rsidR="006176C2" w:rsidRDefault="006176C2" w:rsidP="00AB7B0C">
      <w:pPr>
        <w:spacing w:before="220"/>
        <w:jc w:val="left"/>
        <w:rPr>
          <w:sz w:val="22"/>
          <w:szCs w:val="22"/>
        </w:rPr>
      </w:pPr>
      <w:r>
        <w:rPr>
          <w:sz w:val="22"/>
          <w:szCs w:val="22"/>
        </w:rPr>
        <w:t xml:space="preserve">En cuanto al avance de los proyectos, </w:t>
      </w:r>
      <w:r w:rsidR="007172D7">
        <w:rPr>
          <w:sz w:val="22"/>
          <w:szCs w:val="22"/>
        </w:rPr>
        <w:t xml:space="preserve">y con el fin de incentivar el </w:t>
      </w:r>
      <w:r w:rsidR="00791153">
        <w:rPr>
          <w:sz w:val="22"/>
          <w:szCs w:val="22"/>
        </w:rPr>
        <w:t>desarrollo</w:t>
      </w:r>
      <w:r w:rsidR="007172D7">
        <w:rPr>
          <w:sz w:val="22"/>
          <w:szCs w:val="22"/>
        </w:rPr>
        <w:t xml:space="preserve"> </w:t>
      </w:r>
      <w:r w:rsidR="00F147D2">
        <w:rPr>
          <w:sz w:val="22"/>
          <w:szCs w:val="22"/>
        </w:rPr>
        <w:t xml:space="preserve">tanto del proyecto de transmisión como de los proyectos que se van a conectar al STN, </w:t>
      </w:r>
      <w:r>
        <w:rPr>
          <w:sz w:val="22"/>
          <w:szCs w:val="22"/>
        </w:rPr>
        <w:t xml:space="preserve">se considera conveniente que </w:t>
      </w:r>
      <w:r w:rsidR="001B21CD">
        <w:rPr>
          <w:sz w:val="22"/>
          <w:szCs w:val="22"/>
        </w:rPr>
        <w:t xml:space="preserve">para estos últimos </w:t>
      </w:r>
      <w:r w:rsidR="00E151FD">
        <w:rPr>
          <w:sz w:val="22"/>
          <w:szCs w:val="22"/>
        </w:rPr>
        <w:t xml:space="preserve">se dé </w:t>
      </w:r>
      <w:r>
        <w:rPr>
          <w:sz w:val="22"/>
          <w:szCs w:val="22"/>
        </w:rPr>
        <w:t>una disminu</w:t>
      </w:r>
      <w:r w:rsidR="00E151FD">
        <w:rPr>
          <w:sz w:val="22"/>
          <w:szCs w:val="22"/>
        </w:rPr>
        <w:t>c</w:t>
      </w:r>
      <w:r>
        <w:rPr>
          <w:sz w:val="22"/>
          <w:szCs w:val="22"/>
        </w:rPr>
        <w:t xml:space="preserve">ión </w:t>
      </w:r>
      <w:r w:rsidR="0084334C">
        <w:rPr>
          <w:sz w:val="22"/>
          <w:szCs w:val="22"/>
        </w:rPr>
        <w:t xml:space="preserve">del valor </w:t>
      </w:r>
      <w:r>
        <w:rPr>
          <w:sz w:val="22"/>
          <w:szCs w:val="22"/>
        </w:rPr>
        <w:t xml:space="preserve">de la garantía </w:t>
      </w:r>
      <w:r w:rsidR="003939EA">
        <w:rPr>
          <w:sz w:val="22"/>
          <w:szCs w:val="22"/>
        </w:rPr>
        <w:t xml:space="preserve">y que </w:t>
      </w:r>
      <w:r w:rsidR="0084334C">
        <w:rPr>
          <w:sz w:val="22"/>
          <w:szCs w:val="22"/>
        </w:rPr>
        <w:t xml:space="preserve">este </w:t>
      </w:r>
      <w:r w:rsidR="00A058F0">
        <w:rPr>
          <w:sz w:val="22"/>
          <w:szCs w:val="22"/>
        </w:rPr>
        <w:t xml:space="preserve">cambio </w:t>
      </w:r>
      <w:r w:rsidR="001B21CD">
        <w:rPr>
          <w:sz w:val="22"/>
          <w:szCs w:val="22"/>
        </w:rPr>
        <w:t xml:space="preserve">tenga </w:t>
      </w:r>
      <w:r>
        <w:rPr>
          <w:sz w:val="22"/>
          <w:szCs w:val="22"/>
        </w:rPr>
        <w:t>r</w:t>
      </w:r>
      <w:r w:rsidR="00E151FD">
        <w:rPr>
          <w:sz w:val="22"/>
          <w:szCs w:val="22"/>
        </w:rPr>
        <w:t>e</w:t>
      </w:r>
      <w:r>
        <w:rPr>
          <w:sz w:val="22"/>
          <w:szCs w:val="22"/>
        </w:rPr>
        <w:t>laci</w:t>
      </w:r>
      <w:r w:rsidR="001B21CD">
        <w:rPr>
          <w:sz w:val="22"/>
          <w:szCs w:val="22"/>
        </w:rPr>
        <w:t>ón</w:t>
      </w:r>
      <w:r>
        <w:rPr>
          <w:sz w:val="22"/>
          <w:szCs w:val="22"/>
        </w:rPr>
        <w:t xml:space="preserve"> </w:t>
      </w:r>
      <w:r w:rsidR="00A058F0">
        <w:rPr>
          <w:sz w:val="22"/>
          <w:szCs w:val="22"/>
        </w:rPr>
        <w:t xml:space="preserve">directa </w:t>
      </w:r>
      <w:r>
        <w:rPr>
          <w:sz w:val="22"/>
          <w:szCs w:val="22"/>
        </w:rPr>
        <w:t>con el avance del</w:t>
      </w:r>
      <w:r w:rsidR="00A058F0">
        <w:rPr>
          <w:sz w:val="22"/>
          <w:szCs w:val="22"/>
        </w:rPr>
        <w:t xml:space="preserve"> </w:t>
      </w:r>
      <w:r>
        <w:rPr>
          <w:sz w:val="22"/>
          <w:szCs w:val="22"/>
        </w:rPr>
        <w:t>proyecto</w:t>
      </w:r>
      <w:r w:rsidR="00A058F0">
        <w:rPr>
          <w:sz w:val="22"/>
          <w:szCs w:val="22"/>
        </w:rPr>
        <w:t xml:space="preserve"> que se conecta al STN</w:t>
      </w:r>
      <w:r w:rsidR="00B146C8">
        <w:rPr>
          <w:sz w:val="22"/>
          <w:szCs w:val="22"/>
        </w:rPr>
        <w:t>.</w:t>
      </w:r>
    </w:p>
    <w:p w14:paraId="20D98133" w14:textId="53B4CFAF" w:rsidR="00B146C8" w:rsidRDefault="00B146C8" w:rsidP="00AB7B0C">
      <w:pPr>
        <w:spacing w:before="220"/>
        <w:jc w:val="left"/>
        <w:rPr>
          <w:sz w:val="22"/>
          <w:szCs w:val="22"/>
        </w:rPr>
      </w:pPr>
      <w:r>
        <w:rPr>
          <w:sz w:val="22"/>
          <w:szCs w:val="22"/>
        </w:rPr>
        <w:t xml:space="preserve">Por lo anterior, se propone que la fórmula del numeral </w:t>
      </w:r>
      <w:r>
        <w:rPr>
          <w:sz w:val="22"/>
          <w:szCs w:val="22"/>
        </w:rPr>
        <w:fldChar w:fldCharType="begin"/>
      </w:r>
      <w:r>
        <w:rPr>
          <w:sz w:val="22"/>
          <w:szCs w:val="22"/>
        </w:rPr>
        <w:instrText xml:space="preserve"> REF _Ref138675597 \r \h </w:instrText>
      </w:r>
      <w:r>
        <w:rPr>
          <w:sz w:val="22"/>
          <w:szCs w:val="22"/>
        </w:rPr>
      </w:r>
      <w:r>
        <w:rPr>
          <w:sz w:val="22"/>
          <w:szCs w:val="22"/>
        </w:rPr>
        <w:fldChar w:fldCharType="separate"/>
      </w:r>
      <w:r w:rsidR="00F45FE3">
        <w:rPr>
          <w:sz w:val="22"/>
          <w:szCs w:val="22"/>
        </w:rPr>
        <w:t>6.4</w:t>
      </w:r>
      <w:r>
        <w:rPr>
          <w:sz w:val="22"/>
          <w:szCs w:val="22"/>
        </w:rPr>
        <w:fldChar w:fldCharType="end"/>
      </w:r>
      <w:r>
        <w:rPr>
          <w:sz w:val="22"/>
          <w:szCs w:val="22"/>
        </w:rPr>
        <w:t xml:space="preserve"> se aplique para los proyectos que se van a conectar al STN </w:t>
      </w:r>
      <w:r w:rsidR="00AE533C">
        <w:rPr>
          <w:sz w:val="22"/>
          <w:szCs w:val="22"/>
        </w:rPr>
        <w:t xml:space="preserve">a partir de cuando estos proyectos hayan alcanzado un </w:t>
      </w:r>
      <w:r>
        <w:rPr>
          <w:sz w:val="22"/>
          <w:szCs w:val="22"/>
        </w:rPr>
        <w:t>avance</w:t>
      </w:r>
      <w:r w:rsidR="00AE533C">
        <w:rPr>
          <w:sz w:val="22"/>
          <w:szCs w:val="22"/>
        </w:rPr>
        <w:t xml:space="preserve"> de por lo menos e</w:t>
      </w:r>
      <w:r>
        <w:rPr>
          <w:sz w:val="22"/>
          <w:szCs w:val="22"/>
        </w:rPr>
        <w:t xml:space="preserve">l </w:t>
      </w:r>
      <w:r w:rsidR="005977B6">
        <w:rPr>
          <w:sz w:val="22"/>
          <w:szCs w:val="22"/>
        </w:rPr>
        <w:t>15</w:t>
      </w:r>
      <w:r>
        <w:rPr>
          <w:sz w:val="22"/>
          <w:szCs w:val="22"/>
        </w:rPr>
        <w:t>%</w:t>
      </w:r>
      <w:r w:rsidR="002B7BEB">
        <w:rPr>
          <w:sz w:val="22"/>
          <w:szCs w:val="22"/>
        </w:rPr>
        <w:t>.</w:t>
      </w:r>
    </w:p>
    <w:p w14:paraId="45F389F5" w14:textId="1AC1289A" w:rsidR="002D3815" w:rsidRPr="00183D01" w:rsidRDefault="002D3815" w:rsidP="002D3815">
      <w:pPr>
        <w:pStyle w:val="Ttulo2"/>
      </w:pPr>
      <w:r>
        <w:t>Forma de aplicar los ajustes</w:t>
      </w:r>
    </w:p>
    <w:p w14:paraId="3C64CEC9" w14:textId="6B77275A" w:rsidR="009E37CE" w:rsidRDefault="00BE4CC1" w:rsidP="008A0C85">
      <w:pPr>
        <w:spacing w:before="220"/>
        <w:jc w:val="left"/>
        <w:rPr>
          <w:sz w:val="22"/>
          <w:szCs w:val="22"/>
        </w:rPr>
      </w:pPr>
      <w:r>
        <w:rPr>
          <w:sz w:val="22"/>
          <w:szCs w:val="22"/>
        </w:rPr>
        <w:t xml:space="preserve">Dado que se tiene información de que </w:t>
      </w:r>
      <w:r w:rsidR="009F150B">
        <w:rPr>
          <w:sz w:val="22"/>
          <w:szCs w:val="22"/>
        </w:rPr>
        <w:t xml:space="preserve">existen varios proyectos </w:t>
      </w:r>
      <w:r w:rsidR="00082A57">
        <w:rPr>
          <w:sz w:val="22"/>
          <w:szCs w:val="22"/>
        </w:rPr>
        <w:t xml:space="preserve">de transmisión </w:t>
      </w:r>
      <w:r w:rsidR="009F150B">
        <w:rPr>
          <w:sz w:val="22"/>
          <w:szCs w:val="22"/>
        </w:rPr>
        <w:t>a los que se les ha aplazado la FPO</w:t>
      </w:r>
      <w:r w:rsidR="00B75BAF">
        <w:rPr>
          <w:sz w:val="22"/>
          <w:szCs w:val="22"/>
        </w:rPr>
        <w:t xml:space="preserve">, se propone que </w:t>
      </w:r>
      <w:r w:rsidR="00250B7F">
        <w:rPr>
          <w:sz w:val="22"/>
          <w:szCs w:val="22"/>
        </w:rPr>
        <w:t>los</w:t>
      </w:r>
      <w:r w:rsidR="00477C48">
        <w:rPr>
          <w:sz w:val="22"/>
          <w:szCs w:val="22"/>
        </w:rPr>
        <w:t xml:space="preserve"> </w:t>
      </w:r>
      <w:r w:rsidR="00250B7F">
        <w:rPr>
          <w:sz w:val="22"/>
          <w:szCs w:val="22"/>
        </w:rPr>
        <w:t xml:space="preserve">interesados con proyectos que </w:t>
      </w:r>
      <w:r w:rsidR="00783A34">
        <w:rPr>
          <w:sz w:val="22"/>
          <w:szCs w:val="22"/>
        </w:rPr>
        <w:t>se van a conectar al STN</w:t>
      </w:r>
      <w:r w:rsidR="00250B7F">
        <w:rPr>
          <w:sz w:val="22"/>
          <w:szCs w:val="22"/>
        </w:rPr>
        <w:t xml:space="preserve"> puedan solicitar la disminución del valor de la</w:t>
      </w:r>
      <w:r w:rsidR="00477C48">
        <w:rPr>
          <w:sz w:val="22"/>
          <w:szCs w:val="22"/>
        </w:rPr>
        <w:t xml:space="preserve"> </w:t>
      </w:r>
      <w:r w:rsidR="00250B7F">
        <w:rPr>
          <w:sz w:val="22"/>
          <w:szCs w:val="22"/>
        </w:rPr>
        <w:t>cobertura</w:t>
      </w:r>
      <w:r w:rsidR="00477C48" w:rsidRPr="00477C48">
        <w:rPr>
          <w:sz w:val="22"/>
          <w:szCs w:val="22"/>
        </w:rPr>
        <w:t xml:space="preserve"> </w:t>
      </w:r>
      <w:r w:rsidR="00BA31C3">
        <w:rPr>
          <w:sz w:val="22"/>
          <w:szCs w:val="22"/>
        </w:rPr>
        <w:t>apenas</w:t>
      </w:r>
      <w:r w:rsidR="00477C48">
        <w:rPr>
          <w:sz w:val="22"/>
          <w:szCs w:val="22"/>
        </w:rPr>
        <w:t xml:space="preserve"> cumplan las condiciones mencionadas en este numeral,</w:t>
      </w:r>
      <w:r w:rsidR="00685B9C">
        <w:rPr>
          <w:sz w:val="22"/>
          <w:szCs w:val="22"/>
        </w:rPr>
        <w:t xml:space="preserve"> sin que sea necesario que se alcance el periodo de doce meses mencionado en </w:t>
      </w:r>
      <w:r w:rsidR="0023079F">
        <w:rPr>
          <w:sz w:val="22"/>
          <w:szCs w:val="22"/>
        </w:rPr>
        <w:t xml:space="preserve">el numeral </w:t>
      </w:r>
      <w:r w:rsidR="0023079F">
        <w:rPr>
          <w:sz w:val="22"/>
          <w:szCs w:val="22"/>
        </w:rPr>
        <w:fldChar w:fldCharType="begin"/>
      </w:r>
      <w:r w:rsidR="0023079F">
        <w:rPr>
          <w:sz w:val="22"/>
          <w:szCs w:val="22"/>
        </w:rPr>
        <w:instrText xml:space="preserve"> REF _Ref138675446 \r \h </w:instrText>
      </w:r>
      <w:r w:rsidR="0023079F">
        <w:rPr>
          <w:sz w:val="22"/>
          <w:szCs w:val="22"/>
        </w:rPr>
      </w:r>
      <w:r w:rsidR="0023079F">
        <w:rPr>
          <w:sz w:val="22"/>
          <w:szCs w:val="22"/>
        </w:rPr>
        <w:fldChar w:fldCharType="separate"/>
      </w:r>
      <w:r w:rsidR="00F45FE3">
        <w:rPr>
          <w:sz w:val="22"/>
          <w:szCs w:val="22"/>
        </w:rPr>
        <w:t>6.3</w:t>
      </w:r>
      <w:r w:rsidR="0023079F">
        <w:rPr>
          <w:sz w:val="22"/>
          <w:szCs w:val="22"/>
        </w:rPr>
        <w:fldChar w:fldCharType="end"/>
      </w:r>
      <w:r w:rsidR="0023079F">
        <w:rPr>
          <w:sz w:val="22"/>
          <w:szCs w:val="22"/>
        </w:rPr>
        <w:t>.</w:t>
      </w:r>
    </w:p>
    <w:p w14:paraId="572349AD" w14:textId="32223875" w:rsidR="0023079F" w:rsidRDefault="0023079F" w:rsidP="008A0C85">
      <w:pPr>
        <w:spacing w:before="220"/>
        <w:jc w:val="left"/>
        <w:rPr>
          <w:sz w:val="22"/>
          <w:szCs w:val="22"/>
        </w:rPr>
      </w:pPr>
      <w:r>
        <w:rPr>
          <w:sz w:val="22"/>
          <w:szCs w:val="22"/>
        </w:rPr>
        <w:t xml:space="preserve">Posteriormente, cuando se cumplan los </w:t>
      </w:r>
      <w:r w:rsidR="006A1B7E">
        <w:rPr>
          <w:sz w:val="22"/>
          <w:szCs w:val="22"/>
        </w:rPr>
        <w:t xml:space="preserve">doce meses se hará una nueva actualización </w:t>
      </w:r>
      <w:r w:rsidR="00480471">
        <w:rPr>
          <w:sz w:val="22"/>
          <w:szCs w:val="22"/>
        </w:rPr>
        <w:t>de la cobertura de la garantía</w:t>
      </w:r>
      <w:r w:rsidR="007F2981">
        <w:rPr>
          <w:sz w:val="22"/>
          <w:szCs w:val="22"/>
        </w:rPr>
        <w:t xml:space="preserve">, si se </w:t>
      </w:r>
      <w:r w:rsidR="00C26BE4">
        <w:rPr>
          <w:sz w:val="22"/>
          <w:szCs w:val="22"/>
        </w:rPr>
        <w:t>requiere,</w:t>
      </w:r>
      <w:r w:rsidR="00480471">
        <w:rPr>
          <w:sz w:val="22"/>
          <w:szCs w:val="22"/>
        </w:rPr>
        <w:t xml:space="preserve"> y </w:t>
      </w:r>
      <w:r w:rsidR="00C26BE4">
        <w:rPr>
          <w:sz w:val="22"/>
          <w:szCs w:val="22"/>
        </w:rPr>
        <w:t xml:space="preserve">después </w:t>
      </w:r>
      <w:r w:rsidR="00480471">
        <w:rPr>
          <w:sz w:val="22"/>
          <w:szCs w:val="22"/>
        </w:rPr>
        <w:t xml:space="preserve">se </w:t>
      </w:r>
      <w:r w:rsidR="00C26BE4">
        <w:rPr>
          <w:sz w:val="22"/>
          <w:szCs w:val="22"/>
        </w:rPr>
        <w:t>continua</w:t>
      </w:r>
      <w:r w:rsidR="00480471">
        <w:rPr>
          <w:sz w:val="22"/>
          <w:szCs w:val="22"/>
        </w:rPr>
        <w:t xml:space="preserve">rá </w:t>
      </w:r>
      <w:r w:rsidR="00C26BE4">
        <w:rPr>
          <w:sz w:val="22"/>
          <w:szCs w:val="22"/>
        </w:rPr>
        <w:t xml:space="preserve">con </w:t>
      </w:r>
      <w:r w:rsidR="00480471">
        <w:rPr>
          <w:sz w:val="22"/>
          <w:szCs w:val="22"/>
        </w:rPr>
        <w:t xml:space="preserve">el ejercicio </w:t>
      </w:r>
      <w:r w:rsidR="00C26BE4">
        <w:rPr>
          <w:sz w:val="22"/>
          <w:szCs w:val="22"/>
        </w:rPr>
        <w:t xml:space="preserve">de actualización </w:t>
      </w:r>
      <w:r w:rsidR="00480471">
        <w:rPr>
          <w:sz w:val="22"/>
          <w:szCs w:val="22"/>
        </w:rPr>
        <w:t>cada vez que se cumplan otros doce meses</w:t>
      </w:r>
      <w:r w:rsidR="00551C18">
        <w:rPr>
          <w:sz w:val="22"/>
          <w:szCs w:val="22"/>
        </w:rPr>
        <w:t>.</w:t>
      </w:r>
    </w:p>
    <w:p w14:paraId="0313F34B" w14:textId="51FF10A8" w:rsidR="002D3815" w:rsidRDefault="002D3815" w:rsidP="008A0C85">
      <w:pPr>
        <w:spacing w:before="220"/>
        <w:jc w:val="left"/>
        <w:rPr>
          <w:sz w:val="22"/>
          <w:szCs w:val="22"/>
        </w:rPr>
      </w:pPr>
      <w:r>
        <w:rPr>
          <w:sz w:val="22"/>
          <w:szCs w:val="22"/>
        </w:rPr>
        <w:t xml:space="preserve">Con la nueva propuesta se tienen dos métodos para solicitar el ajuste del valor de cobertura de la garantía de los proyectos que se conectan al STN: i) con base en el avance del proyecto; y </w:t>
      </w:r>
      <w:proofErr w:type="spellStart"/>
      <w:r>
        <w:rPr>
          <w:sz w:val="22"/>
          <w:szCs w:val="22"/>
        </w:rPr>
        <w:t>ii</w:t>
      </w:r>
      <w:proofErr w:type="spellEnd"/>
      <w:r>
        <w:rPr>
          <w:sz w:val="22"/>
          <w:szCs w:val="22"/>
        </w:rPr>
        <w:t>) por la entrada de generación adicional en los casos de proyectos de generación que se conectan por etapas. Para estos últimos proyectos se da la opción para que, una vez entre en operación parte de la generación, puedan decidir cuál de los dos métodos de ajuste van a utilizar.</w:t>
      </w:r>
    </w:p>
    <w:p w14:paraId="7C51CBDE" w14:textId="393CEDED" w:rsidR="002C7132" w:rsidRPr="00183D01" w:rsidRDefault="0090022F" w:rsidP="002C7132">
      <w:pPr>
        <w:pStyle w:val="Ttulo2"/>
      </w:pPr>
      <w:bookmarkStart w:id="30" w:name="_Toc144837726"/>
      <w:bookmarkStart w:id="31" w:name="_Toc86260319"/>
      <w:r>
        <w:t>Ajuste regulatorio</w:t>
      </w:r>
      <w:bookmarkEnd w:id="30"/>
    </w:p>
    <w:p w14:paraId="6906EC65" w14:textId="3D439482" w:rsidR="002C7132" w:rsidRDefault="0090022F" w:rsidP="002C7132">
      <w:pPr>
        <w:spacing w:before="220"/>
        <w:jc w:val="left"/>
        <w:rPr>
          <w:sz w:val="22"/>
          <w:szCs w:val="22"/>
        </w:rPr>
      </w:pPr>
      <w:r>
        <w:rPr>
          <w:sz w:val="22"/>
          <w:szCs w:val="22"/>
        </w:rPr>
        <w:t xml:space="preserve">Para </w:t>
      </w:r>
      <w:r w:rsidR="00C560E2">
        <w:rPr>
          <w:sz w:val="22"/>
          <w:szCs w:val="22"/>
        </w:rPr>
        <w:t xml:space="preserve">dar </w:t>
      </w:r>
      <w:r w:rsidR="003F5D66">
        <w:rPr>
          <w:sz w:val="22"/>
          <w:szCs w:val="22"/>
        </w:rPr>
        <w:t>aplica</w:t>
      </w:r>
      <w:r w:rsidR="00C560E2">
        <w:rPr>
          <w:sz w:val="22"/>
          <w:szCs w:val="22"/>
        </w:rPr>
        <w:t>ción a</w:t>
      </w:r>
      <w:r w:rsidR="003F5D66">
        <w:rPr>
          <w:sz w:val="22"/>
          <w:szCs w:val="22"/>
        </w:rPr>
        <w:t xml:space="preserve"> l</w:t>
      </w:r>
      <w:r w:rsidR="007B0419">
        <w:rPr>
          <w:sz w:val="22"/>
          <w:szCs w:val="22"/>
        </w:rPr>
        <w:t xml:space="preserve">a propuesta </w:t>
      </w:r>
      <w:r w:rsidR="003F5D66">
        <w:rPr>
          <w:sz w:val="22"/>
          <w:szCs w:val="22"/>
        </w:rPr>
        <w:t xml:space="preserve">analizada en este documento </w:t>
      </w:r>
      <w:r w:rsidR="007B0419">
        <w:rPr>
          <w:sz w:val="22"/>
          <w:szCs w:val="22"/>
        </w:rPr>
        <w:t xml:space="preserve">se modificará el numeral 4.5 </w:t>
      </w:r>
      <w:r w:rsidR="00570691">
        <w:rPr>
          <w:sz w:val="22"/>
          <w:szCs w:val="22"/>
        </w:rPr>
        <w:t xml:space="preserve">del anexo 1 </w:t>
      </w:r>
      <w:r w:rsidR="007B0419">
        <w:rPr>
          <w:sz w:val="22"/>
          <w:szCs w:val="22"/>
        </w:rPr>
        <w:t xml:space="preserve">de la </w:t>
      </w:r>
      <w:r w:rsidR="007B0419" w:rsidRPr="007B0419">
        <w:rPr>
          <w:rStyle w:val="normaltextrun"/>
          <w:rFonts w:cs="Arial"/>
          <w:sz w:val="22"/>
          <w:szCs w:val="22"/>
        </w:rPr>
        <w:t>Resolución CREG 022 de 2001</w:t>
      </w:r>
      <w:r w:rsidR="007B0419">
        <w:rPr>
          <w:rStyle w:val="normaltextrun"/>
          <w:rFonts w:cs="Arial"/>
          <w:sz w:val="22"/>
          <w:szCs w:val="22"/>
        </w:rPr>
        <w:t>, relacionada con la definición y aj</w:t>
      </w:r>
      <w:r w:rsidR="00570691">
        <w:rPr>
          <w:rStyle w:val="normaltextrun"/>
          <w:rFonts w:cs="Arial"/>
          <w:sz w:val="22"/>
          <w:szCs w:val="22"/>
        </w:rPr>
        <w:t>uste del valor de la cobertura de las garantías otorga</w:t>
      </w:r>
      <w:r w:rsidR="00244608">
        <w:rPr>
          <w:rStyle w:val="normaltextrun"/>
          <w:rFonts w:cs="Arial"/>
          <w:sz w:val="22"/>
          <w:szCs w:val="22"/>
        </w:rPr>
        <w:t>das</w:t>
      </w:r>
      <w:r w:rsidR="00570691">
        <w:rPr>
          <w:rStyle w:val="normaltextrun"/>
          <w:rFonts w:cs="Arial"/>
          <w:sz w:val="22"/>
          <w:szCs w:val="22"/>
        </w:rPr>
        <w:t xml:space="preserve"> </w:t>
      </w:r>
      <w:r w:rsidR="00244608">
        <w:rPr>
          <w:rStyle w:val="normaltextrun"/>
          <w:rFonts w:cs="Arial"/>
          <w:sz w:val="22"/>
          <w:szCs w:val="22"/>
        </w:rPr>
        <w:t xml:space="preserve">por </w:t>
      </w:r>
      <w:r w:rsidR="00570691">
        <w:rPr>
          <w:rStyle w:val="normaltextrun"/>
          <w:rFonts w:cs="Arial"/>
          <w:sz w:val="22"/>
          <w:szCs w:val="22"/>
        </w:rPr>
        <w:t>los interesados con</w:t>
      </w:r>
      <w:r w:rsidR="00E25BC8">
        <w:rPr>
          <w:rStyle w:val="normaltextrun"/>
          <w:rFonts w:cs="Arial"/>
          <w:sz w:val="22"/>
          <w:szCs w:val="22"/>
        </w:rPr>
        <w:t xml:space="preserve"> proyectos</w:t>
      </w:r>
      <w:r w:rsidR="00570691">
        <w:rPr>
          <w:rStyle w:val="normaltextrun"/>
          <w:rFonts w:cs="Arial"/>
          <w:sz w:val="22"/>
          <w:szCs w:val="22"/>
        </w:rPr>
        <w:t xml:space="preserve"> que se van a conectar a</w:t>
      </w:r>
      <w:r w:rsidR="00C47629">
        <w:rPr>
          <w:rStyle w:val="normaltextrun"/>
          <w:rFonts w:cs="Arial"/>
          <w:sz w:val="22"/>
          <w:szCs w:val="22"/>
        </w:rPr>
        <w:t xml:space="preserve"> un</w:t>
      </w:r>
      <w:r w:rsidR="00E25BC8">
        <w:rPr>
          <w:rStyle w:val="normaltextrun"/>
          <w:rFonts w:cs="Arial"/>
          <w:sz w:val="22"/>
          <w:szCs w:val="22"/>
        </w:rPr>
        <w:t xml:space="preserve"> </w:t>
      </w:r>
      <w:r w:rsidR="00570691">
        <w:rPr>
          <w:rStyle w:val="normaltextrun"/>
          <w:rFonts w:cs="Arial"/>
          <w:sz w:val="22"/>
          <w:szCs w:val="22"/>
        </w:rPr>
        <w:t xml:space="preserve">proyecto del STN ejecutado </w:t>
      </w:r>
      <w:r w:rsidR="00E25BC8">
        <w:rPr>
          <w:rStyle w:val="normaltextrun"/>
          <w:rFonts w:cs="Arial"/>
          <w:sz w:val="22"/>
          <w:szCs w:val="22"/>
        </w:rPr>
        <w:t xml:space="preserve">en desarrollo de los procesos de selección definidos en </w:t>
      </w:r>
      <w:r w:rsidR="00C141D5">
        <w:rPr>
          <w:rStyle w:val="normaltextrun"/>
          <w:rFonts w:cs="Arial"/>
          <w:sz w:val="22"/>
          <w:szCs w:val="22"/>
        </w:rPr>
        <w:t>l</w:t>
      </w:r>
      <w:r w:rsidR="00E25BC8">
        <w:rPr>
          <w:rStyle w:val="normaltextrun"/>
          <w:rFonts w:cs="Arial"/>
          <w:sz w:val="22"/>
          <w:szCs w:val="22"/>
        </w:rPr>
        <w:t xml:space="preserve">a </w:t>
      </w:r>
      <w:r w:rsidR="00C141D5">
        <w:rPr>
          <w:rStyle w:val="normaltextrun"/>
          <w:rFonts w:cs="Arial"/>
          <w:sz w:val="22"/>
          <w:szCs w:val="22"/>
        </w:rPr>
        <w:t xml:space="preserve">citada </w:t>
      </w:r>
      <w:r w:rsidR="00E25BC8">
        <w:rPr>
          <w:rStyle w:val="normaltextrun"/>
          <w:rFonts w:cs="Arial"/>
          <w:sz w:val="22"/>
          <w:szCs w:val="22"/>
        </w:rPr>
        <w:t>resolución</w:t>
      </w:r>
      <w:r w:rsidR="002C7132">
        <w:rPr>
          <w:sz w:val="22"/>
          <w:szCs w:val="22"/>
        </w:rPr>
        <w:t>.</w:t>
      </w:r>
    </w:p>
    <w:p w14:paraId="00C5C85D" w14:textId="77777777" w:rsidR="00D57F2B" w:rsidRPr="00D54B09" w:rsidRDefault="00D57F2B" w:rsidP="008A0C85">
      <w:pPr>
        <w:pStyle w:val="Ttulo1"/>
        <w:numPr>
          <w:ilvl w:val="0"/>
          <w:numId w:val="14"/>
        </w:numPr>
        <w:spacing w:before="360" w:after="0"/>
        <w:ind w:left="431" w:hanging="431"/>
        <w:jc w:val="left"/>
        <w:rPr>
          <w:rFonts w:cs="Arial"/>
          <w:sz w:val="22"/>
          <w:szCs w:val="22"/>
        </w:rPr>
      </w:pPr>
      <w:bookmarkStart w:id="32" w:name="_Toc144837727"/>
      <w:bookmarkEnd w:id="31"/>
      <w:r w:rsidRPr="00D54B09">
        <w:rPr>
          <w:rFonts w:cs="Arial"/>
          <w:sz w:val="22"/>
          <w:szCs w:val="22"/>
        </w:rPr>
        <w:t>CONCLUSIONES</w:t>
      </w:r>
      <w:bookmarkEnd w:id="32"/>
    </w:p>
    <w:p w14:paraId="3EA43E86" w14:textId="084A6799" w:rsidR="00D57F2B" w:rsidRPr="00D54B09" w:rsidRDefault="00D57F2B" w:rsidP="008A0C85">
      <w:pPr>
        <w:spacing w:before="240"/>
        <w:jc w:val="left"/>
        <w:rPr>
          <w:rFonts w:cs="Arial"/>
          <w:sz w:val="22"/>
          <w:szCs w:val="22"/>
        </w:rPr>
      </w:pPr>
      <w:r w:rsidRPr="00D54B09">
        <w:rPr>
          <w:rFonts w:cs="Arial"/>
          <w:sz w:val="22"/>
          <w:szCs w:val="22"/>
        </w:rPr>
        <w:t xml:space="preserve">Se </w:t>
      </w:r>
      <w:r>
        <w:rPr>
          <w:rFonts w:cs="Arial"/>
          <w:sz w:val="22"/>
          <w:szCs w:val="22"/>
        </w:rPr>
        <w:t xml:space="preserve">propone a la Comisión aprobar </w:t>
      </w:r>
      <w:r w:rsidR="007C1125">
        <w:rPr>
          <w:rFonts w:cs="Arial"/>
          <w:sz w:val="22"/>
          <w:szCs w:val="22"/>
        </w:rPr>
        <w:t>el proyecto de</w:t>
      </w:r>
      <w:r w:rsidRPr="00D54B09">
        <w:rPr>
          <w:rFonts w:cs="Arial"/>
          <w:sz w:val="22"/>
          <w:szCs w:val="22"/>
        </w:rPr>
        <w:t xml:space="preserve"> resolución donde se </w:t>
      </w:r>
      <w:r w:rsidR="00182FA3">
        <w:rPr>
          <w:rFonts w:cs="Arial"/>
          <w:sz w:val="22"/>
          <w:szCs w:val="22"/>
        </w:rPr>
        <w:t>p</w:t>
      </w:r>
      <w:r w:rsidR="0039514C">
        <w:rPr>
          <w:rFonts w:cs="Arial"/>
          <w:sz w:val="22"/>
          <w:szCs w:val="22"/>
        </w:rPr>
        <w:t>lantea</w:t>
      </w:r>
      <w:r w:rsidR="00182FA3">
        <w:rPr>
          <w:rFonts w:cs="Arial"/>
          <w:sz w:val="22"/>
          <w:szCs w:val="22"/>
        </w:rPr>
        <w:t xml:space="preserve"> </w:t>
      </w:r>
      <w:r w:rsidR="00F206DB">
        <w:rPr>
          <w:rFonts w:cs="Arial"/>
          <w:sz w:val="22"/>
          <w:szCs w:val="22"/>
        </w:rPr>
        <w:t>l</w:t>
      </w:r>
      <w:r w:rsidR="00182FA3">
        <w:rPr>
          <w:rFonts w:cs="Arial"/>
          <w:sz w:val="22"/>
          <w:szCs w:val="22"/>
        </w:rPr>
        <w:t xml:space="preserve">a propuesta de ajuste </w:t>
      </w:r>
      <w:r w:rsidR="007E0196">
        <w:rPr>
          <w:rFonts w:cs="Arial"/>
          <w:sz w:val="22"/>
          <w:szCs w:val="22"/>
        </w:rPr>
        <w:t xml:space="preserve">al valor de la cobertura de las garantías que otorgan los usuarios de proyectos del STN, de acuerdo con lo establecido en la </w:t>
      </w:r>
      <w:r w:rsidR="007E0196" w:rsidRPr="007E0196">
        <w:rPr>
          <w:rStyle w:val="normaltextrun"/>
          <w:rFonts w:cs="Arial"/>
          <w:sz w:val="22"/>
          <w:szCs w:val="22"/>
        </w:rPr>
        <w:t>Resolución CREG 022 de 2001</w:t>
      </w:r>
      <w:r w:rsidRPr="00D54B09">
        <w:rPr>
          <w:rFonts w:cs="Arial"/>
          <w:sz w:val="22"/>
          <w:szCs w:val="22"/>
        </w:rPr>
        <w:t>.</w:t>
      </w:r>
    </w:p>
    <w:p w14:paraId="3DFF7100" w14:textId="40007910" w:rsidR="00D57F2B" w:rsidRDefault="00E37FC3" w:rsidP="008A0C85">
      <w:pPr>
        <w:spacing w:before="240"/>
        <w:jc w:val="left"/>
        <w:rPr>
          <w:sz w:val="22"/>
          <w:szCs w:val="22"/>
        </w:rPr>
      </w:pPr>
      <w:r>
        <w:rPr>
          <w:sz w:val="22"/>
          <w:szCs w:val="22"/>
        </w:rPr>
        <w:lastRenderedPageBreak/>
        <w:t xml:space="preserve">Con este propósito se propone modificar el numeral 4.5 del anexo </w:t>
      </w:r>
      <w:r w:rsidR="00E25BC8">
        <w:rPr>
          <w:sz w:val="22"/>
          <w:szCs w:val="22"/>
        </w:rPr>
        <w:t xml:space="preserve">1 </w:t>
      </w:r>
      <w:r>
        <w:rPr>
          <w:sz w:val="22"/>
          <w:szCs w:val="22"/>
        </w:rPr>
        <w:t xml:space="preserve">de la citada resolución </w:t>
      </w:r>
      <w:r w:rsidR="005823DC">
        <w:rPr>
          <w:sz w:val="22"/>
          <w:szCs w:val="22"/>
        </w:rPr>
        <w:t>para tener en cuenta lo siguiente</w:t>
      </w:r>
      <w:r w:rsidR="00D57F2B">
        <w:rPr>
          <w:sz w:val="22"/>
          <w:szCs w:val="22"/>
        </w:rPr>
        <w:t>:</w:t>
      </w:r>
    </w:p>
    <w:p w14:paraId="0B9ED589" w14:textId="05D3FA13" w:rsidR="00D57F2B" w:rsidRPr="009461B4" w:rsidRDefault="005823DC" w:rsidP="002D3815">
      <w:pPr>
        <w:pStyle w:val="Prrafodelista"/>
        <w:numPr>
          <w:ilvl w:val="0"/>
          <w:numId w:val="18"/>
        </w:numPr>
        <w:spacing w:before="120"/>
        <w:ind w:left="714" w:hanging="357"/>
        <w:jc w:val="left"/>
        <w:rPr>
          <w:sz w:val="22"/>
          <w:szCs w:val="22"/>
        </w:rPr>
      </w:pPr>
      <w:r>
        <w:rPr>
          <w:sz w:val="22"/>
          <w:szCs w:val="22"/>
        </w:rPr>
        <w:t>Se ajusta la forma de calcular el valor de cobertura de las garantías</w:t>
      </w:r>
      <w:r w:rsidR="00D57F2B" w:rsidRPr="009461B4">
        <w:rPr>
          <w:sz w:val="22"/>
          <w:szCs w:val="22"/>
        </w:rPr>
        <w:t>;</w:t>
      </w:r>
    </w:p>
    <w:p w14:paraId="677295A6" w14:textId="62554A7A" w:rsidR="00D57F2B" w:rsidRPr="0005069C" w:rsidRDefault="0005069C" w:rsidP="002D3815">
      <w:pPr>
        <w:pStyle w:val="Prrafodelista"/>
        <w:numPr>
          <w:ilvl w:val="0"/>
          <w:numId w:val="18"/>
        </w:numPr>
        <w:spacing w:before="120"/>
        <w:ind w:left="714" w:hanging="357"/>
        <w:jc w:val="left"/>
        <w:rPr>
          <w:sz w:val="22"/>
          <w:szCs w:val="22"/>
        </w:rPr>
      </w:pPr>
      <w:r>
        <w:rPr>
          <w:sz w:val="22"/>
          <w:szCs w:val="22"/>
        </w:rPr>
        <w:t>Para este ajuste se tiene en cuenta el avance de los proyectos que se conectan al STN</w:t>
      </w:r>
      <w:r>
        <w:rPr>
          <w:rFonts w:cs="Arial"/>
          <w:sz w:val="22"/>
          <w:szCs w:val="22"/>
        </w:rPr>
        <w:t>;</w:t>
      </w:r>
    </w:p>
    <w:p w14:paraId="7B4039F0" w14:textId="363FE617" w:rsidR="0005069C" w:rsidRPr="003C300D" w:rsidRDefault="00343228" w:rsidP="002D3815">
      <w:pPr>
        <w:pStyle w:val="Prrafodelista"/>
        <w:numPr>
          <w:ilvl w:val="0"/>
          <w:numId w:val="18"/>
        </w:numPr>
        <w:spacing w:before="120"/>
        <w:ind w:left="714" w:hanging="357"/>
        <w:jc w:val="left"/>
        <w:rPr>
          <w:sz w:val="22"/>
          <w:szCs w:val="22"/>
        </w:rPr>
      </w:pPr>
      <w:r>
        <w:rPr>
          <w:rFonts w:cs="Arial"/>
          <w:sz w:val="22"/>
          <w:szCs w:val="22"/>
        </w:rPr>
        <w:t xml:space="preserve">Se fijan </w:t>
      </w:r>
      <w:r w:rsidR="00F206DB">
        <w:rPr>
          <w:rFonts w:cs="Arial"/>
          <w:sz w:val="22"/>
          <w:szCs w:val="22"/>
        </w:rPr>
        <w:t>tres</w:t>
      </w:r>
      <w:r>
        <w:rPr>
          <w:rFonts w:cs="Arial"/>
          <w:sz w:val="22"/>
          <w:szCs w:val="22"/>
        </w:rPr>
        <w:t xml:space="preserve"> condiciones para aplicar esta propuesta: </w:t>
      </w:r>
      <w:r w:rsidR="00C06C77">
        <w:rPr>
          <w:rFonts w:cs="Arial"/>
          <w:sz w:val="22"/>
          <w:szCs w:val="22"/>
        </w:rPr>
        <w:t xml:space="preserve">i) </w:t>
      </w:r>
      <w:r>
        <w:rPr>
          <w:rFonts w:cs="Arial"/>
          <w:sz w:val="22"/>
          <w:szCs w:val="22"/>
        </w:rPr>
        <w:t xml:space="preserve">que </w:t>
      </w:r>
      <w:r w:rsidR="00A67412">
        <w:rPr>
          <w:rFonts w:cs="Arial"/>
          <w:sz w:val="22"/>
          <w:szCs w:val="22"/>
        </w:rPr>
        <w:t xml:space="preserve">se </w:t>
      </w:r>
      <w:r>
        <w:rPr>
          <w:rFonts w:cs="Arial"/>
          <w:sz w:val="22"/>
          <w:szCs w:val="22"/>
        </w:rPr>
        <w:t xml:space="preserve">haya </w:t>
      </w:r>
      <w:r w:rsidR="00A67412">
        <w:rPr>
          <w:rFonts w:cs="Arial"/>
          <w:sz w:val="22"/>
          <w:szCs w:val="22"/>
        </w:rPr>
        <w:t>alcanzado</w:t>
      </w:r>
      <w:r>
        <w:rPr>
          <w:rFonts w:cs="Arial"/>
          <w:sz w:val="22"/>
          <w:szCs w:val="22"/>
        </w:rPr>
        <w:t xml:space="preserve"> la FPO inicial del proyecto de </w:t>
      </w:r>
      <w:r w:rsidR="00DF0F35">
        <w:rPr>
          <w:rFonts w:cs="Arial"/>
          <w:sz w:val="22"/>
          <w:szCs w:val="22"/>
        </w:rPr>
        <w:t>transmisión</w:t>
      </w:r>
      <w:r w:rsidR="00C06C77">
        <w:rPr>
          <w:rFonts w:cs="Arial"/>
          <w:sz w:val="22"/>
          <w:szCs w:val="22"/>
        </w:rPr>
        <w:t xml:space="preserve">; </w:t>
      </w:r>
      <w:proofErr w:type="spellStart"/>
      <w:r w:rsidR="00C06C77">
        <w:rPr>
          <w:rFonts w:cs="Arial"/>
          <w:sz w:val="22"/>
          <w:szCs w:val="22"/>
        </w:rPr>
        <w:t>ii</w:t>
      </w:r>
      <w:proofErr w:type="spellEnd"/>
      <w:r w:rsidR="00C06C77">
        <w:rPr>
          <w:rFonts w:cs="Arial"/>
          <w:sz w:val="22"/>
          <w:szCs w:val="22"/>
        </w:rPr>
        <w:t xml:space="preserve">) </w:t>
      </w:r>
      <w:r w:rsidR="0021483C">
        <w:rPr>
          <w:rFonts w:cs="Arial"/>
          <w:sz w:val="22"/>
          <w:szCs w:val="22"/>
        </w:rPr>
        <w:t xml:space="preserve">que se hay modificado la FPO aplazándola más de un año; y </w:t>
      </w:r>
      <w:proofErr w:type="spellStart"/>
      <w:r w:rsidR="0021483C">
        <w:rPr>
          <w:rFonts w:cs="Arial"/>
          <w:sz w:val="22"/>
          <w:szCs w:val="22"/>
        </w:rPr>
        <w:t>iii</w:t>
      </w:r>
      <w:proofErr w:type="spellEnd"/>
      <w:r w:rsidR="0021483C">
        <w:rPr>
          <w:rFonts w:cs="Arial"/>
          <w:sz w:val="22"/>
          <w:szCs w:val="22"/>
        </w:rPr>
        <w:t xml:space="preserve">) </w:t>
      </w:r>
      <w:r w:rsidR="00C06C77">
        <w:rPr>
          <w:rFonts w:cs="Arial"/>
          <w:sz w:val="22"/>
          <w:szCs w:val="22"/>
        </w:rPr>
        <w:t xml:space="preserve">que los interesados en aplicar esta propuesta tengan proyectos en los que se </w:t>
      </w:r>
      <w:r w:rsidR="00DF0F35">
        <w:rPr>
          <w:rFonts w:cs="Arial"/>
          <w:sz w:val="22"/>
          <w:szCs w:val="22"/>
        </w:rPr>
        <w:t>muestre</w:t>
      </w:r>
      <w:r w:rsidR="00C06C77">
        <w:rPr>
          <w:rFonts w:cs="Arial"/>
          <w:sz w:val="22"/>
          <w:szCs w:val="22"/>
        </w:rPr>
        <w:t xml:space="preserve"> un avance superior al </w:t>
      </w:r>
      <w:r w:rsidR="0021483C">
        <w:rPr>
          <w:rFonts w:cs="Arial"/>
          <w:sz w:val="22"/>
          <w:szCs w:val="22"/>
        </w:rPr>
        <w:t>15</w:t>
      </w:r>
      <w:r w:rsidR="00C06C77">
        <w:rPr>
          <w:rFonts w:cs="Arial"/>
          <w:sz w:val="22"/>
          <w:szCs w:val="22"/>
        </w:rPr>
        <w:t>%</w:t>
      </w:r>
      <w:r>
        <w:rPr>
          <w:rFonts w:cs="Arial"/>
          <w:sz w:val="22"/>
          <w:szCs w:val="22"/>
        </w:rPr>
        <w:t xml:space="preserve"> </w:t>
      </w:r>
      <w:r w:rsidR="005B2B8F">
        <w:rPr>
          <w:rFonts w:cs="Arial"/>
          <w:sz w:val="22"/>
          <w:szCs w:val="22"/>
        </w:rPr>
        <w:t xml:space="preserve">en </w:t>
      </w:r>
      <w:r w:rsidR="00A4244E">
        <w:rPr>
          <w:rFonts w:cs="Arial"/>
          <w:sz w:val="22"/>
          <w:szCs w:val="22"/>
        </w:rPr>
        <w:t>su</w:t>
      </w:r>
      <w:r w:rsidR="005B2B8F">
        <w:rPr>
          <w:rFonts w:cs="Arial"/>
          <w:sz w:val="22"/>
          <w:szCs w:val="22"/>
        </w:rPr>
        <w:t xml:space="preserve"> desarrollo.</w:t>
      </w:r>
    </w:p>
    <w:p w14:paraId="5AA790B0" w14:textId="77777777" w:rsidR="003C300D" w:rsidRPr="00DC3097" w:rsidRDefault="003C300D" w:rsidP="00DC3097">
      <w:pPr>
        <w:pStyle w:val="Ttulo1"/>
        <w:numPr>
          <w:ilvl w:val="0"/>
          <w:numId w:val="14"/>
        </w:numPr>
        <w:spacing w:before="360" w:after="0"/>
        <w:ind w:left="431" w:hanging="431"/>
        <w:jc w:val="left"/>
        <w:rPr>
          <w:rFonts w:cs="Arial"/>
          <w:sz w:val="22"/>
          <w:szCs w:val="22"/>
        </w:rPr>
      </w:pPr>
      <w:bookmarkStart w:id="33" w:name="_Toc18940149"/>
      <w:bookmarkStart w:id="34" w:name="_Toc75355382"/>
      <w:bookmarkStart w:id="35" w:name="_Toc90630154"/>
      <w:bookmarkStart w:id="36" w:name="_Toc144837728"/>
      <w:r w:rsidRPr="00DC3097">
        <w:rPr>
          <w:rFonts w:cs="Arial"/>
          <w:sz w:val="22"/>
          <w:szCs w:val="22"/>
        </w:rPr>
        <w:t>CUESTIONARIO DE LA SIC</w:t>
      </w:r>
      <w:bookmarkEnd w:id="33"/>
      <w:bookmarkEnd w:id="34"/>
      <w:bookmarkEnd w:id="35"/>
      <w:bookmarkEnd w:id="36"/>
    </w:p>
    <w:p w14:paraId="69669C6E" w14:textId="77777777" w:rsidR="003C300D" w:rsidRDefault="003C300D" w:rsidP="00DC3097">
      <w:pPr>
        <w:pStyle w:val="Texto"/>
        <w:spacing w:before="240" w:after="0"/>
        <w:jc w:val="left"/>
      </w:pPr>
      <w:r w:rsidRPr="008B4AAF">
        <w:t>A continuación, se presentan las repuestas al cuestionario de</w:t>
      </w:r>
      <w:r>
        <w:t xml:space="preserve"> Abogacía de la Competencia de</w:t>
      </w:r>
      <w:r w:rsidRPr="008B4AAF">
        <w:t xml:space="preserve"> la Superintendencia de Industria y Comercio:</w:t>
      </w:r>
    </w:p>
    <w:p w14:paraId="208C28C4" w14:textId="77777777" w:rsidR="003C300D" w:rsidRDefault="003C300D" w:rsidP="003C300D">
      <w:pPr>
        <w:jc w:val="left"/>
        <w:rPr>
          <w:rFonts w:cs="Arial"/>
          <w:sz w:val="22"/>
          <w:szCs w:val="18"/>
        </w:rPr>
      </w:pPr>
    </w:p>
    <w:tbl>
      <w:tblPr>
        <w:tblW w:w="9634" w:type="dxa"/>
        <w:tblCellMar>
          <w:left w:w="70" w:type="dxa"/>
          <w:right w:w="70" w:type="dxa"/>
        </w:tblCellMar>
        <w:tblLook w:val="04A0" w:firstRow="1" w:lastRow="0" w:firstColumn="1" w:lastColumn="0" w:noHBand="0" w:noVBand="1"/>
      </w:tblPr>
      <w:tblGrid>
        <w:gridCol w:w="3539"/>
        <w:gridCol w:w="3260"/>
        <w:gridCol w:w="2835"/>
      </w:tblGrid>
      <w:tr w:rsidR="003C300D" w:rsidRPr="0050046F" w14:paraId="254B560B" w14:textId="77777777" w:rsidTr="00550379">
        <w:trPr>
          <w:trHeight w:val="1548"/>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A3E5" w14:textId="77777777" w:rsidR="003C300D" w:rsidRPr="00747A48" w:rsidRDefault="003C300D" w:rsidP="00550379">
            <w:pPr>
              <w:jc w:val="left"/>
              <w:rPr>
                <w:rFonts w:ascii="Calibri" w:hAnsi="Calibri" w:cs="Calibri"/>
                <w:color w:val="000000"/>
                <w:sz w:val="16"/>
                <w:szCs w:val="16"/>
                <w:lang w:eastAsia="es-CO"/>
              </w:rPr>
            </w:pPr>
            <w:r w:rsidRPr="00747A48">
              <w:rPr>
                <w:rFonts w:ascii="Calibri" w:hAnsi="Calibri" w:cs="Calibri"/>
                <w:noProof/>
                <w:color w:val="000000"/>
                <w:sz w:val="16"/>
                <w:szCs w:val="16"/>
                <w:lang w:eastAsia="es-CO"/>
              </w:rPr>
              <w:drawing>
                <wp:anchor distT="0" distB="0" distL="114300" distR="114300" simplePos="0" relativeHeight="251659776" behindDoc="0" locked="0" layoutInCell="1" allowOverlap="1" wp14:anchorId="55B71308" wp14:editId="6B6202CE">
                  <wp:simplePos x="0" y="0"/>
                  <wp:positionH relativeFrom="column">
                    <wp:posOffset>175895</wp:posOffset>
                  </wp:positionH>
                  <wp:positionV relativeFrom="page">
                    <wp:posOffset>120650</wp:posOffset>
                  </wp:positionV>
                  <wp:extent cx="1884045" cy="719455"/>
                  <wp:effectExtent l="0" t="0" r="1905" b="4445"/>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4045" cy="719455"/>
                          </a:xfrm>
                          <a:prstGeom prst="rect">
                            <a:avLst/>
                          </a:prstGeom>
                          <a:noFill/>
                        </pic:spPr>
                      </pic:pic>
                    </a:graphicData>
                  </a:graphic>
                  <wp14:sizeRelH relativeFrom="margin">
                    <wp14:pctWidth>0</wp14:pctWidth>
                  </wp14:sizeRelH>
                  <wp14:sizeRelV relativeFrom="margin">
                    <wp14:pctHeight>0</wp14:pctHeight>
                  </wp14:sizeRelV>
                </wp:anchor>
              </w:drawing>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066FA" w14:textId="77777777" w:rsidR="003C300D" w:rsidRPr="009E289C" w:rsidRDefault="003C300D" w:rsidP="00550379">
            <w:pPr>
              <w:jc w:val="left"/>
              <w:rPr>
                <w:rFonts w:ascii="Calibri" w:hAnsi="Calibri" w:cs="Calibri"/>
                <w:b/>
                <w:bCs/>
                <w:color w:val="000000"/>
                <w:sz w:val="28"/>
                <w:szCs w:val="28"/>
                <w:lang w:eastAsia="es-CO"/>
              </w:rPr>
            </w:pPr>
            <w:r w:rsidRPr="009E289C">
              <w:rPr>
                <w:rFonts w:ascii="Calibri" w:hAnsi="Calibri" w:cs="Calibri"/>
                <w:b/>
                <w:bCs/>
                <w:color w:val="000000"/>
                <w:sz w:val="22"/>
                <w:szCs w:val="22"/>
                <w:lang w:eastAsia="es-CO"/>
              </w:rPr>
              <w:t>CUESTIONARIO DE ABOGACÍA DE LA COMPETENCIA - ACTOS ADMINISTRATIVOS EXPEDIDOS CON FINES REGULATORIOS</w:t>
            </w:r>
          </w:p>
        </w:tc>
      </w:tr>
      <w:tr w:rsidR="003C300D" w:rsidRPr="00637FE1" w14:paraId="7794A538" w14:textId="77777777" w:rsidTr="00550379">
        <w:trPr>
          <w:trHeight w:val="64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0B9F0"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OBJETO DEL PROYECTO DE REGULACIÓN:</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65A1324" w14:textId="741A39D0" w:rsidR="003C300D" w:rsidRPr="009E289C" w:rsidRDefault="00C447BE" w:rsidP="00550379">
            <w:pPr>
              <w:keepLines/>
              <w:jc w:val="left"/>
              <w:rPr>
                <w:rFonts w:asciiTheme="minorHAnsi" w:hAnsiTheme="minorHAnsi" w:cstheme="minorHAnsi"/>
                <w:b/>
                <w:bCs/>
                <w:color w:val="000000"/>
                <w:sz w:val="18"/>
                <w:szCs w:val="18"/>
                <w:lang w:eastAsia="es-CO"/>
              </w:rPr>
            </w:pPr>
            <w:r>
              <w:rPr>
                <w:rFonts w:asciiTheme="minorHAnsi" w:hAnsiTheme="minorHAnsi" w:cstheme="minorHAnsi"/>
                <w:b/>
                <w:bCs/>
                <w:color w:val="000000"/>
                <w:sz w:val="18"/>
                <w:szCs w:val="18"/>
                <w:lang w:eastAsia="es-CO"/>
              </w:rPr>
              <w:t xml:space="preserve">Permitir un ajuste </w:t>
            </w:r>
            <w:r w:rsidR="00E3191B">
              <w:rPr>
                <w:rFonts w:asciiTheme="minorHAnsi" w:hAnsiTheme="minorHAnsi" w:cstheme="minorHAnsi"/>
                <w:b/>
                <w:bCs/>
                <w:color w:val="000000"/>
                <w:sz w:val="18"/>
                <w:szCs w:val="18"/>
                <w:lang w:eastAsia="es-CO"/>
              </w:rPr>
              <w:t>a la cobertura de las garantías que otorgan los usuarios de los proyectos del STN</w:t>
            </w:r>
            <w:r w:rsidR="005638F6">
              <w:rPr>
                <w:rFonts w:asciiTheme="minorHAnsi" w:hAnsiTheme="minorHAnsi" w:cstheme="minorHAnsi"/>
                <w:b/>
                <w:bCs/>
                <w:color w:val="000000"/>
                <w:sz w:val="18"/>
                <w:szCs w:val="18"/>
                <w:lang w:eastAsia="es-CO"/>
              </w:rPr>
              <w:t>, cuando estos proyectos aplazan su entrada en operación</w:t>
            </w:r>
          </w:p>
        </w:tc>
        <w:tc>
          <w:tcPr>
            <w:tcW w:w="2835" w:type="dxa"/>
            <w:tcBorders>
              <w:top w:val="nil"/>
              <w:left w:val="nil"/>
              <w:bottom w:val="single" w:sz="4" w:space="0" w:color="auto"/>
              <w:right w:val="single" w:sz="4" w:space="0" w:color="auto"/>
            </w:tcBorders>
            <w:shd w:val="clear" w:color="auto" w:fill="auto"/>
            <w:vAlign w:val="center"/>
            <w:hideMark/>
          </w:tcPr>
          <w:p w14:paraId="689D1595" w14:textId="77777777" w:rsidR="003C300D"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No. DE RESOLUCIÓN O ACTO:</w:t>
            </w:r>
          </w:p>
          <w:p w14:paraId="6D51D63C" w14:textId="578E86B5" w:rsidR="003C300D" w:rsidRPr="009E289C" w:rsidRDefault="003C300D" w:rsidP="00550379">
            <w:pPr>
              <w:keepLines/>
              <w:jc w:val="left"/>
              <w:rPr>
                <w:rFonts w:asciiTheme="minorHAnsi" w:hAnsiTheme="minorHAnsi" w:cstheme="minorHAnsi"/>
                <w:b/>
                <w:bCs/>
                <w:color w:val="000000"/>
                <w:sz w:val="18"/>
                <w:szCs w:val="18"/>
                <w:lang w:eastAsia="es-CO"/>
              </w:rPr>
            </w:pPr>
            <w:r>
              <w:rPr>
                <w:rFonts w:asciiTheme="minorHAnsi" w:hAnsiTheme="minorHAnsi" w:cstheme="minorHAnsi"/>
                <w:b/>
                <w:bCs/>
                <w:color w:val="000000"/>
                <w:sz w:val="18"/>
                <w:szCs w:val="18"/>
                <w:lang w:eastAsia="es-CO"/>
              </w:rPr>
              <w:t xml:space="preserve">Resolución CREG </w:t>
            </w:r>
            <w:r w:rsidR="00431153">
              <w:rPr>
                <w:rFonts w:asciiTheme="minorHAnsi" w:hAnsiTheme="minorHAnsi" w:cstheme="minorHAnsi"/>
                <w:b/>
                <w:bCs/>
                <w:color w:val="000000"/>
                <w:sz w:val="18"/>
                <w:szCs w:val="18"/>
                <w:lang w:eastAsia="es-CO"/>
              </w:rPr>
              <w:t>701 014</w:t>
            </w:r>
            <w:r>
              <w:rPr>
                <w:rFonts w:asciiTheme="minorHAnsi" w:hAnsiTheme="minorHAnsi" w:cstheme="minorHAnsi"/>
                <w:b/>
                <w:bCs/>
                <w:color w:val="000000"/>
                <w:sz w:val="18"/>
                <w:szCs w:val="18"/>
                <w:lang w:eastAsia="es-CO"/>
              </w:rPr>
              <w:t xml:space="preserve"> de 202</w:t>
            </w:r>
            <w:r w:rsidR="002275BA">
              <w:rPr>
                <w:rFonts w:asciiTheme="minorHAnsi" w:hAnsiTheme="minorHAnsi" w:cstheme="minorHAnsi"/>
                <w:b/>
                <w:bCs/>
                <w:color w:val="000000"/>
                <w:sz w:val="18"/>
                <w:szCs w:val="18"/>
                <w:lang w:eastAsia="es-CO"/>
              </w:rPr>
              <w:t>3</w:t>
            </w:r>
            <w:r>
              <w:rPr>
                <w:rFonts w:asciiTheme="minorHAnsi" w:hAnsiTheme="minorHAnsi" w:cstheme="minorHAnsi"/>
                <w:b/>
                <w:bCs/>
                <w:color w:val="000000"/>
                <w:sz w:val="18"/>
                <w:szCs w:val="18"/>
                <w:lang w:eastAsia="es-CO"/>
              </w:rPr>
              <w:t xml:space="preserve"> (consulta)</w:t>
            </w:r>
          </w:p>
        </w:tc>
      </w:tr>
      <w:tr w:rsidR="003C300D" w:rsidRPr="00637FE1" w14:paraId="2AF8C49E" w14:textId="77777777" w:rsidTr="00550379">
        <w:trPr>
          <w:trHeight w:val="50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34510"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ENTIDAD QUE REMITE:</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8CD4A0F"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8F585C">
              <w:rPr>
                <w:rFonts w:asciiTheme="minorHAnsi" w:hAnsiTheme="minorHAnsi" w:cstheme="minorHAnsi"/>
                <w:b/>
                <w:bCs/>
                <w:color w:val="000000"/>
                <w:sz w:val="18"/>
                <w:szCs w:val="18"/>
                <w:lang w:eastAsia="es-CO"/>
              </w:rPr>
              <w:t>Comisión de Regulación de Energía y Gas - CREG</w:t>
            </w:r>
            <w:r w:rsidRPr="009E289C">
              <w:rPr>
                <w:rFonts w:asciiTheme="minorHAnsi" w:hAnsiTheme="minorHAnsi" w:cstheme="minorHAnsi"/>
                <w:b/>
                <w:bCs/>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569EF3B8" w14:textId="53988EF0"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FECHA:</w:t>
            </w:r>
            <w:r>
              <w:rPr>
                <w:rFonts w:asciiTheme="minorHAnsi" w:hAnsiTheme="minorHAnsi" w:cstheme="minorHAnsi"/>
                <w:b/>
                <w:bCs/>
                <w:color w:val="000000"/>
                <w:sz w:val="18"/>
                <w:szCs w:val="18"/>
                <w:lang w:eastAsia="es-CO"/>
              </w:rPr>
              <w:t xml:space="preserve"> </w:t>
            </w:r>
            <w:r w:rsidR="009E2814">
              <w:rPr>
                <w:rFonts w:asciiTheme="minorHAnsi" w:hAnsiTheme="minorHAnsi" w:cstheme="minorHAnsi"/>
                <w:b/>
                <w:bCs/>
                <w:color w:val="000000"/>
                <w:sz w:val="18"/>
                <w:szCs w:val="18"/>
                <w:lang w:eastAsia="es-CO"/>
              </w:rPr>
              <w:t>22</w:t>
            </w:r>
            <w:r>
              <w:rPr>
                <w:rFonts w:asciiTheme="minorHAnsi" w:hAnsiTheme="minorHAnsi" w:cstheme="minorHAnsi"/>
                <w:b/>
                <w:bCs/>
                <w:color w:val="000000"/>
                <w:sz w:val="18"/>
                <w:szCs w:val="18"/>
                <w:lang w:eastAsia="es-CO"/>
              </w:rPr>
              <w:t>-</w:t>
            </w:r>
            <w:r w:rsidR="009E2814">
              <w:rPr>
                <w:rFonts w:asciiTheme="minorHAnsi" w:hAnsiTheme="minorHAnsi" w:cstheme="minorHAnsi"/>
                <w:b/>
                <w:bCs/>
                <w:color w:val="000000"/>
                <w:sz w:val="18"/>
                <w:szCs w:val="18"/>
                <w:lang w:eastAsia="es-CO"/>
              </w:rPr>
              <w:t>ago</w:t>
            </w:r>
            <w:r>
              <w:rPr>
                <w:rFonts w:asciiTheme="minorHAnsi" w:hAnsiTheme="minorHAnsi" w:cstheme="minorHAnsi"/>
                <w:b/>
                <w:bCs/>
                <w:color w:val="000000"/>
                <w:sz w:val="18"/>
                <w:szCs w:val="18"/>
                <w:lang w:eastAsia="es-CO"/>
              </w:rPr>
              <w:t>-202</w:t>
            </w:r>
            <w:r w:rsidR="009E2814">
              <w:rPr>
                <w:rFonts w:asciiTheme="minorHAnsi" w:hAnsiTheme="minorHAnsi" w:cstheme="minorHAnsi"/>
                <w:b/>
                <w:bCs/>
                <w:color w:val="000000"/>
                <w:sz w:val="18"/>
                <w:szCs w:val="18"/>
                <w:lang w:eastAsia="es-CO"/>
              </w:rPr>
              <w:t>3</w:t>
            </w:r>
          </w:p>
        </w:tc>
      </w:tr>
    </w:tbl>
    <w:p w14:paraId="249BB505" w14:textId="77777777" w:rsidR="003C300D" w:rsidRPr="00DA777C" w:rsidRDefault="003C300D" w:rsidP="003C300D">
      <w:pPr>
        <w:spacing w:before="120" w:after="120"/>
        <w:jc w:val="left"/>
        <w:rPr>
          <w:rFonts w:asciiTheme="minorHAnsi" w:hAnsiTheme="minorHAnsi" w:cstheme="minorHAnsi"/>
          <w:b/>
          <w:bCs/>
          <w:sz w:val="18"/>
          <w:szCs w:val="18"/>
        </w:rPr>
      </w:pPr>
      <w:r w:rsidRPr="00DA777C">
        <w:rPr>
          <w:rFonts w:asciiTheme="minorHAnsi" w:hAnsiTheme="minorHAnsi" w:cstheme="minorHAnsi"/>
          <w:b/>
          <w:bCs/>
          <w:sz w:val="18"/>
          <w:szCs w:val="18"/>
        </w:rPr>
        <w:t>CUESTIONARIO</w:t>
      </w:r>
    </w:p>
    <w:p w14:paraId="047C4F92" w14:textId="77777777" w:rsidR="003C300D" w:rsidRPr="00637FE1" w:rsidRDefault="003C300D" w:rsidP="003C300D">
      <w:pPr>
        <w:keepLines/>
        <w:jc w:val="left"/>
        <w:rPr>
          <w:rFonts w:asciiTheme="minorHAnsi" w:hAnsiTheme="minorHAnsi" w:cstheme="minorHAnsi"/>
          <w:sz w:val="2"/>
          <w:szCs w:val="2"/>
        </w:rPr>
      </w:pPr>
    </w:p>
    <w:tbl>
      <w:tblPr>
        <w:tblW w:w="11945" w:type="dxa"/>
        <w:tblCellMar>
          <w:left w:w="70" w:type="dxa"/>
          <w:right w:w="70" w:type="dxa"/>
        </w:tblCellMar>
        <w:tblLook w:val="04A0" w:firstRow="1" w:lastRow="0" w:firstColumn="1" w:lastColumn="0" w:noHBand="0" w:noVBand="1"/>
      </w:tblPr>
      <w:tblGrid>
        <w:gridCol w:w="274"/>
        <w:gridCol w:w="293"/>
        <w:gridCol w:w="2972"/>
        <w:gridCol w:w="425"/>
        <w:gridCol w:w="426"/>
        <w:gridCol w:w="2409"/>
        <w:gridCol w:w="2835"/>
        <w:gridCol w:w="2311"/>
      </w:tblGrid>
      <w:tr w:rsidR="003C300D" w:rsidRPr="00637FE1" w14:paraId="76E94BCA" w14:textId="77777777" w:rsidTr="00550379">
        <w:trPr>
          <w:gridAfter w:val="1"/>
          <w:wAfter w:w="2311" w:type="dxa"/>
          <w:trHeight w:val="525"/>
          <w:tblHead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543D8"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PREGUNTA</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55088AF6"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SI</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14:paraId="43C7E2DF"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NO</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657673E"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 xml:space="preserve">EXPLICACIÓN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2209462" w14:textId="77777777" w:rsidR="003C300D" w:rsidRPr="009E289C" w:rsidRDefault="003C300D" w:rsidP="00550379">
            <w:pPr>
              <w:keepLines/>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OBSERVACIONES</w:t>
            </w:r>
          </w:p>
        </w:tc>
      </w:tr>
      <w:tr w:rsidR="003C300D" w:rsidRPr="00637FE1" w14:paraId="44D0226C" w14:textId="77777777" w:rsidTr="00550379">
        <w:trPr>
          <w:gridAfter w:val="1"/>
          <w:wAfter w:w="2311" w:type="dxa"/>
          <w:cantSplit/>
          <w:trHeight w:val="655"/>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0D7C91" w14:textId="77777777" w:rsidR="003C300D" w:rsidRPr="009E289C" w:rsidRDefault="003C300D" w:rsidP="00550379">
            <w:pPr>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1.</w:t>
            </w:r>
          </w:p>
        </w:tc>
        <w:tc>
          <w:tcPr>
            <w:tcW w:w="9067" w:type="dxa"/>
            <w:gridSpan w:val="5"/>
            <w:tcBorders>
              <w:top w:val="single" w:sz="4" w:space="0" w:color="auto"/>
              <w:left w:val="nil"/>
              <w:bottom w:val="single" w:sz="4" w:space="0" w:color="auto"/>
              <w:right w:val="single" w:sz="4" w:space="0" w:color="auto"/>
            </w:tcBorders>
            <w:shd w:val="clear" w:color="auto" w:fill="auto"/>
            <w:vAlign w:val="center"/>
            <w:hideMark/>
          </w:tcPr>
          <w:p w14:paraId="7370AE00" w14:textId="77777777" w:rsidR="003C300D" w:rsidRPr="009E289C" w:rsidRDefault="003C300D" w:rsidP="00550379">
            <w:pPr>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¿La regulación limita el número o la variedad de las empresas en uno o varios mercados relevantes relacionados?</w:t>
            </w:r>
            <w:r w:rsidRPr="009E289C">
              <w:rPr>
                <w:rFonts w:asciiTheme="minorHAnsi" w:hAnsiTheme="minorHAnsi" w:cstheme="minorHAnsi"/>
                <w:b/>
                <w:bCs/>
                <w:color w:val="000000"/>
                <w:sz w:val="18"/>
                <w:szCs w:val="18"/>
                <w:lang w:eastAsia="es-CO"/>
              </w:rPr>
              <w:br/>
              <w:t>Es posible que esto suceda, entre otros eventos, cuando el proyecto de acto:</w:t>
            </w:r>
          </w:p>
        </w:tc>
      </w:tr>
      <w:tr w:rsidR="003C300D" w:rsidRPr="00637FE1" w14:paraId="2A77B1A7" w14:textId="77777777" w:rsidTr="00550379">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C55CC7"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a)</w:t>
            </w:r>
          </w:p>
        </w:tc>
        <w:tc>
          <w:tcPr>
            <w:tcW w:w="2972" w:type="dxa"/>
            <w:tcBorders>
              <w:top w:val="nil"/>
              <w:left w:val="nil"/>
              <w:bottom w:val="single" w:sz="4" w:space="0" w:color="auto"/>
              <w:right w:val="single" w:sz="4" w:space="0" w:color="auto"/>
            </w:tcBorders>
            <w:shd w:val="clear" w:color="auto" w:fill="auto"/>
            <w:vAlign w:val="center"/>
            <w:hideMark/>
          </w:tcPr>
          <w:p w14:paraId="51852C70"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Otorga derechos exclusivos a una empresa para prestar servicios o para ofrecer bienes.    </w:t>
            </w:r>
          </w:p>
        </w:tc>
        <w:tc>
          <w:tcPr>
            <w:tcW w:w="425" w:type="dxa"/>
            <w:tcBorders>
              <w:top w:val="nil"/>
              <w:left w:val="nil"/>
              <w:bottom w:val="single" w:sz="4" w:space="0" w:color="auto"/>
              <w:right w:val="single" w:sz="4" w:space="0" w:color="auto"/>
            </w:tcBorders>
            <w:shd w:val="clear" w:color="auto" w:fill="auto"/>
            <w:noWrap/>
            <w:vAlign w:val="center"/>
            <w:hideMark/>
          </w:tcPr>
          <w:p w14:paraId="7D069F1F"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021371AF"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3EFCFF25"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0AD50D9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5B99D4E5" w14:textId="77777777" w:rsidTr="00550379">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E70BF0"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b)</w:t>
            </w:r>
          </w:p>
        </w:tc>
        <w:tc>
          <w:tcPr>
            <w:tcW w:w="2972" w:type="dxa"/>
            <w:tcBorders>
              <w:top w:val="nil"/>
              <w:left w:val="nil"/>
              <w:bottom w:val="single" w:sz="4" w:space="0" w:color="auto"/>
              <w:right w:val="single" w:sz="4" w:space="0" w:color="auto"/>
            </w:tcBorders>
            <w:shd w:val="clear" w:color="auto" w:fill="auto"/>
            <w:vAlign w:val="center"/>
            <w:hideMark/>
          </w:tcPr>
          <w:p w14:paraId="56C1DFD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Establece licencias, permisos, autorizaciones para operar o cuotas de producción o de venta.</w:t>
            </w:r>
          </w:p>
        </w:tc>
        <w:tc>
          <w:tcPr>
            <w:tcW w:w="425" w:type="dxa"/>
            <w:tcBorders>
              <w:top w:val="nil"/>
              <w:left w:val="nil"/>
              <w:bottom w:val="single" w:sz="4" w:space="0" w:color="auto"/>
              <w:right w:val="single" w:sz="4" w:space="0" w:color="auto"/>
            </w:tcBorders>
            <w:shd w:val="clear" w:color="auto" w:fill="auto"/>
            <w:noWrap/>
            <w:vAlign w:val="center"/>
            <w:hideMark/>
          </w:tcPr>
          <w:p w14:paraId="66B4F2ED"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46D8544D"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7426DE85"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1233784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58595422" w14:textId="77777777" w:rsidTr="00550379">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892943"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c)</w:t>
            </w:r>
          </w:p>
        </w:tc>
        <w:tc>
          <w:tcPr>
            <w:tcW w:w="2972" w:type="dxa"/>
            <w:tcBorders>
              <w:top w:val="nil"/>
              <w:left w:val="nil"/>
              <w:bottom w:val="single" w:sz="4" w:space="0" w:color="auto"/>
              <w:right w:val="single" w:sz="4" w:space="0" w:color="auto"/>
            </w:tcBorders>
            <w:shd w:val="clear" w:color="auto" w:fill="auto"/>
            <w:vAlign w:val="center"/>
            <w:hideMark/>
          </w:tcPr>
          <w:p w14:paraId="2400C18A"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la capacidad de cierto tipo de empresas para ofrecer un bien o prestar un servicio.</w:t>
            </w:r>
          </w:p>
        </w:tc>
        <w:tc>
          <w:tcPr>
            <w:tcW w:w="425" w:type="dxa"/>
            <w:tcBorders>
              <w:top w:val="nil"/>
              <w:left w:val="nil"/>
              <w:bottom w:val="single" w:sz="4" w:space="0" w:color="auto"/>
              <w:right w:val="single" w:sz="4" w:space="0" w:color="auto"/>
            </w:tcBorders>
            <w:shd w:val="clear" w:color="auto" w:fill="auto"/>
            <w:noWrap/>
            <w:vAlign w:val="center"/>
            <w:hideMark/>
          </w:tcPr>
          <w:p w14:paraId="4C0D8893"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3E3D4725"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4FDF24D1"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3E943F9E"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22C021D6" w14:textId="77777777" w:rsidTr="00550379">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FD7DF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d)</w:t>
            </w:r>
          </w:p>
        </w:tc>
        <w:tc>
          <w:tcPr>
            <w:tcW w:w="2972" w:type="dxa"/>
            <w:tcBorders>
              <w:top w:val="nil"/>
              <w:left w:val="nil"/>
              <w:bottom w:val="single" w:sz="4" w:space="0" w:color="auto"/>
              <w:right w:val="single" w:sz="4" w:space="0" w:color="auto"/>
            </w:tcBorders>
            <w:shd w:val="clear" w:color="auto" w:fill="auto"/>
            <w:vAlign w:val="center"/>
            <w:hideMark/>
          </w:tcPr>
          <w:p w14:paraId="18D6FA07"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Eleva de manera significativa los costos de entrada o salida del mercado para las empresas.</w:t>
            </w:r>
          </w:p>
        </w:tc>
        <w:tc>
          <w:tcPr>
            <w:tcW w:w="425" w:type="dxa"/>
            <w:tcBorders>
              <w:top w:val="nil"/>
              <w:left w:val="nil"/>
              <w:bottom w:val="single" w:sz="4" w:space="0" w:color="auto"/>
              <w:right w:val="single" w:sz="4" w:space="0" w:color="auto"/>
            </w:tcBorders>
            <w:shd w:val="clear" w:color="auto" w:fill="auto"/>
            <w:noWrap/>
            <w:vAlign w:val="center"/>
            <w:hideMark/>
          </w:tcPr>
          <w:p w14:paraId="0A428B21"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35E02763"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7353D5D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2402B0A"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6577C026" w14:textId="77777777" w:rsidTr="00550379">
        <w:trPr>
          <w:gridAfter w:val="1"/>
          <w:wAfter w:w="2311" w:type="dxa"/>
          <w:cantSplit/>
          <w:trHeight w:val="624"/>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DEC451"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w:t>
            </w:r>
          </w:p>
        </w:tc>
        <w:tc>
          <w:tcPr>
            <w:tcW w:w="2972" w:type="dxa"/>
            <w:tcBorders>
              <w:top w:val="nil"/>
              <w:left w:val="nil"/>
              <w:bottom w:val="single" w:sz="4" w:space="0" w:color="auto"/>
              <w:right w:val="single" w:sz="4" w:space="0" w:color="auto"/>
            </w:tcBorders>
            <w:shd w:val="clear" w:color="auto" w:fill="auto"/>
            <w:vAlign w:val="center"/>
            <w:hideMark/>
          </w:tcPr>
          <w:p w14:paraId="601E2C65"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Crea una barrera geográfica a la libre circulación de bienes o servicios o a la inversión. </w:t>
            </w:r>
          </w:p>
        </w:tc>
        <w:tc>
          <w:tcPr>
            <w:tcW w:w="425" w:type="dxa"/>
            <w:tcBorders>
              <w:top w:val="nil"/>
              <w:left w:val="nil"/>
              <w:bottom w:val="single" w:sz="4" w:space="0" w:color="auto"/>
              <w:right w:val="single" w:sz="4" w:space="0" w:color="auto"/>
            </w:tcBorders>
            <w:shd w:val="clear" w:color="auto" w:fill="auto"/>
            <w:noWrap/>
            <w:vAlign w:val="center"/>
            <w:hideMark/>
          </w:tcPr>
          <w:p w14:paraId="0099F7C9"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2DC38C5F"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41ECF4C0"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3A763FB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26D5FF05" w14:textId="77777777" w:rsidTr="00550379">
        <w:trPr>
          <w:gridAfter w:val="1"/>
          <w:wAfter w:w="2311" w:type="dxa"/>
          <w:cantSplit/>
          <w:trHeight w:val="446"/>
        </w:trPr>
        <w:tc>
          <w:tcPr>
            <w:tcW w:w="27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35C21"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f)</w:t>
            </w:r>
          </w:p>
        </w:tc>
        <w:tc>
          <w:tcPr>
            <w:tcW w:w="293" w:type="dxa"/>
            <w:tcBorders>
              <w:top w:val="nil"/>
              <w:left w:val="nil"/>
              <w:bottom w:val="single" w:sz="4" w:space="0" w:color="auto"/>
              <w:right w:val="nil"/>
            </w:tcBorders>
            <w:shd w:val="clear" w:color="auto" w:fill="auto"/>
            <w:hideMark/>
          </w:tcPr>
          <w:p w14:paraId="07C22E2A"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972" w:type="dxa"/>
            <w:tcBorders>
              <w:top w:val="nil"/>
              <w:left w:val="single" w:sz="4" w:space="0" w:color="auto"/>
              <w:bottom w:val="single" w:sz="4" w:space="0" w:color="auto"/>
              <w:right w:val="nil"/>
            </w:tcBorders>
            <w:shd w:val="clear" w:color="auto" w:fill="auto"/>
            <w:vAlign w:val="center"/>
            <w:hideMark/>
          </w:tcPr>
          <w:p w14:paraId="3F71C25F"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Incrementa de manera significativa los costos:</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A3A8A6F"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02DD8897" w14:textId="77777777" w:rsidR="003C300D" w:rsidRPr="009E289C" w:rsidRDefault="003C300D" w:rsidP="00550379">
            <w:pPr>
              <w:jc w:val="left"/>
              <w:rPr>
                <w:rFonts w:asciiTheme="minorHAnsi" w:hAnsiTheme="minorHAnsi" w:cstheme="minorHAnsi"/>
                <w:color w:val="000000"/>
                <w:sz w:val="18"/>
                <w:szCs w:val="18"/>
                <w:lang w:eastAsia="es-CO"/>
              </w:rPr>
            </w:pPr>
          </w:p>
        </w:tc>
        <w:tc>
          <w:tcPr>
            <w:tcW w:w="2409" w:type="dxa"/>
            <w:tcBorders>
              <w:top w:val="nil"/>
              <w:left w:val="nil"/>
              <w:bottom w:val="single" w:sz="4" w:space="0" w:color="auto"/>
              <w:right w:val="single" w:sz="4" w:space="0" w:color="auto"/>
            </w:tcBorders>
            <w:shd w:val="clear" w:color="auto" w:fill="auto"/>
            <w:noWrap/>
            <w:vAlign w:val="center"/>
            <w:hideMark/>
          </w:tcPr>
          <w:p w14:paraId="07CDA82E"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7B99D57"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30A6650A" w14:textId="77777777" w:rsidTr="00550379">
        <w:trPr>
          <w:gridAfter w:val="1"/>
          <w:wAfter w:w="2311" w:type="dxa"/>
          <w:cantSplit/>
          <w:trHeight w:val="835"/>
        </w:trPr>
        <w:tc>
          <w:tcPr>
            <w:tcW w:w="274" w:type="dxa"/>
            <w:vMerge/>
            <w:tcBorders>
              <w:top w:val="nil"/>
              <w:left w:val="single" w:sz="4" w:space="0" w:color="auto"/>
              <w:bottom w:val="single" w:sz="4" w:space="0" w:color="000000"/>
              <w:right w:val="single" w:sz="4" w:space="0" w:color="auto"/>
            </w:tcBorders>
            <w:vAlign w:val="center"/>
            <w:hideMark/>
          </w:tcPr>
          <w:p w14:paraId="7AA52713" w14:textId="77777777" w:rsidR="003C300D" w:rsidRPr="009E289C" w:rsidRDefault="003C300D" w:rsidP="00550379">
            <w:pPr>
              <w:jc w:val="left"/>
              <w:rPr>
                <w:rFonts w:asciiTheme="minorHAnsi" w:hAnsiTheme="minorHAnsi" w:cstheme="minorHAnsi"/>
                <w:color w:val="000000"/>
                <w:sz w:val="18"/>
                <w:szCs w:val="18"/>
                <w:lang w:eastAsia="es-CO"/>
              </w:rPr>
            </w:pPr>
          </w:p>
        </w:tc>
        <w:tc>
          <w:tcPr>
            <w:tcW w:w="293" w:type="dxa"/>
            <w:tcBorders>
              <w:top w:val="nil"/>
              <w:left w:val="nil"/>
              <w:bottom w:val="single" w:sz="4" w:space="0" w:color="auto"/>
              <w:right w:val="single" w:sz="4" w:space="0" w:color="auto"/>
            </w:tcBorders>
            <w:shd w:val="clear" w:color="auto" w:fill="auto"/>
            <w:noWrap/>
            <w:vAlign w:val="center"/>
            <w:hideMark/>
          </w:tcPr>
          <w:p w14:paraId="2CD8EFF3"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i)</w:t>
            </w:r>
          </w:p>
        </w:tc>
        <w:tc>
          <w:tcPr>
            <w:tcW w:w="2972" w:type="dxa"/>
            <w:tcBorders>
              <w:top w:val="nil"/>
              <w:left w:val="nil"/>
              <w:bottom w:val="single" w:sz="4" w:space="0" w:color="auto"/>
              <w:right w:val="single" w:sz="4" w:space="0" w:color="auto"/>
            </w:tcBorders>
            <w:shd w:val="clear" w:color="auto" w:fill="auto"/>
            <w:vAlign w:val="center"/>
            <w:hideMark/>
          </w:tcPr>
          <w:p w14:paraId="197A146C"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Para nuevas empresas en relación con las empresas que ya operan en un mercado o mercados relevantes relacionados, o</w:t>
            </w:r>
          </w:p>
        </w:tc>
        <w:tc>
          <w:tcPr>
            <w:tcW w:w="425" w:type="dxa"/>
            <w:tcBorders>
              <w:top w:val="nil"/>
              <w:left w:val="nil"/>
              <w:bottom w:val="single" w:sz="4" w:space="0" w:color="auto"/>
              <w:right w:val="single" w:sz="4" w:space="0" w:color="auto"/>
            </w:tcBorders>
            <w:shd w:val="clear" w:color="auto" w:fill="auto"/>
            <w:noWrap/>
            <w:vAlign w:val="center"/>
            <w:hideMark/>
          </w:tcPr>
          <w:p w14:paraId="7B6E3039"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4D3CF55D"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369DD7F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6072D6C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4DB89408" w14:textId="77777777" w:rsidTr="00550379">
        <w:trPr>
          <w:gridAfter w:val="1"/>
          <w:wAfter w:w="2311" w:type="dxa"/>
          <w:cantSplit/>
          <w:trHeight w:val="946"/>
        </w:trPr>
        <w:tc>
          <w:tcPr>
            <w:tcW w:w="274" w:type="dxa"/>
            <w:vMerge/>
            <w:tcBorders>
              <w:top w:val="nil"/>
              <w:left w:val="single" w:sz="4" w:space="0" w:color="auto"/>
              <w:bottom w:val="single" w:sz="4" w:space="0" w:color="000000"/>
              <w:right w:val="single" w:sz="4" w:space="0" w:color="auto"/>
            </w:tcBorders>
            <w:vAlign w:val="center"/>
            <w:hideMark/>
          </w:tcPr>
          <w:p w14:paraId="7A7EF4D0" w14:textId="77777777" w:rsidR="003C300D" w:rsidRPr="009E289C" w:rsidRDefault="003C300D" w:rsidP="00550379">
            <w:pPr>
              <w:jc w:val="left"/>
              <w:rPr>
                <w:rFonts w:asciiTheme="minorHAnsi" w:hAnsiTheme="minorHAnsi" w:cstheme="minorHAnsi"/>
                <w:color w:val="000000"/>
                <w:sz w:val="18"/>
                <w:szCs w:val="18"/>
                <w:lang w:eastAsia="es-CO"/>
              </w:rPr>
            </w:pPr>
          </w:p>
        </w:tc>
        <w:tc>
          <w:tcPr>
            <w:tcW w:w="293" w:type="dxa"/>
            <w:tcBorders>
              <w:top w:val="nil"/>
              <w:left w:val="nil"/>
              <w:bottom w:val="single" w:sz="4" w:space="0" w:color="auto"/>
              <w:right w:val="single" w:sz="4" w:space="0" w:color="auto"/>
            </w:tcBorders>
            <w:shd w:val="clear" w:color="auto" w:fill="auto"/>
            <w:noWrap/>
            <w:vAlign w:val="center"/>
            <w:hideMark/>
          </w:tcPr>
          <w:p w14:paraId="7382DB00" w14:textId="77777777" w:rsidR="003C300D" w:rsidRPr="009E289C" w:rsidRDefault="003C300D" w:rsidP="00550379">
            <w:pPr>
              <w:jc w:val="left"/>
              <w:rPr>
                <w:rFonts w:asciiTheme="minorHAnsi" w:hAnsiTheme="minorHAnsi" w:cstheme="minorHAnsi"/>
                <w:color w:val="000000"/>
                <w:sz w:val="18"/>
                <w:szCs w:val="18"/>
                <w:lang w:eastAsia="es-CO"/>
              </w:rPr>
            </w:pPr>
            <w:proofErr w:type="spellStart"/>
            <w:r w:rsidRPr="009E289C">
              <w:rPr>
                <w:rFonts w:asciiTheme="minorHAnsi" w:hAnsiTheme="minorHAnsi" w:cstheme="minorHAnsi"/>
                <w:color w:val="000000"/>
                <w:sz w:val="18"/>
                <w:szCs w:val="18"/>
                <w:lang w:eastAsia="es-CO"/>
              </w:rPr>
              <w:t>ii</w:t>
            </w:r>
            <w:proofErr w:type="spellEnd"/>
            <w:r w:rsidRPr="009E289C">
              <w:rPr>
                <w:rFonts w:asciiTheme="minorHAnsi" w:hAnsiTheme="minorHAnsi" w:cstheme="minorHAnsi"/>
                <w:color w:val="000000"/>
                <w:sz w:val="18"/>
                <w:szCs w:val="18"/>
                <w:lang w:eastAsia="es-CO"/>
              </w:rPr>
              <w:t>)</w:t>
            </w:r>
          </w:p>
        </w:tc>
        <w:tc>
          <w:tcPr>
            <w:tcW w:w="2972" w:type="dxa"/>
            <w:tcBorders>
              <w:top w:val="nil"/>
              <w:left w:val="nil"/>
              <w:bottom w:val="single" w:sz="4" w:space="0" w:color="auto"/>
              <w:right w:val="single" w:sz="4" w:space="0" w:color="auto"/>
            </w:tcBorders>
            <w:shd w:val="clear" w:color="auto" w:fill="auto"/>
            <w:vAlign w:val="center"/>
            <w:hideMark/>
          </w:tcPr>
          <w:p w14:paraId="7E18908C"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Para unas empresas en relación con otras cuando el conjunto ya opera en uno o varios mercados relevantes relacionados. </w:t>
            </w:r>
          </w:p>
        </w:tc>
        <w:tc>
          <w:tcPr>
            <w:tcW w:w="425" w:type="dxa"/>
            <w:tcBorders>
              <w:top w:val="nil"/>
              <w:left w:val="nil"/>
              <w:bottom w:val="single" w:sz="4" w:space="0" w:color="auto"/>
              <w:right w:val="single" w:sz="4" w:space="0" w:color="auto"/>
            </w:tcBorders>
            <w:shd w:val="clear" w:color="auto" w:fill="auto"/>
            <w:noWrap/>
            <w:vAlign w:val="center"/>
            <w:hideMark/>
          </w:tcPr>
          <w:p w14:paraId="0F6E4D50"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598B2AF"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1E0B9507"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3D6102E3"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06114992" w14:textId="77777777" w:rsidTr="00550379">
        <w:trPr>
          <w:gridAfter w:val="1"/>
          <w:wAfter w:w="2311" w:type="dxa"/>
          <w:cantSplit/>
          <w:trHeight w:val="550"/>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13E161" w14:textId="77777777" w:rsidR="003C300D" w:rsidRPr="009E289C" w:rsidRDefault="003C300D" w:rsidP="00550379">
            <w:pPr>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2.</w:t>
            </w:r>
          </w:p>
        </w:tc>
        <w:tc>
          <w:tcPr>
            <w:tcW w:w="9067" w:type="dxa"/>
            <w:gridSpan w:val="5"/>
            <w:tcBorders>
              <w:top w:val="single" w:sz="4" w:space="0" w:color="auto"/>
              <w:left w:val="nil"/>
              <w:bottom w:val="single" w:sz="4" w:space="0" w:color="auto"/>
              <w:right w:val="single" w:sz="4" w:space="0" w:color="000000"/>
            </w:tcBorders>
            <w:shd w:val="clear" w:color="auto" w:fill="auto"/>
            <w:hideMark/>
          </w:tcPr>
          <w:p w14:paraId="3EBA2459" w14:textId="77777777" w:rsidR="003C300D" w:rsidRPr="009E289C" w:rsidRDefault="003C300D" w:rsidP="00550379">
            <w:pPr>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¿La regulación limita la capacidad de las empresas para competir en uno o varios mercados relevantes relacionados?</w:t>
            </w:r>
            <w:r w:rsidRPr="009E289C">
              <w:rPr>
                <w:rFonts w:asciiTheme="minorHAnsi" w:hAnsiTheme="minorHAnsi" w:cstheme="minorHAnsi"/>
                <w:b/>
                <w:bCs/>
                <w:color w:val="000000"/>
                <w:sz w:val="18"/>
                <w:szCs w:val="18"/>
                <w:lang w:eastAsia="es-CO"/>
              </w:rPr>
              <w:br/>
              <w:t>Es posible que esto suceda, entre otros eventos, cuando el proyecto de acto:</w:t>
            </w:r>
          </w:p>
        </w:tc>
      </w:tr>
      <w:tr w:rsidR="003C300D" w:rsidRPr="00637FE1" w14:paraId="6BCCFB7A" w14:textId="77777777" w:rsidTr="00550379">
        <w:trPr>
          <w:gridAfter w:val="1"/>
          <w:wAfter w:w="2311" w:type="dxa"/>
          <w:cantSplit/>
          <w:trHeight w:val="689"/>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401458"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a)</w:t>
            </w:r>
          </w:p>
        </w:tc>
        <w:tc>
          <w:tcPr>
            <w:tcW w:w="2972" w:type="dxa"/>
            <w:tcBorders>
              <w:top w:val="nil"/>
              <w:left w:val="nil"/>
              <w:bottom w:val="single" w:sz="4" w:space="0" w:color="auto"/>
              <w:right w:val="single" w:sz="4" w:space="0" w:color="auto"/>
            </w:tcBorders>
            <w:shd w:val="clear" w:color="auto" w:fill="auto"/>
            <w:vAlign w:val="center"/>
            <w:hideMark/>
          </w:tcPr>
          <w:p w14:paraId="1559578D"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Controla o influye sustancialmente sobre los precios de los bienes o servicios o el nivel de producción.</w:t>
            </w:r>
          </w:p>
        </w:tc>
        <w:tc>
          <w:tcPr>
            <w:tcW w:w="425" w:type="dxa"/>
            <w:tcBorders>
              <w:top w:val="nil"/>
              <w:left w:val="nil"/>
              <w:bottom w:val="single" w:sz="4" w:space="0" w:color="auto"/>
              <w:right w:val="single" w:sz="4" w:space="0" w:color="auto"/>
            </w:tcBorders>
            <w:shd w:val="clear" w:color="auto" w:fill="auto"/>
            <w:noWrap/>
            <w:vAlign w:val="center"/>
            <w:hideMark/>
          </w:tcPr>
          <w:p w14:paraId="1F807F10"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F973D31"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08133302"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63987BA9"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30A3B23F" w14:textId="77777777" w:rsidTr="00550379">
        <w:trPr>
          <w:gridAfter w:val="1"/>
          <w:wAfter w:w="2311" w:type="dxa"/>
          <w:cantSplit/>
          <w:trHeight w:val="708"/>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D8658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b)</w:t>
            </w:r>
          </w:p>
        </w:tc>
        <w:tc>
          <w:tcPr>
            <w:tcW w:w="2972" w:type="dxa"/>
            <w:tcBorders>
              <w:top w:val="nil"/>
              <w:left w:val="nil"/>
              <w:bottom w:val="single" w:sz="4" w:space="0" w:color="auto"/>
              <w:right w:val="single" w:sz="4" w:space="0" w:color="auto"/>
            </w:tcBorders>
            <w:shd w:val="clear" w:color="auto" w:fill="auto"/>
            <w:vAlign w:val="center"/>
            <w:hideMark/>
          </w:tcPr>
          <w:p w14:paraId="55BC4077"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Limita a las empresas la posibilidad de distribuir o comercializar sus productos.  </w:t>
            </w:r>
          </w:p>
        </w:tc>
        <w:tc>
          <w:tcPr>
            <w:tcW w:w="425" w:type="dxa"/>
            <w:tcBorders>
              <w:top w:val="nil"/>
              <w:left w:val="nil"/>
              <w:bottom w:val="single" w:sz="4" w:space="0" w:color="auto"/>
              <w:right w:val="single" w:sz="4" w:space="0" w:color="auto"/>
            </w:tcBorders>
            <w:shd w:val="clear" w:color="auto" w:fill="auto"/>
            <w:noWrap/>
            <w:vAlign w:val="center"/>
            <w:hideMark/>
          </w:tcPr>
          <w:p w14:paraId="3201ED33"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0EF57A73"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7A6734BD"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645F21E1"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5F85D2AF" w14:textId="77777777" w:rsidTr="00550379">
        <w:trPr>
          <w:gridAfter w:val="1"/>
          <w:wAfter w:w="2311" w:type="dxa"/>
          <w:cantSplit/>
          <w:trHeight w:val="523"/>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F9D7E2"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c)</w:t>
            </w:r>
          </w:p>
        </w:tc>
        <w:tc>
          <w:tcPr>
            <w:tcW w:w="2972" w:type="dxa"/>
            <w:tcBorders>
              <w:top w:val="nil"/>
              <w:left w:val="nil"/>
              <w:bottom w:val="single" w:sz="4" w:space="0" w:color="auto"/>
              <w:right w:val="single" w:sz="4" w:space="0" w:color="auto"/>
            </w:tcBorders>
            <w:shd w:val="clear" w:color="auto" w:fill="auto"/>
            <w:vAlign w:val="center"/>
            <w:hideMark/>
          </w:tcPr>
          <w:p w14:paraId="15DBA709"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la libertad de las empresas para promocionar sus productos.</w:t>
            </w:r>
          </w:p>
        </w:tc>
        <w:tc>
          <w:tcPr>
            <w:tcW w:w="425" w:type="dxa"/>
            <w:tcBorders>
              <w:top w:val="nil"/>
              <w:left w:val="nil"/>
              <w:bottom w:val="single" w:sz="4" w:space="0" w:color="auto"/>
              <w:right w:val="single" w:sz="4" w:space="0" w:color="auto"/>
            </w:tcBorders>
            <w:shd w:val="clear" w:color="auto" w:fill="auto"/>
            <w:noWrap/>
            <w:vAlign w:val="center"/>
            <w:hideMark/>
          </w:tcPr>
          <w:p w14:paraId="26A3C502"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73C9B52A"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1C380B7D"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2D1D7E5F"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1F91B77E" w14:textId="77777777" w:rsidTr="00550379">
        <w:trPr>
          <w:gridAfter w:val="1"/>
          <w:wAfter w:w="2311" w:type="dxa"/>
          <w:cantSplit/>
          <w:trHeight w:val="687"/>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F06B0D"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d)</w:t>
            </w:r>
          </w:p>
        </w:tc>
        <w:tc>
          <w:tcPr>
            <w:tcW w:w="2972" w:type="dxa"/>
            <w:tcBorders>
              <w:top w:val="nil"/>
              <w:left w:val="nil"/>
              <w:bottom w:val="single" w:sz="4" w:space="0" w:color="auto"/>
              <w:right w:val="single" w:sz="4" w:space="0" w:color="auto"/>
            </w:tcBorders>
            <w:shd w:val="clear" w:color="auto" w:fill="auto"/>
            <w:vAlign w:val="center"/>
            <w:hideMark/>
          </w:tcPr>
          <w:p w14:paraId="4147A5A5"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Otorga a los operadores actuales en el mercado un trato diferenciado con respecto a las empresas entrantes.</w:t>
            </w:r>
          </w:p>
        </w:tc>
        <w:tc>
          <w:tcPr>
            <w:tcW w:w="425" w:type="dxa"/>
            <w:tcBorders>
              <w:top w:val="nil"/>
              <w:left w:val="nil"/>
              <w:bottom w:val="single" w:sz="4" w:space="0" w:color="auto"/>
              <w:right w:val="single" w:sz="4" w:space="0" w:color="auto"/>
            </w:tcBorders>
            <w:shd w:val="clear" w:color="auto" w:fill="auto"/>
            <w:noWrap/>
            <w:vAlign w:val="center"/>
            <w:hideMark/>
          </w:tcPr>
          <w:p w14:paraId="74AA6F33"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4978E393"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3DBF558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704198D9"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284739FE" w14:textId="77777777" w:rsidTr="00550379">
        <w:trPr>
          <w:gridAfter w:val="1"/>
          <w:wAfter w:w="2311" w:type="dxa"/>
          <w:cantSplit/>
          <w:trHeight w:val="427"/>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391D9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e)</w:t>
            </w:r>
          </w:p>
        </w:tc>
        <w:tc>
          <w:tcPr>
            <w:tcW w:w="2972" w:type="dxa"/>
            <w:tcBorders>
              <w:top w:val="nil"/>
              <w:left w:val="nil"/>
              <w:bottom w:val="single" w:sz="4" w:space="0" w:color="auto"/>
              <w:right w:val="single" w:sz="4" w:space="0" w:color="auto"/>
            </w:tcBorders>
            <w:shd w:val="clear" w:color="auto" w:fill="auto"/>
            <w:vAlign w:val="center"/>
            <w:hideMark/>
          </w:tcPr>
          <w:p w14:paraId="0E30E1E8"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Otorga trato diferenciado a unas empresas con respecto a otras. </w:t>
            </w:r>
          </w:p>
        </w:tc>
        <w:tc>
          <w:tcPr>
            <w:tcW w:w="425" w:type="dxa"/>
            <w:tcBorders>
              <w:top w:val="nil"/>
              <w:left w:val="nil"/>
              <w:bottom w:val="single" w:sz="4" w:space="0" w:color="auto"/>
              <w:right w:val="single" w:sz="4" w:space="0" w:color="auto"/>
            </w:tcBorders>
            <w:shd w:val="clear" w:color="auto" w:fill="auto"/>
            <w:noWrap/>
            <w:vAlign w:val="center"/>
            <w:hideMark/>
          </w:tcPr>
          <w:p w14:paraId="04572FAA"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FCC50F2"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7C4A12A0"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40B9859A"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75BD1FD0" w14:textId="77777777" w:rsidTr="00550379">
        <w:trPr>
          <w:gridAfter w:val="1"/>
          <w:wAfter w:w="2311" w:type="dxa"/>
          <w:cantSplit/>
          <w:trHeight w:val="688"/>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887EF8"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f)</w:t>
            </w:r>
          </w:p>
        </w:tc>
        <w:tc>
          <w:tcPr>
            <w:tcW w:w="2972" w:type="dxa"/>
            <w:tcBorders>
              <w:top w:val="nil"/>
              <w:left w:val="nil"/>
              <w:bottom w:val="single" w:sz="4" w:space="0" w:color="auto"/>
              <w:right w:val="single" w:sz="4" w:space="0" w:color="auto"/>
            </w:tcBorders>
            <w:shd w:val="clear" w:color="auto" w:fill="auto"/>
            <w:vAlign w:val="center"/>
            <w:hideMark/>
          </w:tcPr>
          <w:p w14:paraId="427BC4B0"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Limita la libertad de las empresas para elegir sus procesos de producción o su forma de organización industrial.</w:t>
            </w:r>
          </w:p>
        </w:tc>
        <w:tc>
          <w:tcPr>
            <w:tcW w:w="425" w:type="dxa"/>
            <w:tcBorders>
              <w:top w:val="nil"/>
              <w:left w:val="nil"/>
              <w:bottom w:val="single" w:sz="4" w:space="0" w:color="auto"/>
              <w:right w:val="single" w:sz="4" w:space="0" w:color="auto"/>
            </w:tcBorders>
            <w:shd w:val="clear" w:color="auto" w:fill="auto"/>
            <w:noWrap/>
            <w:vAlign w:val="center"/>
            <w:hideMark/>
          </w:tcPr>
          <w:p w14:paraId="2135708D"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A2B982F"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1579F714"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03086FFE"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5026FA5E" w14:textId="77777777" w:rsidTr="00550379">
        <w:trPr>
          <w:gridAfter w:val="1"/>
          <w:wAfter w:w="2311" w:type="dxa"/>
          <w:cantSplit/>
          <w:trHeight w:val="660"/>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7A65C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g)</w:t>
            </w:r>
          </w:p>
        </w:tc>
        <w:tc>
          <w:tcPr>
            <w:tcW w:w="2972" w:type="dxa"/>
            <w:tcBorders>
              <w:top w:val="nil"/>
              <w:left w:val="nil"/>
              <w:bottom w:val="single" w:sz="4" w:space="0" w:color="auto"/>
              <w:right w:val="single" w:sz="4" w:space="0" w:color="auto"/>
            </w:tcBorders>
            <w:shd w:val="clear" w:color="auto" w:fill="auto"/>
            <w:vAlign w:val="center"/>
            <w:hideMark/>
          </w:tcPr>
          <w:p w14:paraId="399F4D6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Limita la innovación para ofrecer nuevos productos o productos </w:t>
            </w:r>
            <w:proofErr w:type="gramStart"/>
            <w:r w:rsidRPr="009E289C">
              <w:rPr>
                <w:rFonts w:asciiTheme="minorHAnsi" w:hAnsiTheme="minorHAnsi" w:cstheme="minorHAnsi"/>
                <w:color w:val="000000"/>
                <w:sz w:val="18"/>
                <w:szCs w:val="18"/>
                <w:lang w:eastAsia="es-CO"/>
              </w:rPr>
              <w:t>existentes</w:t>
            </w:r>
            <w:proofErr w:type="gramEnd"/>
            <w:r w:rsidRPr="009E289C">
              <w:rPr>
                <w:rFonts w:asciiTheme="minorHAnsi" w:hAnsiTheme="minorHAnsi" w:cstheme="minorHAnsi"/>
                <w:color w:val="000000"/>
                <w:sz w:val="18"/>
                <w:szCs w:val="18"/>
                <w:lang w:eastAsia="es-CO"/>
              </w:rPr>
              <w:t xml:space="preserve"> pero bajo nuevas formas.   </w:t>
            </w:r>
          </w:p>
        </w:tc>
        <w:tc>
          <w:tcPr>
            <w:tcW w:w="425" w:type="dxa"/>
            <w:tcBorders>
              <w:top w:val="nil"/>
              <w:left w:val="nil"/>
              <w:bottom w:val="single" w:sz="4" w:space="0" w:color="auto"/>
              <w:right w:val="single" w:sz="4" w:space="0" w:color="auto"/>
            </w:tcBorders>
            <w:shd w:val="clear" w:color="auto" w:fill="auto"/>
            <w:noWrap/>
            <w:vAlign w:val="center"/>
            <w:hideMark/>
          </w:tcPr>
          <w:p w14:paraId="2F690E42"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6C54C966"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0BBF3C94"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4283AA3F"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7627098E" w14:textId="77777777" w:rsidTr="00550379">
        <w:trPr>
          <w:gridAfter w:val="1"/>
          <w:wAfter w:w="2311" w:type="dxa"/>
          <w:cantSplit/>
          <w:trHeight w:val="634"/>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5FCCEE" w14:textId="77777777" w:rsidR="003C300D" w:rsidRPr="009E289C" w:rsidRDefault="003C300D" w:rsidP="00550379">
            <w:pPr>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3.</w:t>
            </w:r>
          </w:p>
        </w:tc>
        <w:tc>
          <w:tcPr>
            <w:tcW w:w="9067" w:type="dxa"/>
            <w:gridSpan w:val="5"/>
            <w:tcBorders>
              <w:top w:val="single" w:sz="4" w:space="0" w:color="auto"/>
              <w:left w:val="nil"/>
              <w:bottom w:val="single" w:sz="4" w:space="0" w:color="auto"/>
              <w:right w:val="single" w:sz="4" w:space="0" w:color="000000"/>
            </w:tcBorders>
            <w:shd w:val="clear" w:color="auto" w:fill="auto"/>
            <w:hideMark/>
          </w:tcPr>
          <w:p w14:paraId="304585B4" w14:textId="77777777" w:rsidR="003C300D" w:rsidRPr="009E289C" w:rsidRDefault="003C300D" w:rsidP="00550379">
            <w:pPr>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 xml:space="preserve">¿La regulación implica reducir los incentivos de las empresas para competir en uno o varios mercados relevantes relacionados? </w:t>
            </w:r>
            <w:r w:rsidRPr="009E289C">
              <w:rPr>
                <w:rFonts w:asciiTheme="minorHAnsi" w:hAnsiTheme="minorHAnsi" w:cstheme="minorHAnsi"/>
                <w:b/>
                <w:bCs/>
                <w:color w:val="000000"/>
                <w:sz w:val="18"/>
                <w:szCs w:val="18"/>
                <w:lang w:eastAsia="es-CO"/>
              </w:rPr>
              <w:br/>
              <w:t>Es posible que esto suceda, entre otros eventos, cuando el proyecto de acto:</w:t>
            </w:r>
          </w:p>
        </w:tc>
      </w:tr>
      <w:tr w:rsidR="003C300D" w:rsidRPr="00637FE1" w14:paraId="33C30D3E" w14:textId="77777777" w:rsidTr="00550379">
        <w:trPr>
          <w:gridAfter w:val="1"/>
          <w:wAfter w:w="2311" w:type="dxa"/>
          <w:cantSplit/>
          <w:trHeight w:val="460"/>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A68226"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a)</w:t>
            </w:r>
          </w:p>
        </w:tc>
        <w:tc>
          <w:tcPr>
            <w:tcW w:w="2972" w:type="dxa"/>
            <w:tcBorders>
              <w:top w:val="nil"/>
              <w:left w:val="nil"/>
              <w:bottom w:val="single" w:sz="4" w:space="0" w:color="auto"/>
              <w:right w:val="single" w:sz="4" w:space="0" w:color="auto"/>
            </w:tcBorders>
            <w:shd w:val="clear" w:color="auto" w:fill="auto"/>
            <w:vAlign w:val="center"/>
            <w:hideMark/>
          </w:tcPr>
          <w:p w14:paraId="58DBC57E"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Genera un régimen de autorregulación o </w:t>
            </w:r>
            <w:proofErr w:type="spellStart"/>
            <w:r w:rsidRPr="009E289C">
              <w:rPr>
                <w:rFonts w:asciiTheme="minorHAnsi" w:hAnsiTheme="minorHAnsi" w:cstheme="minorHAnsi"/>
                <w:color w:val="000000"/>
                <w:sz w:val="18"/>
                <w:szCs w:val="18"/>
                <w:lang w:eastAsia="es-CO"/>
              </w:rPr>
              <w:t>corregulación</w:t>
            </w:r>
            <w:proofErr w:type="spellEnd"/>
            <w:r w:rsidRPr="009E289C">
              <w:rPr>
                <w:rFonts w:asciiTheme="minorHAnsi" w:hAnsiTheme="minorHAnsi" w:cstheme="minorHAnsi"/>
                <w:color w:val="000000"/>
                <w:sz w:val="18"/>
                <w:szCs w:val="18"/>
                <w:lang w:eastAsia="es-CO"/>
              </w:rPr>
              <w:t>.</w:t>
            </w:r>
          </w:p>
        </w:tc>
        <w:tc>
          <w:tcPr>
            <w:tcW w:w="425" w:type="dxa"/>
            <w:tcBorders>
              <w:top w:val="nil"/>
              <w:left w:val="nil"/>
              <w:bottom w:val="single" w:sz="4" w:space="0" w:color="auto"/>
              <w:right w:val="single" w:sz="4" w:space="0" w:color="auto"/>
            </w:tcBorders>
            <w:shd w:val="clear" w:color="auto" w:fill="auto"/>
            <w:noWrap/>
            <w:vAlign w:val="center"/>
            <w:hideMark/>
          </w:tcPr>
          <w:p w14:paraId="02345CE0"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2DDBB8A5"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61475F6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0A2475AC"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637FE1" w14:paraId="30517ED3" w14:textId="77777777" w:rsidTr="00550379">
        <w:trPr>
          <w:gridAfter w:val="1"/>
          <w:wAfter w:w="2311" w:type="dxa"/>
          <w:cantSplit/>
          <w:trHeight w:val="1123"/>
        </w:trPr>
        <w:tc>
          <w:tcPr>
            <w:tcW w:w="5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DFE17B"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b)</w:t>
            </w:r>
          </w:p>
        </w:tc>
        <w:tc>
          <w:tcPr>
            <w:tcW w:w="2972" w:type="dxa"/>
            <w:tcBorders>
              <w:top w:val="nil"/>
              <w:left w:val="nil"/>
              <w:bottom w:val="single" w:sz="4" w:space="0" w:color="auto"/>
              <w:right w:val="single" w:sz="4" w:space="0" w:color="auto"/>
            </w:tcBorders>
            <w:shd w:val="clear" w:color="auto" w:fill="auto"/>
            <w:vAlign w:val="center"/>
            <w:hideMark/>
          </w:tcPr>
          <w:p w14:paraId="13DA2359"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xml:space="preserve">Impone la obligación de dar publicidad sobre información sensible para una empresa que podría ser conocida por sus competidores (por </w:t>
            </w:r>
            <w:proofErr w:type="gramStart"/>
            <w:r w:rsidRPr="009E289C">
              <w:rPr>
                <w:rFonts w:asciiTheme="minorHAnsi" w:hAnsiTheme="minorHAnsi" w:cstheme="minorHAnsi"/>
                <w:color w:val="000000"/>
                <w:sz w:val="18"/>
                <w:szCs w:val="18"/>
                <w:lang w:eastAsia="es-CO"/>
              </w:rPr>
              <w:t>ejemplo</w:t>
            </w:r>
            <w:proofErr w:type="gramEnd"/>
            <w:r w:rsidRPr="009E289C">
              <w:rPr>
                <w:rFonts w:asciiTheme="minorHAnsi" w:hAnsiTheme="minorHAnsi" w:cstheme="minorHAnsi"/>
                <w:color w:val="000000"/>
                <w:sz w:val="18"/>
                <w:szCs w:val="18"/>
                <w:lang w:eastAsia="es-CO"/>
              </w:rPr>
              <w:t xml:space="preserve"> precios, nivel de ventas, costos, etc.)</w:t>
            </w:r>
          </w:p>
        </w:tc>
        <w:tc>
          <w:tcPr>
            <w:tcW w:w="425" w:type="dxa"/>
            <w:tcBorders>
              <w:top w:val="nil"/>
              <w:left w:val="nil"/>
              <w:bottom w:val="single" w:sz="4" w:space="0" w:color="auto"/>
              <w:right w:val="single" w:sz="4" w:space="0" w:color="auto"/>
            </w:tcBorders>
            <w:shd w:val="clear" w:color="auto" w:fill="auto"/>
            <w:noWrap/>
            <w:vAlign w:val="center"/>
            <w:hideMark/>
          </w:tcPr>
          <w:p w14:paraId="328AC3E2" w14:textId="77777777" w:rsidR="003C300D" w:rsidRPr="009E289C" w:rsidRDefault="003C300D" w:rsidP="00550379">
            <w:pPr>
              <w:jc w:val="left"/>
              <w:rPr>
                <w:rFonts w:asciiTheme="minorHAnsi" w:hAnsiTheme="minorHAnsi" w:cstheme="minorHAnsi"/>
                <w:color w:val="000000"/>
                <w:sz w:val="18"/>
                <w:szCs w:val="18"/>
                <w:lang w:eastAsia="es-CO"/>
              </w:rPr>
            </w:pPr>
          </w:p>
        </w:tc>
        <w:tc>
          <w:tcPr>
            <w:tcW w:w="426" w:type="dxa"/>
            <w:tcBorders>
              <w:top w:val="nil"/>
              <w:left w:val="nil"/>
              <w:bottom w:val="single" w:sz="4" w:space="0" w:color="auto"/>
              <w:right w:val="single" w:sz="4" w:space="0" w:color="auto"/>
            </w:tcBorders>
            <w:shd w:val="clear" w:color="auto" w:fill="auto"/>
            <w:noWrap/>
            <w:vAlign w:val="center"/>
            <w:hideMark/>
          </w:tcPr>
          <w:p w14:paraId="10897192" w14:textId="77777777" w:rsidR="003C300D" w:rsidRPr="009E289C"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X</w:t>
            </w:r>
          </w:p>
        </w:tc>
        <w:tc>
          <w:tcPr>
            <w:tcW w:w="2409" w:type="dxa"/>
            <w:tcBorders>
              <w:top w:val="nil"/>
              <w:left w:val="nil"/>
              <w:bottom w:val="single" w:sz="4" w:space="0" w:color="auto"/>
              <w:right w:val="single" w:sz="4" w:space="0" w:color="auto"/>
            </w:tcBorders>
            <w:shd w:val="clear" w:color="auto" w:fill="auto"/>
            <w:noWrap/>
            <w:vAlign w:val="center"/>
            <w:hideMark/>
          </w:tcPr>
          <w:p w14:paraId="03D6B7EC"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c>
          <w:tcPr>
            <w:tcW w:w="2835" w:type="dxa"/>
            <w:tcBorders>
              <w:top w:val="nil"/>
              <w:left w:val="nil"/>
              <w:bottom w:val="single" w:sz="4" w:space="0" w:color="auto"/>
              <w:right w:val="single" w:sz="4" w:space="0" w:color="auto"/>
            </w:tcBorders>
            <w:shd w:val="clear" w:color="auto" w:fill="auto"/>
            <w:noWrap/>
            <w:vAlign w:val="center"/>
            <w:hideMark/>
          </w:tcPr>
          <w:p w14:paraId="5F5A8FF4" w14:textId="77777777" w:rsidR="003C300D" w:rsidRPr="009E289C" w:rsidRDefault="003C300D" w:rsidP="00550379">
            <w:pPr>
              <w:jc w:val="left"/>
              <w:rPr>
                <w:rFonts w:asciiTheme="minorHAnsi" w:hAnsiTheme="minorHAnsi" w:cstheme="minorHAnsi"/>
                <w:color w:val="000000"/>
                <w:sz w:val="18"/>
                <w:szCs w:val="18"/>
                <w:lang w:eastAsia="es-CO"/>
              </w:rPr>
            </w:pPr>
            <w:r w:rsidRPr="009E289C">
              <w:rPr>
                <w:rFonts w:asciiTheme="minorHAnsi" w:hAnsiTheme="minorHAnsi" w:cstheme="minorHAnsi"/>
                <w:color w:val="000000"/>
                <w:sz w:val="18"/>
                <w:szCs w:val="18"/>
                <w:lang w:eastAsia="es-CO"/>
              </w:rPr>
              <w:t> </w:t>
            </w:r>
          </w:p>
        </w:tc>
      </w:tr>
      <w:tr w:rsidR="003C300D" w:rsidRPr="009E289C" w14:paraId="2DE5D2CB" w14:textId="77777777" w:rsidTr="00550379">
        <w:trPr>
          <w:gridAfter w:val="1"/>
          <w:wAfter w:w="2311" w:type="dxa"/>
          <w:trHeight w:val="497"/>
        </w:trPr>
        <w:tc>
          <w:tcPr>
            <w:tcW w:w="96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B2FCE" w14:textId="77777777" w:rsidR="003C300D" w:rsidRPr="009E289C" w:rsidRDefault="003C300D" w:rsidP="00550379">
            <w:pPr>
              <w:jc w:val="left"/>
              <w:rPr>
                <w:rFonts w:asciiTheme="minorHAnsi" w:hAnsiTheme="minorHAnsi" w:cstheme="minorHAnsi"/>
                <w:b/>
                <w:bCs/>
                <w:color w:val="000000"/>
                <w:sz w:val="18"/>
                <w:szCs w:val="18"/>
                <w:lang w:eastAsia="es-CO"/>
              </w:rPr>
            </w:pPr>
            <w:r w:rsidRPr="009E289C">
              <w:rPr>
                <w:rFonts w:asciiTheme="minorHAnsi" w:hAnsiTheme="minorHAnsi" w:cstheme="minorHAnsi"/>
                <w:b/>
                <w:bCs/>
                <w:color w:val="000000"/>
                <w:sz w:val="18"/>
                <w:szCs w:val="18"/>
                <w:lang w:eastAsia="es-CO"/>
              </w:rPr>
              <w:t>CONCLUSIONES</w:t>
            </w:r>
          </w:p>
        </w:tc>
      </w:tr>
      <w:tr w:rsidR="003C300D" w:rsidRPr="009E289C" w14:paraId="77B2213D" w14:textId="77777777" w:rsidTr="00550379">
        <w:trPr>
          <w:gridAfter w:val="1"/>
          <w:wAfter w:w="2311" w:type="dxa"/>
          <w:trHeight w:val="276"/>
        </w:trPr>
        <w:tc>
          <w:tcPr>
            <w:tcW w:w="9634"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913B" w14:textId="1E8F969C" w:rsidR="003C300D" w:rsidRDefault="003C300D"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 xml:space="preserve">La propuesta permite </w:t>
            </w:r>
            <w:r w:rsidR="00440D7A">
              <w:rPr>
                <w:rFonts w:asciiTheme="minorHAnsi" w:hAnsiTheme="minorHAnsi" w:cstheme="minorHAnsi"/>
                <w:color w:val="000000"/>
                <w:sz w:val="18"/>
                <w:szCs w:val="18"/>
                <w:lang w:eastAsia="es-CO"/>
              </w:rPr>
              <w:t xml:space="preserve">a los agentes con proyectos </w:t>
            </w:r>
            <w:r w:rsidR="00510A43">
              <w:rPr>
                <w:rFonts w:asciiTheme="minorHAnsi" w:hAnsiTheme="minorHAnsi" w:cstheme="minorHAnsi"/>
                <w:color w:val="000000"/>
                <w:sz w:val="18"/>
                <w:szCs w:val="18"/>
                <w:lang w:eastAsia="es-CO"/>
              </w:rPr>
              <w:t>que se conectan al STN solicitar un ajuste al valor de l</w:t>
            </w:r>
            <w:r w:rsidR="007C0330">
              <w:rPr>
                <w:rFonts w:asciiTheme="minorHAnsi" w:hAnsiTheme="minorHAnsi" w:cstheme="minorHAnsi"/>
                <w:color w:val="000000"/>
                <w:sz w:val="18"/>
                <w:szCs w:val="18"/>
                <w:lang w:eastAsia="es-CO"/>
              </w:rPr>
              <w:t>a</w:t>
            </w:r>
            <w:r w:rsidR="00510A43">
              <w:rPr>
                <w:rFonts w:asciiTheme="minorHAnsi" w:hAnsiTheme="minorHAnsi" w:cstheme="minorHAnsi"/>
                <w:color w:val="000000"/>
                <w:sz w:val="18"/>
                <w:szCs w:val="18"/>
                <w:lang w:eastAsia="es-CO"/>
              </w:rPr>
              <w:t xml:space="preserve"> cobertura de las garantías cuando los proyectos del </w:t>
            </w:r>
            <w:r w:rsidR="007C0330">
              <w:rPr>
                <w:rFonts w:asciiTheme="minorHAnsi" w:hAnsiTheme="minorHAnsi" w:cstheme="minorHAnsi"/>
                <w:color w:val="000000"/>
                <w:sz w:val="18"/>
                <w:szCs w:val="18"/>
                <w:lang w:eastAsia="es-CO"/>
              </w:rPr>
              <w:t>STN aplazan su fecha de puesta en operación</w:t>
            </w:r>
            <w:r>
              <w:rPr>
                <w:rFonts w:asciiTheme="minorHAnsi" w:hAnsiTheme="minorHAnsi" w:cstheme="minorHAnsi"/>
                <w:color w:val="000000"/>
                <w:sz w:val="18"/>
                <w:szCs w:val="18"/>
                <w:lang w:eastAsia="es-CO"/>
              </w:rPr>
              <w:t>.</w:t>
            </w:r>
          </w:p>
          <w:p w14:paraId="49D47C52" w14:textId="680353C5" w:rsidR="003C300D" w:rsidRPr="009E289C" w:rsidRDefault="007C0330" w:rsidP="00550379">
            <w:pPr>
              <w:jc w:val="left"/>
              <w:rPr>
                <w:rFonts w:asciiTheme="minorHAnsi" w:hAnsiTheme="minorHAnsi" w:cstheme="minorHAnsi"/>
                <w:color w:val="000000"/>
                <w:sz w:val="18"/>
                <w:szCs w:val="18"/>
                <w:lang w:eastAsia="es-CO"/>
              </w:rPr>
            </w:pPr>
            <w:r>
              <w:rPr>
                <w:rFonts w:asciiTheme="minorHAnsi" w:hAnsiTheme="minorHAnsi" w:cstheme="minorHAnsi"/>
                <w:color w:val="000000"/>
                <w:sz w:val="18"/>
                <w:szCs w:val="18"/>
                <w:lang w:eastAsia="es-CO"/>
              </w:rPr>
              <w:t xml:space="preserve">También </w:t>
            </w:r>
            <w:r w:rsidR="003C300D">
              <w:rPr>
                <w:rFonts w:asciiTheme="minorHAnsi" w:hAnsiTheme="minorHAnsi" w:cstheme="minorHAnsi"/>
                <w:color w:val="000000"/>
                <w:sz w:val="18"/>
                <w:szCs w:val="18"/>
                <w:lang w:eastAsia="es-CO"/>
              </w:rPr>
              <w:t>se establece</w:t>
            </w:r>
            <w:r>
              <w:rPr>
                <w:rFonts w:asciiTheme="minorHAnsi" w:hAnsiTheme="minorHAnsi" w:cstheme="minorHAnsi"/>
                <w:color w:val="000000"/>
                <w:sz w:val="18"/>
                <w:szCs w:val="18"/>
                <w:lang w:eastAsia="es-CO"/>
              </w:rPr>
              <w:t>n las condiciones para acceder a ese ajuste.</w:t>
            </w:r>
          </w:p>
        </w:tc>
      </w:tr>
      <w:tr w:rsidR="003C300D" w:rsidRPr="009E289C" w14:paraId="365A8A8E" w14:textId="77777777" w:rsidTr="00550379">
        <w:trPr>
          <w:trHeight w:val="300"/>
        </w:trPr>
        <w:tc>
          <w:tcPr>
            <w:tcW w:w="9634" w:type="dxa"/>
            <w:gridSpan w:val="7"/>
            <w:vMerge/>
            <w:tcBorders>
              <w:top w:val="single" w:sz="4" w:space="0" w:color="auto"/>
              <w:left w:val="single" w:sz="4" w:space="0" w:color="auto"/>
              <w:bottom w:val="single" w:sz="4" w:space="0" w:color="auto"/>
              <w:right w:val="single" w:sz="4" w:space="0" w:color="auto"/>
            </w:tcBorders>
            <w:vAlign w:val="center"/>
            <w:hideMark/>
          </w:tcPr>
          <w:p w14:paraId="07B21DFF" w14:textId="77777777" w:rsidR="003C300D" w:rsidRPr="009E289C" w:rsidRDefault="003C300D" w:rsidP="00550379">
            <w:pPr>
              <w:jc w:val="left"/>
              <w:rPr>
                <w:rFonts w:ascii="Calibri" w:hAnsi="Calibri" w:cs="Calibri"/>
                <w:color w:val="000000"/>
                <w:sz w:val="18"/>
                <w:szCs w:val="18"/>
                <w:lang w:eastAsia="es-CO"/>
              </w:rPr>
            </w:pPr>
          </w:p>
        </w:tc>
        <w:tc>
          <w:tcPr>
            <w:tcW w:w="2311" w:type="dxa"/>
            <w:tcBorders>
              <w:top w:val="nil"/>
              <w:left w:val="nil"/>
              <w:bottom w:val="nil"/>
              <w:right w:val="nil"/>
            </w:tcBorders>
            <w:shd w:val="clear" w:color="auto" w:fill="auto"/>
            <w:noWrap/>
            <w:vAlign w:val="bottom"/>
            <w:hideMark/>
          </w:tcPr>
          <w:p w14:paraId="5735646D" w14:textId="77777777" w:rsidR="003C300D" w:rsidRPr="009E289C" w:rsidRDefault="003C300D" w:rsidP="00550379">
            <w:pPr>
              <w:jc w:val="left"/>
              <w:rPr>
                <w:rFonts w:ascii="Calibri" w:hAnsi="Calibri" w:cs="Calibri"/>
                <w:color w:val="000000"/>
                <w:sz w:val="18"/>
                <w:szCs w:val="18"/>
                <w:lang w:eastAsia="es-CO"/>
              </w:rPr>
            </w:pPr>
          </w:p>
        </w:tc>
      </w:tr>
      <w:tr w:rsidR="003C300D" w:rsidRPr="009E289C" w14:paraId="6B43100C" w14:textId="77777777" w:rsidTr="00550379">
        <w:trPr>
          <w:trHeight w:val="300"/>
        </w:trPr>
        <w:tc>
          <w:tcPr>
            <w:tcW w:w="9634" w:type="dxa"/>
            <w:gridSpan w:val="7"/>
            <w:vMerge/>
            <w:tcBorders>
              <w:top w:val="single" w:sz="4" w:space="0" w:color="auto"/>
              <w:left w:val="single" w:sz="4" w:space="0" w:color="auto"/>
              <w:bottom w:val="single" w:sz="4" w:space="0" w:color="auto"/>
              <w:right w:val="single" w:sz="4" w:space="0" w:color="auto"/>
            </w:tcBorders>
            <w:vAlign w:val="center"/>
            <w:hideMark/>
          </w:tcPr>
          <w:p w14:paraId="4A824513" w14:textId="77777777" w:rsidR="003C300D" w:rsidRPr="009E289C" w:rsidRDefault="003C300D" w:rsidP="00550379">
            <w:pPr>
              <w:jc w:val="left"/>
              <w:rPr>
                <w:rFonts w:ascii="Calibri" w:hAnsi="Calibri" w:cs="Calibri"/>
                <w:color w:val="000000"/>
                <w:sz w:val="18"/>
                <w:szCs w:val="18"/>
                <w:lang w:eastAsia="es-CO"/>
              </w:rPr>
            </w:pPr>
          </w:p>
        </w:tc>
        <w:tc>
          <w:tcPr>
            <w:tcW w:w="2311" w:type="dxa"/>
            <w:tcBorders>
              <w:top w:val="nil"/>
              <w:left w:val="nil"/>
              <w:bottom w:val="nil"/>
              <w:right w:val="nil"/>
            </w:tcBorders>
            <w:shd w:val="clear" w:color="auto" w:fill="auto"/>
            <w:noWrap/>
            <w:vAlign w:val="bottom"/>
            <w:hideMark/>
          </w:tcPr>
          <w:p w14:paraId="02A0BB6E" w14:textId="77777777" w:rsidR="003C300D" w:rsidRPr="009E289C" w:rsidRDefault="003C300D" w:rsidP="00550379">
            <w:pPr>
              <w:jc w:val="left"/>
              <w:rPr>
                <w:rFonts w:ascii="Times New Roman" w:hAnsi="Times New Roman"/>
                <w:sz w:val="18"/>
                <w:szCs w:val="18"/>
                <w:lang w:eastAsia="es-CO"/>
              </w:rPr>
            </w:pPr>
          </w:p>
        </w:tc>
      </w:tr>
      <w:tr w:rsidR="003C300D" w:rsidRPr="009E289C" w14:paraId="3ECD8506" w14:textId="77777777" w:rsidTr="00550379">
        <w:trPr>
          <w:trHeight w:val="300"/>
        </w:trPr>
        <w:tc>
          <w:tcPr>
            <w:tcW w:w="9634" w:type="dxa"/>
            <w:gridSpan w:val="7"/>
            <w:vMerge/>
            <w:tcBorders>
              <w:top w:val="single" w:sz="4" w:space="0" w:color="auto"/>
              <w:left w:val="single" w:sz="4" w:space="0" w:color="auto"/>
              <w:bottom w:val="single" w:sz="4" w:space="0" w:color="auto"/>
              <w:right w:val="single" w:sz="4" w:space="0" w:color="auto"/>
            </w:tcBorders>
            <w:vAlign w:val="center"/>
            <w:hideMark/>
          </w:tcPr>
          <w:p w14:paraId="06CB9932" w14:textId="77777777" w:rsidR="003C300D" w:rsidRPr="009E289C" w:rsidRDefault="003C300D" w:rsidP="00550379">
            <w:pPr>
              <w:jc w:val="left"/>
              <w:rPr>
                <w:rFonts w:ascii="Calibri" w:hAnsi="Calibri" w:cs="Calibri"/>
                <w:color w:val="000000"/>
                <w:sz w:val="18"/>
                <w:szCs w:val="18"/>
                <w:lang w:eastAsia="es-CO"/>
              </w:rPr>
            </w:pPr>
          </w:p>
        </w:tc>
        <w:tc>
          <w:tcPr>
            <w:tcW w:w="2311" w:type="dxa"/>
            <w:tcBorders>
              <w:top w:val="nil"/>
              <w:left w:val="nil"/>
              <w:bottom w:val="nil"/>
              <w:right w:val="nil"/>
            </w:tcBorders>
            <w:shd w:val="clear" w:color="auto" w:fill="auto"/>
            <w:noWrap/>
            <w:vAlign w:val="bottom"/>
            <w:hideMark/>
          </w:tcPr>
          <w:p w14:paraId="4BC0CEE2" w14:textId="77777777" w:rsidR="003C300D" w:rsidRPr="009E289C" w:rsidRDefault="003C300D" w:rsidP="00550379">
            <w:pPr>
              <w:jc w:val="left"/>
              <w:rPr>
                <w:rFonts w:ascii="Times New Roman" w:hAnsi="Times New Roman"/>
                <w:sz w:val="18"/>
                <w:szCs w:val="18"/>
                <w:lang w:eastAsia="es-CO"/>
              </w:rPr>
            </w:pPr>
          </w:p>
        </w:tc>
      </w:tr>
      <w:tr w:rsidR="003C300D" w:rsidRPr="009E289C" w14:paraId="683F0153" w14:textId="77777777" w:rsidTr="00550379">
        <w:trPr>
          <w:trHeight w:val="300"/>
        </w:trPr>
        <w:tc>
          <w:tcPr>
            <w:tcW w:w="9634" w:type="dxa"/>
            <w:gridSpan w:val="7"/>
            <w:vMerge/>
            <w:tcBorders>
              <w:top w:val="single" w:sz="4" w:space="0" w:color="auto"/>
              <w:left w:val="single" w:sz="4" w:space="0" w:color="auto"/>
              <w:bottom w:val="single" w:sz="4" w:space="0" w:color="auto"/>
              <w:right w:val="single" w:sz="4" w:space="0" w:color="auto"/>
            </w:tcBorders>
            <w:vAlign w:val="center"/>
            <w:hideMark/>
          </w:tcPr>
          <w:p w14:paraId="6D75179C" w14:textId="77777777" w:rsidR="003C300D" w:rsidRPr="009E289C" w:rsidRDefault="003C300D" w:rsidP="00550379">
            <w:pPr>
              <w:jc w:val="left"/>
              <w:rPr>
                <w:rFonts w:ascii="Calibri" w:hAnsi="Calibri" w:cs="Calibri"/>
                <w:color w:val="000000"/>
                <w:sz w:val="18"/>
                <w:szCs w:val="18"/>
                <w:lang w:eastAsia="es-CO"/>
              </w:rPr>
            </w:pPr>
          </w:p>
        </w:tc>
        <w:tc>
          <w:tcPr>
            <w:tcW w:w="2311" w:type="dxa"/>
            <w:tcBorders>
              <w:top w:val="nil"/>
              <w:left w:val="nil"/>
              <w:bottom w:val="nil"/>
              <w:right w:val="nil"/>
            </w:tcBorders>
            <w:shd w:val="clear" w:color="auto" w:fill="auto"/>
            <w:noWrap/>
            <w:vAlign w:val="bottom"/>
            <w:hideMark/>
          </w:tcPr>
          <w:p w14:paraId="4017B31C" w14:textId="77777777" w:rsidR="003C300D" w:rsidRPr="009E289C" w:rsidRDefault="003C300D" w:rsidP="00550379">
            <w:pPr>
              <w:jc w:val="left"/>
              <w:rPr>
                <w:rFonts w:ascii="Times New Roman" w:hAnsi="Times New Roman"/>
                <w:sz w:val="18"/>
                <w:szCs w:val="18"/>
                <w:lang w:eastAsia="es-CO"/>
              </w:rPr>
            </w:pPr>
          </w:p>
        </w:tc>
      </w:tr>
    </w:tbl>
    <w:p w14:paraId="5422CA48" w14:textId="77777777" w:rsidR="003C300D" w:rsidRPr="00DA777C" w:rsidRDefault="003C300D" w:rsidP="003C300D">
      <w:pPr>
        <w:spacing w:before="120"/>
        <w:jc w:val="left"/>
        <w:rPr>
          <w:rFonts w:cs="Arial"/>
          <w:sz w:val="4"/>
          <w:szCs w:val="4"/>
        </w:rPr>
      </w:pPr>
    </w:p>
    <w:sectPr w:rsidR="003C300D" w:rsidRPr="00DA777C" w:rsidSect="00DD7346">
      <w:headerReference w:type="default" r:id="rId10"/>
      <w:footerReference w:type="default" r:id="rId11"/>
      <w:pgSz w:w="12242" w:h="15842" w:code="1"/>
      <w:pgMar w:top="1418" w:right="1418" w:bottom="1418" w:left="1418" w:header="851"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3B6C" w14:textId="77777777" w:rsidR="006173C2" w:rsidRDefault="006173C2">
      <w:r>
        <w:separator/>
      </w:r>
    </w:p>
  </w:endnote>
  <w:endnote w:type="continuationSeparator" w:id="0">
    <w:p w14:paraId="14407CD1" w14:textId="77777777" w:rsidR="006173C2" w:rsidRDefault="0061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A41E" w14:textId="77777777" w:rsidR="000502C1" w:rsidRDefault="000502C1" w:rsidP="0077100C">
    <w:pPr>
      <w:pStyle w:val="Piedepgina"/>
      <w:rPr>
        <w:sz w:val="16"/>
        <w:lang w:val="es-CO"/>
      </w:rPr>
    </w:pPr>
  </w:p>
  <w:p w14:paraId="381FC4E1" w14:textId="7A6914B2" w:rsidR="001700C2" w:rsidRPr="004E614F" w:rsidRDefault="004E614F" w:rsidP="0077100C">
    <w:pPr>
      <w:pStyle w:val="Piedepgina"/>
      <w:rPr>
        <w:sz w:val="16"/>
        <w:lang w:val="es-CO"/>
      </w:rPr>
    </w:pPr>
    <w:r>
      <w:rPr>
        <w:sz w:val="16"/>
        <w:lang w:val="es-CO"/>
      </w:rPr>
      <w:t xml:space="preserve">D – 901 020 DE 2023 </w:t>
    </w:r>
    <w:r w:rsidRPr="004E614F">
      <w:rPr>
        <w:sz w:val="16"/>
        <w:lang w:val="es-CO"/>
      </w:rPr>
      <w:t>REVISIÓN DEL NUMERAL 4.5 DEL ANEXO 1 DE LA RESOLUCIÓN CREG 022 DE 2001</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3"/>
      <w:gridCol w:w="2791"/>
      <w:gridCol w:w="2633"/>
    </w:tblGrid>
    <w:tr w:rsidR="00456730" w:rsidRPr="00456730" w14:paraId="40F6C052" w14:textId="77777777" w:rsidTr="008E4B18">
      <w:trPr>
        <w:cantSplit/>
        <w:trHeight w:val="254"/>
        <w:jc w:val="center"/>
      </w:trPr>
      <w:tc>
        <w:tcPr>
          <w:tcW w:w="2314" w:type="pct"/>
          <w:vAlign w:val="center"/>
        </w:tcPr>
        <w:p w14:paraId="35D0AB47" w14:textId="77777777" w:rsidR="00456730" w:rsidRPr="00456730" w:rsidRDefault="00456730" w:rsidP="00456730">
          <w:pPr>
            <w:contextualSpacing/>
            <w:rPr>
              <w:iCs/>
              <w:sz w:val="14"/>
            </w:rPr>
          </w:pPr>
          <w:r w:rsidRPr="00456730">
            <w:rPr>
              <w:rFonts w:cs="Arial"/>
              <w:iCs/>
              <w:sz w:val="14"/>
            </w:rPr>
            <w:t xml:space="preserve">Proceso        </w:t>
          </w:r>
          <w:r w:rsidRPr="00456730">
            <w:rPr>
              <w:rFonts w:cs="Arial"/>
              <w:b/>
              <w:iCs/>
              <w:sz w:val="14"/>
            </w:rPr>
            <w:t>REGULACIÓN</w:t>
          </w:r>
        </w:p>
      </w:tc>
      <w:tc>
        <w:tcPr>
          <w:tcW w:w="1382" w:type="pct"/>
          <w:vAlign w:val="center"/>
        </w:tcPr>
        <w:p w14:paraId="21479DD5" w14:textId="77777777" w:rsidR="00456730" w:rsidRPr="00456730" w:rsidRDefault="00456730" w:rsidP="00456730">
          <w:pPr>
            <w:contextualSpacing/>
            <w:rPr>
              <w:rFonts w:cs="Arial"/>
              <w:iCs/>
              <w:sz w:val="14"/>
            </w:rPr>
          </w:pPr>
          <w:r w:rsidRPr="00456730">
            <w:rPr>
              <w:rFonts w:cs="Arial"/>
              <w:b/>
              <w:iCs/>
              <w:sz w:val="14"/>
            </w:rPr>
            <w:t xml:space="preserve">Código: </w:t>
          </w:r>
          <w:r w:rsidRPr="00456730">
            <w:rPr>
              <w:rFonts w:cs="Arial"/>
              <w:iCs/>
              <w:sz w:val="14"/>
            </w:rPr>
            <w:t>RG-FT-005</w:t>
          </w:r>
        </w:p>
      </w:tc>
      <w:tc>
        <w:tcPr>
          <w:tcW w:w="1304" w:type="pct"/>
          <w:vAlign w:val="center"/>
        </w:tcPr>
        <w:p w14:paraId="537EC274" w14:textId="77777777" w:rsidR="00456730" w:rsidRPr="00456730" w:rsidRDefault="00456730" w:rsidP="00456730">
          <w:pPr>
            <w:contextualSpacing/>
            <w:rPr>
              <w:rFonts w:cs="Arial"/>
              <w:iCs/>
              <w:sz w:val="14"/>
            </w:rPr>
          </w:pPr>
          <w:r w:rsidRPr="00456730">
            <w:rPr>
              <w:rFonts w:cs="Arial"/>
              <w:b/>
              <w:iCs/>
              <w:sz w:val="14"/>
            </w:rPr>
            <w:t xml:space="preserve">Versión: </w:t>
          </w:r>
          <w:r w:rsidR="008B734F">
            <w:rPr>
              <w:rFonts w:cs="Arial"/>
              <w:iCs/>
              <w:sz w:val="14"/>
            </w:rPr>
            <w:t>1</w:t>
          </w:r>
        </w:p>
      </w:tc>
    </w:tr>
    <w:tr w:rsidR="00456730" w:rsidRPr="00456730" w14:paraId="448AF68A" w14:textId="77777777" w:rsidTr="008E4B18">
      <w:trPr>
        <w:cantSplit/>
        <w:trHeight w:val="261"/>
        <w:jc w:val="center"/>
      </w:trPr>
      <w:tc>
        <w:tcPr>
          <w:tcW w:w="2314" w:type="pct"/>
          <w:vAlign w:val="center"/>
        </w:tcPr>
        <w:p w14:paraId="553CDE02" w14:textId="77777777" w:rsidR="00456730" w:rsidRPr="00456730" w:rsidRDefault="00456730" w:rsidP="00456730">
          <w:pPr>
            <w:ind w:left="923" w:hanging="923"/>
            <w:contextualSpacing/>
            <w:rPr>
              <w:rFonts w:cs="Arial"/>
              <w:bCs/>
              <w:iCs/>
              <w:sz w:val="14"/>
            </w:rPr>
          </w:pPr>
          <w:r w:rsidRPr="00456730">
            <w:rPr>
              <w:rFonts w:cs="Arial"/>
              <w:iCs/>
              <w:sz w:val="14"/>
            </w:rPr>
            <w:t xml:space="preserve">Documento   </w:t>
          </w:r>
          <w:proofErr w:type="spellStart"/>
          <w:r w:rsidRPr="00456730">
            <w:rPr>
              <w:rFonts w:cs="Arial"/>
              <w:b/>
              <w:iCs/>
              <w:sz w:val="14"/>
            </w:rPr>
            <w:t>DOCUMENTO</w:t>
          </w:r>
          <w:proofErr w:type="spellEnd"/>
          <w:r w:rsidRPr="00456730">
            <w:rPr>
              <w:rFonts w:cs="Arial"/>
              <w:b/>
              <w:iCs/>
              <w:sz w:val="14"/>
            </w:rPr>
            <w:t xml:space="preserve"> CREG</w:t>
          </w:r>
        </w:p>
      </w:tc>
      <w:tc>
        <w:tcPr>
          <w:tcW w:w="1382" w:type="pct"/>
          <w:vAlign w:val="center"/>
        </w:tcPr>
        <w:p w14:paraId="1B1DD2DD" w14:textId="77777777" w:rsidR="00456730" w:rsidRPr="00456730" w:rsidRDefault="00456730" w:rsidP="008B734F">
          <w:pPr>
            <w:contextualSpacing/>
            <w:rPr>
              <w:rFonts w:cs="Arial"/>
              <w:iCs/>
              <w:sz w:val="14"/>
            </w:rPr>
          </w:pPr>
          <w:r w:rsidRPr="00456730">
            <w:rPr>
              <w:rFonts w:cs="Arial"/>
              <w:b/>
              <w:iCs/>
              <w:sz w:val="14"/>
            </w:rPr>
            <w:t xml:space="preserve">Fecha última revisión: </w:t>
          </w:r>
          <w:r w:rsidR="008B734F">
            <w:rPr>
              <w:rFonts w:cs="Arial"/>
              <w:b/>
              <w:iCs/>
              <w:sz w:val="14"/>
            </w:rPr>
            <w:t>14/11/2017</w:t>
          </w:r>
        </w:p>
      </w:tc>
      <w:tc>
        <w:tcPr>
          <w:tcW w:w="1304" w:type="pct"/>
          <w:vAlign w:val="center"/>
        </w:tcPr>
        <w:p w14:paraId="622F1D7C" w14:textId="77777777" w:rsidR="00456730" w:rsidRPr="00456730" w:rsidRDefault="00456730" w:rsidP="00B60742">
          <w:pPr>
            <w:contextualSpacing/>
            <w:rPr>
              <w:rFonts w:cs="Arial"/>
              <w:iCs/>
              <w:sz w:val="14"/>
            </w:rPr>
          </w:pPr>
          <w:r w:rsidRPr="00456730">
            <w:rPr>
              <w:rFonts w:cs="Arial"/>
              <w:b/>
              <w:iCs/>
              <w:sz w:val="14"/>
            </w:rPr>
            <w:t>Página:</w:t>
          </w:r>
          <w:r w:rsidRPr="00456730">
            <w:rPr>
              <w:rFonts w:cs="Arial"/>
              <w:iCs/>
              <w:sz w:val="14"/>
            </w:rPr>
            <w:t xml:space="preserve"> </w:t>
          </w:r>
          <w:r w:rsidRPr="00456730">
            <w:rPr>
              <w:rFonts w:cs="Arial"/>
              <w:iCs/>
              <w:sz w:val="14"/>
            </w:rPr>
            <w:fldChar w:fldCharType="begin"/>
          </w:r>
          <w:r w:rsidRPr="00456730">
            <w:rPr>
              <w:rFonts w:cs="Arial"/>
              <w:iCs/>
              <w:sz w:val="14"/>
            </w:rPr>
            <w:instrText xml:space="preserve"> PAGE </w:instrText>
          </w:r>
          <w:r w:rsidRPr="00456730">
            <w:rPr>
              <w:rFonts w:cs="Arial"/>
              <w:iCs/>
              <w:sz w:val="14"/>
            </w:rPr>
            <w:fldChar w:fldCharType="separate"/>
          </w:r>
          <w:r w:rsidR="008B734F">
            <w:rPr>
              <w:rFonts w:cs="Arial"/>
              <w:iCs/>
              <w:noProof/>
              <w:sz w:val="14"/>
            </w:rPr>
            <w:t>2</w:t>
          </w:r>
          <w:r w:rsidRPr="00456730">
            <w:rPr>
              <w:rFonts w:cs="Arial"/>
              <w:iCs/>
              <w:sz w:val="14"/>
            </w:rPr>
            <w:fldChar w:fldCharType="end"/>
          </w:r>
          <w:r w:rsidR="0054039F">
            <w:rPr>
              <w:rFonts w:cs="Arial"/>
              <w:iCs/>
              <w:sz w:val="14"/>
            </w:rPr>
            <w:t xml:space="preserve"> </w:t>
          </w:r>
        </w:p>
      </w:tc>
    </w:tr>
  </w:tbl>
  <w:p w14:paraId="2220D377" w14:textId="77777777" w:rsidR="00456730" w:rsidRPr="00BE2C84" w:rsidRDefault="00456730" w:rsidP="00DD7346">
    <w:pPr>
      <w:ind w:right="-449"/>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0AE1" w14:textId="77777777" w:rsidR="006173C2" w:rsidRDefault="006173C2">
      <w:r>
        <w:separator/>
      </w:r>
    </w:p>
  </w:footnote>
  <w:footnote w:type="continuationSeparator" w:id="0">
    <w:p w14:paraId="2ABC9C2A" w14:textId="77777777" w:rsidR="006173C2" w:rsidRDefault="006173C2">
      <w:r>
        <w:continuationSeparator/>
      </w:r>
    </w:p>
  </w:footnote>
  <w:footnote w:id="1">
    <w:p w14:paraId="4E845DA6" w14:textId="77777777" w:rsidR="008E20CE" w:rsidRPr="00321C03" w:rsidRDefault="008E20CE" w:rsidP="008E20CE">
      <w:pPr>
        <w:pStyle w:val="Textonotapie"/>
        <w:ind w:left="142" w:hanging="142"/>
        <w:rPr>
          <w:lang w:val="es-CO"/>
        </w:rPr>
      </w:pPr>
      <w:r>
        <w:rPr>
          <w:rStyle w:val="Refdenotaalpie"/>
        </w:rPr>
        <w:footnoteRef/>
      </w:r>
      <w:r>
        <w:t xml:space="preserve"> </w:t>
      </w:r>
      <w:r w:rsidRPr="00714803">
        <w:rPr>
          <w:sz w:val="18"/>
          <w:szCs w:val="18"/>
          <w:lang w:val="es-CO"/>
        </w:rPr>
        <w:t>En este documento</w:t>
      </w:r>
      <w:r>
        <w:rPr>
          <w:sz w:val="18"/>
          <w:szCs w:val="18"/>
          <w:lang w:val="es-CO"/>
        </w:rPr>
        <w:t>,</w:t>
      </w:r>
      <w:r w:rsidRPr="00714803">
        <w:rPr>
          <w:sz w:val="18"/>
          <w:szCs w:val="18"/>
          <w:lang w:val="es-CO"/>
        </w:rPr>
        <w:t xml:space="preserve"> con la frase “usuarios de</w:t>
      </w:r>
      <w:r>
        <w:rPr>
          <w:sz w:val="18"/>
          <w:szCs w:val="18"/>
          <w:lang w:val="es-CO"/>
        </w:rPr>
        <w:t xml:space="preserve"> un</w:t>
      </w:r>
      <w:r w:rsidRPr="00714803">
        <w:rPr>
          <w:sz w:val="18"/>
          <w:szCs w:val="18"/>
          <w:lang w:val="es-CO"/>
        </w:rPr>
        <w:t xml:space="preserve"> proyecto de transmisión” se hace referencia a los generadores, operadores de red y usuarios finales que se </w:t>
      </w:r>
      <w:r>
        <w:rPr>
          <w:sz w:val="18"/>
          <w:szCs w:val="18"/>
          <w:lang w:val="es-CO"/>
        </w:rPr>
        <w:t xml:space="preserve">van a </w:t>
      </w:r>
      <w:r w:rsidRPr="00714803">
        <w:rPr>
          <w:sz w:val="18"/>
          <w:szCs w:val="18"/>
          <w:lang w:val="es-CO"/>
        </w:rPr>
        <w:t>cone</w:t>
      </w:r>
      <w:r>
        <w:rPr>
          <w:sz w:val="18"/>
          <w:szCs w:val="18"/>
          <w:lang w:val="es-CO"/>
        </w:rPr>
        <w:t>ctar</w:t>
      </w:r>
      <w:r w:rsidRPr="00714803">
        <w:rPr>
          <w:sz w:val="18"/>
          <w:szCs w:val="18"/>
          <w:lang w:val="es-CO"/>
        </w:rPr>
        <w:t xml:space="preserve"> al proyecto </w:t>
      </w:r>
      <w:r>
        <w:rPr>
          <w:sz w:val="18"/>
          <w:szCs w:val="18"/>
          <w:lang w:val="es-CO"/>
        </w:rPr>
        <w:t xml:space="preserve">del STN </w:t>
      </w:r>
      <w:r w:rsidRPr="00714803">
        <w:rPr>
          <w:sz w:val="18"/>
          <w:szCs w:val="18"/>
          <w:lang w:val="es-CO"/>
        </w:rPr>
        <w:t>que ejecuta el adjudicatario de un proceso de selección desarrollado por la UPME, de acuerdo con lo previsto en la Resolución CREG 022 de 2001</w:t>
      </w:r>
      <w:r>
        <w:rPr>
          <w:sz w:val="18"/>
          <w:szCs w:val="18"/>
          <w:lang w:val="es-CO"/>
        </w:rPr>
        <w:t>.</w:t>
      </w:r>
      <w:r w:rsidRPr="00714803">
        <w:rPr>
          <w:rFonts w:ascii="Bookman Old Style" w:hAnsi="Bookman Old Style" w:cs="Arial"/>
          <w:spacing w:val="-3"/>
          <w:sz w:val="18"/>
          <w:szCs w:val="18"/>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9B3" w14:textId="6F86A714" w:rsidR="00020441" w:rsidRDefault="00020441">
    <w:pPr>
      <w:pStyle w:val="Encabezado"/>
    </w:pPr>
    <w:r>
      <w:rPr>
        <w:rFonts w:cs="Arial"/>
        <w:b/>
        <w:i/>
        <w:color w:val="808080"/>
        <w:sz w:val="16"/>
      </w:rPr>
      <w:t>Sesión No.</w:t>
    </w:r>
    <w:r w:rsidR="004E614F">
      <w:rPr>
        <w:rFonts w:cs="Arial"/>
        <w:b/>
        <w:i/>
        <w:color w:val="808080"/>
        <w:sz w:val="16"/>
      </w:rPr>
      <w:t xml:space="preserve"> 1284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437"/>
    <w:multiLevelType w:val="hybridMultilevel"/>
    <w:tmpl w:val="50BCD67C"/>
    <w:lvl w:ilvl="0" w:tplc="449478BC">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191CEB"/>
    <w:multiLevelType w:val="hybridMultilevel"/>
    <w:tmpl w:val="E5546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F44159"/>
    <w:multiLevelType w:val="multilevel"/>
    <w:tmpl w:val="147A0FBE"/>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15:restartNumberingAfterBreak="0">
    <w:nsid w:val="19FE5CA3"/>
    <w:multiLevelType w:val="hybridMultilevel"/>
    <w:tmpl w:val="BFCC6FF0"/>
    <w:lvl w:ilvl="0" w:tplc="FD2C48D6">
      <w:start w:val="18"/>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D11DC5"/>
    <w:multiLevelType w:val="multilevel"/>
    <w:tmpl w:val="CE5402C4"/>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C5B3960"/>
    <w:multiLevelType w:val="hybridMultilevel"/>
    <w:tmpl w:val="27E83D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006CDB"/>
    <w:multiLevelType w:val="hybridMultilevel"/>
    <w:tmpl w:val="02AA94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532333EF"/>
    <w:multiLevelType w:val="hybridMultilevel"/>
    <w:tmpl w:val="43C418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4C66628"/>
    <w:multiLevelType w:val="hybridMultilevel"/>
    <w:tmpl w:val="5E124EF4"/>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836928"/>
    <w:multiLevelType w:val="hybridMultilevel"/>
    <w:tmpl w:val="9C447B26"/>
    <w:lvl w:ilvl="0" w:tplc="708AFF1C">
      <w:start w:val="1"/>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9BF361A"/>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DEA3146"/>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100BF3"/>
    <w:multiLevelType w:val="hybridMultilevel"/>
    <w:tmpl w:val="4CDE74BA"/>
    <w:lvl w:ilvl="0" w:tplc="240A000F">
      <w:start w:val="1"/>
      <w:numFmt w:val="bullet"/>
      <w:lvlText w:val=""/>
      <w:lvlJc w:val="left"/>
      <w:pPr>
        <w:ind w:left="720" w:hanging="360"/>
      </w:pPr>
      <w:rPr>
        <w:rFonts w:ascii="Symbol" w:hAnsi="Symbol" w:hint="default"/>
      </w:rPr>
    </w:lvl>
    <w:lvl w:ilvl="1" w:tplc="240A0019" w:tentative="1">
      <w:start w:val="1"/>
      <w:numFmt w:val="bullet"/>
      <w:lvlText w:val="o"/>
      <w:lvlJc w:val="left"/>
      <w:pPr>
        <w:ind w:left="1440" w:hanging="360"/>
      </w:pPr>
      <w:rPr>
        <w:rFonts w:ascii="Courier New" w:hAnsi="Courier New" w:cs="Courier New" w:hint="default"/>
      </w:rPr>
    </w:lvl>
    <w:lvl w:ilvl="2" w:tplc="240A001B" w:tentative="1">
      <w:start w:val="1"/>
      <w:numFmt w:val="bullet"/>
      <w:lvlText w:val=""/>
      <w:lvlJc w:val="left"/>
      <w:pPr>
        <w:ind w:left="2160" w:hanging="360"/>
      </w:pPr>
      <w:rPr>
        <w:rFonts w:ascii="Wingdings" w:hAnsi="Wingdings" w:hint="default"/>
      </w:rPr>
    </w:lvl>
    <w:lvl w:ilvl="3" w:tplc="240A000F" w:tentative="1">
      <w:start w:val="1"/>
      <w:numFmt w:val="bullet"/>
      <w:lvlText w:val=""/>
      <w:lvlJc w:val="left"/>
      <w:pPr>
        <w:ind w:left="2880" w:hanging="360"/>
      </w:pPr>
      <w:rPr>
        <w:rFonts w:ascii="Symbol" w:hAnsi="Symbol" w:hint="default"/>
      </w:rPr>
    </w:lvl>
    <w:lvl w:ilvl="4" w:tplc="240A0019" w:tentative="1">
      <w:start w:val="1"/>
      <w:numFmt w:val="bullet"/>
      <w:lvlText w:val="o"/>
      <w:lvlJc w:val="left"/>
      <w:pPr>
        <w:ind w:left="3600" w:hanging="360"/>
      </w:pPr>
      <w:rPr>
        <w:rFonts w:ascii="Courier New" w:hAnsi="Courier New" w:cs="Courier New" w:hint="default"/>
      </w:rPr>
    </w:lvl>
    <w:lvl w:ilvl="5" w:tplc="240A001B" w:tentative="1">
      <w:start w:val="1"/>
      <w:numFmt w:val="bullet"/>
      <w:lvlText w:val=""/>
      <w:lvlJc w:val="left"/>
      <w:pPr>
        <w:ind w:left="4320" w:hanging="360"/>
      </w:pPr>
      <w:rPr>
        <w:rFonts w:ascii="Wingdings" w:hAnsi="Wingdings" w:hint="default"/>
      </w:rPr>
    </w:lvl>
    <w:lvl w:ilvl="6" w:tplc="240A000F" w:tentative="1">
      <w:start w:val="1"/>
      <w:numFmt w:val="bullet"/>
      <w:lvlText w:val=""/>
      <w:lvlJc w:val="left"/>
      <w:pPr>
        <w:ind w:left="5040" w:hanging="360"/>
      </w:pPr>
      <w:rPr>
        <w:rFonts w:ascii="Symbol" w:hAnsi="Symbol" w:hint="default"/>
      </w:rPr>
    </w:lvl>
    <w:lvl w:ilvl="7" w:tplc="240A0019" w:tentative="1">
      <w:start w:val="1"/>
      <w:numFmt w:val="bullet"/>
      <w:lvlText w:val="o"/>
      <w:lvlJc w:val="left"/>
      <w:pPr>
        <w:ind w:left="5760" w:hanging="360"/>
      </w:pPr>
      <w:rPr>
        <w:rFonts w:ascii="Courier New" w:hAnsi="Courier New" w:cs="Courier New" w:hint="default"/>
      </w:rPr>
    </w:lvl>
    <w:lvl w:ilvl="8" w:tplc="240A001B" w:tentative="1">
      <w:start w:val="1"/>
      <w:numFmt w:val="bullet"/>
      <w:lvlText w:val=""/>
      <w:lvlJc w:val="left"/>
      <w:pPr>
        <w:ind w:left="6480" w:hanging="360"/>
      </w:pPr>
      <w:rPr>
        <w:rFonts w:ascii="Wingdings" w:hAnsi="Wingdings" w:hint="default"/>
      </w:rPr>
    </w:lvl>
  </w:abstractNum>
  <w:abstractNum w:abstractNumId="13" w15:restartNumberingAfterBreak="0">
    <w:nsid w:val="71383563"/>
    <w:multiLevelType w:val="hybridMultilevel"/>
    <w:tmpl w:val="FAE0E7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2D50F0"/>
    <w:multiLevelType w:val="hybridMultilevel"/>
    <w:tmpl w:val="8870CC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E871C1"/>
    <w:multiLevelType w:val="hybridMultilevel"/>
    <w:tmpl w:val="7D4441F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01872976">
    <w:abstractNumId w:val="2"/>
  </w:num>
  <w:num w:numId="2" w16cid:durableId="801968684">
    <w:abstractNumId w:val="2"/>
  </w:num>
  <w:num w:numId="3" w16cid:durableId="2073001526">
    <w:abstractNumId w:val="2"/>
  </w:num>
  <w:num w:numId="4" w16cid:durableId="780993275">
    <w:abstractNumId w:val="2"/>
  </w:num>
  <w:num w:numId="5" w16cid:durableId="493184022">
    <w:abstractNumId w:val="2"/>
  </w:num>
  <w:num w:numId="6" w16cid:durableId="449592109">
    <w:abstractNumId w:val="2"/>
  </w:num>
  <w:num w:numId="7" w16cid:durableId="1909227231">
    <w:abstractNumId w:val="12"/>
  </w:num>
  <w:num w:numId="8" w16cid:durableId="467629627">
    <w:abstractNumId w:val="10"/>
  </w:num>
  <w:num w:numId="9" w16cid:durableId="959071692">
    <w:abstractNumId w:val="13"/>
  </w:num>
  <w:num w:numId="10" w16cid:durableId="2118718905">
    <w:abstractNumId w:val="14"/>
  </w:num>
  <w:num w:numId="11" w16cid:durableId="811794889">
    <w:abstractNumId w:val="11"/>
  </w:num>
  <w:num w:numId="12" w16cid:durableId="196089711">
    <w:abstractNumId w:val="9"/>
  </w:num>
  <w:num w:numId="13" w16cid:durableId="983437049">
    <w:abstractNumId w:val="1"/>
  </w:num>
  <w:num w:numId="14" w16cid:durableId="1867281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495956">
    <w:abstractNumId w:val="6"/>
  </w:num>
  <w:num w:numId="16" w16cid:durableId="1864123876">
    <w:abstractNumId w:val="7"/>
  </w:num>
  <w:num w:numId="17" w16cid:durableId="2053458172">
    <w:abstractNumId w:val="0"/>
  </w:num>
  <w:num w:numId="18" w16cid:durableId="778716478">
    <w:abstractNumId w:val="15"/>
  </w:num>
  <w:num w:numId="19" w16cid:durableId="1153060186">
    <w:abstractNumId w:val="2"/>
  </w:num>
  <w:num w:numId="20" w16cid:durableId="1856535573">
    <w:abstractNumId w:val="2"/>
  </w:num>
  <w:num w:numId="21" w16cid:durableId="1096487248">
    <w:abstractNumId w:val="2"/>
  </w:num>
  <w:num w:numId="22" w16cid:durableId="170530113">
    <w:abstractNumId w:val="2"/>
  </w:num>
  <w:num w:numId="23" w16cid:durableId="613485320">
    <w:abstractNumId w:val="2"/>
  </w:num>
  <w:num w:numId="24" w16cid:durableId="2019768071">
    <w:abstractNumId w:val="2"/>
  </w:num>
  <w:num w:numId="25" w16cid:durableId="2088334124">
    <w:abstractNumId w:val="2"/>
  </w:num>
  <w:num w:numId="26" w16cid:durableId="1508522392">
    <w:abstractNumId w:val="8"/>
  </w:num>
  <w:num w:numId="27" w16cid:durableId="196747052">
    <w:abstractNumId w:val="4"/>
  </w:num>
  <w:num w:numId="28" w16cid:durableId="1999378778">
    <w:abstractNumId w:val="3"/>
  </w:num>
  <w:num w:numId="29" w16cid:durableId="587082037">
    <w:abstractNumId w:val="5"/>
  </w:num>
  <w:num w:numId="30" w16cid:durableId="5382390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852"/>
    <w:rsid w:val="00000520"/>
    <w:rsid w:val="00010F18"/>
    <w:rsid w:val="0001139D"/>
    <w:rsid w:val="00012759"/>
    <w:rsid w:val="00016E67"/>
    <w:rsid w:val="00020441"/>
    <w:rsid w:val="00027771"/>
    <w:rsid w:val="00041B12"/>
    <w:rsid w:val="000502C1"/>
    <w:rsid w:val="0005069C"/>
    <w:rsid w:val="00052C88"/>
    <w:rsid w:val="00056DFC"/>
    <w:rsid w:val="00056ED4"/>
    <w:rsid w:val="00066421"/>
    <w:rsid w:val="00066DF8"/>
    <w:rsid w:val="00066F48"/>
    <w:rsid w:val="00082A57"/>
    <w:rsid w:val="00095A3A"/>
    <w:rsid w:val="000B0E8C"/>
    <w:rsid w:val="000B1A95"/>
    <w:rsid w:val="000B348E"/>
    <w:rsid w:val="000B5AD2"/>
    <w:rsid w:val="000C2E91"/>
    <w:rsid w:val="000D6E3C"/>
    <w:rsid w:val="000E04A6"/>
    <w:rsid w:val="000E6A9D"/>
    <w:rsid w:val="0010544E"/>
    <w:rsid w:val="00106BA9"/>
    <w:rsid w:val="00112705"/>
    <w:rsid w:val="001142B2"/>
    <w:rsid w:val="00114C04"/>
    <w:rsid w:val="00121ED6"/>
    <w:rsid w:val="00136222"/>
    <w:rsid w:val="00136C03"/>
    <w:rsid w:val="0015231C"/>
    <w:rsid w:val="00156EEE"/>
    <w:rsid w:val="00164571"/>
    <w:rsid w:val="00164FA3"/>
    <w:rsid w:val="001700C2"/>
    <w:rsid w:val="0017134C"/>
    <w:rsid w:val="00172DD4"/>
    <w:rsid w:val="00174D0A"/>
    <w:rsid w:val="00182FA3"/>
    <w:rsid w:val="00183D01"/>
    <w:rsid w:val="00186477"/>
    <w:rsid w:val="00193396"/>
    <w:rsid w:val="001942B0"/>
    <w:rsid w:val="00194F02"/>
    <w:rsid w:val="001B21CD"/>
    <w:rsid w:val="001B5DDA"/>
    <w:rsid w:val="001F6820"/>
    <w:rsid w:val="002128A4"/>
    <w:rsid w:val="0021483C"/>
    <w:rsid w:val="00220D0D"/>
    <w:rsid w:val="0022197C"/>
    <w:rsid w:val="00225403"/>
    <w:rsid w:val="002275BA"/>
    <w:rsid w:val="0023079F"/>
    <w:rsid w:val="0023186C"/>
    <w:rsid w:val="00234405"/>
    <w:rsid w:val="00237BF3"/>
    <w:rsid w:val="00242826"/>
    <w:rsid w:val="00244608"/>
    <w:rsid w:val="00250B7F"/>
    <w:rsid w:val="00252CAA"/>
    <w:rsid w:val="00254503"/>
    <w:rsid w:val="00267EEA"/>
    <w:rsid w:val="002722BA"/>
    <w:rsid w:val="00277DD8"/>
    <w:rsid w:val="002838ED"/>
    <w:rsid w:val="0028466C"/>
    <w:rsid w:val="002941E2"/>
    <w:rsid w:val="002A4EF9"/>
    <w:rsid w:val="002A7899"/>
    <w:rsid w:val="002B66B4"/>
    <w:rsid w:val="002B7BEB"/>
    <w:rsid w:val="002C7132"/>
    <w:rsid w:val="002D3815"/>
    <w:rsid w:val="002E19C4"/>
    <w:rsid w:val="002E34E0"/>
    <w:rsid w:val="002E361C"/>
    <w:rsid w:val="002E6314"/>
    <w:rsid w:val="002F29E7"/>
    <w:rsid w:val="002F3E43"/>
    <w:rsid w:val="003031FF"/>
    <w:rsid w:val="003042F4"/>
    <w:rsid w:val="00321C03"/>
    <w:rsid w:val="003320D3"/>
    <w:rsid w:val="00337B0E"/>
    <w:rsid w:val="00342D19"/>
    <w:rsid w:val="00343228"/>
    <w:rsid w:val="00343314"/>
    <w:rsid w:val="00346BC3"/>
    <w:rsid w:val="00352F40"/>
    <w:rsid w:val="00356755"/>
    <w:rsid w:val="003642B0"/>
    <w:rsid w:val="00372F7E"/>
    <w:rsid w:val="003749C4"/>
    <w:rsid w:val="00376794"/>
    <w:rsid w:val="0038050C"/>
    <w:rsid w:val="003939EA"/>
    <w:rsid w:val="0039514C"/>
    <w:rsid w:val="00397C9B"/>
    <w:rsid w:val="003A3DED"/>
    <w:rsid w:val="003B06DB"/>
    <w:rsid w:val="003B3149"/>
    <w:rsid w:val="003C300D"/>
    <w:rsid w:val="003C4EE2"/>
    <w:rsid w:val="003C55ED"/>
    <w:rsid w:val="003C78A5"/>
    <w:rsid w:val="003D7620"/>
    <w:rsid w:val="003E298F"/>
    <w:rsid w:val="003F3D29"/>
    <w:rsid w:val="003F5D66"/>
    <w:rsid w:val="0040539F"/>
    <w:rsid w:val="004153AE"/>
    <w:rsid w:val="00420F87"/>
    <w:rsid w:val="00426AE6"/>
    <w:rsid w:val="00431153"/>
    <w:rsid w:val="004374EF"/>
    <w:rsid w:val="00440D7A"/>
    <w:rsid w:val="004463D5"/>
    <w:rsid w:val="00446983"/>
    <w:rsid w:val="00456730"/>
    <w:rsid w:val="0046114D"/>
    <w:rsid w:val="004622BD"/>
    <w:rsid w:val="00474B22"/>
    <w:rsid w:val="00477C48"/>
    <w:rsid w:val="00480471"/>
    <w:rsid w:val="004808DB"/>
    <w:rsid w:val="00485507"/>
    <w:rsid w:val="00486629"/>
    <w:rsid w:val="004914CA"/>
    <w:rsid w:val="0049308F"/>
    <w:rsid w:val="004A0AF3"/>
    <w:rsid w:val="004A733B"/>
    <w:rsid w:val="004B0F92"/>
    <w:rsid w:val="004B7309"/>
    <w:rsid w:val="004C3F1D"/>
    <w:rsid w:val="004D62EB"/>
    <w:rsid w:val="004E3965"/>
    <w:rsid w:val="004E4022"/>
    <w:rsid w:val="004E614F"/>
    <w:rsid w:val="004F0E6A"/>
    <w:rsid w:val="004F7ED9"/>
    <w:rsid w:val="005032F2"/>
    <w:rsid w:val="005042D3"/>
    <w:rsid w:val="005074C3"/>
    <w:rsid w:val="00510A43"/>
    <w:rsid w:val="0051239A"/>
    <w:rsid w:val="00517002"/>
    <w:rsid w:val="00520464"/>
    <w:rsid w:val="0054039F"/>
    <w:rsid w:val="00543DBB"/>
    <w:rsid w:val="00546502"/>
    <w:rsid w:val="00551C18"/>
    <w:rsid w:val="005638F6"/>
    <w:rsid w:val="00570691"/>
    <w:rsid w:val="00572B68"/>
    <w:rsid w:val="005823DC"/>
    <w:rsid w:val="0058472F"/>
    <w:rsid w:val="00587047"/>
    <w:rsid w:val="005926F0"/>
    <w:rsid w:val="00595769"/>
    <w:rsid w:val="005977B6"/>
    <w:rsid w:val="005A4F42"/>
    <w:rsid w:val="005A7301"/>
    <w:rsid w:val="005B2B8F"/>
    <w:rsid w:val="005B7334"/>
    <w:rsid w:val="005D26BC"/>
    <w:rsid w:val="005D517B"/>
    <w:rsid w:val="005E0919"/>
    <w:rsid w:val="005E21FD"/>
    <w:rsid w:val="005E477B"/>
    <w:rsid w:val="005E6C90"/>
    <w:rsid w:val="005F0C03"/>
    <w:rsid w:val="005F31D9"/>
    <w:rsid w:val="006008E0"/>
    <w:rsid w:val="00601B96"/>
    <w:rsid w:val="0060207B"/>
    <w:rsid w:val="006071BF"/>
    <w:rsid w:val="006173C2"/>
    <w:rsid w:val="006176C2"/>
    <w:rsid w:val="006217C9"/>
    <w:rsid w:val="00640798"/>
    <w:rsid w:val="00650478"/>
    <w:rsid w:val="00652305"/>
    <w:rsid w:val="00653223"/>
    <w:rsid w:val="00657E52"/>
    <w:rsid w:val="0066453F"/>
    <w:rsid w:val="00675AFE"/>
    <w:rsid w:val="00680B65"/>
    <w:rsid w:val="00684DCA"/>
    <w:rsid w:val="00685B9C"/>
    <w:rsid w:val="006864FD"/>
    <w:rsid w:val="006A1B7E"/>
    <w:rsid w:val="006A7A7A"/>
    <w:rsid w:val="006D39FA"/>
    <w:rsid w:val="006D6023"/>
    <w:rsid w:val="006E1029"/>
    <w:rsid w:val="006E1AB3"/>
    <w:rsid w:val="006E323E"/>
    <w:rsid w:val="006F6017"/>
    <w:rsid w:val="00701D88"/>
    <w:rsid w:val="00714803"/>
    <w:rsid w:val="007172D7"/>
    <w:rsid w:val="007173F8"/>
    <w:rsid w:val="00717554"/>
    <w:rsid w:val="007319DB"/>
    <w:rsid w:val="0074297C"/>
    <w:rsid w:val="00746AAC"/>
    <w:rsid w:val="00757952"/>
    <w:rsid w:val="00764050"/>
    <w:rsid w:val="00765B90"/>
    <w:rsid w:val="0077100C"/>
    <w:rsid w:val="00783A34"/>
    <w:rsid w:val="007864F4"/>
    <w:rsid w:val="00787A41"/>
    <w:rsid w:val="00791153"/>
    <w:rsid w:val="007A4BB9"/>
    <w:rsid w:val="007B0419"/>
    <w:rsid w:val="007B5144"/>
    <w:rsid w:val="007B647A"/>
    <w:rsid w:val="007B7390"/>
    <w:rsid w:val="007C0330"/>
    <w:rsid w:val="007C1125"/>
    <w:rsid w:val="007C28E4"/>
    <w:rsid w:val="007C3C6B"/>
    <w:rsid w:val="007D307C"/>
    <w:rsid w:val="007E0196"/>
    <w:rsid w:val="007E0711"/>
    <w:rsid w:val="007E3D67"/>
    <w:rsid w:val="007F2981"/>
    <w:rsid w:val="00802A20"/>
    <w:rsid w:val="0080581C"/>
    <w:rsid w:val="0081114A"/>
    <w:rsid w:val="008117DA"/>
    <w:rsid w:val="00814361"/>
    <w:rsid w:val="00814A58"/>
    <w:rsid w:val="00814C19"/>
    <w:rsid w:val="008175CD"/>
    <w:rsid w:val="008214E5"/>
    <w:rsid w:val="008230C7"/>
    <w:rsid w:val="00831A99"/>
    <w:rsid w:val="00836DB7"/>
    <w:rsid w:val="00841F2F"/>
    <w:rsid w:val="00842447"/>
    <w:rsid w:val="00842C69"/>
    <w:rsid w:val="0084334C"/>
    <w:rsid w:val="00844067"/>
    <w:rsid w:val="00847047"/>
    <w:rsid w:val="0085016E"/>
    <w:rsid w:val="00850434"/>
    <w:rsid w:val="00852F11"/>
    <w:rsid w:val="00856B39"/>
    <w:rsid w:val="00860EAE"/>
    <w:rsid w:val="00875F61"/>
    <w:rsid w:val="0089303B"/>
    <w:rsid w:val="008A0C85"/>
    <w:rsid w:val="008A3820"/>
    <w:rsid w:val="008A571E"/>
    <w:rsid w:val="008A5E66"/>
    <w:rsid w:val="008B734F"/>
    <w:rsid w:val="008C6552"/>
    <w:rsid w:val="008D18D6"/>
    <w:rsid w:val="008D4C7A"/>
    <w:rsid w:val="008D4E7B"/>
    <w:rsid w:val="008E11E9"/>
    <w:rsid w:val="008E20CE"/>
    <w:rsid w:val="008E2AD5"/>
    <w:rsid w:val="008E4B18"/>
    <w:rsid w:val="008E5C26"/>
    <w:rsid w:val="008F4EAC"/>
    <w:rsid w:val="008F5A0E"/>
    <w:rsid w:val="008F7D49"/>
    <w:rsid w:val="0090022F"/>
    <w:rsid w:val="0090195F"/>
    <w:rsid w:val="00913853"/>
    <w:rsid w:val="009237CF"/>
    <w:rsid w:val="00926ECA"/>
    <w:rsid w:val="00933069"/>
    <w:rsid w:val="00935705"/>
    <w:rsid w:val="0094308B"/>
    <w:rsid w:val="0094571E"/>
    <w:rsid w:val="009542E9"/>
    <w:rsid w:val="00954B4E"/>
    <w:rsid w:val="00956F71"/>
    <w:rsid w:val="009640AD"/>
    <w:rsid w:val="009665A1"/>
    <w:rsid w:val="0097382E"/>
    <w:rsid w:val="00976AF2"/>
    <w:rsid w:val="0098175C"/>
    <w:rsid w:val="009821A1"/>
    <w:rsid w:val="00982E6E"/>
    <w:rsid w:val="0098327A"/>
    <w:rsid w:val="009A3B80"/>
    <w:rsid w:val="009B1427"/>
    <w:rsid w:val="009C08C1"/>
    <w:rsid w:val="009D5845"/>
    <w:rsid w:val="009E2814"/>
    <w:rsid w:val="009E37CE"/>
    <w:rsid w:val="009E795D"/>
    <w:rsid w:val="009F150B"/>
    <w:rsid w:val="009F44D1"/>
    <w:rsid w:val="00A04E2A"/>
    <w:rsid w:val="00A058F0"/>
    <w:rsid w:val="00A15852"/>
    <w:rsid w:val="00A2276C"/>
    <w:rsid w:val="00A30D43"/>
    <w:rsid w:val="00A4244E"/>
    <w:rsid w:val="00A44E22"/>
    <w:rsid w:val="00A51B4F"/>
    <w:rsid w:val="00A67412"/>
    <w:rsid w:val="00A7296A"/>
    <w:rsid w:val="00A73832"/>
    <w:rsid w:val="00A75117"/>
    <w:rsid w:val="00A87D79"/>
    <w:rsid w:val="00A90A62"/>
    <w:rsid w:val="00AB7B0C"/>
    <w:rsid w:val="00AC5822"/>
    <w:rsid w:val="00AC6BAE"/>
    <w:rsid w:val="00AC6CAA"/>
    <w:rsid w:val="00AD41A0"/>
    <w:rsid w:val="00AD57DE"/>
    <w:rsid w:val="00AE4628"/>
    <w:rsid w:val="00AE533C"/>
    <w:rsid w:val="00AF2137"/>
    <w:rsid w:val="00AF670E"/>
    <w:rsid w:val="00B14291"/>
    <w:rsid w:val="00B146C8"/>
    <w:rsid w:val="00B425AB"/>
    <w:rsid w:val="00B465B5"/>
    <w:rsid w:val="00B56424"/>
    <w:rsid w:val="00B60742"/>
    <w:rsid w:val="00B60C56"/>
    <w:rsid w:val="00B6650F"/>
    <w:rsid w:val="00B75BAF"/>
    <w:rsid w:val="00B81BF9"/>
    <w:rsid w:val="00B83B4B"/>
    <w:rsid w:val="00B915C0"/>
    <w:rsid w:val="00B91C0B"/>
    <w:rsid w:val="00B94544"/>
    <w:rsid w:val="00B94CF0"/>
    <w:rsid w:val="00BA0C25"/>
    <w:rsid w:val="00BA31C3"/>
    <w:rsid w:val="00BA4F9D"/>
    <w:rsid w:val="00BA4FBD"/>
    <w:rsid w:val="00BB4B14"/>
    <w:rsid w:val="00BE2C84"/>
    <w:rsid w:val="00BE3FD9"/>
    <w:rsid w:val="00BE4CC1"/>
    <w:rsid w:val="00BF52FC"/>
    <w:rsid w:val="00C028DD"/>
    <w:rsid w:val="00C06C77"/>
    <w:rsid w:val="00C141D5"/>
    <w:rsid w:val="00C26BE4"/>
    <w:rsid w:val="00C35BF3"/>
    <w:rsid w:val="00C363D5"/>
    <w:rsid w:val="00C36768"/>
    <w:rsid w:val="00C40736"/>
    <w:rsid w:val="00C447BE"/>
    <w:rsid w:val="00C45196"/>
    <w:rsid w:val="00C47629"/>
    <w:rsid w:val="00C530FB"/>
    <w:rsid w:val="00C560E2"/>
    <w:rsid w:val="00C948B5"/>
    <w:rsid w:val="00C949DE"/>
    <w:rsid w:val="00CA5CE2"/>
    <w:rsid w:val="00CB2BCC"/>
    <w:rsid w:val="00CB67B8"/>
    <w:rsid w:val="00CB7AD8"/>
    <w:rsid w:val="00CC6882"/>
    <w:rsid w:val="00CD3054"/>
    <w:rsid w:val="00CD3AA7"/>
    <w:rsid w:val="00CE1F58"/>
    <w:rsid w:val="00CE6228"/>
    <w:rsid w:val="00CE62E0"/>
    <w:rsid w:val="00D059AD"/>
    <w:rsid w:val="00D15CD1"/>
    <w:rsid w:val="00D16CD3"/>
    <w:rsid w:val="00D17ABC"/>
    <w:rsid w:val="00D2075C"/>
    <w:rsid w:val="00D21DF4"/>
    <w:rsid w:val="00D23919"/>
    <w:rsid w:val="00D25309"/>
    <w:rsid w:val="00D3123C"/>
    <w:rsid w:val="00D45984"/>
    <w:rsid w:val="00D5070D"/>
    <w:rsid w:val="00D57F2B"/>
    <w:rsid w:val="00D6493B"/>
    <w:rsid w:val="00D70E20"/>
    <w:rsid w:val="00D949B2"/>
    <w:rsid w:val="00DA1932"/>
    <w:rsid w:val="00DA23E9"/>
    <w:rsid w:val="00DB428A"/>
    <w:rsid w:val="00DB4E5C"/>
    <w:rsid w:val="00DB5FB9"/>
    <w:rsid w:val="00DB6254"/>
    <w:rsid w:val="00DB6372"/>
    <w:rsid w:val="00DC3097"/>
    <w:rsid w:val="00DC4CA3"/>
    <w:rsid w:val="00DC6BC2"/>
    <w:rsid w:val="00DD12AF"/>
    <w:rsid w:val="00DD1ABC"/>
    <w:rsid w:val="00DD7346"/>
    <w:rsid w:val="00DE4C76"/>
    <w:rsid w:val="00DF0F35"/>
    <w:rsid w:val="00DF25B4"/>
    <w:rsid w:val="00E151FD"/>
    <w:rsid w:val="00E166D7"/>
    <w:rsid w:val="00E17F07"/>
    <w:rsid w:val="00E22D65"/>
    <w:rsid w:val="00E25BC8"/>
    <w:rsid w:val="00E3191B"/>
    <w:rsid w:val="00E33BEB"/>
    <w:rsid w:val="00E33F7F"/>
    <w:rsid w:val="00E375CD"/>
    <w:rsid w:val="00E37FC3"/>
    <w:rsid w:val="00E41F54"/>
    <w:rsid w:val="00E428DE"/>
    <w:rsid w:val="00E47828"/>
    <w:rsid w:val="00E47A91"/>
    <w:rsid w:val="00E5116E"/>
    <w:rsid w:val="00E528E4"/>
    <w:rsid w:val="00E5451A"/>
    <w:rsid w:val="00E63587"/>
    <w:rsid w:val="00E7209B"/>
    <w:rsid w:val="00E72AFB"/>
    <w:rsid w:val="00EA424C"/>
    <w:rsid w:val="00EA6A61"/>
    <w:rsid w:val="00EA6C1E"/>
    <w:rsid w:val="00EB5413"/>
    <w:rsid w:val="00EC5057"/>
    <w:rsid w:val="00EC6313"/>
    <w:rsid w:val="00EE5A07"/>
    <w:rsid w:val="00EF6378"/>
    <w:rsid w:val="00EF7184"/>
    <w:rsid w:val="00F03A5A"/>
    <w:rsid w:val="00F076AB"/>
    <w:rsid w:val="00F12D6B"/>
    <w:rsid w:val="00F147D2"/>
    <w:rsid w:val="00F1510F"/>
    <w:rsid w:val="00F206DB"/>
    <w:rsid w:val="00F24455"/>
    <w:rsid w:val="00F2582B"/>
    <w:rsid w:val="00F344E5"/>
    <w:rsid w:val="00F40D91"/>
    <w:rsid w:val="00F45FE3"/>
    <w:rsid w:val="00F4681D"/>
    <w:rsid w:val="00F57719"/>
    <w:rsid w:val="00F61128"/>
    <w:rsid w:val="00F65DA1"/>
    <w:rsid w:val="00F718D6"/>
    <w:rsid w:val="00F81D3F"/>
    <w:rsid w:val="00F83DE5"/>
    <w:rsid w:val="00F966C5"/>
    <w:rsid w:val="00FA4204"/>
    <w:rsid w:val="00FA61B5"/>
    <w:rsid w:val="00FB7904"/>
    <w:rsid w:val="00FC6D1F"/>
    <w:rsid w:val="00FD2D1F"/>
    <w:rsid w:val="00FD38CB"/>
    <w:rsid w:val="00FE446D"/>
    <w:rsid w:val="00FE4584"/>
    <w:rsid w:val="00FF7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68DF0"/>
  <w15:chartTrackingRefBased/>
  <w15:docId w15:val="{9AD85BFA-729B-4F74-8277-11534F5F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link w:val="Ttulo1Car"/>
    <w:qFormat/>
    <w:pPr>
      <w:keepNext/>
      <w:numPr>
        <w:numId w:val="3"/>
      </w:numPr>
      <w:suppressAutoHyphens/>
      <w:spacing w:after="240"/>
      <w:outlineLvl w:val="0"/>
    </w:pPr>
    <w:rPr>
      <w:b/>
    </w:rPr>
  </w:style>
  <w:style w:type="paragraph" w:styleId="Ttulo2">
    <w:name w:val="heading 2"/>
    <w:basedOn w:val="Normal"/>
    <w:next w:val="Normal"/>
    <w:link w:val="Ttulo2Car"/>
    <w:qFormat/>
    <w:rsid w:val="00852F11"/>
    <w:pPr>
      <w:keepNext/>
      <w:numPr>
        <w:ilvl w:val="1"/>
        <w:numId w:val="2"/>
      </w:numPr>
      <w:spacing w:before="240"/>
      <w:ind w:left="578" w:hanging="578"/>
      <w:outlineLvl w:val="1"/>
    </w:pPr>
    <w:rPr>
      <w:b/>
      <w:sz w:val="22"/>
      <w:szCs w:val="22"/>
      <w:lang w:val="es-MX"/>
    </w:rPr>
  </w:style>
  <w:style w:type="paragraph" w:styleId="Ttulo3">
    <w:name w:val="heading 3"/>
    <w:basedOn w:val="Normal"/>
    <w:next w:val="Normal"/>
    <w:qFormat/>
    <w:pPr>
      <w:keepNext/>
      <w:numPr>
        <w:ilvl w:val="2"/>
        <w:numId w:val="4"/>
      </w:numPr>
      <w:tabs>
        <w:tab w:val="left" w:pos="0"/>
      </w:tabs>
      <w:suppressAutoHyphens/>
      <w:spacing w:after="240"/>
      <w:outlineLvl w:val="2"/>
    </w:pPr>
    <w:rPr>
      <w:b/>
      <w:lang w:val="es-ES"/>
    </w:rPr>
  </w:style>
  <w:style w:type="paragraph" w:styleId="Ttulo4">
    <w:name w:val="heading 4"/>
    <w:basedOn w:val="Normal"/>
    <w:next w:val="Normal"/>
    <w:qFormat/>
    <w:pPr>
      <w:keepNext/>
      <w:numPr>
        <w:ilvl w:val="3"/>
        <w:numId w:val="5"/>
      </w:numPr>
      <w:spacing w:after="240"/>
      <w:ind w:left="862" w:hanging="862"/>
      <w:outlineLvl w:val="3"/>
    </w:pPr>
    <w:rPr>
      <w:b/>
    </w:rPr>
  </w:style>
  <w:style w:type="paragraph" w:styleId="Ttulo5">
    <w:name w:val="heading 5"/>
    <w:basedOn w:val="Normal"/>
    <w:next w:val="Normal"/>
    <w:qFormat/>
    <w:pPr>
      <w:keepNext/>
      <w:numPr>
        <w:ilvl w:val="4"/>
        <w:numId w:val="6"/>
      </w:numPr>
      <w:spacing w:after="240"/>
      <w:ind w:left="1009" w:hanging="1009"/>
      <w:outlineLvl w:val="4"/>
    </w:pPr>
    <w:rPr>
      <w:sz w:val="22"/>
    </w:rPr>
  </w:style>
  <w:style w:type="paragraph" w:styleId="Ttulo6">
    <w:name w:val="heading 6"/>
    <w:basedOn w:val="Normal"/>
    <w:next w:val="Normal"/>
    <w:qFormat/>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outlineLvl w:val="6"/>
    </w:pPr>
    <w:rPr>
      <w:sz w:val="20"/>
    </w:rPr>
  </w:style>
  <w:style w:type="paragraph" w:styleId="Ttulo8">
    <w:name w:val="heading 8"/>
    <w:basedOn w:val="Normal"/>
    <w:next w:val="Normal"/>
    <w:qFormat/>
    <w:pPr>
      <w:numPr>
        <w:ilvl w:val="7"/>
        <w:numId w:val="1"/>
      </w:numPr>
      <w:spacing w:before="240" w:after="60"/>
      <w:outlineLvl w:val="7"/>
    </w:pPr>
    <w:rPr>
      <w:i/>
      <w:sz w:val="20"/>
    </w:rPr>
  </w:style>
  <w:style w:type="paragraph" w:styleId="Ttulo9">
    <w:name w:val="heading 9"/>
    <w:basedOn w:val="Normal"/>
    <w:next w:val="Normal"/>
    <w:qFormat/>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b/>
    </w:rPr>
  </w:style>
  <w:style w:type="paragraph" w:styleId="TDC1">
    <w:name w:val="toc 1"/>
    <w:basedOn w:val="Normal"/>
    <w:next w:val="Normal"/>
    <w:autoRedefine/>
    <w:uiPriority w:val="39"/>
    <w:rsid w:val="003C55ED"/>
    <w:pPr>
      <w:tabs>
        <w:tab w:val="left" w:pos="480"/>
        <w:tab w:val="right" w:leader="dot" w:pos="8828"/>
      </w:tabs>
      <w:spacing w:before="120"/>
    </w:pPr>
    <w:rPr>
      <w:noProof/>
      <w:szCs w:val="24"/>
      <w:lang w:val="es-ES"/>
    </w:rPr>
  </w:style>
  <w:style w:type="paragraph" w:styleId="TDC2">
    <w:name w:val="toc 2"/>
    <w:basedOn w:val="Normal"/>
    <w:next w:val="Normal"/>
    <w:autoRedefine/>
    <w:uiPriority w:val="39"/>
    <w:pPr>
      <w:tabs>
        <w:tab w:val="left" w:pos="960"/>
        <w:tab w:val="right" w:leader="dot" w:pos="8820"/>
      </w:tabs>
      <w:ind w:left="960" w:right="378" w:hanging="720"/>
      <w:jc w:val="left"/>
    </w:pPr>
    <w:rPr>
      <w:noProof/>
      <w:szCs w:val="24"/>
      <w:lang w:val="es-ES"/>
    </w:rPr>
  </w:style>
  <w:style w:type="paragraph" w:styleId="TDC3">
    <w:name w:val="toc 3"/>
    <w:basedOn w:val="Normal"/>
    <w:next w:val="Normal"/>
    <w:autoRedefine/>
    <w:semiHidden/>
    <w:pPr>
      <w:ind w:left="480"/>
    </w:pPr>
    <w:rPr>
      <w:szCs w:val="24"/>
      <w:lang w:val="es-ES"/>
    </w:rPr>
  </w:style>
  <w:style w:type="paragraph" w:customStyle="1" w:styleId="Citas">
    <w:name w:val="Citas"/>
    <w:basedOn w:val="Normal"/>
    <w:next w:val="Normal"/>
    <w:pPr>
      <w:ind w:left="708" w:right="476"/>
    </w:pPr>
    <w:rPr>
      <w:rFonts w:ascii="Times New Roman" w:hAnsi="Times New Roman"/>
      <w:i/>
      <w:iCs/>
    </w:r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link w:val="TextonotapieCar"/>
    <w:semiHidden/>
    <w:rPr>
      <w:sz w:val="20"/>
    </w:rPr>
  </w:style>
  <w:style w:type="paragraph" w:customStyle="1" w:styleId="Epgrafe">
    <w:name w:val="Epígrafe"/>
    <w:basedOn w:val="Normal"/>
    <w:next w:val="Normal"/>
    <w:qFormat/>
    <w:pPr>
      <w:spacing w:before="120" w:after="120"/>
    </w:pPr>
    <w:rPr>
      <w:b/>
    </w:rPr>
  </w:style>
  <w:style w:type="paragraph" w:styleId="Sangra2detindependiente">
    <w:name w:val="Body Text Indent 2"/>
    <w:basedOn w:val="Normal"/>
    <w:semiHidden/>
    <w:pPr>
      <w:ind w:left="567" w:hanging="567"/>
      <w:outlineLvl w:val="0"/>
    </w:pPr>
    <w:rPr>
      <w:b/>
      <w:sz w:val="20"/>
      <w:szCs w:val="24"/>
      <w:lang w:val="es-CO"/>
    </w:rPr>
  </w:style>
  <w:style w:type="paragraph" w:styleId="Textoindependiente">
    <w:name w:val="Body Text"/>
    <w:basedOn w:val="Normal"/>
    <w:semiHidden/>
    <w:pPr>
      <w:jc w:val="center"/>
    </w:pPr>
    <w:rPr>
      <w:b/>
      <w:sz w:val="48"/>
    </w:r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character" w:styleId="Hipervnculo">
    <w:name w:val="Hyperlink"/>
    <w:uiPriority w:val="99"/>
    <w:rPr>
      <w:color w:val="0000FF"/>
      <w:u w:val="single"/>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 w:type="character" w:styleId="Refdenotaalpie">
    <w:name w:val="footnote reference"/>
    <w:semiHidden/>
    <w:rPr>
      <w:vertAlign w:val="superscript"/>
    </w:rPr>
  </w:style>
  <w:style w:type="paragraph" w:styleId="Textoindependiente2">
    <w:name w:val="Body Text 2"/>
    <w:basedOn w:val="Normal"/>
    <w:link w:val="Textoindependiente2Car"/>
    <w:semiHidden/>
    <w:pPr>
      <w:tabs>
        <w:tab w:val="left" w:pos="-720"/>
        <w:tab w:val="left" w:pos="0"/>
      </w:tabs>
      <w:suppressAutoHyphens/>
    </w:pPr>
    <w:rPr>
      <w:color w:val="000000"/>
      <w:spacing w:val="-3"/>
    </w:rPr>
  </w:style>
  <w:style w:type="paragraph" w:styleId="Textoindependiente3">
    <w:name w:val="Body Text 3"/>
    <w:basedOn w:val="Normal"/>
    <w:semiHidden/>
    <w:pPr>
      <w:jc w:val="center"/>
    </w:pPr>
    <w:rPr>
      <w:b/>
      <w:bCs/>
      <w:sz w:val="22"/>
    </w:rPr>
  </w:style>
  <w:style w:type="paragraph" w:styleId="Textodebloque">
    <w:name w:val="Block Text"/>
    <w:basedOn w:val="Normal"/>
    <w:semiHidden/>
    <w:pPr>
      <w:ind w:left="709" w:right="901"/>
      <w:jc w:val="center"/>
    </w:pPr>
    <w:rPr>
      <w:rFonts w:ascii="Bookman Old Style" w:hAnsi="Bookman Old Style"/>
      <w:sz w:val="22"/>
      <w:szCs w:val="24"/>
    </w:rPr>
  </w:style>
  <w:style w:type="paragraph" w:styleId="Tabladeilustraciones">
    <w:name w:val="table of figures"/>
    <w:basedOn w:val="Normal"/>
    <w:next w:val="Normal"/>
    <w:semiHidden/>
    <w:pPr>
      <w:tabs>
        <w:tab w:val="right" w:leader="dot" w:pos="8828"/>
      </w:tabs>
      <w:ind w:left="480" w:hanging="480"/>
    </w:pPr>
    <w:rPr>
      <w:noProof/>
    </w:rPr>
  </w:style>
  <w:style w:type="character" w:styleId="Refdecomentario">
    <w:name w:val="annotation reference"/>
    <w:semiHidden/>
    <w:rPr>
      <w:sz w:val="16"/>
      <w:szCs w:val="16"/>
    </w:rPr>
  </w:style>
  <w:style w:type="paragraph" w:styleId="Textocomentario">
    <w:name w:val="annotation text"/>
    <w:basedOn w:val="Normal"/>
    <w:link w:val="TextocomentarioCar"/>
    <w:uiPriority w:val="99"/>
    <w:rPr>
      <w:sz w:val="20"/>
    </w:rPr>
  </w:style>
  <w:style w:type="paragraph" w:styleId="Mapadeldocumento">
    <w:name w:val="Document Map"/>
    <w:basedOn w:val="Normal"/>
    <w:semiHidden/>
    <w:pPr>
      <w:shd w:val="clear" w:color="auto" w:fill="000080"/>
    </w:pPr>
    <w:rPr>
      <w:rFonts w:ascii="Tahoma" w:hAnsi="Tahoma" w:cs="Tahoma"/>
    </w:rPr>
  </w:style>
  <w:style w:type="character" w:customStyle="1" w:styleId="eacep1">
    <w:name w:val="eacep1"/>
    <w:rPr>
      <w:color w:val="000000"/>
    </w:rPr>
  </w:style>
  <w:style w:type="character" w:customStyle="1" w:styleId="PiedepginaCar">
    <w:name w:val="Pie de página Car"/>
    <w:link w:val="Piedepgina"/>
    <w:uiPriority w:val="99"/>
    <w:rsid w:val="0077100C"/>
    <w:rPr>
      <w:rFonts w:ascii="Arial" w:hAnsi="Arial"/>
      <w:sz w:val="24"/>
      <w:lang w:val="es-ES_tradnl" w:eastAsia="es-ES"/>
    </w:rPr>
  </w:style>
  <w:style w:type="character" w:customStyle="1" w:styleId="TextocomentarioCar">
    <w:name w:val="Texto comentario Car"/>
    <w:link w:val="Textocomentario"/>
    <w:uiPriority w:val="99"/>
    <w:rsid w:val="004E3965"/>
    <w:rPr>
      <w:rFonts w:ascii="Arial" w:hAnsi="Arial"/>
      <w:lang w:val="es-ES_tradnl" w:eastAsia="es-ES"/>
    </w:rPr>
  </w:style>
  <w:style w:type="paragraph" w:styleId="Prrafodelista">
    <w:name w:val="List Paragraph"/>
    <w:basedOn w:val="Normal"/>
    <w:link w:val="PrrafodelistaCar"/>
    <w:qFormat/>
    <w:rsid w:val="003C55ED"/>
    <w:pPr>
      <w:ind w:left="708"/>
    </w:pPr>
  </w:style>
  <w:style w:type="paragraph" w:styleId="NormalWeb">
    <w:name w:val="Normal (Web)"/>
    <w:basedOn w:val="Normal"/>
    <w:uiPriority w:val="99"/>
    <w:semiHidden/>
    <w:unhideWhenUsed/>
    <w:rsid w:val="00DB6372"/>
    <w:pPr>
      <w:spacing w:before="100" w:beforeAutospacing="1" w:after="100" w:afterAutospacing="1"/>
      <w:jc w:val="left"/>
    </w:pPr>
    <w:rPr>
      <w:rFonts w:ascii="Times New Roman" w:hAnsi="Times New Roman"/>
      <w:szCs w:val="24"/>
      <w:lang w:val="es-CO" w:eastAsia="es-CO"/>
    </w:rPr>
  </w:style>
  <w:style w:type="character" w:customStyle="1" w:styleId="Ttulo1Car">
    <w:name w:val="Título 1 Car"/>
    <w:basedOn w:val="Fuentedeprrafopredeter"/>
    <w:link w:val="Ttulo1"/>
    <w:rsid w:val="00E7209B"/>
    <w:rPr>
      <w:rFonts w:ascii="Arial" w:hAnsi="Arial"/>
      <w:b/>
      <w:sz w:val="24"/>
      <w:lang w:val="es-ES_tradnl" w:eastAsia="es-ES"/>
    </w:rPr>
  </w:style>
  <w:style w:type="character" w:customStyle="1" w:styleId="Ttulo2Car">
    <w:name w:val="Título 2 Car"/>
    <w:basedOn w:val="Fuentedeprrafopredeter"/>
    <w:link w:val="Ttulo2"/>
    <w:rsid w:val="00852F11"/>
    <w:rPr>
      <w:rFonts w:ascii="Arial" w:hAnsi="Arial"/>
      <w:b/>
      <w:sz w:val="22"/>
      <w:szCs w:val="22"/>
      <w:lang w:val="es-MX" w:eastAsia="es-ES"/>
    </w:rPr>
  </w:style>
  <w:style w:type="character" w:customStyle="1" w:styleId="TextonotapieCar">
    <w:name w:val="Texto nota pie Car"/>
    <w:basedOn w:val="Fuentedeprrafopredeter"/>
    <w:link w:val="Textonotapie"/>
    <w:semiHidden/>
    <w:rsid w:val="00E7209B"/>
    <w:rPr>
      <w:rFonts w:ascii="Arial" w:hAnsi="Arial"/>
      <w:lang w:val="es-ES_tradnl" w:eastAsia="es-ES"/>
    </w:rPr>
  </w:style>
  <w:style w:type="character" w:customStyle="1" w:styleId="TtuloCar">
    <w:name w:val="Título Car"/>
    <w:basedOn w:val="Fuentedeprrafopredeter"/>
    <w:link w:val="Ttulo"/>
    <w:rsid w:val="00E7209B"/>
    <w:rPr>
      <w:rFonts w:ascii="Arial" w:hAnsi="Arial"/>
      <w:b/>
      <w:sz w:val="24"/>
      <w:lang w:val="es-ES_tradnl" w:eastAsia="es-ES"/>
    </w:rPr>
  </w:style>
  <w:style w:type="character" w:customStyle="1" w:styleId="Textoindependiente2Car">
    <w:name w:val="Texto independiente 2 Car"/>
    <w:basedOn w:val="Fuentedeprrafopredeter"/>
    <w:link w:val="Textoindependiente2"/>
    <w:semiHidden/>
    <w:rsid w:val="00E7209B"/>
    <w:rPr>
      <w:rFonts w:ascii="Arial" w:hAnsi="Arial"/>
      <w:color w:val="000000"/>
      <w:spacing w:val="-3"/>
      <w:sz w:val="24"/>
      <w:lang w:val="es-ES_tradnl" w:eastAsia="es-ES"/>
    </w:rPr>
  </w:style>
  <w:style w:type="paragraph" w:customStyle="1" w:styleId="Texto">
    <w:name w:val="Texto"/>
    <w:basedOn w:val="Normal"/>
    <w:qFormat/>
    <w:rsid w:val="00D57F2B"/>
    <w:pPr>
      <w:spacing w:after="240"/>
    </w:pPr>
    <w:rPr>
      <w:rFonts w:cs="Arial"/>
      <w:sz w:val="22"/>
      <w:lang w:val="es-CO"/>
    </w:rPr>
  </w:style>
  <w:style w:type="paragraph" w:styleId="Cita">
    <w:name w:val="Quote"/>
    <w:basedOn w:val="Citas"/>
    <w:next w:val="Normal"/>
    <w:link w:val="CitaCar"/>
    <w:uiPriority w:val="29"/>
    <w:qFormat/>
    <w:rsid w:val="00926ECA"/>
    <w:pPr>
      <w:spacing w:before="120" w:after="120"/>
      <w:ind w:left="284" w:right="284"/>
      <w:jc w:val="left"/>
    </w:pPr>
    <w:rPr>
      <w:rFonts w:ascii="Arial" w:hAnsi="Arial"/>
      <w:sz w:val="22"/>
      <w:szCs w:val="18"/>
    </w:rPr>
  </w:style>
  <w:style w:type="character" w:customStyle="1" w:styleId="CitaCar">
    <w:name w:val="Cita Car"/>
    <w:basedOn w:val="Fuentedeprrafopredeter"/>
    <w:link w:val="Cita"/>
    <w:uiPriority w:val="29"/>
    <w:rsid w:val="00926ECA"/>
    <w:rPr>
      <w:rFonts w:ascii="Arial" w:hAnsi="Arial"/>
      <w:i/>
      <w:iCs/>
      <w:sz w:val="22"/>
      <w:szCs w:val="18"/>
      <w:lang w:val="es-ES_tradnl" w:eastAsia="es-ES"/>
    </w:rPr>
  </w:style>
  <w:style w:type="character" w:customStyle="1" w:styleId="PrrafodelistaCar">
    <w:name w:val="Párrafo de lista Car"/>
    <w:link w:val="Prrafodelista"/>
    <w:rsid w:val="00D57F2B"/>
    <w:rPr>
      <w:rFonts w:ascii="Arial" w:hAnsi="Arial"/>
      <w:sz w:val="24"/>
      <w:lang w:val="es-ES_tradnl" w:eastAsia="es-ES"/>
    </w:rPr>
  </w:style>
  <w:style w:type="table" w:styleId="Tablaconcuadrcula">
    <w:name w:val="Table Grid"/>
    <w:basedOn w:val="Tablanormal"/>
    <w:uiPriority w:val="59"/>
    <w:rsid w:val="00D5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16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80247">
      <w:bodyDiv w:val="1"/>
      <w:marLeft w:val="0"/>
      <w:marRight w:val="0"/>
      <w:marTop w:val="0"/>
      <w:marBottom w:val="0"/>
      <w:divBdr>
        <w:top w:val="none" w:sz="0" w:space="0" w:color="auto"/>
        <w:left w:val="none" w:sz="0" w:space="0" w:color="auto"/>
        <w:bottom w:val="none" w:sz="0" w:space="0" w:color="auto"/>
        <w:right w:val="none" w:sz="0" w:space="0" w:color="auto"/>
      </w:divBdr>
    </w:div>
    <w:div w:id="958878885">
      <w:bodyDiv w:val="1"/>
      <w:marLeft w:val="0"/>
      <w:marRight w:val="0"/>
      <w:marTop w:val="0"/>
      <w:marBottom w:val="0"/>
      <w:divBdr>
        <w:top w:val="none" w:sz="0" w:space="0" w:color="auto"/>
        <w:left w:val="none" w:sz="0" w:space="0" w:color="auto"/>
        <w:bottom w:val="none" w:sz="0" w:space="0" w:color="auto"/>
        <w:right w:val="none" w:sz="0" w:space="0" w:color="auto"/>
      </w:divBdr>
    </w:div>
    <w:div w:id="1603411981">
      <w:bodyDiv w:val="1"/>
      <w:marLeft w:val="0"/>
      <w:marRight w:val="0"/>
      <w:marTop w:val="0"/>
      <w:marBottom w:val="0"/>
      <w:divBdr>
        <w:top w:val="none" w:sz="0" w:space="0" w:color="auto"/>
        <w:left w:val="none" w:sz="0" w:space="0" w:color="auto"/>
        <w:bottom w:val="none" w:sz="0" w:space="0" w:color="auto"/>
        <w:right w:val="none" w:sz="0" w:space="0" w:color="auto"/>
      </w:divBdr>
    </w:div>
    <w:div w:id="1630354394">
      <w:bodyDiv w:val="1"/>
      <w:marLeft w:val="0"/>
      <w:marRight w:val="0"/>
      <w:marTop w:val="0"/>
      <w:marBottom w:val="0"/>
      <w:divBdr>
        <w:top w:val="none" w:sz="0" w:space="0" w:color="auto"/>
        <w:left w:val="none" w:sz="0" w:space="0" w:color="auto"/>
        <w:bottom w:val="none" w:sz="0" w:space="0" w:color="auto"/>
        <w:right w:val="none" w:sz="0" w:space="0" w:color="auto"/>
      </w:divBdr>
    </w:div>
    <w:div w:id="2045134746">
      <w:bodyDiv w:val="1"/>
      <w:marLeft w:val="0"/>
      <w:marRight w:val="0"/>
      <w:marTop w:val="0"/>
      <w:marBottom w:val="0"/>
      <w:divBdr>
        <w:top w:val="none" w:sz="0" w:space="0" w:color="auto"/>
        <w:left w:val="none" w:sz="0" w:space="0" w:color="auto"/>
        <w:bottom w:val="none" w:sz="0" w:space="0" w:color="auto"/>
        <w:right w:val="none" w:sz="0" w:space="0" w:color="auto"/>
      </w:divBdr>
    </w:div>
    <w:div w:id="21311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24E01-FC66-4752-B668-90338849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4056</Words>
  <Characters>21628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DOCUMENTO CREG - REGULACIÓN CONSULTA Y DEFINITIVA CARACTER GENERAL</vt:lpstr>
    </vt:vector>
  </TitlesOfParts>
  <Company>CREG</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CREG - REGULACIÓN CONSULTA Y DEFINITIVA CARACTER GENERAL</dc:title>
  <dc:subject/>
  <dc:creator>Creg189</dc:creator>
  <cp:keywords/>
  <cp:lastModifiedBy>Eliana Rodriguez Fonseca</cp:lastModifiedBy>
  <cp:revision>2</cp:revision>
  <cp:lastPrinted>2021-11-22T22:07:00Z</cp:lastPrinted>
  <dcterms:created xsi:type="dcterms:W3CDTF">2023-09-28T20:22:00Z</dcterms:created>
  <dcterms:modified xsi:type="dcterms:W3CDTF">2023-09-28T20:22:00Z</dcterms:modified>
</cp:coreProperties>
</file>